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89D3B" w14:textId="77777777" w:rsidR="000020B9" w:rsidRPr="00130599" w:rsidRDefault="000020B9" w:rsidP="000020B9">
      <w:pPr>
        <w:jc w:val="center"/>
        <w:rPr>
          <w:b/>
          <w:bCs/>
          <w:sz w:val="28"/>
          <w:szCs w:val="28"/>
          <w:lang w:val="en-US"/>
        </w:rPr>
      </w:pPr>
      <w:r w:rsidRPr="00130599">
        <w:rPr>
          <w:b/>
          <w:bCs/>
          <w:sz w:val="28"/>
          <w:szCs w:val="28"/>
          <w:lang w:val="en-US"/>
        </w:rPr>
        <w:t>Assessing Competition in Banking Industry: A Multiproduct Approach</w:t>
      </w:r>
    </w:p>
    <w:p w14:paraId="09F48BAC" w14:textId="77777777" w:rsidR="000020B9" w:rsidRDefault="000020B9" w:rsidP="000020B9">
      <w:pPr>
        <w:jc w:val="right"/>
        <w:rPr>
          <w:b/>
          <w:bCs/>
          <w:i/>
          <w:iCs/>
          <w:lang w:val="en-US"/>
        </w:rPr>
      </w:pPr>
    </w:p>
    <w:p w14:paraId="059EF18C" w14:textId="77777777" w:rsidR="000020B9" w:rsidRDefault="000020B9" w:rsidP="000020B9">
      <w:pPr>
        <w:jc w:val="right"/>
        <w:rPr>
          <w:b/>
          <w:bCs/>
          <w:i/>
          <w:iCs/>
          <w:lang w:val="en-US"/>
        </w:rPr>
      </w:pPr>
    </w:p>
    <w:p w14:paraId="3DA533D8" w14:textId="77777777" w:rsidR="000020B9" w:rsidRPr="00AA54F3" w:rsidRDefault="000020B9" w:rsidP="000020B9">
      <w:pPr>
        <w:jc w:val="center"/>
      </w:pPr>
      <w:r w:rsidRPr="00AA54F3">
        <w:t>Klenio Barbosa</w:t>
      </w:r>
      <w:r w:rsidRPr="00741C88">
        <w:rPr>
          <w:rStyle w:val="Refdenotaderodap"/>
          <w:lang w:val="en-US"/>
        </w:rPr>
        <w:footnoteReference w:customMarkFollows="1" w:id="1"/>
        <w:sym w:font="tci4" w:char="F021"/>
      </w:r>
    </w:p>
    <w:p w14:paraId="05C2B0DA" w14:textId="77777777" w:rsidR="000020B9" w:rsidRPr="00AA54F3" w:rsidRDefault="000020B9" w:rsidP="000020B9">
      <w:pPr>
        <w:jc w:val="center"/>
      </w:pPr>
      <w:r>
        <w:t>Escola de Economia de São Paulo</w:t>
      </w:r>
      <w:r w:rsidRPr="00AA54F3">
        <w:t xml:space="preserve"> - FGV</w:t>
      </w:r>
    </w:p>
    <w:p w14:paraId="19074455" w14:textId="77777777" w:rsidR="000020B9" w:rsidRPr="00AA54F3" w:rsidRDefault="000020B9" w:rsidP="000020B9">
      <w:pPr>
        <w:jc w:val="center"/>
      </w:pPr>
    </w:p>
    <w:p w14:paraId="46D54001" w14:textId="77777777" w:rsidR="000020B9" w:rsidRPr="00AA54F3" w:rsidRDefault="000020B9" w:rsidP="000020B9">
      <w:pPr>
        <w:rPr>
          <w:b/>
          <w:bCs/>
        </w:rPr>
      </w:pPr>
    </w:p>
    <w:p w14:paraId="7E053901" w14:textId="77777777" w:rsidR="000020B9" w:rsidRPr="00AA54F3" w:rsidRDefault="000020B9" w:rsidP="000020B9">
      <w:pPr>
        <w:jc w:val="center"/>
      </w:pPr>
      <w:r w:rsidRPr="00AA54F3">
        <w:t>Bruno Rocha</w:t>
      </w:r>
    </w:p>
    <w:p w14:paraId="2968E8FB" w14:textId="77777777" w:rsidR="000020B9" w:rsidRPr="00AA54F3" w:rsidRDefault="000020B9" w:rsidP="000020B9">
      <w:pPr>
        <w:jc w:val="center"/>
      </w:pPr>
      <w:r w:rsidRPr="00AA54F3">
        <w:t>Departmento de Economia, UFMG and Cedeplar</w:t>
      </w:r>
    </w:p>
    <w:p w14:paraId="38BEA459" w14:textId="77777777" w:rsidR="000020B9" w:rsidRPr="00AA54F3" w:rsidRDefault="000020B9" w:rsidP="000020B9">
      <w:pPr>
        <w:jc w:val="center"/>
      </w:pPr>
    </w:p>
    <w:p w14:paraId="04B3C8E5" w14:textId="77777777" w:rsidR="000020B9" w:rsidRPr="00AA54F3" w:rsidRDefault="000020B9" w:rsidP="000020B9">
      <w:pPr>
        <w:jc w:val="center"/>
      </w:pPr>
    </w:p>
    <w:p w14:paraId="002EB583" w14:textId="77777777" w:rsidR="000020B9" w:rsidRPr="000020B9" w:rsidRDefault="000020B9" w:rsidP="000020B9">
      <w:pPr>
        <w:jc w:val="center"/>
      </w:pPr>
      <w:r w:rsidRPr="000020B9">
        <w:t>Fernando Salazar</w:t>
      </w:r>
    </w:p>
    <w:p w14:paraId="1AF61E89" w14:textId="77777777" w:rsidR="000020B9" w:rsidRPr="00AA54F3" w:rsidRDefault="000020B9" w:rsidP="000020B9">
      <w:pPr>
        <w:jc w:val="center"/>
      </w:pPr>
      <w:r w:rsidRPr="00AA54F3">
        <w:t>Escola de Economia de São Paulo - FGV</w:t>
      </w:r>
    </w:p>
    <w:p w14:paraId="6EFE2D3C" w14:textId="77777777" w:rsidR="000020B9" w:rsidRPr="00AA54F3" w:rsidRDefault="000020B9" w:rsidP="000020B9">
      <w:pPr>
        <w:jc w:val="right"/>
        <w:rPr>
          <w:b/>
          <w:bCs/>
          <w:i/>
          <w:iCs/>
        </w:rPr>
      </w:pPr>
    </w:p>
    <w:p w14:paraId="281A3941" w14:textId="77777777" w:rsidR="000020B9" w:rsidRPr="00AA54F3" w:rsidRDefault="000020B9" w:rsidP="000020B9">
      <w:pPr>
        <w:rPr>
          <w:b/>
          <w:bCs/>
        </w:rPr>
      </w:pPr>
    </w:p>
    <w:p w14:paraId="1113402B" w14:textId="77777777" w:rsidR="000020B9" w:rsidRPr="00AA54F3" w:rsidRDefault="000020B9" w:rsidP="000020B9">
      <w:pPr>
        <w:rPr>
          <w:b/>
          <w:bCs/>
        </w:rPr>
      </w:pPr>
    </w:p>
    <w:p w14:paraId="2A916506" w14:textId="77777777" w:rsidR="000020B9" w:rsidRPr="00AA54F3" w:rsidRDefault="000020B9" w:rsidP="000020B9">
      <w:pPr>
        <w:jc w:val="center"/>
        <w:rPr>
          <w:b/>
          <w:bCs/>
        </w:rPr>
      </w:pPr>
      <w:r w:rsidRPr="00AA54F3">
        <w:rPr>
          <w:b/>
          <w:bCs/>
        </w:rPr>
        <w:t>Resumo</w:t>
      </w:r>
    </w:p>
    <w:p w14:paraId="26DD61E3" w14:textId="77777777" w:rsidR="000020B9" w:rsidRPr="00AA54F3" w:rsidRDefault="000020B9" w:rsidP="000020B9">
      <w:pPr>
        <w:rPr>
          <w:b/>
          <w:bCs/>
        </w:rPr>
      </w:pPr>
    </w:p>
    <w:p w14:paraId="1600F89D" w14:textId="77777777" w:rsidR="000020B9" w:rsidRPr="00C53510" w:rsidRDefault="000020B9" w:rsidP="000020B9">
      <w:pPr>
        <w:jc w:val="both"/>
        <w:rPr>
          <w:bCs/>
        </w:rPr>
      </w:pPr>
      <w:r w:rsidRPr="00C53510">
        <w:rPr>
          <w:bCs/>
        </w:rPr>
        <w:t>Este trabalho tem como objetivo investigar os aspectos de concorrência de operação multiproduto bancá</w:t>
      </w:r>
      <w:r>
        <w:rPr>
          <w:bCs/>
        </w:rPr>
        <w:t>rio. Com base em uma extensão do teste de</w:t>
      </w:r>
      <w:r w:rsidRPr="00C53510">
        <w:rPr>
          <w:bCs/>
        </w:rPr>
        <w:t xml:space="preserve"> Panzar e Rosse (1987) teste para o caso de uma firma bancária multiproduto, </w:t>
      </w:r>
      <w:r>
        <w:rPr>
          <w:bCs/>
        </w:rPr>
        <w:t xml:space="preserve">foi utilizado um </w:t>
      </w:r>
      <w:r w:rsidRPr="00C53510">
        <w:rPr>
          <w:bCs/>
        </w:rPr>
        <w:t>novo conjunto de dados c</w:t>
      </w:r>
      <w:r>
        <w:rPr>
          <w:bCs/>
        </w:rPr>
        <w:t>onstruído para</w:t>
      </w:r>
      <w:r w:rsidRPr="00C53510">
        <w:rPr>
          <w:bCs/>
        </w:rPr>
        <w:t xml:space="preserve"> conglomerados bancários brasileiros para inferir o impacto da aglomeração sobre poder de mercado</w:t>
      </w:r>
      <w:r>
        <w:rPr>
          <w:bCs/>
        </w:rPr>
        <w:t xml:space="preserve"> bancário</w:t>
      </w:r>
      <w:r w:rsidRPr="00C53510">
        <w:rPr>
          <w:bCs/>
        </w:rPr>
        <w:t xml:space="preserve">. </w:t>
      </w:r>
      <w:r>
        <w:rPr>
          <w:bCs/>
        </w:rPr>
        <w:t xml:space="preserve">Foi encontrado </w:t>
      </w:r>
      <w:r w:rsidRPr="00C53510">
        <w:rPr>
          <w:bCs/>
        </w:rPr>
        <w:t xml:space="preserve">que os bancos </w:t>
      </w:r>
      <w:r>
        <w:rPr>
          <w:bCs/>
        </w:rPr>
        <w:t xml:space="preserve">que </w:t>
      </w:r>
      <w:r w:rsidRPr="00C53510">
        <w:rPr>
          <w:bCs/>
        </w:rPr>
        <w:t>oferecem</w:t>
      </w:r>
      <w:r>
        <w:rPr>
          <w:bCs/>
        </w:rPr>
        <w:t xml:space="preserve"> produtos bancários</w:t>
      </w:r>
      <w:r w:rsidRPr="00C53510">
        <w:rPr>
          <w:bCs/>
        </w:rPr>
        <w:t xml:space="preserve"> clássico</w:t>
      </w:r>
      <w:r>
        <w:rPr>
          <w:bCs/>
        </w:rPr>
        <w:t>s</w:t>
      </w:r>
      <w:r w:rsidRPr="00C53510">
        <w:rPr>
          <w:bCs/>
        </w:rPr>
        <w:t xml:space="preserve"> (ou seja, empréstimos e cartões de crédito) e outros produtos do banco (ou seja, serviços de corretagem, seguros e títulos de capitalização) têm substancialmente maior poder de mercado do que </w:t>
      </w:r>
      <w:r>
        <w:rPr>
          <w:bCs/>
        </w:rPr>
        <w:t>aqueles</w:t>
      </w:r>
      <w:r w:rsidRPr="00C53510">
        <w:rPr>
          <w:bCs/>
        </w:rPr>
        <w:t xml:space="preserve"> que oferecem apenas produtos clássicos. Os resultados sugerem </w:t>
      </w:r>
      <w:r>
        <w:rPr>
          <w:bCs/>
        </w:rPr>
        <w:t>que há uma</w:t>
      </w:r>
      <w:r w:rsidRPr="00C53510">
        <w:rPr>
          <w:bCs/>
        </w:rPr>
        <w:t xml:space="preserve"> </w:t>
      </w:r>
      <w:r>
        <w:rPr>
          <w:bCs/>
        </w:rPr>
        <w:t>subestimação</w:t>
      </w:r>
      <w:r w:rsidRPr="00C53510">
        <w:rPr>
          <w:bCs/>
        </w:rPr>
        <w:t xml:space="preserve"> </w:t>
      </w:r>
      <w:r>
        <w:rPr>
          <w:bCs/>
        </w:rPr>
        <w:t>d</w:t>
      </w:r>
      <w:r w:rsidRPr="00C53510">
        <w:rPr>
          <w:bCs/>
        </w:rPr>
        <w:t xml:space="preserve">as estimativas tradicionais de competição </w:t>
      </w:r>
      <w:r>
        <w:rPr>
          <w:bCs/>
        </w:rPr>
        <w:t xml:space="preserve">quando políticas bancárias de </w:t>
      </w:r>
      <w:r w:rsidRPr="00C53510">
        <w:rPr>
          <w:bCs/>
        </w:rPr>
        <w:t>multi</w:t>
      </w:r>
      <w:r>
        <w:rPr>
          <w:bCs/>
        </w:rPr>
        <w:t xml:space="preserve">produto </w:t>
      </w:r>
      <w:r w:rsidRPr="00C53510">
        <w:rPr>
          <w:bCs/>
        </w:rPr>
        <w:t>não são levados em conta</w:t>
      </w:r>
      <w:r>
        <w:rPr>
          <w:bCs/>
        </w:rPr>
        <w:t>.</w:t>
      </w:r>
    </w:p>
    <w:p w14:paraId="3E4E6CE3" w14:textId="77777777" w:rsidR="000020B9" w:rsidRPr="00C53510" w:rsidRDefault="000020B9" w:rsidP="000020B9">
      <w:pPr>
        <w:jc w:val="center"/>
      </w:pPr>
    </w:p>
    <w:p w14:paraId="61B40FBD" w14:textId="77777777" w:rsidR="000020B9" w:rsidRPr="000E7CAC" w:rsidRDefault="000020B9" w:rsidP="000020B9">
      <w:pPr>
        <w:ind w:right="-20"/>
        <w:rPr>
          <w:b/>
          <w:bCs/>
        </w:rPr>
      </w:pPr>
      <w:r w:rsidRPr="000E7CAC">
        <w:rPr>
          <w:b/>
          <w:bCs/>
        </w:rPr>
        <w:t xml:space="preserve">Palavras-Chaves: </w:t>
      </w:r>
      <w:r w:rsidRPr="000E7CAC">
        <w:t>Organização Industrial; Competiç</w:t>
      </w:r>
      <w:r>
        <w:t>ão Bancária</w:t>
      </w:r>
      <w:r w:rsidRPr="000E7CAC">
        <w:t xml:space="preserve">; </w:t>
      </w:r>
      <w:r>
        <w:t xml:space="preserve">Firma </w:t>
      </w:r>
      <w:r w:rsidRPr="000E7CAC">
        <w:t>Multip</w:t>
      </w:r>
      <w:r>
        <w:t>roduto</w:t>
      </w:r>
      <w:r w:rsidRPr="000E7CAC">
        <w:t>.</w:t>
      </w:r>
    </w:p>
    <w:p w14:paraId="53CCA63E" w14:textId="77777777" w:rsidR="000020B9" w:rsidRPr="000E7CAC" w:rsidRDefault="000020B9" w:rsidP="000020B9">
      <w:pPr>
        <w:ind w:right="-20"/>
        <w:rPr>
          <w:b/>
          <w:bCs/>
        </w:rPr>
      </w:pPr>
    </w:p>
    <w:p w14:paraId="6D127788" w14:textId="77777777" w:rsidR="000020B9" w:rsidRPr="000E7CAC" w:rsidRDefault="000020B9" w:rsidP="000020B9">
      <w:pPr>
        <w:rPr>
          <w:b/>
          <w:bCs/>
        </w:rPr>
      </w:pPr>
    </w:p>
    <w:p w14:paraId="78808288" w14:textId="77777777" w:rsidR="000020B9" w:rsidRDefault="000020B9" w:rsidP="000020B9">
      <w:pPr>
        <w:jc w:val="center"/>
        <w:rPr>
          <w:b/>
          <w:bCs/>
          <w:lang w:val="en-US"/>
        </w:rPr>
      </w:pPr>
      <w:r w:rsidRPr="00B555BB">
        <w:rPr>
          <w:b/>
          <w:bCs/>
          <w:lang w:val="en-US"/>
        </w:rPr>
        <w:t>Abstract</w:t>
      </w:r>
    </w:p>
    <w:p w14:paraId="751C8B6C" w14:textId="77777777" w:rsidR="000020B9" w:rsidRPr="00B555BB" w:rsidRDefault="000020B9" w:rsidP="000020B9">
      <w:pPr>
        <w:jc w:val="center"/>
        <w:rPr>
          <w:b/>
          <w:bCs/>
          <w:lang w:val="en-US"/>
        </w:rPr>
      </w:pPr>
    </w:p>
    <w:p w14:paraId="631D9D5A" w14:textId="77777777" w:rsidR="000020B9" w:rsidRPr="00B555BB" w:rsidRDefault="000020B9" w:rsidP="000020B9">
      <w:pPr>
        <w:ind w:right="-20"/>
        <w:jc w:val="both"/>
        <w:rPr>
          <w:b/>
          <w:bCs/>
          <w:lang w:val="en-US"/>
        </w:rPr>
      </w:pPr>
      <w:r w:rsidRPr="000C7F3F">
        <w:rPr>
          <w:lang w:val="en-US"/>
        </w:rPr>
        <w:t>This paper aims to investigate the competition aspects of ba</w:t>
      </w:r>
      <w:r>
        <w:rPr>
          <w:lang w:val="en-US"/>
        </w:rPr>
        <w:t>n</w:t>
      </w:r>
      <w:r w:rsidRPr="000C7F3F">
        <w:rPr>
          <w:lang w:val="en-US"/>
        </w:rPr>
        <w:t xml:space="preserve">king </w:t>
      </w:r>
      <w:r>
        <w:rPr>
          <w:lang w:val="en-US"/>
        </w:rPr>
        <w:t>multiproduct operation</w:t>
      </w:r>
      <w:r w:rsidRPr="000C7F3F">
        <w:rPr>
          <w:lang w:val="en-US"/>
        </w:rPr>
        <w:t>. Based on an extension of Panzar and Rosse (1987)’s test to the case of a multiproduct banking firm, we take advantage of a new dataset constructed to Brazilian</w:t>
      </w:r>
      <w:r>
        <w:rPr>
          <w:lang w:val="en-US"/>
        </w:rPr>
        <w:t xml:space="preserve"> banking</w:t>
      </w:r>
      <w:r w:rsidRPr="000C7F3F">
        <w:rPr>
          <w:lang w:val="en-US"/>
        </w:rPr>
        <w:t xml:space="preserve"> conglomerates to infer the impact of conglomeration on market power. </w:t>
      </w:r>
      <w:r>
        <w:rPr>
          <w:lang w:val="en-US"/>
        </w:rPr>
        <w:t xml:space="preserve">We find that banks offering classic (i.e., loans and credit cards) and other bank products (i.e., brokerage services, insurance and capitalization bonds) have substantially higher market power than the ones which offer only classic products. </w:t>
      </w:r>
      <w:r w:rsidRPr="000C7F3F">
        <w:rPr>
          <w:lang w:val="en-US"/>
        </w:rPr>
        <w:t>Results suggest a positive bias on the traditional estimates of competition in which the multioutput actions are not taken into account.</w:t>
      </w:r>
    </w:p>
    <w:p w14:paraId="022A6DED" w14:textId="77777777" w:rsidR="000020B9" w:rsidRDefault="000020B9" w:rsidP="000020B9">
      <w:pPr>
        <w:ind w:right="-20"/>
        <w:rPr>
          <w:b/>
          <w:bCs/>
          <w:lang w:val="en-US"/>
        </w:rPr>
      </w:pPr>
    </w:p>
    <w:p w14:paraId="30C7C39D" w14:textId="77777777" w:rsidR="000020B9" w:rsidRDefault="000020B9" w:rsidP="000020B9">
      <w:pPr>
        <w:ind w:right="-20"/>
        <w:rPr>
          <w:lang w:val="en-US"/>
        </w:rPr>
      </w:pPr>
      <w:r w:rsidRPr="00B555BB">
        <w:rPr>
          <w:b/>
          <w:bCs/>
          <w:lang w:val="en-US"/>
        </w:rPr>
        <w:t xml:space="preserve">Keywords: </w:t>
      </w:r>
      <w:r w:rsidRPr="00B555BB">
        <w:rPr>
          <w:lang w:val="en-US"/>
        </w:rPr>
        <w:t>Industrial Organization; Banking Competition; Mu</w:t>
      </w:r>
      <w:r>
        <w:rPr>
          <w:lang w:val="en-US"/>
        </w:rPr>
        <w:t>l</w:t>
      </w:r>
      <w:r w:rsidRPr="00B555BB">
        <w:rPr>
          <w:lang w:val="en-US"/>
        </w:rPr>
        <w:t>ti</w:t>
      </w:r>
      <w:r>
        <w:rPr>
          <w:lang w:val="en-US"/>
        </w:rPr>
        <w:t>p</w:t>
      </w:r>
      <w:r w:rsidRPr="00B555BB">
        <w:rPr>
          <w:lang w:val="en-US"/>
        </w:rPr>
        <w:t xml:space="preserve">roduct </w:t>
      </w:r>
      <w:r>
        <w:rPr>
          <w:lang w:val="en-US"/>
        </w:rPr>
        <w:t>F</w:t>
      </w:r>
      <w:r w:rsidRPr="00B555BB">
        <w:rPr>
          <w:lang w:val="en-US"/>
        </w:rPr>
        <w:t>irm.</w:t>
      </w:r>
    </w:p>
    <w:p w14:paraId="7AA81F72" w14:textId="77777777" w:rsidR="000020B9" w:rsidRDefault="000020B9" w:rsidP="000020B9">
      <w:pPr>
        <w:ind w:right="-20"/>
        <w:rPr>
          <w:lang w:val="en-US"/>
        </w:rPr>
      </w:pPr>
    </w:p>
    <w:p w14:paraId="1ECB5F36" w14:textId="77777777" w:rsidR="000020B9" w:rsidRDefault="000020B9" w:rsidP="000020B9">
      <w:pPr>
        <w:ind w:right="-20"/>
        <w:rPr>
          <w:b/>
          <w:bCs/>
          <w:lang w:val="en-US"/>
        </w:rPr>
      </w:pPr>
    </w:p>
    <w:p w14:paraId="7B106BC3" w14:textId="77777777" w:rsidR="000020B9" w:rsidRDefault="000020B9" w:rsidP="000020B9">
      <w:pPr>
        <w:ind w:right="-20"/>
        <w:rPr>
          <w:b/>
          <w:bCs/>
          <w:lang w:val="en-US"/>
        </w:rPr>
      </w:pPr>
      <w:r w:rsidRPr="00B555BB">
        <w:rPr>
          <w:b/>
          <w:bCs/>
          <w:lang w:val="en-US"/>
        </w:rPr>
        <w:t xml:space="preserve">JEL classification: </w:t>
      </w:r>
      <w:r w:rsidRPr="00B555BB">
        <w:rPr>
          <w:lang w:val="en-US"/>
        </w:rPr>
        <w:t>L11; G21.</w:t>
      </w:r>
      <w:r w:rsidRPr="00B555BB">
        <w:rPr>
          <w:b/>
          <w:bCs/>
          <w:lang w:val="en-US"/>
        </w:rPr>
        <w:t xml:space="preserve"> </w:t>
      </w:r>
    </w:p>
    <w:p w14:paraId="40030D2E" w14:textId="77777777" w:rsidR="000020B9" w:rsidRPr="00AA54F3" w:rsidRDefault="000020B9" w:rsidP="000020B9">
      <w:pPr>
        <w:ind w:right="-20"/>
        <w:rPr>
          <w:b/>
          <w:bCs/>
          <w:lang w:val="en-US"/>
        </w:rPr>
      </w:pPr>
      <w:r w:rsidRPr="00121C2B">
        <w:rPr>
          <w:b/>
          <w:bCs/>
          <w:sz w:val="28"/>
          <w:szCs w:val="28"/>
          <w:lang w:val="en-US"/>
        </w:rPr>
        <w:lastRenderedPageBreak/>
        <w:t>1. Introduction</w:t>
      </w:r>
    </w:p>
    <w:p w14:paraId="501D6292" w14:textId="77777777" w:rsidR="000020B9" w:rsidRPr="00B555BB" w:rsidRDefault="000020B9" w:rsidP="000020B9">
      <w:pPr>
        <w:spacing w:line="360" w:lineRule="auto"/>
        <w:jc w:val="both"/>
        <w:rPr>
          <w:b/>
          <w:bCs/>
          <w:lang w:val="en-US"/>
        </w:rPr>
      </w:pPr>
    </w:p>
    <w:p w14:paraId="125B521C" w14:textId="77777777" w:rsidR="000020B9" w:rsidRPr="00B555BB" w:rsidRDefault="000020B9" w:rsidP="000020B9">
      <w:pPr>
        <w:spacing w:line="360" w:lineRule="auto"/>
        <w:jc w:val="both"/>
        <w:rPr>
          <w:bCs/>
          <w:lang w:val="en-US"/>
        </w:rPr>
      </w:pPr>
      <w:r w:rsidRPr="00B555BB">
        <w:rPr>
          <w:bCs/>
          <w:lang w:val="en-US"/>
        </w:rPr>
        <w:t xml:space="preserve">The world banking sector has experienced enormous changes during the last few decades. Marked growth in technological and financial innovation and strong deregulation in the sector has led to increased banking concentration and the creation of large financial conglomerates </w:t>
      </w:r>
      <w:r w:rsidRPr="00B555BB">
        <w:rPr>
          <w:lang w:val="en-US"/>
        </w:rPr>
        <w:t>(Bikker and Haaf, 2002). These structural changes have provoked a vast literature on the topic of banking sector</w:t>
      </w:r>
      <w:r>
        <w:rPr>
          <w:lang w:val="en-US"/>
        </w:rPr>
        <w:t xml:space="preserve"> </w:t>
      </w:r>
      <w:r w:rsidRPr="00B555BB">
        <w:rPr>
          <w:lang w:val="en-US"/>
        </w:rPr>
        <w:t>competition.</w:t>
      </w:r>
    </w:p>
    <w:p w14:paraId="5469B232" w14:textId="77777777" w:rsidR="000020B9" w:rsidRPr="00B555BB" w:rsidRDefault="000020B9" w:rsidP="000020B9">
      <w:pPr>
        <w:spacing w:line="360" w:lineRule="auto"/>
        <w:jc w:val="both"/>
        <w:rPr>
          <w:lang w:val="en-US"/>
        </w:rPr>
      </w:pPr>
    </w:p>
    <w:p w14:paraId="75E60094" w14:textId="77777777" w:rsidR="000020B9" w:rsidRPr="00B555BB" w:rsidRDefault="000020B9" w:rsidP="000020B9">
      <w:pPr>
        <w:spacing w:line="360" w:lineRule="auto"/>
        <w:jc w:val="both"/>
        <w:rPr>
          <w:lang w:val="en-US"/>
        </w:rPr>
      </w:pPr>
      <w:r w:rsidRPr="00B555BB">
        <w:rPr>
          <w:lang w:val="en-US"/>
        </w:rPr>
        <w:t>More specifically, some studie</w:t>
      </w:r>
      <w:r>
        <w:rPr>
          <w:lang w:val="en-US"/>
        </w:rPr>
        <w:t>s</w:t>
      </w:r>
      <w:r w:rsidRPr="00B555BB">
        <w:rPr>
          <w:lang w:val="en-US"/>
        </w:rPr>
        <w:t xml:space="preserve"> have investigated the potential effects of market concentration on competition in this sector (Bikker and Haaf, 2002, Shaffer, 2004, and Coccorese, 2009, among others). </w:t>
      </w:r>
      <w:r w:rsidRPr="00B555BB">
        <w:rPr>
          <w:u w:color="7030A0"/>
          <w:lang w:val="en-US"/>
        </w:rPr>
        <w:t>Curiously</w:t>
      </w:r>
      <w:r w:rsidRPr="00B555BB">
        <w:rPr>
          <w:lang w:val="en-US"/>
        </w:rPr>
        <w:t>, little attention has been paid to the effects of competition in creating financial conglomerates. These are defined as institutions that offer financial, banking and insurance services using the same corporative structure (Freixas, Lóránth and Morrison, 2007). Possession of a multiproduct structure allows these companies to benefit from economies of scale and scope in addition to providing greater opportunities for risk diversification when supplying this range of services as a package</w:t>
      </w:r>
      <w:r>
        <w:rPr>
          <w:lang w:val="en-US"/>
        </w:rPr>
        <w:t>.</w:t>
      </w:r>
      <w:r w:rsidRPr="00B555BB">
        <w:rPr>
          <w:rStyle w:val="Refdenotaderodap"/>
          <w:lang w:val="en-US"/>
        </w:rPr>
        <w:footnoteReference w:id="2"/>
      </w:r>
    </w:p>
    <w:p w14:paraId="13B1147F" w14:textId="77777777" w:rsidR="000020B9" w:rsidRPr="00B555BB" w:rsidRDefault="000020B9" w:rsidP="000020B9">
      <w:pPr>
        <w:spacing w:line="360" w:lineRule="auto"/>
        <w:jc w:val="both"/>
        <w:rPr>
          <w:lang w:val="en-US"/>
        </w:rPr>
      </w:pPr>
    </w:p>
    <w:p w14:paraId="0B6C00D1" w14:textId="77777777" w:rsidR="000020B9" w:rsidRPr="00B555BB" w:rsidRDefault="000020B9" w:rsidP="000020B9">
      <w:pPr>
        <w:spacing w:line="360" w:lineRule="auto"/>
        <w:jc w:val="both"/>
        <w:rPr>
          <w:lang w:val="en-US"/>
        </w:rPr>
      </w:pPr>
      <w:r w:rsidRPr="00B555BB">
        <w:rPr>
          <w:lang w:val="en-US"/>
        </w:rPr>
        <w:t>Indeed, multiproduct operations have been a characteristic feature of the banking sector in recent years. It even received special attention in the new banking regulations drafted in the aftermath of the recent international financial crisis (see, for example, Levine, 2011). The only piece of research dealing with the effects of multiproduct operations on banking competition has been written by Berg</w:t>
      </w:r>
      <w:r>
        <w:rPr>
          <w:lang w:val="en-US"/>
        </w:rPr>
        <w:t>er</w:t>
      </w:r>
      <w:r w:rsidRPr="00B555BB">
        <w:rPr>
          <w:lang w:val="en-US"/>
        </w:rPr>
        <w:t xml:space="preserve"> and Kim (1994). These authors analyze the behavior of banks that operate simultaneously in the retail and corporate banking loan segments. The results revealed asymmetries in the degree of competition, which can be related to the characteristics of the consumers in each of these segments.</w:t>
      </w:r>
    </w:p>
    <w:p w14:paraId="4967F9A3" w14:textId="77777777" w:rsidR="000020B9" w:rsidRPr="00B555BB" w:rsidRDefault="000020B9" w:rsidP="000020B9">
      <w:pPr>
        <w:spacing w:line="360" w:lineRule="auto"/>
        <w:jc w:val="both"/>
        <w:rPr>
          <w:lang w:val="en-US"/>
        </w:rPr>
      </w:pPr>
    </w:p>
    <w:p w14:paraId="34E0C665" w14:textId="77777777" w:rsidR="000020B9" w:rsidRDefault="000020B9" w:rsidP="000020B9">
      <w:pPr>
        <w:spacing w:line="360" w:lineRule="auto"/>
        <w:jc w:val="both"/>
        <w:rPr>
          <w:lang w:val="en-US"/>
        </w:rPr>
      </w:pPr>
      <w:r w:rsidRPr="00B555BB">
        <w:rPr>
          <w:lang w:val="en-US"/>
        </w:rPr>
        <w:t>Although important, the article by Ber</w:t>
      </w:r>
      <w:r>
        <w:rPr>
          <w:lang w:val="en-US"/>
        </w:rPr>
        <w:t>ger</w:t>
      </w:r>
      <w:r w:rsidRPr="00B555BB">
        <w:rPr>
          <w:lang w:val="en-US"/>
        </w:rPr>
        <w:t xml:space="preserve"> and Kim (1998) is essentially of a descriptive nature and does not investigate the possible relation between conglomeration and competition. In this article we intend to study the effects of a multiproduct structure on patterns of competition in the banking sector by using a</w:t>
      </w:r>
      <w:r>
        <w:rPr>
          <w:lang w:val="en-US"/>
        </w:rPr>
        <w:t>n approach</w:t>
      </w:r>
      <w:r w:rsidRPr="00B555BB">
        <w:rPr>
          <w:lang w:val="en-US"/>
        </w:rPr>
        <w:t xml:space="preserve"> based on Panzar and Rosse (1987), explicitly examin</w:t>
      </w:r>
      <w:r>
        <w:rPr>
          <w:lang w:val="en-US"/>
        </w:rPr>
        <w:t xml:space="preserve">ing </w:t>
      </w:r>
      <w:r w:rsidRPr="00B555BB">
        <w:rPr>
          <w:lang w:val="en-US"/>
        </w:rPr>
        <w:t>the behavior of a representative bank in a multimarket environment.</w:t>
      </w:r>
    </w:p>
    <w:p w14:paraId="2E27E4EA" w14:textId="77777777" w:rsidR="000020B9" w:rsidRDefault="000020B9" w:rsidP="000020B9">
      <w:pPr>
        <w:spacing w:line="360" w:lineRule="auto"/>
        <w:jc w:val="both"/>
        <w:rPr>
          <w:lang w:val="en-US"/>
        </w:rPr>
      </w:pPr>
    </w:p>
    <w:p w14:paraId="4B859EC7" w14:textId="77777777" w:rsidR="000020B9" w:rsidRPr="00B555BB" w:rsidRDefault="000020B9" w:rsidP="000020B9">
      <w:pPr>
        <w:spacing w:line="360" w:lineRule="auto"/>
        <w:jc w:val="both"/>
        <w:rPr>
          <w:lang w:val="en-US"/>
        </w:rPr>
      </w:pPr>
      <w:r w:rsidRPr="00B555BB">
        <w:rPr>
          <w:lang w:val="en-US"/>
        </w:rPr>
        <w:lastRenderedPageBreak/>
        <w:t xml:space="preserve">In order to consider the </w:t>
      </w:r>
      <w:r>
        <w:rPr>
          <w:lang w:val="en-US"/>
        </w:rPr>
        <w:t>multi</w:t>
      </w:r>
      <w:r w:rsidRPr="00B555BB">
        <w:rPr>
          <w:lang w:val="en-US"/>
        </w:rPr>
        <w:t xml:space="preserve">product dimension intended in our analysis, the dataset needs to be adjusted to include the accounting information of </w:t>
      </w:r>
      <w:r>
        <w:rPr>
          <w:lang w:val="en-US"/>
        </w:rPr>
        <w:t>banking</w:t>
      </w:r>
      <w:r w:rsidRPr="00B555BB">
        <w:rPr>
          <w:lang w:val="en-US"/>
        </w:rPr>
        <w:t xml:space="preserve"> conglomerates. Imagine a particular institution that offers only a range of banking loan products. From </w:t>
      </w:r>
      <w:r>
        <w:rPr>
          <w:lang w:val="en-US"/>
        </w:rPr>
        <w:t xml:space="preserve">her </w:t>
      </w:r>
      <w:r w:rsidRPr="00B555BB">
        <w:rPr>
          <w:lang w:val="en-US"/>
        </w:rPr>
        <w:t xml:space="preserve">point of view, she could be classified as a single banking product institution. However, this sort of conclusion would be incomplete if she </w:t>
      </w:r>
      <w:r>
        <w:rPr>
          <w:lang w:val="en-US"/>
        </w:rPr>
        <w:t>is</w:t>
      </w:r>
      <w:r w:rsidRPr="00B555BB">
        <w:rPr>
          <w:lang w:val="en-US"/>
        </w:rPr>
        <w:t xml:space="preserve"> part of a financial conglomerate with a colligate firm offering other </w:t>
      </w:r>
      <w:r>
        <w:rPr>
          <w:lang w:val="en-US"/>
        </w:rPr>
        <w:t xml:space="preserve">types </w:t>
      </w:r>
      <w:r w:rsidRPr="00B555BB">
        <w:rPr>
          <w:lang w:val="en-US"/>
        </w:rPr>
        <w:t xml:space="preserve">of financial products, like insurance or private pension plans. In such a case, from the point of view of the conglomerate, there is a multiproduct operation. </w:t>
      </w:r>
    </w:p>
    <w:p w14:paraId="602913DB" w14:textId="77777777" w:rsidR="000020B9" w:rsidRPr="00B555BB" w:rsidRDefault="000020B9" w:rsidP="000020B9">
      <w:pPr>
        <w:spacing w:line="360" w:lineRule="auto"/>
        <w:jc w:val="both"/>
        <w:rPr>
          <w:lang w:val="en-US"/>
        </w:rPr>
      </w:pPr>
    </w:p>
    <w:p w14:paraId="22EB910D" w14:textId="77777777" w:rsidR="000020B9" w:rsidRPr="00B555BB" w:rsidRDefault="000020B9" w:rsidP="000020B9">
      <w:pPr>
        <w:spacing w:line="360" w:lineRule="auto"/>
        <w:jc w:val="both"/>
        <w:rPr>
          <w:lang w:val="en-US"/>
        </w:rPr>
      </w:pPr>
      <w:r w:rsidRPr="00B555BB">
        <w:rPr>
          <w:lang w:val="en-US"/>
        </w:rPr>
        <w:t xml:space="preserve">To take into account these possibilities, our dataset was constructed using accounting information in the level of the </w:t>
      </w:r>
      <w:r>
        <w:rPr>
          <w:lang w:val="en-US"/>
        </w:rPr>
        <w:t xml:space="preserve">banking </w:t>
      </w:r>
      <w:r w:rsidRPr="00B555BB">
        <w:rPr>
          <w:lang w:val="en-US"/>
        </w:rPr>
        <w:t>conglomerate</w:t>
      </w:r>
      <w:r>
        <w:rPr>
          <w:lang w:val="en-US"/>
        </w:rPr>
        <w:t>s</w:t>
      </w:r>
      <w:r w:rsidRPr="00B555BB">
        <w:rPr>
          <w:lang w:val="en-US"/>
        </w:rPr>
        <w:t xml:space="preserve"> instead of the single institutions. This strategy ends to be highly data-consuming since we have to identify the final products and the individual institutions that compose a given </w:t>
      </w:r>
      <w:r>
        <w:rPr>
          <w:lang w:val="en-US"/>
        </w:rPr>
        <w:t>banking</w:t>
      </w:r>
      <w:r w:rsidRPr="00B555BB">
        <w:rPr>
          <w:lang w:val="en-US"/>
        </w:rPr>
        <w:t xml:space="preserve"> conglomerates. </w:t>
      </w:r>
    </w:p>
    <w:p w14:paraId="4228670E" w14:textId="77777777" w:rsidR="000020B9" w:rsidRPr="00B555BB" w:rsidRDefault="000020B9" w:rsidP="000020B9">
      <w:pPr>
        <w:spacing w:line="360" w:lineRule="auto"/>
        <w:jc w:val="both"/>
        <w:rPr>
          <w:lang w:val="en-US"/>
        </w:rPr>
      </w:pPr>
    </w:p>
    <w:p w14:paraId="23065AEE" w14:textId="77777777" w:rsidR="000020B9" w:rsidRDefault="000020B9" w:rsidP="000020B9">
      <w:pPr>
        <w:spacing w:line="360" w:lineRule="auto"/>
        <w:jc w:val="both"/>
        <w:rPr>
          <w:lang w:val="en-US"/>
        </w:rPr>
      </w:pPr>
      <w:r w:rsidRPr="00565D67">
        <w:rPr>
          <w:lang w:val="en-US"/>
        </w:rPr>
        <w:t>In our empirical analysis we used information on Brazilian banking conglomerates. To the best of our knowledge, Brazil is the only country when regulatory authority provides the accounting statements consolidating the information of individual institutions that compose each conglomerate.</w:t>
      </w:r>
      <w:r w:rsidRPr="00B555BB">
        <w:rPr>
          <w:lang w:val="en-US"/>
        </w:rPr>
        <w:t xml:space="preserve"> That information enables us to make a new and complete dataset with account data of Brazilian </w:t>
      </w:r>
      <w:r>
        <w:rPr>
          <w:lang w:val="en-US"/>
        </w:rPr>
        <w:t xml:space="preserve">banking </w:t>
      </w:r>
      <w:r w:rsidRPr="00B555BB">
        <w:rPr>
          <w:lang w:val="en-US"/>
        </w:rPr>
        <w:t>conglomerates between 2001</w:t>
      </w:r>
      <w:r>
        <w:rPr>
          <w:lang w:val="en-US"/>
        </w:rPr>
        <w:t>Q</w:t>
      </w:r>
      <w:r w:rsidRPr="00B555BB">
        <w:rPr>
          <w:lang w:val="en-US"/>
        </w:rPr>
        <w:t>1 and 2012</w:t>
      </w:r>
      <w:r>
        <w:rPr>
          <w:lang w:val="en-US"/>
        </w:rPr>
        <w:t>Q</w:t>
      </w:r>
      <w:r w:rsidRPr="00B555BB">
        <w:rPr>
          <w:lang w:val="en-US"/>
        </w:rPr>
        <w:t xml:space="preserve">4. </w:t>
      </w:r>
      <w:r>
        <w:rPr>
          <w:lang w:val="en-US"/>
        </w:rPr>
        <w:t xml:space="preserve"> </w:t>
      </w:r>
      <w:r w:rsidRPr="000C7F3F">
        <w:rPr>
          <w:lang w:val="en-US"/>
        </w:rPr>
        <w:t xml:space="preserve">Based on an extension of Panzar and Rosse (1987)’s test to the case of </w:t>
      </w:r>
      <w:r>
        <w:rPr>
          <w:lang w:val="en-US"/>
        </w:rPr>
        <w:t xml:space="preserve">a multiproduct banking firm, we </w:t>
      </w:r>
      <w:r w:rsidRPr="000C7F3F">
        <w:rPr>
          <w:lang w:val="en-US"/>
        </w:rPr>
        <w:t xml:space="preserve">infer the impact of conglomeration on market power. </w:t>
      </w:r>
      <w:r>
        <w:rPr>
          <w:lang w:val="en-US"/>
        </w:rPr>
        <w:t>We find that banks offering classic (i.e., loans and credit cards) and other bank products (i.e., brokerage services, insurance and capitalization bonds) have substantially higher market power than the ones which offer only classic products. Therefore, t</w:t>
      </w:r>
      <w:r w:rsidRPr="00B555BB">
        <w:rPr>
          <w:lang w:val="en-US"/>
        </w:rPr>
        <w:t xml:space="preserve">he test from Panzar e Rosse (1987) reveals that the measurement of market power is </w:t>
      </w:r>
      <w:r>
        <w:rPr>
          <w:lang w:val="en-US"/>
        </w:rPr>
        <w:t>underestimated</w:t>
      </w:r>
      <w:r w:rsidRPr="00B555BB">
        <w:rPr>
          <w:lang w:val="en-US"/>
        </w:rPr>
        <w:t xml:space="preserve"> when multiproduct information is not </w:t>
      </w:r>
      <w:r>
        <w:rPr>
          <w:lang w:val="en-US"/>
        </w:rPr>
        <w:t>considered.</w:t>
      </w:r>
    </w:p>
    <w:p w14:paraId="45DB23F1" w14:textId="77777777" w:rsidR="000020B9" w:rsidRDefault="000020B9" w:rsidP="000020B9">
      <w:pPr>
        <w:spacing w:line="360" w:lineRule="auto"/>
        <w:jc w:val="both"/>
        <w:rPr>
          <w:lang w:val="en-US"/>
        </w:rPr>
      </w:pPr>
    </w:p>
    <w:p w14:paraId="02FEB955" w14:textId="77777777" w:rsidR="000020B9" w:rsidRPr="00B555BB" w:rsidRDefault="000020B9" w:rsidP="000020B9">
      <w:pPr>
        <w:spacing w:line="360" w:lineRule="auto"/>
        <w:jc w:val="both"/>
        <w:rPr>
          <w:lang w:val="en-US"/>
        </w:rPr>
      </w:pPr>
      <w:r>
        <w:rPr>
          <w:lang w:val="en-US"/>
        </w:rPr>
        <w:t>Trying to identify which of those other banks leads to an increase in multiproduct bank market power, we estimate the market power of the banks that offer the following profile of products (i) classic and other financial bank products (like brokerage, currency exchange services), (ii) classic and other nonfinancial bank products (like insurance, life insurance, capitalization bonds and reinsurance), and (iii) classic and financial and nonfinancial products, vis-à-vis banks that offer only classic products. Our estimates show that banks which offer any of those product profiles hold higher market power than the ones which offer only classic products. Those results indicate that either financial or nonfinancial bank products may increase bank market power.</w:t>
      </w:r>
    </w:p>
    <w:p w14:paraId="0118B11F" w14:textId="77777777" w:rsidR="000020B9" w:rsidRPr="00B555BB" w:rsidRDefault="000020B9" w:rsidP="000020B9">
      <w:pPr>
        <w:spacing w:line="360" w:lineRule="auto"/>
        <w:jc w:val="both"/>
        <w:rPr>
          <w:lang w:val="en-US"/>
        </w:rPr>
      </w:pPr>
    </w:p>
    <w:p w14:paraId="2B4FB16E" w14:textId="77777777" w:rsidR="000020B9" w:rsidRDefault="000020B9" w:rsidP="000020B9">
      <w:pPr>
        <w:spacing w:line="360" w:lineRule="auto"/>
        <w:jc w:val="both"/>
        <w:rPr>
          <w:lang w:val="en-US"/>
        </w:rPr>
      </w:pPr>
      <w:r w:rsidRPr="00B555BB">
        <w:rPr>
          <w:lang w:val="en-US"/>
        </w:rPr>
        <w:lastRenderedPageBreak/>
        <w:t xml:space="preserve">The </w:t>
      </w:r>
      <w:r>
        <w:rPr>
          <w:lang w:val="en-US"/>
        </w:rPr>
        <w:t>paper</w:t>
      </w:r>
      <w:r w:rsidRPr="00B555BB">
        <w:rPr>
          <w:lang w:val="en-US"/>
        </w:rPr>
        <w:t xml:space="preserve"> is organized </w:t>
      </w:r>
      <w:r>
        <w:rPr>
          <w:lang w:val="en-US"/>
        </w:rPr>
        <w:t xml:space="preserve">as </w:t>
      </w:r>
      <w:r w:rsidRPr="00B555BB">
        <w:rPr>
          <w:lang w:val="en-US"/>
        </w:rPr>
        <w:t>follow</w:t>
      </w:r>
      <w:r>
        <w:rPr>
          <w:lang w:val="en-US"/>
        </w:rPr>
        <w:t>s.</w:t>
      </w:r>
      <w:r w:rsidRPr="00B555BB">
        <w:rPr>
          <w:lang w:val="en-US"/>
        </w:rPr>
        <w:t xml:space="preserve"> In the next section we highlight recent literature related to banking competition. Section 3 </w:t>
      </w:r>
      <w:r>
        <w:rPr>
          <w:lang w:val="en-US"/>
        </w:rPr>
        <w:t xml:space="preserve">briefly </w:t>
      </w:r>
      <w:r w:rsidRPr="00B555BB">
        <w:rPr>
          <w:lang w:val="en-US"/>
        </w:rPr>
        <w:t xml:space="preserve">presents </w:t>
      </w:r>
      <w:r>
        <w:rPr>
          <w:lang w:val="en-US"/>
        </w:rPr>
        <w:t>an institutional background highlighting some major features of Brazilian banking system.</w:t>
      </w:r>
      <w:r w:rsidRPr="00B555BB">
        <w:rPr>
          <w:lang w:val="en-US"/>
        </w:rPr>
        <w:t xml:space="preserve"> In the following section we present the data and the empirical procedures used along with the main econometric results. Section </w:t>
      </w:r>
      <w:r>
        <w:rPr>
          <w:lang w:val="en-US"/>
        </w:rPr>
        <w:t>5</w:t>
      </w:r>
      <w:r w:rsidRPr="00B555BB">
        <w:rPr>
          <w:lang w:val="en-US"/>
        </w:rPr>
        <w:t xml:space="preserve"> presents our conclusions.</w:t>
      </w:r>
      <w:r>
        <w:rPr>
          <w:lang w:val="en-US"/>
        </w:rPr>
        <w:t xml:space="preserve"> The tables are in the appendix.</w:t>
      </w:r>
    </w:p>
    <w:p w14:paraId="2B569828" w14:textId="77777777" w:rsidR="000020B9" w:rsidRPr="00B555BB" w:rsidRDefault="000020B9" w:rsidP="000020B9">
      <w:pPr>
        <w:spacing w:line="360" w:lineRule="auto"/>
        <w:jc w:val="both"/>
        <w:rPr>
          <w:lang w:val="en-US"/>
        </w:rPr>
      </w:pPr>
    </w:p>
    <w:p w14:paraId="3417FD01" w14:textId="77777777" w:rsidR="000020B9" w:rsidRPr="00B555BB" w:rsidRDefault="000020B9" w:rsidP="000020B9">
      <w:pPr>
        <w:spacing w:line="360" w:lineRule="auto"/>
        <w:jc w:val="both"/>
        <w:rPr>
          <w:lang w:val="en-US"/>
        </w:rPr>
      </w:pPr>
    </w:p>
    <w:p w14:paraId="1751CF9E" w14:textId="77777777" w:rsidR="000020B9" w:rsidRPr="00121C2B" w:rsidRDefault="000020B9" w:rsidP="000020B9">
      <w:pPr>
        <w:spacing w:line="360" w:lineRule="auto"/>
        <w:jc w:val="both"/>
        <w:rPr>
          <w:b/>
          <w:bCs/>
          <w:sz w:val="28"/>
          <w:szCs w:val="28"/>
          <w:lang w:val="en-US"/>
        </w:rPr>
      </w:pPr>
      <w:r w:rsidRPr="00121C2B">
        <w:rPr>
          <w:b/>
          <w:bCs/>
          <w:sz w:val="28"/>
          <w:szCs w:val="28"/>
          <w:lang w:val="en-US"/>
        </w:rPr>
        <w:t>2. Related literature</w:t>
      </w:r>
    </w:p>
    <w:p w14:paraId="38969DBA" w14:textId="77777777" w:rsidR="000020B9" w:rsidRDefault="000020B9" w:rsidP="000020B9">
      <w:pPr>
        <w:spacing w:line="360" w:lineRule="auto"/>
        <w:jc w:val="both"/>
        <w:rPr>
          <w:lang w:val="en-US"/>
        </w:rPr>
      </w:pPr>
    </w:p>
    <w:p w14:paraId="052DC90B" w14:textId="77777777" w:rsidR="000020B9" w:rsidRPr="00B555BB" w:rsidRDefault="000020B9" w:rsidP="000020B9">
      <w:pPr>
        <w:spacing w:line="360" w:lineRule="auto"/>
        <w:jc w:val="both"/>
        <w:rPr>
          <w:lang w:val="en-US"/>
        </w:rPr>
      </w:pPr>
      <w:r w:rsidRPr="00B555BB">
        <w:rPr>
          <w:lang w:val="en-US"/>
        </w:rPr>
        <w:t>There is an extensive literature related to the study of competition in the banking sector</w:t>
      </w:r>
      <w:r>
        <w:rPr>
          <w:lang w:val="en-US"/>
        </w:rPr>
        <w:t>.</w:t>
      </w:r>
      <w:r w:rsidRPr="00B555BB">
        <w:rPr>
          <w:rStyle w:val="Refdenotaderodap"/>
          <w:lang w:val="en-US"/>
        </w:rPr>
        <w:footnoteReference w:id="3"/>
      </w:r>
      <w:r w:rsidRPr="00B555BB">
        <w:rPr>
          <w:lang w:val="en-US"/>
        </w:rPr>
        <w:t xml:space="preserve"> Some of these studies are associated with the traditional Structure-Conduct-Performance (SCP) approach and they almost always use the unidirectional causal hypothesis to explain the relation between market structure and conduct. Consequently, the level of competition can be evaluated by means of structural measurements such as C4 and HH1 (Degryse et al. 2009).</w:t>
      </w:r>
    </w:p>
    <w:p w14:paraId="48866C55" w14:textId="77777777" w:rsidR="000020B9" w:rsidRPr="00B555BB" w:rsidRDefault="000020B9" w:rsidP="000020B9">
      <w:pPr>
        <w:spacing w:line="360" w:lineRule="auto"/>
        <w:jc w:val="both"/>
        <w:rPr>
          <w:lang w:val="en-US"/>
        </w:rPr>
      </w:pPr>
    </w:p>
    <w:p w14:paraId="67F6E1B4" w14:textId="77777777" w:rsidR="000020B9" w:rsidRPr="00B555BB" w:rsidRDefault="000020B9" w:rsidP="000020B9">
      <w:pPr>
        <w:spacing w:line="360" w:lineRule="auto"/>
        <w:jc w:val="both"/>
        <w:rPr>
          <w:lang w:val="en-US"/>
        </w:rPr>
      </w:pPr>
      <w:r w:rsidRPr="00B555BB">
        <w:rPr>
          <w:lang w:val="en-US"/>
        </w:rPr>
        <w:t>On the other hand, the studies that use the New Empirical Industrial Organization (NEIO) approach</w:t>
      </w:r>
      <w:r w:rsidRPr="00B555BB">
        <w:rPr>
          <w:b/>
          <w:lang w:val="en-US"/>
        </w:rPr>
        <w:t xml:space="preserve"> </w:t>
      </w:r>
      <w:r w:rsidRPr="00B555BB">
        <w:rPr>
          <w:lang w:val="en-US"/>
        </w:rPr>
        <w:t>seek to infer the parameters of company conduct directly without any hypotheses about market structure (Degryse et al. 2009). Within this tradition the most important approaches include conjectural variation models (Bresnahan, 1982, and Lau, 1982), structural demand models (Dick, 2002, and Bresnahan and Reiss, 1991) and Panzar and Rosse’s (1987)</w:t>
      </w:r>
      <w:r>
        <w:rPr>
          <w:lang w:val="en-US"/>
        </w:rPr>
        <w:t xml:space="preserve"> model.</w:t>
      </w:r>
      <w:r w:rsidRPr="00B555BB">
        <w:rPr>
          <w:rStyle w:val="Refdenotaderodap"/>
          <w:lang w:val="en-US"/>
        </w:rPr>
        <w:footnoteReference w:id="4"/>
      </w:r>
      <w:r w:rsidRPr="00B555BB">
        <w:rPr>
          <w:lang w:val="en-US"/>
        </w:rPr>
        <w:t xml:space="preserve"> </w:t>
      </w:r>
    </w:p>
    <w:p w14:paraId="053D94A8" w14:textId="77777777" w:rsidR="000020B9" w:rsidRPr="00B555BB" w:rsidRDefault="000020B9" w:rsidP="000020B9">
      <w:pPr>
        <w:spacing w:line="360" w:lineRule="auto"/>
        <w:jc w:val="both"/>
        <w:rPr>
          <w:lang w:val="en-US"/>
        </w:rPr>
      </w:pPr>
    </w:p>
    <w:p w14:paraId="267C917A" w14:textId="77777777" w:rsidR="000020B9" w:rsidRPr="00B555BB" w:rsidRDefault="000020B9" w:rsidP="000020B9">
      <w:pPr>
        <w:spacing w:line="360" w:lineRule="auto"/>
        <w:jc w:val="both"/>
        <w:rPr>
          <w:lang w:val="en-US"/>
        </w:rPr>
      </w:pPr>
      <w:r w:rsidRPr="00B555BB">
        <w:rPr>
          <w:lang w:val="en-US"/>
        </w:rPr>
        <w:t>This article use</w:t>
      </w:r>
      <w:r>
        <w:rPr>
          <w:lang w:val="en-US"/>
        </w:rPr>
        <w:t>s</w:t>
      </w:r>
      <w:r w:rsidRPr="00B555BB">
        <w:rPr>
          <w:lang w:val="en-US"/>
        </w:rPr>
        <w:t xml:space="preserve"> Panzar and </w:t>
      </w:r>
      <w:r>
        <w:rPr>
          <w:lang w:val="en-US"/>
        </w:rPr>
        <w:t>Rosse</w:t>
      </w:r>
      <w:r w:rsidRPr="00B555BB">
        <w:rPr>
          <w:lang w:val="en-US"/>
        </w:rPr>
        <w:t>’s (1987) model, which</w:t>
      </w:r>
      <w:r w:rsidRPr="00B555BB">
        <w:rPr>
          <w:b/>
          <w:lang w:val="en-US"/>
        </w:rPr>
        <w:t xml:space="preserve"> </w:t>
      </w:r>
      <w:r w:rsidRPr="00B555BB">
        <w:rPr>
          <w:lang w:val="en-US"/>
        </w:rPr>
        <w:t>allows a distinction to be made between perfect competition</w:t>
      </w:r>
      <w:r>
        <w:rPr>
          <w:lang w:val="en-US"/>
        </w:rPr>
        <w:t>,</w:t>
      </w:r>
      <w:r w:rsidRPr="00B555BB">
        <w:rPr>
          <w:lang w:val="en-US"/>
        </w:rPr>
        <w:t xml:space="preserve"> monopolistic </w:t>
      </w:r>
      <w:r>
        <w:rPr>
          <w:lang w:val="en-US"/>
        </w:rPr>
        <w:t xml:space="preserve">competition </w:t>
      </w:r>
      <w:r w:rsidRPr="00B555BB">
        <w:rPr>
          <w:lang w:val="en-US"/>
        </w:rPr>
        <w:t xml:space="preserve">or monopoly. Their approach consists of simply estimating a reduced form equation for </w:t>
      </w:r>
      <w:r>
        <w:rPr>
          <w:lang w:val="en-US"/>
        </w:rPr>
        <w:t>revenue</w:t>
      </w:r>
      <w:r w:rsidRPr="00B555BB">
        <w:rPr>
          <w:lang w:val="en-US"/>
        </w:rPr>
        <w:t xml:space="preserve"> from</w:t>
      </w:r>
      <w:r>
        <w:rPr>
          <w:lang w:val="en-US"/>
        </w:rPr>
        <w:t xml:space="preserve"> financial</w:t>
      </w:r>
      <w:r w:rsidRPr="00B555BB">
        <w:rPr>
          <w:lang w:val="en-US"/>
        </w:rPr>
        <w:t xml:space="preserve"> intermediation as a function of input prices for banking products. </w:t>
      </w:r>
    </w:p>
    <w:p w14:paraId="13E5C1C0" w14:textId="77777777" w:rsidR="000020B9" w:rsidRPr="00B555BB" w:rsidRDefault="000020B9" w:rsidP="000020B9">
      <w:pPr>
        <w:spacing w:line="360" w:lineRule="auto"/>
        <w:jc w:val="both"/>
        <w:rPr>
          <w:lang w:val="en-US"/>
        </w:rPr>
      </w:pPr>
    </w:p>
    <w:p w14:paraId="7046A0B7" w14:textId="77777777" w:rsidR="000020B9" w:rsidRPr="00B555BB" w:rsidRDefault="000020B9" w:rsidP="000020B9">
      <w:pPr>
        <w:spacing w:line="360" w:lineRule="auto"/>
        <w:jc w:val="both"/>
        <w:rPr>
          <w:lang w:val="en-US"/>
        </w:rPr>
      </w:pPr>
      <w:r w:rsidRPr="00B555BB">
        <w:rPr>
          <w:lang w:val="en-US"/>
        </w:rPr>
        <w:t xml:space="preserve">Panzar and Rosse (1987) show how the effects of variations in input prices on income in the banking sector are influenced by market power. The test statistic (H) for the level of competition is given by the sum of the elasticities of </w:t>
      </w:r>
      <w:r>
        <w:rPr>
          <w:lang w:val="en-US"/>
        </w:rPr>
        <w:t>revenue</w:t>
      </w:r>
      <w:r w:rsidRPr="00B555BB">
        <w:rPr>
          <w:lang w:val="en-US"/>
        </w:rPr>
        <w:t xml:space="preserve"> in relation to input prices. A monopoly situation would be consistent with an H value of </w:t>
      </w:r>
      <w:r>
        <w:rPr>
          <w:lang w:val="en-US"/>
        </w:rPr>
        <w:t>lower or equal to zero</w:t>
      </w:r>
      <w:r w:rsidRPr="00B555BB">
        <w:rPr>
          <w:lang w:val="en-US"/>
        </w:rPr>
        <w:t xml:space="preserve">, since the company would always </w:t>
      </w:r>
      <w:r w:rsidRPr="00B555BB">
        <w:rPr>
          <w:lang w:val="en-US"/>
        </w:rPr>
        <w:lastRenderedPageBreak/>
        <w:t>operate in the elastic part of the demand curve. On the other hand, equilibrium with pe</w:t>
      </w:r>
      <w:r>
        <w:rPr>
          <w:lang w:val="en-US"/>
        </w:rPr>
        <w:t xml:space="preserve">rfect competition would mean H equals to </w:t>
      </w:r>
      <w:r w:rsidRPr="00B555BB">
        <w:rPr>
          <w:lang w:val="en-US"/>
        </w:rPr>
        <w:t>1. In this market environment a rise in input prices would lead to a proportional increase in both marginal costs and income in the sector. Last of all, i</w:t>
      </w:r>
      <w:r>
        <w:rPr>
          <w:lang w:val="en-US"/>
        </w:rPr>
        <w:t>ntermediate values of H, between zero and one, w</w:t>
      </w:r>
      <w:r w:rsidRPr="00B555BB">
        <w:rPr>
          <w:lang w:val="en-US"/>
        </w:rPr>
        <w:t xml:space="preserve">ould be typical of monopolistic competition.  </w:t>
      </w:r>
    </w:p>
    <w:p w14:paraId="60906EA3" w14:textId="77777777" w:rsidR="000020B9" w:rsidRPr="00B555BB" w:rsidRDefault="000020B9" w:rsidP="000020B9">
      <w:pPr>
        <w:spacing w:line="360" w:lineRule="auto"/>
        <w:jc w:val="both"/>
        <w:rPr>
          <w:lang w:val="en-US"/>
        </w:rPr>
      </w:pPr>
    </w:p>
    <w:p w14:paraId="1FF13B42" w14:textId="77777777" w:rsidR="000020B9" w:rsidRPr="00B555BB" w:rsidRDefault="000020B9" w:rsidP="000020B9">
      <w:pPr>
        <w:spacing w:line="360" w:lineRule="auto"/>
        <w:jc w:val="both"/>
        <w:rPr>
          <w:lang w:val="en-US"/>
        </w:rPr>
      </w:pPr>
      <w:r w:rsidRPr="00B555BB">
        <w:rPr>
          <w:lang w:val="en-US"/>
        </w:rPr>
        <w:t>Panzar and Rosse’s (1987) test procedure became popular in the literature largely due to the low level of information required about the sector under investigation. The level of market compe</w:t>
      </w:r>
      <w:r>
        <w:rPr>
          <w:lang w:val="en-US"/>
        </w:rPr>
        <w:t>ti</w:t>
      </w:r>
      <w:r w:rsidRPr="00B555BB">
        <w:rPr>
          <w:lang w:val="en-US"/>
        </w:rPr>
        <w:t>tion could be inferred by means of simple restrictions on the values of</w:t>
      </w:r>
      <w:r w:rsidRPr="00B555BB">
        <w:rPr>
          <w:b/>
          <w:lang w:val="en-US"/>
        </w:rPr>
        <w:t xml:space="preserve"> </w:t>
      </w:r>
      <w:r w:rsidRPr="00B555BB">
        <w:rPr>
          <w:lang w:val="en-US"/>
        </w:rPr>
        <w:t>price elasticity in the income equation. Bikker and Haaf (2002) used this procedure for a set of 23 countries and in general obtained evidence of monopolistic competition in the markets where they carried out their research. In addition, these authors found evidence that markets with higher concentration typically have lower levels of compe</w:t>
      </w:r>
      <w:r>
        <w:rPr>
          <w:lang w:val="en-US"/>
        </w:rPr>
        <w:t>ti</w:t>
      </w:r>
      <w:r w:rsidRPr="00B555BB">
        <w:rPr>
          <w:lang w:val="en-US"/>
        </w:rPr>
        <w:t>tion. Claessens and Laevens (2004), on the other hand, found no significant relation between market competition and concentration. Structural factors associated with restrictions on market entry and on banking operations were more relevant for competition</w:t>
      </w:r>
      <w:r>
        <w:rPr>
          <w:lang w:val="en-US"/>
        </w:rPr>
        <w:t>.</w:t>
      </w:r>
      <w:r w:rsidRPr="00B555BB">
        <w:rPr>
          <w:rStyle w:val="Refdenotaderodap"/>
          <w:lang w:val="en-US"/>
        </w:rPr>
        <w:footnoteReference w:id="5"/>
      </w:r>
      <w:r>
        <w:rPr>
          <w:lang w:val="en-US"/>
        </w:rPr>
        <w:t xml:space="preserve"> </w:t>
      </w:r>
      <w:r w:rsidRPr="00B555BB">
        <w:rPr>
          <w:lang w:val="en-US"/>
        </w:rPr>
        <w:t>Panzar and Rosse’s (1987) test was used in this article</w:t>
      </w:r>
      <w:r w:rsidRPr="00B555BB">
        <w:rPr>
          <w:b/>
          <w:lang w:val="en-US"/>
        </w:rPr>
        <w:t xml:space="preserve"> </w:t>
      </w:r>
      <w:r w:rsidRPr="00B555BB">
        <w:rPr>
          <w:lang w:val="en-US"/>
        </w:rPr>
        <w:t xml:space="preserve">for a sample of 50 countries and, once again, evidence of monopoly competition was found with the H statistic showing values </w:t>
      </w:r>
      <w:r>
        <w:rPr>
          <w:lang w:val="en-US"/>
        </w:rPr>
        <w:t xml:space="preserve">between </w:t>
      </w:r>
      <w:r w:rsidRPr="00B555BB">
        <w:rPr>
          <w:lang w:val="en-US"/>
        </w:rPr>
        <w:t>0.6 and 0.8.</w:t>
      </w:r>
    </w:p>
    <w:p w14:paraId="047B16DE" w14:textId="77777777" w:rsidR="000020B9" w:rsidRPr="00B555BB" w:rsidRDefault="000020B9" w:rsidP="000020B9">
      <w:pPr>
        <w:spacing w:line="360" w:lineRule="auto"/>
        <w:jc w:val="both"/>
        <w:rPr>
          <w:b/>
          <w:lang w:val="en-US"/>
        </w:rPr>
      </w:pPr>
    </w:p>
    <w:p w14:paraId="0128E57F" w14:textId="77777777" w:rsidR="000020B9" w:rsidRPr="00B555BB" w:rsidRDefault="000020B9" w:rsidP="000020B9">
      <w:pPr>
        <w:spacing w:line="360" w:lineRule="auto"/>
        <w:jc w:val="both"/>
        <w:rPr>
          <w:lang w:val="en-US"/>
        </w:rPr>
      </w:pPr>
      <w:r w:rsidRPr="00B555BB">
        <w:rPr>
          <w:lang w:val="en-US"/>
        </w:rPr>
        <w:t xml:space="preserve">In the literature dealing with Brazil there is also evidence that the banking sector operates in an environment with a reasonable level of competition. The available tests however, generally reject the extreme hypotheses of perfect </w:t>
      </w:r>
      <w:r>
        <w:rPr>
          <w:lang w:val="en-US"/>
        </w:rPr>
        <w:t xml:space="preserve">competition </w:t>
      </w:r>
      <w:r w:rsidRPr="00B555BB">
        <w:rPr>
          <w:lang w:val="en-US"/>
        </w:rPr>
        <w:t>or monopoly and suggest that intermediate levels of competition are more likely</w:t>
      </w:r>
      <w:r>
        <w:rPr>
          <w:lang w:val="en-US"/>
        </w:rPr>
        <w:t>.</w:t>
      </w:r>
      <w:r w:rsidRPr="00B555BB">
        <w:rPr>
          <w:rStyle w:val="Refdenotaderodap"/>
          <w:lang w:val="en-US"/>
        </w:rPr>
        <w:footnoteReference w:id="6"/>
      </w:r>
      <w:r>
        <w:rPr>
          <w:lang w:val="en-US"/>
        </w:rPr>
        <w:t xml:space="preserve"> </w:t>
      </w:r>
      <w:r w:rsidRPr="00B555BB">
        <w:rPr>
          <w:lang w:val="en-US"/>
        </w:rPr>
        <w:t>Belaish (2003), Ara</w:t>
      </w:r>
      <w:r>
        <w:rPr>
          <w:lang w:val="en-US"/>
        </w:rPr>
        <w:t>u</w:t>
      </w:r>
      <w:r w:rsidRPr="00B555BB">
        <w:rPr>
          <w:lang w:val="en-US"/>
        </w:rPr>
        <w:t>jo, Jorge Neto and Ponce (2005) and Lucinda (2010) used the methodology developed by Panzar and Rosse (1987) and found some support for the hypothesis that there is monopolistic competition in the Brazilian banking market</w:t>
      </w:r>
    </w:p>
    <w:p w14:paraId="18F8D803" w14:textId="77777777" w:rsidR="000020B9" w:rsidRDefault="000020B9" w:rsidP="000020B9">
      <w:pPr>
        <w:spacing w:line="360" w:lineRule="auto"/>
        <w:jc w:val="both"/>
        <w:rPr>
          <w:lang w:val="en-US"/>
        </w:rPr>
      </w:pPr>
    </w:p>
    <w:p w14:paraId="1D839846" w14:textId="77777777" w:rsidR="000020B9" w:rsidRPr="00B555BB" w:rsidRDefault="000020B9" w:rsidP="000020B9">
      <w:pPr>
        <w:spacing w:line="360" w:lineRule="auto"/>
        <w:jc w:val="both"/>
        <w:rPr>
          <w:lang w:val="en-US"/>
        </w:rPr>
      </w:pPr>
      <w:r w:rsidRPr="00B555BB">
        <w:rPr>
          <w:lang w:val="en-US"/>
        </w:rPr>
        <w:t>In contrast to the study of the concentration – competition relation, multiproduct operations in the banking sector have been neglected in the Brazilian and international literature</w:t>
      </w:r>
      <w:r>
        <w:rPr>
          <w:lang w:val="en-US"/>
        </w:rPr>
        <w:t>.</w:t>
      </w:r>
      <w:r w:rsidRPr="00B555BB">
        <w:rPr>
          <w:rStyle w:val="Refdenotaderodap"/>
          <w:lang w:val="en-US"/>
        </w:rPr>
        <w:footnoteReference w:id="7"/>
      </w:r>
      <w:r>
        <w:rPr>
          <w:lang w:val="en-US"/>
        </w:rPr>
        <w:t xml:space="preserve"> </w:t>
      </w:r>
      <w:r w:rsidRPr="00B555BB">
        <w:rPr>
          <w:lang w:val="en-US"/>
        </w:rPr>
        <w:t xml:space="preserve">The only study to deal explicitly with the question of banking competition and multiproduct supply was </w:t>
      </w:r>
      <w:r w:rsidRPr="00B555BB">
        <w:rPr>
          <w:lang w:val="en-US"/>
        </w:rPr>
        <w:lastRenderedPageBreak/>
        <w:t>carried out by Berger e Kim (1998). These authors studied the segmentation of the banking market into two products – retail and banking loans.</w:t>
      </w:r>
    </w:p>
    <w:p w14:paraId="5C7588B6" w14:textId="77777777" w:rsidR="000020B9" w:rsidRPr="00B555BB" w:rsidRDefault="000020B9" w:rsidP="000020B9">
      <w:pPr>
        <w:spacing w:line="360" w:lineRule="auto"/>
        <w:jc w:val="both"/>
        <w:rPr>
          <w:lang w:val="en-US"/>
        </w:rPr>
      </w:pPr>
    </w:p>
    <w:p w14:paraId="240A970E" w14:textId="77777777" w:rsidR="000020B9" w:rsidRPr="00B555BB" w:rsidRDefault="000020B9" w:rsidP="000020B9">
      <w:pPr>
        <w:spacing w:line="360" w:lineRule="auto"/>
        <w:jc w:val="both"/>
        <w:rPr>
          <w:lang w:val="en-US"/>
        </w:rPr>
      </w:pPr>
      <w:r w:rsidRPr="00B555BB">
        <w:rPr>
          <w:lang w:val="en-US"/>
        </w:rPr>
        <w:t>Banking operations differ significantly in each of these segments and this has implications for competition in each of them. The retail loan segment, for example, is usually funded by deposits obtained from a widespread network of branches. On the other hand, banks that concentrate</w:t>
      </w:r>
      <w:r>
        <w:rPr>
          <w:lang w:val="en-US"/>
        </w:rPr>
        <w:t xml:space="preserve"> the activities in </w:t>
      </w:r>
      <w:r w:rsidRPr="00B555BB">
        <w:rPr>
          <w:lang w:val="en-US"/>
        </w:rPr>
        <w:t xml:space="preserve">the corporate loan segment usually acquire purchased funds (Berger and Kim, 1998). The authors argue that clients in the corporate loan segment are typically more capable of gathering and processing relevant information and that market concentration is also typically stronger in this segment. </w:t>
      </w:r>
    </w:p>
    <w:p w14:paraId="4551C9A7" w14:textId="77777777" w:rsidR="000020B9" w:rsidRPr="00B555BB" w:rsidRDefault="000020B9" w:rsidP="000020B9">
      <w:pPr>
        <w:spacing w:line="360" w:lineRule="auto"/>
        <w:jc w:val="both"/>
        <w:rPr>
          <w:lang w:val="en-US"/>
        </w:rPr>
      </w:pPr>
    </w:p>
    <w:p w14:paraId="6DB1F623" w14:textId="77777777" w:rsidR="000020B9" w:rsidRPr="00B555BB" w:rsidRDefault="000020B9" w:rsidP="000020B9">
      <w:pPr>
        <w:spacing w:line="360" w:lineRule="auto"/>
        <w:jc w:val="both"/>
        <w:rPr>
          <w:lang w:val="en-US"/>
        </w:rPr>
      </w:pPr>
      <w:r>
        <w:rPr>
          <w:lang w:val="en-US"/>
        </w:rPr>
        <w:t>Berger and</w:t>
      </w:r>
      <w:r w:rsidRPr="00B555BB">
        <w:rPr>
          <w:lang w:val="en-US"/>
        </w:rPr>
        <w:t xml:space="preserve"> Kim (1998) estimate variable conjectural parameters that evaluate the reaction of banks to the variations in rivals’ offer of credit in each segment. The results reveal that there is greater competition in the corporate loans segment where concentration</w:t>
      </w:r>
      <w:r>
        <w:rPr>
          <w:lang w:val="en-US"/>
        </w:rPr>
        <w:t xml:space="preserve"> is higher</w:t>
      </w:r>
      <w:r w:rsidRPr="00B555BB">
        <w:rPr>
          <w:lang w:val="en-US"/>
        </w:rPr>
        <w:t xml:space="preserve">. This therefore provides further evidence of just how complex </w:t>
      </w:r>
      <w:r>
        <w:rPr>
          <w:lang w:val="en-US"/>
        </w:rPr>
        <w:t xml:space="preserve">the </w:t>
      </w:r>
      <w:r w:rsidRPr="00B555BB">
        <w:rPr>
          <w:lang w:val="en-US"/>
        </w:rPr>
        <w:t>concentration – market power relation</w:t>
      </w:r>
      <w:r>
        <w:rPr>
          <w:lang w:val="en-US"/>
        </w:rPr>
        <w:t xml:space="preserve"> is</w:t>
      </w:r>
      <w:r w:rsidRPr="00B555BB">
        <w:rPr>
          <w:lang w:val="en-US"/>
        </w:rPr>
        <w:t xml:space="preserve">. </w:t>
      </w:r>
    </w:p>
    <w:p w14:paraId="5F3CA130" w14:textId="77777777" w:rsidR="000020B9" w:rsidRPr="00B555BB" w:rsidRDefault="000020B9" w:rsidP="000020B9">
      <w:pPr>
        <w:spacing w:line="360" w:lineRule="auto"/>
        <w:jc w:val="both"/>
        <w:rPr>
          <w:lang w:val="en-US"/>
        </w:rPr>
      </w:pPr>
    </w:p>
    <w:p w14:paraId="34008DAC" w14:textId="77777777" w:rsidR="000020B9" w:rsidRPr="00121C2B" w:rsidRDefault="000020B9" w:rsidP="000020B9">
      <w:pPr>
        <w:spacing w:line="360" w:lineRule="auto"/>
        <w:rPr>
          <w:b/>
          <w:bCs/>
          <w:sz w:val="28"/>
          <w:szCs w:val="28"/>
          <w:lang w:val="en-US"/>
        </w:rPr>
      </w:pPr>
      <w:r w:rsidRPr="00121C2B">
        <w:rPr>
          <w:b/>
          <w:bCs/>
          <w:sz w:val="28"/>
          <w:szCs w:val="28"/>
          <w:lang w:val="en-US"/>
        </w:rPr>
        <w:t>3. Institutional background</w:t>
      </w:r>
    </w:p>
    <w:p w14:paraId="1447D428" w14:textId="77777777" w:rsidR="000020B9" w:rsidRPr="00B555BB" w:rsidRDefault="000020B9" w:rsidP="000020B9">
      <w:pPr>
        <w:spacing w:line="360" w:lineRule="auto"/>
        <w:jc w:val="both"/>
        <w:rPr>
          <w:lang w:val="en-US"/>
        </w:rPr>
      </w:pPr>
    </w:p>
    <w:p w14:paraId="22A2BFC0" w14:textId="77777777" w:rsidR="000020B9" w:rsidRPr="00BD3363" w:rsidRDefault="000020B9" w:rsidP="000020B9">
      <w:pPr>
        <w:spacing w:line="360" w:lineRule="auto"/>
        <w:jc w:val="both"/>
        <w:rPr>
          <w:lang w:val="en-US"/>
        </w:rPr>
      </w:pPr>
      <w:r w:rsidRPr="00BD3363">
        <w:rPr>
          <w:color w:val="000000"/>
          <w:lang w:val="en-US"/>
        </w:rPr>
        <w:t>Brazilian banking system has experimented important changes in the last few decades</w:t>
      </w:r>
      <w:r>
        <w:rPr>
          <w:color w:val="000000"/>
          <w:lang w:val="en-US"/>
        </w:rPr>
        <w:t>.</w:t>
      </w:r>
      <w:r w:rsidRPr="00BD3363">
        <w:rPr>
          <w:color w:val="000000"/>
          <w:vertAlign w:val="superscript"/>
          <w:lang w:val="en-US"/>
        </w:rPr>
        <w:footnoteReference w:id="8"/>
      </w:r>
      <w:r>
        <w:rPr>
          <w:color w:val="000000"/>
          <w:lang w:val="en-US"/>
        </w:rPr>
        <w:t xml:space="preserve"> </w:t>
      </w:r>
      <w:r w:rsidRPr="00BD3363">
        <w:rPr>
          <w:lang w:val="en-US"/>
        </w:rPr>
        <w:t xml:space="preserve">After the Real Plan, a set of major points has been characteristic of the sector, including </w:t>
      </w:r>
      <w:r>
        <w:rPr>
          <w:lang w:val="en-US"/>
        </w:rPr>
        <w:t>a</w:t>
      </w:r>
      <w:r w:rsidRPr="00BD3363">
        <w:rPr>
          <w:lang w:val="en-US"/>
        </w:rPr>
        <w:t xml:space="preserve"> strong process of financial deepening and changes in the sector structure, with entry of foreign banks and market consolidation.</w:t>
      </w:r>
    </w:p>
    <w:p w14:paraId="58A2EB96" w14:textId="77777777" w:rsidR="000020B9" w:rsidRPr="00BD3363" w:rsidRDefault="000020B9" w:rsidP="000020B9">
      <w:pPr>
        <w:spacing w:line="360" w:lineRule="auto"/>
        <w:jc w:val="both"/>
        <w:rPr>
          <w:color w:val="000000"/>
          <w:lang w:val="en-US"/>
        </w:rPr>
      </w:pPr>
    </w:p>
    <w:p w14:paraId="7D34B43A" w14:textId="77777777" w:rsidR="000020B9" w:rsidRPr="00BD3363" w:rsidRDefault="000020B9" w:rsidP="000020B9">
      <w:pPr>
        <w:spacing w:line="360" w:lineRule="auto"/>
        <w:jc w:val="both"/>
        <w:rPr>
          <w:color w:val="000000"/>
          <w:lang w:val="en-US"/>
        </w:rPr>
      </w:pPr>
      <w:r w:rsidRPr="00BD3363">
        <w:rPr>
          <w:lang w:val="en-US"/>
        </w:rPr>
        <w:t>A first significant change in the operation of Brazilian banks was caused by the qualitative improvement</w:t>
      </w:r>
      <w:r>
        <w:rPr>
          <w:lang w:val="en-US"/>
        </w:rPr>
        <w:t xml:space="preserve"> in the </w:t>
      </w:r>
      <w:r w:rsidRPr="00BD3363">
        <w:rPr>
          <w:lang w:val="en-US"/>
        </w:rPr>
        <w:t xml:space="preserve">macroeconomic environment. </w:t>
      </w:r>
      <w:r w:rsidRPr="00BD3363">
        <w:rPr>
          <w:color w:val="000000"/>
          <w:lang w:val="en-US"/>
        </w:rPr>
        <w:t>Until the early nineties, high inflation rates had guided the actions of economic agents. With the Real Plan, launched in July 1994, the Brazilian inflation rate converged from the annual average of 715% p.a. between 1980 and 1993 to 22% p.a in December 1995.</w:t>
      </w:r>
    </w:p>
    <w:p w14:paraId="69F313FF" w14:textId="77777777" w:rsidR="000020B9" w:rsidRPr="00BD3363" w:rsidRDefault="000020B9" w:rsidP="000020B9">
      <w:pPr>
        <w:spacing w:line="360" w:lineRule="auto"/>
        <w:jc w:val="both"/>
        <w:rPr>
          <w:color w:val="000000"/>
          <w:lang w:val="en-US"/>
        </w:rPr>
      </w:pPr>
    </w:p>
    <w:p w14:paraId="2D531274" w14:textId="77777777" w:rsidR="000020B9" w:rsidRPr="00BD3363" w:rsidRDefault="000020B9" w:rsidP="000020B9">
      <w:pPr>
        <w:spacing w:line="360" w:lineRule="auto"/>
        <w:jc w:val="both"/>
        <w:rPr>
          <w:color w:val="000000"/>
          <w:lang w:val="en-US"/>
        </w:rPr>
      </w:pPr>
      <w:r w:rsidRPr="00BD3363">
        <w:rPr>
          <w:color w:val="000000"/>
          <w:lang w:val="en-US"/>
        </w:rPr>
        <w:t>Macroeconomic stability has increased the economic agents’ predictability, bringing strong stimulus for demand and supply of banking products, especially credit. During the</w:t>
      </w:r>
      <w:r w:rsidRPr="00BD3363">
        <w:rPr>
          <w:bCs/>
          <w:lang w:val="en-US"/>
        </w:rPr>
        <w:t xml:space="preserve"> hyperinflationary period, Brazilian banking operations had become very concentrated in gains </w:t>
      </w:r>
      <w:r w:rsidRPr="00BD3363">
        <w:rPr>
          <w:bCs/>
          <w:lang w:val="en-US"/>
        </w:rPr>
        <w:lastRenderedPageBreak/>
        <w:t>from “floating” on basic banking services</w:t>
      </w:r>
      <w:r>
        <w:rPr>
          <w:bCs/>
          <w:lang w:val="en-US"/>
        </w:rPr>
        <w:t>.</w:t>
      </w:r>
      <w:r w:rsidRPr="00BD3363">
        <w:rPr>
          <w:rStyle w:val="Refdenotaderodap"/>
          <w:bCs/>
          <w:lang w:val="en-US"/>
        </w:rPr>
        <w:footnoteReference w:id="9"/>
      </w:r>
      <w:r>
        <w:rPr>
          <w:bCs/>
          <w:lang w:val="en-US"/>
        </w:rPr>
        <w:t xml:space="preserve"> With </w:t>
      </w:r>
      <w:r w:rsidRPr="00BD3363">
        <w:rPr>
          <w:lang w:val="en-US"/>
        </w:rPr>
        <w:t xml:space="preserve">monetary stability and more favorable macroeconomic conditions, especially in last decade, </w:t>
      </w:r>
      <w:r>
        <w:rPr>
          <w:lang w:val="en-US"/>
        </w:rPr>
        <w:t xml:space="preserve">the </w:t>
      </w:r>
      <w:r w:rsidRPr="00BD3363">
        <w:rPr>
          <w:lang w:val="en-US"/>
        </w:rPr>
        <w:t xml:space="preserve">banking system </w:t>
      </w:r>
      <w:r>
        <w:rPr>
          <w:lang w:val="en-US"/>
        </w:rPr>
        <w:t xml:space="preserve">actions were </w:t>
      </w:r>
      <w:r w:rsidRPr="00BD3363">
        <w:rPr>
          <w:lang w:val="en-US"/>
        </w:rPr>
        <w:t>channeled toward the traditional functions of raising funds and providing credit.</w:t>
      </w:r>
    </w:p>
    <w:p w14:paraId="66F7A66F" w14:textId="77777777" w:rsidR="000020B9" w:rsidRPr="00BD3363" w:rsidRDefault="000020B9" w:rsidP="000020B9">
      <w:pPr>
        <w:spacing w:line="360" w:lineRule="auto"/>
        <w:jc w:val="both"/>
        <w:rPr>
          <w:lang w:val="en-US"/>
        </w:rPr>
      </w:pPr>
    </w:p>
    <w:p w14:paraId="45B8D64D" w14:textId="77777777" w:rsidR="000020B9" w:rsidRDefault="000020B9" w:rsidP="000020B9">
      <w:pPr>
        <w:spacing w:line="360" w:lineRule="auto"/>
        <w:jc w:val="both"/>
        <w:rPr>
          <w:lang w:val="en-US"/>
        </w:rPr>
      </w:pPr>
      <w:r w:rsidRPr="00BD3363">
        <w:rPr>
          <w:lang w:val="en-US"/>
        </w:rPr>
        <w:t xml:space="preserve">The improvement in the macroeconomic environment was not the only determinant of the recent growth in the provision of banking services. Brazilian government has </w:t>
      </w:r>
      <w:r>
        <w:rPr>
          <w:lang w:val="en-US"/>
        </w:rPr>
        <w:t xml:space="preserve">also </w:t>
      </w:r>
      <w:r w:rsidRPr="00BD3363">
        <w:rPr>
          <w:lang w:val="en-US"/>
        </w:rPr>
        <w:t xml:space="preserve">promoted important reforms in the financial system institutional environment, </w:t>
      </w:r>
      <w:r>
        <w:rPr>
          <w:lang w:val="en-US"/>
        </w:rPr>
        <w:t xml:space="preserve">which </w:t>
      </w:r>
      <w:r w:rsidRPr="00BD3363">
        <w:rPr>
          <w:lang w:val="en-US"/>
        </w:rPr>
        <w:t>contribut</w:t>
      </w:r>
      <w:r>
        <w:rPr>
          <w:lang w:val="en-US"/>
        </w:rPr>
        <w:t xml:space="preserve">ed </w:t>
      </w:r>
      <w:r w:rsidRPr="00BD3363">
        <w:rPr>
          <w:lang w:val="en-US"/>
        </w:rPr>
        <w:t xml:space="preserve">to the expansion of credit market in Brazil. Costa and De Mello (2006) argue these governmental measures </w:t>
      </w:r>
      <w:r>
        <w:rPr>
          <w:lang w:val="en-US"/>
        </w:rPr>
        <w:t xml:space="preserve">were implemented </w:t>
      </w:r>
      <w:r w:rsidRPr="00BD3363">
        <w:rPr>
          <w:lang w:val="en-US"/>
        </w:rPr>
        <w:t>to reduce information a</w:t>
      </w:r>
      <w:r>
        <w:rPr>
          <w:lang w:val="en-US"/>
        </w:rPr>
        <w:t>symmetries in credit market,</w:t>
      </w:r>
      <w:r w:rsidRPr="00BD3363">
        <w:rPr>
          <w:lang w:val="en-US"/>
        </w:rPr>
        <w:t xml:space="preserve"> increase the quality of the collateral instruments</w:t>
      </w:r>
      <w:r>
        <w:rPr>
          <w:lang w:val="en-US"/>
        </w:rPr>
        <w:t xml:space="preserve">, </w:t>
      </w:r>
      <w:r w:rsidRPr="00BD3363">
        <w:rPr>
          <w:lang w:val="en-US"/>
        </w:rPr>
        <w:t xml:space="preserve">raise the enforcement of contracts, improve the regulatory system of insolvency problems solving and </w:t>
      </w:r>
      <w:r>
        <w:rPr>
          <w:lang w:val="en-US"/>
        </w:rPr>
        <w:t>c</w:t>
      </w:r>
      <w:r w:rsidRPr="00BD3363">
        <w:rPr>
          <w:lang w:val="en-US"/>
        </w:rPr>
        <w:t>reate alternative mechanisms for credit</w:t>
      </w:r>
      <w:r>
        <w:rPr>
          <w:lang w:val="en-US"/>
        </w:rPr>
        <w:t>.</w:t>
      </w:r>
      <w:r w:rsidRPr="00BD3363">
        <w:rPr>
          <w:rStyle w:val="Refdenotaderodap"/>
          <w:lang w:val="en-US"/>
        </w:rPr>
        <w:footnoteReference w:id="10"/>
      </w:r>
    </w:p>
    <w:p w14:paraId="5F0229FA" w14:textId="77777777" w:rsidR="000020B9" w:rsidRPr="00BD3363" w:rsidRDefault="000020B9" w:rsidP="000020B9">
      <w:pPr>
        <w:spacing w:line="360" w:lineRule="auto"/>
        <w:jc w:val="both"/>
        <w:rPr>
          <w:lang w:val="en-US"/>
        </w:rPr>
      </w:pPr>
    </w:p>
    <w:p w14:paraId="71114C23" w14:textId="77777777" w:rsidR="000020B9" w:rsidRPr="00BD3363" w:rsidRDefault="000020B9" w:rsidP="000020B9">
      <w:pPr>
        <w:pStyle w:val="NormalWeb"/>
        <w:spacing w:before="0" w:beforeAutospacing="0" w:after="0" w:afterAutospacing="0" w:line="360" w:lineRule="auto"/>
        <w:jc w:val="both"/>
        <w:rPr>
          <w:color w:val="000000"/>
          <w:lang w:val="en-US"/>
        </w:rPr>
      </w:pPr>
      <w:r w:rsidRPr="00BD3363">
        <w:rPr>
          <w:color w:val="000000"/>
          <w:lang w:val="en-US"/>
        </w:rPr>
        <w:t>As a resu</w:t>
      </w:r>
      <w:r>
        <w:rPr>
          <w:color w:val="000000"/>
          <w:lang w:val="en-US"/>
        </w:rPr>
        <w:t>lt of these</w:t>
      </w:r>
      <w:r w:rsidRPr="00BD3363">
        <w:rPr>
          <w:color w:val="000000"/>
          <w:lang w:val="en-US"/>
        </w:rPr>
        <w:t xml:space="preserve"> improvements in the macroeconomic conditions and in the institutional environment, Brazilian economy has undergone a robust process of financial deepening. The proportion of the total credit to GDP </w:t>
      </w:r>
      <w:r>
        <w:rPr>
          <w:color w:val="000000"/>
          <w:lang w:val="en-US"/>
        </w:rPr>
        <w:t xml:space="preserve">increased </w:t>
      </w:r>
      <w:r w:rsidRPr="00BD3363">
        <w:rPr>
          <w:color w:val="000000"/>
          <w:lang w:val="en-US"/>
        </w:rPr>
        <w:t>from an average of 27% between 1998 and 2003 to 53% in 2012.</w:t>
      </w:r>
    </w:p>
    <w:p w14:paraId="3FA2BF45" w14:textId="77777777" w:rsidR="000020B9" w:rsidRPr="00BD3363" w:rsidRDefault="000020B9" w:rsidP="000020B9">
      <w:pPr>
        <w:spacing w:line="360" w:lineRule="auto"/>
        <w:jc w:val="both"/>
        <w:rPr>
          <w:lang w:val="en-US"/>
        </w:rPr>
      </w:pPr>
    </w:p>
    <w:p w14:paraId="61908AEA" w14:textId="77777777" w:rsidR="000020B9" w:rsidRPr="00BD3363" w:rsidRDefault="000020B9" w:rsidP="000020B9">
      <w:pPr>
        <w:spacing w:line="360" w:lineRule="auto"/>
        <w:jc w:val="both"/>
        <w:rPr>
          <w:lang w:val="en-US"/>
        </w:rPr>
      </w:pPr>
      <w:r w:rsidRPr="00BD3363">
        <w:rPr>
          <w:lang w:val="en-US"/>
        </w:rPr>
        <w:t xml:space="preserve">Besides the process of financial deepening, Brazilian banking system has also been characterized for important structural changes. </w:t>
      </w:r>
      <w:r>
        <w:rPr>
          <w:lang w:val="en-US"/>
        </w:rPr>
        <w:t>T</w:t>
      </w:r>
      <w:r w:rsidRPr="00BD3363">
        <w:rPr>
          <w:lang w:val="en-US"/>
        </w:rPr>
        <w:t xml:space="preserve">he end of easy gains with floating operations induced a painful adjustment in the sector. Added to the international crises in the nineties, this fact </w:t>
      </w:r>
      <w:r>
        <w:rPr>
          <w:lang w:val="en-US"/>
        </w:rPr>
        <w:t xml:space="preserve">created </w:t>
      </w:r>
      <w:r w:rsidRPr="00BD3363">
        <w:rPr>
          <w:lang w:val="en-US"/>
        </w:rPr>
        <w:t xml:space="preserve">great difficulties to the domestic banks, resulting in </w:t>
      </w:r>
      <w:r>
        <w:rPr>
          <w:lang w:val="en-US"/>
        </w:rPr>
        <w:t xml:space="preserve">credit crunch </w:t>
      </w:r>
      <w:r w:rsidRPr="00BD3363">
        <w:rPr>
          <w:lang w:val="en-US"/>
        </w:rPr>
        <w:t>and increasing losses.</w:t>
      </w:r>
    </w:p>
    <w:p w14:paraId="012E0C7A" w14:textId="77777777" w:rsidR="000020B9" w:rsidRPr="00BD3363" w:rsidRDefault="000020B9" w:rsidP="000020B9">
      <w:pPr>
        <w:spacing w:line="360" w:lineRule="auto"/>
        <w:jc w:val="both"/>
        <w:rPr>
          <w:lang w:val="en-US"/>
        </w:rPr>
      </w:pPr>
    </w:p>
    <w:p w14:paraId="5EA15326" w14:textId="77777777" w:rsidR="000020B9" w:rsidRPr="00BD3363" w:rsidRDefault="000020B9" w:rsidP="000020B9">
      <w:pPr>
        <w:spacing w:line="360" w:lineRule="auto"/>
        <w:jc w:val="both"/>
        <w:rPr>
          <w:lang w:val="en-US"/>
        </w:rPr>
      </w:pPr>
      <w:r w:rsidRPr="0006455D">
        <w:rPr>
          <w:lang w:val="en-US"/>
        </w:rPr>
        <w:t xml:space="preserve">The problems in the banking system in nineties led Brazilian government to promote a series of packages aiming the industry restructuring. The </w:t>
      </w:r>
      <w:r w:rsidRPr="0006455D">
        <w:rPr>
          <w:i/>
          <w:lang w:val="en-US"/>
        </w:rPr>
        <w:t xml:space="preserve">Program of Incentives to the Restructuring and Strengthening of the National Financial System </w:t>
      </w:r>
      <w:r w:rsidRPr="0006455D">
        <w:rPr>
          <w:lang w:val="en-US"/>
        </w:rPr>
        <w:t xml:space="preserve">(PROER), </w:t>
      </w:r>
      <w:r w:rsidRPr="0006455D">
        <w:rPr>
          <w:i/>
          <w:lang w:val="en-US"/>
        </w:rPr>
        <w:t xml:space="preserve">Program of Incentives to the Reduction of State-Level Public Sector in the Bank Activity </w:t>
      </w:r>
      <w:r w:rsidRPr="0006455D">
        <w:rPr>
          <w:lang w:val="en-US"/>
        </w:rPr>
        <w:t xml:space="preserve">(PROES) and </w:t>
      </w:r>
      <w:r w:rsidRPr="0006455D">
        <w:rPr>
          <w:i/>
          <w:lang w:val="en-US"/>
        </w:rPr>
        <w:t xml:space="preserve">Program for the Strengthening of the Federal Financial Institutes </w:t>
      </w:r>
      <w:r w:rsidRPr="0006455D">
        <w:rPr>
          <w:lang w:val="en-US"/>
        </w:rPr>
        <w:t xml:space="preserve">(PROEF) represented the beginning of </w:t>
      </w:r>
      <w:r w:rsidRPr="0006455D">
        <w:rPr>
          <w:lang w:val="en-US"/>
        </w:rPr>
        <w:lastRenderedPageBreak/>
        <w:t>important changes in the market structure of Brazilian banking</w:t>
      </w:r>
      <w:r>
        <w:rPr>
          <w:lang w:val="en-US"/>
        </w:rPr>
        <w:t>.</w:t>
      </w:r>
      <w:r w:rsidRPr="0006455D">
        <w:rPr>
          <w:rStyle w:val="Refdenotaderodap"/>
          <w:lang w:val="en-US"/>
        </w:rPr>
        <w:footnoteReference w:id="11"/>
      </w:r>
      <w:r>
        <w:rPr>
          <w:lang w:val="en-US"/>
        </w:rPr>
        <w:t xml:space="preserve"> </w:t>
      </w:r>
      <w:r w:rsidRPr="0006455D">
        <w:rPr>
          <w:lang w:val="en-US"/>
        </w:rPr>
        <w:t>One of these changes was the increase in market concentration, with the reduction in the number of commercial banks. In 1996 there were 230 of these institutions authorized to operate in Brazil. The commercial banks summed 159 in 2012. In this period, foreign banks were the only segment to present market gains. Foreign institutions, such as HSBC, ABN Amro and Santander, took the recent consolidation to enter in the Brazilian market. As a result, the number of banks under foreign control increased from 41 in 1996 to 59 in 2012.</w:t>
      </w:r>
    </w:p>
    <w:p w14:paraId="6DFFC6CC" w14:textId="77777777" w:rsidR="000020B9" w:rsidRPr="00BD3363" w:rsidRDefault="000020B9" w:rsidP="000020B9">
      <w:pPr>
        <w:spacing w:line="360" w:lineRule="auto"/>
        <w:jc w:val="both"/>
        <w:rPr>
          <w:lang w:val="en-US"/>
        </w:rPr>
      </w:pPr>
    </w:p>
    <w:p w14:paraId="087A7E4B" w14:textId="77777777" w:rsidR="000020B9" w:rsidRPr="00B555BB" w:rsidRDefault="000020B9" w:rsidP="000020B9">
      <w:pPr>
        <w:spacing w:line="360" w:lineRule="auto"/>
        <w:jc w:val="both"/>
        <w:rPr>
          <w:lang w:val="en-US"/>
        </w:rPr>
      </w:pPr>
      <w:r w:rsidRPr="00BD3363">
        <w:rPr>
          <w:lang w:val="en-US"/>
        </w:rPr>
        <w:t xml:space="preserve">Finally, it is important to stress the remarkable position of state-owned banks in Brazil. Despite the reduction in the public banking sector promoted by PROES, government banks </w:t>
      </w:r>
      <w:r>
        <w:rPr>
          <w:lang w:val="en-US"/>
        </w:rPr>
        <w:t>are</w:t>
      </w:r>
      <w:r w:rsidRPr="00BD3363">
        <w:rPr>
          <w:lang w:val="en-US"/>
        </w:rPr>
        <w:t xml:space="preserve"> still widespread in Brazil. Three state-owned banks, Banco do Brasil (BB), Caixa Econômica Federal (CEF) and BNDES, are the largest banks</w:t>
      </w:r>
      <w:r>
        <w:rPr>
          <w:lang w:val="en-US"/>
        </w:rPr>
        <w:t xml:space="preserve"> in the country</w:t>
      </w:r>
      <w:r w:rsidRPr="00BD3363">
        <w:rPr>
          <w:lang w:val="en-US"/>
        </w:rPr>
        <w:t xml:space="preserve"> in terms of total assets in December 2012. Furthermore, state-owned banks accounted for 44% of assets, 49% of credit</w:t>
      </w:r>
      <w:r>
        <w:rPr>
          <w:lang w:val="en-US"/>
        </w:rPr>
        <w:t xml:space="preserve"> and</w:t>
      </w:r>
      <w:r w:rsidRPr="00BD3363">
        <w:rPr>
          <w:lang w:val="en-US"/>
        </w:rPr>
        <w:t xml:space="preserve"> 49% of total deposits in the banking sector in that month. This leading position of state-owned banks gives to Brazilian government an important role in the credit market dynamics. </w:t>
      </w:r>
      <w:r>
        <w:rPr>
          <w:lang w:val="en-US"/>
        </w:rPr>
        <w:t xml:space="preserve">One </w:t>
      </w:r>
      <w:r w:rsidRPr="00BD3363">
        <w:rPr>
          <w:lang w:val="en-US"/>
        </w:rPr>
        <w:t>example</w:t>
      </w:r>
      <w:r>
        <w:rPr>
          <w:lang w:val="en-US"/>
        </w:rPr>
        <w:t xml:space="preserve"> occurred after the </w:t>
      </w:r>
      <w:r w:rsidRPr="00BD3363">
        <w:rPr>
          <w:lang w:val="en-US"/>
        </w:rPr>
        <w:t>international financial crisis in</w:t>
      </w:r>
      <w:r w:rsidRPr="00BD3363">
        <w:rPr>
          <w:color w:val="1F497D"/>
          <w:lang w:val="en-US"/>
        </w:rPr>
        <w:t xml:space="preserve"> </w:t>
      </w:r>
      <w:r w:rsidRPr="00BD3363">
        <w:rPr>
          <w:lang w:val="en-US"/>
        </w:rPr>
        <w:t xml:space="preserve">2008, </w:t>
      </w:r>
      <w:r>
        <w:rPr>
          <w:lang w:val="en-US"/>
        </w:rPr>
        <w:t xml:space="preserve">when </w:t>
      </w:r>
      <w:r w:rsidRPr="00BD3363">
        <w:rPr>
          <w:lang w:val="en-US"/>
        </w:rPr>
        <w:t xml:space="preserve">Brazilian government deliberately used the state-owned </w:t>
      </w:r>
      <w:r>
        <w:rPr>
          <w:lang w:val="en-US"/>
        </w:rPr>
        <w:t xml:space="preserve">institutions </w:t>
      </w:r>
      <w:r w:rsidRPr="00BD3363">
        <w:rPr>
          <w:lang w:val="en-US"/>
        </w:rPr>
        <w:t>to provide liquidity to the markets.</w:t>
      </w:r>
    </w:p>
    <w:p w14:paraId="5E4BB23A" w14:textId="77777777" w:rsidR="000020B9" w:rsidRDefault="000020B9" w:rsidP="000020B9">
      <w:pPr>
        <w:spacing w:line="360" w:lineRule="auto"/>
        <w:jc w:val="both"/>
        <w:rPr>
          <w:bCs/>
          <w:lang w:val="en-US"/>
        </w:rPr>
      </w:pPr>
    </w:p>
    <w:p w14:paraId="190130A4" w14:textId="77777777" w:rsidR="000020B9" w:rsidRDefault="000020B9" w:rsidP="000020B9">
      <w:pPr>
        <w:spacing w:line="360" w:lineRule="auto"/>
        <w:rPr>
          <w:b/>
          <w:bCs/>
          <w:sz w:val="28"/>
          <w:szCs w:val="28"/>
          <w:lang w:val="en-US"/>
        </w:rPr>
      </w:pPr>
    </w:p>
    <w:p w14:paraId="5DB3C7B0" w14:textId="77777777" w:rsidR="000020B9" w:rsidRDefault="000020B9" w:rsidP="000020B9">
      <w:pPr>
        <w:spacing w:line="360" w:lineRule="auto"/>
        <w:rPr>
          <w:b/>
          <w:bCs/>
          <w:sz w:val="28"/>
          <w:szCs w:val="28"/>
          <w:lang w:val="en-US"/>
        </w:rPr>
      </w:pPr>
    </w:p>
    <w:p w14:paraId="5500890C" w14:textId="77777777" w:rsidR="000020B9" w:rsidRDefault="000020B9" w:rsidP="000020B9">
      <w:pPr>
        <w:spacing w:line="360" w:lineRule="auto"/>
        <w:rPr>
          <w:b/>
          <w:bCs/>
          <w:sz w:val="28"/>
          <w:szCs w:val="28"/>
          <w:lang w:val="en-US"/>
        </w:rPr>
      </w:pPr>
    </w:p>
    <w:p w14:paraId="10967099" w14:textId="77777777" w:rsidR="000020B9" w:rsidRDefault="000020B9" w:rsidP="000020B9">
      <w:pPr>
        <w:spacing w:line="360" w:lineRule="auto"/>
        <w:rPr>
          <w:b/>
          <w:bCs/>
          <w:sz w:val="28"/>
          <w:szCs w:val="28"/>
          <w:lang w:val="en-US"/>
        </w:rPr>
      </w:pPr>
    </w:p>
    <w:p w14:paraId="766A4BE2" w14:textId="77777777" w:rsidR="000020B9" w:rsidRDefault="000020B9" w:rsidP="000020B9">
      <w:pPr>
        <w:spacing w:line="360" w:lineRule="auto"/>
        <w:rPr>
          <w:b/>
          <w:bCs/>
          <w:sz w:val="28"/>
          <w:szCs w:val="28"/>
          <w:lang w:val="en-US"/>
        </w:rPr>
      </w:pPr>
    </w:p>
    <w:p w14:paraId="66EE270B" w14:textId="77777777" w:rsidR="000020B9" w:rsidRDefault="000020B9" w:rsidP="000020B9">
      <w:pPr>
        <w:spacing w:line="360" w:lineRule="auto"/>
        <w:rPr>
          <w:b/>
          <w:bCs/>
          <w:sz w:val="28"/>
          <w:szCs w:val="28"/>
          <w:lang w:val="en-US"/>
        </w:rPr>
      </w:pPr>
    </w:p>
    <w:p w14:paraId="595CBA45" w14:textId="77777777" w:rsidR="000020B9" w:rsidRPr="00121C2B" w:rsidRDefault="000020B9" w:rsidP="000020B9">
      <w:pPr>
        <w:spacing w:line="360" w:lineRule="auto"/>
        <w:rPr>
          <w:b/>
          <w:bCs/>
          <w:sz w:val="28"/>
          <w:szCs w:val="28"/>
          <w:lang w:val="en-US"/>
        </w:rPr>
      </w:pPr>
      <w:r w:rsidRPr="00121C2B">
        <w:rPr>
          <w:b/>
          <w:bCs/>
          <w:sz w:val="28"/>
          <w:szCs w:val="28"/>
          <w:lang w:val="en-US"/>
        </w:rPr>
        <w:t>4. Estimation and results</w:t>
      </w:r>
    </w:p>
    <w:p w14:paraId="5562CAC6" w14:textId="77777777" w:rsidR="000020B9" w:rsidRPr="00B555BB" w:rsidRDefault="000020B9" w:rsidP="000020B9">
      <w:pPr>
        <w:spacing w:line="360" w:lineRule="auto"/>
        <w:jc w:val="both"/>
        <w:rPr>
          <w:b/>
          <w:bCs/>
          <w:lang w:val="en-US"/>
        </w:rPr>
      </w:pPr>
    </w:p>
    <w:p w14:paraId="4A09E260" w14:textId="77777777" w:rsidR="000020B9" w:rsidRPr="00262670" w:rsidRDefault="000020B9" w:rsidP="000020B9">
      <w:pPr>
        <w:spacing w:line="360" w:lineRule="auto"/>
        <w:rPr>
          <w:b/>
          <w:bCs/>
          <w:sz w:val="28"/>
          <w:szCs w:val="28"/>
          <w:lang w:val="en-US"/>
        </w:rPr>
      </w:pPr>
      <w:r w:rsidRPr="00262670">
        <w:rPr>
          <w:b/>
          <w:bCs/>
          <w:sz w:val="28"/>
          <w:szCs w:val="28"/>
          <w:lang w:val="en-US"/>
        </w:rPr>
        <w:t>4.1 Data</w:t>
      </w:r>
    </w:p>
    <w:p w14:paraId="783E4B8C" w14:textId="77777777" w:rsidR="000020B9" w:rsidRDefault="000020B9" w:rsidP="000020B9">
      <w:pPr>
        <w:pStyle w:val="Texto01"/>
        <w:ind w:firstLine="0"/>
      </w:pPr>
    </w:p>
    <w:p w14:paraId="08E52F6D" w14:textId="77777777" w:rsidR="000020B9" w:rsidRDefault="000020B9" w:rsidP="000020B9">
      <w:pPr>
        <w:pStyle w:val="Texto01"/>
        <w:ind w:firstLine="0"/>
      </w:pPr>
      <w:r>
        <w:lastRenderedPageBreak/>
        <w:t>In Brazil, banks present to local regulator, the Brazilian Central Bank (BCB), their statements in three levels of consolidated financial statements: Economic-Financial</w:t>
      </w:r>
      <w:r>
        <w:rPr>
          <w:rStyle w:val="Refdenotaderodap"/>
        </w:rPr>
        <w:footnoteReference w:id="12"/>
      </w:r>
      <w:r>
        <w:t>, Financial</w:t>
      </w:r>
      <w:r>
        <w:rPr>
          <w:rStyle w:val="Refdenotaderodap"/>
        </w:rPr>
        <w:footnoteReference w:id="13"/>
      </w:r>
      <w:r>
        <w:t xml:space="preserve"> and Single units.</w:t>
      </w:r>
      <w:r>
        <w:rPr>
          <w:rStyle w:val="Refdenotaderodap"/>
        </w:rPr>
        <w:footnoteReference w:id="14"/>
      </w:r>
      <w:r>
        <w:t xml:space="preserve"> In order to analyze the multiproduct nature of the bank, we used Economic-Financial statements for each bank, since it consolidates all different nature companies, including financial institutions and non-financial institutions.  In the case that a bank does not belong to any bank Economic-Financial conglomerate, we use information of Financial or Single units to obtain the financial statements of the financial institutions operating in Brazil. To our knowledge, Brazil is the only country where is available this consolidated information on the financial conglomerates global operations. </w:t>
      </w:r>
    </w:p>
    <w:p w14:paraId="5B591BEC" w14:textId="77777777" w:rsidR="000020B9" w:rsidRDefault="000020B9" w:rsidP="000020B9">
      <w:pPr>
        <w:pStyle w:val="Texto01"/>
        <w:ind w:firstLine="0"/>
      </w:pPr>
    </w:p>
    <w:p w14:paraId="049116D6" w14:textId="77777777" w:rsidR="000020B9" w:rsidRDefault="000020B9" w:rsidP="000020B9">
      <w:pPr>
        <w:pStyle w:val="Texto01"/>
        <w:ind w:firstLine="0"/>
      </w:pPr>
      <w:r>
        <w:t xml:space="preserve">The data used in this paper has been obtained from the database of Brazilian Central Bank. Such data was obtained from the BCB online reports, namely </w:t>
      </w:r>
      <w:r w:rsidRPr="00262670">
        <w:rPr>
          <w:i/>
        </w:rPr>
        <w:t>BCB’s Informações Financeiras Trimestrais</w:t>
      </w:r>
      <w:r>
        <w:t xml:space="preserve"> (IFT). Those reports provide information on financial statements of all financial </w:t>
      </w:r>
      <w:r w:rsidRPr="00262670">
        <w:t xml:space="preserve">institutions authorized to operate in Brazil in all the three levels described above </w:t>
      </w:r>
      <w:r w:rsidRPr="00262670">
        <w:rPr>
          <w:rStyle w:val="st"/>
        </w:rPr>
        <w:t>on a</w:t>
      </w:r>
      <w:r w:rsidRPr="00262670">
        <w:rPr>
          <w:rStyle w:val="st"/>
          <w:i/>
        </w:rPr>
        <w:t xml:space="preserve"> </w:t>
      </w:r>
      <w:r w:rsidRPr="00262670">
        <w:rPr>
          <w:rStyle w:val="nfase"/>
          <w:i w:val="0"/>
        </w:rPr>
        <w:t>quarterly basi</w:t>
      </w:r>
      <w:r>
        <w:rPr>
          <w:rStyle w:val="nfase"/>
          <w:i w:val="0"/>
        </w:rPr>
        <w:t xml:space="preserve">s. The reports </w:t>
      </w:r>
      <w:r>
        <w:t>are free from download directly from the BCB website.</w:t>
      </w:r>
      <w:r>
        <w:rPr>
          <w:rStyle w:val="Refdenotaderodap"/>
        </w:rPr>
        <w:footnoteReference w:id="15"/>
      </w:r>
      <w:r>
        <w:t xml:space="preserve"> Data are drawn from 1Q2001 to 4Q2012 for a set of 163 individual and conglomerate financial companies.</w:t>
      </w:r>
    </w:p>
    <w:p w14:paraId="4D25CB03" w14:textId="77777777" w:rsidR="000020B9" w:rsidRDefault="000020B9" w:rsidP="000020B9">
      <w:pPr>
        <w:pStyle w:val="Texto01"/>
        <w:ind w:firstLine="0"/>
      </w:pPr>
    </w:p>
    <w:p w14:paraId="3DE9FF91" w14:textId="77777777" w:rsidR="000020B9" w:rsidRPr="00740E0B" w:rsidRDefault="000020B9" w:rsidP="000020B9">
      <w:pPr>
        <w:pStyle w:val="Texto01"/>
        <w:ind w:firstLine="0"/>
      </w:pPr>
      <w:r>
        <w:t>In addition, the products of the analyzed institutions were divided into three categories which sustain our multiproduct analyses. Table 1 shows the market division in classic bank products, other financial bank product, and other non financial bank product. This division is based on the nature of products offered by the banks.</w:t>
      </w:r>
      <w:r w:rsidRPr="00AF6569">
        <w:t xml:space="preserve"> Therefore, according to </w:t>
      </w:r>
      <w:r>
        <w:t xml:space="preserve">the </w:t>
      </w:r>
      <w:r w:rsidRPr="00AF6569">
        <w:t xml:space="preserve">core activity, each one of </w:t>
      </w:r>
      <w:r>
        <w:t>163</w:t>
      </w:r>
      <w:r w:rsidRPr="00AF6569">
        <w:t xml:space="preserve"> individual institutions was classified in one of these three product categories. Then, each banking conglomerate was assigned to a set of products following the classification of the individual institutions which were part of it</w:t>
      </w:r>
      <w:r>
        <w:t>.</w:t>
      </w:r>
      <w:r>
        <w:rPr>
          <w:rStyle w:val="Refdenotaderodap"/>
        </w:rPr>
        <w:footnoteReference w:id="16"/>
      </w:r>
      <w:r>
        <w:t xml:space="preserve"> </w:t>
      </w:r>
    </w:p>
    <w:p w14:paraId="54FE3078" w14:textId="77777777" w:rsidR="000020B9" w:rsidRDefault="000020B9" w:rsidP="000020B9">
      <w:pPr>
        <w:pStyle w:val="Texto01"/>
        <w:ind w:firstLine="0"/>
      </w:pPr>
    </w:p>
    <w:p w14:paraId="369660C8" w14:textId="77777777" w:rsidR="000020B9" w:rsidRDefault="000020B9" w:rsidP="000020B9">
      <w:pPr>
        <w:pStyle w:val="Texto01"/>
        <w:ind w:firstLine="0"/>
      </w:pPr>
      <w:r>
        <w:lastRenderedPageBreak/>
        <w:t xml:space="preserve">Our final sample is an unbalanced panel composed of 74 banking conglomerates with a total of 2,219 observations, as shown in tables 2, 3, 4, 5 and 6 in the appendix. All figures are expressed in real values of 2001Q1, according to official Brazilian consumer price index (IPCA). </w:t>
      </w:r>
    </w:p>
    <w:p w14:paraId="420BB5CB" w14:textId="77777777" w:rsidR="000020B9" w:rsidRDefault="000020B9" w:rsidP="000020B9">
      <w:pPr>
        <w:pStyle w:val="Texto01"/>
        <w:ind w:firstLine="0"/>
      </w:pPr>
    </w:p>
    <w:p w14:paraId="5649FE1E" w14:textId="77777777" w:rsidR="000020B9" w:rsidRDefault="000020B9" w:rsidP="000020B9">
      <w:pPr>
        <w:pStyle w:val="Texto01"/>
        <w:ind w:firstLine="0"/>
      </w:pPr>
      <w:r>
        <w:t>Table 2 presents the number of banks, the distribution by ownership and capital origin.</w:t>
      </w:r>
      <w:r w:rsidRPr="00896ED2">
        <w:t xml:space="preserve"> Most of the bank</w:t>
      </w:r>
      <w:r>
        <w:t xml:space="preserve">ing conglomerates </w:t>
      </w:r>
      <w:r w:rsidRPr="00896ED2">
        <w:t xml:space="preserve">in </w:t>
      </w:r>
      <w:r>
        <w:t xml:space="preserve">the </w:t>
      </w:r>
      <w:r w:rsidRPr="00896ED2">
        <w:t>sample are private and national ones.</w:t>
      </w:r>
      <w:r>
        <w:t xml:space="preserve"> </w:t>
      </w:r>
      <w:r w:rsidRPr="001A6AB6">
        <w:t>Only a fraction of 12.1% (9) is foreign, whereas 4 (5.4%) are state owned banks</w:t>
      </w:r>
      <w:r>
        <w:t>. Table 2 also shows the distribution of banks in the proposed three product division. The majority of banking conglomerates operate only in the classical banks segment, providing evidence to some prevalence of single output operations in the industry. However, 30% of conglomerates operate offering jointly other types of products, specially the financial banking products. Finally, only 10 conglomerates act in the tree segments.</w:t>
      </w:r>
    </w:p>
    <w:p w14:paraId="6FA6A8C6" w14:textId="77777777" w:rsidR="000020B9" w:rsidRDefault="000020B9" w:rsidP="000020B9">
      <w:pPr>
        <w:pStyle w:val="Texto01"/>
        <w:ind w:firstLine="0"/>
      </w:pPr>
    </w:p>
    <w:p w14:paraId="67A5B900" w14:textId="77777777" w:rsidR="000020B9" w:rsidRPr="00A12568" w:rsidRDefault="000020B9" w:rsidP="000020B9">
      <w:pPr>
        <w:spacing w:line="360" w:lineRule="auto"/>
        <w:jc w:val="both"/>
        <w:rPr>
          <w:lang w:val="en-US"/>
        </w:rPr>
      </w:pPr>
      <w:r w:rsidRPr="00A12568">
        <w:rPr>
          <w:lang w:val="en-US"/>
        </w:rPr>
        <w:t xml:space="preserve">The market structure varies across the segments, </w:t>
      </w:r>
      <w:r>
        <w:rPr>
          <w:lang w:val="en-US"/>
        </w:rPr>
        <w:t>with signals of</w:t>
      </w:r>
      <w:r w:rsidRPr="00A12568">
        <w:rPr>
          <w:lang w:val="en-US"/>
        </w:rPr>
        <w:t xml:space="preserve"> higher levels of </w:t>
      </w:r>
      <w:r>
        <w:rPr>
          <w:lang w:val="en-US"/>
        </w:rPr>
        <w:t xml:space="preserve">market </w:t>
      </w:r>
      <w:r w:rsidRPr="00A12568">
        <w:rPr>
          <w:lang w:val="en-US"/>
        </w:rPr>
        <w:t>c</w:t>
      </w:r>
      <w:r w:rsidRPr="00A12568">
        <w:rPr>
          <w:bCs/>
          <w:lang w:val="en-US"/>
        </w:rPr>
        <w:t>oncentration in the multioutput definition</w:t>
      </w:r>
      <w:r>
        <w:rPr>
          <w:bCs/>
          <w:lang w:val="en-US"/>
        </w:rPr>
        <w:t>s</w:t>
      </w:r>
      <w:r w:rsidRPr="00A12568">
        <w:rPr>
          <w:bCs/>
          <w:lang w:val="en-US"/>
        </w:rPr>
        <w:t xml:space="preserve"> of supplying.</w:t>
      </w:r>
      <w:r w:rsidRPr="00A12568">
        <w:rPr>
          <w:lang w:val="en-US"/>
        </w:rPr>
        <w:t xml:space="preserve"> As we can see in </w:t>
      </w:r>
      <w:r>
        <w:rPr>
          <w:lang w:val="en-US"/>
        </w:rPr>
        <w:t xml:space="preserve">the second column of </w:t>
      </w:r>
      <w:r w:rsidRPr="00A12568">
        <w:rPr>
          <w:lang w:val="en-US"/>
        </w:rPr>
        <w:t xml:space="preserve">table 4, banks supplying only classic products typically have lesser average market share in terms of total assets. </w:t>
      </w:r>
      <w:r>
        <w:t xml:space="preserve">The average market share of classic banks is 2.8% compared to 15.7% of conglomerates supplying classic and other financial products and 13.7% of conglomerates operating in classic and other non financial products. </w:t>
      </w:r>
      <w:r w:rsidRPr="00A12568">
        <w:rPr>
          <w:lang w:val="en-US"/>
        </w:rPr>
        <w:t>The same pattern arises whe</w:t>
      </w:r>
      <w:r>
        <w:rPr>
          <w:lang w:val="en-US"/>
        </w:rPr>
        <w:t xml:space="preserve">ther </w:t>
      </w:r>
      <w:r w:rsidRPr="00A12568">
        <w:rPr>
          <w:lang w:val="en-US"/>
        </w:rPr>
        <w:t>market share is calculated in terms of total revenue or when the Herfindhal-Hirschman Index (HHI) is employed to capture the level of concentration in the segments.</w:t>
      </w:r>
    </w:p>
    <w:p w14:paraId="5BB7259E" w14:textId="77777777" w:rsidR="000020B9" w:rsidRPr="001A6AB6" w:rsidRDefault="000020B9" w:rsidP="000020B9">
      <w:pPr>
        <w:pStyle w:val="Texto01"/>
        <w:ind w:firstLine="0"/>
      </w:pPr>
    </w:p>
    <w:p w14:paraId="1C2AF877" w14:textId="77777777" w:rsidR="000020B9" w:rsidRDefault="000020B9" w:rsidP="000020B9">
      <w:pPr>
        <w:spacing w:line="360" w:lineRule="auto"/>
        <w:jc w:val="both"/>
        <w:rPr>
          <w:bCs/>
          <w:lang w:val="en-US"/>
        </w:rPr>
      </w:pPr>
      <w:r>
        <w:rPr>
          <w:bCs/>
          <w:lang w:val="en-US"/>
        </w:rPr>
        <w:t xml:space="preserve">Finally, banks operating in each set of products are fairly different. Tables 5 and 6 show that, in general, more diversified banking conglomerates are larger, operating with higher market share and input prices. </w:t>
      </w:r>
      <w:r w:rsidRPr="00915297">
        <w:rPr>
          <w:bCs/>
          <w:lang w:val="en-US"/>
        </w:rPr>
        <w:t xml:space="preserve">In table 5 we have some figures for conglomerates operating only with classic banking products (third column) and for conglomerates operating at the same time in classic and </w:t>
      </w:r>
      <w:r>
        <w:rPr>
          <w:bCs/>
          <w:lang w:val="en-US"/>
        </w:rPr>
        <w:t xml:space="preserve">financial or non financial </w:t>
      </w:r>
      <w:r w:rsidRPr="00915297">
        <w:rPr>
          <w:bCs/>
          <w:lang w:val="en-US"/>
        </w:rPr>
        <w:t>product</w:t>
      </w:r>
      <w:r>
        <w:rPr>
          <w:bCs/>
          <w:lang w:val="en-US"/>
        </w:rPr>
        <w:t>s</w:t>
      </w:r>
      <w:r w:rsidRPr="00915297">
        <w:rPr>
          <w:bCs/>
          <w:lang w:val="en-US"/>
        </w:rPr>
        <w:t xml:space="preserve"> (second column).</w:t>
      </w:r>
      <w:r>
        <w:rPr>
          <w:bCs/>
          <w:lang w:val="en-US"/>
        </w:rPr>
        <w:t xml:space="preserve"> The fourth and fifth columns present the test for mean equality, with strong evidence of heterogeneity in these two types of banks. The null hypothesis of equality can not be rejected only for cost of fixed capital variable.</w:t>
      </w:r>
    </w:p>
    <w:p w14:paraId="378AAD72" w14:textId="77777777" w:rsidR="000020B9" w:rsidRDefault="000020B9" w:rsidP="000020B9">
      <w:pPr>
        <w:spacing w:line="360" w:lineRule="auto"/>
        <w:jc w:val="both"/>
        <w:rPr>
          <w:bCs/>
          <w:lang w:val="en-US"/>
        </w:rPr>
      </w:pPr>
    </w:p>
    <w:p w14:paraId="5E2CBB70" w14:textId="77777777" w:rsidR="000020B9" w:rsidRPr="00915297" w:rsidRDefault="000020B9" w:rsidP="000020B9">
      <w:pPr>
        <w:spacing w:line="360" w:lineRule="auto"/>
        <w:jc w:val="both"/>
        <w:rPr>
          <w:bCs/>
          <w:lang w:val="en-US"/>
        </w:rPr>
      </w:pPr>
      <w:r>
        <w:rPr>
          <w:bCs/>
          <w:lang w:val="en-US"/>
        </w:rPr>
        <w:t>On the other hand, in the table 6 we have the comparison between the characteristics of banks supplying all the three products and the average of all others conglomerates. The nature of results remains the same. On average, the multiproduct operation is associated with bigger banks managing in an environment with more concentration and higher input prices.</w:t>
      </w:r>
    </w:p>
    <w:p w14:paraId="751FAD66" w14:textId="77777777" w:rsidR="000020B9" w:rsidRPr="00CD7E24" w:rsidRDefault="000020B9" w:rsidP="000020B9">
      <w:pPr>
        <w:spacing w:line="360" w:lineRule="auto"/>
        <w:jc w:val="both"/>
        <w:rPr>
          <w:bCs/>
          <w:lang w:val="en-US"/>
        </w:rPr>
      </w:pPr>
    </w:p>
    <w:p w14:paraId="5B4C099B" w14:textId="77777777" w:rsidR="000020B9" w:rsidRDefault="000020B9" w:rsidP="000020B9">
      <w:pPr>
        <w:spacing w:line="360" w:lineRule="auto"/>
        <w:rPr>
          <w:b/>
          <w:bCs/>
          <w:sz w:val="28"/>
          <w:szCs w:val="28"/>
          <w:lang w:val="en-US"/>
        </w:rPr>
      </w:pPr>
    </w:p>
    <w:p w14:paraId="0F195A5A" w14:textId="77777777" w:rsidR="000020B9" w:rsidRPr="00832F1C" w:rsidRDefault="000020B9" w:rsidP="000020B9">
      <w:pPr>
        <w:spacing w:line="360" w:lineRule="auto"/>
        <w:rPr>
          <w:b/>
          <w:bCs/>
          <w:sz w:val="28"/>
          <w:szCs w:val="28"/>
          <w:lang w:val="en-US"/>
        </w:rPr>
      </w:pPr>
      <w:r>
        <w:rPr>
          <w:b/>
          <w:bCs/>
          <w:sz w:val="28"/>
          <w:szCs w:val="28"/>
          <w:lang w:val="en-US"/>
        </w:rPr>
        <w:t xml:space="preserve">4.2 </w:t>
      </w:r>
      <w:r w:rsidRPr="00832F1C">
        <w:rPr>
          <w:b/>
          <w:bCs/>
          <w:sz w:val="28"/>
          <w:szCs w:val="28"/>
          <w:lang w:val="en-US"/>
        </w:rPr>
        <w:t>Empirical strategy</w:t>
      </w:r>
    </w:p>
    <w:p w14:paraId="5AABD668" w14:textId="77777777" w:rsidR="000020B9" w:rsidRPr="0000110E" w:rsidRDefault="000020B9" w:rsidP="000020B9">
      <w:pPr>
        <w:pStyle w:val="Texto01"/>
        <w:ind w:firstLine="0"/>
        <w:rPr>
          <w:b/>
          <w:iCs/>
        </w:rPr>
      </w:pPr>
    </w:p>
    <w:p w14:paraId="0D4D37F7" w14:textId="77777777" w:rsidR="000020B9" w:rsidRPr="00FE253A" w:rsidRDefault="000020B9" w:rsidP="000020B9">
      <w:pPr>
        <w:spacing w:line="360" w:lineRule="auto"/>
        <w:jc w:val="both"/>
        <w:rPr>
          <w:lang w:val="en-US"/>
        </w:rPr>
      </w:pPr>
      <w:r w:rsidRPr="00FE253A">
        <w:rPr>
          <w:lang w:val="en-US"/>
        </w:rPr>
        <w:t xml:space="preserve">This </w:t>
      </w:r>
      <w:r>
        <w:rPr>
          <w:lang w:val="en-US"/>
        </w:rPr>
        <w:t>sub</w:t>
      </w:r>
      <w:r w:rsidRPr="00FE253A">
        <w:rPr>
          <w:lang w:val="en-US"/>
        </w:rPr>
        <w:t>section describes the econometric model that we use to estimate the change in the market power due to multiproduct nature of the bank. Following the banking literature summarized by De</w:t>
      </w:r>
      <w:r>
        <w:rPr>
          <w:lang w:val="en-US"/>
        </w:rPr>
        <w:t>g</w:t>
      </w:r>
      <w:r w:rsidRPr="00FE253A">
        <w:rPr>
          <w:lang w:val="en-US"/>
        </w:rPr>
        <w:t>ryse</w:t>
      </w:r>
      <w:r>
        <w:rPr>
          <w:lang w:val="en-US"/>
        </w:rPr>
        <w:t xml:space="preserve"> et al.</w:t>
      </w:r>
      <w:r w:rsidRPr="00FE253A">
        <w:rPr>
          <w:lang w:val="en-US"/>
        </w:rPr>
        <w:t xml:space="preserve"> (2009), we estimate the change in the market power due to multiproduct bank </w:t>
      </w:r>
      <w:r>
        <w:rPr>
          <w:lang w:val="en-US"/>
        </w:rPr>
        <w:t xml:space="preserve">operation </w:t>
      </w:r>
      <w:r w:rsidRPr="00FE253A">
        <w:rPr>
          <w:lang w:val="en-US"/>
        </w:rPr>
        <w:t>using Panzar and Ros</w:t>
      </w:r>
      <w:r>
        <w:rPr>
          <w:lang w:val="en-US"/>
        </w:rPr>
        <w:t>s</w:t>
      </w:r>
      <w:r w:rsidRPr="00FE253A">
        <w:rPr>
          <w:lang w:val="en-US"/>
        </w:rPr>
        <w:t xml:space="preserve">e (1987) approach. So, we first estimate the revenue equation as </w:t>
      </w:r>
      <w:r>
        <w:rPr>
          <w:lang w:val="en-US"/>
        </w:rPr>
        <w:t xml:space="preserve">a </w:t>
      </w:r>
      <w:r w:rsidRPr="00FE253A">
        <w:rPr>
          <w:lang w:val="en-US"/>
        </w:rPr>
        <w:t>function of bank input prices, and then we compute the</w:t>
      </w:r>
      <w:r>
        <w:rPr>
          <w:lang w:val="en-US"/>
        </w:rPr>
        <w:t xml:space="preserve"> Standard </w:t>
      </w:r>
      <w:r w:rsidRPr="00FE253A">
        <w:rPr>
          <w:lang w:val="en-US"/>
        </w:rPr>
        <w:t>Panzar-Ro</w:t>
      </w:r>
      <w:r>
        <w:rPr>
          <w:lang w:val="en-US"/>
        </w:rPr>
        <w:t>s</w:t>
      </w:r>
      <w:r w:rsidRPr="00FE253A">
        <w:rPr>
          <w:lang w:val="en-US"/>
        </w:rPr>
        <w:t xml:space="preserve">se H-Statistic </w:t>
      </w:r>
      <w:r>
        <w:rPr>
          <w:lang w:val="en-US"/>
        </w:rPr>
        <w:t xml:space="preserve">and the </w:t>
      </w:r>
      <w:r w:rsidRPr="00FE253A">
        <w:rPr>
          <w:lang w:val="en-US"/>
        </w:rPr>
        <w:t xml:space="preserve">change in H-Statistic due to multiproduct nature of the bank, namely </w:t>
      </w:r>
      <w:r w:rsidRPr="00FE253A">
        <w:rPr>
          <w:lang w:val="en-US"/>
        </w:rPr>
        <w:sym w:font="Symbol" w:char="F044"/>
      </w:r>
      <w:r w:rsidRPr="00FE253A">
        <w:rPr>
          <w:lang w:val="en-US"/>
        </w:rPr>
        <w:t xml:space="preserve">H. </w:t>
      </w:r>
      <w:r>
        <w:rPr>
          <w:lang w:val="en-US"/>
        </w:rPr>
        <w:t>To conclude, we obtain the and Adjusted Panzar and Rosse for conglomerate-multiproduct banks.</w:t>
      </w:r>
    </w:p>
    <w:p w14:paraId="6668AC96" w14:textId="77777777" w:rsidR="000020B9" w:rsidRDefault="000020B9" w:rsidP="000020B9">
      <w:pPr>
        <w:spacing w:line="360" w:lineRule="auto"/>
        <w:jc w:val="both"/>
        <w:rPr>
          <w:lang w:val="en-US"/>
        </w:rPr>
      </w:pPr>
    </w:p>
    <w:p w14:paraId="58B1D6A0" w14:textId="77777777" w:rsidR="000020B9" w:rsidRDefault="000020B9" w:rsidP="000020B9">
      <w:pPr>
        <w:spacing w:line="360" w:lineRule="auto"/>
        <w:jc w:val="both"/>
        <w:rPr>
          <w:lang w:val="en-US"/>
        </w:rPr>
      </w:pPr>
      <w:r w:rsidRPr="00FE253A">
        <w:rPr>
          <w:lang w:val="en-US"/>
        </w:rPr>
        <w:t>The revenue equation is described the following equation:</w:t>
      </w:r>
    </w:p>
    <w:p w14:paraId="398393B0" w14:textId="77777777" w:rsidR="000020B9" w:rsidRDefault="000020B9" w:rsidP="000020B9">
      <w:pPr>
        <w:spacing w:line="360" w:lineRule="auto"/>
        <w:jc w:val="both"/>
        <w:rPr>
          <w:lang w:val="en-US"/>
        </w:rPr>
      </w:pPr>
    </w:p>
    <w:p w14:paraId="07C59F6E" w14:textId="77777777" w:rsidR="000020B9" w:rsidRDefault="000020B9" w:rsidP="000020B9">
      <w:pPr>
        <w:spacing w:line="360" w:lineRule="auto"/>
        <w:jc w:val="center"/>
        <w:rPr>
          <w:lang w:val="en-US"/>
        </w:rPr>
      </w:pPr>
      <w:r w:rsidRPr="00901EBF">
        <w:rPr>
          <w:position w:val="-12"/>
          <w:lang w:val="en-US"/>
        </w:rPr>
        <w:object w:dxaOrig="8400" w:dyaOrig="360" w14:anchorId="106787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8pt" o:ole="">
            <v:imagedata r:id="rId7" o:title=""/>
          </v:shape>
          <o:OLEObject Type="Embed" ProgID="Equation.3" ShapeID="_x0000_i1025" DrawAspect="Content" ObjectID="_1667139838" r:id="rId8"/>
        </w:object>
      </w:r>
    </w:p>
    <w:p w14:paraId="4382064B" w14:textId="77777777" w:rsidR="000020B9" w:rsidRDefault="000020B9" w:rsidP="000020B9">
      <w:pPr>
        <w:spacing w:line="360" w:lineRule="auto"/>
        <w:jc w:val="both"/>
        <w:rPr>
          <w:lang w:val="en-US"/>
        </w:rPr>
      </w:pPr>
    </w:p>
    <w:p w14:paraId="6E384216" w14:textId="69F8977C" w:rsidR="000020B9" w:rsidRPr="00FE253A" w:rsidRDefault="000020B9" w:rsidP="000020B9">
      <w:pPr>
        <w:spacing w:line="360" w:lineRule="auto"/>
        <w:jc w:val="both"/>
        <w:rPr>
          <w:lang w:val="en-US"/>
        </w:rPr>
      </w:pPr>
      <w:r w:rsidRPr="00FE253A">
        <w:rPr>
          <w:lang w:val="en-US"/>
        </w:rPr>
        <w:t>where</w:t>
      </w:r>
      <w:r>
        <w:rPr>
          <w:lang w:val="en-US"/>
        </w:rPr>
        <w:t xml:space="preserve"> </w:t>
      </w:r>
      <w:r w:rsidRPr="00630947">
        <w:rPr>
          <w:i/>
          <w:lang w:val="en-US"/>
        </w:rPr>
        <w:t>ln(RT</w:t>
      </w:r>
      <w:r w:rsidRPr="00630947">
        <w:rPr>
          <w:i/>
          <w:vertAlign w:val="subscript"/>
          <w:lang w:val="en-US"/>
        </w:rPr>
        <w:t>it</w:t>
      </w:r>
      <w:r w:rsidRPr="00630947">
        <w:rPr>
          <w:i/>
          <w:lang w:val="en-US"/>
        </w:rPr>
        <w:t>)</w:t>
      </w:r>
      <w:r>
        <w:rPr>
          <w:lang w:val="en-US"/>
        </w:rPr>
        <w:t xml:space="preserve"> </w:t>
      </w:r>
      <w:r w:rsidRPr="00FE253A">
        <w:rPr>
          <w:lang w:val="en-US"/>
        </w:rPr>
        <w:fldChar w:fldCharType="begin"/>
      </w:r>
      <w:r w:rsidRPr="00FE253A">
        <w:rPr>
          <w:lang w:val="en-US"/>
        </w:rPr>
        <w:instrText xml:space="preserve"> QUOTE </w:instrText>
      </w: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RT</m:t>
                </m:r>
              </m:e>
              <m:sub>
                <m:r>
                  <w:rPr>
                    <w:rFonts w:ascii="Cambria Math" w:hAnsi="Cambria Math"/>
                  </w:rPr>
                  <m:t>it</m:t>
                </m:r>
              </m:sub>
            </m:sSub>
          </m:e>
        </m:d>
        <m:r>
          <w:rPr>
            <w:rFonts w:ascii="Cambria Math" w:hAnsi="Cambria Math"/>
          </w:rPr>
          <m:t xml:space="preserve"> </m:t>
        </m:r>
      </m:oMath>
      <w:r w:rsidRPr="00FE253A">
        <w:rPr>
          <w:lang w:val="en-US"/>
        </w:rPr>
        <w:instrText xml:space="preserve"> </w:instrText>
      </w:r>
      <w:r w:rsidRPr="00FE253A">
        <w:rPr>
          <w:lang w:val="en-US"/>
        </w:rPr>
        <w:fldChar w:fldCharType="separate"/>
      </w:r>
      <w:r w:rsidRPr="00FE253A">
        <w:rPr>
          <w:lang w:val="en-US"/>
        </w:rPr>
        <w:fldChar w:fldCharType="end"/>
      </w:r>
      <w:r w:rsidRPr="00FE253A">
        <w:rPr>
          <w:lang w:val="en-US"/>
        </w:rPr>
        <w:t xml:space="preserve">is the total financial revenue of a </w:t>
      </w:r>
      <w:r>
        <w:rPr>
          <w:lang w:val="en-US"/>
        </w:rPr>
        <w:t xml:space="preserve">bank </w:t>
      </w:r>
      <w:r w:rsidRPr="00630947">
        <w:rPr>
          <w:i/>
          <w:lang w:val="en-US"/>
        </w:rPr>
        <w:t>i</w:t>
      </w:r>
      <w:r>
        <w:rPr>
          <w:lang w:val="en-US"/>
        </w:rPr>
        <w:t xml:space="preserve"> at time </w:t>
      </w:r>
      <w:r w:rsidRPr="00630947">
        <w:rPr>
          <w:i/>
          <w:lang w:val="en-US"/>
        </w:rPr>
        <w:t>t</w:t>
      </w:r>
      <w:r>
        <w:rPr>
          <w:lang w:val="en-US"/>
        </w:rPr>
        <w:t xml:space="preserve">. The vector </w:t>
      </w:r>
      <w:r w:rsidRPr="009E2202">
        <w:rPr>
          <w:i/>
          <w:lang w:val="en-US"/>
        </w:rPr>
        <w:t>w</w:t>
      </w:r>
      <w:r w:rsidRPr="009E2202">
        <w:rPr>
          <w:i/>
          <w:vertAlign w:val="subscript"/>
          <w:lang w:val="en-US"/>
        </w:rPr>
        <w:t>it</w:t>
      </w:r>
      <w:r w:rsidRPr="009E2202">
        <w:rPr>
          <w:i/>
          <w:lang w:val="en-US"/>
        </w:rPr>
        <w:t xml:space="preserve"> </w:t>
      </w:r>
      <w:r w:rsidRPr="00FE253A">
        <w:rPr>
          <w:lang w:val="en-US"/>
        </w:rPr>
        <w:t>corresponds to the bank input prices. The variable</w:t>
      </w:r>
      <w:r>
        <w:rPr>
          <w:lang w:val="en-US"/>
        </w:rPr>
        <w:t xml:space="preserve"> </w:t>
      </w:r>
      <w:r w:rsidRPr="00630947">
        <w:rPr>
          <w:i/>
          <w:lang w:val="en-US"/>
        </w:rPr>
        <w:t>dumMultProduct</w:t>
      </w:r>
      <w:r w:rsidRPr="00630947">
        <w:rPr>
          <w:i/>
          <w:vertAlign w:val="subscript"/>
          <w:lang w:val="en-US"/>
        </w:rPr>
        <w:t>i</w:t>
      </w:r>
      <w:r>
        <w:rPr>
          <w:lang w:val="en-US"/>
        </w:rPr>
        <w:t xml:space="preserve"> </w:t>
      </w:r>
      <w:r w:rsidRPr="00FE253A">
        <w:rPr>
          <w:lang w:val="en-US"/>
        </w:rPr>
        <w:t xml:space="preserve">is a dummy variable which is equal to 1 if the bank </w:t>
      </w:r>
      <w:r w:rsidRPr="00630947">
        <w:rPr>
          <w:i/>
          <w:lang w:val="en-US"/>
        </w:rPr>
        <w:t>i</w:t>
      </w:r>
      <w:r w:rsidRPr="00FE253A">
        <w:rPr>
          <w:lang w:val="en-US"/>
        </w:rPr>
        <w:t xml:space="preserve"> has other bank products, and zero otherwise. The vector </w:t>
      </w:r>
      <w:r w:rsidRPr="00630947">
        <w:rPr>
          <w:i/>
          <w:lang w:val="en-US"/>
        </w:rPr>
        <w:t>Z</w:t>
      </w:r>
      <w:r w:rsidRPr="00630947">
        <w:rPr>
          <w:i/>
          <w:vertAlign w:val="subscript"/>
          <w:lang w:val="en-US"/>
        </w:rPr>
        <w:t>it</w:t>
      </w:r>
      <w:r w:rsidRPr="00FE253A">
        <w:rPr>
          <w:lang w:val="en-US"/>
        </w:rPr>
        <w:t xml:space="preserve"> and the variables</w:t>
      </w:r>
      <w:r>
        <w:rPr>
          <w:lang w:val="en-US"/>
        </w:rPr>
        <w:t xml:space="preserve"> μ</w:t>
      </w:r>
      <w:r w:rsidRPr="0052055C">
        <w:rPr>
          <w:vertAlign w:val="subscript"/>
          <w:lang w:val="en-US"/>
        </w:rPr>
        <w:t>i</w:t>
      </w:r>
      <w:r>
        <w:rPr>
          <w:lang w:val="en-US"/>
        </w:rPr>
        <w:t>, δ</w:t>
      </w:r>
      <w:r w:rsidRPr="0052055C">
        <w:rPr>
          <w:vertAlign w:val="subscript"/>
          <w:lang w:val="en-US"/>
        </w:rPr>
        <w:t>t</w:t>
      </w:r>
      <w:r>
        <w:rPr>
          <w:lang w:val="en-US"/>
        </w:rPr>
        <w:t xml:space="preserve"> and ε</w:t>
      </w:r>
      <w:r w:rsidRPr="0052055C">
        <w:rPr>
          <w:vertAlign w:val="subscript"/>
          <w:lang w:val="en-US"/>
        </w:rPr>
        <w:t>it</w:t>
      </w:r>
      <w:r w:rsidRPr="00FE253A">
        <w:rPr>
          <w:lang w:val="en-US"/>
        </w:rPr>
        <w:t xml:space="preserve"> are, respectively, the control variables, bank fixed-effects, time-fixed effects and an erratic term which is assumed to be not correlated to the other independent variables in equation (1). </w:t>
      </w:r>
    </w:p>
    <w:p w14:paraId="7F4C33D5" w14:textId="77777777" w:rsidR="000020B9" w:rsidRDefault="000020B9" w:rsidP="000020B9">
      <w:pPr>
        <w:spacing w:line="360" w:lineRule="auto"/>
        <w:jc w:val="both"/>
        <w:rPr>
          <w:lang w:val="en-US"/>
        </w:rPr>
      </w:pPr>
    </w:p>
    <w:p w14:paraId="296D7DAC" w14:textId="77777777" w:rsidR="000020B9" w:rsidRDefault="000020B9" w:rsidP="000020B9">
      <w:pPr>
        <w:spacing w:line="360" w:lineRule="auto"/>
        <w:jc w:val="both"/>
        <w:rPr>
          <w:lang w:val="en-US"/>
        </w:rPr>
      </w:pPr>
      <w:r w:rsidRPr="00FE253A">
        <w:rPr>
          <w:lang w:val="en-US"/>
        </w:rPr>
        <w:t>The usual Panzar-Ros</w:t>
      </w:r>
      <w:r>
        <w:rPr>
          <w:lang w:val="en-US"/>
        </w:rPr>
        <w:t>s</w:t>
      </w:r>
      <w:r w:rsidRPr="00FE253A">
        <w:rPr>
          <w:lang w:val="en-US"/>
        </w:rPr>
        <w:t>e H-Statistic is estimated by the following equation</w:t>
      </w:r>
    </w:p>
    <w:p w14:paraId="687AFCBC" w14:textId="77777777" w:rsidR="000020B9" w:rsidRDefault="000020B9" w:rsidP="000020B9">
      <w:pPr>
        <w:spacing w:line="360" w:lineRule="auto"/>
        <w:jc w:val="center"/>
        <w:rPr>
          <w:lang w:val="en-US"/>
        </w:rPr>
      </w:pPr>
      <w:r w:rsidRPr="00FE253A">
        <w:rPr>
          <w:lang w:val="en-US"/>
        </w:rPr>
        <w:t>Standard-H =</w:t>
      </w:r>
      <w:r>
        <w:rPr>
          <w:lang w:val="en-US"/>
        </w:rPr>
        <w:t xml:space="preserve"> </w:t>
      </w:r>
      <w:r w:rsidRPr="00711BF5">
        <w:rPr>
          <w:position w:val="-28"/>
          <w:lang w:val="en-US"/>
        </w:rPr>
        <w:object w:dxaOrig="780" w:dyaOrig="680" w14:anchorId="00D86889">
          <v:shape id="_x0000_i1027" type="#_x0000_t75" style="width:39pt;height:33.75pt" o:ole="">
            <v:imagedata r:id="rId9" o:title=""/>
          </v:shape>
          <o:OLEObject Type="Embed" ProgID="Equation.3" ShapeID="_x0000_i1027" DrawAspect="Content" ObjectID="_1667139839" r:id="rId10"/>
        </w:object>
      </w:r>
      <w:r>
        <w:rPr>
          <w:lang w:val="en-US"/>
        </w:rPr>
        <w:tab/>
      </w:r>
      <w:r>
        <w:rPr>
          <w:lang w:val="en-US"/>
        </w:rPr>
        <w:tab/>
        <w:t>(2),</w:t>
      </w:r>
    </w:p>
    <w:p w14:paraId="513E9C8D" w14:textId="77777777" w:rsidR="000020B9" w:rsidRDefault="000020B9" w:rsidP="000020B9">
      <w:pPr>
        <w:spacing w:line="360" w:lineRule="auto"/>
        <w:jc w:val="both"/>
        <w:rPr>
          <w:lang w:val="en-US"/>
        </w:rPr>
      </w:pPr>
      <w:r>
        <w:rPr>
          <w:lang w:val="en-US"/>
        </w:rPr>
        <w:t>such that</w:t>
      </w:r>
    </w:p>
    <w:p w14:paraId="6A08A868" w14:textId="77777777" w:rsidR="000020B9" w:rsidRDefault="000020B9" w:rsidP="000020B9">
      <w:pPr>
        <w:spacing w:line="360" w:lineRule="auto"/>
        <w:jc w:val="both"/>
        <w:rPr>
          <w:lang w:val="en-US"/>
        </w:rPr>
      </w:pPr>
    </w:p>
    <w:tbl>
      <w:tblPr>
        <w:tblW w:w="0" w:type="auto"/>
        <w:jc w:val="center"/>
        <w:tblBorders>
          <w:top w:val="single" w:sz="12" w:space="0" w:color="000000"/>
          <w:bottom w:val="single" w:sz="12" w:space="0" w:color="000000"/>
        </w:tblBorders>
        <w:tblLayout w:type="fixed"/>
        <w:tblLook w:val="04A0" w:firstRow="1" w:lastRow="0" w:firstColumn="1" w:lastColumn="0" w:noHBand="0" w:noVBand="1"/>
      </w:tblPr>
      <w:tblGrid>
        <w:gridCol w:w="2683"/>
        <w:gridCol w:w="4536"/>
      </w:tblGrid>
      <w:tr w:rsidR="000020B9" w:rsidRPr="00982973" w14:paraId="586AA290" w14:textId="77777777" w:rsidTr="00EF25E1">
        <w:trPr>
          <w:trHeight w:val="309"/>
          <w:jc w:val="center"/>
        </w:trPr>
        <w:tc>
          <w:tcPr>
            <w:tcW w:w="2683" w:type="dxa"/>
            <w:tcBorders>
              <w:top w:val="single" w:sz="12" w:space="0" w:color="000000"/>
              <w:bottom w:val="single" w:sz="4" w:space="0" w:color="auto"/>
              <w:right w:val="single" w:sz="4" w:space="0" w:color="auto"/>
            </w:tcBorders>
            <w:shd w:val="clear" w:color="auto" w:fill="auto"/>
          </w:tcPr>
          <w:p w14:paraId="6931A027" w14:textId="77777777" w:rsidR="000020B9" w:rsidRPr="00982973" w:rsidRDefault="000020B9" w:rsidP="00EF25E1">
            <w:pPr>
              <w:spacing w:line="360" w:lineRule="auto"/>
              <w:jc w:val="center"/>
              <w:rPr>
                <w:b/>
                <w:lang w:val="en-US"/>
              </w:rPr>
            </w:pPr>
            <w:r w:rsidRPr="00982973">
              <w:rPr>
                <w:b/>
                <w:lang w:val="en-US"/>
              </w:rPr>
              <w:t>Values for Standard-H</w:t>
            </w:r>
          </w:p>
        </w:tc>
        <w:tc>
          <w:tcPr>
            <w:tcW w:w="4536" w:type="dxa"/>
            <w:tcBorders>
              <w:top w:val="single" w:sz="12" w:space="0" w:color="000000"/>
              <w:left w:val="single" w:sz="4" w:space="0" w:color="auto"/>
              <w:bottom w:val="single" w:sz="4" w:space="0" w:color="auto"/>
            </w:tcBorders>
            <w:shd w:val="clear" w:color="auto" w:fill="auto"/>
          </w:tcPr>
          <w:p w14:paraId="2FD9FA78" w14:textId="77777777" w:rsidR="000020B9" w:rsidRPr="00982973" w:rsidRDefault="000020B9" w:rsidP="00EF25E1">
            <w:pPr>
              <w:spacing w:line="360" w:lineRule="auto"/>
              <w:jc w:val="center"/>
              <w:rPr>
                <w:b/>
                <w:lang w:val="en-US"/>
              </w:rPr>
            </w:pPr>
            <w:r w:rsidRPr="00982973">
              <w:rPr>
                <w:b/>
                <w:lang w:val="en-US"/>
              </w:rPr>
              <w:t>Market Power compatible with</w:t>
            </w:r>
          </w:p>
        </w:tc>
      </w:tr>
      <w:tr w:rsidR="000020B9" w:rsidRPr="00982973" w14:paraId="174DFA56" w14:textId="77777777" w:rsidTr="00EF25E1">
        <w:trPr>
          <w:trHeight w:val="301"/>
          <w:jc w:val="center"/>
        </w:trPr>
        <w:tc>
          <w:tcPr>
            <w:tcW w:w="2683" w:type="dxa"/>
            <w:tcBorders>
              <w:top w:val="single" w:sz="4" w:space="0" w:color="auto"/>
              <w:bottom w:val="single" w:sz="4" w:space="0" w:color="auto"/>
              <w:right w:val="single" w:sz="4" w:space="0" w:color="auto"/>
            </w:tcBorders>
            <w:shd w:val="clear" w:color="auto" w:fill="auto"/>
          </w:tcPr>
          <w:p w14:paraId="0DEB4768" w14:textId="77777777" w:rsidR="000020B9" w:rsidRPr="00982973" w:rsidRDefault="000020B9" w:rsidP="00EF25E1">
            <w:pPr>
              <w:spacing w:line="360" w:lineRule="auto"/>
              <w:jc w:val="center"/>
              <w:rPr>
                <w:lang w:val="en-US"/>
              </w:rPr>
            </w:pPr>
            <w:r w:rsidRPr="00982973">
              <w:rPr>
                <w:lang w:val="en-US"/>
              </w:rPr>
              <w:t>Standard-H ≤ 0</w:t>
            </w:r>
          </w:p>
        </w:tc>
        <w:tc>
          <w:tcPr>
            <w:tcW w:w="4536" w:type="dxa"/>
            <w:tcBorders>
              <w:top w:val="single" w:sz="4" w:space="0" w:color="auto"/>
              <w:left w:val="single" w:sz="4" w:space="0" w:color="auto"/>
              <w:bottom w:val="single" w:sz="4" w:space="0" w:color="auto"/>
            </w:tcBorders>
            <w:shd w:val="clear" w:color="auto" w:fill="auto"/>
          </w:tcPr>
          <w:p w14:paraId="161F1323" w14:textId="77777777" w:rsidR="000020B9" w:rsidRPr="00982973" w:rsidRDefault="000020B9" w:rsidP="00EF25E1">
            <w:pPr>
              <w:spacing w:line="360" w:lineRule="auto"/>
              <w:jc w:val="center"/>
              <w:rPr>
                <w:lang w:val="en-US"/>
              </w:rPr>
            </w:pPr>
            <w:r w:rsidRPr="00982973">
              <w:rPr>
                <w:lang w:val="en-US"/>
              </w:rPr>
              <w:t>Monopoly or Monopolist Competition</w:t>
            </w:r>
          </w:p>
          <w:p w14:paraId="412DDB97" w14:textId="77777777" w:rsidR="000020B9" w:rsidRPr="00982973" w:rsidRDefault="000020B9" w:rsidP="00EF25E1">
            <w:pPr>
              <w:spacing w:line="360" w:lineRule="auto"/>
              <w:jc w:val="center"/>
              <w:rPr>
                <w:lang w:val="en-US"/>
              </w:rPr>
            </w:pPr>
          </w:p>
        </w:tc>
      </w:tr>
      <w:tr w:rsidR="000020B9" w:rsidRPr="002B273E" w14:paraId="7D64605F" w14:textId="77777777" w:rsidTr="00EF25E1">
        <w:trPr>
          <w:trHeight w:val="302"/>
          <w:jc w:val="center"/>
        </w:trPr>
        <w:tc>
          <w:tcPr>
            <w:tcW w:w="2683" w:type="dxa"/>
            <w:tcBorders>
              <w:top w:val="single" w:sz="4" w:space="0" w:color="auto"/>
              <w:bottom w:val="single" w:sz="4" w:space="0" w:color="auto"/>
              <w:right w:val="single" w:sz="4" w:space="0" w:color="auto"/>
            </w:tcBorders>
            <w:shd w:val="clear" w:color="auto" w:fill="auto"/>
          </w:tcPr>
          <w:p w14:paraId="25897DDA" w14:textId="77777777" w:rsidR="000020B9" w:rsidRPr="00982973" w:rsidRDefault="000020B9" w:rsidP="00EF25E1">
            <w:pPr>
              <w:spacing w:line="360" w:lineRule="auto"/>
              <w:jc w:val="center"/>
              <w:rPr>
                <w:lang w:val="en-US"/>
              </w:rPr>
            </w:pPr>
            <w:r w:rsidRPr="00982973">
              <w:rPr>
                <w:lang w:val="en-US"/>
              </w:rPr>
              <w:t xml:space="preserve">Standard-H ≤ 1  </w:t>
            </w:r>
          </w:p>
        </w:tc>
        <w:tc>
          <w:tcPr>
            <w:tcW w:w="4536" w:type="dxa"/>
            <w:tcBorders>
              <w:top w:val="single" w:sz="4" w:space="0" w:color="auto"/>
              <w:left w:val="single" w:sz="4" w:space="0" w:color="auto"/>
              <w:bottom w:val="single" w:sz="4" w:space="0" w:color="auto"/>
            </w:tcBorders>
            <w:shd w:val="clear" w:color="auto" w:fill="auto"/>
          </w:tcPr>
          <w:p w14:paraId="26ADC80C" w14:textId="77777777" w:rsidR="000020B9" w:rsidRDefault="000020B9" w:rsidP="00EF25E1">
            <w:pPr>
              <w:spacing w:line="360" w:lineRule="auto"/>
              <w:jc w:val="center"/>
            </w:pPr>
            <w:r w:rsidRPr="00982973">
              <w:rPr>
                <w:lang w:val="en-US"/>
              </w:rPr>
              <w:t>Mon</w:t>
            </w:r>
            <w:r>
              <w:t>opolist Competition</w:t>
            </w:r>
          </w:p>
          <w:p w14:paraId="73E04282" w14:textId="77777777" w:rsidR="000020B9" w:rsidRPr="002B273E" w:rsidRDefault="000020B9" w:rsidP="00EF25E1">
            <w:pPr>
              <w:spacing w:line="360" w:lineRule="auto"/>
              <w:jc w:val="center"/>
            </w:pPr>
          </w:p>
        </w:tc>
      </w:tr>
      <w:tr w:rsidR="000020B9" w:rsidRPr="002B273E" w14:paraId="7457216C" w14:textId="77777777" w:rsidTr="00EF25E1">
        <w:trPr>
          <w:trHeight w:val="302"/>
          <w:jc w:val="center"/>
        </w:trPr>
        <w:tc>
          <w:tcPr>
            <w:tcW w:w="2683" w:type="dxa"/>
            <w:tcBorders>
              <w:top w:val="single" w:sz="4" w:space="0" w:color="auto"/>
              <w:bottom w:val="single" w:sz="12" w:space="0" w:color="auto"/>
              <w:right w:val="single" w:sz="4" w:space="0" w:color="auto"/>
            </w:tcBorders>
            <w:shd w:val="clear" w:color="auto" w:fill="auto"/>
          </w:tcPr>
          <w:p w14:paraId="0ED21320" w14:textId="77777777" w:rsidR="000020B9" w:rsidRPr="002B273E" w:rsidRDefault="000020B9" w:rsidP="00EF25E1">
            <w:pPr>
              <w:spacing w:line="360" w:lineRule="auto"/>
              <w:jc w:val="center"/>
            </w:pPr>
            <w:r>
              <w:lastRenderedPageBreak/>
              <w:t>Standard-</w:t>
            </w:r>
            <w:r w:rsidRPr="002B273E">
              <w:t>H = 1</w:t>
            </w:r>
          </w:p>
        </w:tc>
        <w:tc>
          <w:tcPr>
            <w:tcW w:w="4536" w:type="dxa"/>
            <w:tcBorders>
              <w:top w:val="single" w:sz="4" w:space="0" w:color="auto"/>
              <w:left w:val="single" w:sz="4" w:space="0" w:color="auto"/>
              <w:bottom w:val="single" w:sz="12" w:space="0" w:color="auto"/>
            </w:tcBorders>
            <w:shd w:val="clear" w:color="auto" w:fill="auto"/>
          </w:tcPr>
          <w:p w14:paraId="2C347AC8" w14:textId="77777777" w:rsidR="000020B9" w:rsidRPr="002B273E" w:rsidRDefault="000020B9" w:rsidP="00EF25E1">
            <w:pPr>
              <w:spacing w:line="360" w:lineRule="auto"/>
              <w:jc w:val="center"/>
            </w:pPr>
            <w:r>
              <w:t>Perfect Competition</w:t>
            </w:r>
          </w:p>
        </w:tc>
      </w:tr>
    </w:tbl>
    <w:p w14:paraId="4DAA131C" w14:textId="77777777" w:rsidR="000020B9" w:rsidRDefault="000020B9" w:rsidP="000020B9">
      <w:pPr>
        <w:pStyle w:val="Texto01"/>
        <w:ind w:firstLine="0"/>
      </w:pPr>
    </w:p>
    <w:p w14:paraId="10AC0226" w14:textId="77777777" w:rsidR="000020B9" w:rsidRDefault="000020B9" w:rsidP="000020B9">
      <w:pPr>
        <w:pStyle w:val="Texto01"/>
        <w:ind w:firstLine="0"/>
      </w:pPr>
      <w:r>
        <w:t xml:space="preserve">The change in traditional Panzar-Rosse H-Statistic due to the multiproduct nature of the bank, namely </w:t>
      </w:r>
      <w:r>
        <w:sym w:font="Symbol" w:char="F044"/>
      </w:r>
      <w:r>
        <w:t xml:space="preserve">H, is estimated by </w:t>
      </w:r>
      <w:r>
        <w:sym w:font="Symbol" w:char="F044"/>
      </w:r>
      <w:r w:rsidRPr="00873F37">
        <w:t>H =</w:t>
      </w:r>
      <w:r w:rsidRPr="00711BF5">
        <w:rPr>
          <w:position w:val="-28"/>
        </w:rPr>
        <w:object w:dxaOrig="780" w:dyaOrig="680" w14:anchorId="092F063F">
          <v:shape id="_x0000_i1028" type="#_x0000_t75" style="width:39pt;height:33.75pt" o:ole="">
            <v:imagedata r:id="rId11" o:title=""/>
          </v:shape>
          <o:OLEObject Type="Embed" ProgID="Equation.3" ShapeID="_x0000_i1028" DrawAspect="Content" ObjectID="_1667139840" r:id="rId12"/>
        </w:object>
      </w:r>
      <w:r>
        <w:t xml:space="preserve">. </w:t>
      </w:r>
      <w:r w:rsidRPr="00932257">
        <w:t>Therefore, the Adj</w:t>
      </w:r>
      <w:r>
        <w:t>u</w:t>
      </w:r>
      <w:r w:rsidRPr="00932257">
        <w:t>sted P</w:t>
      </w:r>
      <w:r w:rsidRPr="008F4B7A">
        <w:t>anzar-</w:t>
      </w:r>
      <w:r>
        <w:t>Rosse</w:t>
      </w:r>
      <w:r w:rsidRPr="008F4B7A">
        <w:t xml:space="preserve"> H-Statistic to account for the multiproduct nature of </w:t>
      </w:r>
      <w:r>
        <w:t>a</w:t>
      </w:r>
      <w:r w:rsidRPr="008F4B7A">
        <w:t xml:space="preserve"> bank, is estimated by</w:t>
      </w:r>
    </w:p>
    <w:p w14:paraId="31DB31A4" w14:textId="77777777" w:rsidR="000020B9" w:rsidRDefault="000020B9" w:rsidP="000020B9">
      <w:pPr>
        <w:pStyle w:val="Texto01"/>
        <w:ind w:firstLine="0"/>
      </w:pPr>
    </w:p>
    <w:p w14:paraId="410C1F25" w14:textId="77777777" w:rsidR="000020B9" w:rsidRDefault="000020B9" w:rsidP="000020B9">
      <w:pPr>
        <w:pStyle w:val="Texto01"/>
        <w:ind w:firstLine="0"/>
        <w:jc w:val="center"/>
      </w:pPr>
      <w:r>
        <w:t>Adjusted-</w:t>
      </w:r>
      <w:r w:rsidRPr="00873F37">
        <w:t xml:space="preserve">H = </w:t>
      </w:r>
      <w:r w:rsidRPr="00711BF5">
        <w:rPr>
          <w:position w:val="-28"/>
        </w:rPr>
        <w:object w:dxaOrig="1719" w:dyaOrig="680" w14:anchorId="6C0F5462">
          <v:shape id="_x0000_i1029" type="#_x0000_t75" style="width:86.25pt;height:33.75pt" o:ole="">
            <v:imagedata r:id="rId13" o:title=""/>
          </v:shape>
          <o:OLEObject Type="Embed" ProgID="Equation.3" ShapeID="_x0000_i1029" DrawAspect="Content" ObjectID="_1667139841" r:id="rId14"/>
        </w:object>
      </w:r>
      <w:r>
        <w:tab/>
      </w:r>
      <w:r>
        <w:tab/>
        <w:t>(3)</w:t>
      </w:r>
    </w:p>
    <w:p w14:paraId="09139B9F" w14:textId="77777777" w:rsidR="000020B9" w:rsidRDefault="000020B9" w:rsidP="000020B9">
      <w:pPr>
        <w:pStyle w:val="Texto01"/>
        <w:ind w:firstLine="0"/>
      </w:pPr>
    </w:p>
    <w:p w14:paraId="5045D9AF" w14:textId="77777777" w:rsidR="000020B9" w:rsidRDefault="000020B9" w:rsidP="000020B9">
      <w:pPr>
        <w:pStyle w:val="Texto01"/>
        <w:ind w:firstLine="0"/>
      </w:pPr>
      <w:r>
        <w:t xml:space="preserve">In this paper we examine empirically whether the market power of a bank increases when it is taken into account that the multiproduct nature of a bank, i.e., when it is considered the revenues and cost that they have which come from other bank products than the classic ones. </w:t>
      </w:r>
    </w:p>
    <w:p w14:paraId="22BCEDE3" w14:textId="77777777" w:rsidR="000020B9" w:rsidRDefault="000020B9" w:rsidP="000020B9">
      <w:pPr>
        <w:pStyle w:val="Texto01"/>
        <w:ind w:firstLine="0"/>
      </w:pPr>
      <w:r>
        <w:t>This hypothesis is tested in the econometric model describe above proceeding the following test of hypothesis:</w:t>
      </w:r>
    </w:p>
    <w:p w14:paraId="44FED2BD" w14:textId="77777777" w:rsidR="000020B9" w:rsidRDefault="000020B9" w:rsidP="000020B9">
      <w:pPr>
        <w:pStyle w:val="Texto01"/>
        <w:ind w:firstLine="0"/>
      </w:pPr>
    </w:p>
    <w:p w14:paraId="7EE77C1E" w14:textId="77777777" w:rsidR="000020B9" w:rsidRDefault="000020B9" w:rsidP="000020B9">
      <w:pPr>
        <w:pStyle w:val="Texto01"/>
        <w:ind w:firstLine="0"/>
        <w:jc w:val="center"/>
      </w:pPr>
      <w:r>
        <w:t>H</w:t>
      </w:r>
      <w:r w:rsidRPr="00CC19E7">
        <w:rPr>
          <w:vertAlign w:val="subscript"/>
        </w:rPr>
        <w:t>0</w:t>
      </w:r>
      <w:r>
        <w:t xml:space="preserve">: </w:t>
      </w:r>
      <w:r>
        <w:sym w:font="Symbol" w:char="F044"/>
      </w:r>
      <w:r>
        <w:t>H≥ 0</w:t>
      </w:r>
    </w:p>
    <w:p w14:paraId="1191747A" w14:textId="77777777" w:rsidR="000020B9" w:rsidRDefault="000020B9" w:rsidP="000020B9">
      <w:pPr>
        <w:pStyle w:val="Texto01"/>
        <w:ind w:firstLine="0"/>
        <w:jc w:val="center"/>
      </w:pPr>
      <w:r>
        <w:t xml:space="preserve">Ha:  </w:t>
      </w:r>
      <w:r>
        <w:sym w:font="Symbol" w:char="F044"/>
      </w:r>
      <w:r>
        <w:t>H&lt; 0</w:t>
      </w:r>
    </w:p>
    <w:p w14:paraId="142E1D40" w14:textId="77777777" w:rsidR="000020B9" w:rsidRDefault="000020B9" w:rsidP="000020B9">
      <w:pPr>
        <w:pStyle w:val="Texto01"/>
        <w:ind w:firstLine="0"/>
        <w:jc w:val="center"/>
      </w:pPr>
    </w:p>
    <w:p w14:paraId="4824EB2E" w14:textId="77777777" w:rsidR="000020B9" w:rsidRPr="008F4B7A" w:rsidRDefault="000020B9" w:rsidP="000020B9">
      <w:pPr>
        <w:pStyle w:val="Texto01"/>
        <w:ind w:firstLine="0"/>
      </w:pPr>
      <w:r>
        <w:t>If we reject Ho, it means that the market power of a bank increases when it is taken into account that the multiproduct nature of a bank.</w:t>
      </w:r>
    </w:p>
    <w:p w14:paraId="4B5F0FC3" w14:textId="77777777" w:rsidR="000020B9" w:rsidRDefault="000020B9" w:rsidP="000020B9">
      <w:pPr>
        <w:spacing w:line="360" w:lineRule="auto"/>
        <w:jc w:val="both"/>
        <w:rPr>
          <w:lang w:val="en-US"/>
        </w:rPr>
      </w:pPr>
    </w:p>
    <w:p w14:paraId="18EC93B1" w14:textId="77777777" w:rsidR="000020B9" w:rsidRDefault="000020B9" w:rsidP="000020B9">
      <w:pPr>
        <w:spacing w:line="360" w:lineRule="auto"/>
        <w:jc w:val="both"/>
        <w:rPr>
          <w:lang w:val="en-US"/>
        </w:rPr>
      </w:pPr>
      <w:r>
        <w:rPr>
          <w:lang w:val="en-US"/>
        </w:rPr>
        <w:t>To estimate the values of Standard-H and Adjusted-H, as in (2) and (3), we run the regression (1), using as dependent variable the natural logarithm of the total revenues of financial intermediation (</w:t>
      </w:r>
      <w:r w:rsidRPr="008115B2">
        <w:rPr>
          <w:i/>
          <w:iCs/>
          <w:lang w:val="en-US"/>
        </w:rPr>
        <w:t>ln(Revenue)</w:t>
      </w:r>
      <w:r>
        <w:rPr>
          <w:lang w:val="en-US"/>
        </w:rPr>
        <w:t xml:space="preserve">). The vector </w:t>
      </w:r>
      <w:r w:rsidRPr="009E2202">
        <w:rPr>
          <w:i/>
          <w:lang w:val="en-US"/>
        </w:rPr>
        <w:t>w</w:t>
      </w:r>
      <w:r w:rsidRPr="009E2202">
        <w:rPr>
          <w:i/>
          <w:vertAlign w:val="subscript"/>
          <w:lang w:val="en-US"/>
        </w:rPr>
        <w:t>it</w:t>
      </w:r>
      <w:r>
        <w:rPr>
          <w:lang w:val="en-US"/>
        </w:rPr>
        <w:t xml:space="preserve"> containing the input prices of banking activity is giving by:</w:t>
      </w:r>
    </w:p>
    <w:p w14:paraId="46EABDB3" w14:textId="77777777" w:rsidR="000020B9" w:rsidRDefault="000020B9" w:rsidP="000020B9">
      <w:pPr>
        <w:spacing w:line="360" w:lineRule="auto"/>
        <w:jc w:val="both"/>
        <w:rPr>
          <w:lang w:val="en-US"/>
        </w:rPr>
      </w:pPr>
    </w:p>
    <w:p w14:paraId="367C520C" w14:textId="77777777" w:rsidR="000020B9" w:rsidRDefault="000020B9" w:rsidP="000020B9">
      <w:pPr>
        <w:numPr>
          <w:ilvl w:val="0"/>
          <w:numId w:val="2"/>
        </w:numPr>
        <w:tabs>
          <w:tab w:val="clear" w:pos="720"/>
          <w:tab w:val="num" w:pos="180"/>
        </w:tabs>
        <w:spacing w:line="360" w:lineRule="auto"/>
        <w:ind w:left="180" w:hanging="180"/>
        <w:jc w:val="both"/>
        <w:rPr>
          <w:lang w:val="en-US"/>
        </w:rPr>
      </w:pPr>
      <w:r w:rsidRPr="00532768">
        <w:rPr>
          <w:b/>
          <w:bCs/>
          <w:lang w:val="en-US"/>
        </w:rPr>
        <w:t>Funding expenses (</w:t>
      </w:r>
      <w:r w:rsidRPr="00532768">
        <w:rPr>
          <w:b/>
          <w:bCs/>
          <w:i/>
          <w:iCs/>
          <w:lang w:val="en-US"/>
        </w:rPr>
        <w:t>ln(cost of capital)</w:t>
      </w:r>
      <w:r w:rsidRPr="00532768">
        <w:rPr>
          <w:b/>
          <w:bCs/>
          <w:lang w:val="en-US"/>
        </w:rPr>
        <w:t>):</w:t>
      </w:r>
      <w:r>
        <w:rPr>
          <w:lang w:val="en-US"/>
        </w:rPr>
        <w:t xml:space="preserve"> natural logarithm of the ratio between total expenses with raising funds (capital) and total assets.</w:t>
      </w:r>
    </w:p>
    <w:p w14:paraId="5A645DEA" w14:textId="77777777" w:rsidR="000020B9" w:rsidRDefault="000020B9" w:rsidP="000020B9">
      <w:pPr>
        <w:numPr>
          <w:ilvl w:val="0"/>
          <w:numId w:val="2"/>
        </w:numPr>
        <w:tabs>
          <w:tab w:val="clear" w:pos="720"/>
          <w:tab w:val="num" w:pos="180"/>
        </w:tabs>
        <w:spacing w:line="360" w:lineRule="auto"/>
        <w:ind w:left="180" w:hanging="180"/>
        <w:jc w:val="both"/>
        <w:rPr>
          <w:lang w:val="en-US"/>
        </w:rPr>
      </w:pPr>
      <w:r w:rsidRPr="00532768">
        <w:rPr>
          <w:b/>
          <w:bCs/>
          <w:lang w:val="en-US"/>
        </w:rPr>
        <w:t>Personnel expenses (</w:t>
      </w:r>
      <w:r w:rsidRPr="00532768">
        <w:rPr>
          <w:b/>
          <w:bCs/>
          <w:i/>
          <w:iCs/>
          <w:lang w:val="en-US"/>
        </w:rPr>
        <w:t>ln(wage)</w:t>
      </w:r>
      <w:r w:rsidRPr="00532768">
        <w:rPr>
          <w:b/>
          <w:bCs/>
          <w:lang w:val="en-US"/>
        </w:rPr>
        <w:t>):</w:t>
      </w:r>
      <w:r>
        <w:rPr>
          <w:lang w:val="en-US"/>
        </w:rPr>
        <w:t xml:space="preserve"> natural logarithm of the ratio between total payroll and total assets.</w:t>
      </w:r>
    </w:p>
    <w:p w14:paraId="5773C5C1" w14:textId="77777777" w:rsidR="000020B9" w:rsidRDefault="000020B9" w:rsidP="000020B9">
      <w:pPr>
        <w:numPr>
          <w:ilvl w:val="0"/>
          <w:numId w:val="1"/>
        </w:numPr>
        <w:tabs>
          <w:tab w:val="clear" w:pos="720"/>
          <w:tab w:val="num" w:pos="180"/>
        </w:tabs>
        <w:spacing w:line="360" w:lineRule="auto"/>
        <w:ind w:left="180" w:hanging="180"/>
        <w:jc w:val="both"/>
        <w:rPr>
          <w:lang w:val="en-US"/>
        </w:rPr>
      </w:pPr>
      <w:r w:rsidRPr="00532768">
        <w:rPr>
          <w:b/>
          <w:bCs/>
          <w:lang w:val="en-US"/>
        </w:rPr>
        <w:lastRenderedPageBreak/>
        <w:t>Fixed capital expenses (</w:t>
      </w:r>
      <w:r w:rsidRPr="00532768">
        <w:rPr>
          <w:b/>
          <w:bCs/>
          <w:i/>
          <w:iCs/>
          <w:lang w:val="en-US"/>
        </w:rPr>
        <w:t>ln(cost of fixed capital)</w:t>
      </w:r>
      <w:r w:rsidRPr="00532768">
        <w:rPr>
          <w:b/>
          <w:bCs/>
          <w:lang w:val="en-US"/>
        </w:rPr>
        <w:t>):</w:t>
      </w:r>
      <w:r>
        <w:rPr>
          <w:lang w:val="en-US"/>
        </w:rPr>
        <w:t xml:space="preserve"> natural logarithm of the ration between total fixed capital (own and leased) and total assets.</w:t>
      </w:r>
    </w:p>
    <w:p w14:paraId="0F765E99" w14:textId="77777777" w:rsidR="000020B9" w:rsidRDefault="000020B9" w:rsidP="000020B9">
      <w:pPr>
        <w:spacing w:line="360" w:lineRule="auto"/>
        <w:jc w:val="both"/>
        <w:rPr>
          <w:lang w:val="en-US"/>
        </w:rPr>
      </w:pPr>
    </w:p>
    <w:p w14:paraId="4B17D31F" w14:textId="77777777" w:rsidR="000020B9" w:rsidRDefault="000020B9" w:rsidP="000020B9">
      <w:pPr>
        <w:spacing w:line="360" w:lineRule="auto"/>
        <w:jc w:val="both"/>
        <w:rPr>
          <w:lang w:val="en-US"/>
        </w:rPr>
      </w:pPr>
      <w:r>
        <w:rPr>
          <w:lang w:val="en-US"/>
        </w:rPr>
        <w:t xml:space="preserve">The estimated models include additionally a set of control variables, </w:t>
      </w:r>
      <w:r w:rsidRPr="009E2202">
        <w:rPr>
          <w:i/>
          <w:lang w:val="en-US"/>
        </w:rPr>
        <w:t>Z</w:t>
      </w:r>
      <w:r w:rsidRPr="009E2202">
        <w:rPr>
          <w:i/>
          <w:vertAlign w:val="subscript"/>
          <w:lang w:val="en-US"/>
        </w:rPr>
        <w:t>it</w:t>
      </w:r>
      <w:r>
        <w:rPr>
          <w:lang w:val="en-US"/>
        </w:rPr>
        <w:t>, in order to capture the effects of other relevant factors in the revenues determination:</w:t>
      </w:r>
    </w:p>
    <w:p w14:paraId="6C0B274C" w14:textId="77777777" w:rsidR="000020B9" w:rsidRDefault="000020B9" w:rsidP="000020B9">
      <w:pPr>
        <w:spacing w:line="360" w:lineRule="auto"/>
        <w:jc w:val="both"/>
        <w:rPr>
          <w:lang w:val="en-US"/>
        </w:rPr>
      </w:pPr>
    </w:p>
    <w:p w14:paraId="02EF830D" w14:textId="77777777" w:rsidR="000020B9" w:rsidRDefault="000020B9" w:rsidP="000020B9">
      <w:pPr>
        <w:numPr>
          <w:ilvl w:val="0"/>
          <w:numId w:val="1"/>
        </w:numPr>
        <w:tabs>
          <w:tab w:val="clear" w:pos="720"/>
          <w:tab w:val="num" w:pos="180"/>
        </w:tabs>
        <w:spacing w:line="360" w:lineRule="auto"/>
        <w:ind w:left="180" w:hanging="180"/>
        <w:jc w:val="both"/>
        <w:rPr>
          <w:lang w:val="en-US"/>
        </w:rPr>
      </w:pPr>
      <w:r w:rsidRPr="00D64DE6">
        <w:rPr>
          <w:b/>
          <w:bCs/>
          <w:lang w:val="en-US"/>
        </w:rPr>
        <w:t xml:space="preserve">Provision rate: </w:t>
      </w:r>
      <w:r w:rsidRPr="00D64DE6">
        <w:rPr>
          <w:lang w:val="en-US"/>
        </w:rPr>
        <w:t>ratio between the total of provision for doubtful accounts and the shareholder Equity.</w:t>
      </w:r>
    </w:p>
    <w:p w14:paraId="398347B0" w14:textId="77777777" w:rsidR="000020B9" w:rsidRPr="00D64DE6" w:rsidRDefault="000020B9" w:rsidP="000020B9">
      <w:pPr>
        <w:numPr>
          <w:ilvl w:val="0"/>
          <w:numId w:val="1"/>
        </w:numPr>
        <w:tabs>
          <w:tab w:val="clear" w:pos="720"/>
          <w:tab w:val="num" w:pos="180"/>
        </w:tabs>
        <w:spacing w:line="360" w:lineRule="auto"/>
        <w:ind w:left="180" w:hanging="180"/>
        <w:jc w:val="both"/>
        <w:rPr>
          <w:lang w:val="en-US"/>
        </w:rPr>
      </w:pPr>
      <w:r w:rsidRPr="00D64DE6">
        <w:rPr>
          <w:b/>
          <w:bCs/>
          <w:lang w:val="en-US"/>
        </w:rPr>
        <w:t>Profitability:</w:t>
      </w:r>
      <w:r>
        <w:rPr>
          <w:lang w:val="en-US"/>
        </w:rPr>
        <w:t xml:space="preserve"> return of equity by the ration between the t</w:t>
      </w:r>
      <w:r w:rsidRPr="0085253A">
        <w:rPr>
          <w:color w:val="000000"/>
          <w:lang w:val="en-US"/>
        </w:rPr>
        <w:t xml:space="preserve">otal Profits </w:t>
      </w:r>
      <w:r>
        <w:rPr>
          <w:color w:val="000000"/>
          <w:lang w:val="en-US"/>
        </w:rPr>
        <w:t>and the s</w:t>
      </w:r>
      <w:r w:rsidRPr="0085253A">
        <w:rPr>
          <w:color w:val="000000"/>
          <w:lang w:val="en-US"/>
        </w:rPr>
        <w:t>hareholder Equity</w:t>
      </w:r>
      <w:r>
        <w:rPr>
          <w:color w:val="000000"/>
          <w:lang w:val="en-US"/>
        </w:rPr>
        <w:t>.</w:t>
      </w:r>
    </w:p>
    <w:p w14:paraId="7C620D18" w14:textId="77777777" w:rsidR="000020B9" w:rsidRDefault="000020B9" w:rsidP="000020B9">
      <w:pPr>
        <w:numPr>
          <w:ilvl w:val="0"/>
          <w:numId w:val="1"/>
        </w:numPr>
        <w:tabs>
          <w:tab w:val="clear" w:pos="720"/>
          <w:tab w:val="num" w:pos="180"/>
        </w:tabs>
        <w:spacing w:line="360" w:lineRule="auto"/>
        <w:ind w:left="180" w:hanging="180"/>
        <w:jc w:val="both"/>
        <w:rPr>
          <w:lang w:val="en-US"/>
        </w:rPr>
      </w:pPr>
      <w:r w:rsidRPr="00D64DE6">
        <w:rPr>
          <w:b/>
          <w:bCs/>
          <w:lang w:val="en-US"/>
        </w:rPr>
        <w:t>Market share:</w:t>
      </w:r>
      <w:r>
        <w:rPr>
          <w:lang w:val="en-US"/>
        </w:rPr>
        <w:t xml:space="preserve"> banking conglomerate market share in terms of total assets.</w:t>
      </w:r>
    </w:p>
    <w:p w14:paraId="589D409D" w14:textId="77777777" w:rsidR="000020B9" w:rsidRPr="009E2202" w:rsidRDefault="000020B9" w:rsidP="000020B9">
      <w:pPr>
        <w:numPr>
          <w:ilvl w:val="0"/>
          <w:numId w:val="1"/>
        </w:numPr>
        <w:tabs>
          <w:tab w:val="clear" w:pos="720"/>
          <w:tab w:val="num" w:pos="180"/>
        </w:tabs>
        <w:spacing w:line="360" w:lineRule="auto"/>
        <w:ind w:left="180" w:hanging="180"/>
        <w:jc w:val="both"/>
        <w:rPr>
          <w:b/>
          <w:bCs/>
          <w:lang w:val="en-US"/>
        </w:rPr>
      </w:pPr>
      <w:r w:rsidRPr="009E2202">
        <w:rPr>
          <w:b/>
          <w:bCs/>
          <w:lang w:val="en-US"/>
        </w:rPr>
        <w:t xml:space="preserve">HHI: </w:t>
      </w:r>
      <w:r w:rsidRPr="009E2202">
        <w:rPr>
          <w:bCs/>
          <w:lang w:val="en-US"/>
        </w:rPr>
        <w:t>Herfindhal-Hirschman Index in the relevant market in terms of total assets.</w:t>
      </w:r>
    </w:p>
    <w:p w14:paraId="23C49A48" w14:textId="77777777" w:rsidR="000020B9" w:rsidRDefault="000020B9" w:rsidP="000020B9">
      <w:pPr>
        <w:spacing w:line="360" w:lineRule="auto"/>
        <w:jc w:val="both"/>
        <w:rPr>
          <w:lang w:val="en-US"/>
        </w:rPr>
      </w:pPr>
    </w:p>
    <w:p w14:paraId="485F8E6D" w14:textId="77777777" w:rsidR="000020B9" w:rsidRPr="008115B2" w:rsidRDefault="000020B9" w:rsidP="000020B9">
      <w:pPr>
        <w:spacing w:line="360" w:lineRule="auto"/>
        <w:jc w:val="both"/>
        <w:rPr>
          <w:lang w:val="en-US"/>
        </w:rPr>
      </w:pPr>
      <w:r>
        <w:rPr>
          <w:lang w:val="en-US"/>
        </w:rPr>
        <w:t>The estimation and econometric results are shown in next subsection.</w:t>
      </w:r>
    </w:p>
    <w:p w14:paraId="14E7D660" w14:textId="77777777" w:rsidR="000020B9" w:rsidRDefault="000020B9" w:rsidP="000020B9">
      <w:pPr>
        <w:spacing w:line="360" w:lineRule="auto"/>
        <w:jc w:val="both"/>
        <w:rPr>
          <w:lang w:val="en-US"/>
        </w:rPr>
      </w:pPr>
    </w:p>
    <w:p w14:paraId="1D17CE22" w14:textId="77777777" w:rsidR="000020B9" w:rsidRPr="009E2202" w:rsidRDefault="000020B9" w:rsidP="000020B9">
      <w:pPr>
        <w:spacing w:line="360" w:lineRule="auto"/>
        <w:rPr>
          <w:b/>
          <w:bCs/>
          <w:sz w:val="28"/>
          <w:szCs w:val="28"/>
          <w:lang w:val="en-US"/>
        </w:rPr>
      </w:pPr>
      <w:r>
        <w:rPr>
          <w:b/>
          <w:bCs/>
          <w:sz w:val="28"/>
          <w:szCs w:val="28"/>
          <w:lang w:val="en-US"/>
        </w:rPr>
        <w:t xml:space="preserve">4.3 </w:t>
      </w:r>
      <w:r w:rsidRPr="009E2202">
        <w:rPr>
          <w:b/>
          <w:bCs/>
          <w:sz w:val="28"/>
          <w:szCs w:val="28"/>
          <w:lang w:val="en-US"/>
        </w:rPr>
        <w:t>Econometric results</w:t>
      </w:r>
    </w:p>
    <w:p w14:paraId="354BBD1A" w14:textId="77777777" w:rsidR="000020B9" w:rsidRDefault="000020B9" w:rsidP="000020B9">
      <w:pPr>
        <w:spacing w:line="360" w:lineRule="auto"/>
        <w:jc w:val="both"/>
        <w:rPr>
          <w:lang w:val="en-US"/>
        </w:rPr>
      </w:pPr>
    </w:p>
    <w:p w14:paraId="35A2649D" w14:textId="77777777" w:rsidR="000020B9" w:rsidRDefault="000020B9" w:rsidP="000020B9">
      <w:pPr>
        <w:spacing w:line="360" w:lineRule="auto"/>
        <w:jc w:val="both"/>
        <w:rPr>
          <w:lang w:val="en-US"/>
        </w:rPr>
      </w:pPr>
      <w:r>
        <w:rPr>
          <w:lang w:val="en-US"/>
        </w:rPr>
        <w:t>Tablet 7 presents several estimates of equation (1) in which the dependent variable is the natural logarithm of a bank’s financial revenue. The independent variables of interest are the inputs prices (</w:t>
      </w:r>
      <w:r w:rsidRPr="0033382B">
        <w:rPr>
          <w:i/>
          <w:lang w:val="en-US"/>
        </w:rPr>
        <w:t>ln(cost of capital)</w:t>
      </w:r>
      <w:r>
        <w:rPr>
          <w:lang w:val="en-US"/>
        </w:rPr>
        <w:t xml:space="preserve">, </w:t>
      </w:r>
      <w:r w:rsidRPr="0033382B">
        <w:rPr>
          <w:i/>
          <w:lang w:val="en-US"/>
        </w:rPr>
        <w:t>ln(wage)</w:t>
      </w:r>
      <w:r>
        <w:rPr>
          <w:lang w:val="en-US"/>
        </w:rPr>
        <w:t xml:space="preserve">, and </w:t>
      </w:r>
      <w:r w:rsidRPr="0033382B">
        <w:rPr>
          <w:i/>
          <w:lang w:val="en-US"/>
        </w:rPr>
        <w:t>ln(cost of fixed)</w:t>
      </w:r>
      <w:r>
        <w:rPr>
          <w:lang w:val="en-US"/>
        </w:rPr>
        <w:t xml:space="preserve">, and interaction of input prices and the dummy variable </w:t>
      </w:r>
      <w:r w:rsidRPr="00D574A5">
        <w:rPr>
          <w:i/>
          <w:lang w:val="en-US"/>
        </w:rPr>
        <w:t>Dummy Banks which Classic and other Bank products</w:t>
      </w:r>
      <w:r>
        <w:rPr>
          <w:lang w:val="en-US"/>
        </w:rPr>
        <w:t xml:space="preserve">. That dummy variable assumes value equal to 1 if the bank offer Classic and some of other bank products (financial or nonfinancial products), and zero otherwise.  The coefficients associated to those independent variables are used to estimate the Standard-H, </w:t>
      </w:r>
      <w:r>
        <w:rPr>
          <w:lang w:val="en-US"/>
        </w:rPr>
        <w:sym w:font="Symbol" w:char="F044"/>
      </w:r>
      <w:r>
        <w:rPr>
          <w:lang w:val="en-US"/>
        </w:rPr>
        <w:t>H and the Adjusted-H t</w:t>
      </w:r>
      <w:r w:rsidRPr="0033382B">
        <w:rPr>
          <w:lang w:val="en-US"/>
        </w:rPr>
        <w:t>o account for the multiproduct nature of the bank</w:t>
      </w:r>
      <w:r>
        <w:rPr>
          <w:lang w:val="en-US"/>
        </w:rPr>
        <w:t>s. Those estimates are in the bottom of the table.</w:t>
      </w:r>
    </w:p>
    <w:p w14:paraId="31FAB088" w14:textId="77777777" w:rsidR="000020B9" w:rsidRDefault="000020B9" w:rsidP="000020B9">
      <w:pPr>
        <w:spacing w:line="360" w:lineRule="auto"/>
        <w:jc w:val="both"/>
        <w:rPr>
          <w:lang w:val="en-US"/>
        </w:rPr>
      </w:pPr>
    </w:p>
    <w:p w14:paraId="79530E8B" w14:textId="77777777" w:rsidR="000020B9" w:rsidRDefault="000020B9" w:rsidP="000020B9">
      <w:pPr>
        <w:spacing w:line="360" w:lineRule="auto"/>
        <w:jc w:val="both"/>
        <w:rPr>
          <w:lang w:val="en-US"/>
        </w:rPr>
      </w:pPr>
      <w:r>
        <w:rPr>
          <w:lang w:val="en-US"/>
        </w:rPr>
        <w:t xml:space="preserve">Each column in Table 7 corresponds to a different estimated specification of equation (1). In all specifications we take into account the panel structure of the data set by including fixed effects for each different bank, quarter and year.  The aim is to control for unobservable bank characteristics and some trend dependence in the bank’s revenue. </w:t>
      </w:r>
    </w:p>
    <w:p w14:paraId="0261F318" w14:textId="77777777" w:rsidR="000020B9" w:rsidRDefault="000020B9" w:rsidP="000020B9">
      <w:pPr>
        <w:spacing w:line="360" w:lineRule="auto"/>
        <w:jc w:val="both"/>
        <w:rPr>
          <w:lang w:val="en-US"/>
        </w:rPr>
      </w:pPr>
    </w:p>
    <w:p w14:paraId="02B7984B" w14:textId="77777777" w:rsidR="000020B9" w:rsidRDefault="000020B9" w:rsidP="000020B9">
      <w:pPr>
        <w:spacing w:line="360" w:lineRule="auto"/>
        <w:jc w:val="both"/>
        <w:rPr>
          <w:lang w:val="en-US"/>
        </w:rPr>
      </w:pPr>
      <w:r>
        <w:rPr>
          <w:lang w:val="en-US"/>
        </w:rPr>
        <w:t xml:space="preserve">At column (1) in Table 7 we estimate equation (1) by generalized least squares (GLS) in which we include only the input prices and their interaction with the Dummy Banks which Classic </w:t>
      </w:r>
      <w:r>
        <w:rPr>
          <w:lang w:val="en-US"/>
        </w:rPr>
        <w:lastRenderedPageBreak/>
        <w:t xml:space="preserve">and other Bank products as independent variables. Yet in column (2)-(4) we estimate the coefficients of interest including observable bank’s and market structure’s characteristics. In particular, in column (2) we include provision rate and profitability as independent variable, in column (3) bank’s market share and in column (4) industry’s HHI. </w:t>
      </w:r>
    </w:p>
    <w:p w14:paraId="585A2E0B" w14:textId="77777777" w:rsidR="000020B9" w:rsidRDefault="000020B9" w:rsidP="000020B9">
      <w:pPr>
        <w:spacing w:line="360" w:lineRule="auto"/>
        <w:jc w:val="both"/>
        <w:rPr>
          <w:lang w:val="en-US"/>
        </w:rPr>
      </w:pPr>
    </w:p>
    <w:p w14:paraId="16A540B3" w14:textId="77777777" w:rsidR="000020B9" w:rsidRDefault="000020B9" w:rsidP="000020B9">
      <w:pPr>
        <w:spacing w:line="360" w:lineRule="auto"/>
        <w:jc w:val="both"/>
        <w:rPr>
          <w:lang w:val="en-US"/>
        </w:rPr>
      </w:pPr>
      <w:r>
        <w:rPr>
          <w:lang w:val="en-US"/>
        </w:rPr>
        <w:t xml:space="preserve">First, we observe that in all four specifications the estimated Standard H is between 0 and 1, which support the hypothesis that there is monopolistic competition in the Brazilian banking market within banks which offer only classic products. That is consistent with previous works as </w:t>
      </w:r>
      <w:r w:rsidRPr="00B555BB">
        <w:rPr>
          <w:lang w:val="en-US"/>
        </w:rPr>
        <w:t>Belaish (2003), Ara</w:t>
      </w:r>
      <w:r>
        <w:rPr>
          <w:lang w:val="en-US"/>
        </w:rPr>
        <w:t>u</w:t>
      </w:r>
      <w:r w:rsidRPr="00B555BB">
        <w:rPr>
          <w:lang w:val="en-US"/>
        </w:rPr>
        <w:t>jo, Jorge Neto and Ponce (2005) and Lucinda (2010)</w:t>
      </w:r>
      <w:r>
        <w:rPr>
          <w:lang w:val="en-US"/>
        </w:rPr>
        <w:t xml:space="preserve">.  However, we find that in all regressions that the estimated </w:t>
      </w:r>
      <w:r>
        <w:rPr>
          <w:lang w:val="en-US"/>
        </w:rPr>
        <w:sym w:font="Symbol" w:char="F044"/>
      </w:r>
      <w:r>
        <w:rPr>
          <w:lang w:val="en-US"/>
        </w:rPr>
        <w:t xml:space="preserve">H is negative, which indicates that banks offering classic (i.e., loans and credit cards) and other bank products (i.e., brokerage services, insurance and capitalization bonds) have higher market power than the ones which offer only classic products. As a result, the estimated Adjusted-H is negative. It suggests that banks supplying classic and other bank products operate in an environment with little level of competition. </w:t>
      </w:r>
    </w:p>
    <w:p w14:paraId="5CAFC3A8" w14:textId="77777777" w:rsidR="000020B9" w:rsidRDefault="000020B9" w:rsidP="000020B9">
      <w:pPr>
        <w:spacing w:line="360" w:lineRule="auto"/>
        <w:jc w:val="both"/>
        <w:rPr>
          <w:lang w:val="en-US"/>
        </w:rPr>
      </w:pPr>
    </w:p>
    <w:p w14:paraId="5DF1D973" w14:textId="77777777" w:rsidR="000020B9" w:rsidRDefault="000020B9" w:rsidP="000020B9">
      <w:pPr>
        <w:spacing w:line="360" w:lineRule="auto"/>
        <w:jc w:val="both"/>
        <w:rPr>
          <w:lang w:val="en-US"/>
        </w:rPr>
      </w:pPr>
      <w:r>
        <w:rPr>
          <w:lang w:val="en-US"/>
        </w:rPr>
        <w:t xml:space="preserve">In order to examine whether </w:t>
      </w:r>
      <w:r>
        <w:rPr>
          <w:lang w:val="en-US"/>
        </w:rPr>
        <w:sym w:font="Symbol" w:char="F044"/>
      </w:r>
      <w:r>
        <w:rPr>
          <w:lang w:val="en-US"/>
        </w:rPr>
        <w:t xml:space="preserve">H is statically negative, we test of the following hypothesis: </w:t>
      </w:r>
      <w:r w:rsidRPr="003F7C00">
        <w:rPr>
          <w:lang w:val="en-US"/>
        </w:rPr>
        <w:t>H</w:t>
      </w:r>
      <w:r w:rsidRPr="003F7C00">
        <w:rPr>
          <w:vertAlign w:val="subscript"/>
          <w:lang w:val="en-US"/>
        </w:rPr>
        <w:t>0</w:t>
      </w:r>
      <w:r w:rsidRPr="003F7C00">
        <w:rPr>
          <w:lang w:val="en-US"/>
        </w:rPr>
        <w:t xml:space="preserve">: </w:t>
      </w:r>
      <w:r>
        <w:sym w:font="Symbol" w:char="F044"/>
      </w:r>
      <w:r w:rsidRPr="003F7C00">
        <w:rPr>
          <w:lang w:val="en-US"/>
        </w:rPr>
        <w:t>H≥ 0</w:t>
      </w:r>
      <w:r>
        <w:rPr>
          <w:lang w:val="en-US"/>
        </w:rPr>
        <w:t xml:space="preserve"> and </w:t>
      </w:r>
      <w:r w:rsidRPr="003F7C00">
        <w:rPr>
          <w:lang w:val="en-US"/>
        </w:rPr>
        <w:t xml:space="preserve">Ha:  </w:t>
      </w:r>
      <w:r>
        <w:sym w:font="Symbol" w:char="F044"/>
      </w:r>
      <w:r w:rsidRPr="003F7C00">
        <w:rPr>
          <w:lang w:val="en-US"/>
        </w:rPr>
        <w:t>H&lt; 0</w:t>
      </w:r>
      <w:r>
        <w:rPr>
          <w:lang w:val="en-US"/>
        </w:rPr>
        <w:t xml:space="preserve">. The results of those one-sided tests </w:t>
      </w:r>
      <w:r w:rsidRPr="003F7C00">
        <w:rPr>
          <w:lang w:val="en-US"/>
        </w:rPr>
        <w:t>reject H</w:t>
      </w:r>
      <w:r>
        <w:rPr>
          <w:vertAlign w:val="subscript"/>
          <w:lang w:val="en-US"/>
        </w:rPr>
        <w:t>0</w:t>
      </w:r>
      <w:r>
        <w:rPr>
          <w:lang w:val="en-US"/>
        </w:rPr>
        <w:t xml:space="preserve"> at 4.7 percent at specification in column (1) and at 3.7 percent at the specification in column (2) to (4). Those results means the estimated market power of banks offering classic (i.e., loans and credit cards) and other bank products (i.e., brokerage services, insurance and capitalization bonds) is greater than the one estimated for the banks which offer only classic products. Note that the results are robust to different specifications, and the punctual estimated </w:t>
      </w:r>
      <w:r>
        <w:rPr>
          <w:lang w:val="en-US"/>
        </w:rPr>
        <w:sym w:font="Symbol" w:char="F044"/>
      </w:r>
      <w:r>
        <w:rPr>
          <w:lang w:val="en-US"/>
        </w:rPr>
        <w:t>H is about the same in all specifications.</w:t>
      </w:r>
    </w:p>
    <w:p w14:paraId="222FED51" w14:textId="77777777" w:rsidR="000020B9" w:rsidRDefault="000020B9" w:rsidP="000020B9">
      <w:pPr>
        <w:spacing w:line="360" w:lineRule="auto"/>
        <w:jc w:val="both"/>
        <w:rPr>
          <w:lang w:val="en-US"/>
        </w:rPr>
      </w:pPr>
    </w:p>
    <w:p w14:paraId="23AFFC6B" w14:textId="77777777" w:rsidR="000020B9" w:rsidRDefault="000020B9" w:rsidP="000020B9">
      <w:pPr>
        <w:spacing w:line="360" w:lineRule="auto"/>
        <w:jc w:val="both"/>
        <w:rPr>
          <w:lang w:val="en-US"/>
        </w:rPr>
      </w:pPr>
      <w:r>
        <w:rPr>
          <w:lang w:val="en-US"/>
        </w:rPr>
        <w:t xml:space="preserve">In order to identify which of the other banks (financial or nonfinancial bank products) leads to an increase in multiproduct bank market power, we estimate the </w:t>
      </w:r>
      <w:r>
        <w:rPr>
          <w:lang w:val="en-US"/>
        </w:rPr>
        <w:sym w:font="Symbol" w:char="F044"/>
      </w:r>
      <w:r>
        <w:rPr>
          <w:lang w:val="en-US"/>
        </w:rPr>
        <w:t xml:space="preserve">H for the banks that offer each different subset of products. In particular, Table 8 estimates the market power of the banks offering classic and other financial bank products (like brokerage, currency exchange services) vis-à-vis banks that offer only classic products. In Table 9, we estimate the </w:t>
      </w:r>
      <w:r>
        <w:rPr>
          <w:lang w:val="en-US"/>
        </w:rPr>
        <w:sym w:font="Symbol" w:char="F044"/>
      </w:r>
      <w:r>
        <w:rPr>
          <w:lang w:val="en-US"/>
        </w:rPr>
        <w:t xml:space="preserve">H for banks that offer classic and other nonfinancial bank products (like insurance, life insurance, capitalization bonds and reinsurance). To conclude, Table 10 estimates the </w:t>
      </w:r>
      <w:r>
        <w:rPr>
          <w:lang w:val="en-US"/>
        </w:rPr>
        <w:sym w:font="Symbol" w:char="F044"/>
      </w:r>
      <w:r>
        <w:rPr>
          <w:lang w:val="en-US"/>
        </w:rPr>
        <w:t xml:space="preserve">H for those banks that offer classic, financial and nonfinancial products vis-à-vis banks that offer only classic products. </w:t>
      </w:r>
    </w:p>
    <w:p w14:paraId="31734CFE" w14:textId="77777777" w:rsidR="000020B9" w:rsidRDefault="000020B9" w:rsidP="000020B9">
      <w:pPr>
        <w:spacing w:line="360" w:lineRule="auto"/>
        <w:jc w:val="both"/>
        <w:rPr>
          <w:lang w:val="en-US"/>
        </w:rPr>
      </w:pPr>
    </w:p>
    <w:p w14:paraId="2F5D87FD" w14:textId="77777777" w:rsidR="000020B9" w:rsidRDefault="000020B9" w:rsidP="000020B9">
      <w:pPr>
        <w:spacing w:line="360" w:lineRule="auto"/>
        <w:jc w:val="both"/>
        <w:rPr>
          <w:lang w:val="en-US"/>
        </w:rPr>
      </w:pPr>
      <w:r>
        <w:rPr>
          <w:b/>
          <w:bCs/>
          <w:i/>
          <w:sz w:val="28"/>
          <w:szCs w:val="28"/>
          <w:lang w:val="en-US"/>
        </w:rPr>
        <w:lastRenderedPageBreak/>
        <w:t>Banks supplying c</w:t>
      </w:r>
      <w:r w:rsidRPr="004B153B">
        <w:rPr>
          <w:b/>
          <w:i/>
          <w:lang w:val="en-US"/>
        </w:rPr>
        <w:t>lassic and other financial bank</w:t>
      </w:r>
      <w:r>
        <w:rPr>
          <w:b/>
          <w:i/>
          <w:lang w:val="en-US"/>
        </w:rPr>
        <w:t xml:space="preserve"> products versus Classic Banks</w:t>
      </w:r>
      <w:r w:rsidRPr="004B153B">
        <w:rPr>
          <w:b/>
          <w:i/>
          <w:lang w:val="en-US"/>
        </w:rPr>
        <w:t xml:space="preserve">. </w:t>
      </w:r>
      <w:r>
        <w:rPr>
          <w:lang w:val="en-US"/>
        </w:rPr>
        <w:t>Table 8 presents several estimates of equation (1) in which the dependent variable is the natural logarithm of a bank’s financial revenue. The independent variables of interest are the inputs prices (</w:t>
      </w:r>
      <w:r w:rsidRPr="0033382B">
        <w:rPr>
          <w:i/>
          <w:lang w:val="en-US"/>
        </w:rPr>
        <w:t>ln(cost of capital)</w:t>
      </w:r>
      <w:r>
        <w:rPr>
          <w:lang w:val="en-US"/>
        </w:rPr>
        <w:t xml:space="preserve">, </w:t>
      </w:r>
      <w:r w:rsidRPr="0033382B">
        <w:rPr>
          <w:i/>
          <w:lang w:val="en-US"/>
        </w:rPr>
        <w:t>ln(wage)</w:t>
      </w:r>
      <w:r>
        <w:rPr>
          <w:lang w:val="en-US"/>
        </w:rPr>
        <w:t xml:space="preserve">, and </w:t>
      </w:r>
      <w:r w:rsidRPr="0033382B">
        <w:rPr>
          <w:i/>
          <w:lang w:val="en-US"/>
        </w:rPr>
        <w:t>ln(cost of fixed)</w:t>
      </w:r>
      <w:r>
        <w:rPr>
          <w:lang w:val="en-US"/>
        </w:rPr>
        <w:t xml:space="preserve">, and interaction of input prices and the dummy variable </w:t>
      </w:r>
      <w:r w:rsidRPr="00D574A5">
        <w:rPr>
          <w:i/>
          <w:lang w:val="en-US"/>
        </w:rPr>
        <w:t xml:space="preserve">Dummy Banks which Classic and </w:t>
      </w:r>
      <w:r>
        <w:rPr>
          <w:i/>
          <w:lang w:val="en-US"/>
        </w:rPr>
        <w:t xml:space="preserve">Financial Bank </w:t>
      </w:r>
      <w:r w:rsidRPr="00D574A5">
        <w:rPr>
          <w:i/>
          <w:lang w:val="en-US"/>
        </w:rPr>
        <w:t>products</w:t>
      </w:r>
      <w:r>
        <w:rPr>
          <w:lang w:val="en-US"/>
        </w:rPr>
        <w:t xml:space="preserve">. That dummy variable assumes value equal to 1 if the bank offer Classic and financial products (like, brokerage and currency exchange services), and zero otherwise. The banks supplying classic and only nonfinancial products are excluded from the regressions in that table. As in table 7, the coefficients associated to those independent variables are used to estimate the Standard-H, </w:t>
      </w:r>
      <w:r>
        <w:rPr>
          <w:lang w:val="en-US"/>
        </w:rPr>
        <w:sym w:font="Symbol" w:char="F044"/>
      </w:r>
      <w:r>
        <w:rPr>
          <w:lang w:val="en-US"/>
        </w:rPr>
        <w:t>H and the Adjusted-H. Those estimates are in the bottom of the table.</w:t>
      </w:r>
    </w:p>
    <w:p w14:paraId="3236B4FA" w14:textId="77777777" w:rsidR="000020B9" w:rsidRDefault="000020B9" w:rsidP="000020B9">
      <w:pPr>
        <w:spacing w:line="360" w:lineRule="auto"/>
        <w:jc w:val="both"/>
        <w:rPr>
          <w:lang w:val="en-US"/>
        </w:rPr>
      </w:pPr>
    </w:p>
    <w:p w14:paraId="77C999E8" w14:textId="77777777" w:rsidR="000020B9" w:rsidRDefault="000020B9" w:rsidP="000020B9">
      <w:pPr>
        <w:spacing w:line="360" w:lineRule="auto"/>
        <w:jc w:val="both"/>
        <w:rPr>
          <w:lang w:val="en-US"/>
        </w:rPr>
      </w:pPr>
      <w:r>
        <w:rPr>
          <w:lang w:val="en-US"/>
        </w:rPr>
        <w:t xml:space="preserve">As in Table 7, each column in Table 8 corresponds to a different estimated specification of equation (1). In all specifications we include fixed effects for each different bank, quarter and year.  At column (1) in Table 8 we estimate equation (1) by generalized least squares (GLS) in which we include only the input prices and their interaction with the Dummy Banks which Classic and other financial products as independent variables. Yet in column (2)-(4) we estimate the coefficients of interest including, respectively, provision rate and profitability, bank’s market share, and industry’s HHI as independent variable. </w:t>
      </w:r>
    </w:p>
    <w:p w14:paraId="0C22573D" w14:textId="77777777" w:rsidR="000020B9" w:rsidRDefault="000020B9" w:rsidP="000020B9">
      <w:pPr>
        <w:spacing w:line="360" w:lineRule="auto"/>
        <w:jc w:val="both"/>
        <w:rPr>
          <w:lang w:val="en-US"/>
        </w:rPr>
      </w:pPr>
    </w:p>
    <w:p w14:paraId="1C797FAD" w14:textId="77777777" w:rsidR="000020B9" w:rsidRDefault="000020B9" w:rsidP="000020B9">
      <w:pPr>
        <w:spacing w:line="360" w:lineRule="auto"/>
        <w:jc w:val="both"/>
        <w:rPr>
          <w:lang w:val="en-US"/>
        </w:rPr>
      </w:pPr>
      <w:r>
        <w:rPr>
          <w:lang w:val="en-US"/>
        </w:rPr>
        <w:t xml:space="preserve">We find that in all regressions that the estimated </w:t>
      </w:r>
      <w:r>
        <w:rPr>
          <w:lang w:val="en-US"/>
        </w:rPr>
        <w:sym w:font="Symbol" w:char="F044"/>
      </w:r>
      <w:r>
        <w:rPr>
          <w:lang w:val="en-US"/>
        </w:rPr>
        <w:t xml:space="preserve">H is negative, which indicates that banks offering classic and other financial products have higher market power than the ones which offer only classic products. The test of hypothesis with </w:t>
      </w:r>
      <w:r w:rsidRPr="003F7C00">
        <w:rPr>
          <w:lang w:val="en-US"/>
        </w:rPr>
        <w:t>H</w:t>
      </w:r>
      <w:r w:rsidRPr="003F7C00">
        <w:rPr>
          <w:vertAlign w:val="subscript"/>
          <w:lang w:val="en-US"/>
        </w:rPr>
        <w:t>0</w:t>
      </w:r>
      <w:r w:rsidRPr="003F7C00">
        <w:rPr>
          <w:lang w:val="en-US"/>
        </w:rPr>
        <w:t xml:space="preserve">: </w:t>
      </w:r>
      <w:r>
        <w:sym w:font="Symbol" w:char="F044"/>
      </w:r>
      <w:r w:rsidRPr="003F7C00">
        <w:rPr>
          <w:lang w:val="en-US"/>
        </w:rPr>
        <w:t>H≥ 0</w:t>
      </w:r>
      <w:r>
        <w:rPr>
          <w:lang w:val="en-US"/>
        </w:rPr>
        <w:t xml:space="preserve"> and </w:t>
      </w:r>
      <w:r w:rsidRPr="003F7C00">
        <w:rPr>
          <w:lang w:val="en-US"/>
        </w:rPr>
        <w:t xml:space="preserve">Ha:  </w:t>
      </w:r>
      <w:r>
        <w:sym w:font="Symbol" w:char="F044"/>
      </w:r>
      <w:r w:rsidRPr="003F7C00">
        <w:rPr>
          <w:lang w:val="en-US"/>
        </w:rPr>
        <w:t>H&lt; 0</w:t>
      </w:r>
      <w:r>
        <w:rPr>
          <w:lang w:val="en-US"/>
        </w:rPr>
        <w:t xml:space="preserve"> </w:t>
      </w:r>
      <w:r w:rsidRPr="003F7C00">
        <w:rPr>
          <w:lang w:val="en-US"/>
        </w:rPr>
        <w:t>reject H</w:t>
      </w:r>
      <w:r>
        <w:rPr>
          <w:vertAlign w:val="subscript"/>
          <w:lang w:val="en-US"/>
        </w:rPr>
        <w:t>0</w:t>
      </w:r>
      <w:r>
        <w:rPr>
          <w:lang w:val="en-US"/>
        </w:rPr>
        <w:t xml:space="preserve"> at 4.6 percent at specification in column (1) and at 3.6 percent at the specification in column (2) to (4). Those results means the estimated market power of banks offering classic and other financial products is greater than the one estimated for the banks which offer only classic products. Note that the results are robust to different specifications, and the punctual estimated </w:t>
      </w:r>
      <w:r>
        <w:rPr>
          <w:lang w:val="en-US"/>
        </w:rPr>
        <w:sym w:font="Symbol" w:char="F044"/>
      </w:r>
      <w:r>
        <w:rPr>
          <w:lang w:val="en-US"/>
        </w:rPr>
        <w:t>H is very similar in all specifications.</w:t>
      </w:r>
    </w:p>
    <w:p w14:paraId="7C23D261" w14:textId="77777777" w:rsidR="000020B9" w:rsidRDefault="000020B9" w:rsidP="000020B9">
      <w:pPr>
        <w:spacing w:line="360" w:lineRule="auto"/>
        <w:jc w:val="both"/>
        <w:rPr>
          <w:lang w:val="en-US"/>
        </w:rPr>
      </w:pPr>
    </w:p>
    <w:p w14:paraId="054ADED5" w14:textId="77777777" w:rsidR="000020B9" w:rsidRDefault="000020B9" w:rsidP="000020B9">
      <w:pPr>
        <w:spacing w:line="360" w:lineRule="auto"/>
        <w:jc w:val="both"/>
        <w:rPr>
          <w:lang w:val="en-US"/>
        </w:rPr>
      </w:pPr>
      <w:r>
        <w:rPr>
          <w:b/>
          <w:bCs/>
          <w:i/>
          <w:sz w:val="28"/>
          <w:szCs w:val="28"/>
          <w:lang w:val="en-US"/>
        </w:rPr>
        <w:t>Banks supplying c</w:t>
      </w:r>
      <w:r w:rsidRPr="004B153B">
        <w:rPr>
          <w:b/>
          <w:i/>
          <w:lang w:val="en-US"/>
        </w:rPr>
        <w:t xml:space="preserve">lassic and other </w:t>
      </w:r>
      <w:r>
        <w:rPr>
          <w:b/>
          <w:i/>
          <w:lang w:val="en-US"/>
        </w:rPr>
        <w:t>non</w:t>
      </w:r>
      <w:r w:rsidRPr="004B153B">
        <w:rPr>
          <w:b/>
          <w:i/>
          <w:lang w:val="en-US"/>
        </w:rPr>
        <w:t>financial bank</w:t>
      </w:r>
      <w:r>
        <w:rPr>
          <w:b/>
          <w:i/>
          <w:lang w:val="en-US"/>
        </w:rPr>
        <w:t xml:space="preserve"> products versus Classic Banks</w:t>
      </w:r>
      <w:r w:rsidRPr="004B153B">
        <w:rPr>
          <w:b/>
          <w:i/>
          <w:lang w:val="en-US"/>
        </w:rPr>
        <w:t>.</w:t>
      </w:r>
      <w:r>
        <w:rPr>
          <w:b/>
          <w:i/>
          <w:lang w:val="en-US"/>
        </w:rPr>
        <w:t xml:space="preserve"> </w:t>
      </w:r>
      <w:r>
        <w:rPr>
          <w:lang w:val="en-US"/>
        </w:rPr>
        <w:t>Table 9 presents several estimates of equation (1) in which the dependent variable is the natural logarithm of a bank’s financial revenue. The independent variables of interest are the inputs prices (</w:t>
      </w:r>
      <w:r w:rsidRPr="0033382B">
        <w:rPr>
          <w:i/>
          <w:lang w:val="en-US"/>
        </w:rPr>
        <w:t>ln(cost of capital)</w:t>
      </w:r>
      <w:r>
        <w:rPr>
          <w:lang w:val="en-US"/>
        </w:rPr>
        <w:t xml:space="preserve">, </w:t>
      </w:r>
      <w:r w:rsidRPr="0033382B">
        <w:rPr>
          <w:i/>
          <w:lang w:val="en-US"/>
        </w:rPr>
        <w:t>ln(wage)</w:t>
      </w:r>
      <w:r>
        <w:rPr>
          <w:lang w:val="en-US"/>
        </w:rPr>
        <w:t xml:space="preserve">, and </w:t>
      </w:r>
      <w:r w:rsidRPr="0033382B">
        <w:rPr>
          <w:i/>
          <w:lang w:val="en-US"/>
        </w:rPr>
        <w:t>ln(cost of fixed)</w:t>
      </w:r>
      <w:r>
        <w:rPr>
          <w:lang w:val="en-US"/>
        </w:rPr>
        <w:t xml:space="preserve">, and interaction of input prices and the dummy variable </w:t>
      </w:r>
      <w:r w:rsidRPr="00D574A5">
        <w:rPr>
          <w:i/>
          <w:lang w:val="en-US"/>
        </w:rPr>
        <w:t xml:space="preserve">Dummy Banks which Classic and </w:t>
      </w:r>
      <w:r>
        <w:rPr>
          <w:i/>
          <w:lang w:val="en-US"/>
        </w:rPr>
        <w:t xml:space="preserve">NonFinancial Bank </w:t>
      </w:r>
      <w:r w:rsidRPr="00D574A5">
        <w:rPr>
          <w:i/>
          <w:lang w:val="en-US"/>
        </w:rPr>
        <w:t>products</w:t>
      </w:r>
      <w:r>
        <w:rPr>
          <w:lang w:val="en-US"/>
        </w:rPr>
        <w:t xml:space="preserve">. That dummy </w:t>
      </w:r>
      <w:r>
        <w:rPr>
          <w:lang w:val="en-US"/>
        </w:rPr>
        <w:lastRenderedPageBreak/>
        <w:t xml:space="preserve">variable assumes value equal to 1 if the bank offer classic and nonfinancial products (like, life an nonlife insurance, capitalization bonds), and zero otherwise. The banks supplying classic and only financial products are excluded from the regressions in that table. </w:t>
      </w:r>
    </w:p>
    <w:p w14:paraId="24535424" w14:textId="77777777" w:rsidR="000020B9" w:rsidRDefault="000020B9" w:rsidP="000020B9">
      <w:pPr>
        <w:spacing w:line="360" w:lineRule="auto"/>
        <w:jc w:val="both"/>
        <w:rPr>
          <w:lang w:val="en-US"/>
        </w:rPr>
      </w:pPr>
    </w:p>
    <w:p w14:paraId="2BCFBCD9" w14:textId="77777777" w:rsidR="000020B9" w:rsidRDefault="000020B9" w:rsidP="000020B9">
      <w:pPr>
        <w:spacing w:line="360" w:lineRule="auto"/>
        <w:jc w:val="both"/>
        <w:rPr>
          <w:lang w:val="en-US"/>
        </w:rPr>
      </w:pPr>
      <w:r>
        <w:rPr>
          <w:lang w:val="en-US"/>
        </w:rPr>
        <w:t>Table 9 reports several estimations of equation (1). In all specifications we include fixed effects for each different bank, quarter and year.  At column (1) in Table 9 we estimate equation (1) by generalized least squares (GLS) in which we include only the input prices and their interaction with the Dummy Banks which Classic and other nonfinancial products as independent variables. Yet in column (2)-(4) we estimate the coefficients of interest including observable bank’s and market structure’s characteristics.</w:t>
      </w:r>
    </w:p>
    <w:p w14:paraId="5B8CAD84" w14:textId="77777777" w:rsidR="000020B9" w:rsidRDefault="000020B9" w:rsidP="000020B9">
      <w:pPr>
        <w:spacing w:line="360" w:lineRule="auto"/>
        <w:jc w:val="both"/>
        <w:rPr>
          <w:lang w:val="en-US"/>
        </w:rPr>
      </w:pPr>
    </w:p>
    <w:p w14:paraId="3EE9953E" w14:textId="77777777" w:rsidR="000020B9" w:rsidRDefault="000020B9" w:rsidP="000020B9">
      <w:pPr>
        <w:spacing w:line="360" w:lineRule="auto"/>
        <w:jc w:val="both"/>
        <w:rPr>
          <w:lang w:val="en-US"/>
        </w:rPr>
      </w:pPr>
      <w:r>
        <w:rPr>
          <w:lang w:val="en-US"/>
        </w:rPr>
        <w:t xml:space="preserve">According to the all estimations in Table 9, the estimated </w:t>
      </w:r>
      <w:r>
        <w:rPr>
          <w:lang w:val="en-US"/>
        </w:rPr>
        <w:sym w:font="Symbol" w:char="F044"/>
      </w:r>
      <w:r>
        <w:rPr>
          <w:lang w:val="en-US"/>
        </w:rPr>
        <w:t xml:space="preserve">H is negative, which indicates that the market power of banks offering classic and other nonfinancial products is higher of the ones which offer only classic products. The test of hypothesis with </w:t>
      </w:r>
      <w:r w:rsidRPr="003F7C00">
        <w:rPr>
          <w:lang w:val="en-US"/>
        </w:rPr>
        <w:t>H</w:t>
      </w:r>
      <w:r w:rsidRPr="003F7C00">
        <w:rPr>
          <w:vertAlign w:val="subscript"/>
          <w:lang w:val="en-US"/>
        </w:rPr>
        <w:t>0</w:t>
      </w:r>
      <w:r w:rsidRPr="003F7C00">
        <w:rPr>
          <w:lang w:val="en-US"/>
        </w:rPr>
        <w:t xml:space="preserve">: </w:t>
      </w:r>
      <w:r>
        <w:sym w:font="Symbol" w:char="F044"/>
      </w:r>
      <w:r w:rsidRPr="003F7C00">
        <w:rPr>
          <w:lang w:val="en-US"/>
        </w:rPr>
        <w:t>H≥ 0</w:t>
      </w:r>
      <w:r>
        <w:rPr>
          <w:lang w:val="en-US"/>
        </w:rPr>
        <w:t xml:space="preserve"> and </w:t>
      </w:r>
      <w:r w:rsidRPr="003F7C00">
        <w:rPr>
          <w:lang w:val="en-US"/>
        </w:rPr>
        <w:t xml:space="preserve">Ha:  </w:t>
      </w:r>
      <w:r>
        <w:sym w:font="Symbol" w:char="F044"/>
      </w:r>
      <w:r w:rsidRPr="003F7C00">
        <w:rPr>
          <w:lang w:val="en-US"/>
        </w:rPr>
        <w:t>H&lt; 0</w:t>
      </w:r>
      <w:r>
        <w:rPr>
          <w:lang w:val="en-US"/>
        </w:rPr>
        <w:t xml:space="preserve"> </w:t>
      </w:r>
      <w:r w:rsidRPr="003F7C00">
        <w:rPr>
          <w:lang w:val="en-US"/>
        </w:rPr>
        <w:t>reject H</w:t>
      </w:r>
      <w:r>
        <w:rPr>
          <w:vertAlign w:val="subscript"/>
          <w:lang w:val="en-US"/>
        </w:rPr>
        <w:t>0</w:t>
      </w:r>
      <w:r>
        <w:rPr>
          <w:lang w:val="en-US"/>
        </w:rPr>
        <w:t xml:space="preserve"> at 4.1 percent at specification in column (1), at 6.2 percent at the specification in column (2), and at 6.9 percent at the specifications in column (3) and (4). Those results mean the banks offering classic and other nonfinancial products have greater market power than the one estimated for the banks which offer only classic products. Note that the results are robust to different specifications.</w:t>
      </w:r>
    </w:p>
    <w:p w14:paraId="220F41C5" w14:textId="77777777" w:rsidR="000020B9" w:rsidRDefault="000020B9" w:rsidP="000020B9">
      <w:pPr>
        <w:spacing w:line="360" w:lineRule="auto"/>
        <w:rPr>
          <w:b/>
          <w:i/>
          <w:lang w:val="en-US"/>
        </w:rPr>
      </w:pPr>
    </w:p>
    <w:p w14:paraId="3E5AD8AA" w14:textId="77777777" w:rsidR="000020B9" w:rsidRDefault="000020B9" w:rsidP="000020B9">
      <w:pPr>
        <w:spacing w:line="360" w:lineRule="auto"/>
        <w:jc w:val="both"/>
        <w:rPr>
          <w:lang w:val="en-US"/>
        </w:rPr>
      </w:pPr>
      <w:r>
        <w:rPr>
          <w:b/>
          <w:bCs/>
          <w:i/>
          <w:sz w:val="28"/>
          <w:szCs w:val="28"/>
          <w:lang w:val="en-US"/>
        </w:rPr>
        <w:t>Banks supplying c</w:t>
      </w:r>
      <w:r w:rsidRPr="004B153B">
        <w:rPr>
          <w:b/>
          <w:i/>
          <w:lang w:val="en-US"/>
        </w:rPr>
        <w:t>lassic</w:t>
      </w:r>
      <w:r>
        <w:rPr>
          <w:b/>
          <w:i/>
          <w:lang w:val="en-US"/>
        </w:rPr>
        <w:t xml:space="preserve">, </w:t>
      </w:r>
      <w:r w:rsidRPr="004B153B">
        <w:rPr>
          <w:b/>
          <w:i/>
          <w:lang w:val="en-US"/>
        </w:rPr>
        <w:t>other</w:t>
      </w:r>
      <w:r>
        <w:rPr>
          <w:b/>
          <w:i/>
          <w:lang w:val="en-US"/>
        </w:rPr>
        <w:t xml:space="preserve"> financial and</w:t>
      </w:r>
      <w:r w:rsidRPr="004B153B">
        <w:rPr>
          <w:b/>
          <w:i/>
          <w:lang w:val="en-US"/>
        </w:rPr>
        <w:t xml:space="preserve"> </w:t>
      </w:r>
      <w:r>
        <w:rPr>
          <w:b/>
          <w:i/>
          <w:lang w:val="en-US"/>
        </w:rPr>
        <w:t>non</w:t>
      </w:r>
      <w:r w:rsidRPr="004B153B">
        <w:rPr>
          <w:b/>
          <w:i/>
          <w:lang w:val="en-US"/>
        </w:rPr>
        <w:t>financial bank</w:t>
      </w:r>
      <w:r>
        <w:rPr>
          <w:b/>
          <w:i/>
          <w:lang w:val="en-US"/>
        </w:rPr>
        <w:t xml:space="preserve"> products versus Classic Banks</w:t>
      </w:r>
      <w:r w:rsidRPr="004B153B">
        <w:rPr>
          <w:b/>
          <w:i/>
          <w:lang w:val="en-US"/>
        </w:rPr>
        <w:t>.</w:t>
      </w:r>
      <w:r>
        <w:rPr>
          <w:b/>
          <w:i/>
          <w:lang w:val="en-US"/>
        </w:rPr>
        <w:t xml:space="preserve"> </w:t>
      </w:r>
      <w:r>
        <w:rPr>
          <w:lang w:val="en-US"/>
        </w:rPr>
        <w:t>Table 10 presents several estimates of equation (1) in which the dependent variable is the natural logarithm of a bank’s financial revenue. The independent variables of interest are also the inputs prices (</w:t>
      </w:r>
      <w:r w:rsidRPr="0033382B">
        <w:rPr>
          <w:i/>
          <w:lang w:val="en-US"/>
        </w:rPr>
        <w:t>ln(cost of capital)</w:t>
      </w:r>
      <w:r>
        <w:rPr>
          <w:lang w:val="en-US"/>
        </w:rPr>
        <w:t xml:space="preserve">, </w:t>
      </w:r>
      <w:r w:rsidRPr="0033382B">
        <w:rPr>
          <w:i/>
          <w:lang w:val="en-US"/>
        </w:rPr>
        <w:t>ln(wage)</w:t>
      </w:r>
      <w:r>
        <w:rPr>
          <w:lang w:val="en-US"/>
        </w:rPr>
        <w:t xml:space="preserve">, and </w:t>
      </w:r>
      <w:r w:rsidRPr="0033382B">
        <w:rPr>
          <w:i/>
          <w:lang w:val="en-US"/>
        </w:rPr>
        <w:t>ln(cost of fixed)</w:t>
      </w:r>
      <w:r>
        <w:rPr>
          <w:lang w:val="en-US"/>
        </w:rPr>
        <w:t xml:space="preserve">, and interaction of input prices and the dummy variable </w:t>
      </w:r>
      <w:r w:rsidRPr="00D574A5">
        <w:rPr>
          <w:i/>
          <w:lang w:val="en-US"/>
        </w:rPr>
        <w:t>Dummy Banks which Classic</w:t>
      </w:r>
      <w:r>
        <w:rPr>
          <w:i/>
          <w:lang w:val="en-US"/>
        </w:rPr>
        <w:t xml:space="preserve">, Financial </w:t>
      </w:r>
      <w:r w:rsidRPr="00D574A5">
        <w:rPr>
          <w:i/>
          <w:lang w:val="en-US"/>
        </w:rPr>
        <w:t xml:space="preserve">and </w:t>
      </w:r>
      <w:r>
        <w:rPr>
          <w:i/>
          <w:lang w:val="en-US"/>
        </w:rPr>
        <w:t xml:space="preserve">NonFinancial Bank </w:t>
      </w:r>
      <w:r w:rsidRPr="00D574A5">
        <w:rPr>
          <w:i/>
          <w:lang w:val="en-US"/>
        </w:rPr>
        <w:t>products</w:t>
      </w:r>
      <w:r>
        <w:rPr>
          <w:lang w:val="en-US"/>
        </w:rPr>
        <w:t xml:space="preserve">. That dummy variable assumes value equal to 1 if the bank offer classic, financial and nonfinancial products, and zero otherwise. The banks supplying classic and only financial or nonfinancial products are excluded from the regressions in that table. </w:t>
      </w:r>
    </w:p>
    <w:p w14:paraId="3E36D124" w14:textId="77777777" w:rsidR="000020B9" w:rsidRDefault="000020B9" w:rsidP="000020B9">
      <w:pPr>
        <w:spacing w:line="360" w:lineRule="auto"/>
        <w:jc w:val="both"/>
        <w:rPr>
          <w:lang w:val="en-US"/>
        </w:rPr>
      </w:pPr>
    </w:p>
    <w:p w14:paraId="580234AF" w14:textId="77777777" w:rsidR="000020B9" w:rsidRDefault="000020B9" w:rsidP="000020B9">
      <w:pPr>
        <w:spacing w:line="360" w:lineRule="auto"/>
        <w:jc w:val="both"/>
        <w:rPr>
          <w:lang w:val="en-US"/>
        </w:rPr>
      </w:pPr>
      <w:r>
        <w:rPr>
          <w:lang w:val="en-US"/>
        </w:rPr>
        <w:t xml:space="preserve">Table 10 details several estimations of equation (1). In all specifications we include fixed effects for each different bank, quarter and year. As in Table 9, at column (1) in Table 10 we estimate equation (1) by generalized least squares (GLS) in which we include only the input prices and their interaction with the Dummy Banks which Classic, financial and  nonfinancial products as </w:t>
      </w:r>
      <w:r>
        <w:rPr>
          <w:lang w:val="en-US"/>
        </w:rPr>
        <w:lastRenderedPageBreak/>
        <w:t>independent variables. Yet in column (2)-(4) we estimate the coefficients of interest including observable bank’s and market structure’s characteristics.</w:t>
      </w:r>
    </w:p>
    <w:p w14:paraId="67ABF8E9" w14:textId="77777777" w:rsidR="000020B9" w:rsidRDefault="000020B9" w:rsidP="000020B9">
      <w:pPr>
        <w:spacing w:line="360" w:lineRule="auto"/>
        <w:jc w:val="both"/>
        <w:rPr>
          <w:lang w:val="en-US"/>
        </w:rPr>
      </w:pPr>
    </w:p>
    <w:p w14:paraId="4B78EC98" w14:textId="77777777" w:rsidR="000020B9" w:rsidRDefault="000020B9" w:rsidP="000020B9">
      <w:pPr>
        <w:spacing w:line="360" w:lineRule="auto"/>
        <w:jc w:val="both"/>
        <w:rPr>
          <w:lang w:val="en-US"/>
        </w:rPr>
      </w:pPr>
      <w:r>
        <w:rPr>
          <w:lang w:val="en-US"/>
        </w:rPr>
        <w:t xml:space="preserve">All estimations in Table 10 show that the estimated </w:t>
      </w:r>
      <w:r>
        <w:rPr>
          <w:lang w:val="en-US"/>
        </w:rPr>
        <w:sym w:font="Symbol" w:char="F044"/>
      </w:r>
      <w:r>
        <w:rPr>
          <w:lang w:val="en-US"/>
        </w:rPr>
        <w:t xml:space="preserve">H is negative, which indicates that the market power of banks offering classic, financial and other nonfinancial products is higher of the ones which offer only classic products. The test of hypothesis with </w:t>
      </w:r>
      <w:r w:rsidRPr="003F7C00">
        <w:rPr>
          <w:lang w:val="en-US"/>
        </w:rPr>
        <w:t>H</w:t>
      </w:r>
      <w:r w:rsidRPr="003F7C00">
        <w:rPr>
          <w:vertAlign w:val="subscript"/>
          <w:lang w:val="en-US"/>
        </w:rPr>
        <w:t>0</w:t>
      </w:r>
      <w:r w:rsidRPr="003F7C00">
        <w:rPr>
          <w:lang w:val="en-US"/>
        </w:rPr>
        <w:t xml:space="preserve">: </w:t>
      </w:r>
      <w:r>
        <w:sym w:font="Symbol" w:char="F044"/>
      </w:r>
      <w:r w:rsidRPr="003F7C00">
        <w:rPr>
          <w:lang w:val="en-US"/>
        </w:rPr>
        <w:t>H≥ 0</w:t>
      </w:r>
      <w:r>
        <w:rPr>
          <w:lang w:val="en-US"/>
        </w:rPr>
        <w:t xml:space="preserve"> and </w:t>
      </w:r>
      <w:r w:rsidRPr="003F7C00">
        <w:rPr>
          <w:lang w:val="en-US"/>
        </w:rPr>
        <w:t xml:space="preserve">Ha:  </w:t>
      </w:r>
      <w:r>
        <w:sym w:font="Symbol" w:char="F044"/>
      </w:r>
      <w:r w:rsidRPr="003F7C00">
        <w:rPr>
          <w:lang w:val="en-US"/>
        </w:rPr>
        <w:t>H&lt; 0</w:t>
      </w:r>
      <w:r>
        <w:rPr>
          <w:lang w:val="en-US"/>
        </w:rPr>
        <w:t xml:space="preserve"> </w:t>
      </w:r>
      <w:r w:rsidRPr="003F7C00">
        <w:rPr>
          <w:lang w:val="en-US"/>
        </w:rPr>
        <w:t>reject H</w:t>
      </w:r>
      <w:r>
        <w:rPr>
          <w:vertAlign w:val="subscript"/>
          <w:lang w:val="en-US"/>
        </w:rPr>
        <w:t>0</w:t>
      </w:r>
      <w:r>
        <w:rPr>
          <w:lang w:val="en-US"/>
        </w:rPr>
        <w:t xml:space="preserve"> at 6.0 percent in all estimations. Those results mean the banks offering classic and other nonfinancial products have greater market power than the one estimated for the banks which offer only classic products. Note that the results are robust to different specifications.</w:t>
      </w:r>
    </w:p>
    <w:p w14:paraId="791956E9" w14:textId="77777777" w:rsidR="000020B9" w:rsidRPr="004B153B" w:rsidRDefault="000020B9" w:rsidP="000020B9">
      <w:pPr>
        <w:spacing w:line="360" w:lineRule="auto"/>
        <w:rPr>
          <w:b/>
          <w:bCs/>
          <w:i/>
          <w:sz w:val="28"/>
          <w:szCs w:val="28"/>
          <w:lang w:val="en-US"/>
        </w:rPr>
      </w:pPr>
    </w:p>
    <w:p w14:paraId="5C2824B9" w14:textId="77777777" w:rsidR="000020B9" w:rsidRPr="00B555BB" w:rsidRDefault="000020B9" w:rsidP="000020B9">
      <w:pPr>
        <w:spacing w:line="360" w:lineRule="auto"/>
        <w:jc w:val="both"/>
        <w:rPr>
          <w:lang w:val="en-US"/>
        </w:rPr>
      </w:pPr>
      <w:r>
        <w:rPr>
          <w:lang w:val="en-US"/>
        </w:rPr>
        <w:t>In a nutshell, the estimations in Table (8)-(10) show that banks which offer any of those product profiles hold higher market power than the ones which offer only classic products. Those results indicate that either financial or nonfinancial bank products may increase bank market power.</w:t>
      </w:r>
    </w:p>
    <w:p w14:paraId="0B15C59F" w14:textId="77777777" w:rsidR="000020B9" w:rsidRDefault="000020B9" w:rsidP="000020B9">
      <w:pPr>
        <w:spacing w:line="360" w:lineRule="auto"/>
        <w:jc w:val="both"/>
        <w:rPr>
          <w:lang w:val="en-US"/>
        </w:rPr>
      </w:pPr>
    </w:p>
    <w:p w14:paraId="5D4B1444" w14:textId="77777777" w:rsidR="000020B9" w:rsidRPr="00B555BB" w:rsidRDefault="000020B9" w:rsidP="000020B9">
      <w:pPr>
        <w:spacing w:line="360" w:lineRule="auto"/>
        <w:jc w:val="both"/>
        <w:rPr>
          <w:lang w:val="en-US"/>
        </w:rPr>
      </w:pPr>
    </w:p>
    <w:p w14:paraId="245554B0" w14:textId="77777777" w:rsidR="000020B9" w:rsidRPr="00121C2B" w:rsidRDefault="000020B9" w:rsidP="000020B9">
      <w:pPr>
        <w:spacing w:line="360" w:lineRule="auto"/>
        <w:rPr>
          <w:b/>
          <w:bCs/>
          <w:sz w:val="28"/>
          <w:szCs w:val="28"/>
          <w:lang w:val="en-US"/>
        </w:rPr>
      </w:pPr>
      <w:r w:rsidRPr="00121C2B">
        <w:rPr>
          <w:b/>
          <w:bCs/>
          <w:sz w:val="28"/>
          <w:szCs w:val="28"/>
          <w:lang w:val="en-US"/>
        </w:rPr>
        <w:t>5. Conclusions</w:t>
      </w:r>
    </w:p>
    <w:p w14:paraId="789EB18F" w14:textId="77777777" w:rsidR="000020B9" w:rsidRDefault="000020B9" w:rsidP="000020B9">
      <w:pPr>
        <w:spacing w:line="360" w:lineRule="auto"/>
        <w:jc w:val="both"/>
        <w:rPr>
          <w:b/>
          <w:bCs/>
          <w:lang w:val="en-US"/>
        </w:rPr>
      </w:pPr>
    </w:p>
    <w:p w14:paraId="7B0EC20B" w14:textId="77777777" w:rsidR="000020B9" w:rsidRDefault="000020B9" w:rsidP="000020B9">
      <w:pPr>
        <w:spacing w:line="360" w:lineRule="auto"/>
        <w:jc w:val="both"/>
        <w:rPr>
          <w:lang w:val="en-US"/>
        </w:rPr>
      </w:pPr>
      <w:r>
        <w:rPr>
          <w:bCs/>
          <w:lang w:val="en-US"/>
        </w:rPr>
        <w:t>In this paper we</w:t>
      </w:r>
      <w:r w:rsidRPr="00F336C9">
        <w:rPr>
          <w:bCs/>
          <w:lang w:val="en-US"/>
        </w:rPr>
        <w:t xml:space="preserve"> investigate the competition aspects of banking multiproduct operation. Based on an extension of Panzar and Rosse (1987)’s test to the case of a multiproduct banking firm, we take advantage of a new dataset constructed to Brazilian banking conglomerates to infer the impact of conglomeration on market power. We find that banks offering classic and other bank products have substantially higher market power than the ones whi</w:t>
      </w:r>
      <w:r>
        <w:rPr>
          <w:bCs/>
          <w:lang w:val="en-US"/>
        </w:rPr>
        <w:t>ch offer only classic products. Different t</w:t>
      </w:r>
      <w:r w:rsidRPr="00B555BB">
        <w:rPr>
          <w:lang w:val="en-US"/>
        </w:rPr>
        <w:t>est</w:t>
      </w:r>
      <w:r>
        <w:rPr>
          <w:lang w:val="en-US"/>
        </w:rPr>
        <w:t>s</w:t>
      </w:r>
      <w:r w:rsidRPr="00B555BB">
        <w:rPr>
          <w:lang w:val="en-US"/>
        </w:rPr>
        <w:t xml:space="preserve"> from Panzar e Rosse (1987) reveals that the measurement of market power is </w:t>
      </w:r>
      <w:r>
        <w:rPr>
          <w:lang w:val="en-US"/>
        </w:rPr>
        <w:t>underestimated</w:t>
      </w:r>
      <w:r w:rsidRPr="00B555BB">
        <w:rPr>
          <w:lang w:val="en-US"/>
        </w:rPr>
        <w:t xml:space="preserve"> when multiproduct information is not </w:t>
      </w:r>
      <w:r>
        <w:rPr>
          <w:lang w:val="en-US"/>
        </w:rPr>
        <w:t>considered.</w:t>
      </w:r>
    </w:p>
    <w:p w14:paraId="00370D05" w14:textId="77777777" w:rsidR="000020B9" w:rsidRDefault="000020B9" w:rsidP="000020B9">
      <w:pPr>
        <w:spacing w:line="360" w:lineRule="auto"/>
        <w:jc w:val="both"/>
        <w:rPr>
          <w:lang w:val="en-US"/>
        </w:rPr>
      </w:pPr>
    </w:p>
    <w:p w14:paraId="5AFB3761" w14:textId="77777777" w:rsidR="000020B9" w:rsidRDefault="000020B9" w:rsidP="000020B9">
      <w:pPr>
        <w:spacing w:line="360" w:lineRule="auto"/>
        <w:jc w:val="both"/>
        <w:rPr>
          <w:lang w:val="en-US"/>
        </w:rPr>
      </w:pPr>
      <w:r>
        <w:rPr>
          <w:lang w:val="en-US"/>
        </w:rPr>
        <w:t>In addition, our estimates show that banks which offer any of those product profiles hold higher market power than the ones which offer only classic products. Those results indicate that either financial or nonfinancial bank products may increase bank market power.</w:t>
      </w:r>
    </w:p>
    <w:p w14:paraId="728877C7" w14:textId="77777777" w:rsidR="000020B9" w:rsidRDefault="000020B9" w:rsidP="000020B9">
      <w:pPr>
        <w:spacing w:line="360" w:lineRule="auto"/>
        <w:jc w:val="both"/>
        <w:rPr>
          <w:lang w:val="en-US"/>
        </w:rPr>
      </w:pPr>
    </w:p>
    <w:p w14:paraId="7867F8F6" w14:textId="77777777" w:rsidR="000020B9" w:rsidRPr="00B555BB" w:rsidRDefault="000020B9" w:rsidP="000020B9">
      <w:pPr>
        <w:spacing w:line="360" w:lineRule="auto"/>
        <w:jc w:val="both"/>
        <w:rPr>
          <w:lang w:val="en-US"/>
        </w:rPr>
      </w:pPr>
      <w:r>
        <w:rPr>
          <w:lang w:val="en-US"/>
        </w:rPr>
        <w:t xml:space="preserve">A </w:t>
      </w:r>
      <w:r w:rsidRPr="00F336C9">
        <w:rPr>
          <w:lang w:val="en-US"/>
        </w:rPr>
        <w:t xml:space="preserve">potential extension of this work would be </w:t>
      </w:r>
      <w:r>
        <w:rPr>
          <w:lang w:val="en-US"/>
        </w:rPr>
        <w:t xml:space="preserve">investigating the causal effects of the positive relationship between market power and the bank’s decision to supply classic and other bank products. </w:t>
      </w:r>
    </w:p>
    <w:p w14:paraId="47C6F652" w14:textId="77777777" w:rsidR="000020B9" w:rsidRPr="00F336C9" w:rsidRDefault="000020B9" w:rsidP="000020B9">
      <w:pPr>
        <w:spacing w:line="360" w:lineRule="auto"/>
        <w:jc w:val="both"/>
        <w:rPr>
          <w:bCs/>
          <w:lang w:val="en-US"/>
        </w:rPr>
      </w:pPr>
    </w:p>
    <w:p w14:paraId="36E4727E" w14:textId="77777777" w:rsidR="000020B9" w:rsidRPr="00B555BB" w:rsidRDefault="000020B9" w:rsidP="000020B9">
      <w:pPr>
        <w:spacing w:line="360" w:lineRule="auto"/>
        <w:jc w:val="both"/>
        <w:rPr>
          <w:b/>
          <w:bCs/>
          <w:lang w:val="en-US"/>
        </w:rPr>
      </w:pPr>
    </w:p>
    <w:p w14:paraId="75092948" w14:textId="77777777" w:rsidR="000020B9" w:rsidRPr="00F63006" w:rsidRDefault="000020B9" w:rsidP="000020B9">
      <w:pPr>
        <w:spacing w:line="360" w:lineRule="auto"/>
        <w:jc w:val="center"/>
        <w:rPr>
          <w:b/>
          <w:bCs/>
          <w:sz w:val="28"/>
          <w:szCs w:val="28"/>
        </w:rPr>
      </w:pPr>
      <w:r w:rsidRPr="00F63006">
        <w:rPr>
          <w:b/>
          <w:bCs/>
          <w:sz w:val="28"/>
          <w:szCs w:val="28"/>
        </w:rPr>
        <w:t>References</w:t>
      </w:r>
    </w:p>
    <w:p w14:paraId="7B81A35E" w14:textId="77777777" w:rsidR="000020B9" w:rsidRPr="00F63006" w:rsidRDefault="000020B9" w:rsidP="000020B9">
      <w:pPr>
        <w:spacing w:line="360" w:lineRule="auto"/>
        <w:jc w:val="both"/>
      </w:pPr>
    </w:p>
    <w:p w14:paraId="376542DD" w14:textId="77777777" w:rsidR="000020B9" w:rsidRPr="00F63006" w:rsidRDefault="000020B9" w:rsidP="000020B9">
      <w:pPr>
        <w:spacing w:line="360" w:lineRule="auto"/>
        <w:jc w:val="both"/>
      </w:pPr>
      <w:r w:rsidRPr="00F63006">
        <w:t>Araujo, L.A. D’A.; Jorge Neto, P.M. and Ponce, D.A.S. (2005). Competição e concentração entre bancos brasileiros. Economia. 7: 561-586.</w:t>
      </w:r>
    </w:p>
    <w:p w14:paraId="42C2D98C" w14:textId="77777777" w:rsidR="000020B9" w:rsidRPr="00F63006" w:rsidRDefault="000020B9" w:rsidP="000020B9">
      <w:pPr>
        <w:spacing w:line="360" w:lineRule="auto"/>
        <w:jc w:val="both"/>
      </w:pPr>
    </w:p>
    <w:p w14:paraId="4820B1B7" w14:textId="77777777" w:rsidR="000020B9" w:rsidRPr="00B555BB" w:rsidRDefault="000020B9" w:rsidP="000020B9">
      <w:pPr>
        <w:spacing w:line="360" w:lineRule="auto"/>
        <w:jc w:val="both"/>
        <w:rPr>
          <w:bCs/>
          <w:lang w:val="en-US"/>
        </w:rPr>
      </w:pPr>
      <w:r w:rsidRPr="00F63006">
        <w:rPr>
          <w:bCs/>
        </w:rPr>
        <w:t>Baer, W. and Nazmi, N. (2000). Privatization and res</w:t>
      </w:r>
      <w:r w:rsidRPr="00B555BB">
        <w:rPr>
          <w:bCs/>
          <w:lang w:val="en-US"/>
        </w:rPr>
        <w:t xml:space="preserve">tructuring of banks in Brazil. </w:t>
      </w:r>
      <w:r w:rsidRPr="00B555BB">
        <w:rPr>
          <w:bCs/>
          <w:iCs/>
          <w:lang w:val="en-US"/>
        </w:rPr>
        <w:t>Quarterly Review of Economics and Finance.</w:t>
      </w:r>
      <w:r w:rsidRPr="00B555BB">
        <w:rPr>
          <w:b/>
          <w:lang w:val="en-US"/>
        </w:rPr>
        <w:t xml:space="preserve"> </w:t>
      </w:r>
      <w:r w:rsidRPr="00B555BB">
        <w:rPr>
          <w:bCs/>
          <w:lang w:val="en-US"/>
        </w:rPr>
        <w:t>40: p. 3-24.</w:t>
      </w:r>
    </w:p>
    <w:p w14:paraId="294E9BDD" w14:textId="77777777" w:rsidR="000020B9" w:rsidRPr="00B555BB" w:rsidRDefault="000020B9" w:rsidP="000020B9">
      <w:pPr>
        <w:spacing w:line="360" w:lineRule="auto"/>
        <w:jc w:val="both"/>
        <w:rPr>
          <w:lang w:val="en-US"/>
        </w:rPr>
      </w:pPr>
    </w:p>
    <w:p w14:paraId="47BE33B8" w14:textId="77777777" w:rsidR="000020B9" w:rsidRPr="00B555BB" w:rsidRDefault="000020B9" w:rsidP="000020B9">
      <w:pPr>
        <w:spacing w:line="360" w:lineRule="auto"/>
        <w:jc w:val="both"/>
        <w:rPr>
          <w:lang w:val="en-US"/>
        </w:rPr>
      </w:pPr>
      <w:r w:rsidRPr="00B555BB">
        <w:rPr>
          <w:lang w:val="en-US"/>
        </w:rPr>
        <w:t>Belaish, A. (2003). Do Brazilian banks compete? International Monetary Fund. WP 03/113.</w:t>
      </w:r>
    </w:p>
    <w:p w14:paraId="66D2E9CA" w14:textId="77777777" w:rsidR="000020B9" w:rsidRPr="00B555BB" w:rsidRDefault="000020B9" w:rsidP="000020B9">
      <w:pPr>
        <w:spacing w:line="360" w:lineRule="auto"/>
        <w:jc w:val="both"/>
        <w:rPr>
          <w:lang w:val="en-US"/>
        </w:rPr>
      </w:pPr>
    </w:p>
    <w:p w14:paraId="445FE351" w14:textId="77777777" w:rsidR="000020B9" w:rsidRPr="00B555BB" w:rsidRDefault="000020B9" w:rsidP="000020B9">
      <w:pPr>
        <w:spacing w:line="360" w:lineRule="auto"/>
        <w:jc w:val="both"/>
        <w:rPr>
          <w:lang w:val="en-US"/>
        </w:rPr>
      </w:pPr>
      <w:r w:rsidRPr="00B555BB">
        <w:rPr>
          <w:lang w:val="en-US"/>
        </w:rPr>
        <w:t>Berg, S. and Kim, M. (1998). Bank as multioutput oligopolies: An empirical evaluation of the retail and corporate banking markets. Journal of Money, Credit and Banking. 30(2): 135-156.</w:t>
      </w:r>
    </w:p>
    <w:p w14:paraId="2DA07AB6" w14:textId="77777777" w:rsidR="000020B9" w:rsidRPr="00B555BB" w:rsidRDefault="000020B9" w:rsidP="000020B9">
      <w:pPr>
        <w:spacing w:line="360" w:lineRule="auto"/>
        <w:jc w:val="both"/>
        <w:rPr>
          <w:lang w:val="en-US"/>
        </w:rPr>
      </w:pPr>
    </w:p>
    <w:p w14:paraId="00905B42" w14:textId="77777777" w:rsidR="000020B9" w:rsidRPr="00B555BB" w:rsidRDefault="000020B9" w:rsidP="000020B9">
      <w:pPr>
        <w:spacing w:line="360" w:lineRule="auto"/>
        <w:jc w:val="both"/>
        <w:rPr>
          <w:lang w:val="en-US"/>
        </w:rPr>
      </w:pPr>
      <w:r w:rsidRPr="00B555BB">
        <w:rPr>
          <w:lang w:val="en-US"/>
        </w:rPr>
        <w:t>Berger, A.; Demirgüç-Kunt, A.; Levine, R. and Haubrich, J. (2004). Bank concentration and competition: An evolution in the making. Journal of Money, Credit and Banking. 36: 433-451.</w:t>
      </w:r>
    </w:p>
    <w:p w14:paraId="3D099CDD" w14:textId="77777777" w:rsidR="000020B9" w:rsidRPr="00B555BB" w:rsidRDefault="000020B9" w:rsidP="000020B9">
      <w:pPr>
        <w:spacing w:line="360" w:lineRule="auto"/>
        <w:jc w:val="both"/>
        <w:rPr>
          <w:lang w:val="en-US"/>
        </w:rPr>
      </w:pPr>
    </w:p>
    <w:p w14:paraId="34D3925E" w14:textId="77777777" w:rsidR="000020B9" w:rsidRPr="00B555BB" w:rsidRDefault="000020B9" w:rsidP="000020B9">
      <w:pPr>
        <w:spacing w:line="360" w:lineRule="auto"/>
        <w:jc w:val="both"/>
        <w:rPr>
          <w:lang w:val="en-US"/>
        </w:rPr>
      </w:pPr>
      <w:r w:rsidRPr="00B555BB">
        <w:rPr>
          <w:lang w:val="en-US"/>
        </w:rPr>
        <w:t>Bikker, J.A. and Haaf, K. (2002). Competition, concentration and their relationship: An empirical analysis of the banking industry. Journal of Banking and Finance. 26: 2191-2214.</w:t>
      </w:r>
    </w:p>
    <w:p w14:paraId="33A2FB6A" w14:textId="77777777" w:rsidR="000020B9" w:rsidRPr="00B555BB" w:rsidRDefault="000020B9" w:rsidP="000020B9">
      <w:pPr>
        <w:spacing w:line="360" w:lineRule="auto"/>
        <w:jc w:val="both"/>
        <w:rPr>
          <w:lang w:val="en-US"/>
        </w:rPr>
      </w:pPr>
    </w:p>
    <w:p w14:paraId="0E93CE21" w14:textId="77777777" w:rsidR="000020B9" w:rsidRPr="00B555BB" w:rsidRDefault="000020B9" w:rsidP="000020B9">
      <w:pPr>
        <w:spacing w:line="360" w:lineRule="auto"/>
        <w:jc w:val="both"/>
        <w:rPr>
          <w:lang w:val="en-US"/>
        </w:rPr>
      </w:pPr>
      <w:r w:rsidRPr="00B555BB">
        <w:rPr>
          <w:lang w:val="en-US"/>
        </w:rPr>
        <w:t>Bresnahan, T. F. (1982). The oligopoly solution concept is identified. Economics Letters. 10: 87-92.</w:t>
      </w:r>
    </w:p>
    <w:p w14:paraId="57577971" w14:textId="77777777" w:rsidR="000020B9" w:rsidRPr="00B555BB" w:rsidRDefault="000020B9" w:rsidP="000020B9">
      <w:pPr>
        <w:spacing w:line="360" w:lineRule="auto"/>
        <w:jc w:val="both"/>
        <w:rPr>
          <w:lang w:val="en-US"/>
        </w:rPr>
      </w:pPr>
    </w:p>
    <w:p w14:paraId="51DAB965" w14:textId="77777777" w:rsidR="000020B9" w:rsidRPr="00B555BB" w:rsidRDefault="000020B9" w:rsidP="000020B9">
      <w:pPr>
        <w:spacing w:line="360" w:lineRule="auto"/>
        <w:jc w:val="both"/>
        <w:rPr>
          <w:lang w:val="en-US"/>
        </w:rPr>
      </w:pPr>
      <w:r w:rsidRPr="00B555BB">
        <w:rPr>
          <w:lang w:val="en-US"/>
        </w:rPr>
        <w:t>Bresnahan, T.F. and Reiss, P.C. (1991). Entry and competition in concentrated markets. Journal of Political Economy. 99: 977-1009.</w:t>
      </w:r>
    </w:p>
    <w:p w14:paraId="4F072D42" w14:textId="77777777" w:rsidR="000020B9" w:rsidRPr="00B555BB" w:rsidRDefault="000020B9" w:rsidP="000020B9">
      <w:pPr>
        <w:spacing w:line="360" w:lineRule="auto"/>
        <w:jc w:val="both"/>
        <w:rPr>
          <w:rFonts w:ascii="Revival565BT-Roman" w:hAnsi="Revival565BT-Roman" w:cs="Revival565BT-Roman"/>
          <w:sz w:val="21"/>
          <w:szCs w:val="21"/>
          <w:lang w:val="en-US"/>
        </w:rPr>
      </w:pPr>
    </w:p>
    <w:p w14:paraId="61602773" w14:textId="77777777" w:rsidR="000020B9" w:rsidRPr="00B555BB" w:rsidRDefault="000020B9" w:rsidP="000020B9">
      <w:pPr>
        <w:spacing w:line="360" w:lineRule="auto"/>
        <w:jc w:val="both"/>
        <w:rPr>
          <w:lang w:val="en-US"/>
        </w:rPr>
      </w:pPr>
      <w:r w:rsidRPr="00B555BB">
        <w:rPr>
          <w:lang w:val="en-US"/>
        </w:rPr>
        <w:t>Cetorelli, N. (1999). Competitive analysis in banking: Appraisal of the methodologies. Economic Perspectives. Federal Reserve Bank of Chicago, First Quarter. 2-15</w:t>
      </w:r>
    </w:p>
    <w:p w14:paraId="40D644E3" w14:textId="77777777" w:rsidR="000020B9" w:rsidRPr="00B555BB" w:rsidRDefault="000020B9" w:rsidP="000020B9">
      <w:pPr>
        <w:spacing w:line="360" w:lineRule="auto"/>
        <w:jc w:val="both"/>
        <w:rPr>
          <w:lang w:val="en-US"/>
        </w:rPr>
      </w:pPr>
    </w:p>
    <w:p w14:paraId="771D97B2" w14:textId="77777777" w:rsidR="000020B9" w:rsidRDefault="000020B9" w:rsidP="000020B9">
      <w:pPr>
        <w:spacing w:line="360" w:lineRule="auto"/>
        <w:jc w:val="both"/>
        <w:rPr>
          <w:lang w:val="en-US"/>
        </w:rPr>
      </w:pPr>
      <w:r w:rsidRPr="00B555BB">
        <w:rPr>
          <w:lang w:val="en-US"/>
        </w:rPr>
        <w:t>Claessens, S. and Laeven, L. (2004). What drives bank competition? Some international evidence. Journal of Money, Credit and Banking. 36: 563-583.</w:t>
      </w:r>
    </w:p>
    <w:p w14:paraId="455182B2" w14:textId="77777777" w:rsidR="000020B9" w:rsidRDefault="000020B9" w:rsidP="000020B9">
      <w:pPr>
        <w:spacing w:line="360" w:lineRule="auto"/>
        <w:jc w:val="both"/>
        <w:rPr>
          <w:lang w:val="en-US"/>
        </w:rPr>
      </w:pPr>
    </w:p>
    <w:p w14:paraId="630FCA64" w14:textId="77777777" w:rsidR="000020B9" w:rsidRPr="006E64DF" w:rsidRDefault="000020B9" w:rsidP="000020B9">
      <w:pPr>
        <w:spacing w:line="360" w:lineRule="auto"/>
        <w:jc w:val="both"/>
        <w:rPr>
          <w:lang w:val="en-US"/>
        </w:rPr>
      </w:pPr>
      <w:r w:rsidRPr="006E64DF">
        <w:rPr>
          <w:lang w:val="en-US"/>
        </w:rPr>
        <w:t>Coccorese, Paolo</w:t>
      </w:r>
      <w:r>
        <w:rPr>
          <w:lang w:val="en-US"/>
        </w:rPr>
        <w:t xml:space="preserve"> (</w:t>
      </w:r>
      <w:r w:rsidRPr="006E64DF">
        <w:rPr>
          <w:lang w:val="en-US"/>
        </w:rPr>
        <w:t>2009</w:t>
      </w:r>
      <w:r>
        <w:rPr>
          <w:lang w:val="en-US"/>
        </w:rPr>
        <w:t>)</w:t>
      </w:r>
      <w:r w:rsidRPr="006E64DF">
        <w:rPr>
          <w:lang w:val="en-US"/>
        </w:rPr>
        <w:t>. Market power in local banking monopolies,</w:t>
      </w:r>
      <w:r>
        <w:rPr>
          <w:lang w:val="en-US"/>
        </w:rPr>
        <w:t xml:space="preserve"> Journal of Banking and</w:t>
      </w:r>
      <w:r w:rsidRPr="006E64DF">
        <w:rPr>
          <w:lang w:val="en-US"/>
        </w:rPr>
        <w:t xml:space="preserve"> Finance, 33(7)</w:t>
      </w:r>
      <w:r>
        <w:rPr>
          <w:lang w:val="en-US"/>
        </w:rPr>
        <w:t>: 1196-1210</w:t>
      </w:r>
      <w:r w:rsidRPr="006E64DF">
        <w:rPr>
          <w:lang w:val="en-US"/>
        </w:rPr>
        <w:t>.</w:t>
      </w:r>
    </w:p>
    <w:p w14:paraId="6FD45576" w14:textId="77777777" w:rsidR="000020B9" w:rsidRPr="00B555BB" w:rsidRDefault="000020B9" w:rsidP="000020B9">
      <w:pPr>
        <w:spacing w:line="360" w:lineRule="auto"/>
        <w:jc w:val="both"/>
        <w:rPr>
          <w:lang w:val="en-US"/>
        </w:rPr>
      </w:pPr>
    </w:p>
    <w:p w14:paraId="3FDF88BA" w14:textId="77777777" w:rsidR="000020B9" w:rsidRPr="0070604B" w:rsidRDefault="000020B9" w:rsidP="000020B9">
      <w:pPr>
        <w:spacing w:line="360" w:lineRule="auto"/>
        <w:jc w:val="both"/>
        <w:rPr>
          <w:lang w:val="en-US"/>
        </w:rPr>
      </w:pPr>
      <w:r w:rsidRPr="001A6AE5">
        <w:t xml:space="preserve">Costa, Ana C.; De Mello, João Manuel P. (2006). </w:t>
      </w:r>
      <w:r w:rsidRPr="00430665">
        <w:rPr>
          <w:lang w:val="en-US"/>
        </w:rPr>
        <w:t>Judicial risk and credit market performance: Micro evidence from Brazilian payroll loans</w:t>
      </w:r>
      <w:r w:rsidRPr="001A6AE5">
        <w:rPr>
          <w:i/>
          <w:lang w:val="en-US"/>
        </w:rPr>
        <w:t>.</w:t>
      </w:r>
      <w:r>
        <w:rPr>
          <w:lang w:val="en-US"/>
        </w:rPr>
        <w:t xml:space="preserve"> </w:t>
      </w:r>
      <w:r w:rsidRPr="0070604B">
        <w:rPr>
          <w:lang w:val="en-US"/>
        </w:rPr>
        <w:t>NBER Working Paper Nº 12,252.</w:t>
      </w:r>
    </w:p>
    <w:p w14:paraId="7D8D20F5" w14:textId="77777777" w:rsidR="000020B9" w:rsidRDefault="000020B9" w:rsidP="000020B9">
      <w:pPr>
        <w:spacing w:line="360" w:lineRule="auto"/>
        <w:jc w:val="both"/>
        <w:rPr>
          <w:lang w:val="en-US"/>
        </w:rPr>
      </w:pPr>
    </w:p>
    <w:p w14:paraId="2A364B98" w14:textId="77777777" w:rsidR="000020B9" w:rsidRPr="00B555BB" w:rsidRDefault="000020B9" w:rsidP="000020B9">
      <w:pPr>
        <w:spacing w:line="360" w:lineRule="auto"/>
        <w:jc w:val="both"/>
        <w:rPr>
          <w:lang w:val="en-US"/>
        </w:rPr>
      </w:pPr>
      <w:r w:rsidRPr="00B555BB">
        <w:rPr>
          <w:lang w:val="en-US"/>
        </w:rPr>
        <w:t>Degryse, H.; Kim, M. and Ongena, S. (2009). Microeconometrics of banking. Oxford University Press.</w:t>
      </w:r>
    </w:p>
    <w:p w14:paraId="7FFED1F8" w14:textId="77777777" w:rsidR="000020B9" w:rsidRPr="00B555BB" w:rsidRDefault="000020B9" w:rsidP="000020B9">
      <w:pPr>
        <w:spacing w:line="360" w:lineRule="auto"/>
        <w:jc w:val="both"/>
        <w:rPr>
          <w:lang w:val="en-US"/>
        </w:rPr>
      </w:pPr>
    </w:p>
    <w:p w14:paraId="6DCA096F" w14:textId="77777777" w:rsidR="000020B9" w:rsidRPr="00B555BB" w:rsidRDefault="000020B9" w:rsidP="000020B9">
      <w:pPr>
        <w:spacing w:line="360" w:lineRule="auto"/>
        <w:jc w:val="both"/>
        <w:rPr>
          <w:lang w:val="en-US"/>
        </w:rPr>
      </w:pPr>
      <w:r w:rsidRPr="00B555BB">
        <w:rPr>
          <w:lang w:val="en-US"/>
        </w:rPr>
        <w:t>Dick, A. (2002). Demand estimation and consumer welfare in the banking industry. Finance and Economics Discussion Series Paper. Board of Governors of the Federal Reserve System.</w:t>
      </w:r>
    </w:p>
    <w:p w14:paraId="7AD8C85A" w14:textId="77777777" w:rsidR="000020B9" w:rsidRPr="00B555BB" w:rsidRDefault="000020B9" w:rsidP="000020B9">
      <w:pPr>
        <w:spacing w:line="360" w:lineRule="auto"/>
        <w:jc w:val="both"/>
        <w:rPr>
          <w:lang w:val="en-US"/>
        </w:rPr>
      </w:pPr>
    </w:p>
    <w:p w14:paraId="698B2D96" w14:textId="77777777" w:rsidR="000020B9" w:rsidRPr="00B555BB" w:rsidRDefault="000020B9" w:rsidP="000020B9">
      <w:pPr>
        <w:autoSpaceDE w:val="0"/>
        <w:autoSpaceDN w:val="0"/>
        <w:adjustRightInd w:val="0"/>
        <w:spacing w:line="360" w:lineRule="auto"/>
        <w:jc w:val="both"/>
        <w:rPr>
          <w:lang w:val="en-US"/>
        </w:rPr>
      </w:pPr>
      <w:r w:rsidRPr="00B555BB">
        <w:rPr>
          <w:lang w:val="en-US"/>
        </w:rPr>
        <w:t>Dierick, F. (2004). The supervision of mixed financial services groups in Europe. Occasional paper 20. European Central Bank, Frankfurt.</w:t>
      </w:r>
    </w:p>
    <w:p w14:paraId="1B60CE4D" w14:textId="77777777" w:rsidR="000020B9" w:rsidRPr="00B555BB" w:rsidRDefault="000020B9" w:rsidP="000020B9">
      <w:pPr>
        <w:spacing w:line="360" w:lineRule="auto"/>
        <w:jc w:val="both"/>
        <w:rPr>
          <w:lang w:val="en-US"/>
        </w:rPr>
      </w:pPr>
    </w:p>
    <w:p w14:paraId="6BD72EA5" w14:textId="77777777" w:rsidR="000020B9" w:rsidRPr="00B555BB" w:rsidRDefault="000020B9" w:rsidP="000020B9">
      <w:pPr>
        <w:spacing w:line="360" w:lineRule="auto"/>
        <w:jc w:val="both"/>
        <w:rPr>
          <w:lang w:val="en-US"/>
        </w:rPr>
      </w:pPr>
      <w:r w:rsidRPr="00B555BB">
        <w:rPr>
          <w:lang w:val="en-US"/>
        </w:rPr>
        <w:t>Freixas, X.; Lóránth, G. and Morrison, A. (2007). Regulating financial conglomerates. Journal of Financial Intermediation. 16: 479-514.</w:t>
      </w:r>
    </w:p>
    <w:p w14:paraId="39256581" w14:textId="77777777" w:rsidR="000020B9" w:rsidRPr="00B555BB" w:rsidRDefault="000020B9" w:rsidP="000020B9">
      <w:pPr>
        <w:spacing w:line="360" w:lineRule="auto"/>
        <w:jc w:val="both"/>
        <w:rPr>
          <w:lang w:val="en-US"/>
        </w:rPr>
      </w:pPr>
    </w:p>
    <w:p w14:paraId="6AB3DF8D" w14:textId="77777777" w:rsidR="000020B9" w:rsidRPr="00B555BB" w:rsidRDefault="000020B9" w:rsidP="000020B9">
      <w:pPr>
        <w:autoSpaceDE w:val="0"/>
        <w:autoSpaceDN w:val="0"/>
        <w:adjustRightInd w:val="0"/>
        <w:spacing w:line="360" w:lineRule="auto"/>
        <w:jc w:val="both"/>
        <w:rPr>
          <w:lang w:val="en-US"/>
        </w:rPr>
      </w:pPr>
      <w:r w:rsidRPr="00B555BB">
        <w:rPr>
          <w:lang w:val="en-US"/>
        </w:rPr>
        <w:t>Lau, L.J. (1982). On identifying the degree of competitiveness from industry price and output data. Economics Letters, 10: 93-99.</w:t>
      </w:r>
    </w:p>
    <w:p w14:paraId="11940E53" w14:textId="77777777" w:rsidR="000020B9" w:rsidRPr="00B555BB" w:rsidRDefault="000020B9" w:rsidP="000020B9">
      <w:pPr>
        <w:autoSpaceDE w:val="0"/>
        <w:autoSpaceDN w:val="0"/>
        <w:adjustRightInd w:val="0"/>
        <w:spacing w:line="360" w:lineRule="auto"/>
        <w:rPr>
          <w:rFonts w:ascii="Revival565BT-Roman" w:hAnsi="Revival565BT-Roman" w:cs="Revival565BT-Roman"/>
          <w:sz w:val="21"/>
          <w:szCs w:val="21"/>
          <w:lang w:val="en-US"/>
        </w:rPr>
      </w:pPr>
    </w:p>
    <w:p w14:paraId="77F6416B" w14:textId="77777777" w:rsidR="000020B9" w:rsidRPr="00B555BB" w:rsidRDefault="000020B9" w:rsidP="000020B9">
      <w:pPr>
        <w:autoSpaceDE w:val="0"/>
        <w:autoSpaceDN w:val="0"/>
        <w:adjustRightInd w:val="0"/>
        <w:spacing w:line="360" w:lineRule="auto"/>
        <w:jc w:val="both"/>
        <w:rPr>
          <w:lang w:val="en-US"/>
        </w:rPr>
      </w:pPr>
      <w:r w:rsidRPr="00B555BB">
        <w:rPr>
          <w:lang w:val="en-US"/>
        </w:rPr>
        <w:t>Lucinda, C. (2010). Competition in the Brazilian loan market: An empirical analysis. Estudos Econômicos. 40: 831-858.</w:t>
      </w:r>
    </w:p>
    <w:p w14:paraId="3D3899B6" w14:textId="77777777" w:rsidR="000020B9" w:rsidRPr="00B555BB" w:rsidRDefault="000020B9" w:rsidP="000020B9">
      <w:pPr>
        <w:autoSpaceDE w:val="0"/>
        <w:autoSpaceDN w:val="0"/>
        <w:adjustRightInd w:val="0"/>
        <w:spacing w:line="360" w:lineRule="auto"/>
        <w:rPr>
          <w:lang w:val="en-US"/>
        </w:rPr>
      </w:pPr>
    </w:p>
    <w:p w14:paraId="3F6DAE10" w14:textId="77777777" w:rsidR="000020B9" w:rsidRPr="00B555BB" w:rsidRDefault="000020B9" w:rsidP="000020B9">
      <w:pPr>
        <w:autoSpaceDE w:val="0"/>
        <w:autoSpaceDN w:val="0"/>
        <w:adjustRightInd w:val="0"/>
        <w:spacing w:line="360" w:lineRule="auto"/>
        <w:rPr>
          <w:lang w:val="en-US"/>
        </w:rPr>
      </w:pPr>
      <w:r w:rsidRPr="00B555BB">
        <w:rPr>
          <w:lang w:val="en-US"/>
        </w:rPr>
        <w:t>Milbourn, T.; Boot, A and Thakor, A. (1999). Megamergers and expanded scope: Theories of bank size and activity diversity. Journal of Banking and Finance. 23: 195-214.</w:t>
      </w:r>
    </w:p>
    <w:p w14:paraId="6DBB7892" w14:textId="77777777" w:rsidR="000020B9" w:rsidRPr="00B555BB" w:rsidRDefault="000020B9" w:rsidP="000020B9">
      <w:pPr>
        <w:spacing w:line="360" w:lineRule="auto"/>
        <w:jc w:val="both"/>
        <w:rPr>
          <w:lang w:val="en-US"/>
        </w:rPr>
      </w:pPr>
    </w:p>
    <w:p w14:paraId="4C0D744C" w14:textId="77777777" w:rsidR="000020B9" w:rsidRPr="00B555BB" w:rsidRDefault="000020B9" w:rsidP="000020B9">
      <w:pPr>
        <w:spacing w:line="360" w:lineRule="auto"/>
        <w:jc w:val="both"/>
        <w:rPr>
          <w:lang w:val="en-US"/>
        </w:rPr>
      </w:pPr>
      <w:r w:rsidRPr="00B555BB">
        <w:rPr>
          <w:lang w:val="en-US"/>
        </w:rPr>
        <w:t>Murray, J. and White, R. (1983). Economies of Scale and economies of scope in multiproduct financial institutions: A study of British Columbia Credit Unions. Journal of Finance.  38: 887-901.</w:t>
      </w:r>
    </w:p>
    <w:p w14:paraId="3B3359CE" w14:textId="77777777" w:rsidR="000020B9" w:rsidRDefault="000020B9" w:rsidP="000020B9">
      <w:pPr>
        <w:spacing w:line="360" w:lineRule="auto"/>
        <w:jc w:val="both"/>
        <w:rPr>
          <w:lang w:val="en-US"/>
        </w:rPr>
      </w:pPr>
    </w:p>
    <w:p w14:paraId="3C0917A4" w14:textId="77777777" w:rsidR="000020B9" w:rsidRDefault="000020B9" w:rsidP="000020B9">
      <w:pPr>
        <w:autoSpaceDE w:val="0"/>
        <w:autoSpaceDN w:val="0"/>
        <w:adjustRightInd w:val="0"/>
        <w:spacing w:line="360" w:lineRule="auto"/>
        <w:jc w:val="both"/>
        <w:rPr>
          <w:lang w:val="en-US"/>
        </w:rPr>
      </w:pPr>
      <w:r w:rsidRPr="00C453A9">
        <w:rPr>
          <w:lang w:val="en-US"/>
        </w:rPr>
        <w:t>Nakane, M</w:t>
      </w:r>
      <w:r>
        <w:rPr>
          <w:lang w:val="en-US"/>
        </w:rPr>
        <w:t>.;</w:t>
      </w:r>
      <w:r w:rsidRPr="00C453A9">
        <w:rPr>
          <w:lang w:val="en-US"/>
        </w:rPr>
        <w:t xml:space="preserve"> Weintraub, D</w:t>
      </w:r>
      <w:r>
        <w:rPr>
          <w:lang w:val="en-US"/>
        </w:rPr>
        <w:t xml:space="preserve">. </w:t>
      </w:r>
      <w:r w:rsidRPr="00C453A9">
        <w:rPr>
          <w:lang w:val="en-US"/>
        </w:rPr>
        <w:t>B.</w:t>
      </w:r>
      <w:r>
        <w:rPr>
          <w:lang w:val="en-US"/>
        </w:rPr>
        <w:t xml:space="preserve"> </w:t>
      </w:r>
      <w:r w:rsidRPr="00C453A9">
        <w:rPr>
          <w:lang w:val="en-US"/>
        </w:rPr>
        <w:t>(2005)</w:t>
      </w:r>
      <w:r>
        <w:rPr>
          <w:lang w:val="en-US"/>
        </w:rPr>
        <w:t>. Bank privatization and productivity: Evidence for Brazil.</w:t>
      </w:r>
      <w:r w:rsidRPr="00AA36AB">
        <w:rPr>
          <w:iCs/>
          <w:lang w:val="en-US"/>
        </w:rPr>
        <w:t xml:space="preserve"> Journal of Banking and Finance</w:t>
      </w:r>
      <w:r>
        <w:rPr>
          <w:lang w:val="en-US"/>
        </w:rPr>
        <w:t>.</w:t>
      </w:r>
      <w:r w:rsidRPr="008A7F09">
        <w:rPr>
          <w:lang w:val="en-US"/>
        </w:rPr>
        <w:t xml:space="preserve"> </w:t>
      </w:r>
      <w:r w:rsidRPr="00AA36AB">
        <w:rPr>
          <w:bCs/>
          <w:lang w:val="en-US"/>
        </w:rPr>
        <w:t>29</w:t>
      </w:r>
      <w:r>
        <w:rPr>
          <w:lang w:val="en-US"/>
        </w:rPr>
        <w:t>:</w:t>
      </w:r>
      <w:r w:rsidRPr="008A7F09">
        <w:rPr>
          <w:lang w:val="en-US"/>
        </w:rPr>
        <w:t xml:space="preserve"> 2259-2289.</w:t>
      </w:r>
    </w:p>
    <w:p w14:paraId="43DCC652" w14:textId="77777777" w:rsidR="000020B9" w:rsidRDefault="000020B9" w:rsidP="000020B9">
      <w:pPr>
        <w:autoSpaceDE w:val="0"/>
        <w:autoSpaceDN w:val="0"/>
        <w:adjustRightInd w:val="0"/>
        <w:spacing w:line="360" w:lineRule="auto"/>
        <w:jc w:val="both"/>
        <w:rPr>
          <w:lang w:val="en-US"/>
        </w:rPr>
      </w:pPr>
    </w:p>
    <w:p w14:paraId="07B1062B" w14:textId="77777777" w:rsidR="000020B9" w:rsidRPr="00E53026" w:rsidRDefault="000020B9" w:rsidP="000020B9">
      <w:pPr>
        <w:autoSpaceDE w:val="0"/>
        <w:autoSpaceDN w:val="0"/>
        <w:adjustRightInd w:val="0"/>
        <w:spacing w:line="360" w:lineRule="auto"/>
        <w:jc w:val="both"/>
        <w:rPr>
          <w:lang w:val="en-US"/>
        </w:rPr>
      </w:pPr>
      <w:r w:rsidRPr="00E53026">
        <w:rPr>
          <w:lang w:val="en-US"/>
        </w:rPr>
        <w:t>Ness Jr</w:t>
      </w:r>
      <w:r>
        <w:rPr>
          <w:lang w:val="en-US"/>
        </w:rPr>
        <w:t xml:space="preserve">.; Walter L. </w:t>
      </w:r>
      <w:r w:rsidRPr="00E53026">
        <w:rPr>
          <w:lang w:val="en-US"/>
        </w:rPr>
        <w:t>(2000)</w:t>
      </w:r>
      <w:r>
        <w:rPr>
          <w:lang w:val="en-US"/>
        </w:rPr>
        <w:t xml:space="preserve">. Reducing government bank presence in the Brazilian financial system – Why and how. </w:t>
      </w:r>
      <w:r w:rsidRPr="00C90D0C">
        <w:rPr>
          <w:bCs/>
          <w:iCs/>
          <w:lang w:val="en-US"/>
        </w:rPr>
        <w:t>Quarterly Review of Economics and Finance</w:t>
      </w:r>
      <w:r>
        <w:rPr>
          <w:bCs/>
          <w:lang w:val="en-US"/>
        </w:rPr>
        <w:t xml:space="preserve">. </w:t>
      </w:r>
      <w:r w:rsidRPr="00C90D0C">
        <w:rPr>
          <w:lang w:val="en-US"/>
        </w:rPr>
        <w:t>40</w:t>
      </w:r>
      <w:r>
        <w:rPr>
          <w:bCs/>
          <w:lang w:val="en-US"/>
        </w:rPr>
        <w:t>: 71-84.</w:t>
      </w:r>
    </w:p>
    <w:p w14:paraId="2D4652F3" w14:textId="77777777" w:rsidR="000020B9" w:rsidRPr="00B555BB" w:rsidRDefault="000020B9" w:rsidP="000020B9">
      <w:pPr>
        <w:spacing w:line="360" w:lineRule="auto"/>
        <w:jc w:val="both"/>
        <w:rPr>
          <w:lang w:val="en-US"/>
        </w:rPr>
      </w:pPr>
    </w:p>
    <w:p w14:paraId="7DE8F802" w14:textId="77777777" w:rsidR="000020B9" w:rsidRPr="00B555BB" w:rsidRDefault="000020B9" w:rsidP="000020B9">
      <w:pPr>
        <w:spacing w:line="360" w:lineRule="auto"/>
        <w:jc w:val="both"/>
        <w:rPr>
          <w:lang w:val="en-US"/>
        </w:rPr>
      </w:pPr>
      <w:r w:rsidRPr="00B555BB">
        <w:rPr>
          <w:lang w:val="en-US"/>
        </w:rPr>
        <w:t xml:space="preserve">Panzar, J. and Rosse, J. (1987). Testing for “Monopoly” equilibrium. The Journal of Industrial Economics. XXXV(4): 443-456. </w:t>
      </w:r>
    </w:p>
    <w:p w14:paraId="6D7F6CB8" w14:textId="77777777" w:rsidR="000020B9" w:rsidRDefault="000020B9" w:rsidP="000020B9">
      <w:pPr>
        <w:jc w:val="both"/>
        <w:rPr>
          <w:lang w:val="en-US"/>
        </w:rPr>
      </w:pPr>
    </w:p>
    <w:p w14:paraId="4C7AC2C2" w14:textId="77777777" w:rsidR="000020B9" w:rsidRDefault="000020B9" w:rsidP="000020B9">
      <w:pPr>
        <w:jc w:val="both"/>
        <w:rPr>
          <w:lang w:val="en-US"/>
        </w:rPr>
      </w:pPr>
    </w:p>
    <w:p w14:paraId="1C8E6651" w14:textId="77777777" w:rsidR="000020B9" w:rsidRDefault="000020B9" w:rsidP="000020B9">
      <w:pPr>
        <w:jc w:val="both"/>
        <w:rPr>
          <w:b/>
          <w:lang w:val="en-US"/>
        </w:rPr>
      </w:pPr>
      <w:r>
        <w:rPr>
          <w:b/>
          <w:lang w:val="en-US"/>
        </w:rPr>
        <w:br w:type="page"/>
      </w:r>
      <w:r w:rsidRPr="00FE253A">
        <w:rPr>
          <w:b/>
          <w:lang w:val="en-US"/>
        </w:rPr>
        <w:lastRenderedPageBreak/>
        <w:t>Appendix</w:t>
      </w:r>
    </w:p>
    <w:p w14:paraId="1DF8031A" w14:textId="77777777" w:rsidR="000020B9" w:rsidRPr="00FE253A" w:rsidRDefault="000020B9" w:rsidP="000020B9">
      <w:pPr>
        <w:jc w:val="both"/>
        <w:rPr>
          <w:b/>
          <w:lang w:val="en-US"/>
        </w:rPr>
      </w:pPr>
    </w:p>
    <w:tbl>
      <w:tblPr>
        <w:tblW w:w="8662" w:type="dxa"/>
        <w:jc w:val="center"/>
        <w:tblCellMar>
          <w:left w:w="70" w:type="dxa"/>
          <w:right w:w="70" w:type="dxa"/>
        </w:tblCellMar>
        <w:tblLook w:val="04A0" w:firstRow="1" w:lastRow="0" w:firstColumn="1" w:lastColumn="0" w:noHBand="0" w:noVBand="1"/>
      </w:tblPr>
      <w:tblGrid>
        <w:gridCol w:w="2110"/>
        <w:gridCol w:w="3272"/>
        <w:gridCol w:w="3280"/>
      </w:tblGrid>
      <w:tr w:rsidR="000020B9" w:rsidRPr="00CC6DC9" w14:paraId="45A7832F" w14:textId="77777777" w:rsidTr="00EF25E1">
        <w:trPr>
          <w:trHeight w:val="615"/>
          <w:jc w:val="center"/>
        </w:trPr>
        <w:tc>
          <w:tcPr>
            <w:tcW w:w="8662" w:type="dxa"/>
            <w:gridSpan w:val="3"/>
            <w:tcBorders>
              <w:top w:val="nil"/>
              <w:left w:val="nil"/>
              <w:right w:val="nil"/>
            </w:tcBorders>
            <w:shd w:val="clear" w:color="auto" w:fill="auto"/>
            <w:noWrap/>
            <w:vAlign w:val="bottom"/>
          </w:tcPr>
          <w:p w14:paraId="4E9BAF79" w14:textId="77777777" w:rsidR="000020B9" w:rsidRPr="00CC6DC9" w:rsidRDefault="000020B9" w:rsidP="00EF25E1">
            <w:pPr>
              <w:rPr>
                <w:color w:val="000000"/>
                <w:sz w:val="20"/>
                <w:szCs w:val="20"/>
              </w:rPr>
            </w:pPr>
            <w:r w:rsidRPr="00CC6DC9">
              <w:rPr>
                <w:b/>
                <w:bCs/>
                <w:color w:val="000000"/>
                <w:sz w:val="20"/>
                <w:szCs w:val="20"/>
              </w:rPr>
              <w:t>Table 1 - Financial Products</w:t>
            </w:r>
          </w:p>
        </w:tc>
      </w:tr>
      <w:tr w:rsidR="000020B9" w:rsidRPr="00CC6DC9" w14:paraId="5CF1D627" w14:textId="77777777" w:rsidTr="00EF25E1">
        <w:trPr>
          <w:trHeight w:val="315"/>
          <w:jc w:val="center"/>
        </w:trPr>
        <w:tc>
          <w:tcPr>
            <w:tcW w:w="2110" w:type="dxa"/>
            <w:tcBorders>
              <w:top w:val="single" w:sz="8" w:space="0" w:color="auto"/>
              <w:left w:val="single" w:sz="8" w:space="0" w:color="auto"/>
              <w:bottom w:val="nil"/>
              <w:right w:val="single" w:sz="8" w:space="0" w:color="auto"/>
            </w:tcBorders>
            <w:shd w:val="clear" w:color="auto" w:fill="auto"/>
            <w:noWrap/>
            <w:vAlign w:val="bottom"/>
          </w:tcPr>
          <w:p w14:paraId="46606DD4" w14:textId="77777777" w:rsidR="000020B9" w:rsidRPr="00CC6DC9" w:rsidRDefault="000020B9" w:rsidP="00EF25E1">
            <w:pPr>
              <w:rPr>
                <w:b/>
                <w:color w:val="000000"/>
                <w:sz w:val="20"/>
                <w:szCs w:val="20"/>
              </w:rPr>
            </w:pPr>
            <w:r w:rsidRPr="00CC6DC9">
              <w:rPr>
                <w:b/>
                <w:color w:val="000000"/>
                <w:sz w:val="20"/>
                <w:szCs w:val="20"/>
              </w:rPr>
              <w:t> </w:t>
            </w:r>
          </w:p>
        </w:tc>
        <w:tc>
          <w:tcPr>
            <w:tcW w:w="6552" w:type="dxa"/>
            <w:gridSpan w:val="2"/>
            <w:tcBorders>
              <w:top w:val="single" w:sz="8" w:space="0" w:color="auto"/>
              <w:left w:val="nil"/>
              <w:bottom w:val="single" w:sz="8" w:space="0" w:color="auto"/>
              <w:right w:val="single" w:sz="8" w:space="0" w:color="000000"/>
            </w:tcBorders>
            <w:shd w:val="clear" w:color="auto" w:fill="auto"/>
            <w:noWrap/>
            <w:vAlign w:val="bottom"/>
          </w:tcPr>
          <w:p w14:paraId="7C6229FD" w14:textId="77777777" w:rsidR="000020B9" w:rsidRPr="00CC6DC9" w:rsidRDefault="000020B9" w:rsidP="00EF25E1">
            <w:pPr>
              <w:jc w:val="center"/>
              <w:rPr>
                <w:b/>
                <w:color w:val="000000"/>
                <w:sz w:val="20"/>
                <w:szCs w:val="20"/>
              </w:rPr>
            </w:pPr>
            <w:r w:rsidRPr="00CC6DC9">
              <w:rPr>
                <w:b/>
                <w:color w:val="000000"/>
                <w:sz w:val="20"/>
                <w:szCs w:val="20"/>
              </w:rPr>
              <w:t>Other Bank Products</w:t>
            </w:r>
          </w:p>
        </w:tc>
      </w:tr>
      <w:tr w:rsidR="000020B9" w:rsidRPr="002B1AB2" w14:paraId="688E7556" w14:textId="77777777" w:rsidTr="00EF25E1">
        <w:trPr>
          <w:trHeight w:val="315"/>
          <w:jc w:val="center"/>
        </w:trPr>
        <w:tc>
          <w:tcPr>
            <w:tcW w:w="2110" w:type="dxa"/>
            <w:tcBorders>
              <w:top w:val="nil"/>
              <w:left w:val="single" w:sz="8" w:space="0" w:color="auto"/>
              <w:bottom w:val="single" w:sz="8" w:space="0" w:color="auto"/>
              <w:right w:val="single" w:sz="8" w:space="0" w:color="auto"/>
            </w:tcBorders>
            <w:shd w:val="clear" w:color="auto" w:fill="auto"/>
            <w:noWrap/>
            <w:vAlign w:val="bottom"/>
          </w:tcPr>
          <w:p w14:paraId="44B19120" w14:textId="77777777" w:rsidR="000020B9" w:rsidRPr="00CC6DC9" w:rsidRDefault="000020B9" w:rsidP="00EF25E1">
            <w:pPr>
              <w:rPr>
                <w:b/>
                <w:color w:val="000000"/>
                <w:sz w:val="20"/>
                <w:szCs w:val="20"/>
              </w:rPr>
            </w:pPr>
            <w:r w:rsidRPr="00CC6DC9">
              <w:rPr>
                <w:b/>
                <w:color w:val="000000"/>
                <w:sz w:val="20"/>
                <w:szCs w:val="20"/>
              </w:rPr>
              <w:t>Classic Bank Products</w:t>
            </w:r>
          </w:p>
        </w:tc>
        <w:tc>
          <w:tcPr>
            <w:tcW w:w="3272" w:type="dxa"/>
            <w:tcBorders>
              <w:top w:val="nil"/>
              <w:left w:val="nil"/>
              <w:bottom w:val="single" w:sz="8" w:space="0" w:color="auto"/>
              <w:right w:val="nil"/>
            </w:tcBorders>
            <w:shd w:val="clear" w:color="auto" w:fill="auto"/>
            <w:noWrap/>
            <w:vAlign w:val="bottom"/>
          </w:tcPr>
          <w:p w14:paraId="6B19553C" w14:textId="77777777" w:rsidR="000020B9" w:rsidRPr="00CC6DC9" w:rsidRDefault="000020B9" w:rsidP="00EF25E1">
            <w:pPr>
              <w:jc w:val="center"/>
              <w:rPr>
                <w:b/>
                <w:color w:val="000000"/>
                <w:sz w:val="20"/>
                <w:szCs w:val="20"/>
              </w:rPr>
            </w:pPr>
            <w:r w:rsidRPr="00CC6DC9">
              <w:rPr>
                <w:b/>
                <w:color w:val="000000"/>
                <w:sz w:val="20"/>
                <w:szCs w:val="20"/>
              </w:rPr>
              <w:t>Other Financial Bank Products</w:t>
            </w:r>
          </w:p>
        </w:tc>
        <w:tc>
          <w:tcPr>
            <w:tcW w:w="3280" w:type="dxa"/>
            <w:tcBorders>
              <w:top w:val="nil"/>
              <w:left w:val="single" w:sz="8" w:space="0" w:color="auto"/>
              <w:bottom w:val="single" w:sz="8" w:space="0" w:color="auto"/>
              <w:right w:val="single" w:sz="8" w:space="0" w:color="auto"/>
            </w:tcBorders>
            <w:shd w:val="clear" w:color="auto" w:fill="auto"/>
            <w:noWrap/>
            <w:vAlign w:val="bottom"/>
          </w:tcPr>
          <w:p w14:paraId="45E7CC1E" w14:textId="77777777" w:rsidR="000020B9" w:rsidRPr="002B1AB2" w:rsidRDefault="000020B9" w:rsidP="00EF25E1">
            <w:pPr>
              <w:jc w:val="center"/>
              <w:rPr>
                <w:b/>
                <w:color w:val="000000"/>
                <w:sz w:val="20"/>
                <w:szCs w:val="20"/>
                <w:lang w:val="en-US"/>
              </w:rPr>
            </w:pPr>
            <w:r w:rsidRPr="002B1AB2">
              <w:rPr>
                <w:b/>
                <w:color w:val="000000"/>
                <w:sz w:val="20"/>
                <w:szCs w:val="20"/>
                <w:lang w:val="en-US"/>
              </w:rPr>
              <w:t>Other Non Financial Bank Products</w:t>
            </w:r>
          </w:p>
        </w:tc>
      </w:tr>
      <w:tr w:rsidR="000020B9" w:rsidRPr="00CC6DC9" w14:paraId="30C062F4" w14:textId="77777777" w:rsidTr="00EF25E1">
        <w:trPr>
          <w:trHeight w:val="300"/>
          <w:jc w:val="center"/>
        </w:trPr>
        <w:tc>
          <w:tcPr>
            <w:tcW w:w="2110" w:type="dxa"/>
            <w:tcBorders>
              <w:top w:val="nil"/>
              <w:left w:val="single" w:sz="8" w:space="0" w:color="auto"/>
              <w:bottom w:val="nil"/>
              <w:right w:val="single" w:sz="8" w:space="0" w:color="auto"/>
            </w:tcBorders>
            <w:shd w:val="clear" w:color="auto" w:fill="auto"/>
            <w:noWrap/>
            <w:vAlign w:val="bottom"/>
          </w:tcPr>
          <w:p w14:paraId="3C38474C" w14:textId="77777777" w:rsidR="000020B9" w:rsidRPr="00CC6DC9" w:rsidRDefault="000020B9" w:rsidP="00EF25E1">
            <w:pPr>
              <w:jc w:val="center"/>
              <w:rPr>
                <w:color w:val="000000"/>
                <w:sz w:val="20"/>
                <w:szCs w:val="20"/>
              </w:rPr>
            </w:pPr>
            <w:r>
              <w:rPr>
                <w:color w:val="000000"/>
                <w:sz w:val="20"/>
                <w:szCs w:val="20"/>
              </w:rPr>
              <w:t>Corporate loans</w:t>
            </w:r>
          </w:p>
        </w:tc>
        <w:tc>
          <w:tcPr>
            <w:tcW w:w="3272" w:type="dxa"/>
            <w:tcBorders>
              <w:top w:val="nil"/>
              <w:left w:val="nil"/>
              <w:bottom w:val="nil"/>
              <w:right w:val="nil"/>
            </w:tcBorders>
            <w:shd w:val="clear" w:color="auto" w:fill="auto"/>
            <w:noWrap/>
            <w:vAlign w:val="bottom"/>
          </w:tcPr>
          <w:p w14:paraId="56140D65" w14:textId="77777777" w:rsidR="000020B9" w:rsidRPr="00CC6DC9" w:rsidRDefault="000020B9" w:rsidP="00EF25E1">
            <w:pPr>
              <w:jc w:val="center"/>
              <w:rPr>
                <w:color w:val="000000"/>
                <w:sz w:val="20"/>
                <w:szCs w:val="20"/>
              </w:rPr>
            </w:pPr>
            <w:r w:rsidRPr="00CC6DC9">
              <w:rPr>
                <w:color w:val="000000"/>
                <w:sz w:val="20"/>
                <w:szCs w:val="20"/>
              </w:rPr>
              <w:t>Broker</w:t>
            </w:r>
          </w:p>
        </w:tc>
        <w:tc>
          <w:tcPr>
            <w:tcW w:w="3280" w:type="dxa"/>
            <w:tcBorders>
              <w:top w:val="nil"/>
              <w:left w:val="single" w:sz="8" w:space="0" w:color="auto"/>
              <w:bottom w:val="nil"/>
              <w:right w:val="single" w:sz="8" w:space="0" w:color="auto"/>
            </w:tcBorders>
            <w:shd w:val="clear" w:color="auto" w:fill="auto"/>
            <w:noWrap/>
            <w:vAlign w:val="bottom"/>
          </w:tcPr>
          <w:p w14:paraId="5A52ACEA" w14:textId="77777777" w:rsidR="000020B9" w:rsidRPr="00CC6DC9" w:rsidRDefault="000020B9" w:rsidP="00EF25E1">
            <w:pPr>
              <w:jc w:val="center"/>
              <w:rPr>
                <w:color w:val="000000"/>
                <w:sz w:val="20"/>
                <w:szCs w:val="20"/>
              </w:rPr>
            </w:pPr>
            <w:r w:rsidRPr="00CC6DC9">
              <w:rPr>
                <w:color w:val="000000"/>
                <w:sz w:val="20"/>
                <w:szCs w:val="20"/>
              </w:rPr>
              <w:t>Insurance</w:t>
            </w:r>
          </w:p>
        </w:tc>
      </w:tr>
      <w:tr w:rsidR="000020B9" w:rsidRPr="00CC6DC9" w14:paraId="1DBDD5AC" w14:textId="77777777" w:rsidTr="00EF25E1">
        <w:trPr>
          <w:trHeight w:val="300"/>
          <w:jc w:val="center"/>
        </w:trPr>
        <w:tc>
          <w:tcPr>
            <w:tcW w:w="2110" w:type="dxa"/>
            <w:tcBorders>
              <w:top w:val="nil"/>
              <w:left w:val="single" w:sz="8" w:space="0" w:color="auto"/>
              <w:bottom w:val="nil"/>
              <w:right w:val="single" w:sz="8" w:space="0" w:color="auto"/>
            </w:tcBorders>
            <w:shd w:val="clear" w:color="auto" w:fill="auto"/>
            <w:noWrap/>
            <w:vAlign w:val="bottom"/>
          </w:tcPr>
          <w:p w14:paraId="5FA0EB3A" w14:textId="77777777" w:rsidR="000020B9" w:rsidRPr="00CC6DC9" w:rsidRDefault="000020B9" w:rsidP="00EF25E1">
            <w:pPr>
              <w:jc w:val="center"/>
              <w:rPr>
                <w:color w:val="000000"/>
                <w:sz w:val="20"/>
                <w:szCs w:val="20"/>
              </w:rPr>
            </w:pPr>
            <w:r>
              <w:rPr>
                <w:color w:val="000000"/>
                <w:sz w:val="20"/>
                <w:szCs w:val="20"/>
              </w:rPr>
              <w:t>Working capital</w:t>
            </w:r>
          </w:p>
        </w:tc>
        <w:tc>
          <w:tcPr>
            <w:tcW w:w="3272" w:type="dxa"/>
            <w:tcBorders>
              <w:top w:val="nil"/>
              <w:left w:val="nil"/>
              <w:bottom w:val="nil"/>
              <w:right w:val="nil"/>
            </w:tcBorders>
            <w:shd w:val="clear" w:color="auto" w:fill="auto"/>
            <w:noWrap/>
            <w:vAlign w:val="bottom"/>
          </w:tcPr>
          <w:p w14:paraId="3B6CFFF0" w14:textId="77777777" w:rsidR="000020B9" w:rsidRPr="00CC6DC9" w:rsidRDefault="000020B9" w:rsidP="00EF25E1">
            <w:pPr>
              <w:jc w:val="center"/>
              <w:rPr>
                <w:color w:val="000000"/>
                <w:sz w:val="20"/>
                <w:szCs w:val="20"/>
              </w:rPr>
            </w:pPr>
            <w:r w:rsidRPr="00CC6DC9">
              <w:rPr>
                <w:color w:val="000000"/>
                <w:sz w:val="20"/>
                <w:szCs w:val="20"/>
              </w:rPr>
              <w:t>Interbank credit</w:t>
            </w:r>
          </w:p>
        </w:tc>
        <w:tc>
          <w:tcPr>
            <w:tcW w:w="3280" w:type="dxa"/>
            <w:tcBorders>
              <w:top w:val="nil"/>
              <w:left w:val="single" w:sz="8" w:space="0" w:color="auto"/>
              <w:bottom w:val="nil"/>
              <w:right w:val="single" w:sz="8" w:space="0" w:color="auto"/>
            </w:tcBorders>
            <w:shd w:val="clear" w:color="auto" w:fill="auto"/>
            <w:noWrap/>
            <w:vAlign w:val="bottom"/>
          </w:tcPr>
          <w:p w14:paraId="5FA37B4B" w14:textId="77777777" w:rsidR="000020B9" w:rsidRPr="00CC6DC9" w:rsidRDefault="000020B9" w:rsidP="00EF25E1">
            <w:pPr>
              <w:jc w:val="center"/>
              <w:rPr>
                <w:color w:val="000000"/>
                <w:sz w:val="20"/>
                <w:szCs w:val="20"/>
              </w:rPr>
            </w:pPr>
            <w:r w:rsidRPr="00CC6DC9">
              <w:rPr>
                <w:color w:val="000000"/>
                <w:sz w:val="20"/>
                <w:szCs w:val="20"/>
              </w:rPr>
              <w:t>Life Insurance</w:t>
            </w:r>
          </w:p>
        </w:tc>
      </w:tr>
      <w:tr w:rsidR="000020B9" w:rsidRPr="00CC6DC9" w14:paraId="0364DD6A" w14:textId="77777777" w:rsidTr="00EF25E1">
        <w:trPr>
          <w:trHeight w:val="300"/>
          <w:jc w:val="center"/>
        </w:trPr>
        <w:tc>
          <w:tcPr>
            <w:tcW w:w="2110" w:type="dxa"/>
            <w:tcBorders>
              <w:top w:val="nil"/>
              <w:left w:val="single" w:sz="8" w:space="0" w:color="auto"/>
              <w:bottom w:val="nil"/>
              <w:right w:val="single" w:sz="8" w:space="0" w:color="auto"/>
            </w:tcBorders>
            <w:shd w:val="clear" w:color="auto" w:fill="auto"/>
            <w:noWrap/>
            <w:vAlign w:val="bottom"/>
          </w:tcPr>
          <w:p w14:paraId="16BAF0C4" w14:textId="77777777" w:rsidR="000020B9" w:rsidRPr="00CC6DC9" w:rsidRDefault="000020B9" w:rsidP="00EF25E1">
            <w:pPr>
              <w:jc w:val="center"/>
              <w:rPr>
                <w:color w:val="000000"/>
                <w:sz w:val="20"/>
                <w:szCs w:val="20"/>
              </w:rPr>
            </w:pPr>
            <w:r w:rsidRPr="00CC6DC9">
              <w:rPr>
                <w:color w:val="000000"/>
                <w:sz w:val="20"/>
                <w:szCs w:val="20"/>
              </w:rPr>
              <w:t>Credit Cards</w:t>
            </w:r>
          </w:p>
        </w:tc>
        <w:tc>
          <w:tcPr>
            <w:tcW w:w="3272" w:type="dxa"/>
            <w:tcBorders>
              <w:top w:val="nil"/>
              <w:left w:val="nil"/>
              <w:bottom w:val="nil"/>
              <w:right w:val="nil"/>
            </w:tcBorders>
            <w:shd w:val="clear" w:color="auto" w:fill="auto"/>
            <w:noWrap/>
            <w:vAlign w:val="bottom"/>
          </w:tcPr>
          <w:p w14:paraId="1CB35B68" w14:textId="77777777" w:rsidR="000020B9" w:rsidRPr="00CC6DC9" w:rsidRDefault="000020B9" w:rsidP="00EF25E1">
            <w:pPr>
              <w:jc w:val="center"/>
              <w:rPr>
                <w:color w:val="000000"/>
                <w:sz w:val="20"/>
                <w:szCs w:val="20"/>
                <w:lang w:val="en-US"/>
              </w:rPr>
            </w:pPr>
            <w:r w:rsidRPr="00CC6DC9">
              <w:rPr>
                <w:color w:val="000000"/>
                <w:sz w:val="20"/>
                <w:szCs w:val="20"/>
                <w:lang w:val="en-US"/>
              </w:rPr>
              <w:t>Market Trades (currency,</w:t>
            </w:r>
            <w:r>
              <w:rPr>
                <w:color w:val="000000"/>
                <w:sz w:val="20"/>
                <w:szCs w:val="20"/>
                <w:lang w:val="en-US"/>
              </w:rPr>
              <w:t xml:space="preserve"> </w:t>
            </w:r>
            <w:r w:rsidRPr="00CC6DC9">
              <w:rPr>
                <w:color w:val="000000"/>
                <w:sz w:val="20"/>
                <w:szCs w:val="20"/>
                <w:lang w:val="en-US"/>
              </w:rPr>
              <w:t xml:space="preserve">money, etc) </w:t>
            </w:r>
          </w:p>
        </w:tc>
        <w:tc>
          <w:tcPr>
            <w:tcW w:w="3280" w:type="dxa"/>
            <w:tcBorders>
              <w:top w:val="nil"/>
              <w:left w:val="single" w:sz="8" w:space="0" w:color="auto"/>
              <w:bottom w:val="nil"/>
              <w:right w:val="single" w:sz="8" w:space="0" w:color="auto"/>
            </w:tcBorders>
            <w:shd w:val="clear" w:color="auto" w:fill="auto"/>
            <w:noWrap/>
            <w:vAlign w:val="bottom"/>
          </w:tcPr>
          <w:p w14:paraId="27C67435" w14:textId="77777777" w:rsidR="000020B9" w:rsidRPr="00CC6DC9" w:rsidRDefault="000020B9" w:rsidP="00EF25E1">
            <w:pPr>
              <w:jc w:val="center"/>
              <w:rPr>
                <w:color w:val="000000"/>
                <w:sz w:val="20"/>
                <w:szCs w:val="20"/>
              </w:rPr>
            </w:pPr>
            <w:r w:rsidRPr="00CC6DC9">
              <w:rPr>
                <w:color w:val="000000"/>
                <w:sz w:val="20"/>
                <w:szCs w:val="20"/>
              </w:rPr>
              <w:t>Capitalization Bonds</w:t>
            </w:r>
          </w:p>
        </w:tc>
      </w:tr>
      <w:tr w:rsidR="000020B9" w:rsidRPr="00CC6DC9" w14:paraId="14A79E36" w14:textId="77777777" w:rsidTr="00EF25E1">
        <w:trPr>
          <w:trHeight w:val="300"/>
          <w:jc w:val="center"/>
        </w:trPr>
        <w:tc>
          <w:tcPr>
            <w:tcW w:w="2110" w:type="dxa"/>
            <w:tcBorders>
              <w:top w:val="nil"/>
              <w:left w:val="single" w:sz="8" w:space="0" w:color="auto"/>
              <w:bottom w:val="nil"/>
              <w:right w:val="single" w:sz="8" w:space="0" w:color="auto"/>
            </w:tcBorders>
            <w:shd w:val="clear" w:color="auto" w:fill="auto"/>
            <w:noWrap/>
            <w:vAlign w:val="bottom"/>
          </w:tcPr>
          <w:p w14:paraId="4F8EDBE9" w14:textId="77777777" w:rsidR="000020B9" w:rsidRPr="00CC6DC9" w:rsidRDefault="000020B9" w:rsidP="00EF25E1">
            <w:pPr>
              <w:jc w:val="center"/>
              <w:rPr>
                <w:color w:val="000000"/>
                <w:sz w:val="20"/>
                <w:szCs w:val="20"/>
              </w:rPr>
            </w:pPr>
            <w:r w:rsidRPr="00CC6DC9">
              <w:rPr>
                <w:color w:val="000000"/>
                <w:sz w:val="20"/>
                <w:szCs w:val="20"/>
              </w:rPr>
              <w:t> </w:t>
            </w:r>
            <w:r>
              <w:rPr>
                <w:color w:val="000000"/>
                <w:sz w:val="20"/>
                <w:szCs w:val="20"/>
              </w:rPr>
              <w:t>Personal loans</w:t>
            </w:r>
          </w:p>
        </w:tc>
        <w:tc>
          <w:tcPr>
            <w:tcW w:w="3272" w:type="dxa"/>
            <w:tcBorders>
              <w:top w:val="nil"/>
              <w:left w:val="nil"/>
              <w:bottom w:val="nil"/>
              <w:right w:val="nil"/>
            </w:tcBorders>
            <w:shd w:val="clear" w:color="auto" w:fill="auto"/>
            <w:noWrap/>
            <w:vAlign w:val="bottom"/>
          </w:tcPr>
          <w:p w14:paraId="36976086" w14:textId="77777777" w:rsidR="000020B9" w:rsidRPr="00CC6DC9" w:rsidRDefault="000020B9" w:rsidP="00EF25E1">
            <w:pPr>
              <w:jc w:val="center"/>
              <w:rPr>
                <w:color w:val="000000"/>
                <w:sz w:val="20"/>
                <w:szCs w:val="20"/>
              </w:rPr>
            </w:pPr>
          </w:p>
        </w:tc>
        <w:tc>
          <w:tcPr>
            <w:tcW w:w="3280" w:type="dxa"/>
            <w:tcBorders>
              <w:top w:val="nil"/>
              <w:left w:val="single" w:sz="8" w:space="0" w:color="auto"/>
              <w:bottom w:val="nil"/>
              <w:right w:val="single" w:sz="8" w:space="0" w:color="auto"/>
            </w:tcBorders>
            <w:shd w:val="clear" w:color="auto" w:fill="auto"/>
            <w:noWrap/>
            <w:vAlign w:val="bottom"/>
          </w:tcPr>
          <w:p w14:paraId="685EB737" w14:textId="77777777" w:rsidR="000020B9" w:rsidRPr="00CC6DC9" w:rsidRDefault="000020B9" w:rsidP="00EF25E1">
            <w:pPr>
              <w:jc w:val="center"/>
              <w:rPr>
                <w:color w:val="000000"/>
                <w:sz w:val="20"/>
                <w:szCs w:val="20"/>
              </w:rPr>
            </w:pPr>
            <w:r w:rsidRPr="00CC6DC9">
              <w:rPr>
                <w:color w:val="000000"/>
                <w:sz w:val="20"/>
                <w:szCs w:val="20"/>
              </w:rPr>
              <w:t>Other Insurance</w:t>
            </w:r>
          </w:p>
        </w:tc>
      </w:tr>
      <w:tr w:rsidR="000020B9" w:rsidRPr="00CC6DC9" w14:paraId="4BF86A1A" w14:textId="77777777" w:rsidTr="00EF25E1">
        <w:trPr>
          <w:trHeight w:val="315"/>
          <w:jc w:val="center"/>
        </w:trPr>
        <w:tc>
          <w:tcPr>
            <w:tcW w:w="2110" w:type="dxa"/>
            <w:tcBorders>
              <w:top w:val="nil"/>
              <w:left w:val="single" w:sz="8" w:space="0" w:color="auto"/>
              <w:bottom w:val="single" w:sz="8" w:space="0" w:color="auto"/>
              <w:right w:val="single" w:sz="8" w:space="0" w:color="auto"/>
            </w:tcBorders>
            <w:shd w:val="clear" w:color="auto" w:fill="auto"/>
            <w:noWrap/>
            <w:vAlign w:val="bottom"/>
          </w:tcPr>
          <w:p w14:paraId="7D6D404D" w14:textId="77777777" w:rsidR="000020B9" w:rsidRPr="00CC6DC9" w:rsidRDefault="000020B9" w:rsidP="00EF25E1">
            <w:pPr>
              <w:jc w:val="center"/>
              <w:rPr>
                <w:color w:val="000000"/>
                <w:sz w:val="20"/>
                <w:szCs w:val="20"/>
              </w:rPr>
            </w:pPr>
            <w:r w:rsidRPr="00CC6DC9">
              <w:rPr>
                <w:color w:val="000000"/>
                <w:sz w:val="20"/>
                <w:szCs w:val="20"/>
              </w:rPr>
              <w:t> </w:t>
            </w:r>
          </w:p>
        </w:tc>
        <w:tc>
          <w:tcPr>
            <w:tcW w:w="3272" w:type="dxa"/>
            <w:tcBorders>
              <w:top w:val="nil"/>
              <w:left w:val="nil"/>
              <w:bottom w:val="single" w:sz="8" w:space="0" w:color="auto"/>
              <w:right w:val="nil"/>
            </w:tcBorders>
            <w:shd w:val="clear" w:color="auto" w:fill="auto"/>
            <w:noWrap/>
            <w:vAlign w:val="bottom"/>
          </w:tcPr>
          <w:p w14:paraId="6348BD23" w14:textId="77777777" w:rsidR="000020B9" w:rsidRPr="00CC6DC9" w:rsidRDefault="000020B9" w:rsidP="00EF25E1">
            <w:pPr>
              <w:jc w:val="center"/>
              <w:rPr>
                <w:color w:val="000000"/>
                <w:sz w:val="20"/>
                <w:szCs w:val="20"/>
              </w:rPr>
            </w:pPr>
            <w:r w:rsidRPr="00CC6DC9">
              <w:rPr>
                <w:color w:val="000000"/>
                <w:sz w:val="20"/>
                <w:szCs w:val="20"/>
              </w:rPr>
              <w:t> </w:t>
            </w:r>
          </w:p>
        </w:tc>
        <w:tc>
          <w:tcPr>
            <w:tcW w:w="3280" w:type="dxa"/>
            <w:tcBorders>
              <w:top w:val="nil"/>
              <w:left w:val="single" w:sz="8" w:space="0" w:color="auto"/>
              <w:bottom w:val="single" w:sz="8" w:space="0" w:color="auto"/>
              <w:right w:val="single" w:sz="8" w:space="0" w:color="auto"/>
            </w:tcBorders>
            <w:shd w:val="clear" w:color="auto" w:fill="auto"/>
            <w:noWrap/>
            <w:vAlign w:val="bottom"/>
          </w:tcPr>
          <w:p w14:paraId="788CC898" w14:textId="77777777" w:rsidR="000020B9" w:rsidRPr="00CC6DC9" w:rsidRDefault="000020B9" w:rsidP="00EF25E1">
            <w:pPr>
              <w:jc w:val="center"/>
              <w:rPr>
                <w:color w:val="000000"/>
                <w:sz w:val="20"/>
                <w:szCs w:val="20"/>
              </w:rPr>
            </w:pPr>
            <w:r w:rsidRPr="00CC6DC9">
              <w:rPr>
                <w:color w:val="000000"/>
                <w:sz w:val="20"/>
                <w:szCs w:val="20"/>
              </w:rPr>
              <w:t> </w:t>
            </w:r>
          </w:p>
        </w:tc>
      </w:tr>
    </w:tbl>
    <w:p w14:paraId="140B3D17" w14:textId="77777777" w:rsidR="000020B9" w:rsidRPr="00FE253A" w:rsidRDefault="000020B9" w:rsidP="000020B9">
      <w:pPr>
        <w:rPr>
          <w:lang w:val="fr-FR"/>
        </w:rPr>
      </w:pPr>
    </w:p>
    <w:p w14:paraId="0E336670" w14:textId="77777777" w:rsidR="000020B9" w:rsidRPr="00FE253A" w:rsidRDefault="000020B9" w:rsidP="000020B9">
      <w:pPr>
        <w:rPr>
          <w:lang w:val="fr-FR"/>
        </w:rPr>
      </w:pPr>
    </w:p>
    <w:tbl>
      <w:tblPr>
        <w:tblW w:w="8025" w:type="dxa"/>
        <w:jc w:val="center"/>
        <w:tblCellMar>
          <w:left w:w="70" w:type="dxa"/>
          <w:right w:w="70" w:type="dxa"/>
        </w:tblCellMar>
        <w:tblLook w:val="04A0" w:firstRow="1" w:lastRow="0" w:firstColumn="1" w:lastColumn="0" w:noHBand="0" w:noVBand="1"/>
      </w:tblPr>
      <w:tblGrid>
        <w:gridCol w:w="6273"/>
        <w:gridCol w:w="1752"/>
      </w:tblGrid>
      <w:tr w:rsidR="000020B9" w:rsidRPr="00CC6DC9" w14:paraId="07DFFEAD" w14:textId="77777777" w:rsidTr="00EF25E1">
        <w:trPr>
          <w:trHeight w:val="615"/>
          <w:jc w:val="center"/>
        </w:trPr>
        <w:tc>
          <w:tcPr>
            <w:tcW w:w="8025" w:type="dxa"/>
            <w:gridSpan w:val="2"/>
            <w:tcBorders>
              <w:top w:val="nil"/>
              <w:left w:val="nil"/>
              <w:right w:val="nil"/>
            </w:tcBorders>
            <w:shd w:val="clear" w:color="auto" w:fill="auto"/>
            <w:noWrap/>
            <w:vAlign w:val="bottom"/>
          </w:tcPr>
          <w:p w14:paraId="64ED8A50" w14:textId="77777777" w:rsidR="000020B9" w:rsidRPr="00CC6DC9" w:rsidRDefault="000020B9" w:rsidP="00EF25E1">
            <w:pPr>
              <w:rPr>
                <w:b/>
                <w:bCs/>
                <w:color w:val="000000"/>
                <w:sz w:val="20"/>
                <w:szCs w:val="20"/>
                <w:lang w:val="en-US"/>
              </w:rPr>
            </w:pPr>
            <w:r w:rsidRPr="00CC6DC9">
              <w:rPr>
                <w:b/>
                <w:bCs/>
                <w:color w:val="000000"/>
                <w:sz w:val="20"/>
                <w:szCs w:val="20"/>
                <w:lang w:val="en-US"/>
              </w:rPr>
              <w:t>Table 2 - Banks and Financial Products</w:t>
            </w:r>
          </w:p>
        </w:tc>
      </w:tr>
      <w:tr w:rsidR="000020B9" w:rsidRPr="00CC6DC9" w14:paraId="705AAFB9" w14:textId="77777777" w:rsidTr="00EF25E1">
        <w:trPr>
          <w:trHeight w:val="315"/>
          <w:jc w:val="center"/>
        </w:trPr>
        <w:tc>
          <w:tcPr>
            <w:tcW w:w="6273" w:type="dxa"/>
            <w:tcBorders>
              <w:top w:val="single" w:sz="8" w:space="0" w:color="auto"/>
              <w:left w:val="single" w:sz="8" w:space="0" w:color="auto"/>
              <w:bottom w:val="nil"/>
              <w:right w:val="nil"/>
            </w:tcBorders>
            <w:shd w:val="clear" w:color="auto" w:fill="auto"/>
            <w:noWrap/>
            <w:vAlign w:val="bottom"/>
          </w:tcPr>
          <w:p w14:paraId="3739DDA2" w14:textId="77777777" w:rsidR="000020B9" w:rsidRPr="00CC6DC9" w:rsidRDefault="000020B9" w:rsidP="00EF25E1">
            <w:pPr>
              <w:jc w:val="center"/>
              <w:rPr>
                <w:b/>
                <w:bCs/>
                <w:color w:val="000000"/>
                <w:sz w:val="20"/>
                <w:szCs w:val="20"/>
              </w:rPr>
            </w:pPr>
            <w:r w:rsidRPr="00CC6DC9">
              <w:rPr>
                <w:b/>
                <w:bCs/>
                <w:color w:val="000000"/>
                <w:sz w:val="20"/>
                <w:szCs w:val="20"/>
              </w:rPr>
              <w:t>Description</w:t>
            </w:r>
          </w:p>
        </w:tc>
        <w:tc>
          <w:tcPr>
            <w:tcW w:w="1752" w:type="dxa"/>
            <w:tcBorders>
              <w:top w:val="single" w:sz="8" w:space="0" w:color="auto"/>
              <w:left w:val="single" w:sz="8" w:space="0" w:color="auto"/>
              <w:bottom w:val="nil"/>
              <w:right w:val="single" w:sz="8" w:space="0" w:color="auto"/>
            </w:tcBorders>
            <w:shd w:val="clear" w:color="auto" w:fill="auto"/>
            <w:noWrap/>
            <w:vAlign w:val="bottom"/>
          </w:tcPr>
          <w:p w14:paraId="41F85ED4" w14:textId="77777777" w:rsidR="000020B9" w:rsidRPr="00CC6DC9" w:rsidRDefault="000020B9" w:rsidP="00EF25E1">
            <w:pPr>
              <w:jc w:val="center"/>
              <w:rPr>
                <w:b/>
                <w:bCs/>
                <w:color w:val="000000"/>
                <w:sz w:val="20"/>
                <w:szCs w:val="20"/>
              </w:rPr>
            </w:pPr>
            <w:r w:rsidRPr="00CC6DC9">
              <w:rPr>
                <w:b/>
                <w:bCs/>
                <w:color w:val="000000"/>
                <w:sz w:val="20"/>
                <w:szCs w:val="20"/>
              </w:rPr>
              <w:t>Number of Banks</w:t>
            </w:r>
          </w:p>
        </w:tc>
      </w:tr>
      <w:tr w:rsidR="000020B9" w:rsidRPr="00CC6DC9" w14:paraId="542ED2B2" w14:textId="77777777" w:rsidTr="00EF25E1">
        <w:trPr>
          <w:trHeight w:val="300"/>
          <w:jc w:val="center"/>
        </w:trPr>
        <w:tc>
          <w:tcPr>
            <w:tcW w:w="6273" w:type="dxa"/>
            <w:tcBorders>
              <w:top w:val="single" w:sz="8" w:space="0" w:color="auto"/>
              <w:left w:val="single" w:sz="8" w:space="0" w:color="auto"/>
              <w:bottom w:val="single" w:sz="4" w:space="0" w:color="auto"/>
              <w:right w:val="single" w:sz="8" w:space="0" w:color="auto"/>
            </w:tcBorders>
            <w:shd w:val="clear" w:color="auto" w:fill="auto"/>
            <w:noWrap/>
            <w:vAlign w:val="bottom"/>
          </w:tcPr>
          <w:p w14:paraId="62143BB3" w14:textId="77777777" w:rsidR="000020B9" w:rsidRPr="00CC6DC9" w:rsidRDefault="000020B9" w:rsidP="00EF25E1">
            <w:pPr>
              <w:rPr>
                <w:color w:val="000000"/>
                <w:sz w:val="20"/>
                <w:szCs w:val="20"/>
              </w:rPr>
            </w:pPr>
            <w:r w:rsidRPr="00CC6DC9">
              <w:rPr>
                <w:color w:val="000000"/>
                <w:sz w:val="20"/>
                <w:szCs w:val="20"/>
              </w:rPr>
              <w:t>All Banks</w:t>
            </w:r>
          </w:p>
        </w:tc>
        <w:tc>
          <w:tcPr>
            <w:tcW w:w="1752" w:type="dxa"/>
            <w:tcBorders>
              <w:top w:val="single" w:sz="8" w:space="0" w:color="auto"/>
              <w:left w:val="nil"/>
              <w:bottom w:val="single" w:sz="4" w:space="0" w:color="auto"/>
              <w:right w:val="single" w:sz="8" w:space="0" w:color="auto"/>
            </w:tcBorders>
            <w:shd w:val="clear" w:color="auto" w:fill="auto"/>
            <w:noWrap/>
            <w:vAlign w:val="bottom"/>
          </w:tcPr>
          <w:p w14:paraId="3D4326A8" w14:textId="77777777" w:rsidR="000020B9" w:rsidRPr="00CC6DC9" w:rsidRDefault="000020B9" w:rsidP="00EF25E1">
            <w:pPr>
              <w:jc w:val="center"/>
              <w:rPr>
                <w:color w:val="000000"/>
                <w:sz w:val="20"/>
                <w:szCs w:val="20"/>
              </w:rPr>
            </w:pPr>
            <w:r w:rsidRPr="00CC6DC9">
              <w:rPr>
                <w:color w:val="000000"/>
                <w:sz w:val="20"/>
                <w:szCs w:val="20"/>
              </w:rPr>
              <w:t>74</w:t>
            </w:r>
          </w:p>
        </w:tc>
      </w:tr>
      <w:tr w:rsidR="000020B9" w:rsidRPr="00CC6DC9" w14:paraId="198D8614" w14:textId="77777777" w:rsidTr="00EF25E1">
        <w:trPr>
          <w:trHeight w:val="300"/>
          <w:jc w:val="center"/>
        </w:trPr>
        <w:tc>
          <w:tcPr>
            <w:tcW w:w="6273" w:type="dxa"/>
            <w:tcBorders>
              <w:top w:val="nil"/>
              <w:left w:val="single" w:sz="8" w:space="0" w:color="auto"/>
              <w:bottom w:val="nil"/>
              <w:right w:val="single" w:sz="8" w:space="0" w:color="auto"/>
            </w:tcBorders>
            <w:shd w:val="clear" w:color="auto" w:fill="auto"/>
            <w:noWrap/>
            <w:vAlign w:val="bottom"/>
          </w:tcPr>
          <w:p w14:paraId="2355E470" w14:textId="77777777" w:rsidR="000020B9" w:rsidRPr="00CC6DC9" w:rsidRDefault="000020B9" w:rsidP="00EF25E1">
            <w:pPr>
              <w:rPr>
                <w:color w:val="000000"/>
                <w:sz w:val="20"/>
                <w:szCs w:val="20"/>
              </w:rPr>
            </w:pPr>
            <w:r w:rsidRPr="00CC6DC9">
              <w:rPr>
                <w:color w:val="000000"/>
                <w:sz w:val="20"/>
                <w:szCs w:val="20"/>
              </w:rPr>
              <w:t> </w:t>
            </w:r>
          </w:p>
        </w:tc>
        <w:tc>
          <w:tcPr>
            <w:tcW w:w="1752" w:type="dxa"/>
            <w:tcBorders>
              <w:top w:val="nil"/>
              <w:left w:val="nil"/>
              <w:bottom w:val="nil"/>
              <w:right w:val="single" w:sz="8" w:space="0" w:color="auto"/>
            </w:tcBorders>
            <w:shd w:val="clear" w:color="auto" w:fill="auto"/>
            <w:noWrap/>
            <w:vAlign w:val="bottom"/>
          </w:tcPr>
          <w:p w14:paraId="31295423" w14:textId="77777777" w:rsidR="000020B9" w:rsidRPr="00CC6DC9" w:rsidRDefault="000020B9" w:rsidP="00EF25E1">
            <w:pPr>
              <w:jc w:val="center"/>
              <w:rPr>
                <w:color w:val="000000"/>
                <w:sz w:val="20"/>
                <w:szCs w:val="20"/>
              </w:rPr>
            </w:pPr>
            <w:r w:rsidRPr="00CC6DC9">
              <w:rPr>
                <w:color w:val="000000"/>
                <w:sz w:val="20"/>
                <w:szCs w:val="20"/>
              </w:rPr>
              <w:t> </w:t>
            </w:r>
          </w:p>
        </w:tc>
      </w:tr>
      <w:tr w:rsidR="000020B9" w:rsidRPr="00CC6DC9" w14:paraId="4BDC3D8B" w14:textId="77777777" w:rsidTr="00EF25E1">
        <w:trPr>
          <w:trHeight w:val="300"/>
          <w:jc w:val="center"/>
        </w:trPr>
        <w:tc>
          <w:tcPr>
            <w:tcW w:w="6273" w:type="dxa"/>
            <w:tcBorders>
              <w:top w:val="single" w:sz="4" w:space="0" w:color="auto"/>
              <w:left w:val="single" w:sz="8" w:space="0" w:color="auto"/>
              <w:bottom w:val="nil"/>
              <w:right w:val="single" w:sz="8" w:space="0" w:color="auto"/>
            </w:tcBorders>
            <w:shd w:val="clear" w:color="auto" w:fill="auto"/>
            <w:noWrap/>
            <w:vAlign w:val="bottom"/>
          </w:tcPr>
          <w:p w14:paraId="655D6C0E" w14:textId="77777777" w:rsidR="000020B9" w:rsidRPr="00CC6DC9" w:rsidRDefault="000020B9" w:rsidP="00EF25E1">
            <w:pPr>
              <w:rPr>
                <w:color w:val="000000"/>
                <w:sz w:val="20"/>
                <w:szCs w:val="20"/>
              </w:rPr>
            </w:pPr>
            <w:r w:rsidRPr="00CC6DC9">
              <w:rPr>
                <w:color w:val="000000"/>
                <w:sz w:val="20"/>
                <w:szCs w:val="20"/>
              </w:rPr>
              <w:t>Ownerwhip</w:t>
            </w:r>
          </w:p>
        </w:tc>
        <w:tc>
          <w:tcPr>
            <w:tcW w:w="1752" w:type="dxa"/>
            <w:tcBorders>
              <w:top w:val="single" w:sz="4" w:space="0" w:color="auto"/>
              <w:left w:val="nil"/>
              <w:bottom w:val="nil"/>
              <w:right w:val="single" w:sz="8" w:space="0" w:color="auto"/>
            </w:tcBorders>
            <w:shd w:val="clear" w:color="auto" w:fill="auto"/>
            <w:noWrap/>
            <w:vAlign w:val="bottom"/>
          </w:tcPr>
          <w:p w14:paraId="4C07372B" w14:textId="77777777" w:rsidR="000020B9" w:rsidRPr="00CC6DC9" w:rsidRDefault="000020B9" w:rsidP="00EF25E1">
            <w:pPr>
              <w:jc w:val="center"/>
              <w:rPr>
                <w:color w:val="000000"/>
                <w:sz w:val="20"/>
                <w:szCs w:val="20"/>
              </w:rPr>
            </w:pPr>
            <w:r w:rsidRPr="00CC6DC9">
              <w:rPr>
                <w:color w:val="000000"/>
                <w:sz w:val="20"/>
                <w:szCs w:val="20"/>
              </w:rPr>
              <w:t> </w:t>
            </w:r>
          </w:p>
        </w:tc>
      </w:tr>
      <w:tr w:rsidR="000020B9" w:rsidRPr="00CC6DC9" w14:paraId="7B4F83C6" w14:textId="77777777" w:rsidTr="00EF25E1">
        <w:trPr>
          <w:trHeight w:val="300"/>
          <w:jc w:val="center"/>
        </w:trPr>
        <w:tc>
          <w:tcPr>
            <w:tcW w:w="6273" w:type="dxa"/>
            <w:tcBorders>
              <w:top w:val="nil"/>
              <w:left w:val="single" w:sz="8" w:space="0" w:color="auto"/>
              <w:bottom w:val="nil"/>
              <w:right w:val="single" w:sz="8" w:space="0" w:color="auto"/>
            </w:tcBorders>
            <w:shd w:val="clear" w:color="auto" w:fill="auto"/>
            <w:noWrap/>
            <w:vAlign w:val="bottom"/>
          </w:tcPr>
          <w:p w14:paraId="5B31DDED" w14:textId="77777777" w:rsidR="000020B9" w:rsidRPr="00CC6DC9" w:rsidRDefault="000020B9" w:rsidP="00EF25E1">
            <w:pPr>
              <w:rPr>
                <w:color w:val="000000"/>
                <w:sz w:val="20"/>
                <w:szCs w:val="20"/>
              </w:rPr>
            </w:pPr>
            <w:r w:rsidRPr="00CC6DC9">
              <w:rPr>
                <w:color w:val="000000"/>
                <w:sz w:val="20"/>
                <w:szCs w:val="20"/>
              </w:rPr>
              <w:t xml:space="preserve">      Private Banks</w:t>
            </w:r>
          </w:p>
        </w:tc>
        <w:tc>
          <w:tcPr>
            <w:tcW w:w="1752" w:type="dxa"/>
            <w:tcBorders>
              <w:top w:val="nil"/>
              <w:left w:val="nil"/>
              <w:bottom w:val="nil"/>
              <w:right w:val="single" w:sz="8" w:space="0" w:color="auto"/>
            </w:tcBorders>
            <w:shd w:val="clear" w:color="auto" w:fill="auto"/>
            <w:noWrap/>
            <w:vAlign w:val="bottom"/>
          </w:tcPr>
          <w:p w14:paraId="231BC489" w14:textId="77777777" w:rsidR="000020B9" w:rsidRPr="00CC6DC9" w:rsidRDefault="000020B9" w:rsidP="00EF25E1">
            <w:pPr>
              <w:jc w:val="center"/>
              <w:rPr>
                <w:color w:val="000000"/>
                <w:sz w:val="20"/>
                <w:szCs w:val="20"/>
              </w:rPr>
            </w:pPr>
            <w:r w:rsidRPr="00CC6DC9">
              <w:rPr>
                <w:color w:val="000000"/>
                <w:sz w:val="20"/>
                <w:szCs w:val="20"/>
              </w:rPr>
              <w:t>70</w:t>
            </w:r>
          </w:p>
        </w:tc>
      </w:tr>
      <w:tr w:rsidR="000020B9" w:rsidRPr="00CC6DC9" w14:paraId="7A3E7763" w14:textId="77777777" w:rsidTr="00EF25E1">
        <w:trPr>
          <w:trHeight w:val="300"/>
          <w:jc w:val="center"/>
        </w:trPr>
        <w:tc>
          <w:tcPr>
            <w:tcW w:w="6273" w:type="dxa"/>
            <w:tcBorders>
              <w:top w:val="nil"/>
              <w:left w:val="single" w:sz="8" w:space="0" w:color="auto"/>
              <w:bottom w:val="nil"/>
              <w:right w:val="nil"/>
            </w:tcBorders>
            <w:shd w:val="clear" w:color="auto" w:fill="auto"/>
            <w:noWrap/>
            <w:vAlign w:val="bottom"/>
          </w:tcPr>
          <w:p w14:paraId="347F3220" w14:textId="77777777" w:rsidR="000020B9" w:rsidRPr="00CC6DC9" w:rsidRDefault="000020B9" w:rsidP="00EF25E1">
            <w:pPr>
              <w:rPr>
                <w:color w:val="000000"/>
                <w:sz w:val="20"/>
                <w:szCs w:val="20"/>
              </w:rPr>
            </w:pPr>
            <w:r w:rsidRPr="00CC6DC9">
              <w:rPr>
                <w:color w:val="000000"/>
                <w:sz w:val="20"/>
                <w:szCs w:val="20"/>
              </w:rPr>
              <w:t xml:space="preserve">      Public Banks</w:t>
            </w:r>
          </w:p>
        </w:tc>
        <w:tc>
          <w:tcPr>
            <w:tcW w:w="1752" w:type="dxa"/>
            <w:tcBorders>
              <w:top w:val="nil"/>
              <w:left w:val="single" w:sz="8" w:space="0" w:color="auto"/>
              <w:bottom w:val="nil"/>
              <w:right w:val="single" w:sz="8" w:space="0" w:color="auto"/>
            </w:tcBorders>
            <w:shd w:val="clear" w:color="auto" w:fill="auto"/>
            <w:noWrap/>
            <w:vAlign w:val="bottom"/>
          </w:tcPr>
          <w:p w14:paraId="0EB2BE62" w14:textId="77777777" w:rsidR="000020B9" w:rsidRPr="00CC6DC9" w:rsidRDefault="000020B9" w:rsidP="00EF25E1">
            <w:pPr>
              <w:jc w:val="center"/>
              <w:rPr>
                <w:color w:val="000000"/>
                <w:sz w:val="20"/>
                <w:szCs w:val="20"/>
              </w:rPr>
            </w:pPr>
            <w:r w:rsidRPr="00CC6DC9">
              <w:rPr>
                <w:color w:val="000000"/>
                <w:sz w:val="20"/>
                <w:szCs w:val="20"/>
              </w:rPr>
              <w:t>4</w:t>
            </w:r>
          </w:p>
        </w:tc>
      </w:tr>
      <w:tr w:rsidR="000020B9" w:rsidRPr="00CC6DC9" w14:paraId="7CEB9F96" w14:textId="77777777" w:rsidTr="00EF25E1">
        <w:trPr>
          <w:trHeight w:val="300"/>
          <w:jc w:val="center"/>
        </w:trPr>
        <w:tc>
          <w:tcPr>
            <w:tcW w:w="6273" w:type="dxa"/>
            <w:tcBorders>
              <w:top w:val="nil"/>
              <w:left w:val="single" w:sz="8" w:space="0" w:color="auto"/>
              <w:bottom w:val="nil"/>
              <w:right w:val="single" w:sz="8" w:space="0" w:color="auto"/>
            </w:tcBorders>
            <w:shd w:val="clear" w:color="auto" w:fill="auto"/>
            <w:noWrap/>
            <w:vAlign w:val="bottom"/>
          </w:tcPr>
          <w:p w14:paraId="4976FD3C" w14:textId="77777777" w:rsidR="000020B9" w:rsidRPr="00CC6DC9" w:rsidRDefault="000020B9" w:rsidP="00EF25E1">
            <w:pPr>
              <w:rPr>
                <w:color w:val="000000"/>
                <w:sz w:val="20"/>
                <w:szCs w:val="20"/>
              </w:rPr>
            </w:pPr>
            <w:r w:rsidRPr="00CC6DC9">
              <w:rPr>
                <w:color w:val="000000"/>
                <w:sz w:val="20"/>
                <w:szCs w:val="20"/>
              </w:rPr>
              <w:t> </w:t>
            </w:r>
          </w:p>
        </w:tc>
        <w:tc>
          <w:tcPr>
            <w:tcW w:w="1752" w:type="dxa"/>
            <w:tcBorders>
              <w:top w:val="nil"/>
              <w:left w:val="nil"/>
              <w:bottom w:val="nil"/>
              <w:right w:val="single" w:sz="8" w:space="0" w:color="auto"/>
            </w:tcBorders>
            <w:shd w:val="clear" w:color="auto" w:fill="auto"/>
            <w:noWrap/>
            <w:vAlign w:val="bottom"/>
          </w:tcPr>
          <w:p w14:paraId="74DDD2C4" w14:textId="77777777" w:rsidR="000020B9" w:rsidRPr="00CC6DC9" w:rsidRDefault="000020B9" w:rsidP="00EF25E1">
            <w:pPr>
              <w:jc w:val="center"/>
              <w:rPr>
                <w:color w:val="000000"/>
                <w:sz w:val="20"/>
                <w:szCs w:val="20"/>
              </w:rPr>
            </w:pPr>
            <w:r w:rsidRPr="00CC6DC9">
              <w:rPr>
                <w:color w:val="000000"/>
                <w:sz w:val="20"/>
                <w:szCs w:val="20"/>
              </w:rPr>
              <w:t> </w:t>
            </w:r>
          </w:p>
        </w:tc>
      </w:tr>
      <w:tr w:rsidR="000020B9" w:rsidRPr="00CC6DC9" w14:paraId="33CEA004" w14:textId="77777777" w:rsidTr="00EF25E1">
        <w:trPr>
          <w:trHeight w:val="300"/>
          <w:jc w:val="center"/>
        </w:trPr>
        <w:tc>
          <w:tcPr>
            <w:tcW w:w="6273" w:type="dxa"/>
            <w:tcBorders>
              <w:top w:val="single" w:sz="4" w:space="0" w:color="auto"/>
              <w:left w:val="single" w:sz="8" w:space="0" w:color="auto"/>
              <w:bottom w:val="nil"/>
              <w:right w:val="single" w:sz="8" w:space="0" w:color="auto"/>
            </w:tcBorders>
            <w:shd w:val="clear" w:color="auto" w:fill="auto"/>
            <w:noWrap/>
            <w:vAlign w:val="bottom"/>
          </w:tcPr>
          <w:p w14:paraId="76563D64" w14:textId="77777777" w:rsidR="000020B9" w:rsidRPr="00CC6DC9" w:rsidRDefault="000020B9" w:rsidP="00EF25E1">
            <w:pPr>
              <w:rPr>
                <w:color w:val="000000"/>
                <w:sz w:val="20"/>
                <w:szCs w:val="20"/>
              </w:rPr>
            </w:pPr>
            <w:r w:rsidRPr="00CC6DC9">
              <w:rPr>
                <w:color w:val="000000"/>
                <w:sz w:val="20"/>
                <w:szCs w:val="20"/>
              </w:rPr>
              <w:t>Capital Origin</w:t>
            </w:r>
          </w:p>
        </w:tc>
        <w:tc>
          <w:tcPr>
            <w:tcW w:w="1752" w:type="dxa"/>
            <w:tcBorders>
              <w:top w:val="single" w:sz="4" w:space="0" w:color="auto"/>
              <w:left w:val="nil"/>
              <w:bottom w:val="nil"/>
              <w:right w:val="single" w:sz="8" w:space="0" w:color="auto"/>
            </w:tcBorders>
            <w:shd w:val="clear" w:color="auto" w:fill="auto"/>
            <w:noWrap/>
            <w:vAlign w:val="bottom"/>
          </w:tcPr>
          <w:p w14:paraId="657E27ED" w14:textId="77777777" w:rsidR="000020B9" w:rsidRPr="00CC6DC9" w:rsidRDefault="000020B9" w:rsidP="00EF25E1">
            <w:pPr>
              <w:jc w:val="center"/>
              <w:rPr>
                <w:color w:val="000000"/>
                <w:sz w:val="20"/>
                <w:szCs w:val="20"/>
              </w:rPr>
            </w:pPr>
            <w:r w:rsidRPr="00CC6DC9">
              <w:rPr>
                <w:color w:val="000000"/>
                <w:sz w:val="20"/>
                <w:szCs w:val="20"/>
              </w:rPr>
              <w:t> </w:t>
            </w:r>
          </w:p>
        </w:tc>
      </w:tr>
      <w:tr w:rsidR="000020B9" w:rsidRPr="00CC6DC9" w14:paraId="49D1E6BD" w14:textId="77777777" w:rsidTr="00EF25E1">
        <w:trPr>
          <w:trHeight w:val="300"/>
          <w:jc w:val="center"/>
        </w:trPr>
        <w:tc>
          <w:tcPr>
            <w:tcW w:w="6273" w:type="dxa"/>
            <w:tcBorders>
              <w:top w:val="nil"/>
              <w:left w:val="single" w:sz="8" w:space="0" w:color="auto"/>
              <w:bottom w:val="nil"/>
              <w:right w:val="single" w:sz="8" w:space="0" w:color="auto"/>
            </w:tcBorders>
            <w:shd w:val="clear" w:color="auto" w:fill="auto"/>
            <w:noWrap/>
            <w:vAlign w:val="bottom"/>
          </w:tcPr>
          <w:p w14:paraId="18DD8908" w14:textId="77777777" w:rsidR="000020B9" w:rsidRPr="00CC6DC9" w:rsidRDefault="000020B9" w:rsidP="00EF25E1">
            <w:pPr>
              <w:rPr>
                <w:color w:val="000000"/>
                <w:sz w:val="20"/>
                <w:szCs w:val="20"/>
              </w:rPr>
            </w:pPr>
            <w:r w:rsidRPr="00CC6DC9">
              <w:rPr>
                <w:color w:val="000000"/>
                <w:sz w:val="20"/>
                <w:szCs w:val="20"/>
              </w:rPr>
              <w:t xml:space="preserve">      National Banks</w:t>
            </w:r>
          </w:p>
        </w:tc>
        <w:tc>
          <w:tcPr>
            <w:tcW w:w="1752" w:type="dxa"/>
            <w:tcBorders>
              <w:top w:val="nil"/>
              <w:left w:val="nil"/>
              <w:bottom w:val="nil"/>
              <w:right w:val="single" w:sz="8" w:space="0" w:color="auto"/>
            </w:tcBorders>
            <w:shd w:val="clear" w:color="auto" w:fill="auto"/>
            <w:noWrap/>
            <w:vAlign w:val="bottom"/>
          </w:tcPr>
          <w:p w14:paraId="05DEA7A4" w14:textId="77777777" w:rsidR="000020B9" w:rsidRPr="00CC6DC9" w:rsidRDefault="000020B9" w:rsidP="00EF25E1">
            <w:pPr>
              <w:jc w:val="center"/>
              <w:rPr>
                <w:color w:val="000000"/>
                <w:sz w:val="20"/>
                <w:szCs w:val="20"/>
              </w:rPr>
            </w:pPr>
            <w:r w:rsidRPr="00CC6DC9">
              <w:rPr>
                <w:color w:val="000000"/>
                <w:sz w:val="20"/>
                <w:szCs w:val="20"/>
              </w:rPr>
              <w:t>65</w:t>
            </w:r>
          </w:p>
        </w:tc>
      </w:tr>
      <w:tr w:rsidR="000020B9" w:rsidRPr="00CC6DC9" w14:paraId="03E89743" w14:textId="77777777" w:rsidTr="00EF25E1">
        <w:trPr>
          <w:trHeight w:val="300"/>
          <w:jc w:val="center"/>
        </w:trPr>
        <w:tc>
          <w:tcPr>
            <w:tcW w:w="6273" w:type="dxa"/>
            <w:tcBorders>
              <w:top w:val="nil"/>
              <w:left w:val="single" w:sz="8" w:space="0" w:color="auto"/>
              <w:bottom w:val="nil"/>
              <w:right w:val="nil"/>
            </w:tcBorders>
            <w:shd w:val="clear" w:color="auto" w:fill="auto"/>
            <w:noWrap/>
            <w:vAlign w:val="bottom"/>
          </w:tcPr>
          <w:p w14:paraId="148DC84A" w14:textId="77777777" w:rsidR="000020B9" w:rsidRPr="00CC6DC9" w:rsidRDefault="000020B9" w:rsidP="00EF25E1">
            <w:pPr>
              <w:rPr>
                <w:color w:val="000000"/>
                <w:sz w:val="20"/>
                <w:szCs w:val="20"/>
              </w:rPr>
            </w:pPr>
            <w:r w:rsidRPr="00CC6DC9">
              <w:rPr>
                <w:color w:val="000000"/>
                <w:sz w:val="20"/>
                <w:szCs w:val="20"/>
              </w:rPr>
              <w:t xml:space="preserve">      Foreign Banks</w:t>
            </w:r>
          </w:p>
        </w:tc>
        <w:tc>
          <w:tcPr>
            <w:tcW w:w="1752" w:type="dxa"/>
            <w:tcBorders>
              <w:top w:val="nil"/>
              <w:left w:val="single" w:sz="8" w:space="0" w:color="auto"/>
              <w:bottom w:val="nil"/>
              <w:right w:val="single" w:sz="8" w:space="0" w:color="auto"/>
            </w:tcBorders>
            <w:shd w:val="clear" w:color="auto" w:fill="auto"/>
            <w:noWrap/>
            <w:vAlign w:val="bottom"/>
          </w:tcPr>
          <w:p w14:paraId="1E497A61" w14:textId="77777777" w:rsidR="000020B9" w:rsidRPr="00CC6DC9" w:rsidRDefault="000020B9" w:rsidP="00EF25E1">
            <w:pPr>
              <w:jc w:val="center"/>
              <w:rPr>
                <w:color w:val="000000"/>
                <w:sz w:val="20"/>
                <w:szCs w:val="20"/>
              </w:rPr>
            </w:pPr>
            <w:r w:rsidRPr="00CC6DC9">
              <w:rPr>
                <w:color w:val="000000"/>
                <w:sz w:val="20"/>
                <w:szCs w:val="20"/>
              </w:rPr>
              <w:t>9</w:t>
            </w:r>
          </w:p>
        </w:tc>
      </w:tr>
      <w:tr w:rsidR="000020B9" w:rsidRPr="00CC6DC9" w14:paraId="4607B44A" w14:textId="77777777" w:rsidTr="00EF25E1">
        <w:trPr>
          <w:trHeight w:val="300"/>
          <w:jc w:val="center"/>
        </w:trPr>
        <w:tc>
          <w:tcPr>
            <w:tcW w:w="6273" w:type="dxa"/>
            <w:tcBorders>
              <w:top w:val="nil"/>
              <w:left w:val="single" w:sz="8" w:space="0" w:color="auto"/>
              <w:bottom w:val="nil"/>
              <w:right w:val="single" w:sz="8" w:space="0" w:color="auto"/>
            </w:tcBorders>
            <w:shd w:val="clear" w:color="auto" w:fill="auto"/>
            <w:noWrap/>
            <w:vAlign w:val="bottom"/>
          </w:tcPr>
          <w:p w14:paraId="0CFF856A" w14:textId="77777777" w:rsidR="000020B9" w:rsidRPr="00CC6DC9" w:rsidRDefault="000020B9" w:rsidP="00EF25E1">
            <w:pPr>
              <w:rPr>
                <w:color w:val="000000"/>
                <w:sz w:val="20"/>
                <w:szCs w:val="20"/>
              </w:rPr>
            </w:pPr>
            <w:r w:rsidRPr="00CC6DC9">
              <w:rPr>
                <w:color w:val="000000"/>
                <w:sz w:val="20"/>
                <w:szCs w:val="20"/>
              </w:rPr>
              <w:t> </w:t>
            </w:r>
          </w:p>
        </w:tc>
        <w:tc>
          <w:tcPr>
            <w:tcW w:w="1752" w:type="dxa"/>
            <w:tcBorders>
              <w:top w:val="nil"/>
              <w:left w:val="nil"/>
              <w:bottom w:val="nil"/>
              <w:right w:val="single" w:sz="8" w:space="0" w:color="auto"/>
            </w:tcBorders>
            <w:shd w:val="clear" w:color="auto" w:fill="auto"/>
            <w:noWrap/>
            <w:vAlign w:val="bottom"/>
          </w:tcPr>
          <w:p w14:paraId="41ADDD18" w14:textId="77777777" w:rsidR="000020B9" w:rsidRPr="00CC6DC9" w:rsidRDefault="000020B9" w:rsidP="00EF25E1">
            <w:pPr>
              <w:jc w:val="center"/>
              <w:rPr>
                <w:color w:val="000000"/>
                <w:sz w:val="20"/>
                <w:szCs w:val="20"/>
              </w:rPr>
            </w:pPr>
            <w:r w:rsidRPr="00CC6DC9">
              <w:rPr>
                <w:color w:val="000000"/>
                <w:sz w:val="20"/>
                <w:szCs w:val="20"/>
              </w:rPr>
              <w:t> </w:t>
            </w:r>
          </w:p>
        </w:tc>
      </w:tr>
      <w:tr w:rsidR="000020B9" w:rsidRPr="00CC6DC9" w14:paraId="49CE39B9" w14:textId="77777777" w:rsidTr="00EF25E1">
        <w:trPr>
          <w:trHeight w:val="300"/>
          <w:jc w:val="center"/>
        </w:trPr>
        <w:tc>
          <w:tcPr>
            <w:tcW w:w="6273" w:type="dxa"/>
            <w:tcBorders>
              <w:top w:val="single" w:sz="4" w:space="0" w:color="auto"/>
              <w:left w:val="single" w:sz="8" w:space="0" w:color="auto"/>
              <w:bottom w:val="nil"/>
              <w:right w:val="single" w:sz="8" w:space="0" w:color="auto"/>
            </w:tcBorders>
            <w:shd w:val="clear" w:color="auto" w:fill="auto"/>
            <w:noWrap/>
            <w:vAlign w:val="bottom"/>
          </w:tcPr>
          <w:p w14:paraId="309C5B2B" w14:textId="77777777" w:rsidR="000020B9" w:rsidRPr="00CC6DC9" w:rsidRDefault="000020B9" w:rsidP="00EF25E1">
            <w:pPr>
              <w:rPr>
                <w:color w:val="000000"/>
                <w:sz w:val="20"/>
                <w:szCs w:val="20"/>
                <w:lang w:val="en-US"/>
              </w:rPr>
            </w:pPr>
            <w:r w:rsidRPr="00CC6DC9">
              <w:rPr>
                <w:color w:val="000000"/>
                <w:sz w:val="20"/>
                <w:szCs w:val="20"/>
                <w:lang w:val="en-US"/>
              </w:rPr>
              <w:t>Bank Products (Classic and Other Bank Products)</w:t>
            </w:r>
          </w:p>
        </w:tc>
        <w:tc>
          <w:tcPr>
            <w:tcW w:w="1752" w:type="dxa"/>
            <w:tcBorders>
              <w:top w:val="single" w:sz="4" w:space="0" w:color="auto"/>
              <w:left w:val="nil"/>
              <w:bottom w:val="nil"/>
              <w:right w:val="single" w:sz="8" w:space="0" w:color="auto"/>
            </w:tcBorders>
            <w:shd w:val="clear" w:color="auto" w:fill="auto"/>
            <w:noWrap/>
            <w:vAlign w:val="bottom"/>
          </w:tcPr>
          <w:p w14:paraId="796243C1" w14:textId="77777777" w:rsidR="000020B9" w:rsidRPr="00CC6DC9" w:rsidRDefault="000020B9" w:rsidP="00EF25E1">
            <w:pPr>
              <w:jc w:val="center"/>
              <w:rPr>
                <w:color w:val="000000"/>
                <w:sz w:val="20"/>
                <w:szCs w:val="20"/>
              </w:rPr>
            </w:pPr>
            <w:r w:rsidRPr="00CC6DC9">
              <w:rPr>
                <w:color w:val="000000"/>
                <w:sz w:val="20"/>
                <w:szCs w:val="20"/>
              </w:rPr>
              <w:t>74</w:t>
            </w:r>
          </w:p>
        </w:tc>
      </w:tr>
      <w:tr w:rsidR="000020B9" w:rsidRPr="00CC6DC9" w14:paraId="7BAD241E" w14:textId="77777777" w:rsidTr="00EF25E1">
        <w:trPr>
          <w:trHeight w:val="300"/>
          <w:jc w:val="center"/>
        </w:trPr>
        <w:tc>
          <w:tcPr>
            <w:tcW w:w="6273" w:type="dxa"/>
            <w:tcBorders>
              <w:top w:val="nil"/>
              <w:left w:val="single" w:sz="8" w:space="0" w:color="auto"/>
              <w:bottom w:val="nil"/>
              <w:right w:val="single" w:sz="8" w:space="0" w:color="auto"/>
            </w:tcBorders>
            <w:shd w:val="clear" w:color="auto" w:fill="auto"/>
            <w:noWrap/>
            <w:vAlign w:val="bottom"/>
          </w:tcPr>
          <w:p w14:paraId="07895CBB" w14:textId="77777777" w:rsidR="000020B9" w:rsidRPr="00CC6DC9" w:rsidRDefault="000020B9" w:rsidP="00EF25E1">
            <w:pPr>
              <w:rPr>
                <w:color w:val="000000"/>
                <w:sz w:val="20"/>
                <w:szCs w:val="20"/>
              </w:rPr>
            </w:pPr>
            <w:r w:rsidRPr="00CC6DC9">
              <w:rPr>
                <w:color w:val="000000"/>
                <w:sz w:val="20"/>
                <w:szCs w:val="20"/>
              </w:rPr>
              <w:t xml:space="preserve">      Only Classic Bank Products</w:t>
            </w:r>
          </w:p>
        </w:tc>
        <w:tc>
          <w:tcPr>
            <w:tcW w:w="1752" w:type="dxa"/>
            <w:tcBorders>
              <w:top w:val="nil"/>
              <w:left w:val="nil"/>
              <w:bottom w:val="nil"/>
              <w:right w:val="single" w:sz="8" w:space="0" w:color="auto"/>
            </w:tcBorders>
            <w:shd w:val="clear" w:color="auto" w:fill="auto"/>
            <w:noWrap/>
            <w:vAlign w:val="bottom"/>
          </w:tcPr>
          <w:p w14:paraId="3BB72256" w14:textId="77777777" w:rsidR="000020B9" w:rsidRPr="00CC6DC9" w:rsidRDefault="000020B9" w:rsidP="00EF25E1">
            <w:pPr>
              <w:jc w:val="center"/>
              <w:rPr>
                <w:color w:val="000000"/>
                <w:sz w:val="20"/>
                <w:szCs w:val="20"/>
              </w:rPr>
            </w:pPr>
            <w:r w:rsidRPr="00CC6DC9">
              <w:rPr>
                <w:color w:val="000000"/>
                <w:sz w:val="20"/>
                <w:szCs w:val="20"/>
              </w:rPr>
              <w:t>52</w:t>
            </w:r>
          </w:p>
        </w:tc>
      </w:tr>
      <w:tr w:rsidR="000020B9" w:rsidRPr="00CC6DC9" w14:paraId="3AC49A4B" w14:textId="77777777" w:rsidTr="00EF25E1">
        <w:trPr>
          <w:trHeight w:val="300"/>
          <w:jc w:val="center"/>
        </w:trPr>
        <w:tc>
          <w:tcPr>
            <w:tcW w:w="6273" w:type="dxa"/>
            <w:tcBorders>
              <w:top w:val="nil"/>
              <w:left w:val="single" w:sz="8" w:space="0" w:color="auto"/>
              <w:bottom w:val="nil"/>
              <w:right w:val="nil"/>
            </w:tcBorders>
            <w:shd w:val="clear" w:color="auto" w:fill="auto"/>
            <w:noWrap/>
            <w:vAlign w:val="bottom"/>
          </w:tcPr>
          <w:p w14:paraId="3C4F7BCC" w14:textId="77777777" w:rsidR="000020B9" w:rsidRPr="00CC6DC9" w:rsidRDefault="000020B9" w:rsidP="00EF25E1">
            <w:pPr>
              <w:rPr>
                <w:color w:val="000000"/>
                <w:sz w:val="20"/>
                <w:szCs w:val="20"/>
                <w:lang w:val="en-US"/>
              </w:rPr>
            </w:pPr>
            <w:r w:rsidRPr="00CC6DC9">
              <w:rPr>
                <w:color w:val="000000"/>
                <w:sz w:val="20"/>
                <w:szCs w:val="20"/>
                <w:lang w:val="en-US"/>
              </w:rPr>
              <w:t xml:space="preserve">      Classic and Other Bank Pro</w:t>
            </w:r>
            <w:r>
              <w:rPr>
                <w:color w:val="000000"/>
                <w:sz w:val="20"/>
                <w:szCs w:val="20"/>
                <w:lang w:val="en-US"/>
              </w:rPr>
              <w:t>d</w:t>
            </w:r>
            <w:r w:rsidRPr="00CC6DC9">
              <w:rPr>
                <w:color w:val="000000"/>
                <w:sz w:val="20"/>
                <w:szCs w:val="20"/>
                <w:lang w:val="en-US"/>
              </w:rPr>
              <w:t>ucts</w:t>
            </w:r>
          </w:p>
        </w:tc>
        <w:tc>
          <w:tcPr>
            <w:tcW w:w="1752" w:type="dxa"/>
            <w:tcBorders>
              <w:top w:val="nil"/>
              <w:left w:val="single" w:sz="8" w:space="0" w:color="auto"/>
              <w:bottom w:val="nil"/>
              <w:right w:val="single" w:sz="8" w:space="0" w:color="auto"/>
            </w:tcBorders>
            <w:shd w:val="clear" w:color="auto" w:fill="auto"/>
            <w:noWrap/>
            <w:vAlign w:val="bottom"/>
          </w:tcPr>
          <w:p w14:paraId="504D2656" w14:textId="77777777" w:rsidR="000020B9" w:rsidRPr="00CC6DC9" w:rsidRDefault="000020B9" w:rsidP="00EF25E1">
            <w:pPr>
              <w:jc w:val="center"/>
              <w:rPr>
                <w:color w:val="000000"/>
                <w:sz w:val="20"/>
                <w:szCs w:val="20"/>
              </w:rPr>
            </w:pPr>
            <w:r w:rsidRPr="00CC6DC9">
              <w:rPr>
                <w:color w:val="000000"/>
                <w:sz w:val="20"/>
                <w:szCs w:val="20"/>
              </w:rPr>
              <w:t>22</w:t>
            </w:r>
          </w:p>
        </w:tc>
      </w:tr>
      <w:tr w:rsidR="000020B9" w:rsidRPr="00CC6DC9" w14:paraId="447EF42C" w14:textId="77777777" w:rsidTr="00EF25E1">
        <w:trPr>
          <w:trHeight w:val="300"/>
          <w:jc w:val="center"/>
        </w:trPr>
        <w:tc>
          <w:tcPr>
            <w:tcW w:w="6273" w:type="dxa"/>
            <w:tcBorders>
              <w:top w:val="nil"/>
              <w:left w:val="single" w:sz="8" w:space="0" w:color="auto"/>
              <w:bottom w:val="nil"/>
              <w:right w:val="single" w:sz="8" w:space="0" w:color="auto"/>
            </w:tcBorders>
            <w:shd w:val="clear" w:color="auto" w:fill="auto"/>
            <w:noWrap/>
            <w:vAlign w:val="bottom"/>
          </w:tcPr>
          <w:p w14:paraId="235FFC0D" w14:textId="77777777" w:rsidR="000020B9" w:rsidRPr="00CC6DC9" w:rsidRDefault="000020B9" w:rsidP="00EF25E1">
            <w:pPr>
              <w:rPr>
                <w:color w:val="000000"/>
                <w:sz w:val="20"/>
                <w:szCs w:val="20"/>
              </w:rPr>
            </w:pPr>
            <w:r w:rsidRPr="00CC6DC9">
              <w:rPr>
                <w:color w:val="000000"/>
                <w:sz w:val="20"/>
                <w:szCs w:val="20"/>
              </w:rPr>
              <w:t> </w:t>
            </w:r>
          </w:p>
        </w:tc>
        <w:tc>
          <w:tcPr>
            <w:tcW w:w="1752" w:type="dxa"/>
            <w:tcBorders>
              <w:top w:val="nil"/>
              <w:left w:val="nil"/>
              <w:bottom w:val="nil"/>
              <w:right w:val="single" w:sz="8" w:space="0" w:color="auto"/>
            </w:tcBorders>
            <w:shd w:val="clear" w:color="auto" w:fill="auto"/>
            <w:noWrap/>
            <w:vAlign w:val="bottom"/>
          </w:tcPr>
          <w:p w14:paraId="3455392B" w14:textId="77777777" w:rsidR="000020B9" w:rsidRPr="00CC6DC9" w:rsidRDefault="000020B9" w:rsidP="00EF25E1">
            <w:pPr>
              <w:jc w:val="center"/>
              <w:rPr>
                <w:color w:val="000000"/>
                <w:sz w:val="20"/>
                <w:szCs w:val="20"/>
              </w:rPr>
            </w:pPr>
            <w:r w:rsidRPr="00CC6DC9">
              <w:rPr>
                <w:color w:val="000000"/>
                <w:sz w:val="20"/>
                <w:szCs w:val="20"/>
              </w:rPr>
              <w:t> </w:t>
            </w:r>
          </w:p>
        </w:tc>
      </w:tr>
      <w:tr w:rsidR="000020B9" w:rsidRPr="00CC6DC9" w14:paraId="31630CA7" w14:textId="77777777" w:rsidTr="00EF25E1">
        <w:trPr>
          <w:trHeight w:val="300"/>
          <w:jc w:val="center"/>
        </w:trPr>
        <w:tc>
          <w:tcPr>
            <w:tcW w:w="6273" w:type="dxa"/>
            <w:tcBorders>
              <w:top w:val="single" w:sz="4" w:space="0" w:color="auto"/>
              <w:left w:val="single" w:sz="8" w:space="0" w:color="auto"/>
              <w:bottom w:val="nil"/>
              <w:right w:val="single" w:sz="8" w:space="0" w:color="auto"/>
            </w:tcBorders>
            <w:shd w:val="clear" w:color="auto" w:fill="auto"/>
            <w:noWrap/>
            <w:vAlign w:val="bottom"/>
          </w:tcPr>
          <w:p w14:paraId="556A15BF" w14:textId="77777777" w:rsidR="000020B9" w:rsidRPr="00CC6DC9" w:rsidRDefault="000020B9" w:rsidP="00EF25E1">
            <w:pPr>
              <w:rPr>
                <w:color w:val="000000"/>
                <w:sz w:val="20"/>
                <w:szCs w:val="20"/>
                <w:lang w:val="en-US"/>
              </w:rPr>
            </w:pPr>
            <w:r w:rsidRPr="00CC6DC9">
              <w:rPr>
                <w:color w:val="000000"/>
                <w:sz w:val="20"/>
                <w:szCs w:val="20"/>
                <w:lang w:val="en-US"/>
              </w:rPr>
              <w:t>Bank Products (Classic, Other Financial and Non</w:t>
            </w:r>
            <w:r>
              <w:rPr>
                <w:color w:val="000000"/>
                <w:sz w:val="20"/>
                <w:szCs w:val="20"/>
                <w:lang w:val="en-US"/>
              </w:rPr>
              <w:t xml:space="preserve"> </w:t>
            </w:r>
            <w:r w:rsidRPr="00CC6DC9">
              <w:rPr>
                <w:color w:val="000000"/>
                <w:sz w:val="20"/>
                <w:szCs w:val="20"/>
                <w:lang w:val="en-US"/>
              </w:rPr>
              <w:t>Fina</w:t>
            </w:r>
            <w:r>
              <w:rPr>
                <w:color w:val="000000"/>
                <w:sz w:val="20"/>
                <w:szCs w:val="20"/>
                <w:lang w:val="en-US"/>
              </w:rPr>
              <w:t>n</w:t>
            </w:r>
            <w:r w:rsidRPr="00CC6DC9">
              <w:rPr>
                <w:color w:val="000000"/>
                <w:sz w:val="20"/>
                <w:szCs w:val="20"/>
                <w:lang w:val="en-US"/>
              </w:rPr>
              <w:t>cial Bank Products)</w:t>
            </w:r>
          </w:p>
        </w:tc>
        <w:tc>
          <w:tcPr>
            <w:tcW w:w="1752" w:type="dxa"/>
            <w:tcBorders>
              <w:top w:val="single" w:sz="4" w:space="0" w:color="auto"/>
              <w:left w:val="nil"/>
              <w:bottom w:val="nil"/>
              <w:right w:val="single" w:sz="8" w:space="0" w:color="auto"/>
            </w:tcBorders>
            <w:shd w:val="clear" w:color="auto" w:fill="auto"/>
            <w:noWrap/>
            <w:vAlign w:val="bottom"/>
          </w:tcPr>
          <w:p w14:paraId="61D13174" w14:textId="77777777" w:rsidR="000020B9" w:rsidRPr="00CC6DC9" w:rsidRDefault="000020B9" w:rsidP="00EF25E1">
            <w:pPr>
              <w:jc w:val="center"/>
              <w:rPr>
                <w:color w:val="000000"/>
                <w:sz w:val="20"/>
                <w:szCs w:val="20"/>
              </w:rPr>
            </w:pPr>
            <w:r w:rsidRPr="00CC6DC9">
              <w:rPr>
                <w:color w:val="000000"/>
                <w:sz w:val="20"/>
                <w:szCs w:val="20"/>
              </w:rPr>
              <w:t>74</w:t>
            </w:r>
          </w:p>
        </w:tc>
      </w:tr>
      <w:tr w:rsidR="000020B9" w:rsidRPr="00CC6DC9" w14:paraId="789CDA6F" w14:textId="77777777" w:rsidTr="00EF25E1">
        <w:trPr>
          <w:trHeight w:val="300"/>
          <w:jc w:val="center"/>
        </w:trPr>
        <w:tc>
          <w:tcPr>
            <w:tcW w:w="6273" w:type="dxa"/>
            <w:tcBorders>
              <w:top w:val="nil"/>
              <w:left w:val="single" w:sz="8" w:space="0" w:color="auto"/>
              <w:bottom w:val="nil"/>
              <w:right w:val="single" w:sz="8" w:space="0" w:color="auto"/>
            </w:tcBorders>
            <w:shd w:val="clear" w:color="auto" w:fill="auto"/>
            <w:noWrap/>
            <w:vAlign w:val="bottom"/>
          </w:tcPr>
          <w:p w14:paraId="3FE93085" w14:textId="77777777" w:rsidR="000020B9" w:rsidRPr="00CC6DC9" w:rsidRDefault="000020B9" w:rsidP="00EF25E1">
            <w:pPr>
              <w:rPr>
                <w:color w:val="000000"/>
                <w:sz w:val="20"/>
                <w:szCs w:val="20"/>
              </w:rPr>
            </w:pPr>
            <w:r w:rsidRPr="00CC6DC9">
              <w:rPr>
                <w:color w:val="000000"/>
                <w:sz w:val="20"/>
                <w:szCs w:val="20"/>
              </w:rPr>
              <w:t xml:space="preserve">      Only Classic Bank Products</w:t>
            </w:r>
          </w:p>
        </w:tc>
        <w:tc>
          <w:tcPr>
            <w:tcW w:w="1752" w:type="dxa"/>
            <w:tcBorders>
              <w:top w:val="nil"/>
              <w:left w:val="nil"/>
              <w:bottom w:val="nil"/>
              <w:right w:val="single" w:sz="8" w:space="0" w:color="auto"/>
            </w:tcBorders>
            <w:shd w:val="clear" w:color="auto" w:fill="auto"/>
            <w:noWrap/>
            <w:vAlign w:val="bottom"/>
          </w:tcPr>
          <w:p w14:paraId="6FF72D97" w14:textId="77777777" w:rsidR="000020B9" w:rsidRPr="00CC6DC9" w:rsidRDefault="000020B9" w:rsidP="00EF25E1">
            <w:pPr>
              <w:jc w:val="center"/>
              <w:rPr>
                <w:color w:val="000000"/>
                <w:sz w:val="20"/>
                <w:szCs w:val="20"/>
              </w:rPr>
            </w:pPr>
            <w:r w:rsidRPr="00CC6DC9">
              <w:rPr>
                <w:color w:val="000000"/>
                <w:sz w:val="20"/>
                <w:szCs w:val="20"/>
              </w:rPr>
              <w:t>52</w:t>
            </w:r>
          </w:p>
        </w:tc>
      </w:tr>
      <w:tr w:rsidR="000020B9" w:rsidRPr="00CC6DC9" w14:paraId="2173EA17" w14:textId="77777777" w:rsidTr="00EF25E1">
        <w:trPr>
          <w:trHeight w:val="300"/>
          <w:jc w:val="center"/>
        </w:trPr>
        <w:tc>
          <w:tcPr>
            <w:tcW w:w="6273" w:type="dxa"/>
            <w:tcBorders>
              <w:top w:val="nil"/>
              <w:left w:val="single" w:sz="8" w:space="0" w:color="auto"/>
              <w:bottom w:val="nil"/>
              <w:right w:val="single" w:sz="8" w:space="0" w:color="auto"/>
            </w:tcBorders>
            <w:shd w:val="clear" w:color="auto" w:fill="auto"/>
            <w:noWrap/>
            <w:vAlign w:val="bottom"/>
          </w:tcPr>
          <w:p w14:paraId="3474D9C6" w14:textId="77777777" w:rsidR="000020B9" w:rsidRPr="00CC6DC9" w:rsidRDefault="000020B9" w:rsidP="00EF25E1">
            <w:pPr>
              <w:rPr>
                <w:color w:val="000000"/>
                <w:sz w:val="20"/>
                <w:szCs w:val="20"/>
              </w:rPr>
            </w:pPr>
            <w:r w:rsidRPr="00CC6DC9">
              <w:rPr>
                <w:color w:val="000000"/>
                <w:sz w:val="20"/>
                <w:szCs w:val="20"/>
              </w:rPr>
              <w:t xml:space="preserve">      Classic Products and </w:t>
            </w:r>
          </w:p>
        </w:tc>
        <w:tc>
          <w:tcPr>
            <w:tcW w:w="1752" w:type="dxa"/>
            <w:tcBorders>
              <w:top w:val="nil"/>
              <w:left w:val="nil"/>
              <w:bottom w:val="nil"/>
              <w:right w:val="single" w:sz="8" w:space="0" w:color="auto"/>
            </w:tcBorders>
            <w:shd w:val="clear" w:color="auto" w:fill="auto"/>
            <w:noWrap/>
            <w:vAlign w:val="bottom"/>
          </w:tcPr>
          <w:p w14:paraId="01D347BE" w14:textId="77777777" w:rsidR="000020B9" w:rsidRPr="00CC6DC9" w:rsidRDefault="000020B9" w:rsidP="00EF25E1">
            <w:pPr>
              <w:jc w:val="center"/>
              <w:rPr>
                <w:color w:val="000000"/>
                <w:sz w:val="20"/>
                <w:szCs w:val="20"/>
              </w:rPr>
            </w:pPr>
            <w:r w:rsidRPr="00CC6DC9">
              <w:rPr>
                <w:color w:val="000000"/>
                <w:sz w:val="20"/>
                <w:szCs w:val="20"/>
              </w:rPr>
              <w:t>22</w:t>
            </w:r>
          </w:p>
        </w:tc>
      </w:tr>
      <w:tr w:rsidR="000020B9" w:rsidRPr="00CC6DC9" w14:paraId="4A63752D" w14:textId="77777777" w:rsidTr="00EF25E1">
        <w:trPr>
          <w:trHeight w:val="300"/>
          <w:jc w:val="center"/>
        </w:trPr>
        <w:tc>
          <w:tcPr>
            <w:tcW w:w="6273" w:type="dxa"/>
            <w:tcBorders>
              <w:top w:val="nil"/>
              <w:left w:val="single" w:sz="8" w:space="0" w:color="auto"/>
              <w:bottom w:val="nil"/>
              <w:right w:val="single" w:sz="8" w:space="0" w:color="auto"/>
            </w:tcBorders>
            <w:shd w:val="clear" w:color="auto" w:fill="auto"/>
            <w:noWrap/>
            <w:vAlign w:val="bottom"/>
          </w:tcPr>
          <w:p w14:paraId="76E83252" w14:textId="77777777" w:rsidR="000020B9" w:rsidRPr="00CC6DC9" w:rsidRDefault="000020B9" w:rsidP="00EF25E1">
            <w:pPr>
              <w:rPr>
                <w:color w:val="000000"/>
                <w:sz w:val="20"/>
                <w:szCs w:val="20"/>
              </w:rPr>
            </w:pPr>
            <w:r w:rsidRPr="00CC6DC9">
              <w:rPr>
                <w:color w:val="000000"/>
                <w:sz w:val="20"/>
                <w:szCs w:val="20"/>
              </w:rPr>
              <w:t xml:space="preserve">            only Financial Bank Products</w:t>
            </w:r>
          </w:p>
        </w:tc>
        <w:tc>
          <w:tcPr>
            <w:tcW w:w="1752" w:type="dxa"/>
            <w:tcBorders>
              <w:top w:val="nil"/>
              <w:left w:val="nil"/>
              <w:bottom w:val="nil"/>
              <w:right w:val="single" w:sz="8" w:space="0" w:color="auto"/>
            </w:tcBorders>
            <w:shd w:val="clear" w:color="auto" w:fill="auto"/>
            <w:noWrap/>
            <w:vAlign w:val="bottom"/>
          </w:tcPr>
          <w:p w14:paraId="44DF6CF3" w14:textId="77777777" w:rsidR="000020B9" w:rsidRPr="00CC6DC9" w:rsidRDefault="000020B9" w:rsidP="00EF25E1">
            <w:pPr>
              <w:jc w:val="center"/>
              <w:rPr>
                <w:color w:val="000000"/>
                <w:sz w:val="20"/>
                <w:szCs w:val="20"/>
              </w:rPr>
            </w:pPr>
            <w:r w:rsidRPr="00CC6DC9">
              <w:rPr>
                <w:color w:val="000000"/>
                <w:sz w:val="20"/>
                <w:szCs w:val="20"/>
              </w:rPr>
              <w:t>11</w:t>
            </w:r>
          </w:p>
        </w:tc>
      </w:tr>
      <w:tr w:rsidR="000020B9" w:rsidRPr="00CC6DC9" w14:paraId="256A6E96" w14:textId="77777777" w:rsidTr="00EF25E1">
        <w:trPr>
          <w:trHeight w:val="300"/>
          <w:jc w:val="center"/>
        </w:trPr>
        <w:tc>
          <w:tcPr>
            <w:tcW w:w="6273" w:type="dxa"/>
            <w:tcBorders>
              <w:top w:val="nil"/>
              <w:left w:val="single" w:sz="8" w:space="0" w:color="auto"/>
              <w:bottom w:val="nil"/>
              <w:right w:val="single" w:sz="8" w:space="0" w:color="auto"/>
            </w:tcBorders>
            <w:shd w:val="clear" w:color="auto" w:fill="auto"/>
            <w:noWrap/>
            <w:vAlign w:val="bottom"/>
          </w:tcPr>
          <w:p w14:paraId="64932373" w14:textId="77777777" w:rsidR="000020B9" w:rsidRPr="002B1AB2" w:rsidRDefault="000020B9" w:rsidP="00EF25E1">
            <w:pPr>
              <w:rPr>
                <w:color w:val="000000"/>
                <w:sz w:val="20"/>
                <w:szCs w:val="20"/>
                <w:lang w:val="en-US"/>
              </w:rPr>
            </w:pPr>
            <w:r w:rsidRPr="002B1AB2">
              <w:rPr>
                <w:color w:val="000000"/>
                <w:sz w:val="20"/>
                <w:szCs w:val="20"/>
                <w:lang w:val="en-US"/>
              </w:rPr>
              <w:t xml:space="preserve">            only Non Financial Bank Products</w:t>
            </w:r>
          </w:p>
        </w:tc>
        <w:tc>
          <w:tcPr>
            <w:tcW w:w="1752" w:type="dxa"/>
            <w:tcBorders>
              <w:top w:val="nil"/>
              <w:left w:val="nil"/>
              <w:bottom w:val="nil"/>
              <w:right w:val="single" w:sz="8" w:space="0" w:color="auto"/>
            </w:tcBorders>
            <w:shd w:val="clear" w:color="auto" w:fill="auto"/>
            <w:noWrap/>
            <w:vAlign w:val="bottom"/>
          </w:tcPr>
          <w:p w14:paraId="7BC3E663" w14:textId="77777777" w:rsidR="000020B9" w:rsidRPr="00CC6DC9" w:rsidRDefault="000020B9" w:rsidP="00EF25E1">
            <w:pPr>
              <w:jc w:val="center"/>
              <w:rPr>
                <w:color w:val="000000"/>
                <w:sz w:val="20"/>
                <w:szCs w:val="20"/>
              </w:rPr>
            </w:pPr>
            <w:r w:rsidRPr="00CC6DC9">
              <w:rPr>
                <w:color w:val="000000"/>
                <w:sz w:val="20"/>
                <w:szCs w:val="20"/>
              </w:rPr>
              <w:t>1</w:t>
            </w:r>
          </w:p>
        </w:tc>
      </w:tr>
      <w:tr w:rsidR="000020B9" w:rsidRPr="00CC6DC9" w14:paraId="69F0288E" w14:textId="77777777" w:rsidTr="00EF25E1">
        <w:trPr>
          <w:trHeight w:val="315"/>
          <w:jc w:val="center"/>
        </w:trPr>
        <w:tc>
          <w:tcPr>
            <w:tcW w:w="6273" w:type="dxa"/>
            <w:tcBorders>
              <w:top w:val="nil"/>
              <w:left w:val="single" w:sz="8" w:space="0" w:color="auto"/>
              <w:bottom w:val="single" w:sz="8" w:space="0" w:color="auto"/>
              <w:right w:val="single" w:sz="8" w:space="0" w:color="auto"/>
            </w:tcBorders>
            <w:shd w:val="clear" w:color="auto" w:fill="auto"/>
            <w:noWrap/>
            <w:vAlign w:val="bottom"/>
          </w:tcPr>
          <w:p w14:paraId="7F212577" w14:textId="77777777" w:rsidR="000020B9" w:rsidRPr="00CC6DC9" w:rsidRDefault="000020B9" w:rsidP="00EF25E1">
            <w:pPr>
              <w:rPr>
                <w:color w:val="000000"/>
                <w:sz w:val="20"/>
                <w:szCs w:val="20"/>
                <w:lang w:val="en-US"/>
              </w:rPr>
            </w:pPr>
            <w:r w:rsidRPr="00CC6DC9">
              <w:rPr>
                <w:color w:val="000000"/>
                <w:sz w:val="20"/>
                <w:szCs w:val="20"/>
                <w:lang w:val="en-US"/>
              </w:rPr>
              <w:t xml:space="preserve">            all types of bank products </w:t>
            </w:r>
          </w:p>
        </w:tc>
        <w:tc>
          <w:tcPr>
            <w:tcW w:w="1752" w:type="dxa"/>
            <w:tcBorders>
              <w:top w:val="nil"/>
              <w:left w:val="nil"/>
              <w:bottom w:val="single" w:sz="8" w:space="0" w:color="auto"/>
              <w:right w:val="single" w:sz="8" w:space="0" w:color="auto"/>
            </w:tcBorders>
            <w:shd w:val="clear" w:color="auto" w:fill="auto"/>
            <w:noWrap/>
            <w:vAlign w:val="bottom"/>
          </w:tcPr>
          <w:p w14:paraId="35A7302E" w14:textId="77777777" w:rsidR="000020B9" w:rsidRPr="00CC6DC9" w:rsidRDefault="000020B9" w:rsidP="00EF25E1">
            <w:pPr>
              <w:jc w:val="center"/>
              <w:rPr>
                <w:color w:val="000000"/>
                <w:sz w:val="20"/>
                <w:szCs w:val="20"/>
              </w:rPr>
            </w:pPr>
            <w:r w:rsidRPr="00CC6DC9">
              <w:rPr>
                <w:color w:val="000000"/>
                <w:sz w:val="20"/>
                <w:szCs w:val="20"/>
              </w:rPr>
              <w:t>10</w:t>
            </w:r>
          </w:p>
        </w:tc>
      </w:tr>
    </w:tbl>
    <w:p w14:paraId="3D50B33E" w14:textId="77777777" w:rsidR="000020B9" w:rsidRPr="00FE253A" w:rsidRDefault="000020B9" w:rsidP="000020B9">
      <w:pPr>
        <w:rPr>
          <w:lang w:val="fr-FR"/>
        </w:rPr>
      </w:pPr>
    </w:p>
    <w:p w14:paraId="5BF91B54" w14:textId="77777777" w:rsidR="000020B9" w:rsidRPr="00FE253A" w:rsidRDefault="000020B9" w:rsidP="000020B9">
      <w:pPr>
        <w:rPr>
          <w:lang w:val="fr-FR"/>
        </w:rPr>
      </w:pPr>
    </w:p>
    <w:p w14:paraId="7E9A3C21" w14:textId="77777777" w:rsidR="000020B9" w:rsidRPr="00FE253A" w:rsidRDefault="000020B9" w:rsidP="000020B9">
      <w:pPr>
        <w:rPr>
          <w:lang w:val="fr-FR"/>
        </w:rPr>
      </w:pPr>
    </w:p>
    <w:p w14:paraId="7E01BD4A" w14:textId="77777777" w:rsidR="000020B9" w:rsidRDefault="000020B9" w:rsidP="000020B9">
      <w:r>
        <w:br w:type="page"/>
      </w:r>
    </w:p>
    <w:tbl>
      <w:tblPr>
        <w:tblW w:w="10220" w:type="dxa"/>
        <w:jc w:val="center"/>
        <w:tblCellMar>
          <w:left w:w="70" w:type="dxa"/>
          <w:right w:w="70" w:type="dxa"/>
        </w:tblCellMar>
        <w:tblLook w:val="04A0" w:firstRow="1" w:lastRow="0" w:firstColumn="1" w:lastColumn="0" w:noHBand="0" w:noVBand="1"/>
      </w:tblPr>
      <w:tblGrid>
        <w:gridCol w:w="5603"/>
        <w:gridCol w:w="640"/>
        <w:gridCol w:w="1040"/>
        <w:gridCol w:w="1040"/>
        <w:gridCol w:w="757"/>
        <w:gridCol w:w="1140"/>
      </w:tblGrid>
      <w:tr w:rsidR="000020B9" w:rsidRPr="00CC6DC9" w14:paraId="3EE1F79B" w14:textId="77777777" w:rsidTr="00EF25E1">
        <w:trPr>
          <w:trHeight w:val="579"/>
          <w:jc w:val="center"/>
        </w:trPr>
        <w:tc>
          <w:tcPr>
            <w:tcW w:w="10220" w:type="dxa"/>
            <w:gridSpan w:val="6"/>
            <w:tcBorders>
              <w:top w:val="nil"/>
              <w:left w:val="nil"/>
              <w:right w:val="nil"/>
            </w:tcBorders>
            <w:shd w:val="clear" w:color="auto" w:fill="auto"/>
            <w:noWrap/>
            <w:vAlign w:val="bottom"/>
          </w:tcPr>
          <w:p w14:paraId="23C7B11A" w14:textId="77777777" w:rsidR="000020B9" w:rsidRPr="00CC6DC9" w:rsidRDefault="000020B9" w:rsidP="00EF25E1">
            <w:pPr>
              <w:rPr>
                <w:b/>
                <w:color w:val="000000"/>
                <w:sz w:val="20"/>
                <w:szCs w:val="20"/>
                <w:lang w:val="en-US"/>
              </w:rPr>
            </w:pPr>
            <w:r>
              <w:rPr>
                <w:lang w:val="fr-FR"/>
              </w:rPr>
              <w:lastRenderedPageBreak/>
              <w:br w:type="page"/>
            </w:r>
            <w:r w:rsidRPr="00CC6DC9">
              <w:rPr>
                <w:b/>
                <w:color w:val="000000"/>
                <w:sz w:val="20"/>
                <w:szCs w:val="20"/>
                <w:lang w:val="en-US"/>
              </w:rPr>
              <w:t>Table 3 - Description Characteristics: Bank Characteristics and Market Concentration - All Banks</w:t>
            </w:r>
          </w:p>
        </w:tc>
      </w:tr>
      <w:tr w:rsidR="000020B9" w:rsidRPr="00CC6DC9" w14:paraId="33801EFD" w14:textId="77777777" w:rsidTr="00EF25E1">
        <w:trPr>
          <w:trHeight w:val="300"/>
          <w:jc w:val="center"/>
        </w:trPr>
        <w:tc>
          <w:tcPr>
            <w:tcW w:w="5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E4C1E2" w14:textId="77777777" w:rsidR="000020B9" w:rsidRPr="00CC6DC9" w:rsidRDefault="000020B9" w:rsidP="00EF25E1">
            <w:pPr>
              <w:rPr>
                <w:b/>
                <w:color w:val="000000"/>
                <w:sz w:val="20"/>
                <w:szCs w:val="20"/>
              </w:rPr>
            </w:pPr>
            <w:r w:rsidRPr="00CC6DC9">
              <w:rPr>
                <w:b/>
                <w:color w:val="000000"/>
                <w:sz w:val="20"/>
                <w:szCs w:val="20"/>
              </w:rPr>
              <w:t>Variable</w:t>
            </w:r>
          </w:p>
        </w:tc>
        <w:tc>
          <w:tcPr>
            <w:tcW w:w="640" w:type="dxa"/>
            <w:tcBorders>
              <w:top w:val="single" w:sz="4" w:space="0" w:color="auto"/>
              <w:left w:val="nil"/>
              <w:bottom w:val="single" w:sz="4" w:space="0" w:color="auto"/>
              <w:right w:val="single" w:sz="4" w:space="0" w:color="auto"/>
            </w:tcBorders>
            <w:shd w:val="clear" w:color="auto" w:fill="auto"/>
            <w:noWrap/>
            <w:vAlign w:val="bottom"/>
          </w:tcPr>
          <w:p w14:paraId="4BEEED5E" w14:textId="77777777" w:rsidR="000020B9" w:rsidRPr="00CC6DC9" w:rsidRDefault="000020B9" w:rsidP="00EF25E1">
            <w:pPr>
              <w:jc w:val="center"/>
              <w:rPr>
                <w:b/>
                <w:color w:val="000000"/>
                <w:sz w:val="20"/>
                <w:szCs w:val="20"/>
              </w:rPr>
            </w:pPr>
            <w:r w:rsidRPr="00CC6DC9">
              <w:rPr>
                <w:b/>
                <w:color w:val="000000"/>
                <w:sz w:val="20"/>
                <w:szCs w:val="20"/>
              </w:rPr>
              <w:t>Obs</w:t>
            </w:r>
            <w:r>
              <w:rPr>
                <w:b/>
                <w:color w:val="000000"/>
                <w:sz w:val="20"/>
                <w:szCs w:val="20"/>
              </w:rPr>
              <w:t>.</w:t>
            </w:r>
          </w:p>
        </w:tc>
        <w:tc>
          <w:tcPr>
            <w:tcW w:w="1040" w:type="dxa"/>
            <w:tcBorders>
              <w:top w:val="single" w:sz="4" w:space="0" w:color="auto"/>
              <w:left w:val="nil"/>
              <w:bottom w:val="single" w:sz="4" w:space="0" w:color="auto"/>
              <w:right w:val="single" w:sz="4" w:space="0" w:color="auto"/>
            </w:tcBorders>
            <w:shd w:val="clear" w:color="auto" w:fill="auto"/>
            <w:noWrap/>
            <w:vAlign w:val="bottom"/>
          </w:tcPr>
          <w:p w14:paraId="28150924" w14:textId="77777777" w:rsidR="000020B9" w:rsidRPr="00CC6DC9" w:rsidRDefault="000020B9" w:rsidP="00EF25E1">
            <w:pPr>
              <w:jc w:val="center"/>
              <w:rPr>
                <w:b/>
                <w:color w:val="000000"/>
                <w:sz w:val="20"/>
                <w:szCs w:val="20"/>
              </w:rPr>
            </w:pPr>
            <w:r w:rsidRPr="00CC6DC9">
              <w:rPr>
                <w:b/>
                <w:color w:val="000000"/>
                <w:sz w:val="20"/>
                <w:szCs w:val="20"/>
              </w:rPr>
              <w:t>Mean</w:t>
            </w:r>
          </w:p>
        </w:tc>
        <w:tc>
          <w:tcPr>
            <w:tcW w:w="1040" w:type="dxa"/>
            <w:tcBorders>
              <w:top w:val="single" w:sz="4" w:space="0" w:color="auto"/>
              <w:left w:val="nil"/>
              <w:bottom w:val="single" w:sz="4" w:space="0" w:color="auto"/>
              <w:right w:val="single" w:sz="4" w:space="0" w:color="auto"/>
            </w:tcBorders>
            <w:shd w:val="clear" w:color="auto" w:fill="auto"/>
            <w:noWrap/>
            <w:vAlign w:val="bottom"/>
          </w:tcPr>
          <w:p w14:paraId="4A0C6353" w14:textId="77777777" w:rsidR="000020B9" w:rsidRPr="00CC6DC9" w:rsidRDefault="000020B9" w:rsidP="00EF25E1">
            <w:pPr>
              <w:jc w:val="center"/>
              <w:rPr>
                <w:b/>
                <w:color w:val="000000"/>
                <w:sz w:val="20"/>
                <w:szCs w:val="20"/>
              </w:rPr>
            </w:pPr>
            <w:r w:rsidRPr="00CC6DC9">
              <w:rPr>
                <w:b/>
                <w:color w:val="000000"/>
                <w:sz w:val="20"/>
                <w:szCs w:val="20"/>
              </w:rPr>
              <w:t>Std. Dev.</w:t>
            </w:r>
          </w:p>
        </w:tc>
        <w:tc>
          <w:tcPr>
            <w:tcW w:w="757" w:type="dxa"/>
            <w:tcBorders>
              <w:top w:val="single" w:sz="4" w:space="0" w:color="auto"/>
              <w:left w:val="nil"/>
              <w:bottom w:val="single" w:sz="4" w:space="0" w:color="auto"/>
              <w:right w:val="single" w:sz="4" w:space="0" w:color="auto"/>
            </w:tcBorders>
            <w:shd w:val="clear" w:color="auto" w:fill="auto"/>
            <w:noWrap/>
            <w:vAlign w:val="bottom"/>
          </w:tcPr>
          <w:p w14:paraId="584B384C" w14:textId="77777777" w:rsidR="000020B9" w:rsidRPr="00CC6DC9" w:rsidRDefault="000020B9" w:rsidP="00EF25E1">
            <w:pPr>
              <w:jc w:val="center"/>
              <w:rPr>
                <w:b/>
                <w:color w:val="000000"/>
                <w:sz w:val="20"/>
                <w:szCs w:val="20"/>
              </w:rPr>
            </w:pPr>
            <w:r w:rsidRPr="00CC6DC9">
              <w:rPr>
                <w:b/>
                <w:color w:val="000000"/>
                <w:sz w:val="20"/>
                <w:szCs w:val="20"/>
              </w:rPr>
              <w:t>Min</w:t>
            </w:r>
          </w:p>
        </w:tc>
        <w:tc>
          <w:tcPr>
            <w:tcW w:w="1140" w:type="dxa"/>
            <w:tcBorders>
              <w:top w:val="single" w:sz="4" w:space="0" w:color="auto"/>
              <w:left w:val="nil"/>
              <w:bottom w:val="single" w:sz="4" w:space="0" w:color="auto"/>
              <w:right w:val="single" w:sz="4" w:space="0" w:color="auto"/>
            </w:tcBorders>
            <w:shd w:val="clear" w:color="auto" w:fill="auto"/>
            <w:noWrap/>
            <w:vAlign w:val="bottom"/>
          </w:tcPr>
          <w:p w14:paraId="58BBB0F2" w14:textId="77777777" w:rsidR="000020B9" w:rsidRPr="00CC6DC9" w:rsidRDefault="000020B9" w:rsidP="00EF25E1">
            <w:pPr>
              <w:jc w:val="center"/>
              <w:rPr>
                <w:b/>
                <w:color w:val="000000"/>
                <w:sz w:val="20"/>
                <w:szCs w:val="20"/>
              </w:rPr>
            </w:pPr>
            <w:r w:rsidRPr="00CC6DC9">
              <w:rPr>
                <w:b/>
                <w:color w:val="000000"/>
                <w:sz w:val="20"/>
                <w:szCs w:val="20"/>
              </w:rPr>
              <w:t>Max</w:t>
            </w:r>
          </w:p>
        </w:tc>
      </w:tr>
      <w:tr w:rsidR="000020B9" w:rsidRPr="00CC6DC9" w14:paraId="57DDDA08"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5531990A" w14:textId="77777777" w:rsidR="000020B9" w:rsidRPr="00CC6DC9" w:rsidRDefault="000020B9" w:rsidP="00EF25E1">
            <w:pPr>
              <w:rPr>
                <w:color w:val="000000"/>
                <w:sz w:val="20"/>
                <w:szCs w:val="20"/>
              </w:rPr>
            </w:pPr>
            <w:r w:rsidRPr="00CC6DC9">
              <w:rPr>
                <w:color w:val="000000"/>
                <w:sz w:val="20"/>
                <w:szCs w:val="20"/>
              </w:rPr>
              <w:t>Panel A - Bank Characteristics</w:t>
            </w:r>
          </w:p>
        </w:tc>
        <w:tc>
          <w:tcPr>
            <w:tcW w:w="640" w:type="dxa"/>
            <w:tcBorders>
              <w:top w:val="nil"/>
              <w:left w:val="nil"/>
              <w:bottom w:val="nil"/>
              <w:right w:val="single" w:sz="4" w:space="0" w:color="auto"/>
            </w:tcBorders>
            <w:shd w:val="clear" w:color="auto" w:fill="auto"/>
            <w:noWrap/>
            <w:vAlign w:val="bottom"/>
          </w:tcPr>
          <w:p w14:paraId="6AC8F942" w14:textId="77777777" w:rsidR="000020B9" w:rsidRPr="00CC6DC9" w:rsidRDefault="000020B9" w:rsidP="00EF25E1">
            <w:pPr>
              <w:rPr>
                <w:color w:val="000000"/>
                <w:sz w:val="20"/>
                <w:szCs w:val="20"/>
              </w:rPr>
            </w:pPr>
            <w:r w:rsidRPr="00CC6DC9">
              <w:rPr>
                <w:color w:val="000000"/>
                <w:sz w:val="20"/>
                <w:szCs w:val="20"/>
              </w:rPr>
              <w:t> </w:t>
            </w:r>
          </w:p>
        </w:tc>
        <w:tc>
          <w:tcPr>
            <w:tcW w:w="1040" w:type="dxa"/>
            <w:tcBorders>
              <w:top w:val="nil"/>
              <w:left w:val="nil"/>
              <w:bottom w:val="nil"/>
              <w:right w:val="single" w:sz="4" w:space="0" w:color="auto"/>
            </w:tcBorders>
            <w:shd w:val="clear" w:color="auto" w:fill="auto"/>
            <w:noWrap/>
            <w:vAlign w:val="bottom"/>
          </w:tcPr>
          <w:p w14:paraId="3B0F5702" w14:textId="77777777" w:rsidR="000020B9" w:rsidRPr="00CC6DC9" w:rsidRDefault="000020B9" w:rsidP="00EF25E1">
            <w:pPr>
              <w:rPr>
                <w:color w:val="000000"/>
                <w:sz w:val="20"/>
                <w:szCs w:val="20"/>
              </w:rPr>
            </w:pPr>
            <w:r w:rsidRPr="00CC6DC9">
              <w:rPr>
                <w:color w:val="000000"/>
                <w:sz w:val="20"/>
                <w:szCs w:val="20"/>
              </w:rPr>
              <w:t> </w:t>
            </w:r>
          </w:p>
        </w:tc>
        <w:tc>
          <w:tcPr>
            <w:tcW w:w="1040" w:type="dxa"/>
            <w:tcBorders>
              <w:top w:val="nil"/>
              <w:left w:val="nil"/>
              <w:bottom w:val="nil"/>
              <w:right w:val="single" w:sz="4" w:space="0" w:color="auto"/>
            </w:tcBorders>
            <w:shd w:val="clear" w:color="auto" w:fill="auto"/>
            <w:noWrap/>
            <w:vAlign w:val="bottom"/>
          </w:tcPr>
          <w:p w14:paraId="5689AF48" w14:textId="77777777" w:rsidR="000020B9" w:rsidRPr="00CC6DC9" w:rsidRDefault="000020B9" w:rsidP="00EF25E1">
            <w:pPr>
              <w:rPr>
                <w:color w:val="000000"/>
                <w:sz w:val="20"/>
                <w:szCs w:val="20"/>
              </w:rPr>
            </w:pPr>
            <w:r w:rsidRPr="00CC6DC9">
              <w:rPr>
                <w:color w:val="000000"/>
                <w:sz w:val="20"/>
                <w:szCs w:val="20"/>
              </w:rPr>
              <w:t> </w:t>
            </w:r>
          </w:p>
        </w:tc>
        <w:tc>
          <w:tcPr>
            <w:tcW w:w="757" w:type="dxa"/>
            <w:tcBorders>
              <w:top w:val="nil"/>
              <w:left w:val="nil"/>
              <w:bottom w:val="nil"/>
              <w:right w:val="single" w:sz="4" w:space="0" w:color="auto"/>
            </w:tcBorders>
            <w:shd w:val="clear" w:color="auto" w:fill="auto"/>
            <w:noWrap/>
            <w:vAlign w:val="bottom"/>
          </w:tcPr>
          <w:p w14:paraId="7B1648E6" w14:textId="77777777" w:rsidR="000020B9" w:rsidRPr="00CC6DC9" w:rsidRDefault="000020B9" w:rsidP="00EF25E1">
            <w:pPr>
              <w:rPr>
                <w:color w:val="000000"/>
                <w:sz w:val="20"/>
                <w:szCs w:val="20"/>
              </w:rPr>
            </w:pPr>
            <w:r w:rsidRPr="00CC6DC9">
              <w:rPr>
                <w:color w:val="000000"/>
                <w:sz w:val="20"/>
                <w:szCs w:val="20"/>
              </w:rPr>
              <w:t> </w:t>
            </w:r>
          </w:p>
        </w:tc>
        <w:tc>
          <w:tcPr>
            <w:tcW w:w="1140" w:type="dxa"/>
            <w:tcBorders>
              <w:top w:val="nil"/>
              <w:left w:val="nil"/>
              <w:bottom w:val="nil"/>
              <w:right w:val="single" w:sz="4" w:space="0" w:color="auto"/>
            </w:tcBorders>
            <w:shd w:val="clear" w:color="auto" w:fill="auto"/>
            <w:noWrap/>
            <w:vAlign w:val="bottom"/>
          </w:tcPr>
          <w:p w14:paraId="20F7A767" w14:textId="77777777" w:rsidR="000020B9" w:rsidRPr="00CC6DC9" w:rsidRDefault="000020B9" w:rsidP="00EF25E1">
            <w:pPr>
              <w:rPr>
                <w:color w:val="000000"/>
                <w:sz w:val="20"/>
                <w:szCs w:val="20"/>
              </w:rPr>
            </w:pPr>
            <w:r w:rsidRPr="00CC6DC9">
              <w:rPr>
                <w:color w:val="000000"/>
                <w:sz w:val="20"/>
                <w:szCs w:val="20"/>
              </w:rPr>
              <w:t> </w:t>
            </w:r>
          </w:p>
        </w:tc>
      </w:tr>
      <w:tr w:rsidR="000020B9" w:rsidRPr="00CC6DC9" w14:paraId="2B0A1120"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750246E9" w14:textId="77777777" w:rsidR="000020B9" w:rsidRPr="00CC6DC9" w:rsidRDefault="000020B9" w:rsidP="00EF25E1">
            <w:pPr>
              <w:rPr>
                <w:color w:val="000000"/>
                <w:sz w:val="20"/>
                <w:szCs w:val="20"/>
              </w:rPr>
            </w:pPr>
            <w:r w:rsidRPr="00CC6DC9">
              <w:rPr>
                <w:color w:val="000000"/>
                <w:sz w:val="20"/>
                <w:szCs w:val="20"/>
              </w:rPr>
              <w:t xml:space="preserve">     Dummy Private Bank</w:t>
            </w:r>
          </w:p>
        </w:tc>
        <w:tc>
          <w:tcPr>
            <w:tcW w:w="640" w:type="dxa"/>
            <w:tcBorders>
              <w:top w:val="nil"/>
              <w:left w:val="nil"/>
              <w:bottom w:val="nil"/>
              <w:right w:val="single" w:sz="4" w:space="0" w:color="auto"/>
            </w:tcBorders>
            <w:shd w:val="clear" w:color="auto" w:fill="auto"/>
            <w:noWrap/>
            <w:vAlign w:val="bottom"/>
          </w:tcPr>
          <w:p w14:paraId="736748F6"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5C66E9FF" w14:textId="77777777" w:rsidR="000020B9" w:rsidRPr="00CC6DC9" w:rsidRDefault="000020B9" w:rsidP="00EF25E1">
            <w:pPr>
              <w:jc w:val="center"/>
              <w:rPr>
                <w:color w:val="000000"/>
                <w:sz w:val="20"/>
                <w:szCs w:val="20"/>
              </w:rPr>
            </w:pPr>
            <w:r w:rsidRPr="00CC6DC9">
              <w:rPr>
                <w:color w:val="000000"/>
                <w:sz w:val="20"/>
                <w:szCs w:val="20"/>
              </w:rPr>
              <w:t>0.94</w:t>
            </w:r>
          </w:p>
        </w:tc>
        <w:tc>
          <w:tcPr>
            <w:tcW w:w="1040" w:type="dxa"/>
            <w:tcBorders>
              <w:top w:val="nil"/>
              <w:left w:val="nil"/>
              <w:bottom w:val="nil"/>
              <w:right w:val="single" w:sz="4" w:space="0" w:color="auto"/>
            </w:tcBorders>
            <w:shd w:val="clear" w:color="auto" w:fill="auto"/>
            <w:noWrap/>
            <w:vAlign w:val="bottom"/>
          </w:tcPr>
          <w:p w14:paraId="732BB360" w14:textId="77777777" w:rsidR="000020B9" w:rsidRPr="00CC6DC9" w:rsidRDefault="000020B9" w:rsidP="00EF25E1">
            <w:pPr>
              <w:jc w:val="center"/>
              <w:rPr>
                <w:color w:val="000000"/>
                <w:sz w:val="20"/>
                <w:szCs w:val="20"/>
              </w:rPr>
            </w:pPr>
            <w:r w:rsidRPr="00CC6DC9">
              <w:rPr>
                <w:color w:val="000000"/>
                <w:sz w:val="20"/>
                <w:szCs w:val="20"/>
              </w:rPr>
              <w:t>0.25</w:t>
            </w:r>
          </w:p>
        </w:tc>
        <w:tc>
          <w:tcPr>
            <w:tcW w:w="757" w:type="dxa"/>
            <w:tcBorders>
              <w:top w:val="nil"/>
              <w:left w:val="nil"/>
              <w:bottom w:val="nil"/>
              <w:right w:val="single" w:sz="4" w:space="0" w:color="auto"/>
            </w:tcBorders>
            <w:shd w:val="clear" w:color="auto" w:fill="auto"/>
            <w:noWrap/>
            <w:vAlign w:val="bottom"/>
          </w:tcPr>
          <w:p w14:paraId="6E8D5E9C" w14:textId="77777777" w:rsidR="000020B9" w:rsidRPr="00CC6DC9" w:rsidRDefault="000020B9" w:rsidP="00EF25E1">
            <w:pPr>
              <w:jc w:val="center"/>
              <w:rPr>
                <w:color w:val="000000"/>
                <w:sz w:val="20"/>
                <w:szCs w:val="20"/>
              </w:rPr>
            </w:pPr>
            <w:r w:rsidRPr="00CC6DC9">
              <w:rPr>
                <w:color w:val="000000"/>
                <w:sz w:val="20"/>
                <w:szCs w:val="20"/>
              </w:rPr>
              <w:t>0</w:t>
            </w:r>
          </w:p>
        </w:tc>
        <w:tc>
          <w:tcPr>
            <w:tcW w:w="1140" w:type="dxa"/>
            <w:tcBorders>
              <w:top w:val="nil"/>
              <w:left w:val="nil"/>
              <w:bottom w:val="nil"/>
              <w:right w:val="single" w:sz="4" w:space="0" w:color="auto"/>
            </w:tcBorders>
            <w:shd w:val="clear" w:color="auto" w:fill="auto"/>
            <w:noWrap/>
            <w:vAlign w:val="bottom"/>
          </w:tcPr>
          <w:p w14:paraId="407386E0" w14:textId="77777777" w:rsidR="000020B9" w:rsidRPr="00CC6DC9" w:rsidRDefault="000020B9" w:rsidP="00EF25E1">
            <w:pPr>
              <w:jc w:val="center"/>
              <w:rPr>
                <w:color w:val="000000"/>
                <w:sz w:val="20"/>
                <w:szCs w:val="20"/>
              </w:rPr>
            </w:pPr>
            <w:r w:rsidRPr="00CC6DC9">
              <w:rPr>
                <w:color w:val="000000"/>
                <w:sz w:val="20"/>
                <w:szCs w:val="20"/>
              </w:rPr>
              <w:t>1</w:t>
            </w:r>
          </w:p>
        </w:tc>
      </w:tr>
      <w:tr w:rsidR="000020B9" w:rsidRPr="00CC6DC9" w14:paraId="3F7503F7"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3C3FB29F" w14:textId="77777777" w:rsidR="000020B9" w:rsidRPr="00CC6DC9" w:rsidRDefault="000020B9" w:rsidP="00EF25E1">
            <w:pPr>
              <w:rPr>
                <w:color w:val="000000"/>
                <w:sz w:val="20"/>
                <w:szCs w:val="20"/>
              </w:rPr>
            </w:pPr>
            <w:r w:rsidRPr="00CC6DC9">
              <w:rPr>
                <w:color w:val="000000"/>
                <w:sz w:val="20"/>
                <w:szCs w:val="20"/>
              </w:rPr>
              <w:t xml:space="preserve">     Dummy Brazilian Bank</w:t>
            </w:r>
          </w:p>
        </w:tc>
        <w:tc>
          <w:tcPr>
            <w:tcW w:w="640" w:type="dxa"/>
            <w:tcBorders>
              <w:top w:val="nil"/>
              <w:left w:val="nil"/>
              <w:bottom w:val="nil"/>
              <w:right w:val="single" w:sz="4" w:space="0" w:color="auto"/>
            </w:tcBorders>
            <w:shd w:val="clear" w:color="auto" w:fill="auto"/>
            <w:noWrap/>
            <w:vAlign w:val="bottom"/>
          </w:tcPr>
          <w:p w14:paraId="72B447DD"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0935DBC7" w14:textId="77777777" w:rsidR="000020B9" w:rsidRPr="00CC6DC9" w:rsidRDefault="000020B9" w:rsidP="00EF25E1">
            <w:pPr>
              <w:jc w:val="center"/>
              <w:rPr>
                <w:color w:val="000000"/>
                <w:sz w:val="20"/>
                <w:szCs w:val="20"/>
              </w:rPr>
            </w:pPr>
            <w:r w:rsidRPr="00CC6DC9">
              <w:rPr>
                <w:color w:val="000000"/>
                <w:sz w:val="20"/>
                <w:szCs w:val="20"/>
              </w:rPr>
              <w:t>0.90</w:t>
            </w:r>
          </w:p>
        </w:tc>
        <w:tc>
          <w:tcPr>
            <w:tcW w:w="1040" w:type="dxa"/>
            <w:tcBorders>
              <w:top w:val="nil"/>
              <w:left w:val="nil"/>
              <w:bottom w:val="nil"/>
              <w:right w:val="single" w:sz="4" w:space="0" w:color="auto"/>
            </w:tcBorders>
            <w:shd w:val="clear" w:color="auto" w:fill="auto"/>
            <w:noWrap/>
            <w:vAlign w:val="bottom"/>
          </w:tcPr>
          <w:p w14:paraId="723D29BF" w14:textId="77777777" w:rsidR="000020B9" w:rsidRPr="00CC6DC9" w:rsidRDefault="000020B9" w:rsidP="00EF25E1">
            <w:pPr>
              <w:jc w:val="center"/>
              <w:rPr>
                <w:color w:val="000000"/>
                <w:sz w:val="20"/>
                <w:szCs w:val="20"/>
              </w:rPr>
            </w:pPr>
            <w:r w:rsidRPr="00CC6DC9">
              <w:rPr>
                <w:color w:val="000000"/>
                <w:sz w:val="20"/>
                <w:szCs w:val="20"/>
              </w:rPr>
              <w:t>0.30</w:t>
            </w:r>
          </w:p>
        </w:tc>
        <w:tc>
          <w:tcPr>
            <w:tcW w:w="757" w:type="dxa"/>
            <w:tcBorders>
              <w:top w:val="nil"/>
              <w:left w:val="nil"/>
              <w:bottom w:val="nil"/>
              <w:right w:val="single" w:sz="4" w:space="0" w:color="auto"/>
            </w:tcBorders>
            <w:shd w:val="clear" w:color="auto" w:fill="auto"/>
            <w:noWrap/>
            <w:vAlign w:val="bottom"/>
          </w:tcPr>
          <w:p w14:paraId="2F777707" w14:textId="77777777" w:rsidR="000020B9" w:rsidRPr="00CC6DC9" w:rsidRDefault="000020B9" w:rsidP="00EF25E1">
            <w:pPr>
              <w:jc w:val="center"/>
              <w:rPr>
                <w:color w:val="000000"/>
                <w:sz w:val="20"/>
                <w:szCs w:val="20"/>
              </w:rPr>
            </w:pPr>
            <w:r w:rsidRPr="00CC6DC9">
              <w:rPr>
                <w:color w:val="000000"/>
                <w:sz w:val="20"/>
                <w:szCs w:val="20"/>
              </w:rPr>
              <w:t>0</w:t>
            </w:r>
          </w:p>
        </w:tc>
        <w:tc>
          <w:tcPr>
            <w:tcW w:w="1140" w:type="dxa"/>
            <w:tcBorders>
              <w:top w:val="nil"/>
              <w:left w:val="nil"/>
              <w:bottom w:val="nil"/>
              <w:right w:val="single" w:sz="4" w:space="0" w:color="auto"/>
            </w:tcBorders>
            <w:shd w:val="clear" w:color="auto" w:fill="auto"/>
            <w:noWrap/>
            <w:vAlign w:val="bottom"/>
          </w:tcPr>
          <w:p w14:paraId="151E1E17" w14:textId="77777777" w:rsidR="000020B9" w:rsidRPr="00CC6DC9" w:rsidRDefault="000020B9" w:rsidP="00EF25E1">
            <w:pPr>
              <w:jc w:val="center"/>
              <w:rPr>
                <w:color w:val="000000"/>
                <w:sz w:val="20"/>
                <w:szCs w:val="20"/>
              </w:rPr>
            </w:pPr>
            <w:r w:rsidRPr="00CC6DC9">
              <w:rPr>
                <w:color w:val="000000"/>
                <w:sz w:val="20"/>
                <w:szCs w:val="20"/>
              </w:rPr>
              <w:t>1</w:t>
            </w:r>
          </w:p>
        </w:tc>
      </w:tr>
      <w:tr w:rsidR="000020B9" w:rsidRPr="00CC6DC9" w14:paraId="6B42F3F3"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0725E9A2" w14:textId="77777777" w:rsidR="000020B9" w:rsidRPr="00CC6DC9" w:rsidRDefault="000020B9" w:rsidP="00EF25E1">
            <w:pPr>
              <w:rPr>
                <w:color w:val="000000"/>
                <w:sz w:val="20"/>
                <w:szCs w:val="20"/>
                <w:lang w:val="en-US"/>
              </w:rPr>
            </w:pPr>
            <w:r w:rsidRPr="00CC6DC9">
              <w:rPr>
                <w:color w:val="000000"/>
                <w:sz w:val="20"/>
                <w:szCs w:val="20"/>
                <w:lang w:val="en-US"/>
              </w:rPr>
              <w:t xml:space="preserve">     Dummy Banks with other Bank Products</w:t>
            </w:r>
          </w:p>
        </w:tc>
        <w:tc>
          <w:tcPr>
            <w:tcW w:w="640" w:type="dxa"/>
            <w:tcBorders>
              <w:top w:val="nil"/>
              <w:left w:val="nil"/>
              <w:bottom w:val="nil"/>
              <w:right w:val="single" w:sz="4" w:space="0" w:color="auto"/>
            </w:tcBorders>
            <w:shd w:val="clear" w:color="auto" w:fill="auto"/>
            <w:noWrap/>
            <w:vAlign w:val="bottom"/>
          </w:tcPr>
          <w:p w14:paraId="5480A997"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66F6F978" w14:textId="77777777" w:rsidR="000020B9" w:rsidRPr="00CC6DC9" w:rsidRDefault="000020B9" w:rsidP="00EF25E1">
            <w:pPr>
              <w:jc w:val="center"/>
              <w:rPr>
                <w:color w:val="000000"/>
                <w:sz w:val="20"/>
                <w:szCs w:val="20"/>
              </w:rPr>
            </w:pPr>
            <w:r w:rsidRPr="00CC6DC9">
              <w:rPr>
                <w:color w:val="000000"/>
                <w:sz w:val="20"/>
                <w:szCs w:val="20"/>
              </w:rPr>
              <w:t>0.22</w:t>
            </w:r>
          </w:p>
        </w:tc>
        <w:tc>
          <w:tcPr>
            <w:tcW w:w="1040" w:type="dxa"/>
            <w:tcBorders>
              <w:top w:val="nil"/>
              <w:left w:val="nil"/>
              <w:bottom w:val="nil"/>
              <w:right w:val="single" w:sz="4" w:space="0" w:color="auto"/>
            </w:tcBorders>
            <w:shd w:val="clear" w:color="auto" w:fill="auto"/>
            <w:noWrap/>
            <w:vAlign w:val="bottom"/>
          </w:tcPr>
          <w:p w14:paraId="2BCD54D9" w14:textId="77777777" w:rsidR="000020B9" w:rsidRPr="00CC6DC9" w:rsidRDefault="000020B9" w:rsidP="00EF25E1">
            <w:pPr>
              <w:jc w:val="center"/>
              <w:rPr>
                <w:color w:val="000000"/>
                <w:sz w:val="20"/>
                <w:szCs w:val="20"/>
              </w:rPr>
            </w:pPr>
            <w:r w:rsidRPr="00CC6DC9">
              <w:rPr>
                <w:color w:val="000000"/>
                <w:sz w:val="20"/>
                <w:szCs w:val="20"/>
              </w:rPr>
              <w:t>0.42</w:t>
            </w:r>
          </w:p>
        </w:tc>
        <w:tc>
          <w:tcPr>
            <w:tcW w:w="757" w:type="dxa"/>
            <w:tcBorders>
              <w:top w:val="nil"/>
              <w:left w:val="nil"/>
              <w:bottom w:val="nil"/>
              <w:right w:val="single" w:sz="4" w:space="0" w:color="auto"/>
            </w:tcBorders>
            <w:shd w:val="clear" w:color="auto" w:fill="auto"/>
            <w:noWrap/>
            <w:vAlign w:val="bottom"/>
          </w:tcPr>
          <w:p w14:paraId="7F3CE404" w14:textId="77777777" w:rsidR="000020B9" w:rsidRPr="00CC6DC9" w:rsidRDefault="000020B9" w:rsidP="00EF25E1">
            <w:pPr>
              <w:jc w:val="center"/>
              <w:rPr>
                <w:color w:val="000000"/>
                <w:sz w:val="20"/>
                <w:szCs w:val="20"/>
              </w:rPr>
            </w:pPr>
            <w:r w:rsidRPr="00CC6DC9">
              <w:rPr>
                <w:color w:val="000000"/>
                <w:sz w:val="20"/>
                <w:szCs w:val="20"/>
              </w:rPr>
              <w:t>0</w:t>
            </w:r>
          </w:p>
        </w:tc>
        <w:tc>
          <w:tcPr>
            <w:tcW w:w="1140" w:type="dxa"/>
            <w:tcBorders>
              <w:top w:val="nil"/>
              <w:left w:val="nil"/>
              <w:bottom w:val="nil"/>
              <w:right w:val="single" w:sz="4" w:space="0" w:color="auto"/>
            </w:tcBorders>
            <w:shd w:val="clear" w:color="auto" w:fill="auto"/>
            <w:noWrap/>
            <w:vAlign w:val="bottom"/>
          </w:tcPr>
          <w:p w14:paraId="5E046FD4" w14:textId="77777777" w:rsidR="000020B9" w:rsidRPr="00CC6DC9" w:rsidRDefault="000020B9" w:rsidP="00EF25E1">
            <w:pPr>
              <w:jc w:val="center"/>
              <w:rPr>
                <w:color w:val="000000"/>
                <w:sz w:val="20"/>
                <w:szCs w:val="20"/>
              </w:rPr>
            </w:pPr>
            <w:r w:rsidRPr="00CC6DC9">
              <w:rPr>
                <w:color w:val="000000"/>
                <w:sz w:val="20"/>
                <w:szCs w:val="20"/>
              </w:rPr>
              <w:t>1</w:t>
            </w:r>
          </w:p>
        </w:tc>
      </w:tr>
      <w:tr w:rsidR="000020B9" w:rsidRPr="00CC6DC9" w14:paraId="0A983749"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0295AC9D" w14:textId="77777777" w:rsidR="000020B9" w:rsidRPr="00CC6DC9" w:rsidRDefault="000020B9" w:rsidP="00EF25E1">
            <w:pPr>
              <w:rPr>
                <w:color w:val="000000"/>
                <w:sz w:val="20"/>
                <w:szCs w:val="20"/>
                <w:lang w:val="en-US"/>
              </w:rPr>
            </w:pPr>
            <w:r w:rsidRPr="00CC6DC9">
              <w:rPr>
                <w:color w:val="000000"/>
                <w:sz w:val="20"/>
                <w:szCs w:val="20"/>
                <w:lang w:val="en-US"/>
              </w:rPr>
              <w:t xml:space="preserve">     Dummy Banks with other Financial Products</w:t>
            </w:r>
          </w:p>
        </w:tc>
        <w:tc>
          <w:tcPr>
            <w:tcW w:w="640" w:type="dxa"/>
            <w:tcBorders>
              <w:top w:val="nil"/>
              <w:left w:val="nil"/>
              <w:bottom w:val="nil"/>
              <w:right w:val="single" w:sz="4" w:space="0" w:color="auto"/>
            </w:tcBorders>
            <w:shd w:val="clear" w:color="auto" w:fill="auto"/>
            <w:noWrap/>
            <w:vAlign w:val="bottom"/>
          </w:tcPr>
          <w:p w14:paraId="430BB5E9"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334E924D" w14:textId="77777777" w:rsidR="000020B9" w:rsidRPr="00CC6DC9" w:rsidRDefault="000020B9" w:rsidP="00EF25E1">
            <w:pPr>
              <w:jc w:val="center"/>
              <w:rPr>
                <w:color w:val="000000"/>
                <w:sz w:val="20"/>
                <w:szCs w:val="20"/>
              </w:rPr>
            </w:pPr>
            <w:r w:rsidRPr="00CC6DC9">
              <w:rPr>
                <w:color w:val="000000"/>
                <w:sz w:val="20"/>
                <w:szCs w:val="20"/>
              </w:rPr>
              <w:t>0.22</w:t>
            </w:r>
          </w:p>
        </w:tc>
        <w:tc>
          <w:tcPr>
            <w:tcW w:w="1040" w:type="dxa"/>
            <w:tcBorders>
              <w:top w:val="nil"/>
              <w:left w:val="nil"/>
              <w:bottom w:val="nil"/>
              <w:right w:val="single" w:sz="4" w:space="0" w:color="auto"/>
            </w:tcBorders>
            <w:shd w:val="clear" w:color="auto" w:fill="auto"/>
            <w:noWrap/>
            <w:vAlign w:val="bottom"/>
          </w:tcPr>
          <w:p w14:paraId="684F589B" w14:textId="77777777" w:rsidR="000020B9" w:rsidRPr="00CC6DC9" w:rsidRDefault="000020B9" w:rsidP="00EF25E1">
            <w:pPr>
              <w:jc w:val="center"/>
              <w:rPr>
                <w:color w:val="000000"/>
                <w:sz w:val="20"/>
                <w:szCs w:val="20"/>
              </w:rPr>
            </w:pPr>
            <w:r w:rsidRPr="00CC6DC9">
              <w:rPr>
                <w:color w:val="000000"/>
                <w:sz w:val="20"/>
                <w:szCs w:val="20"/>
              </w:rPr>
              <w:t>0.41</w:t>
            </w:r>
          </w:p>
        </w:tc>
        <w:tc>
          <w:tcPr>
            <w:tcW w:w="757" w:type="dxa"/>
            <w:tcBorders>
              <w:top w:val="nil"/>
              <w:left w:val="nil"/>
              <w:bottom w:val="nil"/>
              <w:right w:val="single" w:sz="4" w:space="0" w:color="auto"/>
            </w:tcBorders>
            <w:shd w:val="clear" w:color="auto" w:fill="auto"/>
            <w:noWrap/>
            <w:vAlign w:val="bottom"/>
          </w:tcPr>
          <w:p w14:paraId="47071AD5" w14:textId="77777777" w:rsidR="000020B9" w:rsidRPr="00CC6DC9" w:rsidRDefault="000020B9" w:rsidP="00EF25E1">
            <w:pPr>
              <w:jc w:val="center"/>
              <w:rPr>
                <w:color w:val="000000"/>
                <w:sz w:val="20"/>
                <w:szCs w:val="20"/>
              </w:rPr>
            </w:pPr>
            <w:r w:rsidRPr="00CC6DC9">
              <w:rPr>
                <w:color w:val="000000"/>
                <w:sz w:val="20"/>
                <w:szCs w:val="20"/>
              </w:rPr>
              <w:t>0</w:t>
            </w:r>
          </w:p>
        </w:tc>
        <w:tc>
          <w:tcPr>
            <w:tcW w:w="1140" w:type="dxa"/>
            <w:tcBorders>
              <w:top w:val="nil"/>
              <w:left w:val="nil"/>
              <w:bottom w:val="nil"/>
              <w:right w:val="single" w:sz="4" w:space="0" w:color="auto"/>
            </w:tcBorders>
            <w:shd w:val="clear" w:color="auto" w:fill="auto"/>
            <w:noWrap/>
            <w:vAlign w:val="bottom"/>
          </w:tcPr>
          <w:p w14:paraId="769D4620" w14:textId="77777777" w:rsidR="000020B9" w:rsidRPr="00CC6DC9" w:rsidRDefault="000020B9" w:rsidP="00EF25E1">
            <w:pPr>
              <w:jc w:val="center"/>
              <w:rPr>
                <w:color w:val="000000"/>
                <w:sz w:val="20"/>
                <w:szCs w:val="20"/>
              </w:rPr>
            </w:pPr>
            <w:r w:rsidRPr="00CC6DC9">
              <w:rPr>
                <w:color w:val="000000"/>
                <w:sz w:val="20"/>
                <w:szCs w:val="20"/>
              </w:rPr>
              <w:t>1</w:t>
            </w:r>
          </w:p>
        </w:tc>
      </w:tr>
      <w:tr w:rsidR="000020B9" w:rsidRPr="00CC6DC9" w14:paraId="13452092"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0C8D902A" w14:textId="77777777" w:rsidR="000020B9" w:rsidRPr="00CC6DC9" w:rsidRDefault="000020B9" w:rsidP="00EF25E1">
            <w:pPr>
              <w:rPr>
                <w:color w:val="000000"/>
                <w:sz w:val="20"/>
                <w:szCs w:val="20"/>
                <w:lang w:val="en-US"/>
              </w:rPr>
            </w:pPr>
            <w:r w:rsidRPr="00CC6DC9">
              <w:rPr>
                <w:color w:val="000000"/>
                <w:sz w:val="20"/>
                <w:szCs w:val="20"/>
                <w:lang w:val="en-US"/>
              </w:rPr>
              <w:t xml:space="preserve">     Dummy Banks with other Non</w:t>
            </w:r>
            <w:r>
              <w:rPr>
                <w:color w:val="000000"/>
                <w:sz w:val="20"/>
                <w:szCs w:val="20"/>
                <w:lang w:val="en-US"/>
              </w:rPr>
              <w:t xml:space="preserve"> </w:t>
            </w:r>
            <w:r w:rsidRPr="00CC6DC9">
              <w:rPr>
                <w:color w:val="000000"/>
                <w:sz w:val="20"/>
                <w:szCs w:val="20"/>
                <w:lang w:val="en-US"/>
              </w:rPr>
              <w:t>Financial Products</w:t>
            </w:r>
          </w:p>
        </w:tc>
        <w:tc>
          <w:tcPr>
            <w:tcW w:w="640" w:type="dxa"/>
            <w:tcBorders>
              <w:top w:val="nil"/>
              <w:left w:val="nil"/>
              <w:bottom w:val="nil"/>
              <w:right w:val="single" w:sz="4" w:space="0" w:color="auto"/>
            </w:tcBorders>
            <w:shd w:val="clear" w:color="auto" w:fill="auto"/>
            <w:noWrap/>
            <w:vAlign w:val="bottom"/>
          </w:tcPr>
          <w:p w14:paraId="2DE047EB"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1033BFBE" w14:textId="77777777" w:rsidR="000020B9" w:rsidRPr="00CC6DC9" w:rsidRDefault="000020B9" w:rsidP="00EF25E1">
            <w:pPr>
              <w:jc w:val="center"/>
              <w:rPr>
                <w:color w:val="000000"/>
                <w:sz w:val="20"/>
                <w:szCs w:val="20"/>
              </w:rPr>
            </w:pPr>
            <w:r w:rsidRPr="00CC6DC9">
              <w:rPr>
                <w:color w:val="000000"/>
                <w:sz w:val="20"/>
                <w:szCs w:val="20"/>
              </w:rPr>
              <w:t>0.12</w:t>
            </w:r>
          </w:p>
        </w:tc>
        <w:tc>
          <w:tcPr>
            <w:tcW w:w="1040" w:type="dxa"/>
            <w:tcBorders>
              <w:top w:val="nil"/>
              <w:left w:val="nil"/>
              <w:bottom w:val="nil"/>
              <w:right w:val="single" w:sz="4" w:space="0" w:color="auto"/>
            </w:tcBorders>
            <w:shd w:val="clear" w:color="auto" w:fill="auto"/>
            <w:noWrap/>
            <w:vAlign w:val="bottom"/>
          </w:tcPr>
          <w:p w14:paraId="2C4F866F" w14:textId="77777777" w:rsidR="000020B9" w:rsidRPr="00CC6DC9" w:rsidRDefault="000020B9" w:rsidP="00EF25E1">
            <w:pPr>
              <w:jc w:val="center"/>
              <w:rPr>
                <w:color w:val="000000"/>
                <w:sz w:val="20"/>
                <w:szCs w:val="20"/>
              </w:rPr>
            </w:pPr>
            <w:r w:rsidRPr="00CC6DC9">
              <w:rPr>
                <w:color w:val="000000"/>
                <w:sz w:val="20"/>
                <w:szCs w:val="20"/>
              </w:rPr>
              <w:t>0.32</w:t>
            </w:r>
          </w:p>
        </w:tc>
        <w:tc>
          <w:tcPr>
            <w:tcW w:w="757" w:type="dxa"/>
            <w:tcBorders>
              <w:top w:val="nil"/>
              <w:left w:val="nil"/>
              <w:bottom w:val="nil"/>
              <w:right w:val="single" w:sz="4" w:space="0" w:color="auto"/>
            </w:tcBorders>
            <w:shd w:val="clear" w:color="auto" w:fill="auto"/>
            <w:noWrap/>
            <w:vAlign w:val="bottom"/>
          </w:tcPr>
          <w:p w14:paraId="01E522D3" w14:textId="77777777" w:rsidR="000020B9" w:rsidRPr="00CC6DC9" w:rsidRDefault="000020B9" w:rsidP="00EF25E1">
            <w:pPr>
              <w:jc w:val="center"/>
              <w:rPr>
                <w:color w:val="000000"/>
                <w:sz w:val="20"/>
                <w:szCs w:val="20"/>
              </w:rPr>
            </w:pPr>
            <w:r w:rsidRPr="00CC6DC9">
              <w:rPr>
                <w:color w:val="000000"/>
                <w:sz w:val="20"/>
                <w:szCs w:val="20"/>
              </w:rPr>
              <w:t>0</w:t>
            </w:r>
          </w:p>
        </w:tc>
        <w:tc>
          <w:tcPr>
            <w:tcW w:w="1140" w:type="dxa"/>
            <w:tcBorders>
              <w:top w:val="nil"/>
              <w:left w:val="nil"/>
              <w:bottom w:val="nil"/>
              <w:right w:val="single" w:sz="4" w:space="0" w:color="auto"/>
            </w:tcBorders>
            <w:shd w:val="clear" w:color="auto" w:fill="auto"/>
            <w:noWrap/>
            <w:vAlign w:val="bottom"/>
          </w:tcPr>
          <w:p w14:paraId="4E75AB9A" w14:textId="77777777" w:rsidR="000020B9" w:rsidRPr="00CC6DC9" w:rsidRDefault="000020B9" w:rsidP="00EF25E1">
            <w:pPr>
              <w:jc w:val="center"/>
              <w:rPr>
                <w:color w:val="000000"/>
                <w:sz w:val="20"/>
                <w:szCs w:val="20"/>
              </w:rPr>
            </w:pPr>
            <w:r w:rsidRPr="00CC6DC9">
              <w:rPr>
                <w:color w:val="000000"/>
                <w:sz w:val="20"/>
                <w:szCs w:val="20"/>
              </w:rPr>
              <w:t>1</w:t>
            </w:r>
          </w:p>
        </w:tc>
      </w:tr>
      <w:tr w:rsidR="000020B9" w:rsidRPr="00CC6DC9" w14:paraId="55190403"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5DFF418D" w14:textId="77777777" w:rsidR="000020B9" w:rsidRPr="00CC6DC9" w:rsidRDefault="000020B9" w:rsidP="00EF25E1">
            <w:pPr>
              <w:rPr>
                <w:color w:val="000000"/>
                <w:sz w:val="20"/>
                <w:szCs w:val="20"/>
                <w:lang w:val="en-US"/>
              </w:rPr>
            </w:pPr>
            <w:r w:rsidRPr="00CC6DC9">
              <w:rPr>
                <w:color w:val="000000"/>
                <w:sz w:val="20"/>
                <w:szCs w:val="20"/>
                <w:lang w:val="en-US"/>
              </w:rPr>
              <w:t xml:space="preserve">    Total Assets (price index </w:t>
            </w:r>
            <w:r>
              <w:rPr>
                <w:color w:val="000000"/>
                <w:sz w:val="20"/>
                <w:szCs w:val="20"/>
                <w:lang w:val="en-US"/>
              </w:rPr>
              <w:t>Q1</w:t>
            </w:r>
            <w:r w:rsidRPr="00CC6DC9">
              <w:rPr>
                <w:color w:val="000000"/>
                <w:sz w:val="20"/>
                <w:szCs w:val="20"/>
                <w:lang w:val="en-US"/>
              </w:rPr>
              <w:t>2001=1)</w:t>
            </w:r>
          </w:p>
        </w:tc>
        <w:tc>
          <w:tcPr>
            <w:tcW w:w="640" w:type="dxa"/>
            <w:tcBorders>
              <w:top w:val="nil"/>
              <w:left w:val="nil"/>
              <w:bottom w:val="nil"/>
              <w:right w:val="single" w:sz="4" w:space="0" w:color="auto"/>
            </w:tcBorders>
            <w:shd w:val="clear" w:color="auto" w:fill="auto"/>
            <w:noWrap/>
            <w:vAlign w:val="bottom"/>
          </w:tcPr>
          <w:p w14:paraId="2482A720"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4352357D" w14:textId="77777777" w:rsidR="000020B9" w:rsidRPr="00CC6DC9" w:rsidRDefault="000020B9" w:rsidP="00EF25E1">
            <w:pPr>
              <w:jc w:val="center"/>
              <w:rPr>
                <w:color w:val="000000"/>
                <w:sz w:val="20"/>
                <w:szCs w:val="20"/>
              </w:rPr>
            </w:pPr>
            <w:r w:rsidRPr="00CC6DC9">
              <w:rPr>
                <w:color w:val="000000"/>
                <w:sz w:val="20"/>
                <w:szCs w:val="20"/>
              </w:rPr>
              <w:t>10500000</w:t>
            </w:r>
          </w:p>
        </w:tc>
        <w:tc>
          <w:tcPr>
            <w:tcW w:w="1040" w:type="dxa"/>
            <w:tcBorders>
              <w:top w:val="nil"/>
              <w:left w:val="nil"/>
              <w:bottom w:val="nil"/>
              <w:right w:val="single" w:sz="4" w:space="0" w:color="auto"/>
            </w:tcBorders>
            <w:shd w:val="clear" w:color="auto" w:fill="auto"/>
            <w:noWrap/>
            <w:vAlign w:val="bottom"/>
          </w:tcPr>
          <w:p w14:paraId="43DAE576" w14:textId="77777777" w:rsidR="000020B9" w:rsidRPr="00CC6DC9" w:rsidRDefault="000020B9" w:rsidP="00EF25E1">
            <w:pPr>
              <w:jc w:val="center"/>
              <w:rPr>
                <w:color w:val="000000"/>
                <w:sz w:val="20"/>
                <w:szCs w:val="20"/>
              </w:rPr>
            </w:pPr>
            <w:r w:rsidRPr="00CC6DC9">
              <w:rPr>
                <w:color w:val="000000"/>
                <w:sz w:val="20"/>
                <w:szCs w:val="20"/>
              </w:rPr>
              <w:t>42200000</w:t>
            </w:r>
          </w:p>
        </w:tc>
        <w:tc>
          <w:tcPr>
            <w:tcW w:w="757" w:type="dxa"/>
            <w:tcBorders>
              <w:top w:val="nil"/>
              <w:left w:val="nil"/>
              <w:bottom w:val="nil"/>
              <w:right w:val="single" w:sz="4" w:space="0" w:color="auto"/>
            </w:tcBorders>
            <w:shd w:val="clear" w:color="auto" w:fill="auto"/>
            <w:noWrap/>
            <w:vAlign w:val="bottom"/>
          </w:tcPr>
          <w:p w14:paraId="3FA1ACAB" w14:textId="77777777" w:rsidR="000020B9" w:rsidRPr="00CC6DC9" w:rsidRDefault="000020B9" w:rsidP="00EF25E1">
            <w:pPr>
              <w:jc w:val="center"/>
              <w:rPr>
                <w:color w:val="000000"/>
                <w:sz w:val="20"/>
                <w:szCs w:val="20"/>
              </w:rPr>
            </w:pPr>
            <w:r w:rsidRPr="00CC6DC9">
              <w:rPr>
                <w:color w:val="000000"/>
                <w:sz w:val="20"/>
                <w:szCs w:val="20"/>
              </w:rPr>
              <w:t>277</w:t>
            </w:r>
          </w:p>
        </w:tc>
        <w:tc>
          <w:tcPr>
            <w:tcW w:w="1140" w:type="dxa"/>
            <w:tcBorders>
              <w:top w:val="nil"/>
              <w:left w:val="nil"/>
              <w:bottom w:val="nil"/>
              <w:right w:val="single" w:sz="4" w:space="0" w:color="auto"/>
            </w:tcBorders>
            <w:shd w:val="clear" w:color="auto" w:fill="auto"/>
            <w:noWrap/>
            <w:vAlign w:val="bottom"/>
          </w:tcPr>
          <w:p w14:paraId="3869FCEE" w14:textId="77777777" w:rsidR="000020B9" w:rsidRPr="00CC6DC9" w:rsidRDefault="000020B9" w:rsidP="00EF25E1">
            <w:pPr>
              <w:jc w:val="center"/>
              <w:rPr>
                <w:color w:val="000000"/>
                <w:sz w:val="20"/>
                <w:szCs w:val="20"/>
              </w:rPr>
            </w:pPr>
            <w:r w:rsidRPr="00CC6DC9">
              <w:rPr>
                <w:color w:val="000000"/>
                <w:sz w:val="20"/>
                <w:szCs w:val="20"/>
              </w:rPr>
              <w:t>403000000</w:t>
            </w:r>
          </w:p>
        </w:tc>
      </w:tr>
      <w:tr w:rsidR="000020B9" w:rsidRPr="00CC6DC9" w14:paraId="79EDF7A1"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3BBBC0DB" w14:textId="77777777" w:rsidR="000020B9" w:rsidRPr="00CC6DC9" w:rsidRDefault="000020B9" w:rsidP="00EF25E1">
            <w:pPr>
              <w:rPr>
                <w:color w:val="000000"/>
                <w:sz w:val="20"/>
                <w:szCs w:val="20"/>
                <w:lang w:val="en-US"/>
              </w:rPr>
            </w:pPr>
            <w:r w:rsidRPr="00CC6DC9">
              <w:rPr>
                <w:color w:val="000000"/>
                <w:sz w:val="20"/>
                <w:szCs w:val="20"/>
                <w:lang w:val="en-US"/>
              </w:rPr>
              <w:t xml:space="preserve">    Total Bank Products Revenue (price index </w:t>
            </w:r>
            <w:r>
              <w:rPr>
                <w:color w:val="000000"/>
                <w:sz w:val="20"/>
                <w:szCs w:val="20"/>
                <w:lang w:val="en-US"/>
              </w:rPr>
              <w:t>Q1</w:t>
            </w:r>
            <w:r w:rsidRPr="00CC6DC9">
              <w:rPr>
                <w:color w:val="000000"/>
                <w:sz w:val="20"/>
                <w:szCs w:val="20"/>
                <w:lang w:val="en-US"/>
              </w:rPr>
              <w:t>2001=1)</w:t>
            </w:r>
          </w:p>
        </w:tc>
        <w:tc>
          <w:tcPr>
            <w:tcW w:w="640" w:type="dxa"/>
            <w:tcBorders>
              <w:top w:val="nil"/>
              <w:left w:val="nil"/>
              <w:bottom w:val="nil"/>
              <w:right w:val="single" w:sz="4" w:space="0" w:color="auto"/>
            </w:tcBorders>
            <w:shd w:val="clear" w:color="auto" w:fill="auto"/>
            <w:noWrap/>
            <w:vAlign w:val="bottom"/>
          </w:tcPr>
          <w:p w14:paraId="2CE25C43"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02FA53DB" w14:textId="77777777" w:rsidR="000020B9" w:rsidRPr="00CC6DC9" w:rsidRDefault="000020B9" w:rsidP="00EF25E1">
            <w:pPr>
              <w:jc w:val="center"/>
              <w:rPr>
                <w:color w:val="000000"/>
                <w:sz w:val="20"/>
                <w:szCs w:val="20"/>
              </w:rPr>
            </w:pPr>
            <w:r w:rsidRPr="00CC6DC9">
              <w:rPr>
                <w:color w:val="000000"/>
                <w:sz w:val="20"/>
                <w:szCs w:val="20"/>
              </w:rPr>
              <w:t>382254</w:t>
            </w:r>
          </w:p>
        </w:tc>
        <w:tc>
          <w:tcPr>
            <w:tcW w:w="1040" w:type="dxa"/>
            <w:tcBorders>
              <w:top w:val="nil"/>
              <w:left w:val="nil"/>
              <w:bottom w:val="nil"/>
              <w:right w:val="single" w:sz="4" w:space="0" w:color="auto"/>
            </w:tcBorders>
            <w:shd w:val="clear" w:color="auto" w:fill="auto"/>
            <w:noWrap/>
            <w:vAlign w:val="bottom"/>
          </w:tcPr>
          <w:p w14:paraId="586FA00B" w14:textId="77777777" w:rsidR="000020B9" w:rsidRPr="00CC6DC9" w:rsidRDefault="000020B9" w:rsidP="00EF25E1">
            <w:pPr>
              <w:jc w:val="center"/>
              <w:rPr>
                <w:color w:val="000000"/>
                <w:sz w:val="20"/>
                <w:szCs w:val="20"/>
              </w:rPr>
            </w:pPr>
            <w:r w:rsidRPr="00CC6DC9">
              <w:rPr>
                <w:color w:val="000000"/>
                <w:sz w:val="20"/>
                <w:szCs w:val="20"/>
              </w:rPr>
              <w:t>1494794</w:t>
            </w:r>
          </w:p>
        </w:tc>
        <w:tc>
          <w:tcPr>
            <w:tcW w:w="757" w:type="dxa"/>
            <w:tcBorders>
              <w:top w:val="nil"/>
              <w:left w:val="nil"/>
              <w:bottom w:val="nil"/>
              <w:right w:val="single" w:sz="4" w:space="0" w:color="auto"/>
            </w:tcBorders>
            <w:shd w:val="clear" w:color="auto" w:fill="auto"/>
            <w:noWrap/>
            <w:vAlign w:val="bottom"/>
          </w:tcPr>
          <w:p w14:paraId="4D5BBBA3" w14:textId="77777777" w:rsidR="000020B9" w:rsidRPr="00CC6DC9" w:rsidRDefault="000020B9" w:rsidP="00EF25E1">
            <w:pPr>
              <w:jc w:val="center"/>
              <w:rPr>
                <w:color w:val="000000"/>
                <w:sz w:val="20"/>
                <w:szCs w:val="20"/>
              </w:rPr>
            </w:pPr>
            <w:r w:rsidRPr="00CC6DC9">
              <w:rPr>
                <w:color w:val="000000"/>
                <w:sz w:val="20"/>
                <w:szCs w:val="20"/>
              </w:rPr>
              <w:t>0</w:t>
            </w:r>
          </w:p>
        </w:tc>
        <w:tc>
          <w:tcPr>
            <w:tcW w:w="1140" w:type="dxa"/>
            <w:tcBorders>
              <w:top w:val="nil"/>
              <w:left w:val="nil"/>
              <w:bottom w:val="nil"/>
              <w:right w:val="single" w:sz="4" w:space="0" w:color="auto"/>
            </w:tcBorders>
            <w:shd w:val="clear" w:color="auto" w:fill="auto"/>
            <w:noWrap/>
            <w:vAlign w:val="bottom"/>
          </w:tcPr>
          <w:p w14:paraId="533A2D70" w14:textId="77777777" w:rsidR="000020B9" w:rsidRPr="00CC6DC9" w:rsidRDefault="000020B9" w:rsidP="00EF25E1">
            <w:pPr>
              <w:jc w:val="center"/>
              <w:rPr>
                <w:color w:val="000000"/>
                <w:sz w:val="20"/>
                <w:szCs w:val="20"/>
              </w:rPr>
            </w:pPr>
            <w:r w:rsidRPr="00CC6DC9">
              <w:rPr>
                <w:color w:val="000000"/>
                <w:sz w:val="20"/>
                <w:szCs w:val="20"/>
              </w:rPr>
              <w:t>17100000</w:t>
            </w:r>
          </w:p>
        </w:tc>
      </w:tr>
      <w:tr w:rsidR="000020B9" w:rsidRPr="00CC6DC9" w14:paraId="7F31DE4A" w14:textId="77777777" w:rsidTr="00EF25E1">
        <w:trPr>
          <w:trHeight w:val="285"/>
          <w:jc w:val="center"/>
        </w:trPr>
        <w:tc>
          <w:tcPr>
            <w:tcW w:w="5603" w:type="dxa"/>
            <w:tcBorders>
              <w:top w:val="nil"/>
              <w:left w:val="single" w:sz="4" w:space="0" w:color="auto"/>
              <w:bottom w:val="nil"/>
              <w:right w:val="single" w:sz="4" w:space="0" w:color="auto"/>
            </w:tcBorders>
            <w:shd w:val="clear" w:color="auto" w:fill="auto"/>
            <w:noWrap/>
            <w:vAlign w:val="bottom"/>
          </w:tcPr>
          <w:p w14:paraId="3941C271" w14:textId="77777777" w:rsidR="000020B9" w:rsidRPr="00CC6DC9" w:rsidRDefault="000020B9" w:rsidP="00EF25E1">
            <w:pPr>
              <w:rPr>
                <w:color w:val="000000"/>
                <w:sz w:val="20"/>
                <w:szCs w:val="20"/>
                <w:lang w:val="en-US"/>
              </w:rPr>
            </w:pPr>
            <w:r w:rsidRPr="00CC6DC9">
              <w:rPr>
                <w:color w:val="000000"/>
                <w:sz w:val="20"/>
                <w:szCs w:val="20"/>
                <w:lang w:val="en-US"/>
              </w:rPr>
              <w:t xml:space="preserve">    Labor Cost (Wage) = TotalPayoll/Total Assets</w:t>
            </w:r>
          </w:p>
        </w:tc>
        <w:tc>
          <w:tcPr>
            <w:tcW w:w="640" w:type="dxa"/>
            <w:tcBorders>
              <w:top w:val="nil"/>
              <w:left w:val="nil"/>
              <w:bottom w:val="nil"/>
              <w:right w:val="single" w:sz="4" w:space="0" w:color="auto"/>
            </w:tcBorders>
            <w:shd w:val="clear" w:color="auto" w:fill="auto"/>
            <w:noWrap/>
            <w:vAlign w:val="bottom"/>
          </w:tcPr>
          <w:p w14:paraId="2ACD32B5"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1D1F1270" w14:textId="77777777" w:rsidR="000020B9" w:rsidRPr="00CC6DC9" w:rsidRDefault="000020B9" w:rsidP="00EF25E1">
            <w:pPr>
              <w:jc w:val="center"/>
              <w:rPr>
                <w:color w:val="000000"/>
                <w:sz w:val="20"/>
                <w:szCs w:val="20"/>
              </w:rPr>
            </w:pPr>
            <w:r w:rsidRPr="00CC6DC9">
              <w:rPr>
                <w:color w:val="000000"/>
                <w:sz w:val="20"/>
                <w:szCs w:val="20"/>
              </w:rPr>
              <w:t>0.045</w:t>
            </w:r>
          </w:p>
        </w:tc>
        <w:tc>
          <w:tcPr>
            <w:tcW w:w="1040" w:type="dxa"/>
            <w:tcBorders>
              <w:top w:val="nil"/>
              <w:left w:val="nil"/>
              <w:bottom w:val="nil"/>
              <w:right w:val="single" w:sz="4" w:space="0" w:color="auto"/>
            </w:tcBorders>
            <w:shd w:val="clear" w:color="auto" w:fill="auto"/>
            <w:noWrap/>
            <w:vAlign w:val="bottom"/>
          </w:tcPr>
          <w:p w14:paraId="4C130D81" w14:textId="77777777" w:rsidR="000020B9" w:rsidRPr="00CC6DC9" w:rsidRDefault="000020B9" w:rsidP="00EF25E1">
            <w:pPr>
              <w:jc w:val="center"/>
              <w:rPr>
                <w:color w:val="000000"/>
                <w:sz w:val="20"/>
                <w:szCs w:val="20"/>
              </w:rPr>
            </w:pPr>
            <w:r w:rsidRPr="00CC6DC9">
              <w:rPr>
                <w:color w:val="000000"/>
                <w:sz w:val="20"/>
                <w:szCs w:val="20"/>
              </w:rPr>
              <w:t>0.056</w:t>
            </w:r>
          </w:p>
        </w:tc>
        <w:tc>
          <w:tcPr>
            <w:tcW w:w="757" w:type="dxa"/>
            <w:tcBorders>
              <w:top w:val="nil"/>
              <w:left w:val="nil"/>
              <w:bottom w:val="nil"/>
              <w:right w:val="single" w:sz="4" w:space="0" w:color="auto"/>
            </w:tcBorders>
            <w:shd w:val="clear" w:color="auto" w:fill="auto"/>
            <w:noWrap/>
            <w:vAlign w:val="bottom"/>
          </w:tcPr>
          <w:p w14:paraId="11F9FE42" w14:textId="77777777" w:rsidR="000020B9" w:rsidRPr="00CC6DC9" w:rsidRDefault="000020B9" w:rsidP="00EF25E1">
            <w:pPr>
              <w:jc w:val="center"/>
              <w:rPr>
                <w:color w:val="000000"/>
                <w:sz w:val="20"/>
                <w:szCs w:val="20"/>
              </w:rPr>
            </w:pPr>
            <w:r w:rsidRPr="00CC6DC9">
              <w:rPr>
                <w:color w:val="000000"/>
                <w:sz w:val="20"/>
                <w:szCs w:val="20"/>
              </w:rPr>
              <w:t>0.000</w:t>
            </w:r>
          </w:p>
        </w:tc>
        <w:tc>
          <w:tcPr>
            <w:tcW w:w="1140" w:type="dxa"/>
            <w:tcBorders>
              <w:top w:val="nil"/>
              <w:left w:val="nil"/>
              <w:bottom w:val="nil"/>
              <w:right w:val="single" w:sz="4" w:space="0" w:color="auto"/>
            </w:tcBorders>
            <w:shd w:val="clear" w:color="auto" w:fill="auto"/>
            <w:noWrap/>
            <w:vAlign w:val="bottom"/>
          </w:tcPr>
          <w:p w14:paraId="3E9BEF23" w14:textId="77777777" w:rsidR="000020B9" w:rsidRPr="00CC6DC9" w:rsidRDefault="000020B9" w:rsidP="00EF25E1">
            <w:pPr>
              <w:jc w:val="center"/>
              <w:rPr>
                <w:color w:val="000000"/>
                <w:sz w:val="20"/>
                <w:szCs w:val="20"/>
              </w:rPr>
            </w:pPr>
            <w:r w:rsidRPr="00CC6DC9">
              <w:rPr>
                <w:color w:val="000000"/>
                <w:sz w:val="20"/>
                <w:szCs w:val="20"/>
              </w:rPr>
              <w:t>0.584</w:t>
            </w:r>
          </w:p>
        </w:tc>
      </w:tr>
      <w:tr w:rsidR="000020B9" w:rsidRPr="00CC6DC9" w14:paraId="184EC551"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3729AF26" w14:textId="77777777" w:rsidR="000020B9" w:rsidRPr="00CC6DC9" w:rsidRDefault="000020B9" w:rsidP="00EF25E1">
            <w:pPr>
              <w:rPr>
                <w:color w:val="000000"/>
                <w:sz w:val="20"/>
                <w:szCs w:val="20"/>
                <w:lang w:val="en-US"/>
              </w:rPr>
            </w:pPr>
            <w:r w:rsidRPr="00CC6DC9">
              <w:rPr>
                <w:color w:val="000000"/>
                <w:sz w:val="20"/>
                <w:szCs w:val="20"/>
                <w:lang w:val="en-US"/>
              </w:rPr>
              <w:t xml:space="preserve">    Cost of Capital =  Total Capital Expenditure / Total Assets</w:t>
            </w:r>
          </w:p>
        </w:tc>
        <w:tc>
          <w:tcPr>
            <w:tcW w:w="640" w:type="dxa"/>
            <w:tcBorders>
              <w:top w:val="nil"/>
              <w:left w:val="nil"/>
              <w:bottom w:val="nil"/>
              <w:right w:val="single" w:sz="4" w:space="0" w:color="auto"/>
            </w:tcBorders>
            <w:shd w:val="clear" w:color="auto" w:fill="auto"/>
            <w:noWrap/>
            <w:vAlign w:val="bottom"/>
          </w:tcPr>
          <w:p w14:paraId="55311ECB"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5877315A" w14:textId="77777777" w:rsidR="000020B9" w:rsidRPr="00CC6DC9" w:rsidRDefault="000020B9" w:rsidP="00EF25E1">
            <w:pPr>
              <w:jc w:val="center"/>
              <w:rPr>
                <w:color w:val="000000"/>
                <w:sz w:val="20"/>
                <w:szCs w:val="20"/>
              </w:rPr>
            </w:pPr>
            <w:r w:rsidRPr="00CC6DC9">
              <w:rPr>
                <w:color w:val="000000"/>
                <w:sz w:val="20"/>
                <w:szCs w:val="20"/>
              </w:rPr>
              <w:t>0.200</w:t>
            </w:r>
          </w:p>
        </w:tc>
        <w:tc>
          <w:tcPr>
            <w:tcW w:w="1040" w:type="dxa"/>
            <w:tcBorders>
              <w:top w:val="nil"/>
              <w:left w:val="nil"/>
              <w:bottom w:val="nil"/>
              <w:right w:val="single" w:sz="4" w:space="0" w:color="auto"/>
            </w:tcBorders>
            <w:shd w:val="clear" w:color="auto" w:fill="auto"/>
            <w:noWrap/>
            <w:vAlign w:val="bottom"/>
          </w:tcPr>
          <w:p w14:paraId="6FAD4134" w14:textId="77777777" w:rsidR="000020B9" w:rsidRPr="00CC6DC9" w:rsidRDefault="000020B9" w:rsidP="00EF25E1">
            <w:pPr>
              <w:jc w:val="center"/>
              <w:rPr>
                <w:color w:val="000000"/>
                <w:sz w:val="20"/>
                <w:szCs w:val="20"/>
              </w:rPr>
            </w:pPr>
            <w:r w:rsidRPr="00CC6DC9">
              <w:rPr>
                <w:color w:val="000000"/>
                <w:sz w:val="20"/>
                <w:szCs w:val="20"/>
              </w:rPr>
              <w:t>0.667</w:t>
            </w:r>
          </w:p>
        </w:tc>
        <w:tc>
          <w:tcPr>
            <w:tcW w:w="757" w:type="dxa"/>
            <w:tcBorders>
              <w:top w:val="nil"/>
              <w:left w:val="nil"/>
              <w:bottom w:val="nil"/>
              <w:right w:val="single" w:sz="4" w:space="0" w:color="auto"/>
            </w:tcBorders>
            <w:shd w:val="clear" w:color="auto" w:fill="auto"/>
            <w:noWrap/>
            <w:vAlign w:val="bottom"/>
          </w:tcPr>
          <w:p w14:paraId="64AB5D3A" w14:textId="77777777" w:rsidR="000020B9" w:rsidRPr="00CC6DC9" w:rsidRDefault="000020B9" w:rsidP="00EF25E1">
            <w:pPr>
              <w:jc w:val="center"/>
              <w:rPr>
                <w:color w:val="000000"/>
                <w:sz w:val="20"/>
                <w:szCs w:val="20"/>
              </w:rPr>
            </w:pPr>
            <w:r w:rsidRPr="00CC6DC9">
              <w:rPr>
                <w:color w:val="000000"/>
                <w:sz w:val="20"/>
                <w:szCs w:val="20"/>
              </w:rPr>
              <w:t>-0.723</w:t>
            </w:r>
          </w:p>
        </w:tc>
        <w:tc>
          <w:tcPr>
            <w:tcW w:w="1140" w:type="dxa"/>
            <w:tcBorders>
              <w:top w:val="nil"/>
              <w:left w:val="nil"/>
              <w:bottom w:val="nil"/>
              <w:right w:val="single" w:sz="4" w:space="0" w:color="auto"/>
            </w:tcBorders>
            <w:shd w:val="clear" w:color="auto" w:fill="auto"/>
            <w:noWrap/>
            <w:vAlign w:val="bottom"/>
          </w:tcPr>
          <w:p w14:paraId="1D24654C" w14:textId="77777777" w:rsidR="000020B9" w:rsidRPr="00CC6DC9" w:rsidRDefault="000020B9" w:rsidP="00EF25E1">
            <w:pPr>
              <w:jc w:val="center"/>
              <w:rPr>
                <w:color w:val="000000"/>
                <w:sz w:val="20"/>
                <w:szCs w:val="20"/>
              </w:rPr>
            </w:pPr>
            <w:r w:rsidRPr="00CC6DC9">
              <w:rPr>
                <w:color w:val="000000"/>
                <w:sz w:val="20"/>
                <w:szCs w:val="20"/>
              </w:rPr>
              <w:t>29.552</w:t>
            </w:r>
          </w:p>
        </w:tc>
      </w:tr>
      <w:tr w:rsidR="000020B9" w:rsidRPr="00CC6DC9" w14:paraId="5FE1630E"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20F46A74" w14:textId="77777777" w:rsidR="000020B9" w:rsidRPr="00CC6DC9" w:rsidRDefault="000020B9" w:rsidP="00EF25E1">
            <w:pPr>
              <w:rPr>
                <w:color w:val="000000"/>
                <w:sz w:val="20"/>
                <w:szCs w:val="20"/>
                <w:lang w:val="en-US"/>
              </w:rPr>
            </w:pPr>
            <w:r w:rsidRPr="00CC6DC9">
              <w:rPr>
                <w:color w:val="000000"/>
                <w:sz w:val="20"/>
                <w:szCs w:val="20"/>
                <w:lang w:val="en-US"/>
              </w:rPr>
              <w:t xml:space="preserve">    Cost of fixed capital = Total Fixed Capital/Total Assets </w:t>
            </w:r>
          </w:p>
        </w:tc>
        <w:tc>
          <w:tcPr>
            <w:tcW w:w="640" w:type="dxa"/>
            <w:tcBorders>
              <w:top w:val="nil"/>
              <w:left w:val="nil"/>
              <w:bottom w:val="nil"/>
              <w:right w:val="single" w:sz="4" w:space="0" w:color="auto"/>
            </w:tcBorders>
            <w:shd w:val="clear" w:color="auto" w:fill="auto"/>
            <w:noWrap/>
            <w:vAlign w:val="bottom"/>
          </w:tcPr>
          <w:p w14:paraId="5BA49631"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5422BC87" w14:textId="77777777" w:rsidR="000020B9" w:rsidRPr="00CC6DC9" w:rsidRDefault="000020B9" w:rsidP="00EF25E1">
            <w:pPr>
              <w:jc w:val="center"/>
              <w:rPr>
                <w:color w:val="000000"/>
                <w:sz w:val="20"/>
                <w:szCs w:val="20"/>
              </w:rPr>
            </w:pPr>
            <w:r w:rsidRPr="00CC6DC9">
              <w:rPr>
                <w:color w:val="000000"/>
                <w:sz w:val="20"/>
                <w:szCs w:val="20"/>
              </w:rPr>
              <w:t>0.205</w:t>
            </w:r>
          </w:p>
        </w:tc>
        <w:tc>
          <w:tcPr>
            <w:tcW w:w="1040" w:type="dxa"/>
            <w:tcBorders>
              <w:top w:val="nil"/>
              <w:left w:val="nil"/>
              <w:bottom w:val="nil"/>
              <w:right w:val="single" w:sz="4" w:space="0" w:color="auto"/>
            </w:tcBorders>
            <w:shd w:val="clear" w:color="auto" w:fill="auto"/>
            <w:noWrap/>
            <w:vAlign w:val="bottom"/>
          </w:tcPr>
          <w:p w14:paraId="53A76201" w14:textId="77777777" w:rsidR="000020B9" w:rsidRPr="00CC6DC9" w:rsidRDefault="000020B9" w:rsidP="00EF25E1">
            <w:pPr>
              <w:jc w:val="center"/>
              <w:rPr>
                <w:color w:val="000000"/>
                <w:sz w:val="20"/>
                <w:szCs w:val="20"/>
              </w:rPr>
            </w:pPr>
            <w:r w:rsidRPr="00CC6DC9">
              <w:rPr>
                <w:color w:val="000000"/>
                <w:sz w:val="20"/>
                <w:szCs w:val="20"/>
              </w:rPr>
              <w:t>0.776</w:t>
            </w:r>
          </w:p>
        </w:tc>
        <w:tc>
          <w:tcPr>
            <w:tcW w:w="757" w:type="dxa"/>
            <w:tcBorders>
              <w:top w:val="nil"/>
              <w:left w:val="nil"/>
              <w:bottom w:val="nil"/>
              <w:right w:val="single" w:sz="4" w:space="0" w:color="auto"/>
            </w:tcBorders>
            <w:shd w:val="clear" w:color="auto" w:fill="auto"/>
            <w:noWrap/>
            <w:vAlign w:val="bottom"/>
          </w:tcPr>
          <w:p w14:paraId="5767ADD5" w14:textId="77777777" w:rsidR="000020B9" w:rsidRPr="00CC6DC9" w:rsidRDefault="000020B9" w:rsidP="00EF25E1">
            <w:pPr>
              <w:jc w:val="center"/>
              <w:rPr>
                <w:color w:val="000000"/>
                <w:sz w:val="20"/>
                <w:szCs w:val="20"/>
              </w:rPr>
            </w:pPr>
            <w:r w:rsidRPr="00CC6DC9">
              <w:rPr>
                <w:color w:val="000000"/>
                <w:sz w:val="20"/>
                <w:szCs w:val="20"/>
              </w:rPr>
              <w:t>0.000</w:t>
            </w:r>
          </w:p>
        </w:tc>
        <w:tc>
          <w:tcPr>
            <w:tcW w:w="1140" w:type="dxa"/>
            <w:tcBorders>
              <w:top w:val="nil"/>
              <w:left w:val="nil"/>
              <w:bottom w:val="nil"/>
              <w:right w:val="single" w:sz="4" w:space="0" w:color="auto"/>
            </w:tcBorders>
            <w:shd w:val="clear" w:color="auto" w:fill="auto"/>
            <w:noWrap/>
            <w:vAlign w:val="bottom"/>
          </w:tcPr>
          <w:p w14:paraId="3F84ACAE" w14:textId="77777777" w:rsidR="000020B9" w:rsidRPr="00CC6DC9" w:rsidRDefault="000020B9" w:rsidP="00EF25E1">
            <w:pPr>
              <w:jc w:val="center"/>
              <w:rPr>
                <w:color w:val="000000"/>
                <w:sz w:val="20"/>
                <w:szCs w:val="20"/>
              </w:rPr>
            </w:pPr>
            <w:r w:rsidRPr="00CC6DC9">
              <w:rPr>
                <w:color w:val="000000"/>
                <w:sz w:val="20"/>
                <w:szCs w:val="20"/>
              </w:rPr>
              <w:t>11.873</w:t>
            </w:r>
          </w:p>
        </w:tc>
      </w:tr>
      <w:tr w:rsidR="000020B9" w:rsidRPr="00CC6DC9" w14:paraId="5BB92E83"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64A1F3BD" w14:textId="77777777" w:rsidR="000020B9" w:rsidRPr="00CC6DC9" w:rsidRDefault="000020B9" w:rsidP="00EF25E1">
            <w:pPr>
              <w:rPr>
                <w:color w:val="000000"/>
                <w:sz w:val="20"/>
                <w:szCs w:val="20"/>
                <w:lang w:val="en-US"/>
              </w:rPr>
            </w:pPr>
            <w:r w:rsidRPr="00CC6DC9">
              <w:rPr>
                <w:color w:val="000000"/>
                <w:sz w:val="20"/>
                <w:szCs w:val="20"/>
                <w:lang w:val="en-US"/>
              </w:rPr>
              <w:t xml:space="preserve">    Provision = Provision for doubtful accounts/ Shareholder Equity</w:t>
            </w:r>
          </w:p>
        </w:tc>
        <w:tc>
          <w:tcPr>
            <w:tcW w:w="640" w:type="dxa"/>
            <w:tcBorders>
              <w:top w:val="nil"/>
              <w:left w:val="nil"/>
              <w:bottom w:val="nil"/>
              <w:right w:val="single" w:sz="4" w:space="0" w:color="auto"/>
            </w:tcBorders>
            <w:shd w:val="clear" w:color="auto" w:fill="auto"/>
            <w:noWrap/>
            <w:vAlign w:val="bottom"/>
          </w:tcPr>
          <w:p w14:paraId="341089D4"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798460A1" w14:textId="77777777" w:rsidR="000020B9" w:rsidRPr="00CC6DC9" w:rsidRDefault="000020B9" w:rsidP="00EF25E1">
            <w:pPr>
              <w:jc w:val="center"/>
              <w:rPr>
                <w:color w:val="000000"/>
                <w:sz w:val="20"/>
                <w:szCs w:val="20"/>
              </w:rPr>
            </w:pPr>
            <w:r w:rsidRPr="00CC6DC9">
              <w:rPr>
                <w:color w:val="000000"/>
                <w:sz w:val="20"/>
                <w:szCs w:val="20"/>
              </w:rPr>
              <w:t>0.009</w:t>
            </w:r>
          </w:p>
        </w:tc>
        <w:tc>
          <w:tcPr>
            <w:tcW w:w="1040" w:type="dxa"/>
            <w:tcBorders>
              <w:top w:val="nil"/>
              <w:left w:val="nil"/>
              <w:bottom w:val="nil"/>
              <w:right w:val="single" w:sz="4" w:space="0" w:color="auto"/>
            </w:tcBorders>
            <w:shd w:val="clear" w:color="auto" w:fill="auto"/>
            <w:noWrap/>
            <w:vAlign w:val="bottom"/>
          </w:tcPr>
          <w:p w14:paraId="667BFFCA" w14:textId="77777777" w:rsidR="000020B9" w:rsidRPr="00CC6DC9" w:rsidRDefault="000020B9" w:rsidP="00EF25E1">
            <w:pPr>
              <w:jc w:val="center"/>
              <w:rPr>
                <w:color w:val="000000"/>
                <w:sz w:val="20"/>
                <w:szCs w:val="20"/>
              </w:rPr>
            </w:pPr>
            <w:r w:rsidRPr="00CC6DC9">
              <w:rPr>
                <w:color w:val="000000"/>
                <w:sz w:val="20"/>
                <w:szCs w:val="20"/>
              </w:rPr>
              <w:t>0.018</w:t>
            </w:r>
          </w:p>
        </w:tc>
        <w:tc>
          <w:tcPr>
            <w:tcW w:w="757" w:type="dxa"/>
            <w:tcBorders>
              <w:top w:val="nil"/>
              <w:left w:val="nil"/>
              <w:bottom w:val="nil"/>
              <w:right w:val="single" w:sz="4" w:space="0" w:color="auto"/>
            </w:tcBorders>
            <w:shd w:val="clear" w:color="auto" w:fill="auto"/>
            <w:noWrap/>
            <w:vAlign w:val="bottom"/>
          </w:tcPr>
          <w:p w14:paraId="3E10D99A" w14:textId="77777777" w:rsidR="000020B9" w:rsidRPr="00CC6DC9" w:rsidRDefault="000020B9" w:rsidP="00EF25E1">
            <w:pPr>
              <w:jc w:val="center"/>
              <w:rPr>
                <w:color w:val="000000"/>
                <w:sz w:val="20"/>
                <w:szCs w:val="20"/>
              </w:rPr>
            </w:pPr>
            <w:r w:rsidRPr="00CC6DC9">
              <w:rPr>
                <w:color w:val="000000"/>
                <w:sz w:val="20"/>
                <w:szCs w:val="20"/>
              </w:rPr>
              <w:t>-0.060</w:t>
            </w:r>
          </w:p>
        </w:tc>
        <w:tc>
          <w:tcPr>
            <w:tcW w:w="1140" w:type="dxa"/>
            <w:tcBorders>
              <w:top w:val="nil"/>
              <w:left w:val="nil"/>
              <w:bottom w:val="nil"/>
              <w:right w:val="single" w:sz="4" w:space="0" w:color="auto"/>
            </w:tcBorders>
            <w:shd w:val="clear" w:color="auto" w:fill="auto"/>
            <w:noWrap/>
            <w:vAlign w:val="bottom"/>
          </w:tcPr>
          <w:p w14:paraId="2778AE08" w14:textId="77777777" w:rsidR="000020B9" w:rsidRPr="00CC6DC9" w:rsidRDefault="000020B9" w:rsidP="00EF25E1">
            <w:pPr>
              <w:jc w:val="center"/>
              <w:rPr>
                <w:color w:val="000000"/>
                <w:sz w:val="20"/>
                <w:szCs w:val="20"/>
              </w:rPr>
            </w:pPr>
            <w:r w:rsidRPr="00CC6DC9">
              <w:rPr>
                <w:color w:val="000000"/>
                <w:sz w:val="20"/>
                <w:szCs w:val="20"/>
              </w:rPr>
              <w:t>0.240</w:t>
            </w:r>
          </w:p>
        </w:tc>
      </w:tr>
      <w:tr w:rsidR="000020B9" w:rsidRPr="00CC6DC9" w14:paraId="57B336D6"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6A3A4DF9" w14:textId="77777777" w:rsidR="000020B9" w:rsidRPr="00CC6DC9" w:rsidRDefault="000020B9" w:rsidP="00EF25E1">
            <w:pPr>
              <w:rPr>
                <w:color w:val="000000"/>
                <w:sz w:val="20"/>
                <w:szCs w:val="20"/>
                <w:lang w:val="en-US"/>
              </w:rPr>
            </w:pPr>
            <w:r w:rsidRPr="00CC6DC9">
              <w:rPr>
                <w:color w:val="000000"/>
                <w:sz w:val="20"/>
                <w:szCs w:val="20"/>
                <w:lang w:val="en-US"/>
              </w:rPr>
              <w:t xml:space="preserve">    Profitability =  Total Profits / Shareholder Equity</w:t>
            </w:r>
          </w:p>
        </w:tc>
        <w:tc>
          <w:tcPr>
            <w:tcW w:w="640" w:type="dxa"/>
            <w:tcBorders>
              <w:top w:val="nil"/>
              <w:left w:val="nil"/>
              <w:bottom w:val="nil"/>
              <w:right w:val="single" w:sz="4" w:space="0" w:color="auto"/>
            </w:tcBorders>
            <w:shd w:val="clear" w:color="auto" w:fill="auto"/>
            <w:noWrap/>
            <w:vAlign w:val="bottom"/>
          </w:tcPr>
          <w:p w14:paraId="59CE495C"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59E12A95" w14:textId="77777777" w:rsidR="000020B9" w:rsidRPr="00CC6DC9" w:rsidRDefault="000020B9" w:rsidP="00EF25E1">
            <w:pPr>
              <w:jc w:val="center"/>
              <w:rPr>
                <w:color w:val="000000"/>
                <w:sz w:val="20"/>
                <w:szCs w:val="20"/>
              </w:rPr>
            </w:pPr>
            <w:r w:rsidRPr="00CC6DC9">
              <w:rPr>
                <w:color w:val="000000"/>
                <w:sz w:val="20"/>
                <w:szCs w:val="20"/>
              </w:rPr>
              <w:t>0.032</w:t>
            </w:r>
          </w:p>
        </w:tc>
        <w:tc>
          <w:tcPr>
            <w:tcW w:w="1040" w:type="dxa"/>
            <w:tcBorders>
              <w:top w:val="nil"/>
              <w:left w:val="nil"/>
              <w:bottom w:val="nil"/>
              <w:right w:val="single" w:sz="4" w:space="0" w:color="auto"/>
            </w:tcBorders>
            <w:shd w:val="clear" w:color="auto" w:fill="auto"/>
            <w:noWrap/>
            <w:vAlign w:val="bottom"/>
          </w:tcPr>
          <w:p w14:paraId="2E2B8001" w14:textId="77777777" w:rsidR="000020B9" w:rsidRPr="00CC6DC9" w:rsidRDefault="000020B9" w:rsidP="00EF25E1">
            <w:pPr>
              <w:jc w:val="center"/>
              <w:rPr>
                <w:color w:val="000000"/>
                <w:sz w:val="20"/>
                <w:szCs w:val="20"/>
              </w:rPr>
            </w:pPr>
            <w:r w:rsidRPr="00CC6DC9">
              <w:rPr>
                <w:color w:val="000000"/>
                <w:sz w:val="20"/>
                <w:szCs w:val="20"/>
              </w:rPr>
              <w:t>0.116</w:t>
            </w:r>
          </w:p>
        </w:tc>
        <w:tc>
          <w:tcPr>
            <w:tcW w:w="757" w:type="dxa"/>
            <w:tcBorders>
              <w:top w:val="nil"/>
              <w:left w:val="nil"/>
              <w:bottom w:val="nil"/>
              <w:right w:val="single" w:sz="4" w:space="0" w:color="auto"/>
            </w:tcBorders>
            <w:shd w:val="clear" w:color="auto" w:fill="auto"/>
            <w:noWrap/>
            <w:vAlign w:val="bottom"/>
          </w:tcPr>
          <w:p w14:paraId="55DA7317" w14:textId="77777777" w:rsidR="000020B9" w:rsidRPr="00CC6DC9" w:rsidRDefault="000020B9" w:rsidP="00EF25E1">
            <w:pPr>
              <w:jc w:val="center"/>
              <w:rPr>
                <w:color w:val="000000"/>
                <w:sz w:val="20"/>
                <w:szCs w:val="20"/>
              </w:rPr>
            </w:pPr>
            <w:r w:rsidRPr="00CC6DC9">
              <w:rPr>
                <w:color w:val="000000"/>
                <w:sz w:val="20"/>
                <w:szCs w:val="20"/>
              </w:rPr>
              <w:t>-2.485</w:t>
            </w:r>
          </w:p>
        </w:tc>
        <w:tc>
          <w:tcPr>
            <w:tcW w:w="1140" w:type="dxa"/>
            <w:tcBorders>
              <w:top w:val="nil"/>
              <w:left w:val="nil"/>
              <w:bottom w:val="nil"/>
              <w:right w:val="single" w:sz="4" w:space="0" w:color="auto"/>
            </w:tcBorders>
            <w:shd w:val="clear" w:color="auto" w:fill="auto"/>
            <w:noWrap/>
            <w:vAlign w:val="bottom"/>
          </w:tcPr>
          <w:p w14:paraId="387E1332" w14:textId="77777777" w:rsidR="000020B9" w:rsidRPr="00CC6DC9" w:rsidRDefault="000020B9" w:rsidP="00EF25E1">
            <w:pPr>
              <w:jc w:val="center"/>
              <w:rPr>
                <w:color w:val="000000"/>
                <w:sz w:val="20"/>
                <w:szCs w:val="20"/>
              </w:rPr>
            </w:pPr>
            <w:r w:rsidRPr="00CC6DC9">
              <w:rPr>
                <w:color w:val="000000"/>
                <w:sz w:val="20"/>
                <w:szCs w:val="20"/>
              </w:rPr>
              <w:t>1.818</w:t>
            </w:r>
          </w:p>
        </w:tc>
      </w:tr>
      <w:tr w:rsidR="000020B9" w:rsidRPr="00CC6DC9" w14:paraId="0FEBE6D2"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114B8923" w14:textId="77777777" w:rsidR="000020B9" w:rsidRPr="00CC6DC9" w:rsidRDefault="000020B9" w:rsidP="00EF25E1">
            <w:pPr>
              <w:rPr>
                <w:color w:val="000000"/>
                <w:sz w:val="20"/>
                <w:szCs w:val="20"/>
              </w:rPr>
            </w:pPr>
            <w:r w:rsidRPr="00CC6DC9">
              <w:rPr>
                <w:color w:val="000000"/>
                <w:sz w:val="20"/>
                <w:szCs w:val="20"/>
              </w:rPr>
              <w:t xml:space="preserve">    Market Share (assets)</w:t>
            </w:r>
          </w:p>
        </w:tc>
        <w:tc>
          <w:tcPr>
            <w:tcW w:w="640" w:type="dxa"/>
            <w:tcBorders>
              <w:top w:val="nil"/>
              <w:left w:val="nil"/>
              <w:bottom w:val="nil"/>
              <w:right w:val="single" w:sz="4" w:space="0" w:color="auto"/>
            </w:tcBorders>
            <w:shd w:val="clear" w:color="auto" w:fill="auto"/>
            <w:noWrap/>
            <w:vAlign w:val="bottom"/>
          </w:tcPr>
          <w:p w14:paraId="19D8AB94"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283B1885" w14:textId="77777777" w:rsidR="000020B9" w:rsidRPr="00CC6DC9" w:rsidRDefault="000020B9" w:rsidP="00EF25E1">
            <w:pPr>
              <w:jc w:val="center"/>
              <w:rPr>
                <w:color w:val="000000"/>
                <w:sz w:val="20"/>
                <w:szCs w:val="20"/>
              </w:rPr>
            </w:pPr>
            <w:r w:rsidRPr="00CC6DC9">
              <w:rPr>
                <w:color w:val="000000"/>
                <w:sz w:val="20"/>
                <w:szCs w:val="20"/>
              </w:rPr>
              <w:t>0.022</w:t>
            </w:r>
          </w:p>
        </w:tc>
        <w:tc>
          <w:tcPr>
            <w:tcW w:w="1040" w:type="dxa"/>
            <w:tcBorders>
              <w:top w:val="nil"/>
              <w:left w:val="nil"/>
              <w:bottom w:val="nil"/>
              <w:right w:val="single" w:sz="4" w:space="0" w:color="auto"/>
            </w:tcBorders>
            <w:shd w:val="clear" w:color="auto" w:fill="auto"/>
            <w:noWrap/>
            <w:vAlign w:val="bottom"/>
          </w:tcPr>
          <w:p w14:paraId="7E28724A" w14:textId="77777777" w:rsidR="000020B9" w:rsidRPr="00CC6DC9" w:rsidRDefault="000020B9" w:rsidP="00EF25E1">
            <w:pPr>
              <w:jc w:val="center"/>
              <w:rPr>
                <w:color w:val="000000"/>
                <w:sz w:val="20"/>
                <w:szCs w:val="20"/>
              </w:rPr>
            </w:pPr>
            <w:r w:rsidRPr="00CC6DC9">
              <w:rPr>
                <w:color w:val="000000"/>
                <w:sz w:val="20"/>
                <w:szCs w:val="20"/>
              </w:rPr>
              <w:t>0.069</w:t>
            </w:r>
          </w:p>
        </w:tc>
        <w:tc>
          <w:tcPr>
            <w:tcW w:w="757" w:type="dxa"/>
            <w:tcBorders>
              <w:top w:val="nil"/>
              <w:left w:val="nil"/>
              <w:bottom w:val="nil"/>
              <w:right w:val="single" w:sz="4" w:space="0" w:color="auto"/>
            </w:tcBorders>
            <w:shd w:val="clear" w:color="auto" w:fill="auto"/>
            <w:noWrap/>
            <w:vAlign w:val="bottom"/>
          </w:tcPr>
          <w:p w14:paraId="70B58820" w14:textId="77777777" w:rsidR="000020B9" w:rsidRPr="00CC6DC9" w:rsidRDefault="000020B9" w:rsidP="00EF25E1">
            <w:pPr>
              <w:jc w:val="center"/>
              <w:rPr>
                <w:color w:val="000000"/>
                <w:sz w:val="20"/>
                <w:szCs w:val="20"/>
              </w:rPr>
            </w:pPr>
            <w:r w:rsidRPr="00CC6DC9">
              <w:rPr>
                <w:color w:val="000000"/>
                <w:sz w:val="20"/>
                <w:szCs w:val="20"/>
              </w:rPr>
              <w:t>0.000</w:t>
            </w:r>
          </w:p>
        </w:tc>
        <w:tc>
          <w:tcPr>
            <w:tcW w:w="1140" w:type="dxa"/>
            <w:tcBorders>
              <w:top w:val="nil"/>
              <w:left w:val="nil"/>
              <w:bottom w:val="nil"/>
              <w:right w:val="single" w:sz="4" w:space="0" w:color="auto"/>
            </w:tcBorders>
            <w:shd w:val="clear" w:color="auto" w:fill="auto"/>
            <w:noWrap/>
            <w:vAlign w:val="bottom"/>
          </w:tcPr>
          <w:p w14:paraId="7F342E94" w14:textId="77777777" w:rsidR="000020B9" w:rsidRPr="00CC6DC9" w:rsidRDefault="000020B9" w:rsidP="00EF25E1">
            <w:pPr>
              <w:jc w:val="center"/>
              <w:rPr>
                <w:color w:val="000000"/>
                <w:sz w:val="20"/>
                <w:szCs w:val="20"/>
              </w:rPr>
            </w:pPr>
            <w:r w:rsidRPr="00CC6DC9">
              <w:rPr>
                <w:color w:val="000000"/>
                <w:sz w:val="20"/>
                <w:szCs w:val="20"/>
              </w:rPr>
              <w:t>0.496</w:t>
            </w:r>
          </w:p>
        </w:tc>
      </w:tr>
      <w:tr w:rsidR="000020B9" w:rsidRPr="00CC6DC9" w14:paraId="470BD3FB" w14:textId="77777777" w:rsidTr="00EF25E1">
        <w:trPr>
          <w:trHeight w:val="300"/>
          <w:jc w:val="center"/>
        </w:trPr>
        <w:tc>
          <w:tcPr>
            <w:tcW w:w="5603" w:type="dxa"/>
            <w:tcBorders>
              <w:top w:val="nil"/>
              <w:left w:val="single" w:sz="4" w:space="0" w:color="auto"/>
              <w:bottom w:val="single" w:sz="4" w:space="0" w:color="auto"/>
              <w:right w:val="single" w:sz="4" w:space="0" w:color="auto"/>
            </w:tcBorders>
            <w:shd w:val="clear" w:color="auto" w:fill="auto"/>
            <w:noWrap/>
            <w:vAlign w:val="bottom"/>
          </w:tcPr>
          <w:p w14:paraId="6802ADED" w14:textId="77777777" w:rsidR="000020B9" w:rsidRPr="00CC6DC9" w:rsidRDefault="000020B9" w:rsidP="00EF25E1">
            <w:pPr>
              <w:rPr>
                <w:color w:val="000000"/>
                <w:sz w:val="20"/>
                <w:szCs w:val="20"/>
              </w:rPr>
            </w:pPr>
            <w:r w:rsidRPr="00CC6DC9">
              <w:rPr>
                <w:color w:val="000000"/>
                <w:sz w:val="20"/>
                <w:szCs w:val="20"/>
              </w:rPr>
              <w:t xml:space="preserve">    Market Share (revenue)</w:t>
            </w:r>
          </w:p>
        </w:tc>
        <w:tc>
          <w:tcPr>
            <w:tcW w:w="640" w:type="dxa"/>
            <w:tcBorders>
              <w:top w:val="nil"/>
              <w:left w:val="nil"/>
              <w:bottom w:val="single" w:sz="4" w:space="0" w:color="auto"/>
              <w:right w:val="single" w:sz="4" w:space="0" w:color="auto"/>
            </w:tcBorders>
            <w:shd w:val="clear" w:color="auto" w:fill="auto"/>
            <w:noWrap/>
            <w:vAlign w:val="bottom"/>
          </w:tcPr>
          <w:p w14:paraId="49D73A4F"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single" w:sz="4" w:space="0" w:color="auto"/>
              <w:right w:val="single" w:sz="4" w:space="0" w:color="auto"/>
            </w:tcBorders>
            <w:shd w:val="clear" w:color="auto" w:fill="auto"/>
            <w:noWrap/>
            <w:vAlign w:val="bottom"/>
          </w:tcPr>
          <w:p w14:paraId="60E4C10A" w14:textId="77777777" w:rsidR="000020B9" w:rsidRPr="00CC6DC9" w:rsidRDefault="000020B9" w:rsidP="00EF25E1">
            <w:pPr>
              <w:jc w:val="center"/>
              <w:rPr>
                <w:color w:val="000000"/>
                <w:sz w:val="20"/>
                <w:szCs w:val="20"/>
              </w:rPr>
            </w:pPr>
            <w:r w:rsidRPr="00CC6DC9">
              <w:rPr>
                <w:color w:val="000000"/>
                <w:sz w:val="20"/>
                <w:szCs w:val="20"/>
              </w:rPr>
              <w:t>0.022</w:t>
            </w:r>
          </w:p>
        </w:tc>
        <w:tc>
          <w:tcPr>
            <w:tcW w:w="1040" w:type="dxa"/>
            <w:tcBorders>
              <w:top w:val="nil"/>
              <w:left w:val="nil"/>
              <w:bottom w:val="single" w:sz="4" w:space="0" w:color="auto"/>
              <w:right w:val="single" w:sz="4" w:space="0" w:color="auto"/>
            </w:tcBorders>
            <w:shd w:val="clear" w:color="auto" w:fill="auto"/>
            <w:noWrap/>
            <w:vAlign w:val="bottom"/>
          </w:tcPr>
          <w:p w14:paraId="42CE7C64" w14:textId="77777777" w:rsidR="000020B9" w:rsidRPr="00CC6DC9" w:rsidRDefault="000020B9" w:rsidP="00EF25E1">
            <w:pPr>
              <w:jc w:val="center"/>
              <w:rPr>
                <w:color w:val="000000"/>
                <w:sz w:val="20"/>
                <w:szCs w:val="20"/>
              </w:rPr>
            </w:pPr>
            <w:r w:rsidRPr="00CC6DC9">
              <w:rPr>
                <w:color w:val="000000"/>
                <w:sz w:val="20"/>
                <w:szCs w:val="20"/>
              </w:rPr>
              <w:t>0.067</w:t>
            </w:r>
          </w:p>
        </w:tc>
        <w:tc>
          <w:tcPr>
            <w:tcW w:w="757" w:type="dxa"/>
            <w:tcBorders>
              <w:top w:val="nil"/>
              <w:left w:val="nil"/>
              <w:bottom w:val="single" w:sz="4" w:space="0" w:color="auto"/>
              <w:right w:val="single" w:sz="4" w:space="0" w:color="auto"/>
            </w:tcBorders>
            <w:shd w:val="clear" w:color="auto" w:fill="auto"/>
            <w:noWrap/>
            <w:vAlign w:val="bottom"/>
          </w:tcPr>
          <w:p w14:paraId="0686E76A" w14:textId="77777777" w:rsidR="000020B9" w:rsidRPr="00CC6DC9" w:rsidRDefault="000020B9" w:rsidP="00EF25E1">
            <w:pPr>
              <w:jc w:val="center"/>
              <w:rPr>
                <w:color w:val="000000"/>
                <w:sz w:val="20"/>
                <w:szCs w:val="20"/>
              </w:rPr>
            </w:pPr>
            <w:r w:rsidRPr="00CC6DC9">
              <w:rPr>
                <w:color w:val="000000"/>
                <w:sz w:val="20"/>
                <w:szCs w:val="20"/>
              </w:rPr>
              <w:t>0.000</w:t>
            </w:r>
          </w:p>
        </w:tc>
        <w:tc>
          <w:tcPr>
            <w:tcW w:w="1140" w:type="dxa"/>
            <w:tcBorders>
              <w:top w:val="nil"/>
              <w:left w:val="nil"/>
              <w:bottom w:val="single" w:sz="4" w:space="0" w:color="auto"/>
              <w:right w:val="single" w:sz="4" w:space="0" w:color="auto"/>
            </w:tcBorders>
            <w:shd w:val="clear" w:color="auto" w:fill="auto"/>
            <w:noWrap/>
            <w:vAlign w:val="bottom"/>
          </w:tcPr>
          <w:p w14:paraId="0068943F" w14:textId="77777777" w:rsidR="000020B9" w:rsidRPr="00CC6DC9" w:rsidRDefault="000020B9" w:rsidP="00EF25E1">
            <w:pPr>
              <w:jc w:val="center"/>
              <w:rPr>
                <w:color w:val="000000"/>
                <w:sz w:val="20"/>
                <w:szCs w:val="20"/>
              </w:rPr>
            </w:pPr>
            <w:r w:rsidRPr="00CC6DC9">
              <w:rPr>
                <w:color w:val="000000"/>
                <w:sz w:val="20"/>
                <w:szCs w:val="20"/>
              </w:rPr>
              <w:t>0.497</w:t>
            </w:r>
          </w:p>
        </w:tc>
      </w:tr>
      <w:tr w:rsidR="000020B9" w:rsidRPr="00CC6DC9" w14:paraId="7A29630F" w14:textId="77777777" w:rsidTr="00EF25E1">
        <w:trPr>
          <w:trHeight w:val="300"/>
          <w:jc w:val="center"/>
        </w:trPr>
        <w:tc>
          <w:tcPr>
            <w:tcW w:w="5603" w:type="dxa"/>
            <w:tcBorders>
              <w:top w:val="nil"/>
              <w:left w:val="single" w:sz="4" w:space="0" w:color="auto"/>
              <w:bottom w:val="nil"/>
              <w:right w:val="nil"/>
            </w:tcBorders>
            <w:shd w:val="clear" w:color="auto" w:fill="auto"/>
            <w:noWrap/>
            <w:vAlign w:val="bottom"/>
          </w:tcPr>
          <w:p w14:paraId="2BD02CA3" w14:textId="77777777" w:rsidR="000020B9" w:rsidRPr="00CC6DC9" w:rsidRDefault="000020B9" w:rsidP="00EF25E1">
            <w:pPr>
              <w:rPr>
                <w:color w:val="000000"/>
                <w:sz w:val="20"/>
                <w:szCs w:val="20"/>
              </w:rPr>
            </w:pPr>
            <w:r w:rsidRPr="00CC6DC9">
              <w:rPr>
                <w:color w:val="000000"/>
                <w:sz w:val="20"/>
                <w:szCs w:val="20"/>
              </w:rPr>
              <w:t> </w:t>
            </w:r>
          </w:p>
        </w:tc>
        <w:tc>
          <w:tcPr>
            <w:tcW w:w="640" w:type="dxa"/>
            <w:tcBorders>
              <w:top w:val="nil"/>
              <w:left w:val="nil"/>
              <w:bottom w:val="nil"/>
              <w:right w:val="nil"/>
            </w:tcBorders>
            <w:shd w:val="clear" w:color="auto" w:fill="auto"/>
            <w:noWrap/>
            <w:vAlign w:val="bottom"/>
          </w:tcPr>
          <w:p w14:paraId="6C4D3304" w14:textId="77777777" w:rsidR="000020B9" w:rsidRPr="00CC6DC9" w:rsidRDefault="000020B9" w:rsidP="00EF25E1">
            <w:pPr>
              <w:jc w:val="center"/>
              <w:rPr>
                <w:color w:val="000000"/>
                <w:sz w:val="20"/>
                <w:szCs w:val="20"/>
              </w:rPr>
            </w:pPr>
          </w:p>
        </w:tc>
        <w:tc>
          <w:tcPr>
            <w:tcW w:w="1040" w:type="dxa"/>
            <w:tcBorders>
              <w:top w:val="nil"/>
              <w:left w:val="nil"/>
              <w:bottom w:val="nil"/>
              <w:right w:val="nil"/>
            </w:tcBorders>
            <w:shd w:val="clear" w:color="auto" w:fill="auto"/>
            <w:noWrap/>
            <w:vAlign w:val="bottom"/>
          </w:tcPr>
          <w:p w14:paraId="68AB1D6E" w14:textId="77777777" w:rsidR="000020B9" w:rsidRPr="00CC6DC9" w:rsidRDefault="000020B9" w:rsidP="00EF25E1">
            <w:pPr>
              <w:jc w:val="center"/>
              <w:rPr>
                <w:color w:val="000000"/>
                <w:sz w:val="20"/>
                <w:szCs w:val="20"/>
              </w:rPr>
            </w:pPr>
          </w:p>
        </w:tc>
        <w:tc>
          <w:tcPr>
            <w:tcW w:w="1040" w:type="dxa"/>
            <w:tcBorders>
              <w:top w:val="nil"/>
              <w:left w:val="nil"/>
              <w:bottom w:val="nil"/>
              <w:right w:val="nil"/>
            </w:tcBorders>
            <w:shd w:val="clear" w:color="auto" w:fill="auto"/>
            <w:noWrap/>
            <w:vAlign w:val="bottom"/>
          </w:tcPr>
          <w:p w14:paraId="07950445" w14:textId="77777777" w:rsidR="000020B9" w:rsidRPr="00CC6DC9" w:rsidRDefault="000020B9" w:rsidP="00EF25E1">
            <w:pPr>
              <w:jc w:val="center"/>
              <w:rPr>
                <w:color w:val="000000"/>
                <w:sz w:val="20"/>
                <w:szCs w:val="20"/>
              </w:rPr>
            </w:pPr>
          </w:p>
        </w:tc>
        <w:tc>
          <w:tcPr>
            <w:tcW w:w="757" w:type="dxa"/>
            <w:tcBorders>
              <w:top w:val="nil"/>
              <w:left w:val="nil"/>
              <w:bottom w:val="nil"/>
              <w:right w:val="nil"/>
            </w:tcBorders>
            <w:shd w:val="clear" w:color="auto" w:fill="auto"/>
            <w:noWrap/>
            <w:vAlign w:val="bottom"/>
          </w:tcPr>
          <w:p w14:paraId="7AD16F7A" w14:textId="77777777" w:rsidR="000020B9" w:rsidRPr="00CC6DC9" w:rsidRDefault="000020B9" w:rsidP="00EF25E1">
            <w:pPr>
              <w:jc w:val="center"/>
              <w:rPr>
                <w:color w:val="000000"/>
                <w:sz w:val="20"/>
                <w:szCs w:val="20"/>
              </w:rPr>
            </w:pPr>
          </w:p>
        </w:tc>
        <w:tc>
          <w:tcPr>
            <w:tcW w:w="1140" w:type="dxa"/>
            <w:tcBorders>
              <w:top w:val="nil"/>
              <w:left w:val="nil"/>
              <w:bottom w:val="nil"/>
              <w:right w:val="single" w:sz="4" w:space="0" w:color="auto"/>
            </w:tcBorders>
            <w:shd w:val="clear" w:color="auto" w:fill="auto"/>
            <w:noWrap/>
            <w:vAlign w:val="bottom"/>
          </w:tcPr>
          <w:p w14:paraId="4FAEA629" w14:textId="77777777" w:rsidR="000020B9" w:rsidRPr="00CC6DC9" w:rsidRDefault="000020B9" w:rsidP="00EF25E1">
            <w:pPr>
              <w:jc w:val="center"/>
              <w:rPr>
                <w:color w:val="000000"/>
                <w:sz w:val="20"/>
                <w:szCs w:val="20"/>
              </w:rPr>
            </w:pPr>
            <w:r w:rsidRPr="00CC6DC9">
              <w:rPr>
                <w:color w:val="000000"/>
                <w:sz w:val="20"/>
                <w:szCs w:val="20"/>
              </w:rPr>
              <w:t> </w:t>
            </w:r>
          </w:p>
        </w:tc>
      </w:tr>
      <w:tr w:rsidR="000020B9" w:rsidRPr="00CC6DC9" w14:paraId="7840C7FC" w14:textId="77777777" w:rsidTr="00EF25E1">
        <w:trPr>
          <w:trHeight w:val="300"/>
          <w:jc w:val="center"/>
        </w:trPr>
        <w:tc>
          <w:tcPr>
            <w:tcW w:w="5603" w:type="dxa"/>
            <w:tcBorders>
              <w:top w:val="single" w:sz="4" w:space="0" w:color="auto"/>
              <w:left w:val="single" w:sz="4" w:space="0" w:color="auto"/>
              <w:bottom w:val="nil"/>
              <w:right w:val="nil"/>
            </w:tcBorders>
            <w:shd w:val="clear" w:color="auto" w:fill="auto"/>
            <w:noWrap/>
            <w:vAlign w:val="bottom"/>
          </w:tcPr>
          <w:p w14:paraId="20CA336F" w14:textId="77777777" w:rsidR="000020B9" w:rsidRPr="00CC6DC9" w:rsidRDefault="000020B9" w:rsidP="00EF25E1">
            <w:pPr>
              <w:rPr>
                <w:color w:val="000000"/>
                <w:sz w:val="20"/>
                <w:szCs w:val="20"/>
              </w:rPr>
            </w:pPr>
            <w:r w:rsidRPr="00CC6DC9">
              <w:rPr>
                <w:color w:val="000000"/>
                <w:sz w:val="20"/>
                <w:szCs w:val="20"/>
              </w:rPr>
              <w:t>Panel B - Market Concentration</w:t>
            </w:r>
          </w:p>
        </w:tc>
        <w:tc>
          <w:tcPr>
            <w:tcW w:w="640" w:type="dxa"/>
            <w:tcBorders>
              <w:top w:val="single" w:sz="4" w:space="0" w:color="auto"/>
              <w:left w:val="single" w:sz="4" w:space="0" w:color="auto"/>
              <w:bottom w:val="nil"/>
              <w:right w:val="single" w:sz="4" w:space="0" w:color="auto"/>
            </w:tcBorders>
            <w:shd w:val="clear" w:color="auto" w:fill="auto"/>
            <w:noWrap/>
            <w:vAlign w:val="bottom"/>
          </w:tcPr>
          <w:p w14:paraId="0823DBE8" w14:textId="77777777" w:rsidR="000020B9" w:rsidRPr="00CC6DC9" w:rsidRDefault="000020B9" w:rsidP="00EF25E1">
            <w:pPr>
              <w:jc w:val="center"/>
              <w:rPr>
                <w:color w:val="000000"/>
                <w:sz w:val="20"/>
                <w:szCs w:val="20"/>
              </w:rPr>
            </w:pPr>
            <w:r w:rsidRPr="00CC6DC9">
              <w:rPr>
                <w:color w:val="000000"/>
                <w:sz w:val="20"/>
                <w:szCs w:val="20"/>
              </w:rPr>
              <w:t> </w:t>
            </w:r>
          </w:p>
        </w:tc>
        <w:tc>
          <w:tcPr>
            <w:tcW w:w="1040" w:type="dxa"/>
            <w:tcBorders>
              <w:top w:val="single" w:sz="4" w:space="0" w:color="auto"/>
              <w:left w:val="nil"/>
              <w:bottom w:val="nil"/>
              <w:right w:val="single" w:sz="4" w:space="0" w:color="auto"/>
            </w:tcBorders>
            <w:shd w:val="clear" w:color="auto" w:fill="auto"/>
            <w:noWrap/>
            <w:vAlign w:val="bottom"/>
          </w:tcPr>
          <w:p w14:paraId="62B7F7B2" w14:textId="77777777" w:rsidR="000020B9" w:rsidRPr="00CC6DC9" w:rsidRDefault="000020B9" w:rsidP="00EF25E1">
            <w:pPr>
              <w:jc w:val="center"/>
              <w:rPr>
                <w:color w:val="000000"/>
                <w:sz w:val="20"/>
                <w:szCs w:val="20"/>
              </w:rPr>
            </w:pPr>
            <w:r w:rsidRPr="00CC6DC9">
              <w:rPr>
                <w:color w:val="000000"/>
                <w:sz w:val="20"/>
                <w:szCs w:val="20"/>
              </w:rPr>
              <w:t> </w:t>
            </w:r>
          </w:p>
        </w:tc>
        <w:tc>
          <w:tcPr>
            <w:tcW w:w="1040" w:type="dxa"/>
            <w:tcBorders>
              <w:top w:val="single" w:sz="4" w:space="0" w:color="auto"/>
              <w:left w:val="nil"/>
              <w:bottom w:val="nil"/>
              <w:right w:val="single" w:sz="4" w:space="0" w:color="auto"/>
            </w:tcBorders>
            <w:shd w:val="clear" w:color="auto" w:fill="auto"/>
            <w:noWrap/>
            <w:vAlign w:val="bottom"/>
          </w:tcPr>
          <w:p w14:paraId="46A64C25" w14:textId="77777777" w:rsidR="000020B9" w:rsidRPr="00CC6DC9" w:rsidRDefault="000020B9" w:rsidP="00EF25E1">
            <w:pPr>
              <w:jc w:val="center"/>
              <w:rPr>
                <w:color w:val="000000"/>
                <w:sz w:val="20"/>
                <w:szCs w:val="20"/>
              </w:rPr>
            </w:pPr>
            <w:r w:rsidRPr="00CC6DC9">
              <w:rPr>
                <w:color w:val="000000"/>
                <w:sz w:val="20"/>
                <w:szCs w:val="20"/>
              </w:rPr>
              <w:t> </w:t>
            </w:r>
          </w:p>
        </w:tc>
        <w:tc>
          <w:tcPr>
            <w:tcW w:w="757" w:type="dxa"/>
            <w:tcBorders>
              <w:top w:val="single" w:sz="4" w:space="0" w:color="auto"/>
              <w:left w:val="nil"/>
              <w:bottom w:val="nil"/>
              <w:right w:val="single" w:sz="4" w:space="0" w:color="auto"/>
            </w:tcBorders>
            <w:shd w:val="clear" w:color="auto" w:fill="auto"/>
            <w:noWrap/>
            <w:vAlign w:val="bottom"/>
          </w:tcPr>
          <w:p w14:paraId="74C3F12B" w14:textId="77777777" w:rsidR="000020B9" w:rsidRPr="00CC6DC9" w:rsidRDefault="000020B9" w:rsidP="00EF25E1">
            <w:pPr>
              <w:jc w:val="center"/>
              <w:rPr>
                <w:color w:val="000000"/>
                <w:sz w:val="20"/>
                <w:szCs w:val="20"/>
              </w:rPr>
            </w:pPr>
            <w:r w:rsidRPr="00CC6DC9">
              <w:rPr>
                <w:color w:val="000000"/>
                <w:sz w:val="20"/>
                <w:szCs w:val="20"/>
              </w:rPr>
              <w:t> </w:t>
            </w:r>
          </w:p>
        </w:tc>
        <w:tc>
          <w:tcPr>
            <w:tcW w:w="1140" w:type="dxa"/>
            <w:tcBorders>
              <w:top w:val="single" w:sz="4" w:space="0" w:color="auto"/>
              <w:left w:val="nil"/>
              <w:bottom w:val="nil"/>
              <w:right w:val="single" w:sz="4" w:space="0" w:color="auto"/>
            </w:tcBorders>
            <w:shd w:val="clear" w:color="auto" w:fill="auto"/>
            <w:noWrap/>
            <w:vAlign w:val="bottom"/>
          </w:tcPr>
          <w:p w14:paraId="1C07F4A3" w14:textId="77777777" w:rsidR="000020B9" w:rsidRPr="00CC6DC9" w:rsidRDefault="000020B9" w:rsidP="00EF25E1">
            <w:pPr>
              <w:jc w:val="center"/>
              <w:rPr>
                <w:color w:val="000000"/>
                <w:sz w:val="20"/>
                <w:szCs w:val="20"/>
              </w:rPr>
            </w:pPr>
            <w:r w:rsidRPr="00CC6DC9">
              <w:rPr>
                <w:color w:val="000000"/>
                <w:sz w:val="20"/>
                <w:szCs w:val="20"/>
              </w:rPr>
              <w:t> </w:t>
            </w:r>
          </w:p>
        </w:tc>
      </w:tr>
      <w:tr w:rsidR="000020B9" w:rsidRPr="00CC6DC9" w14:paraId="5CF12D5A" w14:textId="77777777" w:rsidTr="00EF25E1">
        <w:trPr>
          <w:trHeight w:val="300"/>
          <w:jc w:val="center"/>
        </w:trPr>
        <w:tc>
          <w:tcPr>
            <w:tcW w:w="5603" w:type="dxa"/>
            <w:tcBorders>
              <w:top w:val="nil"/>
              <w:left w:val="single" w:sz="4" w:space="0" w:color="auto"/>
              <w:bottom w:val="nil"/>
              <w:right w:val="nil"/>
            </w:tcBorders>
            <w:shd w:val="clear" w:color="auto" w:fill="auto"/>
            <w:noWrap/>
            <w:vAlign w:val="bottom"/>
          </w:tcPr>
          <w:p w14:paraId="68450648" w14:textId="77777777" w:rsidR="000020B9" w:rsidRPr="00CC6DC9" w:rsidRDefault="000020B9" w:rsidP="00EF25E1">
            <w:pPr>
              <w:rPr>
                <w:color w:val="000000"/>
                <w:sz w:val="20"/>
                <w:szCs w:val="20"/>
              </w:rPr>
            </w:pPr>
            <w:r w:rsidRPr="00CC6DC9">
              <w:rPr>
                <w:color w:val="000000"/>
                <w:sz w:val="20"/>
                <w:szCs w:val="20"/>
              </w:rPr>
              <w:t xml:space="preserve">     HHI (revenue)</w:t>
            </w:r>
          </w:p>
        </w:tc>
        <w:tc>
          <w:tcPr>
            <w:tcW w:w="640" w:type="dxa"/>
            <w:tcBorders>
              <w:top w:val="nil"/>
              <w:left w:val="single" w:sz="4" w:space="0" w:color="auto"/>
              <w:bottom w:val="nil"/>
              <w:right w:val="single" w:sz="4" w:space="0" w:color="auto"/>
            </w:tcBorders>
            <w:shd w:val="clear" w:color="auto" w:fill="auto"/>
            <w:noWrap/>
            <w:vAlign w:val="bottom"/>
          </w:tcPr>
          <w:p w14:paraId="3B0EDC30"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4421E3B8" w14:textId="77777777" w:rsidR="000020B9" w:rsidRPr="00CC6DC9" w:rsidRDefault="000020B9" w:rsidP="00EF25E1">
            <w:pPr>
              <w:jc w:val="center"/>
              <w:rPr>
                <w:color w:val="000000"/>
                <w:sz w:val="20"/>
                <w:szCs w:val="20"/>
              </w:rPr>
            </w:pPr>
            <w:r w:rsidRPr="00CC6DC9">
              <w:rPr>
                <w:color w:val="000000"/>
                <w:sz w:val="20"/>
                <w:szCs w:val="20"/>
              </w:rPr>
              <w:t>0.232</w:t>
            </w:r>
          </w:p>
        </w:tc>
        <w:tc>
          <w:tcPr>
            <w:tcW w:w="1040" w:type="dxa"/>
            <w:tcBorders>
              <w:top w:val="nil"/>
              <w:left w:val="nil"/>
              <w:bottom w:val="nil"/>
              <w:right w:val="single" w:sz="4" w:space="0" w:color="auto"/>
            </w:tcBorders>
            <w:shd w:val="clear" w:color="auto" w:fill="auto"/>
            <w:noWrap/>
            <w:vAlign w:val="bottom"/>
          </w:tcPr>
          <w:p w14:paraId="6329F238" w14:textId="77777777" w:rsidR="000020B9" w:rsidRPr="00CC6DC9" w:rsidRDefault="000020B9" w:rsidP="00EF25E1">
            <w:pPr>
              <w:jc w:val="center"/>
              <w:rPr>
                <w:color w:val="000000"/>
                <w:sz w:val="20"/>
                <w:szCs w:val="20"/>
              </w:rPr>
            </w:pPr>
            <w:r w:rsidRPr="00CC6DC9">
              <w:rPr>
                <w:color w:val="000000"/>
                <w:sz w:val="20"/>
                <w:szCs w:val="20"/>
              </w:rPr>
              <w:t>0.041</w:t>
            </w:r>
          </w:p>
        </w:tc>
        <w:tc>
          <w:tcPr>
            <w:tcW w:w="757" w:type="dxa"/>
            <w:tcBorders>
              <w:top w:val="nil"/>
              <w:left w:val="nil"/>
              <w:bottom w:val="nil"/>
              <w:right w:val="single" w:sz="4" w:space="0" w:color="auto"/>
            </w:tcBorders>
            <w:shd w:val="clear" w:color="auto" w:fill="auto"/>
            <w:noWrap/>
            <w:vAlign w:val="bottom"/>
          </w:tcPr>
          <w:p w14:paraId="5B3E2928" w14:textId="77777777" w:rsidR="000020B9" w:rsidRPr="00CC6DC9" w:rsidRDefault="000020B9" w:rsidP="00EF25E1">
            <w:pPr>
              <w:jc w:val="center"/>
              <w:rPr>
                <w:color w:val="000000"/>
                <w:sz w:val="20"/>
                <w:szCs w:val="20"/>
              </w:rPr>
            </w:pPr>
            <w:r w:rsidRPr="00CC6DC9">
              <w:rPr>
                <w:color w:val="000000"/>
                <w:sz w:val="20"/>
                <w:szCs w:val="20"/>
              </w:rPr>
              <w:t>0.15</w:t>
            </w:r>
          </w:p>
        </w:tc>
        <w:tc>
          <w:tcPr>
            <w:tcW w:w="1140" w:type="dxa"/>
            <w:tcBorders>
              <w:top w:val="nil"/>
              <w:left w:val="nil"/>
              <w:bottom w:val="nil"/>
              <w:right w:val="single" w:sz="4" w:space="0" w:color="auto"/>
            </w:tcBorders>
            <w:shd w:val="clear" w:color="auto" w:fill="auto"/>
            <w:noWrap/>
            <w:vAlign w:val="bottom"/>
          </w:tcPr>
          <w:p w14:paraId="7ABDC310" w14:textId="77777777" w:rsidR="000020B9" w:rsidRPr="00CC6DC9" w:rsidRDefault="000020B9" w:rsidP="00EF25E1">
            <w:pPr>
              <w:jc w:val="center"/>
              <w:rPr>
                <w:color w:val="000000"/>
                <w:sz w:val="20"/>
                <w:szCs w:val="20"/>
              </w:rPr>
            </w:pPr>
            <w:r w:rsidRPr="00CC6DC9">
              <w:rPr>
                <w:color w:val="000000"/>
                <w:sz w:val="20"/>
                <w:szCs w:val="20"/>
              </w:rPr>
              <w:t>0.35</w:t>
            </w:r>
          </w:p>
        </w:tc>
      </w:tr>
      <w:tr w:rsidR="000020B9" w:rsidRPr="00CC6DC9" w14:paraId="43380E52" w14:textId="77777777" w:rsidTr="00EF25E1">
        <w:trPr>
          <w:trHeight w:val="300"/>
          <w:jc w:val="center"/>
        </w:trPr>
        <w:tc>
          <w:tcPr>
            <w:tcW w:w="5603" w:type="dxa"/>
            <w:tcBorders>
              <w:top w:val="nil"/>
              <w:left w:val="single" w:sz="4" w:space="0" w:color="auto"/>
              <w:bottom w:val="single" w:sz="4" w:space="0" w:color="auto"/>
              <w:right w:val="nil"/>
            </w:tcBorders>
            <w:shd w:val="clear" w:color="auto" w:fill="auto"/>
            <w:noWrap/>
            <w:vAlign w:val="bottom"/>
          </w:tcPr>
          <w:p w14:paraId="2B65CF4E" w14:textId="77777777" w:rsidR="000020B9" w:rsidRPr="00CC6DC9" w:rsidRDefault="000020B9" w:rsidP="00EF25E1">
            <w:pPr>
              <w:rPr>
                <w:color w:val="000000"/>
                <w:sz w:val="20"/>
                <w:szCs w:val="20"/>
              </w:rPr>
            </w:pPr>
            <w:r w:rsidRPr="00CC6DC9">
              <w:rPr>
                <w:color w:val="000000"/>
                <w:sz w:val="20"/>
                <w:szCs w:val="20"/>
              </w:rPr>
              <w:t xml:space="preserve">     HHI (assets)</w:t>
            </w:r>
          </w:p>
        </w:tc>
        <w:tc>
          <w:tcPr>
            <w:tcW w:w="640" w:type="dxa"/>
            <w:tcBorders>
              <w:top w:val="nil"/>
              <w:left w:val="single" w:sz="4" w:space="0" w:color="auto"/>
              <w:bottom w:val="single" w:sz="4" w:space="0" w:color="auto"/>
              <w:right w:val="single" w:sz="4" w:space="0" w:color="auto"/>
            </w:tcBorders>
            <w:shd w:val="clear" w:color="auto" w:fill="auto"/>
            <w:noWrap/>
            <w:vAlign w:val="bottom"/>
          </w:tcPr>
          <w:p w14:paraId="7BCEB59B"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single" w:sz="4" w:space="0" w:color="auto"/>
              <w:right w:val="single" w:sz="4" w:space="0" w:color="auto"/>
            </w:tcBorders>
            <w:shd w:val="clear" w:color="auto" w:fill="auto"/>
            <w:noWrap/>
            <w:vAlign w:val="bottom"/>
          </w:tcPr>
          <w:p w14:paraId="4419E615" w14:textId="77777777" w:rsidR="000020B9" w:rsidRPr="00CC6DC9" w:rsidRDefault="000020B9" w:rsidP="00EF25E1">
            <w:pPr>
              <w:jc w:val="center"/>
              <w:rPr>
                <w:color w:val="000000"/>
                <w:sz w:val="20"/>
                <w:szCs w:val="20"/>
              </w:rPr>
            </w:pPr>
            <w:r w:rsidRPr="00CC6DC9">
              <w:rPr>
                <w:color w:val="000000"/>
                <w:sz w:val="20"/>
                <w:szCs w:val="20"/>
              </w:rPr>
              <w:t>0.245</w:t>
            </w:r>
          </w:p>
        </w:tc>
        <w:tc>
          <w:tcPr>
            <w:tcW w:w="1040" w:type="dxa"/>
            <w:tcBorders>
              <w:top w:val="nil"/>
              <w:left w:val="nil"/>
              <w:bottom w:val="single" w:sz="4" w:space="0" w:color="auto"/>
              <w:right w:val="single" w:sz="4" w:space="0" w:color="auto"/>
            </w:tcBorders>
            <w:shd w:val="clear" w:color="auto" w:fill="auto"/>
            <w:noWrap/>
            <w:vAlign w:val="bottom"/>
          </w:tcPr>
          <w:p w14:paraId="309C8753" w14:textId="77777777" w:rsidR="000020B9" w:rsidRPr="00CC6DC9" w:rsidRDefault="000020B9" w:rsidP="00EF25E1">
            <w:pPr>
              <w:jc w:val="center"/>
              <w:rPr>
                <w:color w:val="000000"/>
                <w:sz w:val="20"/>
                <w:szCs w:val="20"/>
              </w:rPr>
            </w:pPr>
            <w:r w:rsidRPr="00CC6DC9">
              <w:rPr>
                <w:color w:val="000000"/>
                <w:sz w:val="20"/>
                <w:szCs w:val="20"/>
              </w:rPr>
              <w:t>0.037</w:t>
            </w:r>
          </w:p>
        </w:tc>
        <w:tc>
          <w:tcPr>
            <w:tcW w:w="757" w:type="dxa"/>
            <w:tcBorders>
              <w:top w:val="nil"/>
              <w:left w:val="nil"/>
              <w:bottom w:val="single" w:sz="4" w:space="0" w:color="auto"/>
              <w:right w:val="single" w:sz="4" w:space="0" w:color="auto"/>
            </w:tcBorders>
            <w:shd w:val="clear" w:color="auto" w:fill="auto"/>
            <w:noWrap/>
            <w:vAlign w:val="bottom"/>
          </w:tcPr>
          <w:p w14:paraId="000050E0" w14:textId="77777777" w:rsidR="000020B9" w:rsidRPr="00CC6DC9" w:rsidRDefault="000020B9" w:rsidP="00EF25E1">
            <w:pPr>
              <w:jc w:val="center"/>
              <w:rPr>
                <w:color w:val="000000"/>
                <w:sz w:val="20"/>
                <w:szCs w:val="20"/>
              </w:rPr>
            </w:pPr>
            <w:r w:rsidRPr="00CC6DC9">
              <w:rPr>
                <w:color w:val="000000"/>
                <w:sz w:val="20"/>
                <w:szCs w:val="20"/>
              </w:rPr>
              <w:t>0.19</w:t>
            </w:r>
          </w:p>
        </w:tc>
        <w:tc>
          <w:tcPr>
            <w:tcW w:w="1140" w:type="dxa"/>
            <w:tcBorders>
              <w:top w:val="nil"/>
              <w:left w:val="nil"/>
              <w:bottom w:val="single" w:sz="4" w:space="0" w:color="auto"/>
              <w:right w:val="single" w:sz="4" w:space="0" w:color="auto"/>
            </w:tcBorders>
            <w:shd w:val="clear" w:color="auto" w:fill="auto"/>
            <w:noWrap/>
            <w:vAlign w:val="bottom"/>
          </w:tcPr>
          <w:p w14:paraId="272B4D0F" w14:textId="77777777" w:rsidR="000020B9" w:rsidRPr="00CC6DC9" w:rsidRDefault="000020B9" w:rsidP="00EF25E1">
            <w:pPr>
              <w:jc w:val="center"/>
              <w:rPr>
                <w:color w:val="000000"/>
                <w:sz w:val="20"/>
                <w:szCs w:val="20"/>
              </w:rPr>
            </w:pPr>
            <w:r w:rsidRPr="00CC6DC9">
              <w:rPr>
                <w:color w:val="000000"/>
                <w:sz w:val="20"/>
                <w:szCs w:val="20"/>
              </w:rPr>
              <w:t>0.39</w:t>
            </w:r>
          </w:p>
        </w:tc>
      </w:tr>
      <w:tr w:rsidR="000020B9" w:rsidRPr="00CC6DC9" w14:paraId="16DCB2D8" w14:textId="77777777" w:rsidTr="00EF25E1">
        <w:trPr>
          <w:trHeight w:val="300"/>
          <w:jc w:val="center"/>
        </w:trPr>
        <w:tc>
          <w:tcPr>
            <w:tcW w:w="5603" w:type="dxa"/>
            <w:tcBorders>
              <w:top w:val="nil"/>
              <w:left w:val="single" w:sz="4" w:space="0" w:color="auto"/>
              <w:bottom w:val="nil"/>
              <w:right w:val="nil"/>
            </w:tcBorders>
            <w:shd w:val="clear" w:color="auto" w:fill="auto"/>
            <w:noWrap/>
            <w:vAlign w:val="bottom"/>
          </w:tcPr>
          <w:p w14:paraId="588A2732" w14:textId="77777777" w:rsidR="000020B9" w:rsidRPr="00CC6DC9" w:rsidRDefault="000020B9" w:rsidP="00EF25E1">
            <w:pPr>
              <w:rPr>
                <w:color w:val="000000"/>
                <w:sz w:val="20"/>
                <w:szCs w:val="20"/>
              </w:rPr>
            </w:pPr>
            <w:r w:rsidRPr="00CC6DC9">
              <w:rPr>
                <w:color w:val="000000"/>
                <w:sz w:val="20"/>
                <w:szCs w:val="20"/>
              </w:rPr>
              <w:t> </w:t>
            </w:r>
          </w:p>
        </w:tc>
        <w:tc>
          <w:tcPr>
            <w:tcW w:w="640" w:type="dxa"/>
            <w:tcBorders>
              <w:top w:val="nil"/>
              <w:left w:val="nil"/>
              <w:bottom w:val="nil"/>
              <w:right w:val="nil"/>
            </w:tcBorders>
            <w:shd w:val="clear" w:color="auto" w:fill="auto"/>
            <w:noWrap/>
            <w:vAlign w:val="bottom"/>
          </w:tcPr>
          <w:p w14:paraId="470E86F9" w14:textId="77777777" w:rsidR="000020B9" w:rsidRPr="00CC6DC9" w:rsidRDefault="000020B9" w:rsidP="00EF25E1">
            <w:pPr>
              <w:rPr>
                <w:color w:val="000000"/>
                <w:sz w:val="20"/>
                <w:szCs w:val="20"/>
              </w:rPr>
            </w:pPr>
          </w:p>
        </w:tc>
        <w:tc>
          <w:tcPr>
            <w:tcW w:w="1040" w:type="dxa"/>
            <w:tcBorders>
              <w:top w:val="nil"/>
              <w:left w:val="nil"/>
              <w:bottom w:val="nil"/>
              <w:right w:val="nil"/>
            </w:tcBorders>
            <w:shd w:val="clear" w:color="auto" w:fill="auto"/>
            <w:noWrap/>
            <w:vAlign w:val="bottom"/>
          </w:tcPr>
          <w:p w14:paraId="135CE82F" w14:textId="77777777" w:rsidR="000020B9" w:rsidRPr="00CC6DC9" w:rsidRDefault="000020B9" w:rsidP="00EF25E1">
            <w:pPr>
              <w:rPr>
                <w:color w:val="000000"/>
                <w:sz w:val="20"/>
                <w:szCs w:val="20"/>
              </w:rPr>
            </w:pPr>
          </w:p>
        </w:tc>
        <w:tc>
          <w:tcPr>
            <w:tcW w:w="1040" w:type="dxa"/>
            <w:tcBorders>
              <w:top w:val="nil"/>
              <w:left w:val="nil"/>
              <w:bottom w:val="nil"/>
              <w:right w:val="nil"/>
            </w:tcBorders>
            <w:shd w:val="clear" w:color="auto" w:fill="auto"/>
            <w:noWrap/>
            <w:vAlign w:val="bottom"/>
          </w:tcPr>
          <w:p w14:paraId="6E4411DD" w14:textId="77777777" w:rsidR="000020B9" w:rsidRPr="00CC6DC9" w:rsidRDefault="000020B9" w:rsidP="00EF25E1">
            <w:pPr>
              <w:rPr>
                <w:color w:val="000000"/>
                <w:sz w:val="20"/>
                <w:szCs w:val="20"/>
              </w:rPr>
            </w:pPr>
          </w:p>
        </w:tc>
        <w:tc>
          <w:tcPr>
            <w:tcW w:w="757" w:type="dxa"/>
            <w:tcBorders>
              <w:top w:val="nil"/>
              <w:left w:val="nil"/>
              <w:bottom w:val="nil"/>
              <w:right w:val="nil"/>
            </w:tcBorders>
            <w:shd w:val="clear" w:color="auto" w:fill="auto"/>
            <w:noWrap/>
            <w:vAlign w:val="bottom"/>
          </w:tcPr>
          <w:p w14:paraId="446E2D5E" w14:textId="77777777" w:rsidR="000020B9" w:rsidRPr="00CC6DC9" w:rsidRDefault="000020B9" w:rsidP="00EF25E1">
            <w:pPr>
              <w:rPr>
                <w:color w:val="000000"/>
                <w:sz w:val="20"/>
                <w:szCs w:val="20"/>
              </w:rPr>
            </w:pPr>
          </w:p>
        </w:tc>
        <w:tc>
          <w:tcPr>
            <w:tcW w:w="1140" w:type="dxa"/>
            <w:tcBorders>
              <w:top w:val="nil"/>
              <w:left w:val="nil"/>
              <w:bottom w:val="nil"/>
              <w:right w:val="single" w:sz="4" w:space="0" w:color="auto"/>
            </w:tcBorders>
            <w:shd w:val="clear" w:color="auto" w:fill="auto"/>
            <w:noWrap/>
            <w:vAlign w:val="bottom"/>
          </w:tcPr>
          <w:p w14:paraId="51CF4025" w14:textId="77777777" w:rsidR="000020B9" w:rsidRPr="00CC6DC9" w:rsidRDefault="000020B9" w:rsidP="00EF25E1">
            <w:pPr>
              <w:rPr>
                <w:color w:val="000000"/>
                <w:sz w:val="20"/>
                <w:szCs w:val="20"/>
              </w:rPr>
            </w:pPr>
            <w:r w:rsidRPr="00CC6DC9">
              <w:rPr>
                <w:color w:val="000000"/>
                <w:sz w:val="20"/>
                <w:szCs w:val="20"/>
              </w:rPr>
              <w:t> </w:t>
            </w:r>
          </w:p>
        </w:tc>
      </w:tr>
      <w:tr w:rsidR="000020B9" w:rsidRPr="00CC6DC9" w14:paraId="0F203766" w14:textId="77777777" w:rsidTr="00EF25E1">
        <w:trPr>
          <w:trHeight w:val="300"/>
          <w:jc w:val="center"/>
        </w:trPr>
        <w:tc>
          <w:tcPr>
            <w:tcW w:w="5603" w:type="dxa"/>
            <w:tcBorders>
              <w:top w:val="single" w:sz="4" w:space="0" w:color="auto"/>
              <w:left w:val="single" w:sz="4" w:space="0" w:color="auto"/>
              <w:bottom w:val="nil"/>
              <w:right w:val="single" w:sz="4" w:space="0" w:color="auto"/>
            </w:tcBorders>
            <w:shd w:val="clear" w:color="auto" w:fill="auto"/>
            <w:noWrap/>
            <w:vAlign w:val="bottom"/>
          </w:tcPr>
          <w:p w14:paraId="2BC5D56C" w14:textId="77777777" w:rsidR="000020B9" w:rsidRPr="00CC6DC9" w:rsidRDefault="000020B9" w:rsidP="00EF25E1">
            <w:pPr>
              <w:rPr>
                <w:color w:val="000000"/>
                <w:sz w:val="20"/>
                <w:szCs w:val="20"/>
              </w:rPr>
            </w:pPr>
            <w:r w:rsidRPr="00CC6DC9">
              <w:rPr>
                <w:color w:val="000000"/>
                <w:sz w:val="20"/>
                <w:szCs w:val="20"/>
              </w:rPr>
              <w:t>PanelC - Time Dummies</w:t>
            </w:r>
          </w:p>
        </w:tc>
        <w:tc>
          <w:tcPr>
            <w:tcW w:w="640" w:type="dxa"/>
            <w:tcBorders>
              <w:top w:val="single" w:sz="4" w:space="0" w:color="auto"/>
              <w:left w:val="nil"/>
              <w:bottom w:val="nil"/>
              <w:right w:val="nil"/>
            </w:tcBorders>
            <w:shd w:val="clear" w:color="auto" w:fill="auto"/>
            <w:noWrap/>
            <w:vAlign w:val="bottom"/>
          </w:tcPr>
          <w:p w14:paraId="5F99589D" w14:textId="77777777" w:rsidR="000020B9" w:rsidRPr="00CC6DC9" w:rsidRDefault="000020B9" w:rsidP="00EF25E1">
            <w:pPr>
              <w:jc w:val="center"/>
              <w:rPr>
                <w:color w:val="000000"/>
                <w:sz w:val="20"/>
                <w:szCs w:val="20"/>
              </w:rPr>
            </w:pPr>
            <w:r w:rsidRPr="00CC6DC9">
              <w:rPr>
                <w:color w:val="000000"/>
                <w:sz w:val="20"/>
                <w:szCs w:val="20"/>
              </w:rPr>
              <w:t> </w:t>
            </w:r>
          </w:p>
        </w:tc>
        <w:tc>
          <w:tcPr>
            <w:tcW w:w="1040" w:type="dxa"/>
            <w:tcBorders>
              <w:top w:val="single" w:sz="4" w:space="0" w:color="auto"/>
              <w:left w:val="nil"/>
              <w:bottom w:val="nil"/>
              <w:right w:val="nil"/>
            </w:tcBorders>
            <w:shd w:val="clear" w:color="auto" w:fill="auto"/>
            <w:noWrap/>
            <w:vAlign w:val="bottom"/>
          </w:tcPr>
          <w:p w14:paraId="18E96AB6" w14:textId="77777777" w:rsidR="000020B9" w:rsidRPr="00CC6DC9" w:rsidRDefault="000020B9" w:rsidP="00EF25E1">
            <w:pPr>
              <w:jc w:val="center"/>
              <w:rPr>
                <w:color w:val="000000"/>
                <w:sz w:val="20"/>
                <w:szCs w:val="20"/>
              </w:rPr>
            </w:pPr>
            <w:r w:rsidRPr="00CC6DC9">
              <w:rPr>
                <w:color w:val="000000"/>
                <w:sz w:val="20"/>
                <w:szCs w:val="20"/>
              </w:rPr>
              <w:t> </w:t>
            </w:r>
          </w:p>
        </w:tc>
        <w:tc>
          <w:tcPr>
            <w:tcW w:w="1040" w:type="dxa"/>
            <w:tcBorders>
              <w:top w:val="single" w:sz="4" w:space="0" w:color="auto"/>
              <w:left w:val="nil"/>
              <w:bottom w:val="nil"/>
              <w:right w:val="nil"/>
            </w:tcBorders>
            <w:shd w:val="clear" w:color="auto" w:fill="auto"/>
            <w:noWrap/>
            <w:vAlign w:val="bottom"/>
          </w:tcPr>
          <w:p w14:paraId="4DAF7C44" w14:textId="77777777" w:rsidR="000020B9" w:rsidRPr="00CC6DC9" w:rsidRDefault="000020B9" w:rsidP="00EF25E1">
            <w:pPr>
              <w:jc w:val="center"/>
              <w:rPr>
                <w:color w:val="000000"/>
                <w:sz w:val="20"/>
                <w:szCs w:val="20"/>
              </w:rPr>
            </w:pPr>
            <w:r w:rsidRPr="00CC6DC9">
              <w:rPr>
                <w:color w:val="000000"/>
                <w:sz w:val="20"/>
                <w:szCs w:val="20"/>
              </w:rPr>
              <w:t> </w:t>
            </w:r>
          </w:p>
        </w:tc>
        <w:tc>
          <w:tcPr>
            <w:tcW w:w="757" w:type="dxa"/>
            <w:tcBorders>
              <w:top w:val="single" w:sz="4" w:space="0" w:color="auto"/>
              <w:left w:val="nil"/>
              <w:bottom w:val="nil"/>
              <w:right w:val="nil"/>
            </w:tcBorders>
            <w:shd w:val="clear" w:color="auto" w:fill="auto"/>
            <w:noWrap/>
            <w:vAlign w:val="bottom"/>
          </w:tcPr>
          <w:p w14:paraId="603F26BA" w14:textId="77777777" w:rsidR="000020B9" w:rsidRPr="00CC6DC9" w:rsidRDefault="000020B9" w:rsidP="00EF25E1">
            <w:pPr>
              <w:jc w:val="center"/>
              <w:rPr>
                <w:color w:val="000000"/>
                <w:sz w:val="20"/>
                <w:szCs w:val="20"/>
              </w:rPr>
            </w:pPr>
            <w:r w:rsidRPr="00CC6DC9">
              <w:rPr>
                <w:color w:val="000000"/>
                <w:sz w:val="20"/>
                <w:szCs w:val="20"/>
              </w:rPr>
              <w:t> </w:t>
            </w:r>
          </w:p>
        </w:tc>
        <w:tc>
          <w:tcPr>
            <w:tcW w:w="1140" w:type="dxa"/>
            <w:tcBorders>
              <w:top w:val="single" w:sz="4" w:space="0" w:color="auto"/>
              <w:left w:val="nil"/>
              <w:bottom w:val="nil"/>
              <w:right w:val="single" w:sz="4" w:space="0" w:color="auto"/>
            </w:tcBorders>
            <w:shd w:val="clear" w:color="auto" w:fill="auto"/>
            <w:noWrap/>
            <w:vAlign w:val="bottom"/>
          </w:tcPr>
          <w:p w14:paraId="71BD883B" w14:textId="77777777" w:rsidR="000020B9" w:rsidRPr="00CC6DC9" w:rsidRDefault="000020B9" w:rsidP="00EF25E1">
            <w:pPr>
              <w:jc w:val="center"/>
              <w:rPr>
                <w:color w:val="000000"/>
                <w:sz w:val="20"/>
                <w:szCs w:val="20"/>
              </w:rPr>
            </w:pPr>
            <w:r w:rsidRPr="00CC6DC9">
              <w:rPr>
                <w:color w:val="000000"/>
                <w:sz w:val="20"/>
                <w:szCs w:val="20"/>
              </w:rPr>
              <w:t> </w:t>
            </w:r>
          </w:p>
        </w:tc>
      </w:tr>
      <w:tr w:rsidR="000020B9" w:rsidRPr="00CC6DC9" w14:paraId="0E9DF92D" w14:textId="77777777" w:rsidTr="00EF25E1">
        <w:trPr>
          <w:trHeight w:val="300"/>
          <w:jc w:val="center"/>
        </w:trPr>
        <w:tc>
          <w:tcPr>
            <w:tcW w:w="5603" w:type="dxa"/>
            <w:tcBorders>
              <w:top w:val="nil"/>
              <w:left w:val="single" w:sz="4" w:space="0" w:color="auto"/>
              <w:bottom w:val="single" w:sz="4" w:space="0" w:color="auto"/>
              <w:right w:val="single" w:sz="4" w:space="0" w:color="auto"/>
            </w:tcBorders>
            <w:shd w:val="clear" w:color="auto" w:fill="auto"/>
            <w:noWrap/>
            <w:vAlign w:val="bottom"/>
          </w:tcPr>
          <w:p w14:paraId="61F9F030" w14:textId="77777777" w:rsidR="000020B9" w:rsidRPr="00CC6DC9" w:rsidRDefault="000020B9" w:rsidP="00EF25E1">
            <w:pPr>
              <w:rPr>
                <w:color w:val="000000"/>
                <w:sz w:val="20"/>
                <w:szCs w:val="20"/>
              </w:rPr>
            </w:pPr>
            <w:r w:rsidRPr="00CC6DC9">
              <w:rPr>
                <w:color w:val="000000"/>
                <w:sz w:val="20"/>
                <w:szCs w:val="20"/>
              </w:rPr>
              <w:t xml:space="preserve">     Quarter - Dummies</w:t>
            </w:r>
          </w:p>
        </w:tc>
        <w:tc>
          <w:tcPr>
            <w:tcW w:w="640" w:type="dxa"/>
            <w:tcBorders>
              <w:top w:val="nil"/>
              <w:left w:val="nil"/>
              <w:bottom w:val="single" w:sz="4" w:space="0" w:color="auto"/>
              <w:right w:val="nil"/>
            </w:tcBorders>
            <w:shd w:val="clear" w:color="auto" w:fill="auto"/>
            <w:noWrap/>
            <w:vAlign w:val="bottom"/>
          </w:tcPr>
          <w:p w14:paraId="4C803AC0" w14:textId="77777777" w:rsidR="000020B9" w:rsidRPr="00CC6DC9" w:rsidRDefault="000020B9" w:rsidP="00EF25E1">
            <w:pPr>
              <w:jc w:val="center"/>
              <w:rPr>
                <w:color w:val="000000"/>
                <w:sz w:val="20"/>
                <w:szCs w:val="20"/>
              </w:rPr>
            </w:pPr>
            <w:r w:rsidRPr="00CC6DC9">
              <w:rPr>
                <w:color w:val="000000"/>
                <w:sz w:val="20"/>
                <w:szCs w:val="20"/>
              </w:rPr>
              <w:t> </w:t>
            </w:r>
          </w:p>
        </w:tc>
        <w:tc>
          <w:tcPr>
            <w:tcW w:w="1040" w:type="dxa"/>
            <w:tcBorders>
              <w:top w:val="nil"/>
              <w:left w:val="nil"/>
              <w:bottom w:val="single" w:sz="4" w:space="0" w:color="auto"/>
              <w:right w:val="nil"/>
            </w:tcBorders>
            <w:shd w:val="clear" w:color="auto" w:fill="auto"/>
            <w:noWrap/>
            <w:vAlign w:val="bottom"/>
          </w:tcPr>
          <w:p w14:paraId="6E5AC55E" w14:textId="77777777" w:rsidR="000020B9" w:rsidRPr="00CC6DC9" w:rsidRDefault="000020B9" w:rsidP="00EF25E1">
            <w:pPr>
              <w:jc w:val="center"/>
              <w:rPr>
                <w:color w:val="000000"/>
                <w:sz w:val="20"/>
                <w:szCs w:val="20"/>
              </w:rPr>
            </w:pPr>
            <w:r w:rsidRPr="00CC6DC9">
              <w:rPr>
                <w:color w:val="000000"/>
                <w:sz w:val="20"/>
                <w:szCs w:val="20"/>
              </w:rPr>
              <w:t> </w:t>
            </w:r>
          </w:p>
        </w:tc>
        <w:tc>
          <w:tcPr>
            <w:tcW w:w="1040" w:type="dxa"/>
            <w:tcBorders>
              <w:top w:val="nil"/>
              <w:left w:val="nil"/>
              <w:bottom w:val="single" w:sz="4" w:space="0" w:color="auto"/>
              <w:right w:val="nil"/>
            </w:tcBorders>
            <w:shd w:val="clear" w:color="auto" w:fill="auto"/>
            <w:noWrap/>
            <w:vAlign w:val="bottom"/>
          </w:tcPr>
          <w:p w14:paraId="2B529D63" w14:textId="77777777" w:rsidR="000020B9" w:rsidRPr="00CC6DC9" w:rsidRDefault="000020B9" w:rsidP="00EF25E1">
            <w:pPr>
              <w:jc w:val="center"/>
              <w:rPr>
                <w:color w:val="000000"/>
                <w:sz w:val="20"/>
                <w:szCs w:val="20"/>
              </w:rPr>
            </w:pPr>
            <w:r w:rsidRPr="00CC6DC9">
              <w:rPr>
                <w:color w:val="000000"/>
                <w:sz w:val="20"/>
                <w:szCs w:val="20"/>
              </w:rPr>
              <w:t> </w:t>
            </w:r>
          </w:p>
        </w:tc>
        <w:tc>
          <w:tcPr>
            <w:tcW w:w="757" w:type="dxa"/>
            <w:tcBorders>
              <w:top w:val="nil"/>
              <w:left w:val="nil"/>
              <w:bottom w:val="single" w:sz="4" w:space="0" w:color="auto"/>
              <w:right w:val="nil"/>
            </w:tcBorders>
            <w:shd w:val="clear" w:color="auto" w:fill="auto"/>
            <w:noWrap/>
            <w:vAlign w:val="bottom"/>
          </w:tcPr>
          <w:p w14:paraId="1B6CAAB8" w14:textId="77777777" w:rsidR="000020B9" w:rsidRPr="00CC6DC9" w:rsidRDefault="000020B9" w:rsidP="00EF25E1">
            <w:pPr>
              <w:jc w:val="center"/>
              <w:rPr>
                <w:color w:val="000000"/>
                <w:sz w:val="20"/>
                <w:szCs w:val="20"/>
              </w:rPr>
            </w:pPr>
            <w:r w:rsidRPr="00CC6DC9">
              <w:rPr>
                <w:color w:val="000000"/>
                <w:sz w:val="20"/>
                <w:szCs w:val="20"/>
              </w:rPr>
              <w:t> </w:t>
            </w:r>
          </w:p>
        </w:tc>
        <w:tc>
          <w:tcPr>
            <w:tcW w:w="1140" w:type="dxa"/>
            <w:tcBorders>
              <w:top w:val="nil"/>
              <w:left w:val="nil"/>
              <w:bottom w:val="single" w:sz="4" w:space="0" w:color="auto"/>
              <w:right w:val="single" w:sz="4" w:space="0" w:color="auto"/>
            </w:tcBorders>
            <w:shd w:val="clear" w:color="auto" w:fill="auto"/>
            <w:noWrap/>
            <w:vAlign w:val="bottom"/>
          </w:tcPr>
          <w:p w14:paraId="32DE20D2" w14:textId="77777777" w:rsidR="000020B9" w:rsidRPr="00CC6DC9" w:rsidRDefault="000020B9" w:rsidP="00EF25E1">
            <w:pPr>
              <w:jc w:val="center"/>
              <w:rPr>
                <w:color w:val="000000"/>
                <w:sz w:val="20"/>
                <w:szCs w:val="20"/>
              </w:rPr>
            </w:pPr>
            <w:r w:rsidRPr="00CC6DC9">
              <w:rPr>
                <w:color w:val="000000"/>
                <w:sz w:val="20"/>
                <w:szCs w:val="20"/>
              </w:rPr>
              <w:t> </w:t>
            </w:r>
          </w:p>
        </w:tc>
      </w:tr>
      <w:tr w:rsidR="000020B9" w:rsidRPr="00CC6DC9" w14:paraId="33DEB7F6"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5D6CE181" w14:textId="77777777" w:rsidR="000020B9" w:rsidRPr="00CC6DC9" w:rsidRDefault="000020B9" w:rsidP="00EF25E1">
            <w:pPr>
              <w:rPr>
                <w:color w:val="000000"/>
                <w:sz w:val="20"/>
                <w:szCs w:val="20"/>
              </w:rPr>
            </w:pPr>
            <w:r w:rsidRPr="00CC6DC9">
              <w:rPr>
                <w:color w:val="000000"/>
                <w:sz w:val="20"/>
                <w:szCs w:val="20"/>
              </w:rPr>
              <w:t xml:space="preserve">     1st Quarter</w:t>
            </w:r>
          </w:p>
        </w:tc>
        <w:tc>
          <w:tcPr>
            <w:tcW w:w="640" w:type="dxa"/>
            <w:tcBorders>
              <w:top w:val="nil"/>
              <w:left w:val="nil"/>
              <w:bottom w:val="nil"/>
              <w:right w:val="nil"/>
            </w:tcBorders>
            <w:shd w:val="clear" w:color="auto" w:fill="auto"/>
            <w:noWrap/>
            <w:vAlign w:val="bottom"/>
          </w:tcPr>
          <w:p w14:paraId="3513E782"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single" w:sz="4" w:space="0" w:color="auto"/>
              <w:bottom w:val="nil"/>
              <w:right w:val="single" w:sz="4" w:space="0" w:color="auto"/>
            </w:tcBorders>
            <w:shd w:val="clear" w:color="auto" w:fill="auto"/>
            <w:noWrap/>
            <w:vAlign w:val="bottom"/>
          </w:tcPr>
          <w:p w14:paraId="57A5314E" w14:textId="77777777" w:rsidR="000020B9" w:rsidRPr="00CC6DC9" w:rsidRDefault="000020B9" w:rsidP="00EF25E1">
            <w:pPr>
              <w:jc w:val="center"/>
              <w:rPr>
                <w:color w:val="000000"/>
                <w:sz w:val="20"/>
                <w:szCs w:val="20"/>
              </w:rPr>
            </w:pPr>
            <w:r w:rsidRPr="00CC6DC9">
              <w:rPr>
                <w:color w:val="000000"/>
                <w:sz w:val="20"/>
                <w:szCs w:val="20"/>
              </w:rPr>
              <w:t>0.248</w:t>
            </w:r>
          </w:p>
        </w:tc>
        <w:tc>
          <w:tcPr>
            <w:tcW w:w="1040" w:type="dxa"/>
            <w:tcBorders>
              <w:top w:val="nil"/>
              <w:left w:val="nil"/>
              <w:bottom w:val="nil"/>
              <w:right w:val="single" w:sz="4" w:space="0" w:color="auto"/>
            </w:tcBorders>
            <w:shd w:val="clear" w:color="auto" w:fill="auto"/>
            <w:noWrap/>
            <w:vAlign w:val="bottom"/>
          </w:tcPr>
          <w:p w14:paraId="77615752" w14:textId="77777777" w:rsidR="000020B9" w:rsidRPr="00CC6DC9" w:rsidRDefault="000020B9" w:rsidP="00EF25E1">
            <w:pPr>
              <w:jc w:val="center"/>
              <w:rPr>
                <w:color w:val="000000"/>
                <w:sz w:val="20"/>
                <w:szCs w:val="20"/>
              </w:rPr>
            </w:pPr>
            <w:r w:rsidRPr="00CC6DC9">
              <w:rPr>
                <w:color w:val="000000"/>
                <w:sz w:val="20"/>
                <w:szCs w:val="20"/>
              </w:rPr>
              <w:t>0.432</w:t>
            </w:r>
          </w:p>
        </w:tc>
        <w:tc>
          <w:tcPr>
            <w:tcW w:w="757" w:type="dxa"/>
            <w:tcBorders>
              <w:top w:val="nil"/>
              <w:left w:val="nil"/>
              <w:bottom w:val="nil"/>
              <w:right w:val="single" w:sz="4" w:space="0" w:color="auto"/>
            </w:tcBorders>
            <w:shd w:val="clear" w:color="auto" w:fill="auto"/>
            <w:noWrap/>
            <w:vAlign w:val="bottom"/>
          </w:tcPr>
          <w:p w14:paraId="6C5FEAC2" w14:textId="77777777" w:rsidR="000020B9" w:rsidRPr="00CC6DC9" w:rsidRDefault="000020B9" w:rsidP="00EF25E1">
            <w:pPr>
              <w:jc w:val="center"/>
              <w:rPr>
                <w:color w:val="000000"/>
                <w:sz w:val="20"/>
                <w:szCs w:val="20"/>
              </w:rPr>
            </w:pPr>
            <w:r w:rsidRPr="00CC6DC9">
              <w:rPr>
                <w:color w:val="000000"/>
                <w:sz w:val="20"/>
                <w:szCs w:val="20"/>
              </w:rPr>
              <w:t>0</w:t>
            </w:r>
          </w:p>
        </w:tc>
        <w:tc>
          <w:tcPr>
            <w:tcW w:w="1140" w:type="dxa"/>
            <w:tcBorders>
              <w:top w:val="nil"/>
              <w:left w:val="nil"/>
              <w:bottom w:val="nil"/>
              <w:right w:val="single" w:sz="4" w:space="0" w:color="auto"/>
            </w:tcBorders>
            <w:shd w:val="clear" w:color="auto" w:fill="auto"/>
            <w:noWrap/>
            <w:vAlign w:val="bottom"/>
          </w:tcPr>
          <w:p w14:paraId="36BE0BFD" w14:textId="77777777" w:rsidR="000020B9" w:rsidRPr="00CC6DC9" w:rsidRDefault="000020B9" w:rsidP="00EF25E1">
            <w:pPr>
              <w:jc w:val="center"/>
              <w:rPr>
                <w:color w:val="000000"/>
                <w:sz w:val="20"/>
                <w:szCs w:val="20"/>
              </w:rPr>
            </w:pPr>
            <w:r w:rsidRPr="00CC6DC9">
              <w:rPr>
                <w:color w:val="000000"/>
                <w:sz w:val="20"/>
                <w:szCs w:val="20"/>
              </w:rPr>
              <w:t>1</w:t>
            </w:r>
          </w:p>
        </w:tc>
      </w:tr>
      <w:tr w:rsidR="000020B9" w:rsidRPr="00CC6DC9" w14:paraId="6499226F"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0244240D" w14:textId="77777777" w:rsidR="000020B9" w:rsidRPr="00CC6DC9" w:rsidRDefault="000020B9" w:rsidP="00EF25E1">
            <w:pPr>
              <w:rPr>
                <w:color w:val="000000"/>
                <w:sz w:val="20"/>
                <w:szCs w:val="20"/>
              </w:rPr>
            </w:pPr>
            <w:r w:rsidRPr="00CC6DC9">
              <w:rPr>
                <w:color w:val="000000"/>
                <w:sz w:val="20"/>
                <w:szCs w:val="20"/>
              </w:rPr>
              <w:t xml:space="preserve">     2nd Quarter</w:t>
            </w:r>
          </w:p>
        </w:tc>
        <w:tc>
          <w:tcPr>
            <w:tcW w:w="640" w:type="dxa"/>
            <w:tcBorders>
              <w:top w:val="nil"/>
              <w:left w:val="nil"/>
              <w:bottom w:val="nil"/>
              <w:right w:val="nil"/>
            </w:tcBorders>
            <w:shd w:val="clear" w:color="auto" w:fill="auto"/>
            <w:noWrap/>
            <w:vAlign w:val="bottom"/>
          </w:tcPr>
          <w:p w14:paraId="0B27A55F"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single" w:sz="4" w:space="0" w:color="auto"/>
              <w:bottom w:val="nil"/>
              <w:right w:val="single" w:sz="4" w:space="0" w:color="auto"/>
            </w:tcBorders>
            <w:shd w:val="clear" w:color="auto" w:fill="auto"/>
            <w:noWrap/>
            <w:vAlign w:val="bottom"/>
          </w:tcPr>
          <w:p w14:paraId="0AFFEC28" w14:textId="77777777" w:rsidR="000020B9" w:rsidRPr="00CC6DC9" w:rsidRDefault="000020B9" w:rsidP="00EF25E1">
            <w:pPr>
              <w:jc w:val="center"/>
              <w:rPr>
                <w:color w:val="000000"/>
                <w:sz w:val="20"/>
                <w:szCs w:val="20"/>
              </w:rPr>
            </w:pPr>
            <w:r w:rsidRPr="00CC6DC9">
              <w:rPr>
                <w:color w:val="000000"/>
                <w:sz w:val="20"/>
                <w:szCs w:val="20"/>
              </w:rPr>
              <w:t>0.245</w:t>
            </w:r>
          </w:p>
        </w:tc>
        <w:tc>
          <w:tcPr>
            <w:tcW w:w="1040" w:type="dxa"/>
            <w:tcBorders>
              <w:top w:val="nil"/>
              <w:left w:val="nil"/>
              <w:bottom w:val="nil"/>
              <w:right w:val="single" w:sz="4" w:space="0" w:color="auto"/>
            </w:tcBorders>
            <w:shd w:val="clear" w:color="auto" w:fill="auto"/>
            <w:noWrap/>
            <w:vAlign w:val="bottom"/>
          </w:tcPr>
          <w:p w14:paraId="17137F4F" w14:textId="77777777" w:rsidR="000020B9" w:rsidRPr="00CC6DC9" w:rsidRDefault="000020B9" w:rsidP="00EF25E1">
            <w:pPr>
              <w:jc w:val="center"/>
              <w:rPr>
                <w:color w:val="000000"/>
                <w:sz w:val="20"/>
                <w:szCs w:val="20"/>
              </w:rPr>
            </w:pPr>
            <w:r w:rsidRPr="00CC6DC9">
              <w:rPr>
                <w:color w:val="000000"/>
                <w:sz w:val="20"/>
                <w:szCs w:val="20"/>
              </w:rPr>
              <w:t>0.430</w:t>
            </w:r>
          </w:p>
        </w:tc>
        <w:tc>
          <w:tcPr>
            <w:tcW w:w="757" w:type="dxa"/>
            <w:tcBorders>
              <w:top w:val="nil"/>
              <w:left w:val="nil"/>
              <w:bottom w:val="nil"/>
              <w:right w:val="single" w:sz="4" w:space="0" w:color="auto"/>
            </w:tcBorders>
            <w:shd w:val="clear" w:color="auto" w:fill="auto"/>
            <w:noWrap/>
            <w:vAlign w:val="bottom"/>
          </w:tcPr>
          <w:p w14:paraId="6207BA8A" w14:textId="77777777" w:rsidR="000020B9" w:rsidRPr="00CC6DC9" w:rsidRDefault="000020B9" w:rsidP="00EF25E1">
            <w:pPr>
              <w:jc w:val="center"/>
              <w:rPr>
                <w:color w:val="000000"/>
                <w:sz w:val="20"/>
                <w:szCs w:val="20"/>
              </w:rPr>
            </w:pPr>
            <w:r w:rsidRPr="00CC6DC9">
              <w:rPr>
                <w:color w:val="000000"/>
                <w:sz w:val="20"/>
                <w:szCs w:val="20"/>
              </w:rPr>
              <w:t>0</w:t>
            </w:r>
          </w:p>
        </w:tc>
        <w:tc>
          <w:tcPr>
            <w:tcW w:w="1140" w:type="dxa"/>
            <w:tcBorders>
              <w:top w:val="nil"/>
              <w:left w:val="nil"/>
              <w:bottom w:val="nil"/>
              <w:right w:val="single" w:sz="4" w:space="0" w:color="auto"/>
            </w:tcBorders>
            <w:shd w:val="clear" w:color="auto" w:fill="auto"/>
            <w:noWrap/>
            <w:vAlign w:val="bottom"/>
          </w:tcPr>
          <w:p w14:paraId="5D8C25F5" w14:textId="77777777" w:rsidR="000020B9" w:rsidRPr="00CC6DC9" w:rsidRDefault="000020B9" w:rsidP="00EF25E1">
            <w:pPr>
              <w:jc w:val="center"/>
              <w:rPr>
                <w:color w:val="000000"/>
                <w:sz w:val="20"/>
                <w:szCs w:val="20"/>
              </w:rPr>
            </w:pPr>
            <w:r w:rsidRPr="00CC6DC9">
              <w:rPr>
                <w:color w:val="000000"/>
                <w:sz w:val="20"/>
                <w:szCs w:val="20"/>
              </w:rPr>
              <w:t>1</w:t>
            </w:r>
          </w:p>
        </w:tc>
      </w:tr>
      <w:tr w:rsidR="000020B9" w:rsidRPr="00CC6DC9" w14:paraId="61B4B19E"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61CAF4E2" w14:textId="77777777" w:rsidR="000020B9" w:rsidRPr="00CC6DC9" w:rsidRDefault="000020B9" w:rsidP="00EF25E1">
            <w:pPr>
              <w:rPr>
                <w:color w:val="000000"/>
                <w:sz w:val="20"/>
                <w:szCs w:val="20"/>
              </w:rPr>
            </w:pPr>
            <w:r w:rsidRPr="00CC6DC9">
              <w:rPr>
                <w:color w:val="000000"/>
                <w:sz w:val="20"/>
                <w:szCs w:val="20"/>
              </w:rPr>
              <w:t xml:space="preserve">     3rd Quarter</w:t>
            </w:r>
          </w:p>
        </w:tc>
        <w:tc>
          <w:tcPr>
            <w:tcW w:w="640" w:type="dxa"/>
            <w:tcBorders>
              <w:top w:val="nil"/>
              <w:left w:val="nil"/>
              <w:bottom w:val="nil"/>
              <w:right w:val="nil"/>
            </w:tcBorders>
            <w:shd w:val="clear" w:color="auto" w:fill="auto"/>
            <w:noWrap/>
            <w:vAlign w:val="bottom"/>
          </w:tcPr>
          <w:p w14:paraId="422165E8"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single" w:sz="4" w:space="0" w:color="auto"/>
              <w:bottom w:val="nil"/>
              <w:right w:val="single" w:sz="4" w:space="0" w:color="auto"/>
            </w:tcBorders>
            <w:shd w:val="clear" w:color="auto" w:fill="auto"/>
            <w:noWrap/>
            <w:vAlign w:val="bottom"/>
          </w:tcPr>
          <w:p w14:paraId="164F4D06" w14:textId="77777777" w:rsidR="000020B9" w:rsidRPr="00CC6DC9" w:rsidRDefault="000020B9" w:rsidP="00EF25E1">
            <w:pPr>
              <w:jc w:val="center"/>
              <w:rPr>
                <w:color w:val="000000"/>
                <w:sz w:val="20"/>
                <w:szCs w:val="20"/>
              </w:rPr>
            </w:pPr>
            <w:r w:rsidRPr="00CC6DC9">
              <w:rPr>
                <w:color w:val="000000"/>
                <w:sz w:val="20"/>
                <w:szCs w:val="20"/>
              </w:rPr>
              <w:t>0.254</w:t>
            </w:r>
          </w:p>
        </w:tc>
        <w:tc>
          <w:tcPr>
            <w:tcW w:w="1040" w:type="dxa"/>
            <w:tcBorders>
              <w:top w:val="nil"/>
              <w:left w:val="nil"/>
              <w:bottom w:val="nil"/>
              <w:right w:val="single" w:sz="4" w:space="0" w:color="auto"/>
            </w:tcBorders>
            <w:shd w:val="clear" w:color="auto" w:fill="auto"/>
            <w:noWrap/>
            <w:vAlign w:val="bottom"/>
          </w:tcPr>
          <w:p w14:paraId="7B4AAD8D" w14:textId="77777777" w:rsidR="000020B9" w:rsidRPr="00CC6DC9" w:rsidRDefault="000020B9" w:rsidP="00EF25E1">
            <w:pPr>
              <w:jc w:val="center"/>
              <w:rPr>
                <w:color w:val="000000"/>
                <w:sz w:val="20"/>
                <w:szCs w:val="20"/>
              </w:rPr>
            </w:pPr>
            <w:r w:rsidRPr="00CC6DC9">
              <w:rPr>
                <w:color w:val="000000"/>
                <w:sz w:val="20"/>
                <w:szCs w:val="20"/>
              </w:rPr>
              <w:t>0.435</w:t>
            </w:r>
          </w:p>
        </w:tc>
        <w:tc>
          <w:tcPr>
            <w:tcW w:w="757" w:type="dxa"/>
            <w:tcBorders>
              <w:top w:val="nil"/>
              <w:left w:val="nil"/>
              <w:bottom w:val="nil"/>
              <w:right w:val="single" w:sz="4" w:space="0" w:color="auto"/>
            </w:tcBorders>
            <w:shd w:val="clear" w:color="auto" w:fill="auto"/>
            <w:noWrap/>
            <w:vAlign w:val="bottom"/>
          </w:tcPr>
          <w:p w14:paraId="7AF0FA46" w14:textId="77777777" w:rsidR="000020B9" w:rsidRPr="00CC6DC9" w:rsidRDefault="000020B9" w:rsidP="00EF25E1">
            <w:pPr>
              <w:jc w:val="center"/>
              <w:rPr>
                <w:color w:val="000000"/>
                <w:sz w:val="20"/>
                <w:szCs w:val="20"/>
              </w:rPr>
            </w:pPr>
            <w:r w:rsidRPr="00CC6DC9">
              <w:rPr>
                <w:color w:val="000000"/>
                <w:sz w:val="20"/>
                <w:szCs w:val="20"/>
              </w:rPr>
              <w:t>0</w:t>
            </w:r>
          </w:p>
        </w:tc>
        <w:tc>
          <w:tcPr>
            <w:tcW w:w="1140" w:type="dxa"/>
            <w:tcBorders>
              <w:top w:val="nil"/>
              <w:left w:val="nil"/>
              <w:bottom w:val="nil"/>
              <w:right w:val="single" w:sz="4" w:space="0" w:color="auto"/>
            </w:tcBorders>
            <w:shd w:val="clear" w:color="auto" w:fill="auto"/>
            <w:noWrap/>
            <w:vAlign w:val="bottom"/>
          </w:tcPr>
          <w:p w14:paraId="09BE399B" w14:textId="77777777" w:rsidR="000020B9" w:rsidRPr="00CC6DC9" w:rsidRDefault="000020B9" w:rsidP="00EF25E1">
            <w:pPr>
              <w:jc w:val="center"/>
              <w:rPr>
                <w:color w:val="000000"/>
                <w:sz w:val="20"/>
                <w:szCs w:val="20"/>
              </w:rPr>
            </w:pPr>
            <w:r w:rsidRPr="00CC6DC9">
              <w:rPr>
                <w:color w:val="000000"/>
                <w:sz w:val="20"/>
                <w:szCs w:val="20"/>
              </w:rPr>
              <w:t>1</w:t>
            </w:r>
          </w:p>
        </w:tc>
      </w:tr>
      <w:tr w:rsidR="000020B9" w:rsidRPr="00CC6DC9" w14:paraId="49B09D56" w14:textId="77777777" w:rsidTr="00EF25E1">
        <w:trPr>
          <w:trHeight w:val="300"/>
          <w:jc w:val="center"/>
        </w:trPr>
        <w:tc>
          <w:tcPr>
            <w:tcW w:w="5603" w:type="dxa"/>
            <w:tcBorders>
              <w:top w:val="nil"/>
              <w:left w:val="single" w:sz="4" w:space="0" w:color="auto"/>
              <w:bottom w:val="single" w:sz="4" w:space="0" w:color="auto"/>
              <w:right w:val="single" w:sz="4" w:space="0" w:color="auto"/>
            </w:tcBorders>
            <w:shd w:val="clear" w:color="auto" w:fill="auto"/>
            <w:noWrap/>
            <w:vAlign w:val="bottom"/>
          </w:tcPr>
          <w:p w14:paraId="6C0EF115" w14:textId="77777777" w:rsidR="000020B9" w:rsidRPr="00CC6DC9" w:rsidRDefault="000020B9" w:rsidP="00EF25E1">
            <w:pPr>
              <w:rPr>
                <w:color w:val="000000"/>
                <w:sz w:val="20"/>
                <w:szCs w:val="20"/>
              </w:rPr>
            </w:pPr>
            <w:r w:rsidRPr="00CC6DC9">
              <w:rPr>
                <w:color w:val="000000"/>
                <w:sz w:val="20"/>
                <w:szCs w:val="20"/>
              </w:rPr>
              <w:t xml:space="preserve">     4th Quarter</w:t>
            </w:r>
          </w:p>
        </w:tc>
        <w:tc>
          <w:tcPr>
            <w:tcW w:w="640" w:type="dxa"/>
            <w:tcBorders>
              <w:top w:val="nil"/>
              <w:left w:val="nil"/>
              <w:bottom w:val="single" w:sz="4" w:space="0" w:color="auto"/>
              <w:right w:val="nil"/>
            </w:tcBorders>
            <w:shd w:val="clear" w:color="auto" w:fill="auto"/>
            <w:noWrap/>
            <w:vAlign w:val="bottom"/>
          </w:tcPr>
          <w:p w14:paraId="1443A80B"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single" w:sz="4" w:space="0" w:color="auto"/>
              <w:bottom w:val="single" w:sz="4" w:space="0" w:color="auto"/>
              <w:right w:val="single" w:sz="4" w:space="0" w:color="auto"/>
            </w:tcBorders>
            <w:shd w:val="clear" w:color="auto" w:fill="auto"/>
            <w:noWrap/>
            <w:vAlign w:val="bottom"/>
          </w:tcPr>
          <w:p w14:paraId="029279C1" w14:textId="77777777" w:rsidR="000020B9" w:rsidRPr="00CC6DC9" w:rsidRDefault="000020B9" w:rsidP="00EF25E1">
            <w:pPr>
              <w:jc w:val="center"/>
              <w:rPr>
                <w:color w:val="000000"/>
                <w:sz w:val="20"/>
                <w:szCs w:val="20"/>
              </w:rPr>
            </w:pPr>
            <w:r w:rsidRPr="00CC6DC9">
              <w:rPr>
                <w:color w:val="000000"/>
                <w:sz w:val="20"/>
                <w:szCs w:val="20"/>
              </w:rPr>
              <w:t>0.253</w:t>
            </w:r>
          </w:p>
        </w:tc>
        <w:tc>
          <w:tcPr>
            <w:tcW w:w="1040" w:type="dxa"/>
            <w:tcBorders>
              <w:top w:val="nil"/>
              <w:left w:val="nil"/>
              <w:bottom w:val="single" w:sz="4" w:space="0" w:color="auto"/>
              <w:right w:val="single" w:sz="4" w:space="0" w:color="auto"/>
            </w:tcBorders>
            <w:shd w:val="clear" w:color="auto" w:fill="auto"/>
            <w:noWrap/>
            <w:vAlign w:val="bottom"/>
          </w:tcPr>
          <w:p w14:paraId="485586BA" w14:textId="77777777" w:rsidR="000020B9" w:rsidRPr="00CC6DC9" w:rsidRDefault="000020B9" w:rsidP="00EF25E1">
            <w:pPr>
              <w:jc w:val="center"/>
              <w:rPr>
                <w:color w:val="000000"/>
                <w:sz w:val="20"/>
                <w:szCs w:val="20"/>
              </w:rPr>
            </w:pPr>
            <w:r w:rsidRPr="00CC6DC9">
              <w:rPr>
                <w:color w:val="000000"/>
                <w:sz w:val="20"/>
                <w:szCs w:val="20"/>
              </w:rPr>
              <w:t>0.435</w:t>
            </w:r>
          </w:p>
        </w:tc>
        <w:tc>
          <w:tcPr>
            <w:tcW w:w="757" w:type="dxa"/>
            <w:tcBorders>
              <w:top w:val="nil"/>
              <w:left w:val="nil"/>
              <w:bottom w:val="single" w:sz="4" w:space="0" w:color="auto"/>
              <w:right w:val="single" w:sz="4" w:space="0" w:color="auto"/>
            </w:tcBorders>
            <w:shd w:val="clear" w:color="auto" w:fill="auto"/>
            <w:noWrap/>
            <w:vAlign w:val="bottom"/>
          </w:tcPr>
          <w:p w14:paraId="141E6E75" w14:textId="77777777" w:rsidR="000020B9" w:rsidRPr="00CC6DC9" w:rsidRDefault="000020B9" w:rsidP="00EF25E1">
            <w:pPr>
              <w:jc w:val="center"/>
              <w:rPr>
                <w:color w:val="000000"/>
                <w:sz w:val="20"/>
                <w:szCs w:val="20"/>
              </w:rPr>
            </w:pPr>
            <w:r w:rsidRPr="00CC6DC9">
              <w:rPr>
                <w:color w:val="000000"/>
                <w:sz w:val="20"/>
                <w:szCs w:val="20"/>
              </w:rPr>
              <w:t>0</w:t>
            </w:r>
          </w:p>
        </w:tc>
        <w:tc>
          <w:tcPr>
            <w:tcW w:w="1140" w:type="dxa"/>
            <w:tcBorders>
              <w:top w:val="nil"/>
              <w:left w:val="nil"/>
              <w:bottom w:val="single" w:sz="4" w:space="0" w:color="auto"/>
              <w:right w:val="single" w:sz="4" w:space="0" w:color="auto"/>
            </w:tcBorders>
            <w:shd w:val="clear" w:color="auto" w:fill="auto"/>
            <w:noWrap/>
            <w:vAlign w:val="bottom"/>
          </w:tcPr>
          <w:p w14:paraId="6E8043A9" w14:textId="77777777" w:rsidR="000020B9" w:rsidRPr="00CC6DC9" w:rsidRDefault="000020B9" w:rsidP="00EF25E1">
            <w:pPr>
              <w:jc w:val="center"/>
              <w:rPr>
                <w:color w:val="000000"/>
                <w:sz w:val="20"/>
                <w:szCs w:val="20"/>
              </w:rPr>
            </w:pPr>
            <w:r w:rsidRPr="00CC6DC9">
              <w:rPr>
                <w:color w:val="000000"/>
                <w:sz w:val="20"/>
                <w:szCs w:val="20"/>
              </w:rPr>
              <w:t>1</w:t>
            </w:r>
          </w:p>
        </w:tc>
      </w:tr>
      <w:tr w:rsidR="000020B9" w:rsidRPr="00CC6DC9" w14:paraId="47E653E0" w14:textId="77777777" w:rsidTr="00EF25E1">
        <w:trPr>
          <w:trHeight w:val="300"/>
          <w:jc w:val="center"/>
        </w:trPr>
        <w:tc>
          <w:tcPr>
            <w:tcW w:w="5603" w:type="dxa"/>
            <w:tcBorders>
              <w:top w:val="nil"/>
              <w:left w:val="single" w:sz="4" w:space="0" w:color="auto"/>
              <w:bottom w:val="nil"/>
              <w:right w:val="nil"/>
            </w:tcBorders>
            <w:shd w:val="clear" w:color="auto" w:fill="auto"/>
            <w:noWrap/>
            <w:vAlign w:val="bottom"/>
          </w:tcPr>
          <w:p w14:paraId="1790B84C" w14:textId="77777777" w:rsidR="000020B9" w:rsidRPr="00CC6DC9" w:rsidRDefault="000020B9" w:rsidP="00EF25E1">
            <w:pPr>
              <w:rPr>
                <w:color w:val="000000"/>
                <w:sz w:val="20"/>
                <w:szCs w:val="20"/>
              </w:rPr>
            </w:pPr>
            <w:r w:rsidRPr="00CC6DC9">
              <w:rPr>
                <w:color w:val="000000"/>
                <w:sz w:val="20"/>
                <w:szCs w:val="20"/>
              </w:rPr>
              <w:t> </w:t>
            </w:r>
          </w:p>
        </w:tc>
        <w:tc>
          <w:tcPr>
            <w:tcW w:w="640" w:type="dxa"/>
            <w:tcBorders>
              <w:top w:val="nil"/>
              <w:left w:val="nil"/>
              <w:bottom w:val="nil"/>
              <w:right w:val="nil"/>
            </w:tcBorders>
            <w:shd w:val="clear" w:color="auto" w:fill="auto"/>
            <w:noWrap/>
            <w:vAlign w:val="bottom"/>
          </w:tcPr>
          <w:p w14:paraId="25FAFD19" w14:textId="77777777" w:rsidR="000020B9" w:rsidRPr="00CC6DC9" w:rsidRDefault="000020B9" w:rsidP="00EF25E1">
            <w:pPr>
              <w:jc w:val="center"/>
              <w:rPr>
                <w:color w:val="000000"/>
                <w:sz w:val="20"/>
                <w:szCs w:val="20"/>
              </w:rPr>
            </w:pPr>
          </w:p>
        </w:tc>
        <w:tc>
          <w:tcPr>
            <w:tcW w:w="1040" w:type="dxa"/>
            <w:tcBorders>
              <w:top w:val="nil"/>
              <w:left w:val="nil"/>
              <w:bottom w:val="nil"/>
              <w:right w:val="nil"/>
            </w:tcBorders>
            <w:shd w:val="clear" w:color="auto" w:fill="auto"/>
            <w:noWrap/>
            <w:vAlign w:val="bottom"/>
          </w:tcPr>
          <w:p w14:paraId="28CC787B" w14:textId="77777777" w:rsidR="000020B9" w:rsidRPr="00CC6DC9" w:rsidRDefault="000020B9" w:rsidP="00EF25E1">
            <w:pPr>
              <w:jc w:val="center"/>
              <w:rPr>
                <w:color w:val="000000"/>
                <w:sz w:val="20"/>
                <w:szCs w:val="20"/>
              </w:rPr>
            </w:pPr>
          </w:p>
        </w:tc>
        <w:tc>
          <w:tcPr>
            <w:tcW w:w="1040" w:type="dxa"/>
            <w:tcBorders>
              <w:top w:val="nil"/>
              <w:left w:val="nil"/>
              <w:bottom w:val="nil"/>
              <w:right w:val="nil"/>
            </w:tcBorders>
            <w:shd w:val="clear" w:color="auto" w:fill="auto"/>
            <w:noWrap/>
            <w:vAlign w:val="bottom"/>
          </w:tcPr>
          <w:p w14:paraId="4736DCB3" w14:textId="77777777" w:rsidR="000020B9" w:rsidRPr="00CC6DC9" w:rsidRDefault="000020B9" w:rsidP="00EF25E1">
            <w:pPr>
              <w:jc w:val="center"/>
              <w:rPr>
                <w:color w:val="000000"/>
                <w:sz w:val="20"/>
                <w:szCs w:val="20"/>
              </w:rPr>
            </w:pPr>
          </w:p>
        </w:tc>
        <w:tc>
          <w:tcPr>
            <w:tcW w:w="757" w:type="dxa"/>
            <w:tcBorders>
              <w:top w:val="nil"/>
              <w:left w:val="nil"/>
              <w:bottom w:val="nil"/>
              <w:right w:val="nil"/>
            </w:tcBorders>
            <w:shd w:val="clear" w:color="auto" w:fill="auto"/>
            <w:noWrap/>
            <w:vAlign w:val="bottom"/>
          </w:tcPr>
          <w:p w14:paraId="1EBDACF3" w14:textId="77777777" w:rsidR="000020B9" w:rsidRPr="00CC6DC9" w:rsidRDefault="000020B9" w:rsidP="00EF25E1">
            <w:pPr>
              <w:jc w:val="center"/>
              <w:rPr>
                <w:color w:val="000000"/>
                <w:sz w:val="20"/>
                <w:szCs w:val="20"/>
              </w:rPr>
            </w:pPr>
          </w:p>
        </w:tc>
        <w:tc>
          <w:tcPr>
            <w:tcW w:w="1140" w:type="dxa"/>
            <w:tcBorders>
              <w:top w:val="nil"/>
              <w:left w:val="nil"/>
              <w:bottom w:val="nil"/>
              <w:right w:val="single" w:sz="4" w:space="0" w:color="auto"/>
            </w:tcBorders>
            <w:shd w:val="clear" w:color="auto" w:fill="auto"/>
            <w:noWrap/>
            <w:vAlign w:val="bottom"/>
          </w:tcPr>
          <w:p w14:paraId="6DA0ABA9" w14:textId="77777777" w:rsidR="000020B9" w:rsidRPr="00CC6DC9" w:rsidRDefault="000020B9" w:rsidP="00EF25E1">
            <w:pPr>
              <w:jc w:val="center"/>
              <w:rPr>
                <w:color w:val="000000"/>
                <w:sz w:val="20"/>
                <w:szCs w:val="20"/>
              </w:rPr>
            </w:pPr>
            <w:r w:rsidRPr="00CC6DC9">
              <w:rPr>
                <w:color w:val="000000"/>
                <w:sz w:val="20"/>
                <w:szCs w:val="20"/>
              </w:rPr>
              <w:t> </w:t>
            </w:r>
          </w:p>
        </w:tc>
      </w:tr>
      <w:tr w:rsidR="000020B9" w:rsidRPr="00CC6DC9" w14:paraId="6EAE98A3" w14:textId="77777777" w:rsidTr="00EF25E1">
        <w:trPr>
          <w:trHeight w:val="300"/>
          <w:jc w:val="center"/>
        </w:trPr>
        <w:tc>
          <w:tcPr>
            <w:tcW w:w="5603" w:type="dxa"/>
            <w:tcBorders>
              <w:top w:val="nil"/>
              <w:left w:val="single" w:sz="4" w:space="0" w:color="auto"/>
              <w:bottom w:val="nil"/>
              <w:right w:val="nil"/>
            </w:tcBorders>
            <w:shd w:val="clear" w:color="auto" w:fill="auto"/>
            <w:noWrap/>
            <w:vAlign w:val="bottom"/>
          </w:tcPr>
          <w:p w14:paraId="6A2C9E5A" w14:textId="77777777" w:rsidR="000020B9" w:rsidRPr="00CC6DC9" w:rsidRDefault="000020B9" w:rsidP="00EF25E1">
            <w:pPr>
              <w:rPr>
                <w:color w:val="000000"/>
                <w:sz w:val="20"/>
                <w:szCs w:val="20"/>
              </w:rPr>
            </w:pPr>
            <w:r w:rsidRPr="00CC6DC9">
              <w:rPr>
                <w:color w:val="000000"/>
                <w:sz w:val="20"/>
                <w:szCs w:val="20"/>
              </w:rPr>
              <w:t xml:space="preserve">     Year - Dummies</w:t>
            </w:r>
          </w:p>
        </w:tc>
        <w:tc>
          <w:tcPr>
            <w:tcW w:w="640" w:type="dxa"/>
            <w:tcBorders>
              <w:top w:val="nil"/>
              <w:left w:val="nil"/>
              <w:bottom w:val="nil"/>
              <w:right w:val="nil"/>
            </w:tcBorders>
            <w:shd w:val="clear" w:color="auto" w:fill="auto"/>
            <w:noWrap/>
            <w:vAlign w:val="bottom"/>
          </w:tcPr>
          <w:p w14:paraId="4CC3C4B3" w14:textId="77777777" w:rsidR="000020B9" w:rsidRPr="00CC6DC9" w:rsidRDefault="000020B9" w:rsidP="00EF25E1">
            <w:pPr>
              <w:jc w:val="center"/>
              <w:rPr>
                <w:color w:val="000000"/>
                <w:sz w:val="20"/>
                <w:szCs w:val="20"/>
              </w:rPr>
            </w:pPr>
          </w:p>
        </w:tc>
        <w:tc>
          <w:tcPr>
            <w:tcW w:w="1040" w:type="dxa"/>
            <w:tcBorders>
              <w:top w:val="nil"/>
              <w:left w:val="nil"/>
              <w:bottom w:val="nil"/>
              <w:right w:val="nil"/>
            </w:tcBorders>
            <w:shd w:val="clear" w:color="auto" w:fill="auto"/>
            <w:noWrap/>
            <w:vAlign w:val="bottom"/>
          </w:tcPr>
          <w:p w14:paraId="0D5DF759" w14:textId="77777777" w:rsidR="000020B9" w:rsidRPr="00CC6DC9" w:rsidRDefault="000020B9" w:rsidP="00EF25E1">
            <w:pPr>
              <w:jc w:val="center"/>
              <w:rPr>
                <w:color w:val="000000"/>
                <w:sz w:val="20"/>
                <w:szCs w:val="20"/>
              </w:rPr>
            </w:pPr>
          </w:p>
        </w:tc>
        <w:tc>
          <w:tcPr>
            <w:tcW w:w="1040" w:type="dxa"/>
            <w:tcBorders>
              <w:top w:val="nil"/>
              <w:left w:val="nil"/>
              <w:bottom w:val="nil"/>
              <w:right w:val="nil"/>
            </w:tcBorders>
            <w:shd w:val="clear" w:color="auto" w:fill="auto"/>
            <w:noWrap/>
            <w:vAlign w:val="bottom"/>
          </w:tcPr>
          <w:p w14:paraId="68E6CF85" w14:textId="77777777" w:rsidR="000020B9" w:rsidRPr="00CC6DC9" w:rsidRDefault="000020B9" w:rsidP="00EF25E1">
            <w:pPr>
              <w:jc w:val="center"/>
              <w:rPr>
                <w:color w:val="000000"/>
                <w:sz w:val="20"/>
                <w:szCs w:val="20"/>
              </w:rPr>
            </w:pPr>
          </w:p>
        </w:tc>
        <w:tc>
          <w:tcPr>
            <w:tcW w:w="757" w:type="dxa"/>
            <w:tcBorders>
              <w:top w:val="nil"/>
              <w:left w:val="nil"/>
              <w:bottom w:val="nil"/>
              <w:right w:val="nil"/>
            </w:tcBorders>
            <w:shd w:val="clear" w:color="auto" w:fill="auto"/>
            <w:noWrap/>
            <w:vAlign w:val="bottom"/>
          </w:tcPr>
          <w:p w14:paraId="79B41860" w14:textId="77777777" w:rsidR="000020B9" w:rsidRPr="00CC6DC9" w:rsidRDefault="000020B9" w:rsidP="00EF25E1">
            <w:pPr>
              <w:jc w:val="center"/>
              <w:rPr>
                <w:color w:val="000000"/>
                <w:sz w:val="20"/>
                <w:szCs w:val="20"/>
              </w:rPr>
            </w:pPr>
          </w:p>
        </w:tc>
        <w:tc>
          <w:tcPr>
            <w:tcW w:w="1140" w:type="dxa"/>
            <w:tcBorders>
              <w:top w:val="nil"/>
              <w:left w:val="nil"/>
              <w:bottom w:val="nil"/>
              <w:right w:val="single" w:sz="4" w:space="0" w:color="auto"/>
            </w:tcBorders>
            <w:shd w:val="clear" w:color="auto" w:fill="auto"/>
            <w:noWrap/>
            <w:vAlign w:val="bottom"/>
          </w:tcPr>
          <w:p w14:paraId="0D180CC5" w14:textId="77777777" w:rsidR="000020B9" w:rsidRPr="00CC6DC9" w:rsidRDefault="000020B9" w:rsidP="00EF25E1">
            <w:pPr>
              <w:jc w:val="center"/>
              <w:rPr>
                <w:color w:val="000000"/>
                <w:sz w:val="20"/>
                <w:szCs w:val="20"/>
              </w:rPr>
            </w:pPr>
            <w:r w:rsidRPr="00CC6DC9">
              <w:rPr>
                <w:color w:val="000000"/>
                <w:sz w:val="20"/>
                <w:szCs w:val="20"/>
              </w:rPr>
              <w:t> </w:t>
            </w:r>
          </w:p>
        </w:tc>
      </w:tr>
      <w:tr w:rsidR="000020B9" w:rsidRPr="00CC6DC9" w14:paraId="3A7DBE6E" w14:textId="77777777" w:rsidTr="00EF25E1">
        <w:trPr>
          <w:trHeight w:val="300"/>
          <w:jc w:val="center"/>
        </w:trPr>
        <w:tc>
          <w:tcPr>
            <w:tcW w:w="5603" w:type="dxa"/>
            <w:tcBorders>
              <w:top w:val="single" w:sz="4" w:space="0" w:color="auto"/>
              <w:left w:val="single" w:sz="4" w:space="0" w:color="auto"/>
              <w:bottom w:val="nil"/>
              <w:right w:val="single" w:sz="4" w:space="0" w:color="auto"/>
            </w:tcBorders>
            <w:shd w:val="clear" w:color="auto" w:fill="auto"/>
            <w:noWrap/>
            <w:vAlign w:val="bottom"/>
          </w:tcPr>
          <w:p w14:paraId="3B229276" w14:textId="77777777" w:rsidR="000020B9" w:rsidRPr="00CC6DC9" w:rsidRDefault="000020B9" w:rsidP="00EF25E1">
            <w:pPr>
              <w:rPr>
                <w:color w:val="000000"/>
                <w:sz w:val="20"/>
                <w:szCs w:val="20"/>
              </w:rPr>
            </w:pPr>
            <w:r w:rsidRPr="00CC6DC9">
              <w:rPr>
                <w:color w:val="000000"/>
                <w:sz w:val="20"/>
                <w:szCs w:val="20"/>
              </w:rPr>
              <w:t>2001</w:t>
            </w:r>
          </w:p>
        </w:tc>
        <w:tc>
          <w:tcPr>
            <w:tcW w:w="640" w:type="dxa"/>
            <w:tcBorders>
              <w:top w:val="single" w:sz="4" w:space="0" w:color="auto"/>
              <w:left w:val="nil"/>
              <w:bottom w:val="nil"/>
              <w:right w:val="single" w:sz="4" w:space="0" w:color="auto"/>
            </w:tcBorders>
            <w:shd w:val="clear" w:color="auto" w:fill="auto"/>
            <w:noWrap/>
            <w:vAlign w:val="bottom"/>
          </w:tcPr>
          <w:p w14:paraId="38598C6A"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single" w:sz="4" w:space="0" w:color="auto"/>
              <w:left w:val="nil"/>
              <w:bottom w:val="nil"/>
              <w:right w:val="single" w:sz="4" w:space="0" w:color="auto"/>
            </w:tcBorders>
            <w:shd w:val="clear" w:color="auto" w:fill="auto"/>
            <w:noWrap/>
            <w:vAlign w:val="bottom"/>
          </w:tcPr>
          <w:p w14:paraId="5E6C864A" w14:textId="77777777" w:rsidR="000020B9" w:rsidRPr="00CC6DC9" w:rsidRDefault="000020B9" w:rsidP="00EF25E1">
            <w:pPr>
              <w:jc w:val="center"/>
              <w:rPr>
                <w:color w:val="000000"/>
                <w:sz w:val="20"/>
                <w:szCs w:val="20"/>
              </w:rPr>
            </w:pPr>
            <w:r w:rsidRPr="00CC6DC9">
              <w:rPr>
                <w:color w:val="000000"/>
                <w:sz w:val="20"/>
                <w:szCs w:val="20"/>
              </w:rPr>
              <w:t>0.080</w:t>
            </w:r>
          </w:p>
        </w:tc>
        <w:tc>
          <w:tcPr>
            <w:tcW w:w="1040" w:type="dxa"/>
            <w:tcBorders>
              <w:top w:val="single" w:sz="4" w:space="0" w:color="auto"/>
              <w:left w:val="nil"/>
              <w:bottom w:val="nil"/>
              <w:right w:val="single" w:sz="4" w:space="0" w:color="auto"/>
            </w:tcBorders>
            <w:shd w:val="clear" w:color="auto" w:fill="auto"/>
            <w:noWrap/>
            <w:vAlign w:val="bottom"/>
          </w:tcPr>
          <w:p w14:paraId="04689F2D" w14:textId="77777777" w:rsidR="000020B9" w:rsidRPr="00CC6DC9" w:rsidRDefault="000020B9" w:rsidP="00EF25E1">
            <w:pPr>
              <w:jc w:val="center"/>
              <w:rPr>
                <w:color w:val="000000"/>
                <w:sz w:val="20"/>
                <w:szCs w:val="20"/>
              </w:rPr>
            </w:pPr>
            <w:r w:rsidRPr="00CC6DC9">
              <w:rPr>
                <w:color w:val="000000"/>
                <w:sz w:val="20"/>
                <w:szCs w:val="20"/>
              </w:rPr>
              <w:t>0.271</w:t>
            </w:r>
          </w:p>
        </w:tc>
        <w:tc>
          <w:tcPr>
            <w:tcW w:w="757" w:type="dxa"/>
            <w:tcBorders>
              <w:top w:val="single" w:sz="4" w:space="0" w:color="auto"/>
              <w:left w:val="nil"/>
              <w:bottom w:val="nil"/>
              <w:right w:val="single" w:sz="4" w:space="0" w:color="auto"/>
            </w:tcBorders>
            <w:shd w:val="clear" w:color="auto" w:fill="auto"/>
            <w:noWrap/>
            <w:vAlign w:val="bottom"/>
          </w:tcPr>
          <w:p w14:paraId="3CAF301A" w14:textId="77777777" w:rsidR="000020B9" w:rsidRPr="00CC6DC9" w:rsidRDefault="000020B9" w:rsidP="00EF25E1">
            <w:pPr>
              <w:jc w:val="center"/>
              <w:rPr>
                <w:color w:val="000000"/>
                <w:sz w:val="20"/>
                <w:szCs w:val="20"/>
              </w:rPr>
            </w:pPr>
            <w:r w:rsidRPr="00CC6DC9">
              <w:rPr>
                <w:color w:val="000000"/>
                <w:sz w:val="20"/>
                <w:szCs w:val="20"/>
              </w:rPr>
              <w:t>0</w:t>
            </w:r>
          </w:p>
        </w:tc>
        <w:tc>
          <w:tcPr>
            <w:tcW w:w="1140" w:type="dxa"/>
            <w:tcBorders>
              <w:top w:val="single" w:sz="4" w:space="0" w:color="auto"/>
              <w:left w:val="nil"/>
              <w:bottom w:val="nil"/>
              <w:right w:val="single" w:sz="4" w:space="0" w:color="auto"/>
            </w:tcBorders>
            <w:shd w:val="clear" w:color="auto" w:fill="auto"/>
            <w:noWrap/>
            <w:vAlign w:val="bottom"/>
          </w:tcPr>
          <w:p w14:paraId="27D53C79" w14:textId="77777777" w:rsidR="000020B9" w:rsidRPr="00CC6DC9" w:rsidRDefault="000020B9" w:rsidP="00EF25E1">
            <w:pPr>
              <w:jc w:val="center"/>
              <w:rPr>
                <w:color w:val="000000"/>
                <w:sz w:val="20"/>
                <w:szCs w:val="20"/>
              </w:rPr>
            </w:pPr>
            <w:r w:rsidRPr="00CC6DC9">
              <w:rPr>
                <w:color w:val="000000"/>
                <w:sz w:val="20"/>
                <w:szCs w:val="20"/>
              </w:rPr>
              <w:t>1</w:t>
            </w:r>
          </w:p>
        </w:tc>
      </w:tr>
      <w:tr w:rsidR="000020B9" w:rsidRPr="00CC6DC9" w14:paraId="624215C0"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04FF5EF3" w14:textId="77777777" w:rsidR="000020B9" w:rsidRPr="00CC6DC9" w:rsidRDefault="000020B9" w:rsidP="00EF25E1">
            <w:pPr>
              <w:rPr>
                <w:color w:val="000000"/>
                <w:sz w:val="20"/>
                <w:szCs w:val="20"/>
              </w:rPr>
            </w:pPr>
            <w:r w:rsidRPr="00CC6DC9">
              <w:rPr>
                <w:color w:val="000000"/>
                <w:sz w:val="20"/>
                <w:szCs w:val="20"/>
              </w:rPr>
              <w:t>2002</w:t>
            </w:r>
          </w:p>
        </w:tc>
        <w:tc>
          <w:tcPr>
            <w:tcW w:w="640" w:type="dxa"/>
            <w:tcBorders>
              <w:top w:val="nil"/>
              <w:left w:val="nil"/>
              <w:bottom w:val="nil"/>
              <w:right w:val="single" w:sz="4" w:space="0" w:color="auto"/>
            </w:tcBorders>
            <w:shd w:val="clear" w:color="auto" w:fill="auto"/>
            <w:noWrap/>
            <w:vAlign w:val="bottom"/>
          </w:tcPr>
          <w:p w14:paraId="53EA53B6"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5F9A593D" w14:textId="77777777" w:rsidR="000020B9" w:rsidRPr="00CC6DC9" w:rsidRDefault="000020B9" w:rsidP="00EF25E1">
            <w:pPr>
              <w:jc w:val="center"/>
              <w:rPr>
                <w:color w:val="000000"/>
                <w:sz w:val="20"/>
                <w:szCs w:val="20"/>
              </w:rPr>
            </w:pPr>
            <w:r w:rsidRPr="00CC6DC9">
              <w:rPr>
                <w:color w:val="000000"/>
                <w:sz w:val="20"/>
                <w:szCs w:val="20"/>
              </w:rPr>
              <w:t>0.082</w:t>
            </w:r>
          </w:p>
        </w:tc>
        <w:tc>
          <w:tcPr>
            <w:tcW w:w="1040" w:type="dxa"/>
            <w:tcBorders>
              <w:top w:val="nil"/>
              <w:left w:val="nil"/>
              <w:bottom w:val="nil"/>
              <w:right w:val="single" w:sz="4" w:space="0" w:color="auto"/>
            </w:tcBorders>
            <w:shd w:val="clear" w:color="auto" w:fill="auto"/>
            <w:noWrap/>
            <w:vAlign w:val="bottom"/>
          </w:tcPr>
          <w:p w14:paraId="3F5E571F" w14:textId="77777777" w:rsidR="000020B9" w:rsidRPr="00CC6DC9" w:rsidRDefault="000020B9" w:rsidP="00EF25E1">
            <w:pPr>
              <w:jc w:val="center"/>
              <w:rPr>
                <w:color w:val="000000"/>
                <w:sz w:val="20"/>
                <w:szCs w:val="20"/>
              </w:rPr>
            </w:pPr>
            <w:r w:rsidRPr="00CC6DC9">
              <w:rPr>
                <w:color w:val="000000"/>
                <w:sz w:val="20"/>
                <w:szCs w:val="20"/>
              </w:rPr>
              <w:t>0.274</w:t>
            </w:r>
          </w:p>
        </w:tc>
        <w:tc>
          <w:tcPr>
            <w:tcW w:w="757" w:type="dxa"/>
            <w:tcBorders>
              <w:top w:val="nil"/>
              <w:left w:val="nil"/>
              <w:bottom w:val="nil"/>
              <w:right w:val="single" w:sz="4" w:space="0" w:color="auto"/>
            </w:tcBorders>
            <w:shd w:val="clear" w:color="auto" w:fill="auto"/>
            <w:noWrap/>
            <w:vAlign w:val="bottom"/>
          </w:tcPr>
          <w:p w14:paraId="21411190" w14:textId="77777777" w:rsidR="000020B9" w:rsidRPr="00CC6DC9" w:rsidRDefault="000020B9" w:rsidP="00EF25E1">
            <w:pPr>
              <w:jc w:val="center"/>
              <w:rPr>
                <w:color w:val="000000"/>
                <w:sz w:val="20"/>
                <w:szCs w:val="20"/>
              </w:rPr>
            </w:pPr>
            <w:r w:rsidRPr="00CC6DC9">
              <w:rPr>
                <w:color w:val="000000"/>
                <w:sz w:val="20"/>
                <w:szCs w:val="20"/>
              </w:rPr>
              <w:t>0</w:t>
            </w:r>
          </w:p>
        </w:tc>
        <w:tc>
          <w:tcPr>
            <w:tcW w:w="1140" w:type="dxa"/>
            <w:tcBorders>
              <w:top w:val="nil"/>
              <w:left w:val="nil"/>
              <w:bottom w:val="nil"/>
              <w:right w:val="single" w:sz="4" w:space="0" w:color="auto"/>
            </w:tcBorders>
            <w:shd w:val="clear" w:color="auto" w:fill="auto"/>
            <w:noWrap/>
            <w:vAlign w:val="bottom"/>
          </w:tcPr>
          <w:p w14:paraId="584B77DC" w14:textId="77777777" w:rsidR="000020B9" w:rsidRPr="00CC6DC9" w:rsidRDefault="000020B9" w:rsidP="00EF25E1">
            <w:pPr>
              <w:jc w:val="center"/>
              <w:rPr>
                <w:color w:val="000000"/>
                <w:sz w:val="20"/>
                <w:szCs w:val="20"/>
              </w:rPr>
            </w:pPr>
            <w:r w:rsidRPr="00CC6DC9">
              <w:rPr>
                <w:color w:val="000000"/>
                <w:sz w:val="20"/>
                <w:szCs w:val="20"/>
              </w:rPr>
              <w:t>1</w:t>
            </w:r>
          </w:p>
        </w:tc>
      </w:tr>
      <w:tr w:rsidR="000020B9" w:rsidRPr="00CC6DC9" w14:paraId="17247541"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1C4956FF" w14:textId="77777777" w:rsidR="000020B9" w:rsidRPr="00CC6DC9" w:rsidRDefault="000020B9" w:rsidP="00EF25E1">
            <w:pPr>
              <w:rPr>
                <w:color w:val="000000"/>
                <w:sz w:val="20"/>
                <w:szCs w:val="20"/>
              </w:rPr>
            </w:pPr>
            <w:r w:rsidRPr="00CC6DC9">
              <w:rPr>
                <w:color w:val="000000"/>
                <w:sz w:val="20"/>
                <w:szCs w:val="20"/>
              </w:rPr>
              <w:t>2003</w:t>
            </w:r>
          </w:p>
        </w:tc>
        <w:tc>
          <w:tcPr>
            <w:tcW w:w="640" w:type="dxa"/>
            <w:tcBorders>
              <w:top w:val="nil"/>
              <w:left w:val="nil"/>
              <w:bottom w:val="nil"/>
              <w:right w:val="single" w:sz="4" w:space="0" w:color="auto"/>
            </w:tcBorders>
            <w:shd w:val="clear" w:color="auto" w:fill="auto"/>
            <w:noWrap/>
            <w:vAlign w:val="bottom"/>
          </w:tcPr>
          <w:p w14:paraId="449B2BDC"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0FEE6BBE" w14:textId="77777777" w:rsidR="000020B9" w:rsidRPr="00CC6DC9" w:rsidRDefault="000020B9" w:rsidP="00EF25E1">
            <w:pPr>
              <w:jc w:val="center"/>
              <w:rPr>
                <w:color w:val="000000"/>
                <w:sz w:val="20"/>
                <w:szCs w:val="20"/>
              </w:rPr>
            </w:pPr>
            <w:r w:rsidRPr="00CC6DC9">
              <w:rPr>
                <w:color w:val="000000"/>
                <w:sz w:val="20"/>
                <w:szCs w:val="20"/>
              </w:rPr>
              <w:t>0.081</w:t>
            </w:r>
          </w:p>
        </w:tc>
        <w:tc>
          <w:tcPr>
            <w:tcW w:w="1040" w:type="dxa"/>
            <w:tcBorders>
              <w:top w:val="nil"/>
              <w:left w:val="nil"/>
              <w:bottom w:val="nil"/>
              <w:right w:val="single" w:sz="4" w:space="0" w:color="auto"/>
            </w:tcBorders>
            <w:shd w:val="clear" w:color="auto" w:fill="auto"/>
            <w:noWrap/>
            <w:vAlign w:val="bottom"/>
          </w:tcPr>
          <w:p w14:paraId="48A8232D" w14:textId="77777777" w:rsidR="000020B9" w:rsidRPr="00CC6DC9" w:rsidRDefault="000020B9" w:rsidP="00EF25E1">
            <w:pPr>
              <w:jc w:val="center"/>
              <w:rPr>
                <w:color w:val="000000"/>
                <w:sz w:val="20"/>
                <w:szCs w:val="20"/>
              </w:rPr>
            </w:pPr>
            <w:r w:rsidRPr="00CC6DC9">
              <w:rPr>
                <w:color w:val="000000"/>
                <w:sz w:val="20"/>
                <w:szCs w:val="20"/>
              </w:rPr>
              <w:t>0.273</w:t>
            </w:r>
          </w:p>
        </w:tc>
        <w:tc>
          <w:tcPr>
            <w:tcW w:w="757" w:type="dxa"/>
            <w:tcBorders>
              <w:top w:val="nil"/>
              <w:left w:val="nil"/>
              <w:bottom w:val="nil"/>
              <w:right w:val="single" w:sz="4" w:space="0" w:color="auto"/>
            </w:tcBorders>
            <w:shd w:val="clear" w:color="auto" w:fill="auto"/>
            <w:noWrap/>
            <w:vAlign w:val="bottom"/>
          </w:tcPr>
          <w:p w14:paraId="755A564D" w14:textId="77777777" w:rsidR="000020B9" w:rsidRPr="00CC6DC9" w:rsidRDefault="000020B9" w:rsidP="00EF25E1">
            <w:pPr>
              <w:jc w:val="center"/>
              <w:rPr>
                <w:color w:val="000000"/>
                <w:sz w:val="20"/>
                <w:szCs w:val="20"/>
              </w:rPr>
            </w:pPr>
            <w:r w:rsidRPr="00CC6DC9">
              <w:rPr>
                <w:color w:val="000000"/>
                <w:sz w:val="20"/>
                <w:szCs w:val="20"/>
              </w:rPr>
              <w:t>0</w:t>
            </w:r>
          </w:p>
        </w:tc>
        <w:tc>
          <w:tcPr>
            <w:tcW w:w="1140" w:type="dxa"/>
            <w:tcBorders>
              <w:top w:val="nil"/>
              <w:left w:val="nil"/>
              <w:bottom w:val="nil"/>
              <w:right w:val="single" w:sz="4" w:space="0" w:color="auto"/>
            </w:tcBorders>
            <w:shd w:val="clear" w:color="auto" w:fill="auto"/>
            <w:noWrap/>
            <w:vAlign w:val="bottom"/>
          </w:tcPr>
          <w:p w14:paraId="25ADC9D3" w14:textId="77777777" w:rsidR="000020B9" w:rsidRPr="00CC6DC9" w:rsidRDefault="000020B9" w:rsidP="00EF25E1">
            <w:pPr>
              <w:jc w:val="center"/>
              <w:rPr>
                <w:color w:val="000000"/>
                <w:sz w:val="20"/>
                <w:szCs w:val="20"/>
              </w:rPr>
            </w:pPr>
            <w:r w:rsidRPr="00CC6DC9">
              <w:rPr>
                <w:color w:val="000000"/>
                <w:sz w:val="20"/>
                <w:szCs w:val="20"/>
              </w:rPr>
              <w:t>1</w:t>
            </w:r>
          </w:p>
        </w:tc>
      </w:tr>
      <w:tr w:rsidR="000020B9" w:rsidRPr="00CC6DC9" w14:paraId="358CE492"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6CB2EAAB" w14:textId="77777777" w:rsidR="000020B9" w:rsidRPr="00CC6DC9" w:rsidRDefault="000020B9" w:rsidP="00EF25E1">
            <w:pPr>
              <w:rPr>
                <w:color w:val="000000"/>
                <w:sz w:val="20"/>
                <w:szCs w:val="20"/>
              </w:rPr>
            </w:pPr>
            <w:r w:rsidRPr="00CC6DC9">
              <w:rPr>
                <w:color w:val="000000"/>
                <w:sz w:val="20"/>
                <w:szCs w:val="20"/>
              </w:rPr>
              <w:t>2004</w:t>
            </w:r>
          </w:p>
        </w:tc>
        <w:tc>
          <w:tcPr>
            <w:tcW w:w="640" w:type="dxa"/>
            <w:tcBorders>
              <w:top w:val="nil"/>
              <w:left w:val="nil"/>
              <w:bottom w:val="nil"/>
              <w:right w:val="single" w:sz="4" w:space="0" w:color="auto"/>
            </w:tcBorders>
            <w:shd w:val="clear" w:color="auto" w:fill="auto"/>
            <w:noWrap/>
            <w:vAlign w:val="bottom"/>
          </w:tcPr>
          <w:p w14:paraId="26E19AD5"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37FDA8D5" w14:textId="77777777" w:rsidR="000020B9" w:rsidRPr="00CC6DC9" w:rsidRDefault="000020B9" w:rsidP="00EF25E1">
            <w:pPr>
              <w:jc w:val="center"/>
              <w:rPr>
                <w:color w:val="000000"/>
                <w:sz w:val="20"/>
                <w:szCs w:val="20"/>
              </w:rPr>
            </w:pPr>
            <w:r w:rsidRPr="00CC6DC9">
              <w:rPr>
                <w:color w:val="000000"/>
                <w:sz w:val="20"/>
                <w:szCs w:val="20"/>
              </w:rPr>
              <w:t>0.082</w:t>
            </w:r>
          </w:p>
        </w:tc>
        <w:tc>
          <w:tcPr>
            <w:tcW w:w="1040" w:type="dxa"/>
            <w:tcBorders>
              <w:top w:val="nil"/>
              <w:left w:val="nil"/>
              <w:bottom w:val="nil"/>
              <w:right w:val="single" w:sz="4" w:space="0" w:color="auto"/>
            </w:tcBorders>
            <w:shd w:val="clear" w:color="auto" w:fill="auto"/>
            <w:noWrap/>
            <w:vAlign w:val="bottom"/>
          </w:tcPr>
          <w:p w14:paraId="1942C9D9" w14:textId="77777777" w:rsidR="000020B9" w:rsidRPr="00CC6DC9" w:rsidRDefault="000020B9" w:rsidP="00EF25E1">
            <w:pPr>
              <w:jc w:val="center"/>
              <w:rPr>
                <w:color w:val="000000"/>
                <w:sz w:val="20"/>
                <w:szCs w:val="20"/>
              </w:rPr>
            </w:pPr>
            <w:r w:rsidRPr="00CC6DC9">
              <w:rPr>
                <w:color w:val="000000"/>
                <w:sz w:val="20"/>
                <w:szCs w:val="20"/>
              </w:rPr>
              <w:t>0.274</w:t>
            </w:r>
          </w:p>
        </w:tc>
        <w:tc>
          <w:tcPr>
            <w:tcW w:w="757" w:type="dxa"/>
            <w:tcBorders>
              <w:top w:val="nil"/>
              <w:left w:val="nil"/>
              <w:bottom w:val="nil"/>
              <w:right w:val="single" w:sz="4" w:space="0" w:color="auto"/>
            </w:tcBorders>
            <w:shd w:val="clear" w:color="auto" w:fill="auto"/>
            <w:noWrap/>
            <w:vAlign w:val="bottom"/>
          </w:tcPr>
          <w:p w14:paraId="324654D6" w14:textId="77777777" w:rsidR="000020B9" w:rsidRPr="00CC6DC9" w:rsidRDefault="000020B9" w:rsidP="00EF25E1">
            <w:pPr>
              <w:jc w:val="center"/>
              <w:rPr>
                <w:color w:val="000000"/>
                <w:sz w:val="20"/>
                <w:szCs w:val="20"/>
              </w:rPr>
            </w:pPr>
            <w:r w:rsidRPr="00CC6DC9">
              <w:rPr>
                <w:color w:val="000000"/>
                <w:sz w:val="20"/>
                <w:szCs w:val="20"/>
              </w:rPr>
              <w:t>0</w:t>
            </w:r>
          </w:p>
        </w:tc>
        <w:tc>
          <w:tcPr>
            <w:tcW w:w="1140" w:type="dxa"/>
            <w:tcBorders>
              <w:top w:val="nil"/>
              <w:left w:val="nil"/>
              <w:bottom w:val="nil"/>
              <w:right w:val="single" w:sz="4" w:space="0" w:color="auto"/>
            </w:tcBorders>
            <w:shd w:val="clear" w:color="auto" w:fill="auto"/>
            <w:noWrap/>
            <w:vAlign w:val="bottom"/>
          </w:tcPr>
          <w:p w14:paraId="4F3168C3" w14:textId="77777777" w:rsidR="000020B9" w:rsidRPr="00CC6DC9" w:rsidRDefault="000020B9" w:rsidP="00EF25E1">
            <w:pPr>
              <w:jc w:val="center"/>
              <w:rPr>
                <w:color w:val="000000"/>
                <w:sz w:val="20"/>
                <w:szCs w:val="20"/>
              </w:rPr>
            </w:pPr>
            <w:r w:rsidRPr="00CC6DC9">
              <w:rPr>
                <w:color w:val="000000"/>
                <w:sz w:val="20"/>
                <w:szCs w:val="20"/>
              </w:rPr>
              <w:t>1</w:t>
            </w:r>
          </w:p>
        </w:tc>
      </w:tr>
      <w:tr w:rsidR="000020B9" w:rsidRPr="00CC6DC9" w14:paraId="25B2B0D8"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792985CF" w14:textId="77777777" w:rsidR="000020B9" w:rsidRPr="00CC6DC9" w:rsidRDefault="000020B9" w:rsidP="00EF25E1">
            <w:pPr>
              <w:rPr>
                <w:color w:val="000000"/>
                <w:sz w:val="20"/>
                <w:szCs w:val="20"/>
              </w:rPr>
            </w:pPr>
            <w:r w:rsidRPr="00CC6DC9">
              <w:rPr>
                <w:color w:val="000000"/>
                <w:sz w:val="20"/>
                <w:szCs w:val="20"/>
              </w:rPr>
              <w:t>2005</w:t>
            </w:r>
          </w:p>
        </w:tc>
        <w:tc>
          <w:tcPr>
            <w:tcW w:w="640" w:type="dxa"/>
            <w:tcBorders>
              <w:top w:val="nil"/>
              <w:left w:val="nil"/>
              <w:bottom w:val="nil"/>
              <w:right w:val="single" w:sz="4" w:space="0" w:color="auto"/>
            </w:tcBorders>
            <w:shd w:val="clear" w:color="auto" w:fill="auto"/>
            <w:noWrap/>
            <w:vAlign w:val="bottom"/>
          </w:tcPr>
          <w:p w14:paraId="48FF4F0F"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0588CBD8" w14:textId="77777777" w:rsidR="000020B9" w:rsidRPr="00CC6DC9" w:rsidRDefault="000020B9" w:rsidP="00EF25E1">
            <w:pPr>
              <w:jc w:val="center"/>
              <w:rPr>
                <w:color w:val="000000"/>
                <w:sz w:val="20"/>
                <w:szCs w:val="20"/>
              </w:rPr>
            </w:pPr>
            <w:r w:rsidRPr="00CC6DC9">
              <w:rPr>
                <w:color w:val="000000"/>
                <w:sz w:val="20"/>
                <w:szCs w:val="20"/>
              </w:rPr>
              <w:t>0.089</w:t>
            </w:r>
          </w:p>
        </w:tc>
        <w:tc>
          <w:tcPr>
            <w:tcW w:w="1040" w:type="dxa"/>
            <w:tcBorders>
              <w:top w:val="nil"/>
              <w:left w:val="nil"/>
              <w:bottom w:val="nil"/>
              <w:right w:val="single" w:sz="4" w:space="0" w:color="auto"/>
            </w:tcBorders>
            <w:shd w:val="clear" w:color="auto" w:fill="auto"/>
            <w:noWrap/>
            <w:vAlign w:val="bottom"/>
          </w:tcPr>
          <w:p w14:paraId="6C00C554" w14:textId="77777777" w:rsidR="000020B9" w:rsidRPr="00CC6DC9" w:rsidRDefault="000020B9" w:rsidP="00EF25E1">
            <w:pPr>
              <w:jc w:val="center"/>
              <w:rPr>
                <w:color w:val="000000"/>
                <w:sz w:val="20"/>
                <w:szCs w:val="20"/>
              </w:rPr>
            </w:pPr>
            <w:r w:rsidRPr="00CC6DC9">
              <w:rPr>
                <w:color w:val="000000"/>
                <w:sz w:val="20"/>
                <w:szCs w:val="20"/>
              </w:rPr>
              <w:t>0.284</w:t>
            </w:r>
          </w:p>
        </w:tc>
        <w:tc>
          <w:tcPr>
            <w:tcW w:w="757" w:type="dxa"/>
            <w:tcBorders>
              <w:top w:val="nil"/>
              <w:left w:val="nil"/>
              <w:bottom w:val="nil"/>
              <w:right w:val="single" w:sz="4" w:space="0" w:color="auto"/>
            </w:tcBorders>
            <w:shd w:val="clear" w:color="auto" w:fill="auto"/>
            <w:noWrap/>
            <w:vAlign w:val="bottom"/>
          </w:tcPr>
          <w:p w14:paraId="749F19A1" w14:textId="77777777" w:rsidR="000020B9" w:rsidRPr="00CC6DC9" w:rsidRDefault="000020B9" w:rsidP="00EF25E1">
            <w:pPr>
              <w:jc w:val="center"/>
              <w:rPr>
                <w:color w:val="000000"/>
                <w:sz w:val="20"/>
                <w:szCs w:val="20"/>
              </w:rPr>
            </w:pPr>
            <w:r w:rsidRPr="00CC6DC9">
              <w:rPr>
                <w:color w:val="000000"/>
                <w:sz w:val="20"/>
                <w:szCs w:val="20"/>
              </w:rPr>
              <w:t>0</w:t>
            </w:r>
          </w:p>
        </w:tc>
        <w:tc>
          <w:tcPr>
            <w:tcW w:w="1140" w:type="dxa"/>
            <w:tcBorders>
              <w:top w:val="nil"/>
              <w:left w:val="nil"/>
              <w:bottom w:val="nil"/>
              <w:right w:val="single" w:sz="4" w:space="0" w:color="auto"/>
            </w:tcBorders>
            <w:shd w:val="clear" w:color="auto" w:fill="auto"/>
            <w:noWrap/>
            <w:vAlign w:val="bottom"/>
          </w:tcPr>
          <w:p w14:paraId="16A727E8" w14:textId="77777777" w:rsidR="000020B9" w:rsidRPr="00CC6DC9" w:rsidRDefault="000020B9" w:rsidP="00EF25E1">
            <w:pPr>
              <w:jc w:val="center"/>
              <w:rPr>
                <w:color w:val="000000"/>
                <w:sz w:val="20"/>
                <w:szCs w:val="20"/>
              </w:rPr>
            </w:pPr>
            <w:r w:rsidRPr="00CC6DC9">
              <w:rPr>
                <w:color w:val="000000"/>
                <w:sz w:val="20"/>
                <w:szCs w:val="20"/>
              </w:rPr>
              <w:t>1</w:t>
            </w:r>
          </w:p>
        </w:tc>
      </w:tr>
      <w:tr w:rsidR="000020B9" w:rsidRPr="00CC6DC9" w14:paraId="245462DE"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533725D6" w14:textId="77777777" w:rsidR="000020B9" w:rsidRPr="00CC6DC9" w:rsidRDefault="000020B9" w:rsidP="00EF25E1">
            <w:pPr>
              <w:rPr>
                <w:color w:val="000000"/>
                <w:sz w:val="20"/>
                <w:szCs w:val="20"/>
              </w:rPr>
            </w:pPr>
            <w:r w:rsidRPr="00CC6DC9">
              <w:rPr>
                <w:color w:val="000000"/>
                <w:sz w:val="20"/>
                <w:szCs w:val="20"/>
              </w:rPr>
              <w:t>2006</w:t>
            </w:r>
          </w:p>
        </w:tc>
        <w:tc>
          <w:tcPr>
            <w:tcW w:w="640" w:type="dxa"/>
            <w:tcBorders>
              <w:top w:val="nil"/>
              <w:left w:val="nil"/>
              <w:bottom w:val="nil"/>
              <w:right w:val="single" w:sz="4" w:space="0" w:color="auto"/>
            </w:tcBorders>
            <w:shd w:val="clear" w:color="auto" w:fill="auto"/>
            <w:noWrap/>
            <w:vAlign w:val="bottom"/>
          </w:tcPr>
          <w:p w14:paraId="05B354A5"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4BC2DF82" w14:textId="77777777" w:rsidR="000020B9" w:rsidRPr="00CC6DC9" w:rsidRDefault="000020B9" w:rsidP="00EF25E1">
            <w:pPr>
              <w:jc w:val="center"/>
              <w:rPr>
                <w:color w:val="000000"/>
                <w:sz w:val="20"/>
                <w:szCs w:val="20"/>
              </w:rPr>
            </w:pPr>
            <w:r w:rsidRPr="00CC6DC9">
              <w:rPr>
                <w:color w:val="000000"/>
                <w:sz w:val="20"/>
                <w:szCs w:val="20"/>
              </w:rPr>
              <w:t>0.098</w:t>
            </w:r>
          </w:p>
        </w:tc>
        <w:tc>
          <w:tcPr>
            <w:tcW w:w="1040" w:type="dxa"/>
            <w:tcBorders>
              <w:top w:val="nil"/>
              <w:left w:val="nil"/>
              <w:bottom w:val="nil"/>
              <w:right w:val="single" w:sz="4" w:space="0" w:color="auto"/>
            </w:tcBorders>
            <w:shd w:val="clear" w:color="auto" w:fill="auto"/>
            <w:noWrap/>
            <w:vAlign w:val="bottom"/>
          </w:tcPr>
          <w:p w14:paraId="0E056675" w14:textId="77777777" w:rsidR="000020B9" w:rsidRPr="00CC6DC9" w:rsidRDefault="000020B9" w:rsidP="00EF25E1">
            <w:pPr>
              <w:jc w:val="center"/>
              <w:rPr>
                <w:color w:val="000000"/>
                <w:sz w:val="20"/>
                <w:szCs w:val="20"/>
              </w:rPr>
            </w:pPr>
            <w:r w:rsidRPr="00CC6DC9">
              <w:rPr>
                <w:color w:val="000000"/>
                <w:sz w:val="20"/>
                <w:szCs w:val="20"/>
              </w:rPr>
              <w:t>0.298</w:t>
            </w:r>
          </w:p>
        </w:tc>
        <w:tc>
          <w:tcPr>
            <w:tcW w:w="757" w:type="dxa"/>
            <w:tcBorders>
              <w:top w:val="nil"/>
              <w:left w:val="nil"/>
              <w:bottom w:val="nil"/>
              <w:right w:val="single" w:sz="4" w:space="0" w:color="auto"/>
            </w:tcBorders>
            <w:shd w:val="clear" w:color="auto" w:fill="auto"/>
            <w:noWrap/>
            <w:vAlign w:val="bottom"/>
          </w:tcPr>
          <w:p w14:paraId="00383D05" w14:textId="77777777" w:rsidR="000020B9" w:rsidRPr="00CC6DC9" w:rsidRDefault="000020B9" w:rsidP="00EF25E1">
            <w:pPr>
              <w:jc w:val="center"/>
              <w:rPr>
                <w:color w:val="000000"/>
                <w:sz w:val="20"/>
                <w:szCs w:val="20"/>
              </w:rPr>
            </w:pPr>
            <w:r w:rsidRPr="00CC6DC9">
              <w:rPr>
                <w:color w:val="000000"/>
                <w:sz w:val="20"/>
                <w:szCs w:val="20"/>
              </w:rPr>
              <w:t>0</w:t>
            </w:r>
          </w:p>
        </w:tc>
        <w:tc>
          <w:tcPr>
            <w:tcW w:w="1140" w:type="dxa"/>
            <w:tcBorders>
              <w:top w:val="nil"/>
              <w:left w:val="nil"/>
              <w:bottom w:val="nil"/>
              <w:right w:val="single" w:sz="4" w:space="0" w:color="auto"/>
            </w:tcBorders>
            <w:shd w:val="clear" w:color="auto" w:fill="auto"/>
            <w:noWrap/>
            <w:vAlign w:val="bottom"/>
          </w:tcPr>
          <w:p w14:paraId="0889AA3C" w14:textId="77777777" w:rsidR="000020B9" w:rsidRPr="00CC6DC9" w:rsidRDefault="000020B9" w:rsidP="00EF25E1">
            <w:pPr>
              <w:jc w:val="center"/>
              <w:rPr>
                <w:color w:val="000000"/>
                <w:sz w:val="20"/>
                <w:szCs w:val="20"/>
              </w:rPr>
            </w:pPr>
            <w:r w:rsidRPr="00CC6DC9">
              <w:rPr>
                <w:color w:val="000000"/>
                <w:sz w:val="20"/>
                <w:szCs w:val="20"/>
              </w:rPr>
              <w:t>1</w:t>
            </w:r>
          </w:p>
        </w:tc>
      </w:tr>
      <w:tr w:rsidR="000020B9" w:rsidRPr="00CC6DC9" w14:paraId="339207AC"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5461A0CD" w14:textId="77777777" w:rsidR="000020B9" w:rsidRPr="00CC6DC9" w:rsidRDefault="000020B9" w:rsidP="00EF25E1">
            <w:pPr>
              <w:rPr>
                <w:color w:val="000000"/>
                <w:sz w:val="20"/>
                <w:szCs w:val="20"/>
              </w:rPr>
            </w:pPr>
            <w:r w:rsidRPr="00CC6DC9">
              <w:rPr>
                <w:color w:val="000000"/>
                <w:sz w:val="20"/>
                <w:szCs w:val="20"/>
              </w:rPr>
              <w:t>2007</w:t>
            </w:r>
          </w:p>
        </w:tc>
        <w:tc>
          <w:tcPr>
            <w:tcW w:w="640" w:type="dxa"/>
            <w:tcBorders>
              <w:top w:val="nil"/>
              <w:left w:val="nil"/>
              <w:bottom w:val="nil"/>
              <w:right w:val="single" w:sz="4" w:space="0" w:color="auto"/>
            </w:tcBorders>
            <w:shd w:val="clear" w:color="auto" w:fill="auto"/>
            <w:noWrap/>
            <w:vAlign w:val="bottom"/>
          </w:tcPr>
          <w:p w14:paraId="4062B1FA"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2552895B" w14:textId="77777777" w:rsidR="000020B9" w:rsidRPr="00CC6DC9" w:rsidRDefault="000020B9" w:rsidP="00EF25E1">
            <w:pPr>
              <w:jc w:val="center"/>
              <w:rPr>
                <w:color w:val="000000"/>
                <w:sz w:val="20"/>
                <w:szCs w:val="20"/>
              </w:rPr>
            </w:pPr>
            <w:r w:rsidRPr="00CC6DC9">
              <w:rPr>
                <w:color w:val="000000"/>
                <w:sz w:val="20"/>
                <w:szCs w:val="20"/>
              </w:rPr>
              <w:t>0.106</w:t>
            </w:r>
          </w:p>
        </w:tc>
        <w:tc>
          <w:tcPr>
            <w:tcW w:w="1040" w:type="dxa"/>
            <w:tcBorders>
              <w:top w:val="nil"/>
              <w:left w:val="nil"/>
              <w:bottom w:val="nil"/>
              <w:right w:val="single" w:sz="4" w:space="0" w:color="auto"/>
            </w:tcBorders>
            <w:shd w:val="clear" w:color="auto" w:fill="auto"/>
            <w:noWrap/>
            <w:vAlign w:val="bottom"/>
          </w:tcPr>
          <w:p w14:paraId="6A6C311D" w14:textId="77777777" w:rsidR="000020B9" w:rsidRPr="00CC6DC9" w:rsidRDefault="000020B9" w:rsidP="00EF25E1">
            <w:pPr>
              <w:jc w:val="center"/>
              <w:rPr>
                <w:color w:val="000000"/>
                <w:sz w:val="20"/>
                <w:szCs w:val="20"/>
              </w:rPr>
            </w:pPr>
            <w:r w:rsidRPr="00CC6DC9">
              <w:rPr>
                <w:color w:val="000000"/>
                <w:sz w:val="20"/>
                <w:szCs w:val="20"/>
              </w:rPr>
              <w:t>0.308</w:t>
            </w:r>
          </w:p>
        </w:tc>
        <w:tc>
          <w:tcPr>
            <w:tcW w:w="757" w:type="dxa"/>
            <w:tcBorders>
              <w:top w:val="nil"/>
              <w:left w:val="nil"/>
              <w:bottom w:val="nil"/>
              <w:right w:val="single" w:sz="4" w:space="0" w:color="auto"/>
            </w:tcBorders>
            <w:shd w:val="clear" w:color="auto" w:fill="auto"/>
            <w:noWrap/>
            <w:vAlign w:val="bottom"/>
          </w:tcPr>
          <w:p w14:paraId="53A50332" w14:textId="77777777" w:rsidR="000020B9" w:rsidRPr="00CC6DC9" w:rsidRDefault="000020B9" w:rsidP="00EF25E1">
            <w:pPr>
              <w:jc w:val="center"/>
              <w:rPr>
                <w:color w:val="000000"/>
                <w:sz w:val="20"/>
                <w:szCs w:val="20"/>
              </w:rPr>
            </w:pPr>
            <w:r w:rsidRPr="00CC6DC9">
              <w:rPr>
                <w:color w:val="000000"/>
                <w:sz w:val="20"/>
                <w:szCs w:val="20"/>
              </w:rPr>
              <w:t>0</w:t>
            </w:r>
          </w:p>
        </w:tc>
        <w:tc>
          <w:tcPr>
            <w:tcW w:w="1140" w:type="dxa"/>
            <w:tcBorders>
              <w:top w:val="nil"/>
              <w:left w:val="nil"/>
              <w:bottom w:val="nil"/>
              <w:right w:val="single" w:sz="4" w:space="0" w:color="auto"/>
            </w:tcBorders>
            <w:shd w:val="clear" w:color="auto" w:fill="auto"/>
            <w:noWrap/>
            <w:vAlign w:val="bottom"/>
          </w:tcPr>
          <w:p w14:paraId="7C7870F3" w14:textId="77777777" w:rsidR="000020B9" w:rsidRPr="00CC6DC9" w:rsidRDefault="000020B9" w:rsidP="00EF25E1">
            <w:pPr>
              <w:jc w:val="center"/>
              <w:rPr>
                <w:color w:val="000000"/>
                <w:sz w:val="20"/>
                <w:szCs w:val="20"/>
              </w:rPr>
            </w:pPr>
            <w:r w:rsidRPr="00CC6DC9">
              <w:rPr>
                <w:color w:val="000000"/>
                <w:sz w:val="20"/>
                <w:szCs w:val="20"/>
              </w:rPr>
              <w:t>1</w:t>
            </w:r>
          </w:p>
        </w:tc>
      </w:tr>
      <w:tr w:rsidR="000020B9" w:rsidRPr="00CC6DC9" w14:paraId="0339C2CD"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043D32D2" w14:textId="77777777" w:rsidR="000020B9" w:rsidRPr="00CC6DC9" w:rsidRDefault="000020B9" w:rsidP="00EF25E1">
            <w:pPr>
              <w:rPr>
                <w:color w:val="000000"/>
                <w:sz w:val="20"/>
                <w:szCs w:val="20"/>
              </w:rPr>
            </w:pPr>
            <w:r w:rsidRPr="00CC6DC9">
              <w:rPr>
                <w:color w:val="000000"/>
                <w:sz w:val="20"/>
                <w:szCs w:val="20"/>
              </w:rPr>
              <w:t>2008</w:t>
            </w:r>
          </w:p>
        </w:tc>
        <w:tc>
          <w:tcPr>
            <w:tcW w:w="640" w:type="dxa"/>
            <w:tcBorders>
              <w:top w:val="nil"/>
              <w:left w:val="nil"/>
              <w:bottom w:val="nil"/>
              <w:right w:val="single" w:sz="4" w:space="0" w:color="auto"/>
            </w:tcBorders>
            <w:shd w:val="clear" w:color="auto" w:fill="auto"/>
            <w:noWrap/>
            <w:vAlign w:val="bottom"/>
          </w:tcPr>
          <w:p w14:paraId="3AD353E4"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5846351B" w14:textId="77777777" w:rsidR="000020B9" w:rsidRPr="00CC6DC9" w:rsidRDefault="000020B9" w:rsidP="00EF25E1">
            <w:pPr>
              <w:jc w:val="center"/>
              <w:rPr>
                <w:color w:val="000000"/>
                <w:sz w:val="20"/>
                <w:szCs w:val="20"/>
              </w:rPr>
            </w:pPr>
            <w:r w:rsidRPr="00CC6DC9">
              <w:rPr>
                <w:color w:val="000000"/>
                <w:sz w:val="20"/>
                <w:szCs w:val="20"/>
              </w:rPr>
              <w:t>0.120</w:t>
            </w:r>
          </w:p>
        </w:tc>
        <w:tc>
          <w:tcPr>
            <w:tcW w:w="1040" w:type="dxa"/>
            <w:tcBorders>
              <w:top w:val="nil"/>
              <w:left w:val="nil"/>
              <w:bottom w:val="nil"/>
              <w:right w:val="single" w:sz="4" w:space="0" w:color="auto"/>
            </w:tcBorders>
            <w:shd w:val="clear" w:color="auto" w:fill="auto"/>
            <w:noWrap/>
            <w:vAlign w:val="bottom"/>
          </w:tcPr>
          <w:p w14:paraId="18704080" w14:textId="77777777" w:rsidR="000020B9" w:rsidRPr="00CC6DC9" w:rsidRDefault="000020B9" w:rsidP="00EF25E1">
            <w:pPr>
              <w:jc w:val="center"/>
              <w:rPr>
                <w:color w:val="000000"/>
                <w:sz w:val="20"/>
                <w:szCs w:val="20"/>
              </w:rPr>
            </w:pPr>
            <w:r w:rsidRPr="00CC6DC9">
              <w:rPr>
                <w:color w:val="000000"/>
                <w:sz w:val="20"/>
                <w:szCs w:val="20"/>
              </w:rPr>
              <w:t>0.325</w:t>
            </w:r>
          </w:p>
        </w:tc>
        <w:tc>
          <w:tcPr>
            <w:tcW w:w="757" w:type="dxa"/>
            <w:tcBorders>
              <w:top w:val="nil"/>
              <w:left w:val="nil"/>
              <w:bottom w:val="nil"/>
              <w:right w:val="single" w:sz="4" w:space="0" w:color="auto"/>
            </w:tcBorders>
            <w:shd w:val="clear" w:color="auto" w:fill="auto"/>
            <w:noWrap/>
            <w:vAlign w:val="bottom"/>
          </w:tcPr>
          <w:p w14:paraId="2567335C" w14:textId="77777777" w:rsidR="000020B9" w:rsidRPr="00CC6DC9" w:rsidRDefault="000020B9" w:rsidP="00EF25E1">
            <w:pPr>
              <w:jc w:val="center"/>
              <w:rPr>
                <w:color w:val="000000"/>
                <w:sz w:val="20"/>
                <w:szCs w:val="20"/>
              </w:rPr>
            </w:pPr>
            <w:r w:rsidRPr="00CC6DC9">
              <w:rPr>
                <w:color w:val="000000"/>
                <w:sz w:val="20"/>
                <w:szCs w:val="20"/>
              </w:rPr>
              <w:t>0</w:t>
            </w:r>
          </w:p>
        </w:tc>
        <w:tc>
          <w:tcPr>
            <w:tcW w:w="1140" w:type="dxa"/>
            <w:tcBorders>
              <w:top w:val="nil"/>
              <w:left w:val="nil"/>
              <w:bottom w:val="nil"/>
              <w:right w:val="single" w:sz="4" w:space="0" w:color="auto"/>
            </w:tcBorders>
            <w:shd w:val="clear" w:color="auto" w:fill="auto"/>
            <w:noWrap/>
            <w:vAlign w:val="bottom"/>
          </w:tcPr>
          <w:p w14:paraId="032A277E" w14:textId="77777777" w:rsidR="000020B9" w:rsidRPr="00CC6DC9" w:rsidRDefault="000020B9" w:rsidP="00EF25E1">
            <w:pPr>
              <w:jc w:val="center"/>
              <w:rPr>
                <w:color w:val="000000"/>
                <w:sz w:val="20"/>
                <w:szCs w:val="20"/>
              </w:rPr>
            </w:pPr>
            <w:r w:rsidRPr="00CC6DC9">
              <w:rPr>
                <w:color w:val="000000"/>
                <w:sz w:val="20"/>
                <w:szCs w:val="20"/>
              </w:rPr>
              <w:t>1</w:t>
            </w:r>
          </w:p>
        </w:tc>
      </w:tr>
      <w:tr w:rsidR="000020B9" w:rsidRPr="00CC6DC9" w14:paraId="11802D8A"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59F2E487" w14:textId="77777777" w:rsidR="000020B9" w:rsidRPr="00CC6DC9" w:rsidRDefault="000020B9" w:rsidP="00EF25E1">
            <w:pPr>
              <w:rPr>
                <w:color w:val="000000"/>
                <w:sz w:val="20"/>
                <w:szCs w:val="20"/>
              </w:rPr>
            </w:pPr>
            <w:r w:rsidRPr="00CC6DC9">
              <w:rPr>
                <w:color w:val="000000"/>
                <w:sz w:val="20"/>
                <w:szCs w:val="20"/>
              </w:rPr>
              <w:t>2009</w:t>
            </w:r>
          </w:p>
        </w:tc>
        <w:tc>
          <w:tcPr>
            <w:tcW w:w="640" w:type="dxa"/>
            <w:tcBorders>
              <w:top w:val="nil"/>
              <w:left w:val="nil"/>
              <w:bottom w:val="nil"/>
              <w:right w:val="single" w:sz="4" w:space="0" w:color="auto"/>
            </w:tcBorders>
            <w:shd w:val="clear" w:color="auto" w:fill="auto"/>
            <w:noWrap/>
            <w:vAlign w:val="bottom"/>
          </w:tcPr>
          <w:p w14:paraId="5635E667"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6CD4EE08" w14:textId="77777777" w:rsidR="000020B9" w:rsidRPr="00CC6DC9" w:rsidRDefault="000020B9" w:rsidP="00EF25E1">
            <w:pPr>
              <w:jc w:val="center"/>
              <w:rPr>
                <w:color w:val="000000"/>
                <w:sz w:val="20"/>
                <w:szCs w:val="20"/>
              </w:rPr>
            </w:pPr>
            <w:r w:rsidRPr="00CC6DC9">
              <w:rPr>
                <w:color w:val="000000"/>
                <w:sz w:val="20"/>
                <w:szCs w:val="20"/>
              </w:rPr>
              <w:t>0.095</w:t>
            </w:r>
          </w:p>
        </w:tc>
        <w:tc>
          <w:tcPr>
            <w:tcW w:w="1040" w:type="dxa"/>
            <w:tcBorders>
              <w:top w:val="nil"/>
              <w:left w:val="nil"/>
              <w:bottom w:val="nil"/>
              <w:right w:val="single" w:sz="4" w:space="0" w:color="auto"/>
            </w:tcBorders>
            <w:shd w:val="clear" w:color="auto" w:fill="auto"/>
            <w:noWrap/>
            <w:vAlign w:val="bottom"/>
          </w:tcPr>
          <w:p w14:paraId="3FBCA955" w14:textId="77777777" w:rsidR="000020B9" w:rsidRPr="00CC6DC9" w:rsidRDefault="000020B9" w:rsidP="00EF25E1">
            <w:pPr>
              <w:jc w:val="center"/>
              <w:rPr>
                <w:color w:val="000000"/>
                <w:sz w:val="20"/>
                <w:szCs w:val="20"/>
              </w:rPr>
            </w:pPr>
            <w:r w:rsidRPr="00CC6DC9">
              <w:rPr>
                <w:color w:val="000000"/>
                <w:sz w:val="20"/>
                <w:szCs w:val="20"/>
              </w:rPr>
              <w:t>0.293</w:t>
            </w:r>
          </w:p>
        </w:tc>
        <w:tc>
          <w:tcPr>
            <w:tcW w:w="757" w:type="dxa"/>
            <w:tcBorders>
              <w:top w:val="nil"/>
              <w:left w:val="nil"/>
              <w:bottom w:val="nil"/>
              <w:right w:val="single" w:sz="4" w:space="0" w:color="auto"/>
            </w:tcBorders>
            <w:shd w:val="clear" w:color="auto" w:fill="auto"/>
            <w:noWrap/>
            <w:vAlign w:val="bottom"/>
          </w:tcPr>
          <w:p w14:paraId="43B9089B" w14:textId="77777777" w:rsidR="000020B9" w:rsidRPr="00CC6DC9" w:rsidRDefault="000020B9" w:rsidP="00EF25E1">
            <w:pPr>
              <w:jc w:val="center"/>
              <w:rPr>
                <w:color w:val="000000"/>
                <w:sz w:val="20"/>
                <w:szCs w:val="20"/>
              </w:rPr>
            </w:pPr>
            <w:r w:rsidRPr="00CC6DC9">
              <w:rPr>
                <w:color w:val="000000"/>
                <w:sz w:val="20"/>
                <w:szCs w:val="20"/>
              </w:rPr>
              <w:t>0</w:t>
            </w:r>
          </w:p>
        </w:tc>
        <w:tc>
          <w:tcPr>
            <w:tcW w:w="1140" w:type="dxa"/>
            <w:tcBorders>
              <w:top w:val="nil"/>
              <w:left w:val="nil"/>
              <w:bottom w:val="nil"/>
              <w:right w:val="single" w:sz="4" w:space="0" w:color="auto"/>
            </w:tcBorders>
            <w:shd w:val="clear" w:color="auto" w:fill="auto"/>
            <w:noWrap/>
            <w:vAlign w:val="bottom"/>
          </w:tcPr>
          <w:p w14:paraId="2C8BFD46" w14:textId="77777777" w:rsidR="000020B9" w:rsidRPr="00CC6DC9" w:rsidRDefault="000020B9" w:rsidP="00EF25E1">
            <w:pPr>
              <w:jc w:val="center"/>
              <w:rPr>
                <w:color w:val="000000"/>
                <w:sz w:val="20"/>
                <w:szCs w:val="20"/>
              </w:rPr>
            </w:pPr>
            <w:r w:rsidRPr="00CC6DC9">
              <w:rPr>
                <w:color w:val="000000"/>
                <w:sz w:val="20"/>
                <w:szCs w:val="20"/>
              </w:rPr>
              <w:t>1</w:t>
            </w:r>
          </w:p>
        </w:tc>
      </w:tr>
      <w:tr w:rsidR="000020B9" w:rsidRPr="00CC6DC9" w14:paraId="461CB6A9"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7D5FC911" w14:textId="77777777" w:rsidR="000020B9" w:rsidRPr="00CC6DC9" w:rsidRDefault="000020B9" w:rsidP="00EF25E1">
            <w:pPr>
              <w:rPr>
                <w:color w:val="000000"/>
                <w:sz w:val="20"/>
                <w:szCs w:val="20"/>
              </w:rPr>
            </w:pPr>
            <w:r w:rsidRPr="00CC6DC9">
              <w:rPr>
                <w:color w:val="000000"/>
                <w:sz w:val="20"/>
                <w:szCs w:val="20"/>
              </w:rPr>
              <w:t>2010</w:t>
            </w:r>
          </w:p>
        </w:tc>
        <w:tc>
          <w:tcPr>
            <w:tcW w:w="640" w:type="dxa"/>
            <w:tcBorders>
              <w:top w:val="nil"/>
              <w:left w:val="nil"/>
              <w:bottom w:val="nil"/>
              <w:right w:val="single" w:sz="4" w:space="0" w:color="auto"/>
            </w:tcBorders>
            <w:shd w:val="clear" w:color="auto" w:fill="auto"/>
            <w:noWrap/>
            <w:vAlign w:val="bottom"/>
          </w:tcPr>
          <w:p w14:paraId="5EB18B62"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5C3D1254" w14:textId="77777777" w:rsidR="000020B9" w:rsidRPr="00CC6DC9" w:rsidRDefault="000020B9" w:rsidP="00EF25E1">
            <w:pPr>
              <w:jc w:val="center"/>
              <w:rPr>
                <w:color w:val="000000"/>
                <w:sz w:val="20"/>
                <w:szCs w:val="20"/>
              </w:rPr>
            </w:pPr>
            <w:r w:rsidRPr="00CC6DC9">
              <w:rPr>
                <w:color w:val="000000"/>
                <w:sz w:val="20"/>
                <w:szCs w:val="20"/>
              </w:rPr>
              <w:t>0.055</w:t>
            </w:r>
          </w:p>
        </w:tc>
        <w:tc>
          <w:tcPr>
            <w:tcW w:w="1040" w:type="dxa"/>
            <w:tcBorders>
              <w:top w:val="nil"/>
              <w:left w:val="nil"/>
              <w:bottom w:val="nil"/>
              <w:right w:val="single" w:sz="4" w:space="0" w:color="auto"/>
            </w:tcBorders>
            <w:shd w:val="clear" w:color="auto" w:fill="auto"/>
            <w:noWrap/>
            <w:vAlign w:val="bottom"/>
          </w:tcPr>
          <w:p w14:paraId="2DF517A7" w14:textId="77777777" w:rsidR="000020B9" w:rsidRPr="00CC6DC9" w:rsidRDefault="000020B9" w:rsidP="00EF25E1">
            <w:pPr>
              <w:jc w:val="center"/>
              <w:rPr>
                <w:color w:val="000000"/>
                <w:sz w:val="20"/>
                <w:szCs w:val="20"/>
              </w:rPr>
            </w:pPr>
            <w:r w:rsidRPr="00CC6DC9">
              <w:rPr>
                <w:color w:val="000000"/>
                <w:sz w:val="20"/>
                <w:szCs w:val="20"/>
              </w:rPr>
              <w:t>0.228</w:t>
            </w:r>
          </w:p>
        </w:tc>
        <w:tc>
          <w:tcPr>
            <w:tcW w:w="757" w:type="dxa"/>
            <w:tcBorders>
              <w:top w:val="nil"/>
              <w:left w:val="nil"/>
              <w:bottom w:val="nil"/>
              <w:right w:val="single" w:sz="4" w:space="0" w:color="auto"/>
            </w:tcBorders>
            <w:shd w:val="clear" w:color="auto" w:fill="auto"/>
            <w:noWrap/>
            <w:vAlign w:val="bottom"/>
          </w:tcPr>
          <w:p w14:paraId="2E99342A" w14:textId="77777777" w:rsidR="000020B9" w:rsidRPr="00CC6DC9" w:rsidRDefault="000020B9" w:rsidP="00EF25E1">
            <w:pPr>
              <w:jc w:val="center"/>
              <w:rPr>
                <w:color w:val="000000"/>
                <w:sz w:val="20"/>
                <w:szCs w:val="20"/>
              </w:rPr>
            </w:pPr>
            <w:r w:rsidRPr="00CC6DC9">
              <w:rPr>
                <w:color w:val="000000"/>
                <w:sz w:val="20"/>
                <w:szCs w:val="20"/>
              </w:rPr>
              <w:t>0</w:t>
            </w:r>
          </w:p>
        </w:tc>
        <w:tc>
          <w:tcPr>
            <w:tcW w:w="1140" w:type="dxa"/>
            <w:tcBorders>
              <w:top w:val="nil"/>
              <w:left w:val="nil"/>
              <w:bottom w:val="nil"/>
              <w:right w:val="single" w:sz="4" w:space="0" w:color="auto"/>
            </w:tcBorders>
            <w:shd w:val="clear" w:color="auto" w:fill="auto"/>
            <w:noWrap/>
            <w:vAlign w:val="bottom"/>
          </w:tcPr>
          <w:p w14:paraId="46730893" w14:textId="77777777" w:rsidR="000020B9" w:rsidRPr="00CC6DC9" w:rsidRDefault="000020B9" w:rsidP="00EF25E1">
            <w:pPr>
              <w:jc w:val="center"/>
              <w:rPr>
                <w:color w:val="000000"/>
                <w:sz w:val="20"/>
                <w:szCs w:val="20"/>
              </w:rPr>
            </w:pPr>
            <w:r w:rsidRPr="00CC6DC9">
              <w:rPr>
                <w:color w:val="000000"/>
                <w:sz w:val="20"/>
                <w:szCs w:val="20"/>
              </w:rPr>
              <w:t>1</w:t>
            </w:r>
          </w:p>
        </w:tc>
      </w:tr>
      <w:tr w:rsidR="000020B9" w:rsidRPr="00CC6DC9" w14:paraId="52374C90" w14:textId="77777777" w:rsidTr="00EF25E1">
        <w:trPr>
          <w:trHeight w:val="300"/>
          <w:jc w:val="center"/>
        </w:trPr>
        <w:tc>
          <w:tcPr>
            <w:tcW w:w="5603" w:type="dxa"/>
            <w:tcBorders>
              <w:top w:val="nil"/>
              <w:left w:val="single" w:sz="4" w:space="0" w:color="auto"/>
              <w:bottom w:val="nil"/>
              <w:right w:val="single" w:sz="4" w:space="0" w:color="auto"/>
            </w:tcBorders>
            <w:shd w:val="clear" w:color="auto" w:fill="auto"/>
            <w:noWrap/>
            <w:vAlign w:val="bottom"/>
          </w:tcPr>
          <w:p w14:paraId="56984144" w14:textId="77777777" w:rsidR="000020B9" w:rsidRPr="00CC6DC9" w:rsidRDefault="000020B9" w:rsidP="00EF25E1">
            <w:pPr>
              <w:rPr>
                <w:color w:val="000000"/>
                <w:sz w:val="20"/>
                <w:szCs w:val="20"/>
              </w:rPr>
            </w:pPr>
            <w:r w:rsidRPr="00CC6DC9">
              <w:rPr>
                <w:color w:val="000000"/>
                <w:sz w:val="20"/>
                <w:szCs w:val="20"/>
              </w:rPr>
              <w:t>2011</w:t>
            </w:r>
          </w:p>
        </w:tc>
        <w:tc>
          <w:tcPr>
            <w:tcW w:w="640" w:type="dxa"/>
            <w:tcBorders>
              <w:top w:val="nil"/>
              <w:left w:val="nil"/>
              <w:bottom w:val="nil"/>
              <w:right w:val="single" w:sz="4" w:space="0" w:color="auto"/>
            </w:tcBorders>
            <w:shd w:val="clear" w:color="auto" w:fill="auto"/>
            <w:noWrap/>
            <w:vAlign w:val="bottom"/>
          </w:tcPr>
          <w:p w14:paraId="2A0CBFAC"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nil"/>
              <w:right w:val="single" w:sz="4" w:space="0" w:color="auto"/>
            </w:tcBorders>
            <w:shd w:val="clear" w:color="auto" w:fill="auto"/>
            <w:noWrap/>
            <w:vAlign w:val="bottom"/>
          </w:tcPr>
          <w:p w14:paraId="4621E786" w14:textId="77777777" w:rsidR="000020B9" w:rsidRPr="00CC6DC9" w:rsidRDefault="000020B9" w:rsidP="00EF25E1">
            <w:pPr>
              <w:jc w:val="center"/>
              <w:rPr>
                <w:color w:val="000000"/>
                <w:sz w:val="20"/>
                <w:szCs w:val="20"/>
              </w:rPr>
            </w:pPr>
            <w:r w:rsidRPr="00CC6DC9">
              <w:rPr>
                <w:color w:val="000000"/>
                <w:sz w:val="20"/>
                <w:szCs w:val="20"/>
              </w:rPr>
              <w:t>0.055</w:t>
            </w:r>
          </w:p>
        </w:tc>
        <w:tc>
          <w:tcPr>
            <w:tcW w:w="1040" w:type="dxa"/>
            <w:tcBorders>
              <w:top w:val="nil"/>
              <w:left w:val="nil"/>
              <w:bottom w:val="nil"/>
              <w:right w:val="single" w:sz="4" w:space="0" w:color="auto"/>
            </w:tcBorders>
            <w:shd w:val="clear" w:color="auto" w:fill="auto"/>
            <w:noWrap/>
            <w:vAlign w:val="bottom"/>
          </w:tcPr>
          <w:p w14:paraId="1DBBE8CE" w14:textId="77777777" w:rsidR="000020B9" w:rsidRPr="00CC6DC9" w:rsidRDefault="000020B9" w:rsidP="00EF25E1">
            <w:pPr>
              <w:jc w:val="center"/>
              <w:rPr>
                <w:color w:val="000000"/>
                <w:sz w:val="20"/>
                <w:szCs w:val="20"/>
              </w:rPr>
            </w:pPr>
            <w:r w:rsidRPr="00CC6DC9">
              <w:rPr>
                <w:color w:val="000000"/>
                <w:sz w:val="20"/>
                <w:szCs w:val="20"/>
              </w:rPr>
              <w:t>0.228</w:t>
            </w:r>
          </w:p>
        </w:tc>
        <w:tc>
          <w:tcPr>
            <w:tcW w:w="757" w:type="dxa"/>
            <w:tcBorders>
              <w:top w:val="nil"/>
              <w:left w:val="nil"/>
              <w:bottom w:val="nil"/>
              <w:right w:val="single" w:sz="4" w:space="0" w:color="auto"/>
            </w:tcBorders>
            <w:shd w:val="clear" w:color="auto" w:fill="auto"/>
            <w:noWrap/>
            <w:vAlign w:val="bottom"/>
          </w:tcPr>
          <w:p w14:paraId="4CDEFA9B" w14:textId="77777777" w:rsidR="000020B9" w:rsidRPr="00CC6DC9" w:rsidRDefault="000020B9" w:rsidP="00EF25E1">
            <w:pPr>
              <w:jc w:val="center"/>
              <w:rPr>
                <w:color w:val="000000"/>
                <w:sz w:val="20"/>
                <w:szCs w:val="20"/>
              </w:rPr>
            </w:pPr>
            <w:r w:rsidRPr="00CC6DC9">
              <w:rPr>
                <w:color w:val="000000"/>
                <w:sz w:val="20"/>
                <w:szCs w:val="20"/>
              </w:rPr>
              <w:t>0</w:t>
            </w:r>
          </w:p>
        </w:tc>
        <w:tc>
          <w:tcPr>
            <w:tcW w:w="1140" w:type="dxa"/>
            <w:tcBorders>
              <w:top w:val="nil"/>
              <w:left w:val="nil"/>
              <w:bottom w:val="nil"/>
              <w:right w:val="single" w:sz="4" w:space="0" w:color="auto"/>
            </w:tcBorders>
            <w:shd w:val="clear" w:color="auto" w:fill="auto"/>
            <w:noWrap/>
            <w:vAlign w:val="bottom"/>
          </w:tcPr>
          <w:p w14:paraId="2140E8FF" w14:textId="77777777" w:rsidR="000020B9" w:rsidRPr="00CC6DC9" w:rsidRDefault="000020B9" w:rsidP="00EF25E1">
            <w:pPr>
              <w:jc w:val="center"/>
              <w:rPr>
                <w:color w:val="000000"/>
                <w:sz w:val="20"/>
                <w:szCs w:val="20"/>
              </w:rPr>
            </w:pPr>
            <w:r w:rsidRPr="00CC6DC9">
              <w:rPr>
                <w:color w:val="000000"/>
                <w:sz w:val="20"/>
                <w:szCs w:val="20"/>
              </w:rPr>
              <w:t>1</w:t>
            </w:r>
          </w:p>
        </w:tc>
      </w:tr>
      <w:tr w:rsidR="000020B9" w:rsidRPr="00CC6DC9" w14:paraId="550BAEA4" w14:textId="77777777" w:rsidTr="00EF25E1">
        <w:trPr>
          <w:trHeight w:val="300"/>
          <w:jc w:val="center"/>
        </w:trPr>
        <w:tc>
          <w:tcPr>
            <w:tcW w:w="5603" w:type="dxa"/>
            <w:tcBorders>
              <w:top w:val="nil"/>
              <w:left w:val="single" w:sz="4" w:space="0" w:color="auto"/>
              <w:bottom w:val="single" w:sz="4" w:space="0" w:color="auto"/>
              <w:right w:val="single" w:sz="4" w:space="0" w:color="auto"/>
            </w:tcBorders>
            <w:shd w:val="clear" w:color="auto" w:fill="auto"/>
            <w:noWrap/>
            <w:vAlign w:val="bottom"/>
          </w:tcPr>
          <w:p w14:paraId="2E81068E" w14:textId="77777777" w:rsidR="000020B9" w:rsidRPr="00CC6DC9" w:rsidRDefault="000020B9" w:rsidP="00EF25E1">
            <w:pPr>
              <w:rPr>
                <w:color w:val="000000"/>
                <w:sz w:val="20"/>
                <w:szCs w:val="20"/>
              </w:rPr>
            </w:pPr>
            <w:r w:rsidRPr="00CC6DC9">
              <w:rPr>
                <w:color w:val="000000"/>
                <w:sz w:val="20"/>
                <w:szCs w:val="20"/>
              </w:rPr>
              <w:t>2012</w:t>
            </w:r>
          </w:p>
        </w:tc>
        <w:tc>
          <w:tcPr>
            <w:tcW w:w="640" w:type="dxa"/>
            <w:tcBorders>
              <w:top w:val="nil"/>
              <w:left w:val="nil"/>
              <w:bottom w:val="single" w:sz="4" w:space="0" w:color="auto"/>
              <w:right w:val="single" w:sz="4" w:space="0" w:color="auto"/>
            </w:tcBorders>
            <w:shd w:val="clear" w:color="auto" w:fill="auto"/>
            <w:noWrap/>
            <w:vAlign w:val="bottom"/>
          </w:tcPr>
          <w:p w14:paraId="26E5520D" w14:textId="77777777" w:rsidR="000020B9" w:rsidRPr="00CC6DC9" w:rsidRDefault="000020B9" w:rsidP="00EF25E1">
            <w:pPr>
              <w:jc w:val="center"/>
              <w:rPr>
                <w:color w:val="000000"/>
                <w:sz w:val="20"/>
                <w:szCs w:val="20"/>
              </w:rPr>
            </w:pPr>
            <w:r w:rsidRPr="00CC6DC9">
              <w:rPr>
                <w:color w:val="000000"/>
                <w:sz w:val="20"/>
                <w:szCs w:val="20"/>
              </w:rPr>
              <w:t>2219</w:t>
            </w:r>
          </w:p>
        </w:tc>
        <w:tc>
          <w:tcPr>
            <w:tcW w:w="1040" w:type="dxa"/>
            <w:tcBorders>
              <w:top w:val="nil"/>
              <w:left w:val="nil"/>
              <w:bottom w:val="single" w:sz="4" w:space="0" w:color="auto"/>
              <w:right w:val="single" w:sz="4" w:space="0" w:color="auto"/>
            </w:tcBorders>
            <w:shd w:val="clear" w:color="auto" w:fill="auto"/>
            <w:noWrap/>
            <w:vAlign w:val="bottom"/>
          </w:tcPr>
          <w:p w14:paraId="468975BE" w14:textId="77777777" w:rsidR="000020B9" w:rsidRPr="00CC6DC9" w:rsidRDefault="000020B9" w:rsidP="00EF25E1">
            <w:pPr>
              <w:jc w:val="center"/>
              <w:rPr>
                <w:color w:val="000000"/>
                <w:sz w:val="20"/>
                <w:szCs w:val="20"/>
              </w:rPr>
            </w:pPr>
            <w:r w:rsidRPr="00CC6DC9">
              <w:rPr>
                <w:color w:val="000000"/>
                <w:sz w:val="20"/>
                <w:szCs w:val="20"/>
              </w:rPr>
              <w:t>0.058</w:t>
            </w:r>
          </w:p>
        </w:tc>
        <w:tc>
          <w:tcPr>
            <w:tcW w:w="1040" w:type="dxa"/>
            <w:tcBorders>
              <w:top w:val="nil"/>
              <w:left w:val="nil"/>
              <w:bottom w:val="single" w:sz="4" w:space="0" w:color="auto"/>
              <w:right w:val="single" w:sz="4" w:space="0" w:color="auto"/>
            </w:tcBorders>
            <w:shd w:val="clear" w:color="auto" w:fill="auto"/>
            <w:noWrap/>
            <w:vAlign w:val="bottom"/>
          </w:tcPr>
          <w:p w14:paraId="2276DCA2" w14:textId="77777777" w:rsidR="000020B9" w:rsidRPr="00CC6DC9" w:rsidRDefault="000020B9" w:rsidP="00EF25E1">
            <w:pPr>
              <w:jc w:val="center"/>
              <w:rPr>
                <w:color w:val="000000"/>
                <w:sz w:val="20"/>
                <w:szCs w:val="20"/>
              </w:rPr>
            </w:pPr>
            <w:r w:rsidRPr="00CC6DC9">
              <w:rPr>
                <w:color w:val="000000"/>
                <w:sz w:val="20"/>
                <w:szCs w:val="20"/>
              </w:rPr>
              <w:t>0.233</w:t>
            </w:r>
          </w:p>
        </w:tc>
        <w:tc>
          <w:tcPr>
            <w:tcW w:w="757" w:type="dxa"/>
            <w:tcBorders>
              <w:top w:val="nil"/>
              <w:left w:val="nil"/>
              <w:bottom w:val="single" w:sz="4" w:space="0" w:color="auto"/>
              <w:right w:val="single" w:sz="4" w:space="0" w:color="auto"/>
            </w:tcBorders>
            <w:shd w:val="clear" w:color="auto" w:fill="auto"/>
            <w:noWrap/>
            <w:vAlign w:val="bottom"/>
          </w:tcPr>
          <w:p w14:paraId="44FAE7D3" w14:textId="77777777" w:rsidR="000020B9" w:rsidRPr="00CC6DC9" w:rsidRDefault="000020B9" w:rsidP="00EF25E1">
            <w:pPr>
              <w:jc w:val="center"/>
              <w:rPr>
                <w:color w:val="000000"/>
                <w:sz w:val="20"/>
                <w:szCs w:val="20"/>
              </w:rPr>
            </w:pPr>
            <w:r w:rsidRPr="00CC6DC9">
              <w:rPr>
                <w:color w:val="000000"/>
                <w:sz w:val="20"/>
                <w:szCs w:val="20"/>
              </w:rPr>
              <w:t>0</w:t>
            </w:r>
          </w:p>
        </w:tc>
        <w:tc>
          <w:tcPr>
            <w:tcW w:w="1140" w:type="dxa"/>
            <w:tcBorders>
              <w:top w:val="nil"/>
              <w:left w:val="nil"/>
              <w:bottom w:val="single" w:sz="4" w:space="0" w:color="auto"/>
              <w:right w:val="single" w:sz="4" w:space="0" w:color="auto"/>
            </w:tcBorders>
            <w:shd w:val="clear" w:color="auto" w:fill="auto"/>
            <w:noWrap/>
            <w:vAlign w:val="bottom"/>
          </w:tcPr>
          <w:p w14:paraId="689C7399" w14:textId="77777777" w:rsidR="000020B9" w:rsidRPr="00CC6DC9" w:rsidRDefault="000020B9" w:rsidP="00EF25E1">
            <w:pPr>
              <w:jc w:val="center"/>
              <w:rPr>
                <w:color w:val="000000"/>
                <w:sz w:val="20"/>
                <w:szCs w:val="20"/>
              </w:rPr>
            </w:pPr>
            <w:r w:rsidRPr="00CC6DC9">
              <w:rPr>
                <w:color w:val="000000"/>
                <w:sz w:val="20"/>
                <w:szCs w:val="20"/>
              </w:rPr>
              <w:t>1</w:t>
            </w:r>
          </w:p>
        </w:tc>
      </w:tr>
    </w:tbl>
    <w:p w14:paraId="3C379F4C" w14:textId="77777777" w:rsidR="000020B9" w:rsidRPr="00FE253A" w:rsidRDefault="000020B9" w:rsidP="000020B9">
      <w:pPr>
        <w:rPr>
          <w:color w:val="000000"/>
          <w:lang w:val="en-US"/>
        </w:rPr>
        <w:sectPr w:rsidR="000020B9" w:rsidRPr="00FE253A" w:rsidSect="001F7FB3">
          <w:footerReference w:type="default" r:id="rId15"/>
          <w:pgSz w:w="11906" w:h="16838"/>
          <w:pgMar w:top="1418" w:right="1418" w:bottom="1418" w:left="1418" w:header="720" w:footer="720" w:gutter="0"/>
          <w:pgNumType w:start="0"/>
          <w:cols w:space="720"/>
          <w:titlePg/>
          <w:docGrid w:linePitch="360"/>
        </w:sectPr>
      </w:pPr>
    </w:p>
    <w:tbl>
      <w:tblPr>
        <w:tblW w:w="12282" w:type="dxa"/>
        <w:jc w:val="center"/>
        <w:tblCellMar>
          <w:left w:w="70" w:type="dxa"/>
          <w:right w:w="70" w:type="dxa"/>
        </w:tblCellMar>
        <w:tblLook w:val="04A0" w:firstRow="1" w:lastRow="0" w:firstColumn="1" w:lastColumn="0" w:noHBand="0" w:noVBand="1"/>
      </w:tblPr>
      <w:tblGrid>
        <w:gridCol w:w="5557"/>
        <w:gridCol w:w="1623"/>
        <w:gridCol w:w="2360"/>
        <w:gridCol w:w="1302"/>
        <w:gridCol w:w="1440"/>
      </w:tblGrid>
      <w:tr w:rsidR="000020B9" w:rsidRPr="00CC6DC9" w14:paraId="03DE1AE7" w14:textId="77777777" w:rsidTr="00EF25E1">
        <w:trPr>
          <w:trHeight w:val="540"/>
          <w:jc w:val="center"/>
        </w:trPr>
        <w:tc>
          <w:tcPr>
            <w:tcW w:w="12282" w:type="dxa"/>
            <w:gridSpan w:val="5"/>
            <w:tcBorders>
              <w:top w:val="nil"/>
              <w:left w:val="nil"/>
              <w:right w:val="nil"/>
            </w:tcBorders>
            <w:shd w:val="clear" w:color="auto" w:fill="auto"/>
            <w:noWrap/>
            <w:vAlign w:val="bottom"/>
          </w:tcPr>
          <w:p w14:paraId="3CE6F8A8" w14:textId="77777777" w:rsidR="000020B9" w:rsidRPr="00CC6DC9" w:rsidRDefault="000020B9" w:rsidP="00EF25E1">
            <w:pPr>
              <w:rPr>
                <w:b/>
                <w:color w:val="000000"/>
                <w:sz w:val="20"/>
                <w:szCs w:val="20"/>
                <w:lang w:val="en-US"/>
              </w:rPr>
            </w:pPr>
            <w:r w:rsidRPr="00CC6DC9">
              <w:rPr>
                <w:b/>
                <w:color w:val="000000"/>
                <w:sz w:val="20"/>
                <w:szCs w:val="20"/>
                <w:lang w:val="en-US"/>
              </w:rPr>
              <w:lastRenderedPageBreak/>
              <w:t xml:space="preserve">Table 4 - Relevant Market, Market Concentration and Bank Products </w:t>
            </w:r>
          </w:p>
        </w:tc>
      </w:tr>
      <w:tr w:rsidR="000020B9" w:rsidRPr="00CC6DC9" w14:paraId="28A27336" w14:textId="77777777" w:rsidTr="00EF25E1">
        <w:trPr>
          <w:trHeight w:val="300"/>
          <w:jc w:val="center"/>
        </w:trPr>
        <w:tc>
          <w:tcPr>
            <w:tcW w:w="555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14:paraId="7ABAC989" w14:textId="77777777" w:rsidR="000020B9" w:rsidRPr="00CC6DC9" w:rsidRDefault="000020B9" w:rsidP="00EF25E1">
            <w:pPr>
              <w:rPr>
                <w:b/>
                <w:color w:val="000000"/>
                <w:sz w:val="20"/>
                <w:szCs w:val="20"/>
                <w:lang w:val="en-US"/>
              </w:rPr>
            </w:pPr>
            <w:r w:rsidRPr="00CC6DC9">
              <w:rPr>
                <w:b/>
                <w:color w:val="000000"/>
                <w:sz w:val="20"/>
                <w:szCs w:val="20"/>
                <w:lang w:val="en-US"/>
              </w:rPr>
              <w:t>Relevant Market and Bank Products</w:t>
            </w:r>
          </w:p>
        </w:tc>
        <w:tc>
          <w:tcPr>
            <w:tcW w:w="6725" w:type="dxa"/>
            <w:gridSpan w:val="4"/>
            <w:tcBorders>
              <w:top w:val="single" w:sz="4" w:space="0" w:color="auto"/>
              <w:left w:val="nil"/>
              <w:bottom w:val="single" w:sz="4" w:space="0" w:color="auto"/>
              <w:right w:val="single" w:sz="4" w:space="0" w:color="000000"/>
            </w:tcBorders>
            <w:shd w:val="clear" w:color="auto" w:fill="auto"/>
            <w:noWrap/>
            <w:vAlign w:val="bottom"/>
          </w:tcPr>
          <w:p w14:paraId="6AD280C2" w14:textId="77777777" w:rsidR="000020B9" w:rsidRPr="00CC6DC9" w:rsidRDefault="000020B9" w:rsidP="00EF25E1">
            <w:pPr>
              <w:jc w:val="center"/>
              <w:rPr>
                <w:b/>
                <w:color w:val="000000"/>
                <w:sz w:val="20"/>
                <w:szCs w:val="20"/>
                <w:lang w:val="en-US"/>
              </w:rPr>
            </w:pPr>
            <w:r w:rsidRPr="00CC6DC9">
              <w:rPr>
                <w:b/>
                <w:color w:val="000000"/>
                <w:sz w:val="20"/>
                <w:szCs w:val="20"/>
                <w:lang w:val="en-US"/>
              </w:rPr>
              <w:t>Market Concentration: Average Market Share and HHI</w:t>
            </w:r>
          </w:p>
        </w:tc>
      </w:tr>
      <w:tr w:rsidR="000020B9" w:rsidRPr="00CC6DC9" w14:paraId="783A5DAD" w14:textId="77777777" w:rsidTr="00EF25E1">
        <w:trPr>
          <w:trHeight w:val="600"/>
          <w:jc w:val="center"/>
        </w:trPr>
        <w:tc>
          <w:tcPr>
            <w:tcW w:w="5557" w:type="dxa"/>
            <w:vMerge/>
            <w:tcBorders>
              <w:top w:val="single" w:sz="4" w:space="0" w:color="auto"/>
              <w:left w:val="single" w:sz="4" w:space="0" w:color="auto"/>
              <w:bottom w:val="single" w:sz="4" w:space="0" w:color="000000"/>
              <w:right w:val="single" w:sz="4" w:space="0" w:color="auto"/>
            </w:tcBorders>
            <w:vAlign w:val="center"/>
          </w:tcPr>
          <w:p w14:paraId="7B2AA545" w14:textId="77777777" w:rsidR="000020B9" w:rsidRPr="00CC6DC9" w:rsidRDefault="000020B9" w:rsidP="00EF25E1">
            <w:pPr>
              <w:rPr>
                <w:b/>
                <w:color w:val="000000"/>
                <w:sz w:val="20"/>
                <w:szCs w:val="20"/>
                <w:lang w:val="en-US"/>
              </w:rPr>
            </w:pPr>
          </w:p>
        </w:tc>
        <w:tc>
          <w:tcPr>
            <w:tcW w:w="1623" w:type="dxa"/>
            <w:tcBorders>
              <w:top w:val="nil"/>
              <w:left w:val="nil"/>
              <w:bottom w:val="single" w:sz="4" w:space="0" w:color="auto"/>
              <w:right w:val="single" w:sz="4" w:space="0" w:color="auto"/>
            </w:tcBorders>
            <w:shd w:val="clear" w:color="auto" w:fill="auto"/>
            <w:vAlign w:val="center"/>
          </w:tcPr>
          <w:p w14:paraId="2E135349" w14:textId="77777777" w:rsidR="000020B9" w:rsidRPr="00CC6DC9" w:rsidRDefault="000020B9" w:rsidP="00EF25E1">
            <w:pPr>
              <w:jc w:val="center"/>
              <w:rPr>
                <w:b/>
                <w:color w:val="000000"/>
                <w:sz w:val="20"/>
                <w:szCs w:val="20"/>
              </w:rPr>
            </w:pPr>
            <w:r w:rsidRPr="00CC6DC9">
              <w:rPr>
                <w:b/>
                <w:color w:val="000000"/>
                <w:sz w:val="20"/>
                <w:szCs w:val="20"/>
              </w:rPr>
              <w:t xml:space="preserve">Market Share (assets) </w:t>
            </w:r>
            <w:r w:rsidRPr="00CC6DC9">
              <w:rPr>
                <w:b/>
                <w:color w:val="000000"/>
                <w:sz w:val="20"/>
                <w:szCs w:val="20"/>
              </w:rPr>
              <w:br/>
              <w:t>Average</w:t>
            </w:r>
          </w:p>
        </w:tc>
        <w:tc>
          <w:tcPr>
            <w:tcW w:w="2360" w:type="dxa"/>
            <w:tcBorders>
              <w:top w:val="nil"/>
              <w:left w:val="nil"/>
              <w:bottom w:val="single" w:sz="4" w:space="0" w:color="auto"/>
              <w:right w:val="single" w:sz="4" w:space="0" w:color="auto"/>
            </w:tcBorders>
            <w:shd w:val="clear" w:color="auto" w:fill="auto"/>
            <w:vAlign w:val="center"/>
          </w:tcPr>
          <w:p w14:paraId="366EDDE1" w14:textId="77777777" w:rsidR="000020B9" w:rsidRPr="00CC6DC9" w:rsidRDefault="000020B9" w:rsidP="00EF25E1">
            <w:pPr>
              <w:jc w:val="center"/>
              <w:rPr>
                <w:b/>
                <w:color w:val="000000"/>
                <w:sz w:val="20"/>
                <w:szCs w:val="20"/>
              </w:rPr>
            </w:pPr>
            <w:r w:rsidRPr="00CC6DC9">
              <w:rPr>
                <w:b/>
                <w:color w:val="000000"/>
                <w:sz w:val="20"/>
                <w:szCs w:val="20"/>
              </w:rPr>
              <w:t>Market Share (revenue)</w:t>
            </w:r>
            <w:r w:rsidRPr="00CC6DC9">
              <w:rPr>
                <w:b/>
                <w:color w:val="000000"/>
                <w:sz w:val="20"/>
                <w:szCs w:val="20"/>
              </w:rPr>
              <w:br/>
              <w:t>Average</w:t>
            </w:r>
          </w:p>
        </w:tc>
        <w:tc>
          <w:tcPr>
            <w:tcW w:w="1302" w:type="dxa"/>
            <w:tcBorders>
              <w:top w:val="nil"/>
              <w:left w:val="nil"/>
              <w:bottom w:val="single" w:sz="4" w:space="0" w:color="auto"/>
              <w:right w:val="single" w:sz="4" w:space="0" w:color="auto"/>
            </w:tcBorders>
            <w:shd w:val="clear" w:color="auto" w:fill="auto"/>
            <w:noWrap/>
            <w:vAlign w:val="center"/>
          </w:tcPr>
          <w:p w14:paraId="5642C9B8" w14:textId="77777777" w:rsidR="000020B9" w:rsidRPr="00CC6DC9" w:rsidRDefault="000020B9" w:rsidP="00EF25E1">
            <w:pPr>
              <w:jc w:val="center"/>
              <w:rPr>
                <w:b/>
                <w:color w:val="000000"/>
                <w:sz w:val="20"/>
                <w:szCs w:val="20"/>
              </w:rPr>
            </w:pPr>
            <w:r w:rsidRPr="00CC6DC9">
              <w:rPr>
                <w:b/>
                <w:color w:val="000000"/>
                <w:sz w:val="20"/>
                <w:szCs w:val="20"/>
              </w:rPr>
              <w:t>HHI (assets)</w:t>
            </w:r>
          </w:p>
        </w:tc>
        <w:tc>
          <w:tcPr>
            <w:tcW w:w="1440" w:type="dxa"/>
            <w:tcBorders>
              <w:top w:val="nil"/>
              <w:left w:val="nil"/>
              <w:bottom w:val="single" w:sz="4" w:space="0" w:color="auto"/>
              <w:right w:val="single" w:sz="4" w:space="0" w:color="auto"/>
            </w:tcBorders>
            <w:shd w:val="clear" w:color="auto" w:fill="auto"/>
            <w:noWrap/>
            <w:vAlign w:val="center"/>
          </w:tcPr>
          <w:p w14:paraId="5B416E89" w14:textId="77777777" w:rsidR="000020B9" w:rsidRPr="00CC6DC9" w:rsidRDefault="000020B9" w:rsidP="00EF25E1">
            <w:pPr>
              <w:jc w:val="center"/>
              <w:rPr>
                <w:b/>
                <w:color w:val="000000"/>
                <w:sz w:val="20"/>
                <w:szCs w:val="20"/>
              </w:rPr>
            </w:pPr>
            <w:r w:rsidRPr="00CC6DC9">
              <w:rPr>
                <w:b/>
                <w:color w:val="000000"/>
                <w:sz w:val="20"/>
                <w:szCs w:val="20"/>
              </w:rPr>
              <w:t>HHI (revenue)</w:t>
            </w:r>
          </w:p>
        </w:tc>
      </w:tr>
      <w:tr w:rsidR="000020B9" w:rsidRPr="00CC6DC9" w14:paraId="203E4A91" w14:textId="77777777" w:rsidTr="00EF25E1">
        <w:trPr>
          <w:trHeight w:val="300"/>
          <w:jc w:val="center"/>
        </w:trPr>
        <w:tc>
          <w:tcPr>
            <w:tcW w:w="5557" w:type="dxa"/>
            <w:tcBorders>
              <w:top w:val="nil"/>
              <w:left w:val="single" w:sz="4" w:space="0" w:color="auto"/>
              <w:bottom w:val="nil"/>
              <w:right w:val="nil"/>
            </w:tcBorders>
            <w:shd w:val="clear" w:color="auto" w:fill="auto"/>
            <w:noWrap/>
            <w:vAlign w:val="bottom"/>
          </w:tcPr>
          <w:p w14:paraId="7228A2DE" w14:textId="77777777" w:rsidR="000020B9" w:rsidRPr="00CC6DC9" w:rsidRDefault="000020B9" w:rsidP="00EF25E1">
            <w:pPr>
              <w:rPr>
                <w:color w:val="000000"/>
                <w:sz w:val="20"/>
                <w:szCs w:val="20"/>
              </w:rPr>
            </w:pPr>
            <w:r w:rsidRPr="00CC6DC9">
              <w:rPr>
                <w:color w:val="000000"/>
                <w:sz w:val="20"/>
                <w:szCs w:val="20"/>
              </w:rPr>
              <w:t>Banks supplying</w:t>
            </w:r>
          </w:p>
        </w:tc>
        <w:tc>
          <w:tcPr>
            <w:tcW w:w="1623" w:type="dxa"/>
            <w:tcBorders>
              <w:top w:val="nil"/>
              <w:left w:val="single" w:sz="4" w:space="0" w:color="auto"/>
              <w:bottom w:val="nil"/>
              <w:right w:val="single" w:sz="4" w:space="0" w:color="auto"/>
            </w:tcBorders>
            <w:shd w:val="clear" w:color="auto" w:fill="auto"/>
            <w:noWrap/>
            <w:vAlign w:val="bottom"/>
          </w:tcPr>
          <w:p w14:paraId="1BFD0394" w14:textId="77777777" w:rsidR="000020B9" w:rsidRPr="00CC6DC9" w:rsidRDefault="000020B9" w:rsidP="00EF25E1">
            <w:pPr>
              <w:rPr>
                <w:color w:val="000000"/>
                <w:sz w:val="20"/>
                <w:szCs w:val="20"/>
              </w:rPr>
            </w:pPr>
            <w:r w:rsidRPr="00CC6DC9">
              <w:rPr>
                <w:color w:val="000000"/>
                <w:sz w:val="20"/>
                <w:szCs w:val="20"/>
              </w:rPr>
              <w:t> </w:t>
            </w:r>
          </w:p>
        </w:tc>
        <w:tc>
          <w:tcPr>
            <w:tcW w:w="2360" w:type="dxa"/>
            <w:tcBorders>
              <w:top w:val="nil"/>
              <w:left w:val="nil"/>
              <w:bottom w:val="nil"/>
              <w:right w:val="single" w:sz="4" w:space="0" w:color="auto"/>
            </w:tcBorders>
            <w:shd w:val="clear" w:color="auto" w:fill="auto"/>
            <w:noWrap/>
            <w:vAlign w:val="bottom"/>
          </w:tcPr>
          <w:p w14:paraId="547F1204" w14:textId="77777777" w:rsidR="000020B9" w:rsidRPr="00CC6DC9" w:rsidRDefault="000020B9" w:rsidP="00EF25E1">
            <w:pPr>
              <w:rPr>
                <w:color w:val="000000"/>
                <w:sz w:val="20"/>
                <w:szCs w:val="20"/>
              </w:rPr>
            </w:pPr>
            <w:r w:rsidRPr="00CC6DC9">
              <w:rPr>
                <w:color w:val="000000"/>
                <w:sz w:val="20"/>
                <w:szCs w:val="20"/>
              </w:rPr>
              <w:t> </w:t>
            </w:r>
          </w:p>
        </w:tc>
        <w:tc>
          <w:tcPr>
            <w:tcW w:w="1302" w:type="dxa"/>
            <w:tcBorders>
              <w:top w:val="nil"/>
              <w:left w:val="nil"/>
              <w:bottom w:val="nil"/>
              <w:right w:val="nil"/>
            </w:tcBorders>
            <w:shd w:val="clear" w:color="auto" w:fill="auto"/>
            <w:noWrap/>
            <w:vAlign w:val="bottom"/>
          </w:tcPr>
          <w:p w14:paraId="29E307B5" w14:textId="77777777" w:rsidR="000020B9" w:rsidRPr="00CC6DC9" w:rsidRDefault="000020B9" w:rsidP="00EF25E1">
            <w:pPr>
              <w:rPr>
                <w:color w:val="000000"/>
                <w:sz w:val="20"/>
                <w:szCs w:val="20"/>
              </w:rPr>
            </w:pPr>
            <w:r w:rsidRPr="00CC6DC9">
              <w:rPr>
                <w:color w:val="000000"/>
                <w:sz w:val="20"/>
                <w:szCs w:val="20"/>
              </w:rPr>
              <w:t> </w:t>
            </w:r>
          </w:p>
        </w:tc>
        <w:tc>
          <w:tcPr>
            <w:tcW w:w="1440" w:type="dxa"/>
            <w:tcBorders>
              <w:top w:val="nil"/>
              <w:left w:val="single" w:sz="4" w:space="0" w:color="auto"/>
              <w:bottom w:val="nil"/>
              <w:right w:val="single" w:sz="4" w:space="0" w:color="auto"/>
            </w:tcBorders>
            <w:shd w:val="clear" w:color="auto" w:fill="auto"/>
            <w:noWrap/>
            <w:vAlign w:val="bottom"/>
          </w:tcPr>
          <w:p w14:paraId="05AB85F2" w14:textId="77777777" w:rsidR="000020B9" w:rsidRPr="00CC6DC9" w:rsidRDefault="000020B9" w:rsidP="00EF25E1">
            <w:pPr>
              <w:rPr>
                <w:color w:val="000000"/>
                <w:sz w:val="20"/>
                <w:szCs w:val="20"/>
              </w:rPr>
            </w:pPr>
            <w:r w:rsidRPr="00CC6DC9">
              <w:rPr>
                <w:color w:val="000000"/>
                <w:sz w:val="20"/>
                <w:szCs w:val="20"/>
              </w:rPr>
              <w:t> </w:t>
            </w:r>
          </w:p>
        </w:tc>
      </w:tr>
      <w:tr w:rsidR="000020B9" w:rsidRPr="00CC6DC9" w14:paraId="2A071E7E" w14:textId="77777777" w:rsidTr="00EF25E1">
        <w:trPr>
          <w:trHeight w:val="330"/>
          <w:jc w:val="center"/>
        </w:trPr>
        <w:tc>
          <w:tcPr>
            <w:tcW w:w="5557" w:type="dxa"/>
            <w:tcBorders>
              <w:top w:val="nil"/>
              <w:left w:val="single" w:sz="4" w:space="0" w:color="auto"/>
              <w:bottom w:val="nil"/>
              <w:right w:val="nil"/>
            </w:tcBorders>
            <w:shd w:val="clear" w:color="auto" w:fill="auto"/>
            <w:noWrap/>
            <w:vAlign w:val="bottom"/>
          </w:tcPr>
          <w:p w14:paraId="10BF5241" w14:textId="77777777" w:rsidR="000020B9" w:rsidRPr="00CC6DC9" w:rsidRDefault="000020B9" w:rsidP="00EF25E1">
            <w:pPr>
              <w:rPr>
                <w:color w:val="000000"/>
                <w:sz w:val="20"/>
                <w:szCs w:val="20"/>
              </w:rPr>
            </w:pPr>
            <w:r w:rsidRPr="00CC6DC9">
              <w:rPr>
                <w:color w:val="000000"/>
                <w:sz w:val="20"/>
                <w:szCs w:val="20"/>
              </w:rPr>
              <w:t xml:space="preserve">     Classic Products</w:t>
            </w:r>
          </w:p>
        </w:tc>
        <w:tc>
          <w:tcPr>
            <w:tcW w:w="1623" w:type="dxa"/>
            <w:tcBorders>
              <w:top w:val="nil"/>
              <w:left w:val="single" w:sz="4" w:space="0" w:color="auto"/>
              <w:bottom w:val="nil"/>
              <w:right w:val="single" w:sz="4" w:space="0" w:color="auto"/>
            </w:tcBorders>
            <w:shd w:val="clear" w:color="auto" w:fill="auto"/>
            <w:noWrap/>
            <w:vAlign w:val="bottom"/>
          </w:tcPr>
          <w:p w14:paraId="16C33639" w14:textId="77777777" w:rsidR="000020B9" w:rsidRPr="00CC6DC9" w:rsidRDefault="000020B9" w:rsidP="00EF25E1">
            <w:pPr>
              <w:jc w:val="center"/>
              <w:rPr>
                <w:color w:val="000000"/>
                <w:sz w:val="20"/>
                <w:szCs w:val="20"/>
              </w:rPr>
            </w:pPr>
            <w:r w:rsidRPr="00CC6DC9">
              <w:rPr>
                <w:color w:val="000000"/>
                <w:sz w:val="20"/>
                <w:szCs w:val="20"/>
              </w:rPr>
              <w:t>0.028</w:t>
            </w:r>
          </w:p>
        </w:tc>
        <w:tc>
          <w:tcPr>
            <w:tcW w:w="2360" w:type="dxa"/>
            <w:tcBorders>
              <w:top w:val="nil"/>
              <w:left w:val="nil"/>
              <w:bottom w:val="nil"/>
              <w:right w:val="single" w:sz="4" w:space="0" w:color="auto"/>
            </w:tcBorders>
            <w:shd w:val="clear" w:color="auto" w:fill="auto"/>
            <w:noWrap/>
            <w:vAlign w:val="bottom"/>
          </w:tcPr>
          <w:p w14:paraId="5A03DB6F" w14:textId="77777777" w:rsidR="000020B9" w:rsidRPr="00CC6DC9" w:rsidRDefault="000020B9" w:rsidP="00EF25E1">
            <w:pPr>
              <w:jc w:val="center"/>
              <w:rPr>
                <w:color w:val="000000"/>
                <w:sz w:val="20"/>
                <w:szCs w:val="20"/>
              </w:rPr>
            </w:pPr>
            <w:r w:rsidRPr="00CC6DC9">
              <w:rPr>
                <w:color w:val="000000"/>
                <w:sz w:val="20"/>
                <w:szCs w:val="20"/>
              </w:rPr>
              <w:t>0.028</w:t>
            </w:r>
          </w:p>
        </w:tc>
        <w:tc>
          <w:tcPr>
            <w:tcW w:w="1302" w:type="dxa"/>
            <w:tcBorders>
              <w:top w:val="nil"/>
              <w:left w:val="nil"/>
              <w:bottom w:val="nil"/>
              <w:right w:val="nil"/>
            </w:tcBorders>
            <w:shd w:val="clear" w:color="auto" w:fill="auto"/>
            <w:noWrap/>
            <w:vAlign w:val="bottom"/>
          </w:tcPr>
          <w:p w14:paraId="61060A0A" w14:textId="77777777" w:rsidR="000020B9" w:rsidRPr="00CC6DC9" w:rsidRDefault="000020B9" w:rsidP="00EF25E1">
            <w:pPr>
              <w:jc w:val="center"/>
              <w:rPr>
                <w:color w:val="000000"/>
                <w:sz w:val="20"/>
                <w:szCs w:val="20"/>
              </w:rPr>
            </w:pPr>
            <w:r w:rsidRPr="00CC6DC9">
              <w:rPr>
                <w:color w:val="000000"/>
                <w:sz w:val="20"/>
                <w:szCs w:val="20"/>
              </w:rPr>
              <w:t>0.182</w:t>
            </w:r>
          </w:p>
        </w:tc>
        <w:tc>
          <w:tcPr>
            <w:tcW w:w="1440" w:type="dxa"/>
            <w:tcBorders>
              <w:top w:val="nil"/>
              <w:left w:val="single" w:sz="4" w:space="0" w:color="auto"/>
              <w:bottom w:val="nil"/>
              <w:right w:val="single" w:sz="4" w:space="0" w:color="auto"/>
            </w:tcBorders>
            <w:shd w:val="clear" w:color="auto" w:fill="auto"/>
            <w:noWrap/>
            <w:vAlign w:val="bottom"/>
          </w:tcPr>
          <w:p w14:paraId="3FBBFDDF" w14:textId="77777777" w:rsidR="000020B9" w:rsidRPr="00CC6DC9" w:rsidRDefault="000020B9" w:rsidP="00EF25E1">
            <w:pPr>
              <w:jc w:val="center"/>
              <w:rPr>
                <w:color w:val="000000"/>
                <w:sz w:val="20"/>
                <w:szCs w:val="20"/>
              </w:rPr>
            </w:pPr>
            <w:r w:rsidRPr="00CC6DC9">
              <w:rPr>
                <w:color w:val="000000"/>
                <w:sz w:val="20"/>
                <w:szCs w:val="20"/>
              </w:rPr>
              <w:t>0.154</w:t>
            </w:r>
          </w:p>
        </w:tc>
      </w:tr>
      <w:tr w:rsidR="000020B9" w:rsidRPr="00CC6DC9" w14:paraId="166BC2E0" w14:textId="77777777" w:rsidTr="00EF25E1">
        <w:trPr>
          <w:trHeight w:val="300"/>
          <w:jc w:val="center"/>
        </w:trPr>
        <w:tc>
          <w:tcPr>
            <w:tcW w:w="5557" w:type="dxa"/>
            <w:tcBorders>
              <w:top w:val="nil"/>
              <w:left w:val="single" w:sz="4" w:space="0" w:color="auto"/>
              <w:bottom w:val="nil"/>
              <w:right w:val="nil"/>
            </w:tcBorders>
            <w:shd w:val="clear" w:color="auto" w:fill="auto"/>
            <w:noWrap/>
            <w:vAlign w:val="bottom"/>
          </w:tcPr>
          <w:p w14:paraId="6E299060" w14:textId="77777777" w:rsidR="000020B9" w:rsidRPr="00CC6DC9" w:rsidRDefault="000020B9" w:rsidP="00EF25E1">
            <w:pPr>
              <w:rPr>
                <w:color w:val="000000"/>
                <w:sz w:val="20"/>
                <w:szCs w:val="20"/>
                <w:lang w:val="en-US"/>
              </w:rPr>
            </w:pPr>
            <w:r w:rsidRPr="00CC6DC9">
              <w:rPr>
                <w:color w:val="000000"/>
                <w:sz w:val="20"/>
                <w:szCs w:val="20"/>
                <w:lang w:val="en-US"/>
              </w:rPr>
              <w:t xml:space="preserve">     Classic and Other Bank Products</w:t>
            </w:r>
          </w:p>
        </w:tc>
        <w:tc>
          <w:tcPr>
            <w:tcW w:w="1623" w:type="dxa"/>
            <w:tcBorders>
              <w:top w:val="nil"/>
              <w:left w:val="single" w:sz="4" w:space="0" w:color="auto"/>
              <w:bottom w:val="nil"/>
              <w:right w:val="single" w:sz="4" w:space="0" w:color="auto"/>
            </w:tcBorders>
            <w:shd w:val="clear" w:color="auto" w:fill="auto"/>
            <w:noWrap/>
            <w:vAlign w:val="bottom"/>
          </w:tcPr>
          <w:p w14:paraId="4B94B374" w14:textId="77777777" w:rsidR="000020B9" w:rsidRPr="00CC6DC9" w:rsidRDefault="000020B9" w:rsidP="00EF25E1">
            <w:pPr>
              <w:jc w:val="center"/>
              <w:rPr>
                <w:color w:val="000000"/>
                <w:sz w:val="20"/>
                <w:szCs w:val="20"/>
              </w:rPr>
            </w:pPr>
            <w:r w:rsidRPr="00CC6DC9">
              <w:rPr>
                <w:color w:val="000000"/>
                <w:sz w:val="20"/>
                <w:szCs w:val="20"/>
              </w:rPr>
              <w:t>0.073</w:t>
            </w:r>
          </w:p>
        </w:tc>
        <w:tc>
          <w:tcPr>
            <w:tcW w:w="2360" w:type="dxa"/>
            <w:tcBorders>
              <w:top w:val="nil"/>
              <w:left w:val="nil"/>
              <w:bottom w:val="nil"/>
              <w:right w:val="single" w:sz="4" w:space="0" w:color="auto"/>
            </w:tcBorders>
            <w:shd w:val="clear" w:color="auto" w:fill="auto"/>
            <w:noWrap/>
            <w:vAlign w:val="bottom"/>
          </w:tcPr>
          <w:p w14:paraId="22B5374B" w14:textId="77777777" w:rsidR="000020B9" w:rsidRPr="00CC6DC9" w:rsidRDefault="000020B9" w:rsidP="00EF25E1">
            <w:pPr>
              <w:jc w:val="center"/>
              <w:rPr>
                <w:color w:val="000000"/>
                <w:sz w:val="20"/>
                <w:szCs w:val="20"/>
              </w:rPr>
            </w:pPr>
            <w:r w:rsidRPr="00CC6DC9">
              <w:rPr>
                <w:color w:val="000000"/>
                <w:sz w:val="20"/>
                <w:szCs w:val="20"/>
              </w:rPr>
              <w:t>0.073</w:t>
            </w:r>
          </w:p>
        </w:tc>
        <w:tc>
          <w:tcPr>
            <w:tcW w:w="1302" w:type="dxa"/>
            <w:tcBorders>
              <w:top w:val="nil"/>
              <w:left w:val="nil"/>
              <w:bottom w:val="nil"/>
              <w:right w:val="nil"/>
            </w:tcBorders>
            <w:shd w:val="clear" w:color="auto" w:fill="auto"/>
            <w:noWrap/>
            <w:vAlign w:val="bottom"/>
          </w:tcPr>
          <w:p w14:paraId="1D16FD08" w14:textId="77777777" w:rsidR="000020B9" w:rsidRPr="00CC6DC9" w:rsidRDefault="000020B9" w:rsidP="00EF25E1">
            <w:pPr>
              <w:jc w:val="center"/>
              <w:rPr>
                <w:color w:val="000000"/>
                <w:sz w:val="20"/>
                <w:szCs w:val="20"/>
              </w:rPr>
            </w:pPr>
            <w:r w:rsidRPr="00CC6DC9">
              <w:rPr>
                <w:color w:val="000000"/>
                <w:sz w:val="20"/>
                <w:szCs w:val="20"/>
              </w:rPr>
              <w:t>0.285</w:t>
            </w:r>
          </w:p>
        </w:tc>
        <w:tc>
          <w:tcPr>
            <w:tcW w:w="1440" w:type="dxa"/>
            <w:tcBorders>
              <w:top w:val="nil"/>
              <w:left w:val="single" w:sz="4" w:space="0" w:color="auto"/>
              <w:bottom w:val="nil"/>
              <w:right w:val="single" w:sz="4" w:space="0" w:color="auto"/>
            </w:tcBorders>
            <w:shd w:val="clear" w:color="auto" w:fill="auto"/>
            <w:noWrap/>
            <w:vAlign w:val="bottom"/>
          </w:tcPr>
          <w:p w14:paraId="15F5EC02" w14:textId="77777777" w:rsidR="000020B9" w:rsidRPr="00CC6DC9" w:rsidRDefault="000020B9" w:rsidP="00EF25E1">
            <w:pPr>
              <w:jc w:val="center"/>
              <w:rPr>
                <w:color w:val="000000"/>
                <w:sz w:val="20"/>
                <w:szCs w:val="20"/>
              </w:rPr>
            </w:pPr>
            <w:r w:rsidRPr="00CC6DC9">
              <w:rPr>
                <w:color w:val="000000"/>
                <w:sz w:val="20"/>
                <w:szCs w:val="20"/>
              </w:rPr>
              <w:t>0.275</w:t>
            </w:r>
          </w:p>
        </w:tc>
      </w:tr>
      <w:tr w:rsidR="000020B9" w:rsidRPr="00CC6DC9" w14:paraId="667D7711" w14:textId="77777777" w:rsidTr="00EF25E1">
        <w:trPr>
          <w:trHeight w:val="300"/>
          <w:jc w:val="center"/>
        </w:trPr>
        <w:tc>
          <w:tcPr>
            <w:tcW w:w="5557" w:type="dxa"/>
            <w:tcBorders>
              <w:top w:val="nil"/>
              <w:left w:val="single" w:sz="4" w:space="0" w:color="auto"/>
              <w:bottom w:val="nil"/>
              <w:right w:val="nil"/>
            </w:tcBorders>
            <w:shd w:val="clear" w:color="auto" w:fill="auto"/>
            <w:noWrap/>
            <w:vAlign w:val="bottom"/>
          </w:tcPr>
          <w:p w14:paraId="3F1FBD0E" w14:textId="77777777" w:rsidR="000020B9" w:rsidRPr="00CC6DC9" w:rsidRDefault="000020B9" w:rsidP="00EF25E1">
            <w:pPr>
              <w:rPr>
                <w:color w:val="000000"/>
                <w:sz w:val="20"/>
                <w:szCs w:val="20"/>
                <w:lang w:val="en-US"/>
              </w:rPr>
            </w:pPr>
            <w:r w:rsidRPr="00CC6DC9">
              <w:rPr>
                <w:color w:val="000000"/>
                <w:sz w:val="20"/>
                <w:szCs w:val="20"/>
                <w:lang w:val="en-US"/>
              </w:rPr>
              <w:t xml:space="preserve">                           Classic and Other Financial Products</w:t>
            </w:r>
          </w:p>
        </w:tc>
        <w:tc>
          <w:tcPr>
            <w:tcW w:w="1623" w:type="dxa"/>
            <w:tcBorders>
              <w:top w:val="nil"/>
              <w:left w:val="single" w:sz="4" w:space="0" w:color="auto"/>
              <w:bottom w:val="nil"/>
              <w:right w:val="single" w:sz="4" w:space="0" w:color="auto"/>
            </w:tcBorders>
            <w:shd w:val="clear" w:color="auto" w:fill="auto"/>
            <w:noWrap/>
            <w:vAlign w:val="bottom"/>
          </w:tcPr>
          <w:p w14:paraId="3FA485F9" w14:textId="77777777" w:rsidR="000020B9" w:rsidRPr="00CC6DC9" w:rsidRDefault="000020B9" w:rsidP="00EF25E1">
            <w:pPr>
              <w:jc w:val="center"/>
              <w:rPr>
                <w:color w:val="000000"/>
                <w:sz w:val="20"/>
                <w:szCs w:val="20"/>
              </w:rPr>
            </w:pPr>
            <w:r w:rsidRPr="00CC6DC9">
              <w:rPr>
                <w:color w:val="000000"/>
                <w:sz w:val="20"/>
                <w:szCs w:val="20"/>
              </w:rPr>
              <w:t>0.157</w:t>
            </w:r>
          </w:p>
        </w:tc>
        <w:tc>
          <w:tcPr>
            <w:tcW w:w="2360" w:type="dxa"/>
            <w:tcBorders>
              <w:top w:val="nil"/>
              <w:left w:val="nil"/>
              <w:bottom w:val="nil"/>
              <w:right w:val="single" w:sz="4" w:space="0" w:color="auto"/>
            </w:tcBorders>
            <w:shd w:val="clear" w:color="auto" w:fill="auto"/>
            <w:noWrap/>
            <w:vAlign w:val="bottom"/>
          </w:tcPr>
          <w:p w14:paraId="25B46AAA" w14:textId="77777777" w:rsidR="000020B9" w:rsidRPr="00CC6DC9" w:rsidRDefault="000020B9" w:rsidP="00EF25E1">
            <w:pPr>
              <w:jc w:val="center"/>
              <w:rPr>
                <w:color w:val="000000"/>
                <w:sz w:val="20"/>
                <w:szCs w:val="20"/>
              </w:rPr>
            </w:pPr>
            <w:r w:rsidRPr="00CC6DC9">
              <w:rPr>
                <w:color w:val="000000"/>
                <w:sz w:val="20"/>
                <w:szCs w:val="20"/>
              </w:rPr>
              <w:t>0.157</w:t>
            </w:r>
          </w:p>
        </w:tc>
        <w:tc>
          <w:tcPr>
            <w:tcW w:w="1302" w:type="dxa"/>
            <w:tcBorders>
              <w:top w:val="nil"/>
              <w:left w:val="nil"/>
              <w:bottom w:val="nil"/>
              <w:right w:val="nil"/>
            </w:tcBorders>
            <w:shd w:val="clear" w:color="auto" w:fill="auto"/>
            <w:noWrap/>
            <w:vAlign w:val="bottom"/>
          </w:tcPr>
          <w:p w14:paraId="156CC0FF" w14:textId="77777777" w:rsidR="000020B9" w:rsidRPr="00CC6DC9" w:rsidRDefault="000020B9" w:rsidP="00EF25E1">
            <w:pPr>
              <w:jc w:val="center"/>
              <w:rPr>
                <w:color w:val="000000"/>
                <w:sz w:val="20"/>
                <w:szCs w:val="20"/>
              </w:rPr>
            </w:pPr>
            <w:r w:rsidRPr="00CC6DC9">
              <w:rPr>
                <w:color w:val="000000"/>
                <w:sz w:val="20"/>
                <w:szCs w:val="20"/>
              </w:rPr>
              <w:t>0.363</w:t>
            </w:r>
          </w:p>
        </w:tc>
        <w:tc>
          <w:tcPr>
            <w:tcW w:w="1440" w:type="dxa"/>
            <w:tcBorders>
              <w:top w:val="nil"/>
              <w:left w:val="single" w:sz="4" w:space="0" w:color="auto"/>
              <w:bottom w:val="nil"/>
              <w:right w:val="single" w:sz="4" w:space="0" w:color="auto"/>
            </w:tcBorders>
            <w:shd w:val="clear" w:color="auto" w:fill="auto"/>
            <w:noWrap/>
            <w:vAlign w:val="bottom"/>
          </w:tcPr>
          <w:p w14:paraId="0834A3D2" w14:textId="77777777" w:rsidR="000020B9" w:rsidRPr="00CC6DC9" w:rsidRDefault="000020B9" w:rsidP="00EF25E1">
            <w:pPr>
              <w:jc w:val="center"/>
              <w:rPr>
                <w:color w:val="000000"/>
                <w:sz w:val="20"/>
                <w:szCs w:val="20"/>
              </w:rPr>
            </w:pPr>
            <w:r w:rsidRPr="00CC6DC9">
              <w:rPr>
                <w:color w:val="000000"/>
                <w:sz w:val="20"/>
                <w:szCs w:val="20"/>
              </w:rPr>
              <w:t>0.324</w:t>
            </w:r>
          </w:p>
        </w:tc>
      </w:tr>
      <w:tr w:rsidR="000020B9" w:rsidRPr="00CC6DC9" w14:paraId="591C573E" w14:textId="77777777" w:rsidTr="00EF25E1">
        <w:trPr>
          <w:trHeight w:val="300"/>
          <w:jc w:val="center"/>
        </w:trPr>
        <w:tc>
          <w:tcPr>
            <w:tcW w:w="5557" w:type="dxa"/>
            <w:tcBorders>
              <w:top w:val="nil"/>
              <w:left w:val="single" w:sz="4" w:space="0" w:color="auto"/>
              <w:bottom w:val="single" w:sz="4" w:space="0" w:color="auto"/>
              <w:right w:val="nil"/>
            </w:tcBorders>
            <w:shd w:val="clear" w:color="auto" w:fill="auto"/>
            <w:noWrap/>
            <w:vAlign w:val="bottom"/>
          </w:tcPr>
          <w:p w14:paraId="764DC7D3" w14:textId="77777777" w:rsidR="000020B9" w:rsidRPr="00CC6DC9" w:rsidRDefault="000020B9" w:rsidP="00EF25E1">
            <w:pPr>
              <w:rPr>
                <w:color w:val="000000"/>
                <w:sz w:val="20"/>
                <w:szCs w:val="20"/>
                <w:lang w:val="en-US"/>
              </w:rPr>
            </w:pPr>
            <w:r w:rsidRPr="00CC6DC9">
              <w:rPr>
                <w:color w:val="000000"/>
                <w:sz w:val="20"/>
                <w:szCs w:val="20"/>
                <w:lang w:val="en-US"/>
              </w:rPr>
              <w:t xml:space="preserve">                           Classic and Other Non</w:t>
            </w:r>
            <w:r>
              <w:rPr>
                <w:color w:val="000000"/>
                <w:sz w:val="20"/>
                <w:szCs w:val="20"/>
                <w:lang w:val="en-US"/>
              </w:rPr>
              <w:t xml:space="preserve"> </w:t>
            </w:r>
            <w:r w:rsidRPr="00CC6DC9">
              <w:rPr>
                <w:color w:val="000000"/>
                <w:sz w:val="20"/>
                <w:szCs w:val="20"/>
                <w:lang w:val="en-US"/>
              </w:rPr>
              <w:t>Financial Products</w:t>
            </w:r>
          </w:p>
        </w:tc>
        <w:tc>
          <w:tcPr>
            <w:tcW w:w="1623" w:type="dxa"/>
            <w:tcBorders>
              <w:top w:val="nil"/>
              <w:left w:val="single" w:sz="4" w:space="0" w:color="auto"/>
              <w:bottom w:val="single" w:sz="4" w:space="0" w:color="auto"/>
              <w:right w:val="single" w:sz="4" w:space="0" w:color="auto"/>
            </w:tcBorders>
            <w:shd w:val="clear" w:color="auto" w:fill="auto"/>
            <w:noWrap/>
            <w:vAlign w:val="bottom"/>
          </w:tcPr>
          <w:p w14:paraId="20F7E523" w14:textId="77777777" w:rsidR="000020B9" w:rsidRPr="00CC6DC9" w:rsidRDefault="000020B9" w:rsidP="00EF25E1">
            <w:pPr>
              <w:jc w:val="center"/>
              <w:rPr>
                <w:color w:val="000000"/>
                <w:sz w:val="20"/>
                <w:szCs w:val="20"/>
              </w:rPr>
            </w:pPr>
            <w:r w:rsidRPr="00CC6DC9">
              <w:rPr>
                <w:color w:val="000000"/>
                <w:sz w:val="20"/>
                <w:szCs w:val="20"/>
              </w:rPr>
              <w:t>0.137</w:t>
            </w:r>
          </w:p>
        </w:tc>
        <w:tc>
          <w:tcPr>
            <w:tcW w:w="2360" w:type="dxa"/>
            <w:tcBorders>
              <w:top w:val="nil"/>
              <w:left w:val="nil"/>
              <w:bottom w:val="single" w:sz="4" w:space="0" w:color="auto"/>
              <w:right w:val="single" w:sz="4" w:space="0" w:color="auto"/>
            </w:tcBorders>
            <w:shd w:val="clear" w:color="auto" w:fill="auto"/>
            <w:noWrap/>
            <w:vAlign w:val="bottom"/>
          </w:tcPr>
          <w:p w14:paraId="611E3060" w14:textId="77777777" w:rsidR="000020B9" w:rsidRPr="00CC6DC9" w:rsidRDefault="000020B9" w:rsidP="00EF25E1">
            <w:pPr>
              <w:jc w:val="center"/>
              <w:rPr>
                <w:color w:val="000000"/>
                <w:sz w:val="20"/>
                <w:szCs w:val="20"/>
              </w:rPr>
            </w:pPr>
            <w:r w:rsidRPr="00CC6DC9">
              <w:rPr>
                <w:color w:val="000000"/>
                <w:sz w:val="20"/>
                <w:szCs w:val="20"/>
              </w:rPr>
              <w:t>0.137</w:t>
            </w:r>
          </w:p>
        </w:tc>
        <w:tc>
          <w:tcPr>
            <w:tcW w:w="1302" w:type="dxa"/>
            <w:tcBorders>
              <w:top w:val="nil"/>
              <w:left w:val="nil"/>
              <w:bottom w:val="single" w:sz="4" w:space="0" w:color="auto"/>
              <w:right w:val="nil"/>
            </w:tcBorders>
            <w:shd w:val="clear" w:color="auto" w:fill="auto"/>
            <w:noWrap/>
            <w:vAlign w:val="bottom"/>
          </w:tcPr>
          <w:p w14:paraId="5E32C9B6" w14:textId="77777777" w:rsidR="000020B9" w:rsidRPr="00CC6DC9" w:rsidRDefault="000020B9" w:rsidP="00EF25E1">
            <w:pPr>
              <w:jc w:val="center"/>
              <w:rPr>
                <w:color w:val="000000"/>
                <w:sz w:val="20"/>
                <w:szCs w:val="20"/>
              </w:rPr>
            </w:pPr>
            <w:r w:rsidRPr="00CC6DC9">
              <w:rPr>
                <w:color w:val="000000"/>
                <w:sz w:val="20"/>
                <w:szCs w:val="20"/>
              </w:rPr>
              <w:t>0.310</w:t>
            </w:r>
          </w:p>
        </w:tc>
        <w:tc>
          <w:tcPr>
            <w:tcW w:w="1440" w:type="dxa"/>
            <w:tcBorders>
              <w:top w:val="nil"/>
              <w:left w:val="single" w:sz="4" w:space="0" w:color="auto"/>
              <w:bottom w:val="single" w:sz="4" w:space="0" w:color="auto"/>
              <w:right w:val="single" w:sz="4" w:space="0" w:color="auto"/>
            </w:tcBorders>
            <w:shd w:val="clear" w:color="auto" w:fill="auto"/>
            <w:noWrap/>
            <w:vAlign w:val="bottom"/>
          </w:tcPr>
          <w:p w14:paraId="5D71281A" w14:textId="77777777" w:rsidR="000020B9" w:rsidRPr="00CC6DC9" w:rsidRDefault="000020B9" w:rsidP="00EF25E1">
            <w:pPr>
              <w:jc w:val="center"/>
              <w:rPr>
                <w:color w:val="000000"/>
                <w:sz w:val="20"/>
                <w:szCs w:val="20"/>
              </w:rPr>
            </w:pPr>
            <w:r w:rsidRPr="00CC6DC9">
              <w:rPr>
                <w:color w:val="000000"/>
                <w:sz w:val="20"/>
                <w:szCs w:val="20"/>
              </w:rPr>
              <w:t>0.310</w:t>
            </w:r>
          </w:p>
        </w:tc>
      </w:tr>
    </w:tbl>
    <w:p w14:paraId="2F4BD1A5" w14:textId="77777777" w:rsidR="000020B9" w:rsidRDefault="000020B9" w:rsidP="000020B9">
      <w:pPr>
        <w:rPr>
          <w:lang w:val="fr-FR"/>
        </w:rPr>
      </w:pPr>
    </w:p>
    <w:p w14:paraId="0AB684E8" w14:textId="77777777" w:rsidR="000020B9" w:rsidRDefault="000020B9" w:rsidP="000020B9">
      <w:r>
        <w:br w:type="page"/>
      </w:r>
    </w:p>
    <w:tbl>
      <w:tblPr>
        <w:tblW w:w="14199" w:type="dxa"/>
        <w:jc w:val="center"/>
        <w:tblCellMar>
          <w:left w:w="70" w:type="dxa"/>
          <w:right w:w="70" w:type="dxa"/>
        </w:tblCellMar>
        <w:tblLook w:val="04A0" w:firstRow="1" w:lastRow="0" w:firstColumn="1" w:lastColumn="0" w:noHBand="0" w:noVBand="1"/>
      </w:tblPr>
      <w:tblGrid>
        <w:gridCol w:w="6108"/>
        <w:gridCol w:w="3096"/>
        <w:gridCol w:w="2635"/>
        <w:gridCol w:w="1180"/>
        <w:gridCol w:w="1180"/>
      </w:tblGrid>
      <w:tr w:rsidR="000020B9" w:rsidRPr="00CC6DC9" w14:paraId="2A8C11E5" w14:textId="77777777" w:rsidTr="00EF25E1">
        <w:trPr>
          <w:trHeight w:val="1152"/>
          <w:jc w:val="center"/>
        </w:trPr>
        <w:tc>
          <w:tcPr>
            <w:tcW w:w="14199" w:type="dxa"/>
            <w:gridSpan w:val="5"/>
            <w:tcBorders>
              <w:top w:val="nil"/>
              <w:left w:val="nil"/>
              <w:right w:val="nil"/>
            </w:tcBorders>
            <w:shd w:val="clear" w:color="auto" w:fill="auto"/>
            <w:noWrap/>
            <w:vAlign w:val="bottom"/>
          </w:tcPr>
          <w:p w14:paraId="17156338" w14:textId="77777777" w:rsidR="000020B9" w:rsidRPr="00CC6DC9" w:rsidRDefault="000020B9" w:rsidP="00EF25E1">
            <w:pPr>
              <w:rPr>
                <w:color w:val="000000"/>
                <w:sz w:val="20"/>
                <w:szCs w:val="20"/>
                <w:lang w:val="en-US"/>
              </w:rPr>
            </w:pPr>
            <w:r w:rsidRPr="00CC6DC9">
              <w:rPr>
                <w:b/>
                <w:color w:val="000000"/>
                <w:sz w:val="20"/>
                <w:szCs w:val="20"/>
                <w:lang w:val="en-US"/>
              </w:rPr>
              <w:lastRenderedPageBreak/>
              <w:t>Table 5 - Mean Difference Test - Banks –  Only Classic versus Other Banks</w:t>
            </w:r>
          </w:p>
        </w:tc>
      </w:tr>
      <w:tr w:rsidR="000020B9" w:rsidRPr="00CC6DC9" w14:paraId="39A56459" w14:textId="77777777" w:rsidTr="00EF25E1">
        <w:trPr>
          <w:trHeight w:val="300"/>
          <w:jc w:val="center"/>
        </w:trPr>
        <w:tc>
          <w:tcPr>
            <w:tcW w:w="6108" w:type="dxa"/>
            <w:tcBorders>
              <w:top w:val="single" w:sz="4" w:space="0" w:color="auto"/>
              <w:left w:val="single" w:sz="4" w:space="0" w:color="auto"/>
              <w:bottom w:val="nil"/>
              <w:right w:val="single" w:sz="4" w:space="0" w:color="auto"/>
            </w:tcBorders>
            <w:shd w:val="clear" w:color="auto" w:fill="auto"/>
            <w:noWrap/>
            <w:vAlign w:val="bottom"/>
          </w:tcPr>
          <w:p w14:paraId="5A973AA8" w14:textId="77777777" w:rsidR="000020B9" w:rsidRPr="00CC6DC9" w:rsidRDefault="000020B9" w:rsidP="00EF25E1">
            <w:pPr>
              <w:rPr>
                <w:b/>
                <w:color w:val="000000"/>
                <w:sz w:val="20"/>
                <w:szCs w:val="20"/>
                <w:lang w:val="en-US"/>
              </w:rPr>
            </w:pPr>
            <w:r w:rsidRPr="00CC6DC9">
              <w:rPr>
                <w:b/>
                <w:color w:val="000000"/>
                <w:sz w:val="20"/>
                <w:szCs w:val="20"/>
                <w:lang w:val="en-US"/>
              </w:rPr>
              <w:t> </w:t>
            </w:r>
          </w:p>
        </w:tc>
        <w:tc>
          <w:tcPr>
            <w:tcW w:w="5731" w:type="dxa"/>
            <w:gridSpan w:val="2"/>
            <w:tcBorders>
              <w:top w:val="single" w:sz="4" w:space="0" w:color="auto"/>
              <w:left w:val="nil"/>
              <w:bottom w:val="single" w:sz="4" w:space="0" w:color="auto"/>
              <w:right w:val="single" w:sz="4" w:space="0" w:color="000000"/>
            </w:tcBorders>
            <w:shd w:val="clear" w:color="auto" w:fill="auto"/>
            <w:noWrap/>
            <w:vAlign w:val="bottom"/>
          </w:tcPr>
          <w:p w14:paraId="76B22F45" w14:textId="77777777" w:rsidR="000020B9" w:rsidRPr="00CC6DC9" w:rsidRDefault="000020B9" w:rsidP="00EF25E1">
            <w:pPr>
              <w:jc w:val="center"/>
              <w:rPr>
                <w:b/>
                <w:color w:val="000000"/>
                <w:sz w:val="20"/>
                <w:szCs w:val="20"/>
              </w:rPr>
            </w:pPr>
            <w:r w:rsidRPr="00CC6DC9">
              <w:rPr>
                <w:b/>
                <w:color w:val="000000"/>
                <w:sz w:val="20"/>
                <w:szCs w:val="20"/>
              </w:rPr>
              <w:t>Banks supplying</w:t>
            </w:r>
          </w:p>
        </w:tc>
        <w:tc>
          <w:tcPr>
            <w:tcW w:w="2360" w:type="dxa"/>
            <w:gridSpan w:val="2"/>
            <w:tcBorders>
              <w:top w:val="single" w:sz="4" w:space="0" w:color="auto"/>
              <w:left w:val="nil"/>
              <w:bottom w:val="single" w:sz="4" w:space="0" w:color="auto"/>
              <w:right w:val="single" w:sz="4" w:space="0" w:color="000000"/>
            </w:tcBorders>
            <w:shd w:val="clear" w:color="auto" w:fill="auto"/>
            <w:noWrap/>
            <w:vAlign w:val="bottom"/>
          </w:tcPr>
          <w:p w14:paraId="2CCC6E04" w14:textId="77777777" w:rsidR="000020B9" w:rsidRPr="00CC6DC9" w:rsidRDefault="000020B9" w:rsidP="00EF25E1">
            <w:pPr>
              <w:jc w:val="center"/>
              <w:rPr>
                <w:b/>
                <w:color w:val="000000"/>
                <w:sz w:val="20"/>
                <w:szCs w:val="20"/>
              </w:rPr>
            </w:pPr>
            <w:r w:rsidRPr="00CC6DC9">
              <w:rPr>
                <w:b/>
                <w:color w:val="000000"/>
                <w:sz w:val="20"/>
                <w:szCs w:val="20"/>
              </w:rPr>
              <w:t>t-test*</w:t>
            </w:r>
          </w:p>
        </w:tc>
      </w:tr>
      <w:tr w:rsidR="000020B9" w:rsidRPr="00CC6DC9" w14:paraId="6F24B660" w14:textId="77777777" w:rsidTr="00EF25E1">
        <w:trPr>
          <w:trHeight w:val="300"/>
          <w:jc w:val="center"/>
        </w:trPr>
        <w:tc>
          <w:tcPr>
            <w:tcW w:w="6108" w:type="dxa"/>
            <w:tcBorders>
              <w:top w:val="nil"/>
              <w:left w:val="single" w:sz="4" w:space="0" w:color="auto"/>
              <w:bottom w:val="single" w:sz="4" w:space="0" w:color="auto"/>
              <w:right w:val="single" w:sz="4" w:space="0" w:color="auto"/>
            </w:tcBorders>
            <w:shd w:val="clear" w:color="auto" w:fill="auto"/>
            <w:noWrap/>
            <w:vAlign w:val="bottom"/>
          </w:tcPr>
          <w:p w14:paraId="19077C75" w14:textId="77777777" w:rsidR="000020B9" w:rsidRPr="00CC6DC9" w:rsidRDefault="000020B9" w:rsidP="00EF25E1">
            <w:pPr>
              <w:rPr>
                <w:b/>
                <w:color w:val="000000"/>
                <w:sz w:val="20"/>
                <w:szCs w:val="20"/>
              </w:rPr>
            </w:pPr>
            <w:r w:rsidRPr="00CC6DC9">
              <w:rPr>
                <w:b/>
                <w:color w:val="000000"/>
                <w:sz w:val="20"/>
                <w:szCs w:val="20"/>
              </w:rPr>
              <w:t>Variable</w:t>
            </w:r>
          </w:p>
        </w:tc>
        <w:tc>
          <w:tcPr>
            <w:tcW w:w="3096" w:type="dxa"/>
            <w:tcBorders>
              <w:top w:val="nil"/>
              <w:left w:val="nil"/>
              <w:bottom w:val="single" w:sz="4" w:space="0" w:color="auto"/>
              <w:right w:val="single" w:sz="4" w:space="0" w:color="auto"/>
            </w:tcBorders>
            <w:shd w:val="clear" w:color="auto" w:fill="auto"/>
            <w:vAlign w:val="center"/>
          </w:tcPr>
          <w:p w14:paraId="4F3E4AFA" w14:textId="77777777" w:rsidR="000020B9" w:rsidRPr="00CC6DC9" w:rsidRDefault="000020B9" w:rsidP="00EF25E1">
            <w:pPr>
              <w:jc w:val="center"/>
              <w:rPr>
                <w:b/>
                <w:color w:val="000000"/>
                <w:sz w:val="20"/>
                <w:szCs w:val="20"/>
                <w:lang w:val="en-US"/>
              </w:rPr>
            </w:pPr>
            <w:r w:rsidRPr="00CC6DC9">
              <w:rPr>
                <w:b/>
                <w:color w:val="000000"/>
                <w:sz w:val="20"/>
                <w:szCs w:val="20"/>
                <w:lang w:val="en-US"/>
              </w:rPr>
              <w:t>Classic and Other Bank Products</w:t>
            </w:r>
          </w:p>
        </w:tc>
        <w:tc>
          <w:tcPr>
            <w:tcW w:w="2635" w:type="dxa"/>
            <w:tcBorders>
              <w:top w:val="nil"/>
              <w:left w:val="nil"/>
              <w:bottom w:val="single" w:sz="4" w:space="0" w:color="auto"/>
              <w:right w:val="single" w:sz="4" w:space="0" w:color="auto"/>
            </w:tcBorders>
            <w:shd w:val="clear" w:color="auto" w:fill="auto"/>
            <w:noWrap/>
            <w:vAlign w:val="center"/>
          </w:tcPr>
          <w:p w14:paraId="23CF34AF" w14:textId="77777777" w:rsidR="000020B9" w:rsidRPr="00CC6DC9" w:rsidRDefault="000020B9" w:rsidP="00EF25E1">
            <w:pPr>
              <w:jc w:val="center"/>
              <w:rPr>
                <w:b/>
                <w:color w:val="000000"/>
                <w:sz w:val="20"/>
                <w:szCs w:val="20"/>
              </w:rPr>
            </w:pPr>
            <w:r w:rsidRPr="00CC6DC9">
              <w:rPr>
                <w:b/>
                <w:color w:val="000000"/>
                <w:sz w:val="20"/>
                <w:szCs w:val="20"/>
              </w:rPr>
              <w:t>Only Classic Bank Products</w:t>
            </w:r>
          </w:p>
        </w:tc>
        <w:tc>
          <w:tcPr>
            <w:tcW w:w="1180" w:type="dxa"/>
            <w:tcBorders>
              <w:top w:val="nil"/>
              <w:left w:val="nil"/>
              <w:bottom w:val="single" w:sz="4" w:space="0" w:color="auto"/>
              <w:right w:val="single" w:sz="4" w:space="0" w:color="auto"/>
            </w:tcBorders>
            <w:shd w:val="clear" w:color="auto" w:fill="auto"/>
            <w:vAlign w:val="center"/>
          </w:tcPr>
          <w:p w14:paraId="5F24EB93" w14:textId="77777777" w:rsidR="000020B9" w:rsidRPr="00CC6DC9" w:rsidRDefault="000020B9" w:rsidP="00EF25E1">
            <w:pPr>
              <w:jc w:val="center"/>
              <w:rPr>
                <w:b/>
                <w:sz w:val="20"/>
                <w:szCs w:val="20"/>
              </w:rPr>
            </w:pPr>
            <w:r w:rsidRPr="00CC6DC9">
              <w:rPr>
                <w:b/>
                <w:sz w:val="20"/>
                <w:szCs w:val="20"/>
              </w:rPr>
              <w:t>t-statistics</w:t>
            </w:r>
          </w:p>
        </w:tc>
        <w:tc>
          <w:tcPr>
            <w:tcW w:w="1180" w:type="dxa"/>
            <w:tcBorders>
              <w:top w:val="nil"/>
              <w:left w:val="nil"/>
              <w:bottom w:val="single" w:sz="4" w:space="0" w:color="auto"/>
              <w:right w:val="single" w:sz="4" w:space="0" w:color="auto"/>
            </w:tcBorders>
            <w:shd w:val="clear" w:color="auto" w:fill="auto"/>
            <w:vAlign w:val="center"/>
          </w:tcPr>
          <w:p w14:paraId="266E439D" w14:textId="77777777" w:rsidR="000020B9" w:rsidRPr="00CC6DC9" w:rsidRDefault="000020B9" w:rsidP="00EF25E1">
            <w:pPr>
              <w:jc w:val="center"/>
              <w:rPr>
                <w:b/>
                <w:sz w:val="20"/>
                <w:szCs w:val="20"/>
              </w:rPr>
            </w:pPr>
            <w:r w:rsidRPr="00CC6DC9">
              <w:rPr>
                <w:b/>
                <w:sz w:val="20"/>
                <w:szCs w:val="20"/>
              </w:rPr>
              <w:t>p-value***</w:t>
            </w:r>
          </w:p>
        </w:tc>
      </w:tr>
      <w:tr w:rsidR="000020B9" w:rsidRPr="00CC6DC9" w14:paraId="5623B8B6"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6E7560A2" w14:textId="77777777" w:rsidR="000020B9" w:rsidRPr="00CC6DC9" w:rsidRDefault="000020B9" w:rsidP="00EF25E1">
            <w:pPr>
              <w:rPr>
                <w:color w:val="000000"/>
                <w:sz w:val="20"/>
                <w:szCs w:val="20"/>
                <w:lang w:val="en-US"/>
              </w:rPr>
            </w:pPr>
            <w:r w:rsidRPr="00CC6DC9">
              <w:rPr>
                <w:color w:val="000000"/>
                <w:sz w:val="20"/>
                <w:szCs w:val="20"/>
                <w:lang w:val="en-US"/>
              </w:rPr>
              <w:t>Panel A - Market Share and Bank Size</w:t>
            </w:r>
          </w:p>
        </w:tc>
        <w:tc>
          <w:tcPr>
            <w:tcW w:w="3096" w:type="dxa"/>
            <w:tcBorders>
              <w:top w:val="nil"/>
              <w:left w:val="nil"/>
              <w:bottom w:val="nil"/>
              <w:right w:val="single" w:sz="4" w:space="0" w:color="auto"/>
            </w:tcBorders>
            <w:shd w:val="clear" w:color="auto" w:fill="auto"/>
            <w:noWrap/>
            <w:vAlign w:val="bottom"/>
          </w:tcPr>
          <w:p w14:paraId="28090616" w14:textId="77777777" w:rsidR="000020B9" w:rsidRPr="00CC6DC9" w:rsidRDefault="000020B9" w:rsidP="00EF25E1">
            <w:pPr>
              <w:jc w:val="center"/>
              <w:rPr>
                <w:color w:val="000000"/>
                <w:sz w:val="20"/>
                <w:szCs w:val="20"/>
                <w:lang w:val="en-US"/>
              </w:rPr>
            </w:pPr>
            <w:r w:rsidRPr="00CC6DC9">
              <w:rPr>
                <w:color w:val="000000"/>
                <w:sz w:val="20"/>
                <w:szCs w:val="20"/>
                <w:lang w:val="en-US"/>
              </w:rPr>
              <w:t> </w:t>
            </w:r>
          </w:p>
        </w:tc>
        <w:tc>
          <w:tcPr>
            <w:tcW w:w="2635" w:type="dxa"/>
            <w:tcBorders>
              <w:top w:val="nil"/>
              <w:left w:val="nil"/>
              <w:bottom w:val="nil"/>
              <w:right w:val="single" w:sz="4" w:space="0" w:color="auto"/>
            </w:tcBorders>
            <w:shd w:val="clear" w:color="auto" w:fill="auto"/>
            <w:noWrap/>
            <w:vAlign w:val="bottom"/>
          </w:tcPr>
          <w:p w14:paraId="7D3B4EBC" w14:textId="77777777" w:rsidR="000020B9" w:rsidRPr="00CC6DC9" w:rsidRDefault="000020B9" w:rsidP="00EF25E1">
            <w:pPr>
              <w:jc w:val="center"/>
              <w:rPr>
                <w:color w:val="000000"/>
                <w:sz w:val="20"/>
                <w:szCs w:val="20"/>
                <w:lang w:val="en-US"/>
              </w:rPr>
            </w:pPr>
            <w:r w:rsidRPr="00CC6DC9">
              <w:rPr>
                <w:color w:val="000000"/>
                <w:sz w:val="20"/>
                <w:szCs w:val="20"/>
                <w:lang w:val="en-US"/>
              </w:rPr>
              <w:t> </w:t>
            </w:r>
          </w:p>
        </w:tc>
        <w:tc>
          <w:tcPr>
            <w:tcW w:w="1180" w:type="dxa"/>
            <w:tcBorders>
              <w:top w:val="nil"/>
              <w:left w:val="nil"/>
              <w:bottom w:val="nil"/>
              <w:right w:val="single" w:sz="4" w:space="0" w:color="auto"/>
            </w:tcBorders>
            <w:shd w:val="clear" w:color="auto" w:fill="auto"/>
            <w:noWrap/>
            <w:vAlign w:val="bottom"/>
          </w:tcPr>
          <w:p w14:paraId="67486CD8" w14:textId="77777777" w:rsidR="000020B9" w:rsidRPr="00CC6DC9" w:rsidRDefault="000020B9" w:rsidP="00EF25E1">
            <w:pPr>
              <w:jc w:val="center"/>
              <w:rPr>
                <w:color w:val="000000"/>
                <w:sz w:val="20"/>
                <w:szCs w:val="20"/>
                <w:lang w:val="en-US"/>
              </w:rPr>
            </w:pPr>
            <w:r w:rsidRPr="00CC6DC9">
              <w:rPr>
                <w:color w:val="000000"/>
                <w:sz w:val="20"/>
                <w:szCs w:val="20"/>
                <w:lang w:val="en-US"/>
              </w:rPr>
              <w:t> </w:t>
            </w:r>
          </w:p>
        </w:tc>
        <w:tc>
          <w:tcPr>
            <w:tcW w:w="1180" w:type="dxa"/>
            <w:tcBorders>
              <w:top w:val="nil"/>
              <w:left w:val="nil"/>
              <w:bottom w:val="nil"/>
              <w:right w:val="single" w:sz="4" w:space="0" w:color="auto"/>
            </w:tcBorders>
            <w:shd w:val="clear" w:color="auto" w:fill="auto"/>
            <w:noWrap/>
            <w:vAlign w:val="bottom"/>
          </w:tcPr>
          <w:p w14:paraId="60847FB2" w14:textId="77777777" w:rsidR="000020B9" w:rsidRPr="00CC6DC9" w:rsidRDefault="000020B9" w:rsidP="00EF25E1">
            <w:pPr>
              <w:jc w:val="center"/>
              <w:rPr>
                <w:color w:val="000000"/>
                <w:sz w:val="20"/>
                <w:szCs w:val="20"/>
                <w:lang w:val="en-US"/>
              </w:rPr>
            </w:pPr>
            <w:r w:rsidRPr="00CC6DC9">
              <w:rPr>
                <w:color w:val="000000"/>
                <w:sz w:val="20"/>
                <w:szCs w:val="20"/>
                <w:lang w:val="en-US"/>
              </w:rPr>
              <w:t> </w:t>
            </w:r>
          </w:p>
        </w:tc>
      </w:tr>
      <w:tr w:rsidR="000020B9" w:rsidRPr="00CC6DC9" w14:paraId="0480C534"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33721148" w14:textId="77777777" w:rsidR="000020B9" w:rsidRPr="00CC6DC9" w:rsidRDefault="000020B9" w:rsidP="00EF25E1">
            <w:pPr>
              <w:rPr>
                <w:color w:val="000000"/>
                <w:sz w:val="20"/>
                <w:szCs w:val="20"/>
              </w:rPr>
            </w:pPr>
            <w:r w:rsidRPr="00CC6DC9">
              <w:rPr>
                <w:color w:val="000000"/>
                <w:sz w:val="20"/>
                <w:szCs w:val="20"/>
                <w:lang w:val="en-US"/>
              </w:rPr>
              <w:t xml:space="preserve">    </w:t>
            </w:r>
            <w:r w:rsidRPr="00CC6DC9">
              <w:rPr>
                <w:color w:val="000000"/>
                <w:sz w:val="20"/>
                <w:szCs w:val="20"/>
              </w:rPr>
              <w:t>Market Share (assets)</w:t>
            </w:r>
          </w:p>
        </w:tc>
        <w:tc>
          <w:tcPr>
            <w:tcW w:w="3096" w:type="dxa"/>
            <w:tcBorders>
              <w:top w:val="nil"/>
              <w:left w:val="nil"/>
              <w:bottom w:val="nil"/>
              <w:right w:val="single" w:sz="4" w:space="0" w:color="auto"/>
            </w:tcBorders>
            <w:shd w:val="clear" w:color="auto" w:fill="auto"/>
            <w:noWrap/>
            <w:vAlign w:val="bottom"/>
          </w:tcPr>
          <w:p w14:paraId="3A0DD7F7" w14:textId="77777777" w:rsidR="000020B9" w:rsidRPr="00CC6DC9" w:rsidRDefault="000020B9" w:rsidP="00EF25E1">
            <w:pPr>
              <w:jc w:val="center"/>
              <w:rPr>
                <w:color w:val="000000"/>
                <w:sz w:val="20"/>
                <w:szCs w:val="20"/>
              </w:rPr>
            </w:pPr>
            <w:r w:rsidRPr="00CC6DC9">
              <w:rPr>
                <w:color w:val="000000"/>
                <w:sz w:val="20"/>
                <w:szCs w:val="20"/>
              </w:rPr>
              <w:t>0.07</w:t>
            </w:r>
          </w:p>
        </w:tc>
        <w:tc>
          <w:tcPr>
            <w:tcW w:w="2635" w:type="dxa"/>
            <w:tcBorders>
              <w:top w:val="nil"/>
              <w:left w:val="nil"/>
              <w:bottom w:val="nil"/>
              <w:right w:val="single" w:sz="4" w:space="0" w:color="auto"/>
            </w:tcBorders>
            <w:shd w:val="clear" w:color="auto" w:fill="auto"/>
            <w:noWrap/>
            <w:vAlign w:val="bottom"/>
          </w:tcPr>
          <w:p w14:paraId="4022EC48" w14:textId="77777777" w:rsidR="000020B9" w:rsidRPr="00CC6DC9" w:rsidRDefault="000020B9" w:rsidP="00EF25E1">
            <w:pPr>
              <w:jc w:val="center"/>
              <w:rPr>
                <w:color w:val="000000"/>
                <w:sz w:val="20"/>
                <w:szCs w:val="20"/>
              </w:rPr>
            </w:pPr>
            <w:r w:rsidRPr="00CC6DC9">
              <w:rPr>
                <w:color w:val="000000"/>
                <w:sz w:val="20"/>
                <w:szCs w:val="20"/>
              </w:rPr>
              <w:t>0.01</w:t>
            </w:r>
          </w:p>
        </w:tc>
        <w:tc>
          <w:tcPr>
            <w:tcW w:w="1180" w:type="dxa"/>
            <w:tcBorders>
              <w:top w:val="nil"/>
              <w:left w:val="nil"/>
              <w:bottom w:val="nil"/>
              <w:right w:val="single" w:sz="4" w:space="0" w:color="auto"/>
            </w:tcBorders>
            <w:shd w:val="clear" w:color="auto" w:fill="auto"/>
            <w:noWrap/>
            <w:vAlign w:val="bottom"/>
          </w:tcPr>
          <w:p w14:paraId="16CF5FEC" w14:textId="77777777" w:rsidR="000020B9" w:rsidRPr="00CC6DC9" w:rsidRDefault="000020B9" w:rsidP="00EF25E1">
            <w:pPr>
              <w:jc w:val="center"/>
              <w:rPr>
                <w:color w:val="000000"/>
                <w:sz w:val="20"/>
                <w:szCs w:val="20"/>
              </w:rPr>
            </w:pPr>
            <w:r w:rsidRPr="00CC6DC9">
              <w:rPr>
                <w:color w:val="000000"/>
                <w:sz w:val="20"/>
                <w:szCs w:val="20"/>
              </w:rPr>
              <w:t>18.23</w:t>
            </w:r>
          </w:p>
        </w:tc>
        <w:tc>
          <w:tcPr>
            <w:tcW w:w="1180" w:type="dxa"/>
            <w:tcBorders>
              <w:top w:val="nil"/>
              <w:left w:val="nil"/>
              <w:bottom w:val="nil"/>
              <w:right w:val="single" w:sz="4" w:space="0" w:color="auto"/>
            </w:tcBorders>
            <w:shd w:val="clear" w:color="auto" w:fill="auto"/>
            <w:noWrap/>
            <w:vAlign w:val="bottom"/>
          </w:tcPr>
          <w:p w14:paraId="2C9FAB70" w14:textId="77777777" w:rsidR="000020B9" w:rsidRPr="00CC6DC9" w:rsidRDefault="000020B9" w:rsidP="00EF25E1">
            <w:pPr>
              <w:jc w:val="center"/>
              <w:rPr>
                <w:color w:val="000000"/>
                <w:sz w:val="20"/>
                <w:szCs w:val="20"/>
              </w:rPr>
            </w:pPr>
            <w:r w:rsidRPr="00CC6DC9">
              <w:rPr>
                <w:color w:val="000000"/>
                <w:sz w:val="20"/>
                <w:szCs w:val="20"/>
              </w:rPr>
              <w:t>0.000</w:t>
            </w:r>
          </w:p>
        </w:tc>
      </w:tr>
      <w:tr w:rsidR="000020B9" w:rsidRPr="00CC6DC9" w14:paraId="67BF6612"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5B1A0360" w14:textId="77777777" w:rsidR="000020B9" w:rsidRPr="00CC6DC9" w:rsidRDefault="000020B9" w:rsidP="00EF25E1">
            <w:pPr>
              <w:rPr>
                <w:color w:val="000000"/>
                <w:sz w:val="20"/>
                <w:szCs w:val="20"/>
              </w:rPr>
            </w:pPr>
            <w:r w:rsidRPr="00CC6DC9">
              <w:rPr>
                <w:color w:val="000000"/>
                <w:sz w:val="20"/>
                <w:szCs w:val="20"/>
              </w:rPr>
              <w:t xml:space="preserve">    Market Share (revenue)</w:t>
            </w:r>
          </w:p>
        </w:tc>
        <w:tc>
          <w:tcPr>
            <w:tcW w:w="3096" w:type="dxa"/>
            <w:tcBorders>
              <w:top w:val="nil"/>
              <w:left w:val="nil"/>
              <w:bottom w:val="nil"/>
              <w:right w:val="single" w:sz="4" w:space="0" w:color="auto"/>
            </w:tcBorders>
            <w:shd w:val="clear" w:color="auto" w:fill="auto"/>
            <w:noWrap/>
            <w:vAlign w:val="bottom"/>
          </w:tcPr>
          <w:p w14:paraId="10006F84" w14:textId="77777777" w:rsidR="000020B9" w:rsidRPr="00CC6DC9" w:rsidRDefault="000020B9" w:rsidP="00EF25E1">
            <w:pPr>
              <w:jc w:val="center"/>
              <w:rPr>
                <w:color w:val="000000"/>
                <w:sz w:val="20"/>
                <w:szCs w:val="20"/>
              </w:rPr>
            </w:pPr>
            <w:r w:rsidRPr="00CC6DC9">
              <w:rPr>
                <w:color w:val="000000"/>
                <w:sz w:val="20"/>
                <w:szCs w:val="20"/>
              </w:rPr>
              <w:t>0.07</w:t>
            </w:r>
          </w:p>
        </w:tc>
        <w:tc>
          <w:tcPr>
            <w:tcW w:w="2635" w:type="dxa"/>
            <w:tcBorders>
              <w:top w:val="nil"/>
              <w:left w:val="nil"/>
              <w:bottom w:val="nil"/>
              <w:right w:val="single" w:sz="4" w:space="0" w:color="auto"/>
            </w:tcBorders>
            <w:shd w:val="clear" w:color="auto" w:fill="auto"/>
            <w:noWrap/>
            <w:vAlign w:val="bottom"/>
          </w:tcPr>
          <w:p w14:paraId="7BC2D52B" w14:textId="77777777" w:rsidR="000020B9" w:rsidRPr="00CC6DC9" w:rsidRDefault="000020B9" w:rsidP="00EF25E1">
            <w:pPr>
              <w:jc w:val="center"/>
              <w:rPr>
                <w:color w:val="000000"/>
                <w:sz w:val="20"/>
                <w:szCs w:val="20"/>
              </w:rPr>
            </w:pPr>
            <w:r w:rsidRPr="00CC6DC9">
              <w:rPr>
                <w:color w:val="000000"/>
                <w:sz w:val="20"/>
                <w:szCs w:val="20"/>
              </w:rPr>
              <w:t>0.01</w:t>
            </w:r>
          </w:p>
        </w:tc>
        <w:tc>
          <w:tcPr>
            <w:tcW w:w="1180" w:type="dxa"/>
            <w:tcBorders>
              <w:top w:val="nil"/>
              <w:left w:val="nil"/>
              <w:bottom w:val="nil"/>
              <w:right w:val="single" w:sz="4" w:space="0" w:color="auto"/>
            </w:tcBorders>
            <w:shd w:val="clear" w:color="auto" w:fill="auto"/>
            <w:noWrap/>
            <w:vAlign w:val="bottom"/>
          </w:tcPr>
          <w:p w14:paraId="7C78D7FD" w14:textId="77777777" w:rsidR="000020B9" w:rsidRPr="00CC6DC9" w:rsidRDefault="000020B9" w:rsidP="00EF25E1">
            <w:pPr>
              <w:jc w:val="center"/>
              <w:rPr>
                <w:color w:val="000000"/>
                <w:sz w:val="20"/>
                <w:szCs w:val="20"/>
              </w:rPr>
            </w:pPr>
            <w:r w:rsidRPr="00CC6DC9">
              <w:rPr>
                <w:color w:val="000000"/>
                <w:sz w:val="20"/>
                <w:szCs w:val="20"/>
              </w:rPr>
              <w:t>19.05</w:t>
            </w:r>
          </w:p>
        </w:tc>
        <w:tc>
          <w:tcPr>
            <w:tcW w:w="1180" w:type="dxa"/>
            <w:tcBorders>
              <w:top w:val="nil"/>
              <w:left w:val="nil"/>
              <w:bottom w:val="nil"/>
              <w:right w:val="single" w:sz="4" w:space="0" w:color="auto"/>
            </w:tcBorders>
            <w:shd w:val="clear" w:color="auto" w:fill="auto"/>
            <w:noWrap/>
            <w:vAlign w:val="bottom"/>
          </w:tcPr>
          <w:p w14:paraId="43031167" w14:textId="77777777" w:rsidR="000020B9" w:rsidRPr="00CC6DC9" w:rsidRDefault="000020B9" w:rsidP="00EF25E1">
            <w:pPr>
              <w:jc w:val="center"/>
              <w:rPr>
                <w:color w:val="000000"/>
                <w:sz w:val="20"/>
                <w:szCs w:val="20"/>
              </w:rPr>
            </w:pPr>
            <w:r w:rsidRPr="00CC6DC9">
              <w:rPr>
                <w:color w:val="000000"/>
                <w:sz w:val="20"/>
                <w:szCs w:val="20"/>
              </w:rPr>
              <w:t>0.000</w:t>
            </w:r>
          </w:p>
        </w:tc>
      </w:tr>
      <w:tr w:rsidR="000020B9" w:rsidRPr="00CC6DC9" w14:paraId="0C631355"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34BBAF95" w14:textId="77777777" w:rsidR="000020B9" w:rsidRPr="00CC6DC9" w:rsidRDefault="000020B9" w:rsidP="00EF25E1">
            <w:pPr>
              <w:rPr>
                <w:color w:val="000000"/>
                <w:sz w:val="20"/>
                <w:szCs w:val="20"/>
                <w:lang w:val="en-US"/>
              </w:rPr>
            </w:pPr>
            <w:r w:rsidRPr="00CC6DC9">
              <w:rPr>
                <w:color w:val="000000"/>
                <w:sz w:val="20"/>
                <w:szCs w:val="20"/>
                <w:lang w:val="en-US"/>
              </w:rPr>
              <w:t xml:space="preserve">    Total Assets (price index </w:t>
            </w:r>
            <w:r>
              <w:rPr>
                <w:color w:val="000000"/>
                <w:sz w:val="20"/>
                <w:szCs w:val="20"/>
                <w:lang w:val="en-US"/>
              </w:rPr>
              <w:t>Q1</w:t>
            </w:r>
            <w:r w:rsidRPr="00CC6DC9">
              <w:rPr>
                <w:color w:val="000000"/>
                <w:sz w:val="20"/>
                <w:szCs w:val="20"/>
                <w:lang w:val="en-US"/>
              </w:rPr>
              <w:t>2001=1)</w:t>
            </w:r>
          </w:p>
        </w:tc>
        <w:tc>
          <w:tcPr>
            <w:tcW w:w="3096" w:type="dxa"/>
            <w:tcBorders>
              <w:top w:val="nil"/>
              <w:left w:val="nil"/>
              <w:bottom w:val="nil"/>
              <w:right w:val="single" w:sz="4" w:space="0" w:color="auto"/>
            </w:tcBorders>
            <w:shd w:val="clear" w:color="auto" w:fill="auto"/>
            <w:noWrap/>
            <w:vAlign w:val="bottom"/>
          </w:tcPr>
          <w:p w14:paraId="1F4BC850" w14:textId="77777777" w:rsidR="000020B9" w:rsidRPr="00CC6DC9" w:rsidRDefault="000020B9" w:rsidP="00EF25E1">
            <w:pPr>
              <w:jc w:val="center"/>
              <w:rPr>
                <w:color w:val="000000"/>
                <w:sz w:val="20"/>
                <w:szCs w:val="20"/>
              </w:rPr>
            </w:pPr>
            <w:r w:rsidRPr="00CC6DC9">
              <w:rPr>
                <w:color w:val="000000"/>
                <w:sz w:val="20"/>
                <w:szCs w:val="20"/>
              </w:rPr>
              <w:t>43600000</w:t>
            </w:r>
          </w:p>
        </w:tc>
        <w:tc>
          <w:tcPr>
            <w:tcW w:w="2635" w:type="dxa"/>
            <w:tcBorders>
              <w:top w:val="nil"/>
              <w:left w:val="nil"/>
              <w:bottom w:val="nil"/>
              <w:right w:val="single" w:sz="4" w:space="0" w:color="auto"/>
            </w:tcBorders>
            <w:shd w:val="clear" w:color="auto" w:fill="auto"/>
            <w:noWrap/>
            <w:vAlign w:val="bottom"/>
          </w:tcPr>
          <w:p w14:paraId="39506F18" w14:textId="77777777" w:rsidR="000020B9" w:rsidRPr="00CC6DC9" w:rsidRDefault="000020B9" w:rsidP="00EF25E1">
            <w:pPr>
              <w:jc w:val="center"/>
              <w:rPr>
                <w:color w:val="000000"/>
                <w:sz w:val="20"/>
                <w:szCs w:val="20"/>
              </w:rPr>
            </w:pPr>
            <w:r w:rsidRPr="00CC6DC9">
              <w:rPr>
                <w:color w:val="000000"/>
                <w:sz w:val="20"/>
                <w:szCs w:val="20"/>
              </w:rPr>
              <w:t>1039240</w:t>
            </w:r>
          </w:p>
        </w:tc>
        <w:tc>
          <w:tcPr>
            <w:tcW w:w="1180" w:type="dxa"/>
            <w:tcBorders>
              <w:top w:val="nil"/>
              <w:left w:val="nil"/>
              <w:bottom w:val="nil"/>
              <w:right w:val="single" w:sz="4" w:space="0" w:color="auto"/>
            </w:tcBorders>
            <w:shd w:val="clear" w:color="auto" w:fill="auto"/>
            <w:noWrap/>
            <w:vAlign w:val="bottom"/>
          </w:tcPr>
          <w:p w14:paraId="5DC2B0E0" w14:textId="77777777" w:rsidR="000020B9" w:rsidRPr="00CC6DC9" w:rsidRDefault="000020B9" w:rsidP="00EF25E1">
            <w:pPr>
              <w:jc w:val="center"/>
              <w:rPr>
                <w:color w:val="000000"/>
                <w:sz w:val="20"/>
                <w:szCs w:val="20"/>
              </w:rPr>
            </w:pPr>
            <w:r w:rsidRPr="00CC6DC9">
              <w:rPr>
                <w:color w:val="000000"/>
                <w:sz w:val="20"/>
                <w:szCs w:val="20"/>
              </w:rPr>
              <w:t>21.73</w:t>
            </w:r>
          </w:p>
        </w:tc>
        <w:tc>
          <w:tcPr>
            <w:tcW w:w="1180" w:type="dxa"/>
            <w:tcBorders>
              <w:top w:val="nil"/>
              <w:left w:val="nil"/>
              <w:bottom w:val="nil"/>
              <w:right w:val="single" w:sz="4" w:space="0" w:color="auto"/>
            </w:tcBorders>
            <w:shd w:val="clear" w:color="auto" w:fill="auto"/>
            <w:noWrap/>
            <w:vAlign w:val="bottom"/>
          </w:tcPr>
          <w:p w14:paraId="11087451" w14:textId="77777777" w:rsidR="000020B9" w:rsidRPr="00CC6DC9" w:rsidRDefault="000020B9" w:rsidP="00EF25E1">
            <w:pPr>
              <w:jc w:val="center"/>
              <w:rPr>
                <w:color w:val="000000"/>
                <w:sz w:val="20"/>
                <w:szCs w:val="20"/>
              </w:rPr>
            </w:pPr>
            <w:r w:rsidRPr="00CC6DC9">
              <w:rPr>
                <w:color w:val="000000"/>
                <w:sz w:val="20"/>
                <w:szCs w:val="20"/>
              </w:rPr>
              <w:t>0.000</w:t>
            </w:r>
          </w:p>
        </w:tc>
      </w:tr>
      <w:tr w:rsidR="000020B9" w:rsidRPr="00CC6DC9" w14:paraId="77C8EB27"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4FE9576E" w14:textId="77777777" w:rsidR="000020B9" w:rsidRPr="00CC6DC9" w:rsidRDefault="000020B9" w:rsidP="00EF25E1">
            <w:pPr>
              <w:rPr>
                <w:color w:val="000000"/>
                <w:sz w:val="20"/>
                <w:szCs w:val="20"/>
                <w:lang w:val="en-US"/>
              </w:rPr>
            </w:pPr>
            <w:r w:rsidRPr="00CC6DC9">
              <w:rPr>
                <w:color w:val="000000"/>
                <w:sz w:val="20"/>
                <w:szCs w:val="20"/>
                <w:lang w:val="en-US"/>
              </w:rPr>
              <w:t xml:space="preserve">    Total Bank Products Revenue (price index </w:t>
            </w:r>
            <w:r>
              <w:rPr>
                <w:color w:val="000000"/>
                <w:sz w:val="20"/>
                <w:szCs w:val="20"/>
                <w:lang w:val="en-US"/>
              </w:rPr>
              <w:t>Q1</w:t>
            </w:r>
            <w:r w:rsidRPr="00CC6DC9">
              <w:rPr>
                <w:color w:val="000000"/>
                <w:sz w:val="20"/>
                <w:szCs w:val="20"/>
                <w:lang w:val="en-US"/>
              </w:rPr>
              <w:t>2001=1)</w:t>
            </w:r>
          </w:p>
        </w:tc>
        <w:tc>
          <w:tcPr>
            <w:tcW w:w="3096" w:type="dxa"/>
            <w:tcBorders>
              <w:top w:val="nil"/>
              <w:left w:val="nil"/>
              <w:bottom w:val="nil"/>
              <w:right w:val="single" w:sz="4" w:space="0" w:color="auto"/>
            </w:tcBorders>
            <w:shd w:val="clear" w:color="auto" w:fill="auto"/>
            <w:noWrap/>
            <w:vAlign w:val="bottom"/>
          </w:tcPr>
          <w:p w14:paraId="45CBEF9A" w14:textId="77777777" w:rsidR="000020B9" w:rsidRPr="00CC6DC9" w:rsidRDefault="000020B9" w:rsidP="00EF25E1">
            <w:pPr>
              <w:jc w:val="center"/>
              <w:rPr>
                <w:color w:val="000000"/>
                <w:sz w:val="20"/>
                <w:szCs w:val="20"/>
              </w:rPr>
            </w:pPr>
            <w:r w:rsidRPr="00CC6DC9">
              <w:rPr>
                <w:color w:val="000000"/>
                <w:sz w:val="20"/>
                <w:szCs w:val="20"/>
              </w:rPr>
              <w:t>1593522</w:t>
            </w:r>
          </w:p>
        </w:tc>
        <w:tc>
          <w:tcPr>
            <w:tcW w:w="2635" w:type="dxa"/>
            <w:tcBorders>
              <w:top w:val="nil"/>
              <w:left w:val="nil"/>
              <w:bottom w:val="nil"/>
              <w:right w:val="single" w:sz="4" w:space="0" w:color="auto"/>
            </w:tcBorders>
            <w:shd w:val="clear" w:color="auto" w:fill="auto"/>
            <w:noWrap/>
            <w:vAlign w:val="bottom"/>
          </w:tcPr>
          <w:p w14:paraId="3BB3BC37" w14:textId="77777777" w:rsidR="000020B9" w:rsidRPr="00CC6DC9" w:rsidRDefault="000020B9" w:rsidP="00EF25E1">
            <w:pPr>
              <w:jc w:val="center"/>
              <w:rPr>
                <w:color w:val="000000"/>
                <w:sz w:val="20"/>
                <w:szCs w:val="20"/>
              </w:rPr>
            </w:pPr>
            <w:r w:rsidRPr="00CC6DC9">
              <w:rPr>
                <w:color w:val="000000"/>
                <w:sz w:val="20"/>
                <w:szCs w:val="20"/>
              </w:rPr>
              <w:t>37179</w:t>
            </w:r>
          </w:p>
        </w:tc>
        <w:tc>
          <w:tcPr>
            <w:tcW w:w="1180" w:type="dxa"/>
            <w:tcBorders>
              <w:top w:val="nil"/>
              <w:left w:val="nil"/>
              <w:bottom w:val="nil"/>
              <w:right w:val="single" w:sz="4" w:space="0" w:color="auto"/>
            </w:tcBorders>
            <w:shd w:val="clear" w:color="auto" w:fill="auto"/>
            <w:noWrap/>
            <w:vAlign w:val="bottom"/>
          </w:tcPr>
          <w:p w14:paraId="79485894" w14:textId="77777777" w:rsidR="000020B9" w:rsidRPr="00CC6DC9" w:rsidRDefault="000020B9" w:rsidP="00EF25E1">
            <w:pPr>
              <w:jc w:val="center"/>
              <w:rPr>
                <w:color w:val="000000"/>
                <w:sz w:val="20"/>
                <w:szCs w:val="20"/>
              </w:rPr>
            </w:pPr>
            <w:r w:rsidRPr="00CC6DC9">
              <w:rPr>
                <w:color w:val="000000"/>
                <w:sz w:val="20"/>
                <w:szCs w:val="20"/>
              </w:rPr>
              <w:t>22.59</w:t>
            </w:r>
          </w:p>
        </w:tc>
        <w:tc>
          <w:tcPr>
            <w:tcW w:w="1180" w:type="dxa"/>
            <w:tcBorders>
              <w:top w:val="nil"/>
              <w:left w:val="nil"/>
              <w:bottom w:val="nil"/>
              <w:right w:val="single" w:sz="4" w:space="0" w:color="auto"/>
            </w:tcBorders>
            <w:shd w:val="clear" w:color="auto" w:fill="auto"/>
            <w:noWrap/>
            <w:vAlign w:val="bottom"/>
          </w:tcPr>
          <w:p w14:paraId="677B145C" w14:textId="77777777" w:rsidR="000020B9" w:rsidRPr="00CC6DC9" w:rsidRDefault="000020B9" w:rsidP="00EF25E1">
            <w:pPr>
              <w:jc w:val="center"/>
              <w:rPr>
                <w:color w:val="000000"/>
                <w:sz w:val="20"/>
                <w:szCs w:val="20"/>
              </w:rPr>
            </w:pPr>
            <w:r w:rsidRPr="00CC6DC9">
              <w:rPr>
                <w:color w:val="000000"/>
                <w:sz w:val="20"/>
                <w:szCs w:val="20"/>
              </w:rPr>
              <w:t>0.000</w:t>
            </w:r>
          </w:p>
        </w:tc>
      </w:tr>
      <w:tr w:rsidR="000020B9" w:rsidRPr="00CC6DC9" w14:paraId="23327EA7"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71F24049" w14:textId="77777777" w:rsidR="000020B9" w:rsidRPr="00CC6DC9" w:rsidRDefault="000020B9" w:rsidP="00EF25E1">
            <w:pPr>
              <w:rPr>
                <w:color w:val="000000"/>
                <w:sz w:val="20"/>
                <w:szCs w:val="20"/>
              </w:rPr>
            </w:pPr>
            <w:r w:rsidRPr="00CC6DC9">
              <w:rPr>
                <w:color w:val="000000"/>
                <w:sz w:val="20"/>
                <w:szCs w:val="20"/>
              </w:rPr>
              <w:t> </w:t>
            </w:r>
          </w:p>
        </w:tc>
        <w:tc>
          <w:tcPr>
            <w:tcW w:w="3096" w:type="dxa"/>
            <w:tcBorders>
              <w:top w:val="nil"/>
              <w:left w:val="nil"/>
              <w:bottom w:val="nil"/>
              <w:right w:val="single" w:sz="4" w:space="0" w:color="auto"/>
            </w:tcBorders>
            <w:shd w:val="clear" w:color="auto" w:fill="auto"/>
            <w:noWrap/>
            <w:vAlign w:val="bottom"/>
          </w:tcPr>
          <w:p w14:paraId="759919F1" w14:textId="77777777" w:rsidR="000020B9" w:rsidRPr="00CC6DC9" w:rsidRDefault="000020B9" w:rsidP="00EF25E1">
            <w:pPr>
              <w:jc w:val="center"/>
              <w:rPr>
                <w:color w:val="000000"/>
                <w:sz w:val="20"/>
                <w:szCs w:val="20"/>
              </w:rPr>
            </w:pPr>
            <w:r w:rsidRPr="00CC6DC9">
              <w:rPr>
                <w:color w:val="000000"/>
                <w:sz w:val="20"/>
                <w:szCs w:val="20"/>
              </w:rPr>
              <w:t> </w:t>
            </w:r>
          </w:p>
        </w:tc>
        <w:tc>
          <w:tcPr>
            <w:tcW w:w="2635" w:type="dxa"/>
            <w:tcBorders>
              <w:top w:val="nil"/>
              <w:left w:val="nil"/>
              <w:bottom w:val="nil"/>
              <w:right w:val="single" w:sz="4" w:space="0" w:color="auto"/>
            </w:tcBorders>
            <w:shd w:val="clear" w:color="auto" w:fill="auto"/>
            <w:noWrap/>
            <w:vAlign w:val="bottom"/>
          </w:tcPr>
          <w:p w14:paraId="0D852246" w14:textId="77777777" w:rsidR="000020B9" w:rsidRPr="00CC6DC9" w:rsidRDefault="000020B9" w:rsidP="00EF25E1">
            <w:pPr>
              <w:jc w:val="center"/>
              <w:rPr>
                <w:color w:val="000000"/>
                <w:sz w:val="20"/>
                <w:szCs w:val="20"/>
              </w:rPr>
            </w:pPr>
            <w:r w:rsidRPr="00CC6DC9">
              <w:rPr>
                <w:color w:val="000000"/>
                <w:sz w:val="20"/>
                <w:szCs w:val="20"/>
              </w:rPr>
              <w:t> </w:t>
            </w:r>
          </w:p>
        </w:tc>
        <w:tc>
          <w:tcPr>
            <w:tcW w:w="1180" w:type="dxa"/>
            <w:tcBorders>
              <w:top w:val="nil"/>
              <w:left w:val="nil"/>
              <w:bottom w:val="nil"/>
              <w:right w:val="single" w:sz="4" w:space="0" w:color="auto"/>
            </w:tcBorders>
            <w:shd w:val="clear" w:color="auto" w:fill="auto"/>
            <w:noWrap/>
            <w:vAlign w:val="bottom"/>
          </w:tcPr>
          <w:p w14:paraId="47808450" w14:textId="77777777" w:rsidR="000020B9" w:rsidRPr="00CC6DC9" w:rsidRDefault="000020B9" w:rsidP="00EF25E1">
            <w:pPr>
              <w:jc w:val="center"/>
              <w:rPr>
                <w:color w:val="000000"/>
                <w:sz w:val="20"/>
                <w:szCs w:val="20"/>
              </w:rPr>
            </w:pPr>
            <w:r w:rsidRPr="00CC6DC9">
              <w:rPr>
                <w:color w:val="000000"/>
                <w:sz w:val="20"/>
                <w:szCs w:val="20"/>
              </w:rPr>
              <w:t> </w:t>
            </w:r>
          </w:p>
        </w:tc>
        <w:tc>
          <w:tcPr>
            <w:tcW w:w="1180" w:type="dxa"/>
            <w:tcBorders>
              <w:top w:val="nil"/>
              <w:left w:val="nil"/>
              <w:bottom w:val="nil"/>
              <w:right w:val="single" w:sz="4" w:space="0" w:color="auto"/>
            </w:tcBorders>
            <w:shd w:val="clear" w:color="auto" w:fill="auto"/>
            <w:noWrap/>
            <w:vAlign w:val="bottom"/>
          </w:tcPr>
          <w:p w14:paraId="2860C356" w14:textId="77777777" w:rsidR="000020B9" w:rsidRPr="00CC6DC9" w:rsidRDefault="000020B9" w:rsidP="00EF25E1">
            <w:pPr>
              <w:jc w:val="center"/>
              <w:rPr>
                <w:color w:val="000000"/>
                <w:sz w:val="20"/>
                <w:szCs w:val="20"/>
              </w:rPr>
            </w:pPr>
            <w:r w:rsidRPr="00CC6DC9">
              <w:rPr>
                <w:color w:val="000000"/>
                <w:sz w:val="20"/>
                <w:szCs w:val="20"/>
              </w:rPr>
              <w:t> </w:t>
            </w:r>
          </w:p>
        </w:tc>
      </w:tr>
      <w:tr w:rsidR="000020B9" w:rsidRPr="00CC6DC9" w14:paraId="61415A6B"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6331A049" w14:textId="77777777" w:rsidR="000020B9" w:rsidRPr="00CC6DC9" w:rsidRDefault="000020B9" w:rsidP="00EF25E1">
            <w:pPr>
              <w:rPr>
                <w:color w:val="000000"/>
                <w:sz w:val="20"/>
                <w:szCs w:val="20"/>
              </w:rPr>
            </w:pPr>
            <w:r w:rsidRPr="00CC6DC9">
              <w:rPr>
                <w:color w:val="000000"/>
                <w:sz w:val="20"/>
                <w:szCs w:val="20"/>
              </w:rPr>
              <w:t>Panel B - Other Characteristics</w:t>
            </w:r>
          </w:p>
        </w:tc>
        <w:tc>
          <w:tcPr>
            <w:tcW w:w="3096" w:type="dxa"/>
            <w:tcBorders>
              <w:top w:val="nil"/>
              <w:left w:val="nil"/>
              <w:bottom w:val="nil"/>
              <w:right w:val="single" w:sz="4" w:space="0" w:color="auto"/>
            </w:tcBorders>
            <w:shd w:val="clear" w:color="auto" w:fill="auto"/>
            <w:noWrap/>
            <w:vAlign w:val="bottom"/>
          </w:tcPr>
          <w:p w14:paraId="01DF05A3" w14:textId="77777777" w:rsidR="000020B9" w:rsidRPr="00CC6DC9" w:rsidRDefault="000020B9" w:rsidP="00EF25E1">
            <w:pPr>
              <w:rPr>
                <w:color w:val="000000"/>
                <w:sz w:val="20"/>
                <w:szCs w:val="20"/>
              </w:rPr>
            </w:pPr>
            <w:r w:rsidRPr="00CC6DC9">
              <w:rPr>
                <w:color w:val="000000"/>
                <w:sz w:val="20"/>
                <w:szCs w:val="20"/>
              </w:rPr>
              <w:t> </w:t>
            </w:r>
          </w:p>
        </w:tc>
        <w:tc>
          <w:tcPr>
            <w:tcW w:w="2635" w:type="dxa"/>
            <w:tcBorders>
              <w:top w:val="nil"/>
              <w:left w:val="nil"/>
              <w:bottom w:val="nil"/>
              <w:right w:val="single" w:sz="4" w:space="0" w:color="auto"/>
            </w:tcBorders>
            <w:shd w:val="clear" w:color="auto" w:fill="auto"/>
            <w:noWrap/>
            <w:vAlign w:val="bottom"/>
          </w:tcPr>
          <w:p w14:paraId="63E7EE04" w14:textId="77777777" w:rsidR="000020B9" w:rsidRPr="00CC6DC9" w:rsidRDefault="000020B9" w:rsidP="00EF25E1">
            <w:pPr>
              <w:rPr>
                <w:color w:val="000000"/>
                <w:sz w:val="20"/>
                <w:szCs w:val="20"/>
              </w:rPr>
            </w:pPr>
            <w:r w:rsidRPr="00CC6DC9">
              <w:rPr>
                <w:color w:val="000000"/>
                <w:sz w:val="20"/>
                <w:szCs w:val="20"/>
              </w:rPr>
              <w:t> </w:t>
            </w:r>
          </w:p>
        </w:tc>
        <w:tc>
          <w:tcPr>
            <w:tcW w:w="1180" w:type="dxa"/>
            <w:tcBorders>
              <w:top w:val="nil"/>
              <w:left w:val="nil"/>
              <w:bottom w:val="nil"/>
              <w:right w:val="single" w:sz="4" w:space="0" w:color="auto"/>
            </w:tcBorders>
            <w:shd w:val="clear" w:color="auto" w:fill="auto"/>
            <w:noWrap/>
            <w:vAlign w:val="bottom"/>
          </w:tcPr>
          <w:p w14:paraId="53A30B50" w14:textId="77777777" w:rsidR="000020B9" w:rsidRPr="00CC6DC9" w:rsidRDefault="000020B9" w:rsidP="00EF25E1">
            <w:pPr>
              <w:rPr>
                <w:color w:val="000000"/>
                <w:sz w:val="20"/>
                <w:szCs w:val="20"/>
              </w:rPr>
            </w:pPr>
            <w:r w:rsidRPr="00CC6DC9">
              <w:rPr>
                <w:color w:val="000000"/>
                <w:sz w:val="20"/>
                <w:szCs w:val="20"/>
              </w:rPr>
              <w:t> </w:t>
            </w:r>
          </w:p>
        </w:tc>
        <w:tc>
          <w:tcPr>
            <w:tcW w:w="1180" w:type="dxa"/>
            <w:tcBorders>
              <w:top w:val="nil"/>
              <w:left w:val="nil"/>
              <w:bottom w:val="nil"/>
              <w:right w:val="single" w:sz="4" w:space="0" w:color="auto"/>
            </w:tcBorders>
            <w:shd w:val="clear" w:color="auto" w:fill="auto"/>
            <w:noWrap/>
            <w:vAlign w:val="bottom"/>
          </w:tcPr>
          <w:p w14:paraId="30F5D035" w14:textId="77777777" w:rsidR="000020B9" w:rsidRPr="00CC6DC9" w:rsidRDefault="000020B9" w:rsidP="00EF25E1">
            <w:pPr>
              <w:rPr>
                <w:color w:val="000000"/>
                <w:sz w:val="20"/>
                <w:szCs w:val="20"/>
              </w:rPr>
            </w:pPr>
            <w:r w:rsidRPr="00CC6DC9">
              <w:rPr>
                <w:color w:val="000000"/>
                <w:sz w:val="20"/>
                <w:szCs w:val="20"/>
              </w:rPr>
              <w:t> </w:t>
            </w:r>
          </w:p>
        </w:tc>
      </w:tr>
      <w:tr w:rsidR="000020B9" w:rsidRPr="00CC6DC9" w14:paraId="66AD7869"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23369A8E" w14:textId="77777777" w:rsidR="000020B9" w:rsidRPr="00CC6DC9" w:rsidRDefault="000020B9" w:rsidP="00EF25E1">
            <w:pPr>
              <w:rPr>
                <w:color w:val="000000"/>
                <w:sz w:val="20"/>
                <w:szCs w:val="20"/>
              </w:rPr>
            </w:pPr>
            <w:r w:rsidRPr="00CC6DC9">
              <w:rPr>
                <w:color w:val="000000"/>
                <w:sz w:val="20"/>
                <w:szCs w:val="20"/>
              </w:rPr>
              <w:t xml:space="preserve">     Dummy Private Bank</w:t>
            </w:r>
          </w:p>
        </w:tc>
        <w:tc>
          <w:tcPr>
            <w:tcW w:w="3096" w:type="dxa"/>
            <w:tcBorders>
              <w:top w:val="nil"/>
              <w:left w:val="nil"/>
              <w:bottom w:val="nil"/>
              <w:right w:val="single" w:sz="4" w:space="0" w:color="auto"/>
            </w:tcBorders>
            <w:shd w:val="clear" w:color="auto" w:fill="auto"/>
            <w:noWrap/>
            <w:vAlign w:val="bottom"/>
          </w:tcPr>
          <w:p w14:paraId="00D411B5" w14:textId="77777777" w:rsidR="000020B9" w:rsidRPr="00CC6DC9" w:rsidRDefault="000020B9" w:rsidP="00EF25E1">
            <w:pPr>
              <w:jc w:val="center"/>
              <w:rPr>
                <w:color w:val="000000"/>
                <w:sz w:val="20"/>
                <w:szCs w:val="20"/>
              </w:rPr>
            </w:pPr>
            <w:r w:rsidRPr="00CC6DC9">
              <w:rPr>
                <w:color w:val="000000"/>
                <w:sz w:val="20"/>
                <w:szCs w:val="20"/>
              </w:rPr>
              <w:t>0.71</w:t>
            </w:r>
          </w:p>
        </w:tc>
        <w:tc>
          <w:tcPr>
            <w:tcW w:w="2635" w:type="dxa"/>
            <w:tcBorders>
              <w:top w:val="nil"/>
              <w:left w:val="nil"/>
              <w:bottom w:val="nil"/>
              <w:right w:val="single" w:sz="4" w:space="0" w:color="auto"/>
            </w:tcBorders>
            <w:shd w:val="clear" w:color="auto" w:fill="auto"/>
            <w:noWrap/>
            <w:vAlign w:val="bottom"/>
          </w:tcPr>
          <w:p w14:paraId="62B7F13E" w14:textId="77777777" w:rsidR="000020B9" w:rsidRPr="00CC6DC9" w:rsidRDefault="000020B9" w:rsidP="00EF25E1">
            <w:pPr>
              <w:jc w:val="center"/>
              <w:rPr>
                <w:color w:val="000000"/>
                <w:sz w:val="20"/>
                <w:szCs w:val="20"/>
              </w:rPr>
            </w:pPr>
            <w:r w:rsidRPr="00CC6DC9">
              <w:rPr>
                <w:color w:val="000000"/>
                <w:sz w:val="20"/>
                <w:szCs w:val="20"/>
              </w:rPr>
              <w:t>1.00</w:t>
            </w:r>
          </w:p>
        </w:tc>
        <w:tc>
          <w:tcPr>
            <w:tcW w:w="1180" w:type="dxa"/>
            <w:tcBorders>
              <w:top w:val="nil"/>
              <w:left w:val="nil"/>
              <w:bottom w:val="nil"/>
              <w:right w:val="single" w:sz="4" w:space="0" w:color="auto"/>
            </w:tcBorders>
            <w:shd w:val="clear" w:color="auto" w:fill="auto"/>
            <w:noWrap/>
            <w:vAlign w:val="bottom"/>
          </w:tcPr>
          <w:p w14:paraId="45AEC2F9" w14:textId="77777777" w:rsidR="000020B9" w:rsidRPr="00CC6DC9" w:rsidRDefault="000020B9" w:rsidP="00EF25E1">
            <w:pPr>
              <w:jc w:val="center"/>
              <w:rPr>
                <w:color w:val="000000"/>
                <w:sz w:val="20"/>
                <w:szCs w:val="20"/>
              </w:rPr>
            </w:pPr>
            <w:r w:rsidRPr="00CC6DC9">
              <w:rPr>
                <w:color w:val="000000"/>
                <w:sz w:val="20"/>
                <w:szCs w:val="20"/>
              </w:rPr>
              <w:t>-26.72</w:t>
            </w:r>
          </w:p>
        </w:tc>
        <w:tc>
          <w:tcPr>
            <w:tcW w:w="1180" w:type="dxa"/>
            <w:tcBorders>
              <w:top w:val="nil"/>
              <w:left w:val="nil"/>
              <w:bottom w:val="nil"/>
              <w:right w:val="single" w:sz="4" w:space="0" w:color="auto"/>
            </w:tcBorders>
            <w:shd w:val="clear" w:color="auto" w:fill="auto"/>
            <w:noWrap/>
            <w:vAlign w:val="bottom"/>
          </w:tcPr>
          <w:p w14:paraId="5C7A9B87" w14:textId="77777777" w:rsidR="000020B9" w:rsidRPr="00CC6DC9" w:rsidRDefault="000020B9" w:rsidP="00EF25E1">
            <w:pPr>
              <w:jc w:val="center"/>
              <w:rPr>
                <w:color w:val="000000"/>
                <w:sz w:val="20"/>
                <w:szCs w:val="20"/>
              </w:rPr>
            </w:pPr>
            <w:r w:rsidRPr="00CC6DC9">
              <w:rPr>
                <w:color w:val="000000"/>
                <w:sz w:val="20"/>
                <w:szCs w:val="20"/>
              </w:rPr>
              <w:t>0.000</w:t>
            </w:r>
          </w:p>
        </w:tc>
      </w:tr>
      <w:tr w:rsidR="000020B9" w:rsidRPr="00CC6DC9" w14:paraId="2915E792" w14:textId="77777777" w:rsidTr="00EF25E1">
        <w:trPr>
          <w:trHeight w:val="285"/>
          <w:jc w:val="center"/>
        </w:trPr>
        <w:tc>
          <w:tcPr>
            <w:tcW w:w="6108" w:type="dxa"/>
            <w:tcBorders>
              <w:top w:val="nil"/>
              <w:left w:val="single" w:sz="4" w:space="0" w:color="auto"/>
              <w:bottom w:val="nil"/>
              <w:right w:val="single" w:sz="4" w:space="0" w:color="auto"/>
            </w:tcBorders>
            <w:shd w:val="clear" w:color="auto" w:fill="auto"/>
            <w:noWrap/>
            <w:vAlign w:val="bottom"/>
          </w:tcPr>
          <w:p w14:paraId="27F14357" w14:textId="77777777" w:rsidR="000020B9" w:rsidRPr="00CC6DC9" w:rsidRDefault="000020B9" w:rsidP="00EF25E1">
            <w:pPr>
              <w:rPr>
                <w:color w:val="000000"/>
                <w:sz w:val="20"/>
                <w:szCs w:val="20"/>
              </w:rPr>
            </w:pPr>
            <w:r w:rsidRPr="00CC6DC9">
              <w:rPr>
                <w:color w:val="000000"/>
                <w:sz w:val="20"/>
                <w:szCs w:val="20"/>
              </w:rPr>
              <w:t xml:space="preserve">     Dummy Brazilian Bank</w:t>
            </w:r>
          </w:p>
        </w:tc>
        <w:tc>
          <w:tcPr>
            <w:tcW w:w="3096" w:type="dxa"/>
            <w:tcBorders>
              <w:top w:val="nil"/>
              <w:left w:val="nil"/>
              <w:bottom w:val="nil"/>
              <w:right w:val="single" w:sz="4" w:space="0" w:color="auto"/>
            </w:tcBorders>
            <w:shd w:val="clear" w:color="auto" w:fill="auto"/>
            <w:noWrap/>
            <w:vAlign w:val="bottom"/>
          </w:tcPr>
          <w:p w14:paraId="6DB1295C" w14:textId="77777777" w:rsidR="000020B9" w:rsidRPr="00CC6DC9" w:rsidRDefault="000020B9" w:rsidP="00EF25E1">
            <w:pPr>
              <w:jc w:val="center"/>
              <w:rPr>
                <w:color w:val="000000"/>
                <w:sz w:val="20"/>
                <w:szCs w:val="20"/>
              </w:rPr>
            </w:pPr>
            <w:r w:rsidRPr="00CC6DC9">
              <w:rPr>
                <w:color w:val="000000"/>
                <w:sz w:val="20"/>
                <w:szCs w:val="20"/>
              </w:rPr>
              <w:t>0.94</w:t>
            </w:r>
          </w:p>
        </w:tc>
        <w:tc>
          <w:tcPr>
            <w:tcW w:w="2635" w:type="dxa"/>
            <w:tcBorders>
              <w:top w:val="nil"/>
              <w:left w:val="nil"/>
              <w:bottom w:val="nil"/>
              <w:right w:val="single" w:sz="4" w:space="0" w:color="auto"/>
            </w:tcBorders>
            <w:shd w:val="clear" w:color="auto" w:fill="auto"/>
            <w:noWrap/>
            <w:vAlign w:val="bottom"/>
          </w:tcPr>
          <w:p w14:paraId="408C9693" w14:textId="77777777" w:rsidR="000020B9" w:rsidRPr="00CC6DC9" w:rsidRDefault="000020B9" w:rsidP="00EF25E1">
            <w:pPr>
              <w:jc w:val="center"/>
              <w:rPr>
                <w:color w:val="000000"/>
                <w:sz w:val="20"/>
                <w:szCs w:val="20"/>
              </w:rPr>
            </w:pPr>
            <w:r w:rsidRPr="00CC6DC9">
              <w:rPr>
                <w:color w:val="000000"/>
                <w:sz w:val="20"/>
                <w:szCs w:val="20"/>
              </w:rPr>
              <w:t>0.89</w:t>
            </w:r>
          </w:p>
        </w:tc>
        <w:tc>
          <w:tcPr>
            <w:tcW w:w="1180" w:type="dxa"/>
            <w:tcBorders>
              <w:top w:val="nil"/>
              <w:left w:val="nil"/>
              <w:bottom w:val="nil"/>
              <w:right w:val="single" w:sz="4" w:space="0" w:color="auto"/>
            </w:tcBorders>
            <w:shd w:val="clear" w:color="auto" w:fill="auto"/>
            <w:noWrap/>
            <w:vAlign w:val="bottom"/>
          </w:tcPr>
          <w:p w14:paraId="6C794B75" w14:textId="77777777" w:rsidR="000020B9" w:rsidRPr="00CC6DC9" w:rsidRDefault="000020B9" w:rsidP="00EF25E1">
            <w:pPr>
              <w:jc w:val="center"/>
              <w:rPr>
                <w:color w:val="000000"/>
                <w:sz w:val="20"/>
                <w:szCs w:val="20"/>
              </w:rPr>
            </w:pPr>
            <w:r w:rsidRPr="00CC6DC9">
              <w:rPr>
                <w:color w:val="000000"/>
                <w:sz w:val="20"/>
                <w:szCs w:val="20"/>
              </w:rPr>
              <w:t>3.22</w:t>
            </w:r>
          </w:p>
        </w:tc>
        <w:tc>
          <w:tcPr>
            <w:tcW w:w="1180" w:type="dxa"/>
            <w:tcBorders>
              <w:top w:val="nil"/>
              <w:left w:val="nil"/>
              <w:bottom w:val="nil"/>
              <w:right w:val="single" w:sz="4" w:space="0" w:color="auto"/>
            </w:tcBorders>
            <w:shd w:val="clear" w:color="auto" w:fill="auto"/>
            <w:noWrap/>
            <w:vAlign w:val="bottom"/>
          </w:tcPr>
          <w:p w14:paraId="0450C157" w14:textId="77777777" w:rsidR="000020B9" w:rsidRPr="00CC6DC9" w:rsidRDefault="000020B9" w:rsidP="00EF25E1">
            <w:pPr>
              <w:jc w:val="center"/>
              <w:rPr>
                <w:color w:val="000000"/>
                <w:sz w:val="20"/>
                <w:szCs w:val="20"/>
              </w:rPr>
            </w:pPr>
            <w:r w:rsidRPr="00CC6DC9">
              <w:rPr>
                <w:color w:val="000000"/>
                <w:sz w:val="20"/>
                <w:szCs w:val="20"/>
              </w:rPr>
              <w:t>0.001</w:t>
            </w:r>
          </w:p>
        </w:tc>
      </w:tr>
      <w:tr w:rsidR="000020B9" w:rsidRPr="00CC6DC9" w14:paraId="03A6801A"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48619206" w14:textId="77777777" w:rsidR="000020B9" w:rsidRPr="00CC6DC9" w:rsidRDefault="000020B9" w:rsidP="00EF25E1">
            <w:pPr>
              <w:rPr>
                <w:color w:val="000000"/>
                <w:sz w:val="20"/>
                <w:szCs w:val="20"/>
                <w:lang w:val="en-US"/>
              </w:rPr>
            </w:pPr>
            <w:r w:rsidRPr="00CC6DC9">
              <w:rPr>
                <w:color w:val="000000"/>
                <w:sz w:val="20"/>
                <w:szCs w:val="20"/>
                <w:lang w:val="en-US"/>
              </w:rPr>
              <w:t xml:space="preserve">    Labor Cost (Wage) = TotalPayoll/Total Assets</w:t>
            </w:r>
          </w:p>
        </w:tc>
        <w:tc>
          <w:tcPr>
            <w:tcW w:w="3096" w:type="dxa"/>
            <w:tcBorders>
              <w:top w:val="nil"/>
              <w:left w:val="nil"/>
              <w:bottom w:val="nil"/>
              <w:right w:val="single" w:sz="4" w:space="0" w:color="auto"/>
            </w:tcBorders>
            <w:shd w:val="clear" w:color="auto" w:fill="auto"/>
            <w:noWrap/>
            <w:vAlign w:val="bottom"/>
          </w:tcPr>
          <w:p w14:paraId="622BBCAE" w14:textId="77777777" w:rsidR="000020B9" w:rsidRPr="00CC6DC9" w:rsidRDefault="000020B9" w:rsidP="00EF25E1">
            <w:pPr>
              <w:jc w:val="center"/>
              <w:rPr>
                <w:color w:val="000000"/>
                <w:sz w:val="20"/>
                <w:szCs w:val="20"/>
              </w:rPr>
            </w:pPr>
            <w:r w:rsidRPr="00CC6DC9">
              <w:rPr>
                <w:color w:val="000000"/>
                <w:sz w:val="20"/>
                <w:szCs w:val="20"/>
              </w:rPr>
              <w:t>0.09</w:t>
            </w:r>
          </w:p>
        </w:tc>
        <w:tc>
          <w:tcPr>
            <w:tcW w:w="2635" w:type="dxa"/>
            <w:tcBorders>
              <w:top w:val="nil"/>
              <w:left w:val="nil"/>
              <w:bottom w:val="nil"/>
              <w:right w:val="single" w:sz="4" w:space="0" w:color="auto"/>
            </w:tcBorders>
            <w:shd w:val="clear" w:color="auto" w:fill="auto"/>
            <w:noWrap/>
            <w:vAlign w:val="bottom"/>
          </w:tcPr>
          <w:p w14:paraId="42F24A82" w14:textId="77777777" w:rsidR="000020B9" w:rsidRPr="00CC6DC9" w:rsidRDefault="000020B9" w:rsidP="00EF25E1">
            <w:pPr>
              <w:jc w:val="center"/>
              <w:rPr>
                <w:color w:val="000000"/>
                <w:sz w:val="20"/>
                <w:szCs w:val="20"/>
              </w:rPr>
            </w:pPr>
            <w:r w:rsidRPr="00CC6DC9">
              <w:rPr>
                <w:color w:val="000000"/>
                <w:sz w:val="20"/>
                <w:szCs w:val="20"/>
              </w:rPr>
              <w:t>0.03</w:t>
            </w:r>
          </w:p>
        </w:tc>
        <w:tc>
          <w:tcPr>
            <w:tcW w:w="1180" w:type="dxa"/>
            <w:tcBorders>
              <w:top w:val="nil"/>
              <w:left w:val="nil"/>
              <w:bottom w:val="nil"/>
              <w:right w:val="single" w:sz="4" w:space="0" w:color="auto"/>
            </w:tcBorders>
            <w:shd w:val="clear" w:color="auto" w:fill="auto"/>
            <w:noWrap/>
            <w:vAlign w:val="bottom"/>
          </w:tcPr>
          <w:p w14:paraId="64213B42" w14:textId="77777777" w:rsidR="000020B9" w:rsidRPr="00CC6DC9" w:rsidRDefault="000020B9" w:rsidP="00EF25E1">
            <w:pPr>
              <w:jc w:val="center"/>
              <w:rPr>
                <w:color w:val="000000"/>
                <w:sz w:val="20"/>
                <w:szCs w:val="20"/>
              </w:rPr>
            </w:pPr>
            <w:r w:rsidRPr="00CC6DC9">
              <w:rPr>
                <w:color w:val="000000"/>
                <w:sz w:val="20"/>
                <w:szCs w:val="20"/>
              </w:rPr>
              <w:t>19.86</w:t>
            </w:r>
          </w:p>
        </w:tc>
        <w:tc>
          <w:tcPr>
            <w:tcW w:w="1180" w:type="dxa"/>
            <w:tcBorders>
              <w:top w:val="nil"/>
              <w:left w:val="nil"/>
              <w:bottom w:val="nil"/>
              <w:right w:val="single" w:sz="4" w:space="0" w:color="auto"/>
            </w:tcBorders>
            <w:shd w:val="clear" w:color="auto" w:fill="auto"/>
            <w:noWrap/>
            <w:vAlign w:val="bottom"/>
          </w:tcPr>
          <w:p w14:paraId="69EB519A" w14:textId="77777777" w:rsidR="000020B9" w:rsidRPr="00CC6DC9" w:rsidRDefault="000020B9" w:rsidP="00EF25E1">
            <w:pPr>
              <w:jc w:val="center"/>
              <w:rPr>
                <w:color w:val="000000"/>
                <w:sz w:val="20"/>
                <w:szCs w:val="20"/>
              </w:rPr>
            </w:pPr>
            <w:r w:rsidRPr="00CC6DC9">
              <w:rPr>
                <w:color w:val="000000"/>
                <w:sz w:val="20"/>
                <w:szCs w:val="20"/>
              </w:rPr>
              <w:t>0.000</w:t>
            </w:r>
          </w:p>
        </w:tc>
      </w:tr>
      <w:tr w:rsidR="000020B9" w:rsidRPr="00CC6DC9" w14:paraId="75A002CB"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258D224A" w14:textId="77777777" w:rsidR="000020B9" w:rsidRPr="00CC6DC9" w:rsidRDefault="000020B9" w:rsidP="00EF25E1">
            <w:pPr>
              <w:rPr>
                <w:color w:val="000000"/>
                <w:sz w:val="20"/>
                <w:szCs w:val="20"/>
                <w:lang w:val="en-US"/>
              </w:rPr>
            </w:pPr>
            <w:r w:rsidRPr="00CC6DC9">
              <w:rPr>
                <w:color w:val="000000"/>
                <w:sz w:val="20"/>
                <w:szCs w:val="20"/>
                <w:lang w:val="en-US"/>
              </w:rPr>
              <w:t xml:space="preserve">    Cost of Capital =  Total Capital Expenditure / Total Assets</w:t>
            </w:r>
          </w:p>
        </w:tc>
        <w:tc>
          <w:tcPr>
            <w:tcW w:w="3096" w:type="dxa"/>
            <w:tcBorders>
              <w:top w:val="nil"/>
              <w:left w:val="nil"/>
              <w:bottom w:val="nil"/>
              <w:right w:val="single" w:sz="4" w:space="0" w:color="auto"/>
            </w:tcBorders>
            <w:shd w:val="clear" w:color="auto" w:fill="auto"/>
            <w:noWrap/>
            <w:vAlign w:val="bottom"/>
          </w:tcPr>
          <w:p w14:paraId="3269373E" w14:textId="77777777" w:rsidR="000020B9" w:rsidRPr="00CC6DC9" w:rsidRDefault="000020B9" w:rsidP="00EF25E1">
            <w:pPr>
              <w:jc w:val="center"/>
              <w:rPr>
                <w:color w:val="000000"/>
                <w:sz w:val="20"/>
                <w:szCs w:val="20"/>
              </w:rPr>
            </w:pPr>
            <w:r w:rsidRPr="00CC6DC9">
              <w:rPr>
                <w:color w:val="000000"/>
                <w:sz w:val="20"/>
                <w:szCs w:val="20"/>
              </w:rPr>
              <w:t>0.36</w:t>
            </w:r>
          </w:p>
        </w:tc>
        <w:tc>
          <w:tcPr>
            <w:tcW w:w="2635" w:type="dxa"/>
            <w:tcBorders>
              <w:top w:val="nil"/>
              <w:left w:val="nil"/>
              <w:bottom w:val="nil"/>
              <w:right w:val="single" w:sz="4" w:space="0" w:color="auto"/>
            </w:tcBorders>
            <w:shd w:val="clear" w:color="auto" w:fill="auto"/>
            <w:noWrap/>
            <w:vAlign w:val="bottom"/>
          </w:tcPr>
          <w:p w14:paraId="09790E82" w14:textId="77777777" w:rsidR="000020B9" w:rsidRPr="00CC6DC9" w:rsidRDefault="000020B9" w:rsidP="00EF25E1">
            <w:pPr>
              <w:jc w:val="center"/>
              <w:rPr>
                <w:color w:val="000000"/>
                <w:sz w:val="20"/>
                <w:szCs w:val="20"/>
              </w:rPr>
            </w:pPr>
            <w:r w:rsidRPr="00CC6DC9">
              <w:rPr>
                <w:color w:val="000000"/>
                <w:sz w:val="20"/>
                <w:szCs w:val="20"/>
              </w:rPr>
              <w:t>0.16</w:t>
            </w:r>
          </w:p>
        </w:tc>
        <w:tc>
          <w:tcPr>
            <w:tcW w:w="1180" w:type="dxa"/>
            <w:tcBorders>
              <w:top w:val="nil"/>
              <w:left w:val="nil"/>
              <w:bottom w:val="nil"/>
              <w:right w:val="single" w:sz="4" w:space="0" w:color="auto"/>
            </w:tcBorders>
            <w:shd w:val="clear" w:color="auto" w:fill="auto"/>
            <w:noWrap/>
            <w:vAlign w:val="bottom"/>
          </w:tcPr>
          <w:p w14:paraId="042E418F" w14:textId="77777777" w:rsidR="000020B9" w:rsidRPr="00CC6DC9" w:rsidRDefault="000020B9" w:rsidP="00EF25E1">
            <w:pPr>
              <w:jc w:val="center"/>
              <w:rPr>
                <w:color w:val="000000"/>
                <w:sz w:val="20"/>
                <w:szCs w:val="20"/>
              </w:rPr>
            </w:pPr>
            <w:r w:rsidRPr="00CC6DC9">
              <w:rPr>
                <w:color w:val="000000"/>
                <w:sz w:val="20"/>
                <w:szCs w:val="20"/>
              </w:rPr>
              <w:t>5.94</w:t>
            </w:r>
          </w:p>
        </w:tc>
        <w:tc>
          <w:tcPr>
            <w:tcW w:w="1180" w:type="dxa"/>
            <w:tcBorders>
              <w:top w:val="nil"/>
              <w:left w:val="nil"/>
              <w:bottom w:val="nil"/>
              <w:right w:val="single" w:sz="4" w:space="0" w:color="auto"/>
            </w:tcBorders>
            <w:shd w:val="clear" w:color="auto" w:fill="auto"/>
            <w:noWrap/>
            <w:vAlign w:val="bottom"/>
          </w:tcPr>
          <w:p w14:paraId="7D95C47E" w14:textId="77777777" w:rsidR="000020B9" w:rsidRPr="00CC6DC9" w:rsidRDefault="000020B9" w:rsidP="00EF25E1">
            <w:pPr>
              <w:jc w:val="center"/>
              <w:rPr>
                <w:color w:val="000000"/>
                <w:sz w:val="20"/>
                <w:szCs w:val="20"/>
              </w:rPr>
            </w:pPr>
            <w:r w:rsidRPr="00CC6DC9">
              <w:rPr>
                <w:color w:val="000000"/>
                <w:sz w:val="20"/>
                <w:szCs w:val="20"/>
              </w:rPr>
              <w:t>0.000</w:t>
            </w:r>
          </w:p>
        </w:tc>
      </w:tr>
      <w:tr w:rsidR="000020B9" w:rsidRPr="00CC6DC9" w14:paraId="17794066"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16980AAD" w14:textId="77777777" w:rsidR="000020B9" w:rsidRPr="00CC6DC9" w:rsidRDefault="000020B9" w:rsidP="00EF25E1">
            <w:pPr>
              <w:rPr>
                <w:color w:val="000000"/>
                <w:sz w:val="20"/>
                <w:szCs w:val="20"/>
                <w:lang w:val="en-US"/>
              </w:rPr>
            </w:pPr>
            <w:r w:rsidRPr="00CC6DC9">
              <w:rPr>
                <w:color w:val="000000"/>
                <w:sz w:val="20"/>
                <w:szCs w:val="20"/>
                <w:lang w:val="en-US"/>
              </w:rPr>
              <w:t xml:space="preserve">    Cost of fixed capital = Total Fixed Capital/Total Assets </w:t>
            </w:r>
          </w:p>
        </w:tc>
        <w:tc>
          <w:tcPr>
            <w:tcW w:w="3096" w:type="dxa"/>
            <w:tcBorders>
              <w:top w:val="nil"/>
              <w:left w:val="nil"/>
              <w:bottom w:val="nil"/>
              <w:right w:val="single" w:sz="4" w:space="0" w:color="auto"/>
            </w:tcBorders>
            <w:shd w:val="clear" w:color="auto" w:fill="auto"/>
            <w:noWrap/>
            <w:vAlign w:val="bottom"/>
          </w:tcPr>
          <w:p w14:paraId="61DE5C19" w14:textId="77777777" w:rsidR="000020B9" w:rsidRPr="00CC6DC9" w:rsidRDefault="000020B9" w:rsidP="00EF25E1">
            <w:pPr>
              <w:jc w:val="center"/>
              <w:rPr>
                <w:color w:val="000000"/>
                <w:sz w:val="20"/>
                <w:szCs w:val="20"/>
              </w:rPr>
            </w:pPr>
            <w:r w:rsidRPr="00CC6DC9">
              <w:rPr>
                <w:color w:val="000000"/>
                <w:sz w:val="20"/>
                <w:szCs w:val="20"/>
              </w:rPr>
              <w:t>0.23</w:t>
            </w:r>
          </w:p>
        </w:tc>
        <w:tc>
          <w:tcPr>
            <w:tcW w:w="2635" w:type="dxa"/>
            <w:tcBorders>
              <w:top w:val="nil"/>
              <w:left w:val="nil"/>
              <w:bottom w:val="nil"/>
              <w:right w:val="single" w:sz="4" w:space="0" w:color="auto"/>
            </w:tcBorders>
            <w:shd w:val="clear" w:color="auto" w:fill="auto"/>
            <w:noWrap/>
            <w:vAlign w:val="bottom"/>
          </w:tcPr>
          <w:p w14:paraId="2A800F56" w14:textId="77777777" w:rsidR="000020B9" w:rsidRPr="00CC6DC9" w:rsidRDefault="000020B9" w:rsidP="00EF25E1">
            <w:pPr>
              <w:jc w:val="center"/>
              <w:rPr>
                <w:color w:val="000000"/>
                <w:sz w:val="20"/>
                <w:szCs w:val="20"/>
              </w:rPr>
            </w:pPr>
            <w:r w:rsidRPr="00CC6DC9">
              <w:rPr>
                <w:color w:val="000000"/>
                <w:sz w:val="20"/>
                <w:szCs w:val="20"/>
              </w:rPr>
              <w:t>0.20</w:t>
            </w:r>
          </w:p>
        </w:tc>
        <w:tc>
          <w:tcPr>
            <w:tcW w:w="1180" w:type="dxa"/>
            <w:tcBorders>
              <w:top w:val="nil"/>
              <w:left w:val="nil"/>
              <w:bottom w:val="nil"/>
              <w:right w:val="single" w:sz="4" w:space="0" w:color="auto"/>
            </w:tcBorders>
            <w:shd w:val="clear" w:color="auto" w:fill="auto"/>
            <w:noWrap/>
            <w:vAlign w:val="bottom"/>
          </w:tcPr>
          <w:p w14:paraId="0DD9316F" w14:textId="77777777" w:rsidR="000020B9" w:rsidRPr="00CC6DC9" w:rsidRDefault="000020B9" w:rsidP="00EF25E1">
            <w:pPr>
              <w:jc w:val="center"/>
              <w:rPr>
                <w:color w:val="000000"/>
                <w:sz w:val="20"/>
                <w:szCs w:val="20"/>
              </w:rPr>
            </w:pPr>
            <w:r w:rsidRPr="00CC6DC9">
              <w:rPr>
                <w:color w:val="000000"/>
                <w:sz w:val="20"/>
                <w:szCs w:val="20"/>
              </w:rPr>
              <w:t>0.75</w:t>
            </w:r>
          </w:p>
        </w:tc>
        <w:tc>
          <w:tcPr>
            <w:tcW w:w="1180" w:type="dxa"/>
            <w:tcBorders>
              <w:top w:val="nil"/>
              <w:left w:val="nil"/>
              <w:bottom w:val="nil"/>
              <w:right w:val="single" w:sz="4" w:space="0" w:color="auto"/>
            </w:tcBorders>
            <w:shd w:val="clear" w:color="auto" w:fill="auto"/>
            <w:noWrap/>
            <w:vAlign w:val="bottom"/>
          </w:tcPr>
          <w:p w14:paraId="604A24F9" w14:textId="77777777" w:rsidR="000020B9" w:rsidRPr="00CC6DC9" w:rsidRDefault="000020B9" w:rsidP="00EF25E1">
            <w:pPr>
              <w:jc w:val="center"/>
              <w:rPr>
                <w:color w:val="000000"/>
                <w:sz w:val="20"/>
                <w:szCs w:val="20"/>
              </w:rPr>
            </w:pPr>
            <w:r w:rsidRPr="00CC6DC9">
              <w:rPr>
                <w:color w:val="000000"/>
                <w:sz w:val="20"/>
                <w:szCs w:val="20"/>
              </w:rPr>
              <w:t>0.451</w:t>
            </w:r>
          </w:p>
        </w:tc>
      </w:tr>
      <w:tr w:rsidR="000020B9" w:rsidRPr="00CC6DC9" w14:paraId="5D08E1FE"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21A837AA" w14:textId="77777777" w:rsidR="000020B9" w:rsidRPr="00CC6DC9" w:rsidRDefault="000020B9" w:rsidP="00EF25E1">
            <w:pPr>
              <w:rPr>
                <w:color w:val="000000"/>
                <w:sz w:val="20"/>
                <w:szCs w:val="20"/>
                <w:lang w:val="en-US"/>
              </w:rPr>
            </w:pPr>
            <w:r w:rsidRPr="00CC6DC9">
              <w:rPr>
                <w:color w:val="000000"/>
                <w:sz w:val="20"/>
                <w:szCs w:val="20"/>
                <w:lang w:val="en-US"/>
              </w:rPr>
              <w:t xml:space="preserve">    Provision = Provision for doubtful accounts/ Shareholder Equity</w:t>
            </w:r>
          </w:p>
        </w:tc>
        <w:tc>
          <w:tcPr>
            <w:tcW w:w="3096" w:type="dxa"/>
            <w:tcBorders>
              <w:top w:val="nil"/>
              <w:left w:val="nil"/>
              <w:bottom w:val="nil"/>
              <w:right w:val="single" w:sz="4" w:space="0" w:color="auto"/>
            </w:tcBorders>
            <w:shd w:val="clear" w:color="auto" w:fill="auto"/>
            <w:noWrap/>
            <w:vAlign w:val="bottom"/>
          </w:tcPr>
          <w:p w14:paraId="4D6C277C" w14:textId="77777777" w:rsidR="000020B9" w:rsidRPr="00CC6DC9" w:rsidRDefault="000020B9" w:rsidP="00EF25E1">
            <w:pPr>
              <w:jc w:val="center"/>
              <w:rPr>
                <w:color w:val="000000"/>
                <w:sz w:val="20"/>
                <w:szCs w:val="20"/>
              </w:rPr>
            </w:pPr>
            <w:r w:rsidRPr="00CC6DC9">
              <w:rPr>
                <w:color w:val="000000"/>
                <w:sz w:val="20"/>
                <w:szCs w:val="20"/>
              </w:rPr>
              <w:t>0.00</w:t>
            </w:r>
          </w:p>
        </w:tc>
        <w:tc>
          <w:tcPr>
            <w:tcW w:w="2635" w:type="dxa"/>
            <w:tcBorders>
              <w:top w:val="nil"/>
              <w:left w:val="nil"/>
              <w:bottom w:val="nil"/>
              <w:right w:val="single" w:sz="4" w:space="0" w:color="auto"/>
            </w:tcBorders>
            <w:shd w:val="clear" w:color="auto" w:fill="auto"/>
            <w:noWrap/>
            <w:vAlign w:val="bottom"/>
          </w:tcPr>
          <w:p w14:paraId="493398C3" w14:textId="77777777" w:rsidR="000020B9" w:rsidRPr="00CC6DC9" w:rsidRDefault="000020B9" w:rsidP="00EF25E1">
            <w:pPr>
              <w:jc w:val="center"/>
              <w:rPr>
                <w:color w:val="000000"/>
                <w:sz w:val="20"/>
                <w:szCs w:val="20"/>
              </w:rPr>
            </w:pPr>
            <w:r w:rsidRPr="00CC6DC9">
              <w:rPr>
                <w:color w:val="000000"/>
                <w:sz w:val="20"/>
                <w:szCs w:val="20"/>
              </w:rPr>
              <w:t>0.01</w:t>
            </w:r>
          </w:p>
        </w:tc>
        <w:tc>
          <w:tcPr>
            <w:tcW w:w="1180" w:type="dxa"/>
            <w:tcBorders>
              <w:top w:val="nil"/>
              <w:left w:val="nil"/>
              <w:bottom w:val="nil"/>
              <w:right w:val="single" w:sz="4" w:space="0" w:color="auto"/>
            </w:tcBorders>
            <w:shd w:val="clear" w:color="auto" w:fill="auto"/>
            <w:noWrap/>
            <w:vAlign w:val="bottom"/>
          </w:tcPr>
          <w:p w14:paraId="5B784D13" w14:textId="77777777" w:rsidR="000020B9" w:rsidRPr="00CC6DC9" w:rsidRDefault="000020B9" w:rsidP="00EF25E1">
            <w:pPr>
              <w:jc w:val="center"/>
              <w:rPr>
                <w:color w:val="000000"/>
                <w:sz w:val="20"/>
                <w:szCs w:val="20"/>
              </w:rPr>
            </w:pPr>
            <w:r w:rsidRPr="00CC6DC9">
              <w:rPr>
                <w:color w:val="000000"/>
                <w:sz w:val="20"/>
                <w:szCs w:val="20"/>
              </w:rPr>
              <w:t>-5.03</w:t>
            </w:r>
          </w:p>
        </w:tc>
        <w:tc>
          <w:tcPr>
            <w:tcW w:w="1180" w:type="dxa"/>
            <w:tcBorders>
              <w:top w:val="nil"/>
              <w:left w:val="nil"/>
              <w:bottom w:val="nil"/>
              <w:right w:val="single" w:sz="4" w:space="0" w:color="auto"/>
            </w:tcBorders>
            <w:shd w:val="clear" w:color="auto" w:fill="auto"/>
            <w:noWrap/>
            <w:vAlign w:val="bottom"/>
          </w:tcPr>
          <w:p w14:paraId="3131C2BF" w14:textId="77777777" w:rsidR="000020B9" w:rsidRPr="00CC6DC9" w:rsidRDefault="000020B9" w:rsidP="00EF25E1">
            <w:pPr>
              <w:jc w:val="center"/>
              <w:rPr>
                <w:color w:val="000000"/>
                <w:sz w:val="20"/>
                <w:szCs w:val="20"/>
              </w:rPr>
            </w:pPr>
            <w:r w:rsidRPr="00CC6DC9">
              <w:rPr>
                <w:color w:val="000000"/>
                <w:sz w:val="20"/>
                <w:szCs w:val="20"/>
              </w:rPr>
              <w:t>0.000</w:t>
            </w:r>
          </w:p>
        </w:tc>
      </w:tr>
      <w:tr w:rsidR="000020B9" w:rsidRPr="00CC6DC9" w14:paraId="07CF4563"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38D2A77D" w14:textId="77777777" w:rsidR="000020B9" w:rsidRPr="00CC6DC9" w:rsidRDefault="000020B9" w:rsidP="00EF25E1">
            <w:pPr>
              <w:rPr>
                <w:color w:val="000000"/>
                <w:sz w:val="20"/>
                <w:szCs w:val="20"/>
                <w:lang w:val="en-US"/>
              </w:rPr>
            </w:pPr>
            <w:r w:rsidRPr="00CC6DC9">
              <w:rPr>
                <w:color w:val="000000"/>
                <w:sz w:val="20"/>
                <w:szCs w:val="20"/>
                <w:lang w:val="en-US"/>
              </w:rPr>
              <w:t xml:space="preserve">    Profitability =  Total Profits / Shareholder Equity</w:t>
            </w:r>
          </w:p>
        </w:tc>
        <w:tc>
          <w:tcPr>
            <w:tcW w:w="3096" w:type="dxa"/>
            <w:tcBorders>
              <w:top w:val="nil"/>
              <w:left w:val="nil"/>
              <w:bottom w:val="nil"/>
              <w:right w:val="single" w:sz="4" w:space="0" w:color="auto"/>
            </w:tcBorders>
            <w:shd w:val="clear" w:color="auto" w:fill="auto"/>
            <w:noWrap/>
            <w:vAlign w:val="bottom"/>
          </w:tcPr>
          <w:p w14:paraId="04703490" w14:textId="77777777" w:rsidR="000020B9" w:rsidRPr="00CC6DC9" w:rsidRDefault="000020B9" w:rsidP="00EF25E1">
            <w:pPr>
              <w:jc w:val="center"/>
              <w:rPr>
                <w:color w:val="000000"/>
                <w:sz w:val="20"/>
                <w:szCs w:val="20"/>
              </w:rPr>
            </w:pPr>
            <w:r w:rsidRPr="00CC6DC9">
              <w:rPr>
                <w:color w:val="000000"/>
                <w:sz w:val="20"/>
                <w:szCs w:val="20"/>
              </w:rPr>
              <w:t>0.05</w:t>
            </w:r>
          </w:p>
        </w:tc>
        <w:tc>
          <w:tcPr>
            <w:tcW w:w="2635" w:type="dxa"/>
            <w:tcBorders>
              <w:top w:val="nil"/>
              <w:left w:val="nil"/>
              <w:bottom w:val="nil"/>
              <w:right w:val="single" w:sz="4" w:space="0" w:color="auto"/>
            </w:tcBorders>
            <w:shd w:val="clear" w:color="auto" w:fill="auto"/>
            <w:noWrap/>
            <w:vAlign w:val="bottom"/>
          </w:tcPr>
          <w:p w14:paraId="5F9D3D18" w14:textId="77777777" w:rsidR="000020B9" w:rsidRPr="00CC6DC9" w:rsidRDefault="000020B9" w:rsidP="00EF25E1">
            <w:pPr>
              <w:jc w:val="center"/>
              <w:rPr>
                <w:color w:val="000000"/>
                <w:sz w:val="20"/>
                <w:szCs w:val="20"/>
              </w:rPr>
            </w:pPr>
            <w:r w:rsidRPr="00CC6DC9">
              <w:rPr>
                <w:color w:val="000000"/>
                <w:sz w:val="20"/>
                <w:szCs w:val="20"/>
              </w:rPr>
              <w:t>0.03</w:t>
            </w:r>
          </w:p>
        </w:tc>
        <w:tc>
          <w:tcPr>
            <w:tcW w:w="1180" w:type="dxa"/>
            <w:tcBorders>
              <w:top w:val="nil"/>
              <w:left w:val="nil"/>
              <w:bottom w:val="nil"/>
              <w:right w:val="single" w:sz="4" w:space="0" w:color="auto"/>
            </w:tcBorders>
            <w:shd w:val="clear" w:color="auto" w:fill="auto"/>
            <w:noWrap/>
            <w:vAlign w:val="bottom"/>
          </w:tcPr>
          <w:p w14:paraId="2E3DB82F" w14:textId="77777777" w:rsidR="000020B9" w:rsidRPr="00CC6DC9" w:rsidRDefault="000020B9" w:rsidP="00EF25E1">
            <w:pPr>
              <w:jc w:val="center"/>
              <w:rPr>
                <w:color w:val="000000"/>
                <w:sz w:val="20"/>
                <w:szCs w:val="20"/>
              </w:rPr>
            </w:pPr>
            <w:r w:rsidRPr="00CC6DC9">
              <w:rPr>
                <w:color w:val="000000"/>
                <w:sz w:val="20"/>
                <w:szCs w:val="20"/>
              </w:rPr>
              <w:t>3.33</w:t>
            </w:r>
          </w:p>
        </w:tc>
        <w:tc>
          <w:tcPr>
            <w:tcW w:w="1180" w:type="dxa"/>
            <w:tcBorders>
              <w:top w:val="nil"/>
              <w:left w:val="nil"/>
              <w:bottom w:val="nil"/>
              <w:right w:val="single" w:sz="4" w:space="0" w:color="auto"/>
            </w:tcBorders>
            <w:shd w:val="clear" w:color="auto" w:fill="auto"/>
            <w:noWrap/>
            <w:vAlign w:val="bottom"/>
          </w:tcPr>
          <w:p w14:paraId="10CF9D39" w14:textId="77777777" w:rsidR="000020B9" w:rsidRPr="00CC6DC9" w:rsidRDefault="000020B9" w:rsidP="00EF25E1">
            <w:pPr>
              <w:jc w:val="center"/>
              <w:rPr>
                <w:color w:val="000000"/>
                <w:sz w:val="20"/>
                <w:szCs w:val="20"/>
              </w:rPr>
            </w:pPr>
            <w:r w:rsidRPr="00CC6DC9">
              <w:rPr>
                <w:color w:val="000000"/>
                <w:sz w:val="20"/>
                <w:szCs w:val="20"/>
              </w:rPr>
              <w:t>0.001</w:t>
            </w:r>
          </w:p>
        </w:tc>
      </w:tr>
      <w:tr w:rsidR="000020B9" w:rsidRPr="00CC6DC9" w14:paraId="3E630800"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35A5AADA" w14:textId="77777777" w:rsidR="000020B9" w:rsidRPr="00CC6DC9" w:rsidRDefault="000020B9" w:rsidP="00EF25E1">
            <w:pPr>
              <w:rPr>
                <w:color w:val="000000"/>
                <w:sz w:val="20"/>
                <w:szCs w:val="20"/>
              </w:rPr>
            </w:pPr>
            <w:r w:rsidRPr="00CC6DC9">
              <w:rPr>
                <w:color w:val="000000"/>
                <w:sz w:val="20"/>
                <w:szCs w:val="20"/>
              </w:rPr>
              <w:t> </w:t>
            </w:r>
          </w:p>
        </w:tc>
        <w:tc>
          <w:tcPr>
            <w:tcW w:w="3096" w:type="dxa"/>
            <w:tcBorders>
              <w:top w:val="nil"/>
              <w:left w:val="nil"/>
              <w:bottom w:val="nil"/>
              <w:right w:val="single" w:sz="4" w:space="0" w:color="auto"/>
            </w:tcBorders>
            <w:shd w:val="clear" w:color="auto" w:fill="auto"/>
            <w:noWrap/>
            <w:vAlign w:val="bottom"/>
          </w:tcPr>
          <w:p w14:paraId="2F983667" w14:textId="77777777" w:rsidR="000020B9" w:rsidRPr="00CC6DC9" w:rsidRDefault="000020B9" w:rsidP="00EF25E1">
            <w:pPr>
              <w:jc w:val="center"/>
              <w:rPr>
                <w:color w:val="000000"/>
                <w:sz w:val="20"/>
                <w:szCs w:val="20"/>
              </w:rPr>
            </w:pPr>
            <w:r w:rsidRPr="00CC6DC9">
              <w:rPr>
                <w:color w:val="000000"/>
                <w:sz w:val="20"/>
                <w:szCs w:val="20"/>
              </w:rPr>
              <w:t> </w:t>
            </w:r>
          </w:p>
        </w:tc>
        <w:tc>
          <w:tcPr>
            <w:tcW w:w="2635" w:type="dxa"/>
            <w:tcBorders>
              <w:top w:val="nil"/>
              <w:left w:val="nil"/>
              <w:bottom w:val="nil"/>
              <w:right w:val="single" w:sz="4" w:space="0" w:color="auto"/>
            </w:tcBorders>
            <w:shd w:val="clear" w:color="auto" w:fill="auto"/>
            <w:noWrap/>
            <w:vAlign w:val="bottom"/>
          </w:tcPr>
          <w:p w14:paraId="7D6BD2A6" w14:textId="77777777" w:rsidR="000020B9" w:rsidRPr="00CC6DC9" w:rsidRDefault="000020B9" w:rsidP="00EF25E1">
            <w:pPr>
              <w:jc w:val="center"/>
              <w:rPr>
                <w:color w:val="000000"/>
                <w:sz w:val="20"/>
                <w:szCs w:val="20"/>
              </w:rPr>
            </w:pPr>
            <w:r w:rsidRPr="00CC6DC9">
              <w:rPr>
                <w:color w:val="000000"/>
                <w:sz w:val="20"/>
                <w:szCs w:val="20"/>
              </w:rPr>
              <w:t> </w:t>
            </w:r>
          </w:p>
        </w:tc>
        <w:tc>
          <w:tcPr>
            <w:tcW w:w="1180" w:type="dxa"/>
            <w:tcBorders>
              <w:top w:val="nil"/>
              <w:left w:val="nil"/>
              <w:bottom w:val="nil"/>
              <w:right w:val="single" w:sz="4" w:space="0" w:color="auto"/>
            </w:tcBorders>
            <w:shd w:val="clear" w:color="auto" w:fill="auto"/>
            <w:noWrap/>
            <w:vAlign w:val="bottom"/>
          </w:tcPr>
          <w:p w14:paraId="2C7D2437" w14:textId="77777777" w:rsidR="000020B9" w:rsidRPr="00CC6DC9" w:rsidRDefault="000020B9" w:rsidP="00EF25E1">
            <w:pPr>
              <w:jc w:val="center"/>
              <w:rPr>
                <w:color w:val="000000"/>
                <w:sz w:val="20"/>
                <w:szCs w:val="20"/>
              </w:rPr>
            </w:pPr>
            <w:r w:rsidRPr="00CC6DC9">
              <w:rPr>
                <w:color w:val="000000"/>
                <w:sz w:val="20"/>
                <w:szCs w:val="20"/>
              </w:rPr>
              <w:t> </w:t>
            </w:r>
          </w:p>
        </w:tc>
        <w:tc>
          <w:tcPr>
            <w:tcW w:w="1180" w:type="dxa"/>
            <w:tcBorders>
              <w:top w:val="nil"/>
              <w:left w:val="nil"/>
              <w:bottom w:val="nil"/>
              <w:right w:val="single" w:sz="4" w:space="0" w:color="auto"/>
            </w:tcBorders>
            <w:shd w:val="clear" w:color="auto" w:fill="auto"/>
            <w:noWrap/>
            <w:vAlign w:val="bottom"/>
          </w:tcPr>
          <w:p w14:paraId="57E319D6" w14:textId="77777777" w:rsidR="000020B9" w:rsidRPr="00CC6DC9" w:rsidRDefault="000020B9" w:rsidP="00EF25E1">
            <w:pPr>
              <w:jc w:val="center"/>
              <w:rPr>
                <w:color w:val="000000"/>
                <w:sz w:val="20"/>
                <w:szCs w:val="20"/>
              </w:rPr>
            </w:pPr>
            <w:r w:rsidRPr="00CC6DC9">
              <w:rPr>
                <w:color w:val="000000"/>
                <w:sz w:val="20"/>
                <w:szCs w:val="20"/>
              </w:rPr>
              <w:t> </w:t>
            </w:r>
          </w:p>
        </w:tc>
      </w:tr>
      <w:tr w:rsidR="000020B9" w:rsidRPr="00CC6DC9" w14:paraId="56667616"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7836B8FF" w14:textId="77777777" w:rsidR="000020B9" w:rsidRPr="00CC6DC9" w:rsidRDefault="000020B9" w:rsidP="00EF25E1">
            <w:pPr>
              <w:rPr>
                <w:color w:val="000000"/>
                <w:sz w:val="20"/>
                <w:szCs w:val="20"/>
              </w:rPr>
            </w:pPr>
            <w:r w:rsidRPr="00CC6DC9">
              <w:rPr>
                <w:color w:val="000000"/>
                <w:sz w:val="20"/>
                <w:szCs w:val="20"/>
              </w:rPr>
              <w:t>Number of Observations</w:t>
            </w:r>
          </w:p>
        </w:tc>
        <w:tc>
          <w:tcPr>
            <w:tcW w:w="3096" w:type="dxa"/>
            <w:tcBorders>
              <w:top w:val="nil"/>
              <w:left w:val="nil"/>
              <w:bottom w:val="nil"/>
              <w:right w:val="single" w:sz="4" w:space="0" w:color="auto"/>
            </w:tcBorders>
            <w:shd w:val="clear" w:color="auto" w:fill="auto"/>
            <w:noWrap/>
            <w:vAlign w:val="bottom"/>
          </w:tcPr>
          <w:p w14:paraId="6663F609" w14:textId="77777777" w:rsidR="000020B9" w:rsidRPr="00CC6DC9" w:rsidRDefault="000020B9" w:rsidP="00EF25E1">
            <w:pPr>
              <w:jc w:val="center"/>
              <w:rPr>
                <w:color w:val="000000"/>
                <w:sz w:val="20"/>
                <w:szCs w:val="20"/>
              </w:rPr>
            </w:pPr>
            <w:r w:rsidRPr="00CC6DC9">
              <w:rPr>
                <w:color w:val="000000"/>
                <w:sz w:val="20"/>
                <w:szCs w:val="20"/>
              </w:rPr>
              <w:t>492</w:t>
            </w:r>
          </w:p>
        </w:tc>
        <w:tc>
          <w:tcPr>
            <w:tcW w:w="2635" w:type="dxa"/>
            <w:tcBorders>
              <w:top w:val="nil"/>
              <w:left w:val="nil"/>
              <w:bottom w:val="nil"/>
              <w:right w:val="single" w:sz="4" w:space="0" w:color="auto"/>
            </w:tcBorders>
            <w:shd w:val="clear" w:color="auto" w:fill="auto"/>
            <w:noWrap/>
            <w:vAlign w:val="bottom"/>
          </w:tcPr>
          <w:p w14:paraId="23E2AA96" w14:textId="77777777" w:rsidR="000020B9" w:rsidRPr="00CC6DC9" w:rsidRDefault="000020B9" w:rsidP="00EF25E1">
            <w:pPr>
              <w:jc w:val="center"/>
              <w:rPr>
                <w:color w:val="000000"/>
                <w:sz w:val="20"/>
                <w:szCs w:val="20"/>
              </w:rPr>
            </w:pPr>
            <w:r w:rsidRPr="00CC6DC9">
              <w:rPr>
                <w:color w:val="000000"/>
                <w:sz w:val="20"/>
                <w:szCs w:val="20"/>
              </w:rPr>
              <w:t>1727</w:t>
            </w:r>
          </w:p>
        </w:tc>
        <w:tc>
          <w:tcPr>
            <w:tcW w:w="1180" w:type="dxa"/>
            <w:tcBorders>
              <w:top w:val="nil"/>
              <w:left w:val="nil"/>
              <w:bottom w:val="nil"/>
              <w:right w:val="single" w:sz="4" w:space="0" w:color="auto"/>
            </w:tcBorders>
            <w:shd w:val="clear" w:color="auto" w:fill="auto"/>
            <w:noWrap/>
            <w:vAlign w:val="bottom"/>
          </w:tcPr>
          <w:p w14:paraId="49B704DF" w14:textId="77777777" w:rsidR="000020B9" w:rsidRPr="00CC6DC9" w:rsidRDefault="000020B9" w:rsidP="00EF25E1">
            <w:pPr>
              <w:jc w:val="center"/>
              <w:rPr>
                <w:color w:val="000000"/>
                <w:sz w:val="20"/>
                <w:szCs w:val="20"/>
              </w:rPr>
            </w:pPr>
            <w:r w:rsidRPr="00CC6DC9">
              <w:rPr>
                <w:color w:val="000000"/>
                <w:sz w:val="20"/>
                <w:szCs w:val="20"/>
              </w:rPr>
              <w:t> </w:t>
            </w:r>
          </w:p>
        </w:tc>
        <w:tc>
          <w:tcPr>
            <w:tcW w:w="1180" w:type="dxa"/>
            <w:tcBorders>
              <w:top w:val="nil"/>
              <w:left w:val="nil"/>
              <w:bottom w:val="nil"/>
              <w:right w:val="single" w:sz="4" w:space="0" w:color="auto"/>
            </w:tcBorders>
            <w:shd w:val="clear" w:color="auto" w:fill="auto"/>
            <w:noWrap/>
            <w:vAlign w:val="bottom"/>
          </w:tcPr>
          <w:p w14:paraId="0D42CAB0" w14:textId="77777777" w:rsidR="000020B9" w:rsidRPr="00CC6DC9" w:rsidRDefault="000020B9" w:rsidP="00EF25E1">
            <w:pPr>
              <w:jc w:val="center"/>
              <w:rPr>
                <w:color w:val="000000"/>
                <w:sz w:val="20"/>
                <w:szCs w:val="20"/>
              </w:rPr>
            </w:pPr>
            <w:r w:rsidRPr="00CC6DC9">
              <w:rPr>
                <w:color w:val="000000"/>
                <w:sz w:val="20"/>
                <w:szCs w:val="20"/>
              </w:rPr>
              <w:t> </w:t>
            </w:r>
          </w:p>
        </w:tc>
      </w:tr>
      <w:tr w:rsidR="000020B9" w:rsidRPr="00CC6DC9" w14:paraId="27076110" w14:textId="77777777" w:rsidTr="00EF25E1">
        <w:trPr>
          <w:trHeight w:val="300"/>
          <w:jc w:val="center"/>
        </w:trPr>
        <w:tc>
          <w:tcPr>
            <w:tcW w:w="6108" w:type="dxa"/>
            <w:tcBorders>
              <w:top w:val="nil"/>
              <w:left w:val="single" w:sz="4" w:space="0" w:color="auto"/>
              <w:bottom w:val="single" w:sz="4" w:space="0" w:color="auto"/>
              <w:right w:val="single" w:sz="4" w:space="0" w:color="auto"/>
            </w:tcBorders>
            <w:shd w:val="clear" w:color="auto" w:fill="auto"/>
            <w:noWrap/>
            <w:vAlign w:val="bottom"/>
          </w:tcPr>
          <w:p w14:paraId="33CD1404" w14:textId="77777777" w:rsidR="000020B9" w:rsidRPr="00CC6DC9" w:rsidRDefault="000020B9" w:rsidP="00EF25E1">
            <w:pPr>
              <w:rPr>
                <w:color w:val="000000"/>
                <w:sz w:val="20"/>
                <w:szCs w:val="20"/>
              </w:rPr>
            </w:pPr>
            <w:r w:rsidRPr="00CC6DC9">
              <w:rPr>
                <w:color w:val="000000"/>
                <w:sz w:val="20"/>
                <w:szCs w:val="20"/>
              </w:rPr>
              <w:t> </w:t>
            </w:r>
          </w:p>
        </w:tc>
        <w:tc>
          <w:tcPr>
            <w:tcW w:w="3096" w:type="dxa"/>
            <w:tcBorders>
              <w:top w:val="nil"/>
              <w:left w:val="nil"/>
              <w:bottom w:val="single" w:sz="4" w:space="0" w:color="auto"/>
              <w:right w:val="single" w:sz="4" w:space="0" w:color="auto"/>
            </w:tcBorders>
            <w:shd w:val="clear" w:color="auto" w:fill="auto"/>
            <w:noWrap/>
            <w:vAlign w:val="bottom"/>
          </w:tcPr>
          <w:p w14:paraId="5D85B81D" w14:textId="77777777" w:rsidR="000020B9" w:rsidRPr="00CC6DC9" w:rsidRDefault="000020B9" w:rsidP="00EF25E1">
            <w:pPr>
              <w:jc w:val="center"/>
              <w:rPr>
                <w:color w:val="000000"/>
                <w:sz w:val="20"/>
                <w:szCs w:val="20"/>
              </w:rPr>
            </w:pPr>
            <w:r w:rsidRPr="00CC6DC9">
              <w:rPr>
                <w:color w:val="000000"/>
                <w:sz w:val="20"/>
                <w:szCs w:val="20"/>
              </w:rPr>
              <w:t> </w:t>
            </w:r>
          </w:p>
        </w:tc>
        <w:tc>
          <w:tcPr>
            <w:tcW w:w="2635" w:type="dxa"/>
            <w:tcBorders>
              <w:top w:val="nil"/>
              <w:left w:val="nil"/>
              <w:bottom w:val="single" w:sz="4" w:space="0" w:color="auto"/>
              <w:right w:val="single" w:sz="4" w:space="0" w:color="auto"/>
            </w:tcBorders>
            <w:shd w:val="clear" w:color="auto" w:fill="auto"/>
            <w:noWrap/>
            <w:vAlign w:val="bottom"/>
          </w:tcPr>
          <w:p w14:paraId="6DF5287E" w14:textId="77777777" w:rsidR="000020B9" w:rsidRPr="00CC6DC9" w:rsidRDefault="000020B9" w:rsidP="00EF25E1">
            <w:pPr>
              <w:jc w:val="center"/>
              <w:rPr>
                <w:color w:val="000000"/>
                <w:sz w:val="20"/>
                <w:szCs w:val="20"/>
              </w:rPr>
            </w:pPr>
            <w:r w:rsidRPr="00CC6DC9">
              <w:rPr>
                <w:color w:val="000000"/>
                <w:sz w:val="20"/>
                <w:szCs w:val="20"/>
              </w:rPr>
              <w:t> </w:t>
            </w:r>
          </w:p>
        </w:tc>
        <w:tc>
          <w:tcPr>
            <w:tcW w:w="1180" w:type="dxa"/>
            <w:tcBorders>
              <w:top w:val="nil"/>
              <w:left w:val="nil"/>
              <w:bottom w:val="single" w:sz="4" w:space="0" w:color="auto"/>
              <w:right w:val="single" w:sz="4" w:space="0" w:color="auto"/>
            </w:tcBorders>
            <w:shd w:val="clear" w:color="auto" w:fill="auto"/>
            <w:noWrap/>
            <w:vAlign w:val="bottom"/>
          </w:tcPr>
          <w:p w14:paraId="711F628E" w14:textId="77777777" w:rsidR="000020B9" w:rsidRPr="00CC6DC9" w:rsidRDefault="000020B9" w:rsidP="00EF25E1">
            <w:pPr>
              <w:jc w:val="center"/>
              <w:rPr>
                <w:color w:val="000000"/>
                <w:sz w:val="20"/>
                <w:szCs w:val="20"/>
              </w:rPr>
            </w:pPr>
            <w:r w:rsidRPr="00CC6DC9">
              <w:rPr>
                <w:color w:val="000000"/>
                <w:sz w:val="20"/>
                <w:szCs w:val="20"/>
              </w:rPr>
              <w:t> </w:t>
            </w:r>
          </w:p>
        </w:tc>
        <w:tc>
          <w:tcPr>
            <w:tcW w:w="1180" w:type="dxa"/>
            <w:tcBorders>
              <w:top w:val="nil"/>
              <w:left w:val="nil"/>
              <w:bottom w:val="single" w:sz="4" w:space="0" w:color="auto"/>
              <w:right w:val="single" w:sz="4" w:space="0" w:color="auto"/>
            </w:tcBorders>
            <w:shd w:val="clear" w:color="auto" w:fill="auto"/>
            <w:noWrap/>
            <w:vAlign w:val="bottom"/>
          </w:tcPr>
          <w:p w14:paraId="5C14DA4B" w14:textId="77777777" w:rsidR="000020B9" w:rsidRPr="00CC6DC9" w:rsidRDefault="000020B9" w:rsidP="00EF25E1">
            <w:pPr>
              <w:jc w:val="center"/>
              <w:rPr>
                <w:color w:val="000000"/>
                <w:sz w:val="20"/>
                <w:szCs w:val="20"/>
              </w:rPr>
            </w:pPr>
            <w:r w:rsidRPr="00CC6DC9">
              <w:rPr>
                <w:color w:val="000000"/>
                <w:sz w:val="20"/>
                <w:szCs w:val="20"/>
              </w:rPr>
              <w:t> </w:t>
            </w:r>
          </w:p>
        </w:tc>
      </w:tr>
      <w:tr w:rsidR="000020B9" w:rsidRPr="00CC6DC9" w14:paraId="41493CF8" w14:textId="77777777" w:rsidTr="00EF25E1">
        <w:trPr>
          <w:trHeight w:val="300"/>
          <w:jc w:val="center"/>
        </w:trPr>
        <w:tc>
          <w:tcPr>
            <w:tcW w:w="6108" w:type="dxa"/>
            <w:tcBorders>
              <w:top w:val="nil"/>
              <w:left w:val="nil"/>
              <w:bottom w:val="nil"/>
              <w:right w:val="nil"/>
            </w:tcBorders>
            <w:shd w:val="clear" w:color="auto" w:fill="auto"/>
            <w:noWrap/>
            <w:vAlign w:val="bottom"/>
          </w:tcPr>
          <w:p w14:paraId="61237947" w14:textId="77777777" w:rsidR="000020B9" w:rsidRPr="00CC6DC9" w:rsidRDefault="000020B9" w:rsidP="00EF25E1">
            <w:pPr>
              <w:rPr>
                <w:color w:val="000000"/>
                <w:sz w:val="20"/>
                <w:szCs w:val="20"/>
              </w:rPr>
            </w:pPr>
          </w:p>
        </w:tc>
        <w:tc>
          <w:tcPr>
            <w:tcW w:w="3096" w:type="dxa"/>
            <w:tcBorders>
              <w:top w:val="nil"/>
              <w:left w:val="nil"/>
              <w:bottom w:val="nil"/>
              <w:right w:val="nil"/>
            </w:tcBorders>
            <w:shd w:val="clear" w:color="auto" w:fill="auto"/>
            <w:noWrap/>
            <w:vAlign w:val="bottom"/>
          </w:tcPr>
          <w:p w14:paraId="28F08A29" w14:textId="77777777" w:rsidR="000020B9" w:rsidRPr="00CC6DC9" w:rsidRDefault="000020B9" w:rsidP="00EF25E1">
            <w:pPr>
              <w:jc w:val="center"/>
              <w:rPr>
                <w:color w:val="000000"/>
                <w:sz w:val="20"/>
                <w:szCs w:val="20"/>
              </w:rPr>
            </w:pPr>
          </w:p>
        </w:tc>
        <w:tc>
          <w:tcPr>
            <w:tcW w:w="2635" w:type="dxa"/>
            <w:tcBorders>
              <w:top w:val="nil"/>
              <w:left w:val="nil"/>
              <w:bottom w:val="nil"/>
              <w:right w:val="nil"/>
            </w:tcBorders>
            <w:shd w:val="clear" w:color="auto" w:fill="auto"/>
            <w:noWrap/>
            <w:vAlign w:val="bottom"/>
          </w:tcPr>
          <w:p w14:paraId="2EF119EB" w14:textId="77777777" w:rsidR="000020B9" w:rsidRPr="00CC6DC9" w:rsidRDefault="000020B9" w:rsidP="00EF25E1">
            <w:pPr>
              <w:jc w:val="center"/>
              <w:rPr>
                <w:color w:val="000000"/>
                <w:sz w:val="20"/>
                <w:szCs w:val="20"/>
              </w:rPr>
            </w:pPr>
          </w:p>
        </w:tc>
        <w:tc>
          <w:tcPr>
            <w:tcW w:w="1180" w:type="dxa"/>
            <w:tcBorders>
              <w:top w:val="nil"/>
              <w:left w:val="nil"/>
              <w:bottom w:val="nil"/>
              <w:right w:val="nil"/>
            </w:tcBorders>
            <w:shd w:val="clear" w:color="auto" w:fill="auto"/>
            <w:noWrap/>
            <w:vAlign w:val="bottom"/>
          </w:tcPr>
          <w:p w14:paraId="727C09BC" w14:textId="77777777" w:rsidR="000020B9" w:rsidRPr="00CC6DC9" w:rsidRDefault="000020B9" w:rsidP="00EF25E1">
            <w:pPr>
              <w:jc w:val="center"/>
              <w:rPr>
                <w:color w:val="000000"/>
                <w:sz w:val="20"/>
                <w:szCs w:val="20"/>
              </w:rPr>
            </w:pPr>
          </w:p>
        </w:tc>
        <w:tc>
          <w:tcPr>
            <w:tcW w:w="1180" w:type="dxa"/>
            <w:tcBorders>
              <w:top w:val="nil"/>
              <w:left w:val="nil"/>
              <w:bottom w:val="nil"/>
              <w:right w:val="nil"/>
            </w:tcBorders>
            <w:shd w:val="clear" w:color="auto" w:fill="auto"/>
            <w:noWrap/>
            <w:vAlign w:val="bottom"/>
          </w:tcPr>
          <w:p w14:paraId="1B8E686F" w14:textId="77777777" w:rsidR="000020B9" w:rsidRPr="00CC6DC9" w:rsidRDefault="000020B9" w:rsidP="00EF25E1">
            <w:pPr>
              <w:jc w:val="center"/>
              <w:rPr>
                <w:color w:val="000000"/>
                <w:sz w:val="20"/>
                <w:szCs w:val="20"/>
              </w:rPr>
            </w:pPr>
          </w:p>
        </w:tc>
      </w:tr>
    </w:tbl>
    <w:p w14:paraId="31B4DD59" w14:textId="77777777" w:rsidR="000020B9" w:rsidRDefault="000020B9" w:rsidP="000020B9"/>
    <w:p w14:paraId="029C5E5A" w14:textId="77777777" w:rsidR="000020B9" w:rsidRDefault="000020B9" w:rsidP="000020B9">
      <w:r>
        <w:br w:type="page"/>
      </w:r>
    </w:p>
    <w:tbl>
      <w:tblPr>
        <w:tblW w:w="12293" w:type="dxa"/>
        <w:jc w:val="center"/>
        <w:tblCellMar>
          <w:left w:w="70" w:type="dxa"/>
          <w:right w:w="70" w:type="dxa"/>
        </w:tblCellMar>
        <w:tblLook w:val="04A0" w:firstRow="1" w:lastRow="0" w:firstColumn="1" w:lastColumn="0" w:noHBand="0" w:noVBand="1"/>
      </w:tblPr>
      <w:tblGrid>
        <w:gridCol w:w="6108"/>
        <w:gridCol w:w="2512"/>
        <w:gridCol w:w="1313"/>
        <w:gridCol w:w="1180"/>
        <w:gridCol w:w="1180"/>
      </w:tblGrid>
      <w:tr w:rsidR="000020B9" w:rsidRPr="00CC6DC9" w14:paraId="75811790" w14:textId="77777777" w:rsidTr="00EF25E1">
        <w:trPr>
          <w:trHeight w:val="1428"/>
          <w:jc w:val="center"/>
        </w:trPr>
        <w:tc>
          <w:tcPr>
            <w:tcW w:w="12293" w:type="dxa"/>
            <w:gridSpan w:val="5"/>
            <w:tcBorders>
              <w:top w:val="nil"/>
              <w:left w:val="nil"/>
              <w:right w:val="nil"/>
            </w:tcBorders>
            <w:shd w:val="clear" w:color="auto" w:fill="auto"/>
            <w:noWrap/>
            <w:vAlign w:val="bottom"/>
          </w:tcPr>
          <w:p w14:paraId="43DC4CF4" w14:textId="77777777" w:rsidR="000020B9" w:rsidRPr="00CC6DC9" w:rsidRDefault="000020B9" w:rsidP="00EF25E1">
            <w:pPr>
              <w:rPr>
                <w:b/>
                <w:color w:val="000000"/>
                <w:sz w:val="20"/>
                <w:szCs w:val="20"/>
                <w:lang w:val="en-US"/>
              </w:rPr>
            </w:pPr>
            <w:r w:rsidRPr="00CC6DC9">
              <w:rPr>
                <w:sz w:val="20"/>
                <w:szCs w:val="20"/>
                <w:lang w:val="en-US"/>
              </w:rPr>
              <w:lastRenderedPageBreak/>
              <w:br w:type="page"/>
            </w:r>
            <w:r w:rsidRPr="00CC6DC9">
              <w:rPr>
                <w:b/>
                <w:color w:val="000000"/>
                <w:sz w:val="20"/>
                <w:szCs w:val="20"/>
                <w:lang w:val="en-US"/>
              </w:rPr>
              <w:t xml:space="preserve">Table </w:t>
            </w:r>
            <w:r>
              <w:rPr>
                <w:b/>
                <w:color w:val="000000"/>
                <w:sz w:val="20"/>
                <w:szCs w:val="20"/>
                <w:lang w:val="en-US"/>
              </w:rPr>
              <w:t>6</w:t>
            </w:r>
            <w:r w:rsidRPr="00CC6DC9">
              <w:rPr>
                <w:b/>
                <w:color w:val="000000"/>
                <w:sz w:val="20"/>
                <w:szCs w:val="20"/>
                <w:lang w:val="en-US"/>
              </w:rPr>
              <w:t xml:space="preserve"> - Mean Difference Test - Banks Supplying Classic, Financial and Non</w:t>
            </w:r>
            <w:r>
              <w:rPr>
                <w:b/>
                <w:color w:val="000000"/>
                <w:sz w:val="20"/>
                <w:szCs w:val="20"/>
                <w:lang w:val="en-US"/>
              </w:rPr>
              <w:t xml:space="preserve"> </w:t>
            </w:r>
            <w:r w:rsidRPr="00CC6DC9">
              <w:rPr>
                <w:b/>
                <w:color w:val="000000"/>
                <w:sz w:val="20"/>
                <w:szCs w:val="20"/>
                <w:lang w:val="en-US"/>
              </w:rPr>
              <w:t>Financial Bank Products versus other Banks</w:t>
            </w:r>
          </w:p>
        </w:tc>
      </w:tr>
      <w:tr w:rsidR="000020B9" w:rsidRPr="00CC6DC9" w14:paraId="68B3DFEB" w14:textId="77777777" w:rsidTr="00EF25E1">
        <w:trPr>
          <w:trHeight w:val="300"/>
          <w:jc w:val="center"/>
        </w:trPr>
        <w:tc>
          <w:tcPr>
            <w:tcW w:w="6108" w:type="dxa"/>
            <w:tcBorders>
              <w:top w:val="single" w:sz="4" w:space="0" w:color="auto"/>
              <w:left w:val="single" w:sz="4" w:space="0" w:color="auto"/>
              <w:bottom w:val="nil"/>
              <w:right w:val="single" w:sz="4" w:space="0" w:color="auto"/>
            </w:tcBorders>
            <w:shd w:val="clear" w:color="auto" w:fill="auto"/>
            <w:noWrap/>
            <w:vAlign w:val="bottom"/>
          </w:tcPr>
          <w:p w14:paraId="7471E7DF" w14:textId="77777777" w:rsidR="000020B9" w:rsidRPr="00CC6DC9" w:rsidRDefault="000020B9" w:rsidP="00EF25E1">
            <w:pPr>
              <w:rPr>
                <w:b/>
                <w:color w:val="000000"/>
                <w:sz w:val="20"/>
                <w:szCs w:val="20"/>
                <w:lang w:val="en-US"/>
              </w:rPr>
            </w:pPr>
            <w:r w:rsidRPr="00CC6DC9">
              <w:rPr>
                <w:b/>
                <w:color w:val="000000"/>
                <w:sz w:val="20"/>
                <w:szCs w:val="20"/>
                <w:lang w:val="en-US"/>
              </w:rPr>
              <w:t> </w:t>
            </w:r>
          </w:p>
        </w:tc>
        <w:tc>
          <w:tcPr>
            <w:tcW w:w="2512"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50D939E4" w14:textId="77777777" w:rsidR="000020B9" w:rsidRPr="00CC6DC9" w:rsidRDefault="000020B9" w:rsidP="00EF25E1">
            <w:pPr>
              <w:jc w:val="center"/>
              <w:rPr>
                <w:b/>
                <w:color w:val="000000"/>
                <w:sz w:val="20"/>
                <w:szCs w:val="20"/>
                <w:lang w:val="en-US"/>
              </w:rPr>
            </w:pPr>
            <w:r w:rsidRPr="00CC6DC9">
              <w:rPr>
                <w:b/>
                <w:color w:val="000000"/>
                <w:sz w:val="20"/>
                <w:szCs w:val="20"/>
                <w:lang w:val="en-US"/>
              </w:rPr>
              <w:t>Banks supplying Classic and All other Bank Products</w:t>
            </w:r>
          </w:p>
        </w:tc>
        <w:tc>
          <w:tcPr>
            <w:tcW w:w="1313" w:type="dxa"/>
            <w:vMerge w:val="restart"/>
            <w:tcBorders>
              <w:top w:val="single" w:sz="4" w:space="0" w:color="auto"/>
              <w:left w:val="nil"/>
              <w:bottom w:val="single" w:sz="4" w:space="0" w:color="000000"/>
              <w:right w:val="single" w:sz="4" w:space="0" w:color="auto"/>
            </w:tcBorders>
            <w:shd w:val="clear" w:color="auto" w:fill="auto"/>
            <w:vAlign w:val="center"/>
          </w:tcPr>
          <w:p w14:paraId="388EBE9D" w14:textId="77777777" w:rsidR="000020B9" w:rsidRPr="00CC6DC9" w:rsidRDefault="000020B9" w:rsidP="00EF25E1">
            <w:pPr>
              <w:jc w:val="center"/>
              <w:rPr>
                <w:b/>
                <w:color w:val="000000"/>
                <w:sz w:val="20"/>
                <w:szCs w:val="20"/>
              </w:rPr>
            </w:pPr>
            <w:r w:rsidRPr="00CC6DC9">
              <w:rPr>
                <w:b/>
                <w:color w:val="000000"/>
                <w:sz w:val="20"/>
                <w:szCs w:val="20"/>
              </w:rPr>
              <w:t>Other banks</w:t>
            </w:r>
          </w:p>
        </w:tc>
        <w:tc>
          <w:tcPr>
            <w:tcW w:w="2360" w:type="dxa"/>
            <w:gridSpan w:val="2"/>
            <w:tcBorders>
              <w:top w:val="single" w:sz="4" w:space="0" w:color="auto"/>
              <w:left w:val="nil"/>
              <w:bottom w:val="single" w:sz="4" w:space="0" w:color="auto"/>
              <w:right w:val="single" w:sz="4" w:space="0" w:color="000000"/>
            </w:tcBorders>
            <w:shd w:val="clear" w:color="auto" w:fill="auto"/>
            <w:noWrap/>
            <w:vAlign w:val="bottom"/>
          </w:tcPr>
          <w:p w14:paraId="57335E42" w14:textId="77777777" w:rsidR="000020B9" w:rsidRPr="00CC6DC9" w:rsidRDefault="000020B9" w:rsidP="00EF25E1">
            <w:pPr>
              <w:jc w:val="center"/>
              <w:rPr>
                <w:b/>
                <w:color w:val="000000"/>
                <w:sz w:val="20"/>
                <w:szCs w:val="20"/>
              </w:rPr>
            </w:pPr>
            <w:r w:rsidRPr="00CC6DC9">
              <w:rPr>
                <w:b/>
                <w:color w:val="000000"/>
                <w:sz w:val="20"/>
                <w:szCs w:val="20"/>
              </w:rPr>
              <w:t>t-test*</w:t>
            </w:r>
          </w:p>
        </w:tc>
      </w:tr>
      <w:tr w:rsidR="000020B9" w:rsidRPr="00CC6DC9" w14:paraId="794E87EB" w14:textId="77777777" w:rsidTr="00EF25E1">
        <w:trPr>
          <w:trHeight w:val="600"/>
          <w:jc w:val="center"/>
        </w:trPr>
        <w:tc>
          <w:tcPr>
            <w:tcW w:w="6108" w:type="dxa"/>
            <w:tcBorders>
              <w:top w:val="nil"/>
              <w:left w:val="single" w:sz="4" w:space="0" w:color="auto"/>
              <w:bottom w:val="single" w:sz="4" w:space="0" w:color="auto"/>
              <w:right w:val="single" w:sz="4" w:space="0" w:color="auto"/>
            </w:tcBorders>
            <w:shd w:val="clear" w:color="auto" w:fill="auto"/>
            <w:noWrap/>
            <w:vAlign w:val="bottom"/>
          </w:tcPr>
          <w:p w14:paraId="57A22152" w14:textId="77777777" w:rsidR="000020B9" w:rsidRPr="00CC6DC9" w:rsidRDefault="000020B9" w:rsidP="00EF25E1">
            <w:pPr>
              <w:rPr>
                <w:b/>
                <w:color w:val="000000"/>
                <w:sz w:val="20"/>
                <w:szCs w:val="20"/>
              </w:rPr>
            </w:pPr>
            <w:r w:rsidRPr="00CC6DC9">
              <w:rPr>
                <w:b/>
                <w:color w:val="000000"/>
                <w:sz w:val="20"/>
                <w:szCs w:val="20"/>
              </w:rPr>
              <w:t>Variable</w:t>
            </w:r>
          </w:p>
        </w:tc>
        <w:tc>
          <w:tcPr>
            <w:tcW w:w="2512" w:type="dxa"/>
            <w:vMerge/>
            <w:tcBorders>
              <w:top w:val="single" w:sz="4" w:space="0" w:color="auto"/>
              <w:left w:val="single" w:sz="4" w:space="0" w:color="auto"/>
              <w:bottom w:val="single" w:sz="4" w:space="0" w:color="000000"/>
              <w:right w:val="single" w:sz="4" w:space="0" w:color="auto"/>
            </w:tcBorders>
            <w:vAlign w:val="center"/>
          </w:tcPr>
          <w:p w14:paraId="01E536A9" w14:textId="77777777" w:rsidR="000020B9" w:rsidRPr="00CC6DC9" w:rsidRDefault="000020B9" w:rsidP="00EF25E1">
            <w:pPr>
              <w:rPr>
                <w:b/>
                <w:color w:val="000000"/>
                <w:sz w:val="20"/>
                <w:szCs w:val="20"/>
              </w:rPr>
            </w:pPr>
          </w:p>
        </w:tc>
        <w:tc>
          <w:tcPr>
            <w:tcW w:w="1313" w:type="dxa"/>
            <w:vMerge/>
            <w:tcBorders>
              <w:top w:val="single" w:sz="4" w:space="0" w:color="auto"/>
              <w:left w:val="nil"/>
              <w:bottom w:val="single" w:sz="4" w:space="0" w:color="000000"/>
              <w:right w:val="single" w:sz="4" w:space="0" w:color="auto"/>
            </w:tcBorders>
            <w:vAlign w:val="center"/>
          </w:tcPr>
          <w:p w14:paraId="516EAC23" w14:textId="77777777" w:rsidR="000020B9" w:rsidRPr="00CC6DC9" w:rsidRDefault="000020B9" w:rsidP="00EF25E1">
            <w:pPr>
              <w:rPr>
                <w:b/>
                <w:color w:val="000000"/>
                <w:sz w:val="20"/>
                <w:szCs w:val="20"/>
              </w:rPr>
            </w:pPr>
          </w:p>
        </w:tc>
        <w:tc>
          <w:tcPr>
            <w:tcW w:w="1180" w:type="dxa"/>
            <w:tcBorders>
              <w:top w:val="nil"/>
              <w:left w:val="nil"/>
              <w:bottom w:val="single" w:sz="4" w:space="0" w:color="auto"/>
              <w:right w:val="single" w:sz="4" w:space="0" w:color="auto"/>
            </w:tcBorders>
            <w:shd w:val="clear" w:color="auto" w:fill="auto"/>
            <w:vAlign w:val="center"/>
          </w:tcPr>
          <w:p w14:paraId="1DCEA425" w14:textId="77777777" w:rsidR="000020B9" w:rsidRPr="00CC6DC9" w:rsidRDefault="000020B9" w:rsidP="00EF25E1">
            <w:pPr>
              <w:jc w:val="center"/>
              <w:rPr>
                <w:b/>
                <w:sz w:val="20"/>
                <w:szCs w:val="20"/>
              </w:rPr>
            </w:pPr>
            <w:r w:rsidRPr="00CC6DC9">
              <w:rPr>
                <w:b/>
                <w:sz w:val="20"/>
                <w:szCs w:val="20"/>
              </w:rPr>
              <w:t>t-statistics</w:t>
            </w:r>
          </w:p>
        </w:tc>
        <w:tc>
          <w:tcPr>
            <w:tcW w:w="1180" w:type="dxa"/>
            <w:tcBorders>
              <w:top w:val="nil"/>
              <w:left w:val="nil"/>
              <w:bottom w:val="single" w:sz="4" w:space="0" w:color="auto"/>
              <w:right w:val="single" w:sz="4" w:space="0" w:color="auto"/>
            </w:tcBorders>
            <w:shd w:val="clear" w:color="auto" w:fill="auto"/>
            <w:vAlign w:val="center"/>
          </w:tcPr>
          <w:p w14:paraId="1B7BD95D" w14:textId="77777777" w:rsidR="000020B9" w:rsidRPr="00CC6DC9" w:rsidRDefault="000020B9" w:rsidP="00EF25E1">
            <w:pPr>
              <w:jc w:val="center"/>
              <w:rPr>
                <w:b/>
                <w:sz w:val="20"/>
                <w:szCs w:val="20"/>
              </w:rPr>
            </w:pPr>
            <w:r w:rsidRPr="00CC6DC9">
              <w:rPr>
                <w:b/>
                <w:sz w:val="20"/>
                <w:szCs w:val="20"/>
              </w:rPr>
              <w:t>p-value***</w:t>
            </w:r>
          </w:p>
        </w:tc>
      </w:tr>
      <w:tr w:rsidR="000020B9" w:rsidRPr="00CC6DC9" w14:paraId="2796CE50"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54C138FB" w14:textId="77777777" w:rsidR="000020B9" w:rsidRPr="00CC6DC9" w:rsidRDefault="000020B9" w:rsidP="00EF25E1">
            <w:pPr>
              <w:rPr>
                <w:color w:val="000000"/>
                <w:sz w:val="20"/>
                <w:szCs w:val="20"/>
                <w:lang w:val="en-US"/>
              </w:rPr>
            </w:pPr>
            <w:r w:rsidRPr="00CC6DC9">
              <w:rPr>
                <w:color w:val="000000"/>
                <w:sz w:val="20"/>
                <w:szCs w:val="20"/>
                <w:lang w:val="en-US"/>
              </w:rPr>
              <w:t>Panel A - Market Share and Bank Size</w:t>
            </w:r>
          </w:p>
        </w:tc>
        <w:tc>
          <w:tcPr>
            <w:tcW w:w="2512" w:type="dxa"/>
            <w:tcBorders>
              <w:top w:val="nil"/>
              <w:left w:val="nil"/>
              <w:bottom w:val="nil"/>
              <w:right w:val="single" w:sz="4" w:space="0" w:color="auto"/>
            </w:tcBorders>
            <w:shd w:val="clear" w:color="auto" w:fill="auto"/>
            <w:noWrap/>
            <w:vAlign w:val="bottom"/>
          </w:tcPr>
          <w:p w14:paraId="13B3E3B5" w14:textId="77777777" w:rsidR="000020B9" w:rsidRPr="00CC6DC9" w:rsidRDefault="000020B9" w:rsidP="00EF25E1">
            <w:pPr>
              <w:jc w:val="center"/>
              <w:rPr>
                <w:color w:val="000000"/>
                <w:sz w:val="20"/>
                <w:szCs w:val="20"/>
                <w:lang w:val="en-US"/>
              </w:rPr>
            </w:pPr>
            <w:r w:rsidRPr="00CC6DC9">
              <w:rPr>
                <w:color w:val="000000"/>
                <w:sz w:val="20"/>
                <w:szCs w:val="20"/>
                <w:lang w:val="en-US"/>
              </w:rPr>
              <w:t> </w:t>
            </w:r>
          </w:p>
        </w:tc>
        <w:tc>
          <w:tcPr>
            <w:tcW w:w="1313" w:type="dxa"/>
            <w:tcBorders>
              <w:top w:val="nil"/>
              <w:left w:val="nil"/>
              <w:bottom w:val="nil"/>
              <w:right w:val="single" w:sz="4" w:space="0" w:color="auto"/>
            </w:tcBorders>
            <w:shd w:val="clear" w:color="auto" w:fill="auto"/>
            <w:noWrap/>
            <w:vAlign w:val="bottom"/>
          </w:tcPr>
          <w:p w14:paraId="77334728" w14:textId="77777777" w:rsidR="000020B9" w:rsidRPr="00CC6DC9" w:rsidRDefault="000020B9" w:rsidP="00EF25E1">
            <w:pPr>
              <w:jc w:val="center"/>
              <w:rPr>
                <w:color w:val="000000"/>
                <w:sz w:val="20"/>
                <w:szCs w:val="20"/>
                <w:lang w:val="en-US"/>
              </w:rPr>
            </w:pPr>
            <w:r w:rsidRPr="00CC6DC9">
              <w:rPr>
                <w:color w:val="000000"/>
                <w:sz w:val="20"/>
                <w:szCs w:val="20"/>
                <w:lang w:val="en-US"/>
              </w:rPr>
              <w:t> </w:t>
            </w:r>
          </w:p>
        </w:tc>
        <w:tc>
          <w:tcPr>
            <w:tcW w:w="1180" w:type="dxa"/>
            <w:tcBorders>
              <w:top w:val="nil"/>
              <w:left w:val="nil"/>
              <w:bottom w:val="nil"/>
              <w:right w:val="single" w:sz="4" w:space="0" w:color="auto"/>
            </w:tcBorders>
            <w:shd w:val="clear" w:color="auto" w:fill="auto"/>
            <w:noWrap/>
            <w:vAlign w:val="bottom"/>
          </w:tcPr>
          <w:p w14:paraId="053DB069" w14:textId="77777777" w:rsidR="000020B9" w:rsidRPr="00CC6DC9" w:rsidRDefault="000020B9" w:rsidP="00EF25E1">
            <w:pPr>
              <w:jc w:val="center"/>
              <w:rPr>
                <w:color w:val="000000"/>
                <w:sz w:val="20"/>
                <w:szCs w:val="20"/>
                <w:lang w:val="en-US"/>
              </w:rPr>
            </w:pPr>
            <w:r w:rsidRPr="00CC6DC9">
              <w:rPr>
                <w:color w:val="000000"/>
                <w:sz w:val="20"/>
                <w:szCs w:val="20"/>
                <w:lang w:val="en-US"/>
              </w:rPr>
              <w:t> </w:t>
            </w:r>
          </w:p>
        </w:tc>
        <w:tc>
          <w:tcPr>
            <w:tcW w:w="1180" w:type="dxa"/>
            <w:tcBorders>
              <w:top w:val="nil"/>
              <w:left w:val="nil"/>
              <w:bottom w:val="nil"/>
              <w:right w:val="single" w:sz="4" w:space="0" w:color="auto"/>
            </w:tcBorders>
            <w:shd w:val="clear" w:color="auto" w:fill="auto"/>
            <w:noWrap/>
            <w:vAlign w:val="bottom"/>
          </w:tcPr>
          <w:p w14:paraId="2AA56EC2" w14:textId="77777777" w:rsidR="000020B9" w:rsidRPr="00CC6DC9" w:rsidRDefault="000020B9" w:rsidP="00EF25E1">
            <w:pPr>
              <w:jc w:val="center"/>
              <w:rPr>
                <w:color w:val="000000"/>
                <w:sz w:val="20"/>
                <w:szCs w:val="20"/>
                <w:lang w:val="en-US"/>
              </w:rPr>
            </w:pPr>
            <w:r w:rsidRPr="00CC6DC9">
              <w:rPr>
                <w:color w:val="000000"/>
                <w:sz w:val="20"/>
                <w:szCs w:val="20"/>
                <w:lang w:val="en-US"/>
              </w:rPr>
              <w:t> </w:t>
            </w:r>
          </w:p>
        </w:tc>
      </w:tr>
      <w:tr w:rsidR="000020B9" w:rsidRPr="00CC6DC9" w14:paraId="62E188EA"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5F7591A0" w14:textId="77777777" w:rsidR="000020B9" w:rsidRPr="00CC6DC9" w:rsidRDefault="000020B9" w:rsidP="00EF25E1">
            <w:pPr>
              <w:rPr>
                <w:color w:val="000000"/>
                <w:sz w:val="20"/>
                <w:szCs w:val="20"/>
              </w:rPr>
            </w:pPr>
            <w:r w:rsidRPr="00CC6DC9">
              <w:rPr>
                <w:color w:val="000000"/>
                <w:sz w:val="20"/>
                <w:szCs w:val="20"/>
                <w:lang w:val="en-US"/>
              </w:rPr>
              <w:t xml:space="preserve">    </w:t>
            </w:r>
            <w:r w:rsidRPr="00CC6DC9">
              <w:rPr>
                <w:color w:val="000000"/>
                <w:sz w:val="20"/>
                <w:szCs w:val="20"/>
              </w:rPr>
              <w:t>Market Share (assets)</w:t>
            </w:r>
          </w:p>
        </w:tc>
        <w:tc>
          <w:tcPr>
            <w:tcW w:w="2512" w:type="dxa"/>
            <w:tcBorders>
              <w:top w:val="nil"/>
              <w:left w:val="nil"/>
              <w:bottom w:val="nil"/>
              <w:right w:val="single" w:sz="4" w:space="0" w:color="auto"/>
            </w:tcBorders>
            <w:shd w:val="clear" w:color="auto" w:fill="auto"/>
            <w:noWrap/>
            <w:vAlign w:val="bottom"/>
          </w:tcPr>
          <w:p w14:paraId="3C609AAA" w14:textId="77777777" w:rsidR="000020B9" w:rsidRPr="00CC6DC9" w:rsidRDefault="000020B9" w:rsidP="00EF25E1">
            <w:pPr>
              <w:jc w:val="center"/>
              <w:rPr>
                <w:color w:val="000000"/>
                <w:sz w:val="20"/>
                <w:szCs w:val="20"/>
              </w:rPr>
            </w:pPr>
            <w:r w:rsidRPr="00CC6DC9">
              <w:rPr>
                <w:color w:val="000000"/>
                <w:sz w:val="20"/>
                <w:szCs w:val="20"/>
              </w:rPr>
              <w:t>0.13</w:t>
            </w:r>
          </w:p>
        </w:tc>
        <w:tc>
          <w:tcPr>
            <w:tcW w:w="1313" w:type="dxa"/>
            <w:tcBorders>
              <w:top w:val="nil"/>
              <w:left w:val="nil"/>
              <w:bottom w:val="nil"/>
              <w:right w:val="single" w:sz="4" w:space="0" w:color="auto"/>
            </w:tcBorders>
            <w:shd w:val="clear" w:color="auto" w:fill="auto"/>
            <w:noWrap/>
            <w:vAlign w:val="bottom"/>
          </w:tcPr>
          <w:p w14:paraId="611A490B" w14:textId="77777777" w:rsidR="000020B9" w:rsidRPr="00CC6DC9" w:rsidRDefault="000020B9" w:rsidP="00EF25E1">
            <w:pPr>
              <w:jc w:val="center"/>
              <w:rPr>
                <w:color w:val="000000"/>
                <w:sz w:val="20"/>
                <w:szCs w:val="20"/>
              </w:rPr>
            </w:pPr>
            <w:r w:rsidRPr="00CC6DC9">
              <w:rPr>
                <w:color w:val="000000"/>
                <w:sz w:val="20"/>
                <w:szCs w:val="20"/>
              </w:rPr>
              <w:t>0.01</w:t>
            </w:r>
          </w:p>
        </w:tc>
        <w:tc>
          <w:tcPr>
            <w:tcW w:w="1180" w:type="dxa"/>
            <w:tcBorders>
              <w:top w:val="nil"/>
              <w:left w:val="nil"/>
              <w:bottom w:val="nil"/>
              <w:right w:val="single" w:sz="4" w:space="0" w:color="auto"/>
            </w:tcBorders>
            <w:shd w:val="clear" w:color="auto" w:fill="auto"/>
            <w:noWrap/>
            <w:vAlign w:val="bottom"/>
          </w:tcPr>
          <w:p w14:paraId="48710A4E" w14:textId="77777777" w:rsidR="000020B9" w:rsidRPr="00CC6DC9" w:rsidRDefault="000020B9" w:rsidP="00EF25E1">
            <w:pPr>
              <w:jc w:val="center"/>
              <w:rPr>
                <w:color w:val="000000"/>
                <w:sz w:val="20"/>
                <w:szCs w:val="20"/>
              </w:rPr>
            </w:pPr>
            <w:r w:rsidRPr="00CC6DC9">
              <w:rPr>
                <w:color w:val="000000"/>
                <w:sz w:val="20"/>
                <w:szCs w:val="20"/>
              </w:rPr>
              <w:t>31.02</w:t>
            </w:r>
          </w:p>
        </w:tc>
        <w:tc>
          <w:tcPr>
            <w:tcW w:w="1180" w:type="dxa"/>
            <w:tcBorders>
              <w:top w:val="nil"/>
              <w:left w:val="nil"/>
              <w:bottom w:val="nil"/>
              <w:right w:val="single" w:sz="4" w:space="0" w:color="auto"/>
            </w:tcBorders>
            <w:shd w:val="clear" w:color="auto" w:fill="auto"/>
            <w:noWrap/>
            <w:vAlign w:val="bottom"/>
          </w:tcPr>
          <w:p w14:paraId="33A52DF9" w14:textId="77777777" w:rsidR="000020B9" w:rsidRPr="00CC6DC9" w:rsidRDefault="000020B9" w:rsidP="00EF25E1">
            <w:pPr>
              <w:jc w:val="center"/>
              <w:rPr>
                <w:color w:val="000000"/>
                <w:sz w:val="20"/>
                <w:szCs w:val="20"/>
              </w:rPr>
            </w:pPr>
            <w:r w:rsidRPr="00CC6DC9">
              <w:rPr>
                <w:color w:val="000000"/>
                <w:sz w:val="20"/>
                <w:szCs w:val="20"/>
              </w:rPr>
              <w:t>0.000</w:t>
            </w:r>
          </w:p>
        </w:tc>
      </w:tr>
      <w:tr w:rsidR="000020B9" w:rsidRPr="00CC6DC9" w14:paraId="4C2C2F86"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014E6296" w14:textId="77777777" w:rsidR="000020B9" w:rsidRPr="00CC6DC9" w:rsidRDefault="000020B9" w:rsidP="00EF25E1">
            <w:pPr>
              <w:rPr>
                <w:color w:val="000000"/>
                <w:sz w:val="20"/>
                <w:szCs w:val="20"/>
              </w:rPr>
            </w:pPr>
            <w:r w:rsidRPr="00CC6DC9">
              <w:rPr>
                <w:color w:val="000000"/>
                <w:sz w:val="20"/>
                <w:szCs w:val="20"/>
              </w:rPr>
              <w:t xml:space="preserve">    Market Share (revenue)</w:t>
            </w:r>
          </w:p>
        </w:tc>
        <w:tc>
          <w:tcPr>
            <w:tcW w:w="2512" w:type="dxa"/>
            <w:tcBorders>
              <w:top w:val="nil"/>
              <w:left w:val="nil"/>
              <w:bottom w:val="nil"/>
              <w:right w:val="single" w:sz="4" w:space="0" w:color="auto"/>
            </w:tcBorders>
            <w:shd w:val="clear" w:color="auto" w:fill="auto"/>
            <w:noWrap/>
            <w:vAlign w:val="bottom"/>
          </w:tcPr>
          <w:p w14:paraId="3728C559" w14:textId="77777777" w:rsidR="000020B9" w:rsidRPr="00CC6DC9" w:rsidRDefault="000020B9" w:rsidP="00EF25E1">
            <w:pPr>
              <w:jc w:val="center"/>
              <w:rPr>
                <w:color w:val="000000"/>
                <w:sz w:val="20"/>
                <w:szCs w:val="20"/>
              </w:rPr>
            </w:pPr>
            <w:r w:rsidRPr="00CC6DC9">
              <w:rPr>
                <w:color w:val="000000"/>
                <w:sz w:val="20"/>
                <w:szCs w:val="20"/>
              </w:rPr>
              <w:t>0.13</w:t>
            </w:r>
          </w:p>
        </w:tc>
        <w:tc>
          <w:tcPr>
            <w:tcW w:w="1313" w:type="dxa"/>
            <w:tcBorders>
              <w:top w:val="nil"/>
              <w:left w:val="nil"/>
              <w:bottom w:val="nil"/>
              <w:right w:val="single" w:sz="4" w:space="0" w:color="auto"/>
            </w:tcBorders>
            <w:shd w:val="clear" w:color="auto" w:fill="auto"/>
            <w:noWrap/>
            <w:vAlign w:val="bottom"/>
          </w:tcPr>
          <w:p w14:paraId="3227AB4B" w14:textId="77777777" w:rsidR="000020B9" w:rsidRPr="00CC6DC9" w:rsidRDefault="000020B9" w:rsidP="00EF25E1">
            <w:pPr>
              <w:jc w:val="center"/>
              <w:rPr>
                <w:color w:val="000000"/>
                <w:sz w:val="20"/>
                <w:szCs w:val="20"/>
              </w:rPr>
            </w:pPr>
            <w:r w:rsidRPr="00CC6DC9">
              <w:rPr>
                <w:color w:val="000000"/>
                <w:sz w:val="20"/>
                <w:szCs w:val="20"/>
              </w:rPr>
              <w:t>0.01</w:t>
            </w:r>
          </w:p>
        </w:tc>
        <w:tc>
          <w:tcPr>
            <w:tcW w:w="1180" w:type="dxa"/>
            <w:tcBorders>
              <w:top w:val="nil"/>
              <w:left w:val="nil"/>
              <w:bottom w:val="nil"/>
              <w:right w:val="single" w:sz="4" w:space="0" w:color="auto"/>
            </w:tcBorders>
            <w:shd w:val="clear" w:color="auto" w:fill="auto"/>
            <w:noWrap/>
            <w:vAlign w:val="bottom"/>
          </w:tcPr>
          <w:p w14:paraId="36E337E2" w14:textId="77777777" w:rsidR="000020B9" w:rsidRPr="00CC6DC9" w:rsidRDefault="000020B9" w:rsidP="00EF25E1">
            <w:pPr>
              <w:jc w:val="center"/>
              <w:rPr>
                <w:color w:val="000000"/>
                <w:sz w:val="20"/>
                <w:szCs w:val="20"/>
              </w:rPr>
            </w:pPr>
            <w:r w:rsidRPr="00CC6DC9">
              <w:rPr>
                <w:color w:val="000000"/>
                <w:sz w:val="20"/>
                <w:szCs w:val="20"/>
              </w:rPr>
              <w:t>31.57</w:t>
            </w:r>
          </w:p>
        </w:tc>
        <w:tc>
          <w:tcPr>
            <w:tcW w:w="1180" w:type="dxa"/>
            <w:tcBorders>
              <w:top w:val="nil"/>
              <w:left w:val="nil"/>
              <w:bottom w:val="nil"/>
              <w:right w:val="single" w:sz="4" w:space="0" w:color="auto"/>
            </w:tcBorders>
            <w:shd w:val="clear" w:color="auto" w:fill="auto"/>
            <w:noWrap/>
            <w:vAlign w:val="bottom"/>
          </w:tcPr>
          <w:p w14:paraId="45E3B88F" w14:textId="77777777" w:rsidR="000020B9" w:rsidRPr="00CC6DC9" w:rsidRDefault="000020B9" w:rsidP="00EF25E1">
            <w:pPr>
              <w:jc w:val="center"/>
              <w:rPr>
                <w:color w:val="000000"/>
                <w:sz w:val="20"/>
                <w:szCs w:val="20"/>
              </w:rPr>
            </w:pPr>
            <w:r w:rsidRPr="00CC6DC9">
              <w:rPr>
                <w:color w:val="000000"/>
                <w:sz w:val="20"/>
                <w:szCs w:val="20"/>
              </w:rPr>
              <w:t>0.000</w:t>
            </w:r>
          </w:p>
        </w:tc>
      </w:tr>
      <w:tr w:rsidR="000020B9" w:rsidRPr="00CC6DC9" w14:paraId="68EDE368"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5627FEE5" w14:textId="77777777" w:rsidR="000020B9" w:rsidRPr="00CC6DC9" w:rsidRDefault="000020B9" w:rsidP="00EF25E1">
            <w:pPr>
              <w:rPr>
                <w:color w:val="000000"/>
                <w:sz w:val="20"/>
                <w:szCs w:val="20"/>
                <w:lang w:val="en-US"/>
              </w:rPr>
            </w:pPr>
            <w:r w:rsidRPr="00CC6DC9">
              <w:rPr>
                <w:color w:val="000000"/>
                <w:sz w:val="20"/>
                <w:szCs w:val="20"/>
                <w:lang w:val="en-US"/>
              </w:rPr>
              <w:t xml:space="preserve">    Total Assets (price index </w:t>
            </w:r>
            <w:r>
              <w:rPr>
                <w:color w:val="000000"/>
                <w:sz w:val="20"/>
                <w:szCs w:val="20"/>
                <w:lang w:val="en-US"/>
              </w:rPr>
              <w:t>Q1</w:t>
            </w:r>
            <w:r w:rsidRPr="00CC6DC9">
              <w:rPr>
                <w:color w:val="000000"/>
                <w:sz w:val="20"/>
                <w:szCs w:val="20"/>
                <w:lang w:val="en-US"/>
              </w:rPr>
              <w:t>2001=1)</w:t>
            </w:r>
          </w:p>
        </w:tc>
        <w:tc>
          <w:tcPr>
            <w:tcW w:w="2512" w:type="dxa"/>
            <w:tcBorders>
              <w:top w:val="nil"/>
              <w:left w:val="nil"/>
              <w:bottom w:val="nil"/>
              <w:right w:val="single" w:sz="4" w:space="0" w:color="auto"/>
            </w:tcBorders>
            <w:shd w:val="clear" w:color="auto" w:fill="auto"/>
            <w:noWrap/>
            <w:vAlign w:val="bottom"/>
          </w:tcPr>
          <w:p w14:paraId="576A8183" w14:textId="77777777" w:rsidR="000020B9" w:rsidRPr="00CC6DC9" w:rsidRDefault="000020B9" w:rsidP="00EF25E1">
            <w:pPr>
              <w:jc w:val="center"/>
              <w:rPr>
                <w:color w:val="000000"/>
                <w:sz w:val="20"/>
                <w:szCs w:val="20"/>
              </w:rPr>
            </w:pPr>
            <w:r w:rsidRPr="00CC6DC9">
              <w:rPr>
                <w:color w:val="000000"/>
                <w:sz w:val="20"/>
                <w:szCs w:val="20"/>
              </w:rPr>
              <w:t>81300000</w:t>
            </w:r>
          </w:p>
        </w:tc>
        <w:tc>
          <w:tcPr>
            <w:tcW w:w="1313" w:type="dxa"/>
            <w:tcBorders>
              <w:top w:val="nil"/>
              <w:left w:val="nil"/>
              <w:bottom w:val="nil"/>
              <w:right w:val="single" w:sz="4" w:space="0" w:color="auto"/>
            </w:tcBorders>
            <w:shd w:val="clear" w:color="auto" w:fill="auto"/>
            <w:noWrap/>
            <w:vAlign w:val="bottom"/>
          </w:tcPr>
          <w:p w14:paraId="2BF77521" w14:textId="77777777" w:rsidR="000020B9" w:rsidRPr="00CC6DC9" w:rsidRDefault="000020B9" w:rsidP="00EF25E1">
            <w:pPr>
              <w:jc w:val="center"/>
              <w:rPr>
                <w:color w:val="000000"/>
                <w:sz w:val="20"/>
                <w:szCs w:val="20"/>
              </w:rPr>
            </w:pPr>
            <w:r w:rsidRPr="00CC6DC9">
              <w:rPr>
                <w:color w:val="000000"/>
                <w:sz w:val="20"/>
                <w:szCs w:val="20"/>
              </w:rPr>
              <w:t>1370592</w:t>
            </w:r>
          </w:p>
        </w:tc>
        <w:tc>
          <w:tcPr>
            <w:tcW w:w="1180" w:type="dxa"/>
            <w:tcBorders>
              <w:top w:val="nil"/>
              <w:left w:val="nil"/>
              <w:bottom w:val="nil"/>
              <w:right w:val="single" w:sz="4" w:space="0" w:color="auto"/>
            </w:tcBorders>
            <w:shd w:val="clear" w:color="auto" w:fill="auto"/>
            <w:noWrap/>
            <w:vAlign w:val="bottom"/>
          </w:tcPr>
          <w:p w14:paraId="4F55341A" w14:textId="77777777" w:rsidR="000020B9" w:rsidRPr="00CC6DC9" w:rsidRDefault="000020B9" w:rsidP="00EF25E1">
            <w:pPr>
              <w:jc w:val="center"/>
              <w:rPr>
                <w:color w:val="000000"/>
                <w:sz w:val="20"/>
                <w:szCs w:val="20"/>
              </w:rPr>
            </w:pPr>
            <w:r w:rsidRPr="00CC6DC9">
              <w:rPr>
                <w:color w:val="000000"/>
                <w:sz w:val="20"/>
                <w:szCs w:val="20"/>
              </w:rPr>
              <w:t>35.47</w:t>
            </w:r>
          </w:p>
        </w:tc>
        <w:tc>
          <w:tcPr>
            <w:tcW w:w="1180" w:type="dxa"/>
            <w:tcBorders>
              <w:top w:val="nil"/>
              <w:left w:val="nil"/>
              <w:bottom w:val="nil"/>
              <w:right w:val="single" w:sz="4" w:space="0" w:color="auto"/>
            </w:tcBorders>
            <w:shd w:val="clear" w:color="auto" w:fill="auto"/>
            <w:noWrap/>
            <w:vAlign w:val="bottom"/>
          </w:tcPr>
          <w:p w14:paraId="12BC9D5E" w14:textId="77777777" w:rsidR="000020B9" w:rsidRPr="00CC6DC9" w:rsidRDefault="000020B9" w:rsidP="00EF25E1">
            <w:pPr>
              <w:jc w:val="center"/>
              <w:rPr>
                <w:color w:val="000000"/>
                <w:sz w:val="20"/>
                <w:szCs w:val="20"/>
              </w:rPr>
            </w:pPr>
            <w:r w:rsidRPr="00CC6DC9">
              <w:rPr>
                <w:color w:val="000000"/>
                <w:sz w:val="20"/>
                <w:szCs w:val="20"/>
              </w:rPr>
              <w:t>0.000</w:t>
            </w:r>
          </w:p>
        </w:tc>
      </w:tr>
      <w:tr w:rsidR="000020B9" w:rsidRPr="00CC6DC9" w14:paraId="4576BC9E"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0939F8D5" w14:textId="77777777" w:rsidR="000020B9" w:rsidRPr="00CC6DC9" w:rsidRDefault="000020B9" w:rsidP="00EF25E1">
            <w:pPr>
              <w:rPr>
                <w:color w:val="000000"/>
                <w:sz w:val="20"/>
                <w:szCs w:val="20"/>
                <w:lang w:val="en-US"/>
              </w:rPr>
            </w:pPr>
            <w:r w:rsidRPr="00CC6DC9">
              <w:rPr>
                <w:color w:val="000000"/>
                <w:sz w:val="20"/>
                <w:szCs w:val="20"/>
                <w:lang w:val="en-US"/>
              </w:rPr>
              <w:t xml:space="preserve">    Total Bank Products Revenue (price index </w:t>
            </w:r>
            <w:r>
              <w:rPr>
                <w:color w:val="000000"/>
                <w:sz w:val="20"/>
                <w:szCs w:val="20"/>
                <w:lang w:val="en-US"/>
              </w:rPr>
              <w:t>Q1</w:t>
            </w:r>
            <w:r w:rsidRPr="00CC6DC9">
              <w:rPr>
                <w:color w:val="000000"/>
                <w:sz w:val="20"/>
                <w:szCs w:val="20"/>
                <w:lang w:val="en-US"/>
              </w:rPr>
              <w:t>2001=1)</w:t>
            </w:r>
          </w:p>
        </w:tc>
        <w:tc>
          <w:tcPr>
            <w:tcW w:w="2512" w:type="dxa"/>
            <w:tcBorders>
              <w:top w:val="nil"/>
              <w:left w:val="nil"/>
              <w:bottom w:val="nil"/>
              <w:right w:val="single" w:sz="4" w:space="0" w:color="auto"/>
            </w:tcBorders>
            <w:shd w:val="clear" w:color="auto" w:fill="auto"/>
            <w:noWrap/>
            <w:vAlign w:val="bottom"/>
          </w:tcPr>
          <w:p w14:paraId="100BB403" w14:textId="77777777" w:rsidR="000020B9" w:rsidRPr="00CC6DC9" w:rsidRDefault="000020B9" w:rsidP="00EF25E1">
            <w:pPr>
              <w:jc w:val="center"/>
              <w:rPr>
                <w:color w:val="000000"/>
                <w:sz w:val="20"/>
                <w:szCs w:val="20"/>
              </w:rPr>
            </w:pPr>
            <w:r w:rsidRPr="00CC6DC9">
              <w:rPr>
                <w:color w:val="000000"/>
                <w:sz w:val="20"/>
                <w:szCs w:val="20"/>
              </w:rPr>
              <w:t>2918683</w:t>
            </w:r>
          </w:p>
        </w:tc>
        <w:tc>
          <w:tcPr>
            <w:tcW w:w="1313" w:type="dxa"/>
            <w:tcBorders>
              <w:top w:val="nil"/>
              <w:left w:val="nil"/>
              <w:bottom w:val="nil"/>
              <w:right w:val="single" w:sz="4" w:space="0" w:color="auto"/>
            </w:tcBorders>
            <w:shd w:val="clear" w:color="auto" w:fill="auto"/>
            <w:noWrap/>
            <w:vAlign w:val="bottom"/>
          </w:tcPr>
          <w:p w14:paraId="2C058625" w14:textId="77777777" w:rsidR="000020B9" w:rsidRPr="00CC6DC9" w:rsidRDefault="000020B9" w:rsidP="00EF25E1">
            <w:pPr>
              <w:jc w:val="center"/>
              <w:rPr>
                <w:color w:val="000000"/>
                <w:sz w:val="20"/>
                <w:szCs w:val="20"/>
              </w:rPr>
            </w:pPr>
            <w:r w:rsidRPr="00CC6DC9">
              <w:rPr>
                <w:color w:val="000000"/>
                <w:sz w:val="20"/>
                <w:szCs w:val="20"/>
              </w:rPr>
              <w:t>55847</w:t>
            </w:r>
          </w:p>
        </w:tc>
        <w:tc>
          <w:tcPr>
            <w:tcW w:w="1180" w:type="dxa"/>
            <w:tcBorders>
              <w:top w:val="nil"/>
              <w:left w:val="nil"/>
              <w:bottom w:val="nil"/>
              <w:right w:val="single" w:sz="4" w:space="0" w:color="auto"/>
            </w:tcBorders>
            <w:shd w:val="clear" w:color="auto" w:fill="auto"/>
            <w:noWrap/>
            <w:vAlign w:val="bottom"/>
          </w:tcPr>
          <w:p w14:paraId="6AF815FA" w14:textId="77777777" w:rsidR="000020B9" w:rsidRPr="00CC6DC9" w:rsidRDefault="000020B9" w:rsidP="00EF25E1">
            <w:pPr>
              <w:jc w:val="center"/>
              <w:rPr>
                <w:color w:val="000000"/>
                <w:sz w:val="20"/>
                <w:szCs w:val="20"/>
              </w:rPr>
            </w:pPr>
            <w:r w:rsidRPr="00CC6DC9">
              <w:rPr>
                <w:color w:val="000000"/>
                <w:sz w:val="20"/>
                <w:szCs w:val="20"/>
              </w:rPr>
              <w:t>36.14</w:t>
            </w:r>
          </w:p>
        </w:tc>
        <w:tc>
          <w:tcPr>
            <w:tcW w:w="1180" w:type="dxa"/>
            <w:tcBorders>
              <w:top w:val="nil"/>
              <w:left w:val="nil"/>
              <w:bottom w:val="nil"/>
              <w:right w:val="single" w:sz="4" w:space="0" w:color="auto"/>
            </w:tcBorders>
            <w:shd w:val="clear" w:color="auto" w:fill="auto"/>
            <w:noWrap/>
            <w:vAlign w:val="bottom"/>
          </w:tcPr>
          <w:p w14:paraId="4A6FFE2C" w14:textId="77777777" w:rsidR="000020B9" w:rsidRPr="00CC6DC9" w:rsidRDefault="000020B9" w:rsidP="00EF25E1">
            <w:pPr>
              <w:jc w:val="center"/>
              <w:rPr>
                <w:color w:val="000000"/>
                <w:sz w:val="20"/>
                <w:szCs w:val="20"/>
              </w:rPr>
            </w:pPr>
            <w:r w:rsidRPr="00CC6DC9">
              <w:rPr>
                <w:color w:val="000000"/>
                <w:sz w:val="20"/>
                <w:szCs w:val="20"/>
              </w:rPr>
              <w:t>0.000</w:t>
            </w:r>
          </w:p>
        </w:tc>
      </w:tr>
      <w:tr w:rsidR="000020B9" w:rsidRPr="00CC6DC9" w14:paraId="56E1C603"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772EE30B" w14:textId="77777777" w:rsidR="000020B9" w:rsidRPr="00CC6DC9" w:rsidRDefault="000020B9" w:rsidP="00EF25E1">
            <w:pPr>
              <w:rPr>
                <w:color w:val="000000"/>
                <w:sz w:val="20"/>
                <w:szCs w:val="20"/>
              </w:rPr>
            </w:pPr>
            <w:r w:rsidRPr="00CC6DC9">
              <w:rPr>
                <w:color w:val="000000"/>
                <w:sz w:val="20"/>
                <w:szCs w:val="20"/>
              </w:rPr>
              <w:t> </w:t>
            </w:r>
          </w:p>
        </w:tc>
        <w:tc>
          <w:tcPr>
            <w:tcW w:w="2512" w:type="dxa"/>
            <w:tcBorders>
              <w:top w:val="nil"/>
              <w:left w:val="nil"/>
              <w:bottom w:val="nil"/>
              <w:right w:val="single" w:sz="4" w:space="0" w:color="auto"/>
            </w:tcBorders>
            <w:shd w:val="clear" w:color="auto" w:fill="auto"/>
            <w:noWrap/>
            <w:vAlign w:val="bottom"/>
          </w:tcPr>
          <w:p w14:paraId="5CC9218B" w14:textId="77777777" w:rsidR="000020B9" w:rsidRPr="00CC6DC9" w:rsidRDefault="000020B9" w:rsidP="00EF25E1">
            <w:pPr>
              <w:jc w:val="center"/>
              <w:rPr>
                <w:color w:val="000000"/>
                <w:sz w:val="20"/>
                <w:szCs w:val="20"/>
              </w:rPr>
            </w:pPr>
            <w:r w:rsidRPr="00CC6DC9">
              <w:rPr>
                <w:color w:val="000000"/>
                <w:sz w:val="20"/>
                <w:szCs w:val="20"/>
              </w:rPr>
              <w:t> </w:t>
            </w:r>
          </w:p>
        </w:tc>
        <w:tc>
          <w:tcPr>
            <w:tcW w:w="1313" w:type="dxa"/>
            <w:tcBorders>
              <w:top w:val="nil"/>
              <w:left w:val="nil"/>
              <w:bottom w:val="nil"/>
              <w:right w:val="single" w:sz="4" w:space="0" w:color="auto"/>
            </w:tcBorders>
            <w:shd w:val="clear" w:color="auto" w:fill="auto"/>
            <w:noWrap/>
            <w:vAlign w:val="bottom"/>
          </w:tcPr>
          <w:p w14:paraId="2B18B7C6" w14:textId="77777777" w:rsidR="000020B9" w:rsidRPr="00CC6DC9" w:rsidRDefault="000020B9" w:rsidP="00EF25E1">
            <w:pPr>
              <w:jc w:val="center"/>
              <w:rPr>
                <w:color w:val="000000"/>
                <w:sz w:val="20"/>
                <w:szCs w:val="20"/>
              </w:rPr>
            </w:pPr>
            <w:r w:rsidRPr="00CC6DC9">
              <w:rPr>
                <w:color w:val="000000"/>
                <w:sz w:val="20"/>
                <w:szCs w:val="20"/>
              </w:rPr>
              <w:t> </w:t>
            </w:r>
          </w:p>
        </w:tc>
        <w:tc>
          <w:tcPr>
            <w:tcW w:w="1180" w:type="dxa"/>
            <w:tcBorders>
              <w:top w:val="nil"/>
              <w:left w:val="nil"/>
              <w:bottom w:val="nil"/>
              <w:right w:val="single" w:sz="4" w:space="0" w:color="auto"/>
            </w:tcBorders>
            <w:shd w:val="clear" w:color="auto" w:fill="auto"/>
            <w:noWrap/>
            <w:vAlign w:val="bottom"/>
          </w:tcPr>
          <w:p w14:paraId="6E4EFE72" w14:textId="77777777" w:rsidR="000020B9" w:rsidRPr="00CC6DC9" w:rsidRDefault="000020B9" w:rsidP="00EF25E1">
            <w:pPr>
              <w:jc w:val="center"/>
              <w:rPr>
                <w:color w:val="000000"/>
                <w:sz w:val="20"/>
                <w:szCs w:val="20"/>
              </w:rPr>
            </w:pPr>
            <w:r w:rsidRPr="00CC6DC9">
              <w:rPr>
                <w:color w:val="000000"/>
                <w:sz w:val="20"/>
                <w:szCs w:val="20"/>
              </w:rPr>
              <w:t> </w:t>
            </w:r>
          </w:p>
        </w:tc>
        <w:tc>
          <w:tcPr>
            <w:tcW w:w="1180" w:type="dxa"/>
            <w:tcBorders>
              <w:top w:val="nil"/>
              <w:left w:val="nil"/>
              <w:bottom w:val="nil"/>
              <w:right w:val="single" w:sz="4" w:space="0" w:color="auto"/>
            </w:tcBorders>
            <w:shd w:val="clear" w:color="auto" w:fill="auto"/>
            <w:noWrap/>
            <w:vAlign w:val="bottom"/>
          </w:tcPr>
          <w:p w14:paraId="67843B3F" w14:textId="77777777" w:rsidR="000020B9" w:rsidRPr="00CC6DC9" w:rsidRDefault="000020B9" w:rsidP="00EF25E1">
            <w:pPr>
              <w:jc w:val="center"/>
              <w:rPr>
                <w:color w:val="000000"/>
                <w:sz w:val="20"/>
                <w:szCs w:val="20"/>
              </w:rPr>
            </w:pPr>
            <w:r w:rsidRPr="00CC6DC9">
              <w:rPr>
                <w:color w:val="000000"/>
                <w:sz w:val="20"/>
                <w:szCs w:val="20"/>
              </w:rPr>
              <w:t> </w:t>
            </w:r>
          </w:p>
        </w:tc>
      </w:tr>
      <w:tr w:rsidR="000020B9" w:rsidRPr="00CC6DC9" w14:paraId="1DB264BE"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2E765109" w14:textId="77777777" w:rsidR="000020B9" w:rsidRPr="00CC6DC9" w:rsidRDefault="000020B9" w:rsidP="00EF25E1">
            <w:pPr>
              <w:rPr>
                <w:color w:val="000000"/>
                <w:sz w:val="20"/>
                <w:szCs w:val="20"/>
              </w:rPr>
            </w:pPr>
            <w:r w:rsidRPr="00CC6DC9">
              <w:rPr>
                <w:color w:val="000000"/>
                <w:sz w:val="20"/>
                <w:szCs w:val="20"/>
              </w:rPr>
              <w:t>Panel B - Other Characteristics</w:t>
            </w:r>
          </w:p>
        </w:tc>
        <w:tc>
          <w:tcPr>
            <w:tcW w:w="2512" w:type="dxa"/>
            <w:tcBorders>
              <w:top w:val="nil"/>
              <w:left w:val="nil"/>
              <w:bottom w:val="nil"/>
              <w:right w:val="single" w:sz="4" w:space="0" w:color="auto"/>
            </w:tcBorders>
            <w:shd w:val="clear" w:color="auto" w:fill="auto"/>
            <w:noWrap/>
            <w:vAlign w:val="bottom"/>
          </w:tcPr>
          <w:p w14:paraId="0C0F87FC" w14:textId="77777777" w:rsidR="000020B9" w:rsidRPr="00CC6DC9" w:rsidRDefault="000020B9" w:rsidP="00EF25E1">
            <w:pPr>
              <w:rPr>
                <w:color w:val="000000"/>
                <w:sz w:val="20"/>
                <w:szCs w:val="20"/>
              </w:rPr>
            </w:pPr>
            <w:r w:rsidRPr="00CC6DC9">
              <w:rPr>
                <w:color w:val="000000"/>
                <w:sz w:val="20"/>
                <w:szCs w:val="20"/>
              </w:rPr>
              <w:t> </w:t>
            </w:r>
          </w:p>
        </w:tc>
        <w:tc>
          <w:tcPr>
            <w:tcW w:w="1313" w:type="dxa"/>
            <w:tcBorders>
              <w:top w:val="nil"/>
              <w:left w:val="nil"/>
              <w:bottom w:val="nil"/>
              <w:right w:val="single" w:sz="4" w:space="0" w:color="auto"/>
            </w:tcBorders>
            <w:shd w:val="clear" w:color="auto" w:fill="auto"/>
            <w:noWrap/>
            <w:vAlign w:val="bottom"/>
          </w:tcPr>
          <w:p w14:paraId="4AE08D7C" w14:textId="77777777" w:rsidR="000020B9" w:rsidRPr="00CC6DC9" w:rsidRDefault="000020B9" w:rsidP="00EF25E1">
            <w:pPr>
              <w:rPr>
                <w:color w:val="000000"/>
                <w:sz w:val="20"/>
                <w:szCs w:val="20"/>
              </w:rPr>
            </w:pPr>
            <w:r w:rsidRPr="00CC6DC9">
              <w:rPr>
                <w:color w:val="000000"/>
                <w:sz w:val="20"/>
                <w:szCs w:val="20"/>
              </w:rPr>
              <w:t> </w:t>
            </w:r>
          </w:p>
        </w:tc>
        <w:tc>
          <w:tcPr>
            <w:tcW w:w="1180" w:type="dxa"/>
            <w:tcBorders>
              <w:top w:val="nil"/>
              <w:left w:val="nil"/>
              <w:bottom w:val="nil"/>
              <w:right w:val="single" w:sz="4" w:space="0" w:color="auto"/>
            </w:tcBorders>
            <w:shd w:val="clear" w:color="auto" w:fill="auto"/>
            <w:noWrap/>
            <w:vAlign w:val="bottom"/>
          </w:tcPr>
          <w:p w14:paraId="23A0BE11" w14:textId="77777777" w:rsidR="000020B9" w:rsidRPr="00CC6DC9" w:rsidRDefault="000020B9" w:rsidP="00EF25E1">
            <w:pPr>
              <w:rPr>
                <w:color w:val="000000"/>
                <w:sz w:val="20"/>
                <w:szCs w:val="20"/>
              </w:rPr>
            </w:pPr>
            <w:r w:rsidRPr="00CC6DC9">
              <w:rPr>
                <w:color w:val="000000"/>
                <w:sz w:val="20"/>
                <w:szCs w:val="20"/>
              </w:rPr>
              <w:t> </w:t>
            </w:r>
          </w:p>
        </w:tc>
        <w:tc>
          <w:tcPr>
            <w:tcW w:w="1180" w:type="dxa"/>
            <w:tcBorders>
              <w:top w:val="nil"/>
              <w:left w:val="nil"/>
              <w:bottom w:val="nil"/>
              <w:right w:val="single" w:sz="4" w:space="0" w:color="auto"/>
            </w:tcBorders>
            <w:shd w:val="clear" w:color="auto" w:fill="auto"/>
            <w:noWrap/>
            <w:vAlign w:val="bottom"/>
          </w:tcPr>
          <w:p w14:paraId="68A85ADB" w14:textId="77777777" w:rsidR="000020B9" w:rsidRPr="00CC6DC9" w:rsidRDefault="000020B9" w:rsidP="00EF25E1">
            <w:pPr>
              <w:rPr>
                <w:color w:val="000000"/>
                <w:sz w:val="20"/>
                <w:szCs w:val="20"/>
              </w:rPr>
            </w:pPr>
            <w:r w:rsidRPr="00CC6DC9">
              <w:rPr>
                <w:color w:val="000000"/>
                <w:sz w:val="20"/>
                <w:szCs w:val="20"/>
              </w:rPr>
              <w:t> </w:t>
            </w:r>
          </w:p>
        </w:tc>
      </w:tr>
      <w:tr w:rsidR="000020B9" w:rsidRPr="00CC6DC9" w14:paraId="6A109657"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5FCF970D" w14:textId="77777777" w:rsidR="000020B9" w:rsidRPr="00CC6DC9" w:rsidRDefault="000020B9" w:rsidP="00EF25E1">
            <w:pPr>
              <w:rPr>
                <w:color w:val="000000"/>
                <w:sz w:val="20"/>
                <w:szCs w:val="20"/>
              </w:rPr>
            </w:pPr>
            <w:r w:rsidRPr="00CC6DC9">
              <w:rPr>
                <w:color w:val="000000"/>
                <w:sz w:val="20"/>
                <w:szCs w:val="20"/>
              </w:rPr>
              <w:t xml:space="preserve">     Dummy Private Bank</w:t>
            </w:r>
          </w:p>
        </w:tc>
        <w:tc>
          <w:tcPr>
            <w:tcW w:w="2512" w:type="dxa"/>
            <w:tcBorders>
              <w:top w:val="nil"/>
              <w:left w:val="nil"/>
              <w:bottom w:val="nil"/>
              <w:right w:val="single" w:sz="4" w:space="0" w:color="auto"/>
            </w:tcBorders>
            <w:shd w:val="clear" w:color="auto" w:fill="auto"/>
            <w:noWrap/>
            <w:vAlign w:val="bottom"/>
          </w:tcPr>
          <w:p w14:paraId="39E2B93F" w14:textId="77777777" w:rsidR="000020B9" w:rsidRPr="00CC6DC9" w:rsidRDefault="000020B9" w:rsidP="00EF25E1">
            <w:pPr>
              <w:jc w:val="center"/>
              <w:rPr>
                <w:color w:val="000000"/>
                <w:sz w:val="20"/>
                <w:szCs w:val="20"/>
              </w:rPr>
            </w:pPr>
            <w:r w:rsidRPr="00CC6DC9">
              <w:rPr>
                <w:color w:val="000000"/>
                <w:sz w:val="20"/>
                <w:szCs w:val="20"/>
              </w:rPr>
              <w:t>0.72</w:t>
            </w:r>
          </w:p>
        </w:tc>
        <w:tc>
          <w:tcPr>
            <w:tcW w:w="1313" w:type="dxa"/>
            <w:tcBorders>
              <w:top w:val="nil"/>
              <w:left w:val="nil"/>
              <w:bottom w:val="nil"/>
              <w:right w:val="single" w:sz="4" w:space="0" w:color="auto"/>
            </w:tcBorders>
            <w:shd w:val="clear" w:color="auto" w:fill="auto"/>
            <w:noWrap/>
            <w:vAlign w:val="bottom"/>
          </w:tcPr>
          <w:p w14:paraId="49E97277" w14:textId="77777777" w:rsidR="000020B9" w:rsidRPr="00CC6DC9" w:rsidRDefault="000020B9" w:rsidP="00EF25E1">
            <w:pPr>
              <w:jc w:val="center"/>
              <w:rPr>
                <w:color w:val="000000"/>
                <w:sz w:val="20"/>
                <w:szCs w:val="20"/>
              </w:rPr>
            </w:pPr>
            <w:r w:rsidRPr="00CC6DC9">
              <w:rPr>
                <w:color w:val="000000"/>
                <w:sz w:val="20"/>
                <w:szCs w:val="20"/>
              </w:rPr>
              <w:t>0.96</w:t>
            </w:r>
          </w:p>
        </w:tc>
        <w:tc>
          <w:tcPr>
            <w:tcW w:w="1180" w:type="dxa"/>
            <w:tcBorders>
              <w:top w:val="nil"/>
              <w:left w:val="nil"/>
              <w:bottom w:val="nil"/>
              <w:right w:val="single" w:sz="4" w:space="0" w:color="auto"/>
            </w:tcBorders>
            <w:shd w:val="clear" w:color="auto" w:fill="auto"/>
            <w:noWrap/>
            <w:vAlign w:val="bottom"/>
          </w:tcPr>
          <w:p w14:paraId="1BD90B23" w14:textId="77777777" w:rsidR="000020B9" w:rsidRPr="00CC6DC9" w:rsidRDefault="000020B9" w:rsidP="00EF25E1">
            <w:pPr>
              <w:jc w:val="center"/>
              <w:rPr>
                <w:color w:val="000000"/>
                <w:sz w:val="20"/>
                <w:szCs w:val="20"/>
              </w:rPr>
            </w:pPr>
            <w:r w:rsidRPr="00CC6DC9">
              <w:rPr>
                <w:color w:val="000000"/>
                <w:sz w:val="20"/>
                <w:szCs w:val="20"/>
              </w:rPr>
              <w:t>-15.90</w:t>
            </w:r>
          </w:p>
        </w:tc>
        <w:tc>
          <w:tcPr>
            <w:tcW w:w="1180" w:type="dxa"/>
            <w:tcBorders>
              <w:top w:val="nil"/>
              <w:left w:val="nil"/>
              <w:bottom w:val="nil"/>
              <w:right w:val="single" w:sz="4" w:space="0" w:color="auto"/>
            </w:tcBorders>
            <w:shd w:val="clear" w:color="auto" w:fill="auto"/>
            <w:noWrap/>
            <w:vAlign w:val="bottom"/>
          </w:tcPr>
          <w:p w14:paraId="708CF143" w14:textId="77777777" w:rsidR="000020B9" w:rsidRPr="00CC6DC9" w:rsidRDefault="000020B9" w:rsidP="00EF25E1">
            <w:pPr>
              <w:jc w:val="center"/>
              <w:rPr>
                <w:color w:val="000000"/>
                <w:sz w:val="20"/>
                <w:szCs w:val="20"/>
              </w:rPr>
            </w:pPr>
            <w:r w:rsidRPr="00CC6DC9">
              <w:rPr>
                <w:color w:val="000000"/>
                <w:sz w:val="20"/>
                <w:szCs w:val="20"/>
              </w:rPr>
              <w:t>0.000</w:t>
            </w:r>
          </w:p>
        </w:tc>
      </w:tr>
      <w:tr w:rsidR="000020B9" w:rsidRPr="00CC6DC9" w14:paraId="18E40542"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19648351" w14:textId="77777777" w:rsidR="000020B9" w:rsidRPr="00CC6DC9" w:rsidRDefault="000020B9" w:rsidP="00EF25E1">
            <w:pPr>
              <w:rPr>
                <w:color w:val="000000"/>
                <w:sz w:val="20"/>
                <w:szCs w:val="20"/>
              </w:rPr>
            </w:pPr>
            <w:r w:rsidRPr="00CC6DC9">
              <w:rPr>
                <w:color w:val="000000"/>
                <w:sz w:val="20"/>
                <w:szCs w:val="20"/>
              </w:rPr>
              <w:t xml:space="preserve">     Dummy Brazilian Bank</w:t>
            </w:r>
          </w:p>
        </w:tc>
        <w:tc>
          <w:tcPr>
            <w:tcW w:w="2512" w:type="dxa"/>
            <w:tcBorders>
              <w:top w:val="nil"/>
              <w:left w:val="nil"/>
              <w:bottom w:val="nil"/>
              <w:right w:val="single" w:sz="4" w:space="0" w:color="auto"/>
            </w:tcBorders>
            <w:shd w:val="clear" w:color="auto" w:fill="auto"/>
            <w:noWrap/>
            <w:vAlign w:val="bottom"/>
          </w:tcPr>
          <w:p w14:paraId="400E69A2" w14:textId="77777777" w:rsidR="000020B9" w:rsidRPr="00CC6DC9" w:rsidRDefault="000020B9" w:rsidP="00EF25E1">
            <w:pPr>
              <w:jc w:val="center"/>
              <w:rPr>
                <w:color w:val="000000"/>
                <w:sz w:val="20"/>
                <w:szCs w:val="20"/>
              </w:rPr>
            </w:pPr>
            <w:r w:rsidRPr="00CC6DC9">
              <w:rPr>
                <w:color w:val="000000"/>
                <w:sz w:val="20"/>
                <w:szCs w:val="20"/>
              </w:rPr>
              <w:t>0.97</w:t>
            </w:r>
          </w:p>
        </w:tc>
        <w:tc>
          <w:tcPr>
            <w:tcW w:w="1313" w:type="dxa"/>
            <w:tcBorders>
              <w:top w:val="nil"/>
              <w:left w:val="nil"/>
              <w:bottom w:val="nil"/>
              <w:right w:val="single" w:sz="4" w:space="0" w:color="auto"/>
            </w:tcBorders>
            <w:shd w:val="clear" w:color="auto" w:fill="auto"/>
            <w:noWrap/>
            <w:vAlign w:val="bottom"/>
          </w:tcPr>
          <w:p w14:paraId="03F72FF7" w14:textId="77777777" w:rsidR="000020B9" w:rsidRPr="00CC6DC9" w:rsidRDefault="000020B9" w:rsidP="00EF25E1">
            <w:pPr>
              <w:jc w:val="center"/>
              <w:rPr>
                <w:color w:val="000000"/>
                <w:sz w:val="20"/>
                <w:szCs w:val="20"/>
              </w:rPr>
            </w:pPr>
            <w:r w:rsidRPr="00CC6DC9">
              <w:rPr>
                <w:color w:val="000000"/>
                <w:sz w:val="20"/>
                <w:szCs w:val="20"/>
              </w:rPr>
              <w:t>0.89</w:t>
            </w:r>
          </w:p>
        </w:tc>
        <w:tc>
          <w:tcPr>
            <w:tcW w:w="1180" w:type="dxa"/>
            <w:tcBorders>
              <w:top w:val="nil"/>
              <w:left w:val="nil"/>
              <w:bottom w:val="nil"/>
              <w:right w:val="single" w:sz="4" w:space="0" w:color="auto"/>
            </w:tcBorders>
            <w:shd w:val="clear" w:color="auto" w:fill="auto"/>
            <w:noWrap/>
            <w:vAlign w:val="bottom"/>
          </w:tcPr>
          <w:p w14:paraId="3CF7CE7A" w14:textId="77777777" w:rsidR="000020B9" w:rsidRPr="00CC6DC9" w:rsidRDefault="000020B9" w:rsidP="00EF25E1">
            <w:pPr>
              <w:jc w:val="center"/>
              <w:rPr>
                <w:color w:val="000000"/>
                <w:sz w:val="20"/>
                <w:szCs w:val="20"/>
              </w:rPr>
            </w:pPr>
            <w:r w:rsidRPr="00CC6DC9">
              <w:rPr>
                <w:color w:val="000000"/>
                <w:sz w:val="20"/>
                <w:szCs w:val="20"/>
              </w:rPr>
              <w:t>3.83</w:t>
            </w:r>
          </w:p>
        </w:tc>
        <w:tc>
          <w:tcPr>
            <w:tcW w:w="1180" w:type="dxa"/>
            <w:tcBorders>
              <w:top w:val="nil"/>
              <w:left w:val="nil"/>
              <w:bottom w:val="nil"/>
              <w:right w:val="single" w:sz="4" w:space="0" w:color="auto"/>
            </w:tcBorders>
            <w:shd w:val="clear" w:color="auto" w:fill="auto"/>
            <w:noWrap/>
            <w:vAlign w:val="bottom"/>
          </w:tcPr>
          <w:p w14:paraId="09B8FD8F" w14:textId="77777777" w:rsidR="000020B9" w:rsidRPr="00CC6DC9" w:rsidRDefault="000020B9" w:rsidP="00EF25E1">
            <w:pPr>
              <w:jc w:val="center"/>
              <w:rPr>
                <w:color w:val="000000"/>
                <w:sz w:val="20"/>
                <w:szCs w:val="20"/>
              </w:rPr>
            </w:pPr>
            <w:r w:rsidRPr="00CC6DC9">
              <w:rPr>
                <w:color w:val="000000"/>
                <w:sz w:val="20"/>
                <w:szCs w:val="20"/>
              </w:rPr>
              <w:t>0.000</w:t>
            </w:r>
          </w:p>
        </w:tc>
      </w:tr>
      <w:tr w:rsidR="000020B9" w:rsidRPr="00CC6DC9" w14:paraId="6AE03C1F"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7EAA7231" w14:textId="77777777" w:rsidR="000020B9" w:rsidRPr="00CC6DC9" w:rsidRDefault="000020B9" w:rsidP="00EF25E1">
            <w:pPr>
              <w:rPr>
                <w:color w:val="000000"/>
                <w:sz w:val="20"/>
                <w:szCs w:val="20"/>
                <w:lang w:val="en-US"/>
              </w:rPr>
            </w:pPr>
            <w:r w:rsidRPr="00CC6DC9">
              <w:rPr>
                <w:color w:val="000000"/>
                <w:sz w:val="20"/>
                <w:szCs w:val="20"/>
                <w:lang w:val="en-US"/>
              </w:rPr>
              <w:t xml:space="preserve">    Labor Cost (Wage) = Total</w:t>
            </w:r>
            <w:r>
              <w:rPr>
                <w:color w:val="000000"/>
                <w:sz w:val="20"/>
                <w:szCs w:val="20"/>
                <w:lang w:val="en-US"/>
              </w:rPr>
              <w:t xml:space="preserve"> </w:t>
            </w:r>
            <w:r w:rsidRPr="00CC6DC9">
              <w:rPr>
                <w:color w:val="000000"/>
                <w:sz w:val="20"/>
                <w:szCs w:val="20"/>
                <w:lang w:val="en-US"/>
              </w:rPr>
              <w:t>Payoll/Total Assets</w:t>
            </w:r>
          </w:p>
        </w:tc>
        <w:tc>
          <w:tcPr>
            <w:tcW w:w="2512" w:type="dxa"/>
            <w:tcBorders>
              <w:top w:val="nil"/>
              <w:left w:val="nil"/>
              <w:bottom w:val="nil"/>
              <w:right w:val="single" w:sz="4" w:space="0" w:color="auto"/>
            </w:tcBorders>
            <w:shd w:val="clear" w:color="auto" w:fill="auto"/>
            <w:noWrap/>
            <w:vAlign w:val="bottom"/>
          </w:tcPr>
          <w:p w14:paraId="6BEBAAFF" w14:textId="77777777" w:rsidR="000020B9" w:rsidRPr="00CC6DC9" w:rsidRDefault="000020B9" w:rsidP="00EF25E1">
            <w:pPr>
              <w:jc w:val="center"/>
              <w:rPr>
                <w:color w:val="000000"/>
                <w:sz w:val="20"/>
                <w:szCs w:val="20"/>
              </w:rPr>
            </w:pPr>
            <w:r w:rsidRPr="00CC6DC9">
              <w:rPr>
                <w:color w:val="000000"/>
                <w:sz w:val="20"/>
                <w:szCs w:val="20"/>
              </w:rPr>
              <w:t>0.10</w:t>
            </w:r>
          </w:p>
        </w:tc>
        <w:tc>
          <w:tcPr>
            <w:tcW w:w="1313" w:type="dxa"/>
            <w:tcBorders>
              <w:top w:val="nil"/>
              <w:left w:val="nil"/>
              <w:bottom w:val="nil"/>
              <w:right w:val="single" w:sz="4" w:space="0" w:color="auto"/>
            </w:tcBorders>
            <w:shd w:val="clear" w:color="auto" w:fill="auto"/>
            <w:noWrap/>
            <w:vAlign w:val="bottom"/>
          </w:tcPr>
          <w:p w14:paraId="4B0BF9BD" w14:textId="77777777" w:rsidR="000020B9" w:rsidRPr="00CC6DC9" w:rsidRDefault="000020B9" w:rsidP="00EF25E1">
            <w:pPr>
              <w:jc w:val="center"/>
              <w:rPr>
                <w:color w:val="000000"/>
                <w:sz w:val="20"/>
                <w:szCs w:val="20"/>
              </w:rPr>
            </w:pPr>
            <w:r w:rsidRPr="00CC6DC9">
              <w:rPr>
                <w:color w:val="000000"/>
                <w:sz w:val="20"/>
                <w:szCs w:val="20"/>
              </w:rPr>
              <w:t>0.04</w:t>
            </w:r>
          </w:p>
        </w:tc>
        <w:tc>
          <w:tcPr>
            <w:tcW w:w="1180" w:type="dxa"/>
            <w:tcBorders>
              <w:top w:val="nil"/>
              <w:left w:val="nil"/>
              <w:bottom w:val="nil"/>
              <w:right w:val="single" w:sz="4" w:space="0" w:color="auto"/>
            </w:tcBorders>
            <w:shd w:val="clear" w:color="auto" w:fill="auto"/>
            <w:noWrap/>
            <w:vAlign w:val="bottom"/>
          </w:tcPr>
          <w:p w14:paraId="2578A04D" w14:textId="77777777" w:rsidR="000020B9" w:rsidRPr="00CC6DC9" w:rsidRDefault="000020B9" w:rsidP="00EF25E1">
            <w:pPr>
              <w:jc w:val="center"/>
              <w:rPr>
                <w:color w:val="000000"/>
                <w:sz w:val="20"/>
                <w:szCs w:val="20"/>
              </w:rPr>
            </w:pPr>
            <w:r w:rsidRPr="00CC6DC9">
              <w:rPr>
                <w:color w:val="000000"/>
                <w:sz w:val="20"/>
                <w:szCs w:val="20"/>
              </w:rPr>
              <w:t>18.22</w:t>
            </w:r>
          </w:p>
        </w:tc>
        <w:tc>
          <w:tcPr>
            <w:tcW w:w="1180" w:type="dxa"/>
            <w:tcBorders>
              <w:top w:val="nil"/>
              <w:left w:val="nil"/>
              <w:bottom w:val="nil"/>
              <w:right w:val="single" w:sz="4" w:space="0" w:color="auto"/>
            </w:tcBorders>
            <w:shd w:val="clear" w:color="auto" w:fill="auto"/>
            <w:noWrap/>
            <w:vAlign w:val="bottom"/>
          </w:tcPr>
          <w:p w14:paraId="1FAA7F3E" w14:textId="77777777" w:rsidR="000020B9" w:rsidRPr="00CC6DC9" w:rsidRDefault="000020B9" w:rsidP="00EF25E1">
            <w:pPr>
              <w:jc w:val="center"/>
              <w:rPr>
                <w:color w:val="000000"/>
                <w:sz w:val="20"/>
                <w:szCs w:val="20"/>
              </w:rPr>
            </w:pPr>
            <w:r w:rsidRPr="00CC6DC9">
              <w:rPr>
                <w:color w:val="000000"/>
                <w:sz w:val="20"/>
                <w:szCs w:val="20"/>
              </w:rPr>
              <w:t>0.000</w:t>
            </w:r>
          </w:p>
        </w:tc>
      </w:tr>
      <w:tr w:rsidR="000020B9" w:rsidRPr="00CC6DC9" w14:paraId="66DDF928"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376F5FDB" w14:textId="77777777" w:rsidR="000020B9" w:rsidRPr="00CC6DC9" w:rsidRDefault="000020B9" w:rsidP="00EF25E1">
            <w:pPr>
              <w:rPr>
                <w:color w:val="000000"/>
                <w:sz w:val="20"/>
                <w:szCs w:val="20"/>
                <w:lang w:val="en-US"/>
              </w:rPr>
            </w:pPr>
            <w:r w:rsidRPr="00CC6DC9">
              <w:rPr>
                <w:color w:val="000000"/>
                <w:sz w:val="20"/>
                <w:szCs w:val="20"/>
                <w:lang w:val="en-US"/>
              </w:rPr>
              <w:t xml:space="preserve">    Cost of Capital =  Total Capital Expenditure / Total Assets</w:t>
            </w:r>
          </w:p>
        </w:tc>
        <w:tc>
          <w:tcPr>
            <w:tcW w:w="2512" w:type="dxa"/>
            <w:tcBorders>
              <w:top w:val="nil"/>
              <w:left w:val="nil"/>
              <w:bottom w:val="nil"/>
              <w:right w:val="single" w:sz="4" w:space="0" w:color="auto"/>
            </w:tcBorders>
            <w:shd w:val="clear" w:color="auto" w:fill="auto"/>
            <w:noWrap/>
            <w:vAlign w:val="bottom"/>
          </w:tcPr>
          <w:p w14:paraId="46BD324B" w14:textId="77777777" w:rsidR="000020B9" w:rsidRPr="00CC6DC9" w:rsidRDefault="000020B9" w:rsidP="00EF25E1">
            <w:pPr>
              <w:jc w:val="center"/>
              <w:rPr>
                <w:color w:val="000000"/>
                <w:sz w:val="20"/>
                <w:szCs w:val="20"/>
              </w:rPr>
            </w:pPr>
            <w:r w:rsidRPr="00CC6DC9">
              <w:rPr>
                <w:color w:val="000000"/>
                <w:sz w:val="20"/>
                <w:szCs w:val="20"/>
              </w:rPr>
              <w:t>0.36</w:t>
            </w:r>
          </w:p>
        </w:tc>
        <w:tc>
          <w:tcPr>
            <w:tcW w:w="1313" w:type="dxa"/>
            <w:tcBorders>
              <w:top w:val="nil"/>
              <w:left w:val="nil"/>
              <w:bottom w:val="nil"/>
              <w:right w:val="single" w:sz="4" w:space="0" w:color="auto"/>
            </w:tcBorders>
            <w:shd w:val="clear" w:color="auto" w:fill="auto"/>
            <w:noWrap/>
            <w:vAlign w:val="bottom"/>
          </w:tcPr>
          <w:p w14:paraId="633F4A00" w14:textId="77777777" w:rsidR="000020B9" w:rsidRPr="00CC6DC9" w:rsidRDefault="000020B9" w:rsidP="00EF25E1">
            <w:pPr>
              <w:jc w:val="center"/>
              <w:rPr>
                <w:color w:val="000000"/>
                <w:sz w:val="20"/>
                <w:szCs w:val="20"/>
              </w:rPr>
            </w:pPr>
            <w:r w:rsidRPr="00CC6DC9">
              <w:rPr>
                <w:color w:val="000000"/>
                <w:sz w:val="20"/>
                <w:szCs w:val="20"/>
              </w:rPr>
              <w:t>0.18</w:t>
            </w:r>
          </w:p>
        </w:tc>
        <w:tc>
          <w:tcPr>
            <w:tcW w:w="1180" w:type="dxa"/>
            <w:tcBorders>
              <w:top w:val="nil"/>
              <w:left w:val="nil"/>
              <w:bottom w:val="nil"/>
              <w:right w:val="single" w:sz="4" w:space="0" w:color="auto"/>
            </w:tcBorders>
            <w:shd w:val="clear" w:color="auto" w:fill="auto"/>
            <w:noWrap/>
            <w:vAlign w:val="bottom"/>
          </w:tcPr>
          <w:p w14:paraId="0E06CB47" w14:textId="77777777" w:rsidR="000020B9" w:rsidRPr="00CC6DC9" w:rsidRDefault="000020B9" w:rsidP="00EF25E1">
            <w:pPr>
              <w:jc w:val="center"/>
              <w:rPr>
                <w:color w:val="000000"/>
                <w:sz w:val="20"/>
                <w:szCs w:val="20"/>
              </w:rPr>
            </w:pPr>
            <w:r w:rsidRPr="00CC6DC9">
              <w:rPr>
                <w:color w:val="000000"/>
                <w:sz w:val="20"/>
                <w:szCs w:val="20"/>
              </w:rPr>
              <w:t>4.11</w:t>
            </w:r>
          </w:p>
        </w:tc>
        <w:tc>
          <w:tcPr>
            <w:tcW w:w="1180" w:type="dxa"/>
            <w:tcBorders>
              <w:top w:val="nil"/>
              <w:left w:val="nil"/>
              <w:bottom w:val="nil"/>
              <w:right w:val="single" w:sz="4" w:space="0" w:color="auto"/>
            </w:tcBorders>
            <w:shd w:val="clear" w:color="auto" w:fill="auto"/>
            <w:noWrap/>
            <w:vAlign w:val="bottom"/>
          </w:tcPr>
          <w:p w14:paraId="35B11E23" w14:textId="77777777" w:rsidR="000020B9" w:rsidRPr="00CC6DC9" w:rsidRDefault="000020B9" w:rsidP="00EF25E1">
            <w:pPr>
              <w:jc w:val="center"/>
              <w:rPr>
                <w:color w:val="000000"/>
                <w:sz w:val="20"/>
                <w:szCs w:val="20"/>
              </w:rPr>
            </w:pPr>
            <w:r w:rsidRPr="00CC6DC9">
              <w:rPr>
                <w:color w:val="000000"/>
                <w:sz w:val="20"/>
                <w:szCs w:val="20"/>
              </w:rPr>
              <w:t>0.000</w:t>
            </w:r>
          </w:p>
        </w:tc>
      </w:tr>
      <w:tr w:rsidR="000020B9" w:rsidRPr="00CC6DC9" w14:paraId="63908945"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6CAC6891" w14:textId="77777777" w:rsidR="000020B9" w:rsidRPr="00CC6DC9" w:rsidRDefault="000020B9" w:rsidP="00EF25E1">
            <w:pPr>
              <w:rPr>
                <w:color w:val="000000"/>
                <w:sz w:val="20"/>
                <w:szCs w:val="20"/>
                <w:lang w:val="en-US"/>
              </w:rPr>
            </w:pPr>
            <w:r w:rsidRPr="00CC6DC9">
              <w:rPr>
                <w:color w:val="000000"/>
                <w:sz w:val="20"/>
                <w:szCs w:val="20"/>
                <w:lang w:val="en-US"/>
              </w:rPr>
              <w:t xml:space="preserve">    Cost of fixed capital = Total Fixed Capital/Total Assets </w:t>
            </w:r>
          </w:p>
        </w:tc>
        <w:tc>
          <w:tcPr>
            <w:tcW w:w="2512" w:type="dxa"/>
            <w:tcBorders>
              <w:top w:val="nil"/>
              <w:left w:val="nil"/>
              <w:bottom w:val="nil"/>
              <w:right w:val="single" w:sz="4" w:space="0" w:color="auto"/>
            </w:tcBorders>
            <w:shd w:val="clear" w:color="auto" w:fill="auto"/>
            <w:noWrap/>
            <w:vAlign w:val="bottom"/>
          </w:tcPr>
          <w:p w14:paraId="2D34783D" w14:textId="77777777" w:rsidR="000020B9" w:rsidRPr="00CC6DC9" w:rsidRDefault="000020B9" w:rsidP="00EF25E1">
            <w:pPr>
              <w:jc w:val="center"/>
              <w:rPr>
                <w:color w:val="000000"/>
                <w:sz w:val="20"/>
                <w:szCs w:val="20"/>
              </w:rPr>
            </w:pPr>
            <w:r w:rsidRPr="00CC6DC9">
              <w:rPr>
                <w:color w:val="000000"/>
                <w:sz w:val="20"/>
                <w:szCs w:val="20"/>
              </w:rPr>
              <w:t>0.33</w:t>
            </w:r>
          </w:p>
        </w:tc>
        <w:tc>
          <w:tcPr>
            <w:tcW w:w="1313" w:type="dxa"/>
            <w:tcBorders>
              <w:top w:val="nil"/>
              <w:left w:val="nil"/>
              <w:bottom w:val="nil"/>
              <w:right w:val="single" w:sz="4" w:space="0" w:color="auto"/>
            </w:tcBorders>
            <w:shd w:val="clear" w:color="auto" w:fill="auto"/>
            <w:noWrap/>
            <w:vAlign w:val="bottom"/>
          </w:tcPr>
          <w:p w14:paraId="50F595D9" w14:textId="77777777" w:rsidR="000020B9" w:rsidRPr="00CC6DC9" w:rsidRDefault="000020B9" w:rsidP="00EF25E1">
            <w:pPr>
              <w:jc w:val="center"/>
              <w:rPr>
                <w:color w:val="000000"/>
                <w:sz w:val="20"/>
                <w:szCs w:val="20"/>
              </w:rPr>
            </w:pPr>
            <w:r w:rsidRPr="00CC6DC9">
              <w:rPr>
                <w:color w:val="000000"/>
                <w:sz w:val="20"/>
                <w:szCs w:val="20"/>
              </w:rPr>
              <w:t>0.19</w:t>
            </w:r>
          </w:p>
        </w:tc>
        <w:tc>
          <w:tcPr>
            <w:tcW w:w="1180" w:type="dxa"/>
            <w:tcBorders>
              <w:top w:val="nil"/>
              <w:left w:val="nil"/>
              <w:bottom w:val="nil"/>
              <w:right w:val="single" w:sz="4" w:space="0" w:color="auto"/>
            </w:tcBorders>
            <w:shd w:val="clear" w:color="auto" w:fill="auto"/>
            <w:noWrap/>
            <w:vAlign w:val="bottom"/>
          </w:tcPr>
          <w:p w14:paraId="78828FED" w14:textId="77777777" w:rsidR="000020B9" w:rsidRPr="00CC6DC9" w:rsidRDefault="000020B9" w:rsidP="00EF25E1">
            <w:pPr>
              <w:jc w:val="center"/>
              <w:rPr>
                <w:color w:val="000000"/>
                <w:sz w:val="20"/>
                <w:szCs w:val="20"/>
              </w:rPr>
            </w:pPr>
            <w:r w:rsidRPr="00CC6DC9">
              <w:rPr>
                <w:color w:val="000000"/>
                <w:sz w:val="20"/>
                <w:szCs w:val="20"/>
              </w:rPr>
              <w:t>2.79</w:t>
            </w:r>
          </w:p>
        </w:tc>
        <w:tc>
          <w:tcPr>
            <w:tcW w:w="1180" w:type="dxa"/>
            <w:tcBorders>
              <w:top w:val="nil"/>
              <w:left w:val="nil"/>
              <w:bottom w:val="nil"/>
              <w:right w:val="single" w:sz="4" w:space="0" w:color="auto"/>
            </w:tcBorders>
            <w:shd w:val="clear" w:color="auto" w:fill="auto"/>
            <w:noWrap/>
            <w:vAlign w:val="bottom"/>
          </w:tcPr>
          <w:p w14:paraId="43D87F18" w14:textId="77777777" w:rsidR="000020B9" w:rsidRPr="00CC6DC9" w:rsidRDefault="000020B9" w:rsidP="00EF25E1">
            <w:pPr>
              <w:jc w:val="center"/>
              <w:rPr>
                <w:color w:val="000000"/>
                <w:sz w:val="20"/>
                <w:szCs w:val="20"/>
              </w:rPr>
            </w:pPr>
            <w:r w:rsidRPr="00CC6DC9">
              <w:rPr>
                <w:color w:val="000000"/>
                <w:sz w:val="20"/>
                <w:szCs w:val="20"/>
              </w:rPr>
              <w:t>0.005</w:t>
            </w:r>
          </w:p>
        </w:tc>
      </w:tr>
      <w:tr w:rsidR="000020B9" w:rsidRPr="00CC6DC9" w14:paraId="2C75B9E2"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3AEEF5D5" w14:textId="77777777" w:rsidR="000020B9" w:rsidRPr="00CC6DC9" w:rsidRDefault="000020B9" w:rsidP="00EF25E1">
            <w:pPr>
              <w:rPr>
                <w:color w:val="000000"/>
                <w:sz w:val="20"/>
                <w:szCs w:val="20"/>
                <w:lang w:val="en-US"/>
              </w:rPr>
            </w:pPr>
            <w:r w:rsidRPr="00CC6DC9">
              <w:rPr>
                <w:color w:val="000000"/>
                <w:sz w:val="20"/>
                <w:szCs w:val="20"/>
                <w:lang w:val="en-US"/>
              </w:rPr>
              <w:t xml:space="preserve">    Provision = Provision for doubtful accounts/ Shareholder Equity</w:t>
            </w:r>
          </w:p>
        </w:tc>
        <w:tc>
          <w:tcPr>
            <w:tcW w:w="2512" w:type="dxa"/>
            <w:tcBorders>
              <w:top w:val="nil"/>
              <w:left w:val="nil"/>
              <w:bottom w:val="nil"/>
              <w:right w:val="single" w:sz="4" w:space="0" w:color="auto"/>
            </w:tcBorders>
            <w:shd w:val="clear" w:color="auto" w:fill="auto"/>
            <w:noWrap/>
            <w:vAlign w:val="bottom"/>
          </w:tcPr>
          <w:p w14:paraId="7C59B714" w14:textId="77777777" w:rsidR="000020B9" w:rsidRPr="00CC6DC9" w:rsidRDefault="000020B9" w:rsidP="00EF25E1">
            <w:pPr>
              <w:jc w:val="center"/>
              <w:rPr>
                <w:color w:val="000000"/>
                <w:sz w:val="20"/>
                <w:szCs w:val="20"/>
              </w:rPr>
            </w:pPr>
            <w:r w:rsidRPr="00CC6DC9">
              <w:rPr>
                <w:color w:val="000000"/>
                <w:sz w:val="20"/>
                <w:szCs w:val="20"/>
              </w:rPr>
              <w:t>0.00</w:t>
            </w:r>
          </w:p>
        </w:tc>
        <w:tc>
          <w:tcPr>
            <w:tcW w:w="1313" w:type="dxa"/>
            <w:tcBorders>
              <w:top w:val="nil"/>
              <w:left w:val="nil"/>
              <w:bottom w:val="nil"/>
              <w:right w:val="single" w:sz="4" w:space="0" w:color="auto"/>
            </w:tcBorders>
            <w:shd w:val="clear" w:color="auto" w:fill="auto"/>
            <w:noWrap/>
            <w:vAlign w:val="bottom"/>
          </w:tcPr>
          <w:p w14:paraId="18D17E24" w14:textId="77777777" w:rsidR="000020B9" w:rsidRPr="00CC6DC9" w:rsidRDefault="000020B9" w:rsidP="00EF25E1">
            <w:pPr>
              <w:jc w:val="center"/>
              <w:rPr>
                <w:color w:val="000000"/>
                <w:sz w:val="20"/>
                <w:szCs w:val="20"/>
              </w:rPr>
            </w:pPr>
            <w:r w:rsidRPr="00CC6DC9">
              <w:rPr>
                <w:color w:val="000000"/>
                <w:sz w:val="20"/>
                <w:szCs w:val="20"/>
              </w:rPr>
              <w:t>0.01</w:t>
            </w:r>
          </w:p>
        </w:tc>
        <w:tc>
          <w:tcPr>
            <w:tcW w:w="1180" w:type="dxa"/>
            <w:tcBorders>
              <w:top w:val="nil"/>
              <w:left w:val="nil"/>
              <w:bottom w:val="nil"/>
              <w:right w:val="single" w:sz="4" w:space="0" w:color="auto"/>
            </w:tcBorders>
            <w:shd w:val="clear" w:color="auto" w:fill="auto"/>
            <w:noWrap/>
            <w:vAlign w:val="bottom"/>
          </w:tcPr>
          <w:p w14:paraId="37E0F8EE" w14:textId="77777777" w:rsidR="000020B9" w:rsidRPr="00CC6DC9" w:rsidRDefault="000020B9" w:rsidP="00EF25E1">
            <w:pPr>
              <w:jc w:val="center"/>
              <w:rPr>
                <w:color w:val="000000"/>
                <w:sz w:val="20"/>
                <w:szCs w:val="20"/>
              </w:rPr>
            </w:pPr>
            <w:r w:rsidRPr="00CC6DC9">
              <w:rPr>
                <w:color w:val="000000"/>
                <w:sz w:val="20"/>
                <w:szCs w:val="20"/>
              </w:rPr>
              <w:t>-3.62</w:t>
            </w:r>
          </w:p>
        </w:tc>
        <w:tc>
          <w:tcPr>
            <w:tcW w:w="1180" w:type="dxa"/>
            <w:tcBorders>
              <w:top w:val="nil"/>
              <w:left w:val="nil"/>
              <w:bottom w:val="nil"/>
              <w:right w:val="single" w:sz="4" w:space="0" w:color="auto"/>
            </w:tcBorders>
            <w:shd w:val="clear" w:color="auto" w:fill="auto"/>
            <w:noWrap/>
            <w:vAlign w:val="bottom"/>
          </w:tcPr>
          <w:p w14:paraId="4CBA91BC" w14:textId="77777777" w:rsidR="000020B9" w:rsidRPr="00CC6DC9" w:rsidRDefault="000020B9" w:rsidP="00EF25E1">
            <w:pPr>
              <w:jc w:val="center"/>
              <w:rPr>
                <w:color w:val="000000"/>
                <w:sz w:val="20"/>
                <w:szCs w:val="20"/>
              </w:rPr>
            </w:pPr>
            <w:r w:rsidRPr="00CC6DC9">
              <w:rPr>
                <w:color w:val="000000"/>
                <w:sz w:val="20"/>
                <w:szCs w:val="20"/>
              </w:rPr>
              <w:t>0.000</w:t>
            </w:r>
          </w:p>
        </w:tc>
      </w:tr>
      <w:tr w:rsidR="000020B9" w:rsidRPr="00CC6DC9" w14:paraId="5F588490"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3B68CBBF" w14:textId="77777777" w:rsidR="000020B9" w:rsidRPr="00CC6DC9" w:rsidRDefault="000020B9" w:rsidP="00EF25E1">
            <w:pPr>
              <w:rPr>
                <w:color w:val="000000"/>
                <w:sz w:val="20"/>
                <w:szCs w:val="20"/>
                <w:lang w:val="en-US"/>
              </w:rPr>
            </w:pPr>
            <w:r w:rsidRPr="00CC6DC9">
              <w:rPr>
                <w:color w:val="000000"/>
                <w:sz w:val="20"/>
                <w:szCs w:val="20"/>
                <w:lang w:val="en-US"/>
              </w:rPr>
              <w:t xml:space="preserve">    Profitability =  Total Profits / Shareholder Equity</w:t>
            </w:r>
          </w:p>
        </w:tc>
        <w:tc>
          <w:tcPr>
            <w:tcW w:w="2512" w:type="dxa"/>
            <w:tcBorders>
              <w:top w:val="nil"/>
              <w:left w:val="nil"/>
              <w:bottom w:val="nil"/>
              <w:right w:val="single" w:sz="4" w:space="0" w:color="auto"/>
            </w:tcBorders>
            <w:shd w:val="clear" w:color="auto" w:fill="auto"/>
            <w:noWrap/>
            <w:vAlign w:val="bottom"/>
          </w:tcPr>
          <w:p w14:paraId="3E5D4484" w14:textId="77777777" w:rsidR="000020B9" w:rsidRPr="00CC6DC9" w:rsidRDefault="000020B9" w:rsidP="00EF25E1">
            <w:pPr>
              <w:jc w:val="center"/>
              <w:rPr>
                <w:color w:val="000000"/>
                <w:sz w:val="20"/>
                <w:szCs w:val="20"/>
              </w:rPr>
            </w:pPr>
            <w:r w:rsidRPr="00CC6DC9">
              <w:rPr>
                <w:color w:val="000000"/>
                <w:sz w:val="20"/>
                <w:szCs w:val="20"/>
              </w:rPr>
              <w:t>0.05</w:t>
            </w:r>
          </w:p>
        </w:tc>
        <w:tc>
          <w:tcPr>
            <w:tcW w:w="1313" w:type="dxa"/>
            <w:tcBorders>
              <w:top w:val="nil"/>
              <w:left w:val="nil"/>
              <w:bottom w:val="nil"/>
              <w:right w:val="single" w:sz="4" w:space="0" w:color="auto"/>
            </w:tcBorders>
            <w:shd w:val="clear" w:color="auto" w:fill="auto"/>
            <w:noWrap/>
            <w:vAlign w:val="bottom"/>
          </w:tcPr>
          <w:p w14:paraId="1B1A4589" w14:textId="77777777" w:rsidR="000020B9" w:rsidRPr="00CC6DC9" w:rsidRDefault="000020B9" w:rsidP="00EF25E1">
            <w:pPr>
              <w:jc w:val="center"/>
              <w:rPr>
                <w:color w:val="000000"/>
                <w:sz w:val="20"/>
                <w:szCs w:val="20"/>
              </w:rPr>
            </w:pPr>
            <w:r w:rsidRPr="00CC6DC9">
              <w:rPr>
                <w:color w:val="000000"/>
                <w:sz w:val="20"/>
                <w:szCs w:val="20"/>
              </w:rPr>
              <w:t>0.03</w:t>
            </w:r>
          </w:p>
        </w:tc>
        <w:tc>
          <w:tcPr>
            <w:tcW w:w="1180" w:type="dxa"/>
            <w:tcBorders>
              <w:top w:val="nil"/>
              <w:left w:val="nil"/>
              <w:bottom w:val="nil"/>
              <w:right w:val="single" w:sz="4" w:space="0" w:color="auto"/>
            </w:tcBorders>
            <w:shd w:val="clear" w:color="auto" w:fill="auto"/>
            <w:noWrap/>
            <w:vAlign w:val="bottom"/>
          </w:tcPr>
          <w:p w14:paraId="59EA5A7B" w14:textId="77777777" w:rsidR="000020B9" w:rsidRPr="00CC6DC9" w:rsidRDefault="000020B9" w:rsidP="00EF25E1">
            <w:pPr>
              <w:jc w:val="center"/>
              <w:rPr>
                <w:color w:val="000000"/>
                <w:sz w:val="20"/>
                <w:szCs w:val="20"/>
              </w:rPr>
            </w:pPr>
            <w:r w:rsidRPr="00CC6DC9">
              <w:rPr>
                <w:color w:val="000000"/>
                <w:sz w:val="20"/>
                <w:szCs w:val="20"/>
              </w:rPr>
              <w:t>2.23</w:t>
            </w:r>
          </w:p>
        </w:tc>
        <w:tc>
          <w:tcPr>
            <w:tcW w:w="1180" w:type="dxa"/>
            <w:tcBorders>
              <w:top w:val="nil"/>
              <w:left w:val="nil"/>
              <w:bottom w:val="nil"/>
              <w:right w:val="single" w:sz="4" w:space="0" w:color="auto"/>
            </w:tcBorders>
            <w:shd w:val="clear" w:color="auto" w:fill="auto"/>
            <w:noWrap/>
            <w:vAlign w:val="bottom"/>
          </w:tcPr>
          <w:p w14:paraId="0E9E05FD" w14:textId="77777777" w:rsidR="000020B9" w:rsidRPr="00CC6DC9" w:rsidRDefault="000020B9" w:rsidP="00EF25E1">
            <w:pPr>
              <w:jc w:val="center"/>
              <w:rPr>
                <w:color w:val="000000"/>
                <w:sz w:val="20"/>
                <w:szCs w:val="20"/>
              </w:rPr>
            </w:pPr>
            <w:r w:rsidRPr="00CC6DC9">
              <w:rPr>
                <w:color w:val="000000"/>
                <w:sz w:val="20"/>
                <w:szCs w:val="20"/>
              </w:rPr>
              <w:t>0.026</w:t>
            </w:r>
          </w:p>
        </w:tc>
      </w:tr>
      <w:tr w:rsidR="000020B9" w:rsidRPr="00CC6DC9" w14:paraId="62936DC8"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61E2775B" w14:textId="77777777" w:rsidR="000020B9" w:rsidRPr="00CC6DC9" w:rsidRDefault="000020B9" w:rsidP="00EF25E1">
            <w:pPr>
              <w:rPr>
                <w:color w:val="000000"/>
                <w:sz w:val="20"/>
                <w:szCs w:val="20"/>
              </w:rPr>
            </w:pPr>
            <w:r w:rsidRPr="00CC6DC9">
              <w:rPr>
                <w:color w:val="000000"/>
                <w:sz w:val="20"/>
                <w:szCs w:val="20"/>
              </w:rPr>
              <w:t> </w:t>
            </w:r>
          </w:p>
        </w:tc>
        <w:tc>
          <w:tcPr>
            <w:tcW w:w="2512" w:type="dxa"/>
            <w:tcBorders>
              <w:top w:val="nil"/>
              <w:left w:val="nil"/>
              <w:bottom w:val="nil"/>
              <w:right w:val="single" w:sz="4" w:space="0" w:color="auto"/>
            </w:tcBorders>
            <w:shd w:val="clear" w:color="auto" w:fill="auto"/>
            <w:noWrap/>
            <w:vAlign w:val="bottom"/>
          </w:tcPr>
          <w:p w14:paraId="4809BF3E" w14:textId="77777777" w:rsidR="000020B9" w:rsidRPr="00CC6DC9" w:rsidRDefault="000020B9" w:rsidP="00EF25E1">
            <w:pPr>
              <w:jc w:val="center"/>
              <w:rPr>
                <w:color w:val="000000"/>
                <w:sz w:val="20"/>
                <w:szCs w:val="20"/>
              </w:rPr>
            </w:pPr>
            <w:r w:rsidRPr="00CC6DC9">
              <w:rPr>
                <w:color w:val="000000"/>
                <w:sz w:val="20"/>
                <w:szCs w:val="20"/>
              </w:rPr>
              <w:t> </w:t>
            </w:r>
          </w:p>
        </w:tc>
        <w:tc>
          <w:tcPr>
            <w:tcW w:w="1313" w:type="dxa"/>
            <w:tcBorders>
              <w:top w:val="nil"/>
              <w:left w:val="nil"/>
              <w:bottom w:val="nil"/>
              <w:right w:val="single" w:sz="4" w:space="0" w:color="auto"/>
            </w:tcBorders>
            <w:shd w:val="clear" w:color="auto" w:fill="auto"/>
            <w:noWrap/>
            <w:vAlign w:val="bottom"/>
          </w:tcPr>
          <w:p w14:paraId="38FA778E" w14:textId="77777777" w:rsidR="000020B9" w:rsidRPr="00CC6DC9" w:rsidRDefault="000020B9" w:rsidP="00EF25E1">
            <w:pPr>
              <w:jc w:val="center"/>
              <w:rPr>
                <w:color w:val="000000"/>
                <w:sz w:val="20"/>
                <w:szCs w:val="20"/>
              </w:rPr>
            </w:pPr>
            <w:r w:rsidRPr="00CC6DC9">
              <w:rPr>
                <w:color w:val="000000"/>
                <w:sz w:val="20"/>
                <w:szCs w:val="20"/>
              </w:rPr>
              <w:t> </w:t>
            </w:r>
          </w:p>
        </w:tc>
        <w:tc>
          <w:tcPr>
            <w:tcW w:w="1180" w:type="dxa"/>
            <w:tcBorders>
              <w:top w:val="nil"/>
              <w:left w:val="nil"/>
              <w:bottom w:val="nil"/>
              <w:right w:val="single" w:sz="4" w:space="0" w:color="auto"/>
            </w:tcBorders>
            <w:shd w:val="clear" w:color="auto" w:fill="auto"/>
            <w:noWrap/>
            <w:vAlign w:val="bottom"/>
          </w:tcPr>
          <w:p w14:paraId="7BC947BE" w14:textId="77777777" w:rsidR="000020B9" w:rsidRPr="00CC6DC9" w:rsidRDefault="000020B9" w:rsidP="00EF25E1">
            <w:pPr>
              <w:jc w:val="center"/>
              <w:rPr>
                <w:color w:val="000000"/>
                <w:sz w:val="20"/>
                <w:szCs w:val="20"/>
              </w:rPr>
            </w:pPr>
            <w:r w:rsidRPr="00CC6DC9">
              <w:rPr>
                <w:color w:val="000000"/>
                <w:sz w:val="20"/>
                <w:szCs w:val="20"/>
              </w:rPr>
              <w:t> </w:t>
            </w:r>
          </w:p>
        </w:tc>
        <w:tc>
          <w:tcPr>
            <w:tcW w:w="1180" w:type="dxa"/>
            <w:tcBorders>
              <w:top w:val="nil"/>
              <w:left w:val="nil"/>
              <w:bottom w:val="nil"/>
              <w:right w:val="single" w:sz="4" w:space="0" w:color="auto"/>
            </w:tcBorders>
            <w:shd w:val="clear" w:color="auto" w:fill="auto"/>
            <w:noWrap/>
            <w:vAlign w:val="bottom"/>
          </w:tcPr>
          <w:p w14:paraId="73D236F6" w14:textId="77777777" w:rsidR="000020B9" w:rsidRPr="00CC6DC9" w:rsidRDefault="000020B9" w:rsidP="00EF25E1">
            <w:pPr>
              <w:jc w:val="center"/>
              <w:rPr>
                <w:color w:val="000000"/>
                <w:sz w:val="20"/>
                <w:szCs w:val="20"/>
              </w:rPr>
            </w:pPr>
            <w:r w:rsidRPr="00CC6DC9">
              <w:rPr>
                <w:color w:val="000000"/>
                <w:sz w:val="20"/>
                <w:szCs w:val="20"/>
              </w:rPr>
              <w:t> </w:t>
            </w:r>
          </w:p>
        </w:tc>
      </w:tr>
      <w:tr w:rsidR="000020B9" w:rsidRPr="00CC6DC9" w14:paraId="7CF6DFFD" w14:textId="77777777" w:rsidTr="00EF25E1">
        <w:trPr>
          <w:trHeight w:val="300"/>
          <w:jc w:val="center"/>
        </w:trPr>
        <w:tc>
          <w:tcPr>
            <w:tcW w:w="6108" w:type="dxa"/>
            <w:tcBorders>
              <w:top w:val="nil"/>
              <w:left w:val="single" w:sz="4" w:space="0" w:color="auto"/>
              <w:bottom w:val="nil"/>
              <w:right w:val="single" w:sz="4" w:space="0" w:color="auto"/>
            </w:tcBorders>
            <w:shd w:val="clear" w:color="auto" w:fill="auto"/>
            <w:noWrap/>
            <w:vAlign w:val="bottom"/>
          </w:tcPr>
          <w:p w14:paraId="4CE77995" w14:textId="77777777" w:rsidR="000020B9" w:rsidRPr="00CC6DC9" w:rsidRDefault="000020B9" w:rsidP="00EF25E1">
            <w:pPr>
              <w:rPr>
                <w:color w:val="000000"/>
                <w:sz w:val="20"/>
                <w:szCs w:val="20"/>
              </w:rPr>
            </w:pPr>
            <w:r w:rsidRPr="00CC6DC9">
              <w:rPr>
                <w:color w:val="000000"/>
                <w:sz w:val="20"/>
                <w:szCs w:val="20"/>
              </w:rPr>
              <w:t>Number of Observations</w:t>
            </w:r>
          </w:p>
        </w:tc>
        <w:tc>
          <w:tcPr>
            <w:tcW w:w="2512" w:type="dxa"/>
            <w:tcBorders>
              <w:top w:val="nil"/>
              <w:left w:val="nil"/>
              <w:bottom w:val="nil"/>
              <w:right w:val="single" w:sz="4" w:space="0" w:color="auto"/>
            </w:tcBorders>
            <w:shd w:val="clear" w:color="auto" w:fill="auto"/>
            <w:noWrap/>
            <w:vAlign w:val="bottom"/>
          </w:tcPr>
          <w:p w14:paraId="6730207E" w14:textId="77777777" w:rsidR="000020B9" w:rsidRPr="00CC6DC9" w:rsidRDefault="000020B9" w:rsidP="00EF25E1">
            <w:pPr>
              <w:jc w:val="center"/>
              <w:rPr>
                <w:color w:val="000000"/>
                <w:sz w:val="20"/>
                <w:szCs w:val="20"/>
              </w:rPr>
            </w:pPr>
            <w:r w:rsidRPr="00CC6DC9">
              <w:rPr>
                <w:color w:val="000000"/>
                <w:sz w:val="20"/>
                <w:szCs w:val="20"/>
              </w:rPr>
              <w:t>253</w:t>
            </w:r>
          </w:p>
        </w:tc>
        <w:tc>
          <w:tcPr>
            <w:tcW w:w="1313" w:type="dxa"/>
            <w:tcBorders>
              <w:top w:val="nil"/>
              <w:left w:val="nil"/>
              <w:bottom w:val="nil"/>
              <w:right w:val="single" w:sz="4" w:space="0" w:color="auto"/>
            </w:tcBorders>
            <w:shd w:val="clear" w:color="auto" w:fill="auto"/>
            <w:noWrap/>
            <w:vAlign w:val="bottom"/>
          </w:tcPr>
          <w:p w14:paraId="3C5B7A09" w14:textId="77777777" w:rsidR="000020B9" w:rsidRPr="00CC6DC9" w:rsidRDefault="000020B9" w:rsidP="00EF25E1">
            <w:pPr>
              <w:jc w:val="center"/>
              <w:rPr>
                <w:color w:val="000000"/>
                <w:sz w:val="20"/>
                <w:szCs w:val="20"/>
              </w:rPr>
            </w:pPr>
            <w:r w:rsidRPr="00CC6DC9">
              <w:rPr>
                <w:color w:val="000000"/>
                <w:sz w:val="20"/>
                <w:szCs w:val="20"/>
              </w:rPr>
              <w:t>1966</w:t>
            </w:r>
          </w:p>
        </w:tc>
        <w:tc>
          <w:tcPr>
            <w:tcW w:w="1180" w:type="dxa"/>
            <w:tcBorders>
              <w:top w:val="nil"/>
              <w:left w:val="nil"/>
              <w:bottom w:val="nil"/>
              <w:right w:val="single" w:sz="4" w:space="0" w:color="auto"/>
            </w:tcBorders>
            <w:shd w:val="clear" w:color="auto" w:fill="auto"/>
            <w:noWrap/>
            <w:vAlign w:val="bottom"/>
          </w:tcPr>
          <w:p w14:paraId="1C657334" w14:textId="77777777" w:rsidR="000020B9" w:rsidRPr="00CC6DC9" w:rsidRDefault="000020B9" w:rsidP="00EF25E1">
            <w:pPr>
              <w:jc w:val="center"/>
              <w:rPr>
                <w:color w:val="000000"/>
                <w:sz w:val="20"/>
                <w:szCs w:val="20"/>
              </w:rPr>
            </w:pPr>
            <w:r w:rsidRPr="00CC6DC9">
              <w:rPr>
                <w:color w:val="000000"/>
                <w:sz w:val="20"/>
                <w:szCs w:val="20"/>
              </w:rPr>
              <w:t> </w:t>
            </w:r>
          </w:p>
        </w:tc>
        <w:tc>
          <w:tcPr>
            <w:tcW w:w="1180" w:type="dxa"/>
            <w:tcBorders>
              <w:top w:val="nil"/>
              <w:left w:val="nil"/>
              <w:bottom w:val="nil"/>
              <w:right w:val="single" w:sz="4" w:space="0" w:color="auto"/>
            </w:tcBorders>
            <w:shd w:val="clear" w:color="auto" w:fill="auto"/>
            <w:noWrap/>
            <w:vAlign w:val="bottom"/>
          </w:tcPr>
          <w:p w14:paraId="7B0153C0" w14:textId="77777777" w:rsidR="000020B9" w:rsidRPr="00CC6DC9" w:rsidRDefault="000020B9" w:rsidP="00EF25E1">
            <w:pPr>
              <w:jc w:val="center"/>
              <w:rPr>
                <w:color w:val="000000"/>
                <w:sz w:val="20"/>
                <w:szCs w:val="20"/>
              </w:rPr>
            </w:pPr>
            <w:r w:rsidRPr="00CC6DC9">
              <w:rPr>
                <w:color w:val="000000"/>
                <w:sz w:val="20"/>
                <w:szCs w:val="20"/>
              </w:rPr>
              <w:t> </w:t>
            </w:r>
          </w:p>
        </w:tc>
      </w:tr>
      <w:tr w:rsidR="000020B9" w:rsidRPr="00CC6DC9" w14:paraId="75A1EE88" w14:textId="77777777" w:rsidTr="00EF25E1">
        <w:trPr>
          <w:trHeight w:val="300"/>
          <w:jc w:val="center"/>
        </w:trPr>
        <w:tc>
          <w:tcPr>
            <w:tcW w:w="6108" w:type="dxa"/>
            <w:tcBorders>
              <w:top w:val="nil"/>
              <w:left w:val="single" w:sz="4" w:space="0" w:color="auto"/>
              <w:bottom w:val="single" w:sz="4" w:space="0" w:color="auto"/>
              <w:right w:val="single" w:sz="4" w:space="0" w:color="auto"/>
            </w:tcBorders>
            <w:shd w:val="clear" w:color="auto" w:fill="auto"/>
            <w:noWrap/>
            <w:vAlign w:val="bottom"/>
          </w:tcPr>
          <w:p w14:paraId="25FBD4D6" w14:textId="77777777" w:rsidR="000020B9" w:rsidRPr="00CC6DC9" w:rsidRDefault="000020B9" w:rsidP="00EF25E1">
            <w:pPr>
              <w:rPr>
                <w:color w:val="000000"/>
                <w:sz w:val="20"/>
                <w:szCs w:val="20"/>
              </w:rPr>
            </w:pPr>
            <w:r w:rsidRPr="00CC6DC9">
              <w:rPr>
                <w:color w:val="000000"/>
                <w:sz w:val="20"/>
                <w:szCs w:val="20"/>
              </w:rPr>
              <w:t> </w:t>
            </w:r>
          </w:p>
        </w:tc>
        <w:tc>
          <w:tcPr>
            <w:tcW w:w="2512" w:type="dxa"/>
            <w:tcBorders>
              <w:top w:val="nil"/>
              <w:left w:val="nil"/>
              <w:bottom w:val="single" w:sz="4" w:space="0" w:color="auto"/>
              <w:right w:val="single" w:sz="4" w:space="0" w:color="auto"/>
            </w:tcBorders>
            <w:shd w:val="clear" w:color="auto" w:fill="auto"/>
            <w:noWrap/>
            <w:vAlign w:val="bottom"/>
          </w:tcPr>
          <w:p w14:paraId="4920ED2F" w14:textId="77777777" w:rsidR="000020B9" w:rsidRPr="00CC6DC9" w:rsidRDefault="000020B9" w:rsidP="00EF25E1">
            <w:pPr>
              <w:jc w:val="center"/>
              <w:rPr>
                <w:color w:val="000000"/>
                <w:sz w:val="20"/>
                <w:szCs w:val="20"/>
              </w:rPr>
            </w:pPr>
            <w:r w:rsidRPr="00CC6DC9">
              <w:rPr>
                <w:color w:val="000000"/>
                <w:sz w:val="20"/>
                <w:szCs w:val="20"/>
              </w:rPr>
              <w:t> </w:t>
            </w:r>
          </w:p>
        </w:tc>
        <w:tc>
          <w:tcPr>
            <w:tcW w:w="1313" w:type="dxa"/>
            <w:tcBorders>
              <w:top w:val="nil"/>
              <w:left w:val="nil"/>
              <w:bottom w:val="single" w:sz="4" w:space="0" w:color="auto"/>
              <w:right w:val="single" w:sz="4" w:space="0" w:color="auto"/>
            </w:tcBorders>
            <w:shd w:val="clear" w:color="auto" w:fill="auto"/>
            <w:noWrap/>
            <w:vAlign w:val="bottom"/>
          </w:tcPr>
          <w:p w14:paraId="0F37FCF1" w14:textId="77777777" w:rsidR="000020B9" w:rsidRPr="00CC6DC9" w:rsidRDefault="000020B9" w:rsidP="00EF25E1">
            <w:pPr>
              <w:jc w:val="center"/>
              <w:rPr>
                <w:color w:val="000000"/>
                <w:sz w:val="20"/>
                <w:szCs w:val="20"/>
              </w:rPr>
            </w:pPr>
            <w:r w:rsidRPr="00CC6DC9">
              <w:rPr>
                <w:color w:val="000000"/>
                <w:sz w:val="20"/>
                <w:szCs w:val="20"/>
              </w:rPr>
              <w:t> </w:t>
            </w:r>
          </w:p>
        </w:tc>
        <w:tc>
          <w:tcPr>
            <w:tcW w:w="1180" w:type="dxa"/>
            <w:tcBorders>
              <w:top w:val="nil"/>
              <w:left w:val="nil"/>
              <w:bottom w:val="single" w:sz="4" w:space="0" w:color="auto"/>
              <w:right w:val="single" w:sz="4" w:space="0" w:color="auto"/>
            </w:tcBorders>
            <w:shd w:val="clear" w:color="auto" w:fill="auto"/>
            <w:noWrap/>
            <w:vAlign w:val="bottom"/>
          </w:tcPr>
          <w:p w14:paraId="71EF6D5C" w14:textId="77777777" w:rsidR="000020B9" w:rsidRPr="00CC6DC9" w:rsidRDefault="000020B9" w:rsidP="00EF25E1">
            <w:pPr>
              <w:jc w:val="center"/>
              <w:rPr>
                <w:color w:val="000000"/>
                <w:sz w:val="20"/>
                <w:szCs w:val="20"/>
              </w:rPr>
            </w:pPr>
            <w:r w:rsidRPr="00CC6DC9">
              <w:rPr>
                <w:color w:val="000000"/>
                <w:sz w:val="20"/>
                <w:szCs w:val="20"/>
              </w:rPr>
              <w:t> </w:t>
            </w:r>
          </w:p>
        </w:tc>
        <w:tc>
          <w:tcPr>
            <w:tcW w:w="1180" w:type="dxa"/>
            <w:tcBorders>
              <w:top w:val="nil"/>
              <w:left w:val="nil"/>
              <w:bottom w:val="single" w:sz="4" w:space="0" w:color="auto"/>
              <w:right w:val="single" w:sz="4" w:space="0" w:color="auto"/>
            </w:tcBorders>
            <w:shd w:val="clear" w:color="auto" w:fill="auto"/>
            <w:noWrap/>
            <w:vAlign w:val="bottom"/>
          </w:tcPr>
          <w:p w14:paraId="09434B07" w14:textId="77777777" w:rsidR="000020B9" w:rsidRPr="00CC6DC9" w:rsidRDefault="000020B9" w:rsidP="00EF25E1">
            <w:pPr>
              <w:jc w:val="center"/>
              <w:rPr>
                <w:color w:val="000000"/>
                <w:sz w:val="20"/>
                <w:szCs w:val="20"/>
              </w:rPr>
            </w:pPr>
            <w:r w:rsidRPr="00CC6DC9">
              <w:rPr>
                <w:color w:val="000000"/>
                <w:sz w:val="20"/>
                <w:szCs w:val="20"/>
              </w:rPr>
              <w:t> </w:t>
            </w:r>
          </w:p>
        </w:tc>
      </w:tr>
    </w:tbl>
    <w:p w14:paraId="6048D0F0" w14:textId="77777777" w:rsidR="000020B9" w:rsidRPr="00FE253A" w:rsidRDefault="000020B9" w:rsidP="000020B9">
      <w:pPr>
        <w:rPr>
          <w:lang w:val="fr-FR"/>
        </w:rPr>
      </w:pPr>
    </w:p>
    <w:p w14:paraId="64847900" w14:textId="77777777" w:rsidR="000020B9" w:rsidRPr="00FE253A" w:rsidRDefault="000020B9" w:rsidP="000020B9">
      <w:pPr>
        <w:rPr>
          <w:lang w:val="fr-FR"/>
        </w:rPr>
      </w:pPr>
    </w:p>
    <w:p w14:paraId="4922F1D5" w14:textId="77777777" w:rsidR="000020B9" w:rsidRPr="00FE253A" w:rsidRDefault="000020B9" w:rsidP="000020B9">
      <w:pPr>
        <w:rPr>
          <w:lang w:val="fr-FR"/>
        </w:rPr>
      </w:pPr>
    </w:p>
    <w:p w14:paraId="5CA44361" w14:textId="77777777" w:rsidR="000020B9" w:rsidRPr="00FE253A" w:rsidRDefault="000020B9" w:rsidP="000020B9">
      <w:pPr>
        <w:rPr>
          <w:lang w:val="fr-FR"/>
        </w:rPr>
      </w:pPr>
    </w:p>
    <w:p w14:paraId="24B9D9A0" w14:textId="77777777" w:rsidR="000020B9" w:rsidRPr="00FE253A" w:rsidRDefault="000020B9" w:rsidP="000020B9">
      <w:pPr>
        <w:rPr>
          <w:lang w:val="fr-FR"/>
        </w:rPr>
      </w:pPr>
    </w:p>
    <w:p w14:paraId="08DE8C7F" w14:textId="77777777" w:rsidR="000020B9" w:rsidRPr="00FE253A" w:rsidRDefault="000020B9" w:rsidP="000020B9">
      <w:pPr>
        <w:rPr>
          <w:lang w:val="fr-FR"/>
        </w:rPr>
      </w:pPr>
    </w:p>
    <w:p w14:paraId="5CC08E8B" w14:textId="77777777" w:rsidR="000020B9" w:rsidRPr="00FE253A" w:rsidRDefault="000020B9" w:rsidP="000020B9">
      <w:pPr>
        <w:rPr>
          <w:lang w:val="fr-FR"/>
        </w:rPr>
        <w:sectPr w:rsidR="000020B9" w:rsidRPr="00FE253A" w:rsidSect="00FE253A">
          <w:pgSz w:w="16838" w:h="11906" w:orient="landscape"/>
          <w:pgMar w:top="835" w:right="1411" w:bottom="720" w:left="1411" w:header="720" w:footer="720" w:gutter="0"/>
          <w:cols w:space="720"/>
          <w:docGrid w:linePitch="360"/>
        </w:sectPr>
      </w:pPr>
    </w:p>
    <w:tbl>
      <w:tblPr>
        <w:tblW w:w="10222" w:type="dxa"/>
        <w:tblInd w:w="55" w:type="dxa"/>
        <w:tblCellMar>
          <w:left w:w="70" w:type="dxa"/>
          <w:right w:w="70" w:type="dxa"/>
        </w:tblCellMar>
        <w:tblLook w:val="04A0" w:firstRow="1" w:lastRow="0" w:firstColumn="1" w:lastColumn="0" w:noHBand="0" w:noVBand="1"/>
      </w:tblPr>
      <w:tblGrid>
        <w:gridCol w:w="5052"/>
        <w:gridCol w:w="1329"/>
        <w:gridCol w:w="1329"/>
        <w:gridCol w:w="1256"/>
        <w:gridCol w:w="1256"/>
      </w:tblGrid>
      <w:tr w:rsidR="000020B9" w:rsidRPr="00E45B5B" w14:paraId="5FB7F121" w14:textId="77777777" w:rsidTr="00EF25E1">
        <w:trPr>
          <w:trHeight w:val="1075"/>
          <w:tblHeader/>
        </w:trPr>
        <w:tc>
          <w:tcPr>
            <w:tcW w:w="10222" w:type="dxa"/>
            <w:gridSpan w:val="5"/>
            <w:tcBorders>
              <w:top w:val="nil"/>
              <w:left w:val="nil"/>
              <w:right w:val="nil"/>
            </w:tcBorders>
            <w:shd w:val="clear" w:color="auto" w:fill="auto"/>
            <w:noWrap/>
            <w:vAlign w:val="bottom"/>
          </w:tcPr>
          <w:p w14:paraId="6229635B" w14:textId="77777777" w:rsidR="000020B9" w:rsidRPr="00E45B5B" w:rsidRDefault="000020B9" w:rsidP="00EF25E1">
            <w:pPr>
              <w:rPr>
                <w:b/>
                <w:color w:val="000000"/>
                <w:sz w:val="20"/>
                <w:szCs w:val="20"/>
                <w:lang w:val="en-US"/>
              </w:rPr>
            </w:pPr>
            <w:r w:rsidRPr="00E45B5B">
              <w:rPr>
                <w:b/>
                <w:color w:val="000000"/>
                <w:sz w:val="20"/>
                <w:szCs w:val="20"/>
                <w:lang w:val="en-US"/>
              </w:rPr>
              <w:lastRenderedPageBreak/>
              <w:t xml:space="preserve">Table </w:t>
            </w:r>
            <w:r>
              <w:rPr>
                <w:b/>
                <w:color w:val="000000"/>
                <w:sz w:val="20"/>
                <w:szCs w:val="20"/>
                <w:lang w:val="en-US"/>
              </w:rPr>
              <w:t>7</w:t>
            </w:r>
          </w:p>
          <w:p w14:paraId="68D5735F" w14:textId="77777777" w:rsidR="000020B9" w:rsidRPr="00E45B5B" w:rsidRDefault="000020B9" w:rsidP="00EF25E1">
            <w:pPr>
              <w:rPr>
                <w:b/>
                <w:color w:val="000000"/>
                <w:sz w:val="20"/>
                <w:szCs w:val="20"/>
                <w:lang w:val="en-US"/>
              </w:rPr>
            </w:pPr>
            <w:r w:rsidRPr="00E45B5B">
              <w:rPr>
                <w:b/>
                <w:color w:val="000000"/>
                <w:sz w:val="20"/>
                <w:szCs w:val="20"/>
                <w:lang w:val="en-US"/>
              </w:rPr>
              <w:t>In all columns below the dependent variable is the natural logarithm of the financial revenue. The unit price paid by the public body is deflated by the monthly official price index (IPCA=1 in 2001</w:t>
            </w:r>
            <w:r>
              <w:rPr>
                <w:b/>
                <w:color w:val="000000"/>
                <w:sz w:val="20"/>
                <w:szCs w:val="20"/>
                <w:lang w:val="en-US"/>
              </w:rPr>
              <w:t>Q1</w:t>
            </w:r>
            <w:r w:rsidRPr="00E45B5B">
              <w:rPr>
                <w:b/>
                <w:color w:val="000000"/>
                <w:sz w:val="20"/>
                <w:szCs w:val="20"/>
                <w:lang w:val="en-US"/>
              </w:rPr>
              <w:t>).</w:t>
            </w:r>
          </w:p>
        </w:tc>
      </w:tr>
      <w:tr w:rsidR="000020B9" w:rsidRPr="00E45B5B" w14:paraId="5C5FFDAC" w14:textId="77777777" w:rsidTr="00EF25E1">
        <w:trPr>
          <w:trHeight w:val="330"/>
          <w:tblHeader/>
        </w:trPr>
        <w:tc>
          <w:tcPr>
            <w:tcW w:w="10222" w:type="dxa"/>
            <w:gridSpan w:val="5"/>
            <w:tcBorders>
              <w:top w:val="nil"/>
              <w:left w:val="nil"/>
              <w:bottom w:val="nil"/>
              <w:right w:val="nil"/>
            </w:tcBorders>
            <w:shd w:val="clear" w:color="auto" w:fill="auto"/>
            <w:noWrap/>
            <w:vAlign w:val="bottom"/>
          </w:tcPr>
          <w:p w14:paraId="2EAA753A" w14:textId="77777777" w:rsidR="000020B9" w:rsidRPr="00E45B5B" w:rsidRDefault="000020B9" w:rsidP="00EF25E1">
            <w:pPr>
              <w:rPr>
                <w:b/>
                <w:color w:val="000000"/>
                <w:sz w:val="20"/>
                <w:szCs w:val="20"/>
                <w:lang w:val="en-US"/>
              </w:rPr>
            </w:pPr>
            <w:r w:rsidRPr="00E45B5B">
              <w:rPr>
                <w:b/>
                <w:color w:val="000000"/>
                <w:sz w:val="20"/>
                <w:szCs w:val="20"/>
                <w:lang w:val="en-US"/>
              </w:rPr>
              <w:t>Dependent Variable: ln (Revenue)</w:t>
            </w:r>
          </w:p>
        </w:tc>
      </w:tr>
      <w:tr w:rsidR="000020B9" w:rsidRPr="00E45B5B" w14:paraId="3D8AC486" w14:textId="77777777" w:rsidTr="00EF25E1">
        <w:trPr>
          <w:trHeight w:val="315"/>
          <w:tblHeader/>
        </w:trPr>
        <w:tc>
          <w:tcPr>
            <w:tcW w:w="5052" w:type="dxa"/>
            <w:tcBorders>
              <w:top w:val="double" w:sz="6" w:space="0" w:color="auto"/>
              <w:left w:val="nil"/>
              <w:bottom w:val="single" w:sz="4" w:space="0" w:color="auto"/>
              <w:right w:val="nil"/>
            </w:tcBorders>
            <w:shd w:val="clear" w:color="auto" w:fill="auto"/>
            <w:noWrap/>
            <w:vAlign w:val="bottom"/>
          </w:tcPr>
          <w:p w14:paraId="699393E3" w14:textId="77777777" w:rsidR="000020B9" w:rsidRPr="00E45B5B" w:rsidRDefault="000020B9" w:rsidP="00EF25E1">
            <w:pPr>
              <w:rPr>
                <w:color w:val="000000"/>
                <w:sz w:val="20"/>
                <w:szCs w:val="20"/>
              </w:rPr>
            </w:pPr>
            <w:r w:rsidRPr="00E45B5B">
              <w:rPr>
                <w:color w:val="000000"/>
                <w:sz w:val="20"/>
                <w:szCs w:val="20"/>
              </w:rPr>
              <w:t> </w:t>
            </w:r>
          </w:p>
        </w:tc>
        <w:tc>
          <w:tcPr>
            <w:tcW w:w="1329" w:type="dxa"/>
            <w:tcBorders>
              <w:top w:val="double" w:sz="6" w:space="0" w:color="auto"/>
              <w:left w:val="nil"/>
              <w:bottom w:val="single" w:sz="4" w:space="0" w:color="auto"/>
              <w:right w:val="nil"/>
            </w:tcBorders>
            <w:shd w:val="clear" w:color="auto" w:fill="auto"/>
            <w:noWrap/>
            <w:vAlign w:val="bottom"/>
          </w:tcPr>
          <w:p w14:paraId="5D9D5496" w14:textId="77777777" w:rsidR="000020B9" w:rsidRPr="00E45B5B" w:rsidRDefault="000020B9" w:rsidP="00EF25E1">
            <w:pPr>
              <w:jc w:val="center"/>
              <w:rPr>
                <w:color w:val="000000"/>
                <w:sz w:val="20"/>
                <w:szCs w:val="20"/>
              </w:rPr>
            </w:pPr>
            <w:r w:rsidRPr="00E45B5B">
              <w:rPr>
                <w:color w:val="000000"/>
                <w:sz w:val="20"/>
                <w:szCs w:val="20"/>
              </w:rPr>
              <w:t xml:space="preserve">  (1)   </w:t>
            </w:r>
          </w:p>
        </w:tc>
        <w:tc>
          <w:tcPr>
            <w:tcW w:w="1329" w:type="dxa"/>
            <w:tcBorders>
              <w:top w:val="double" w:sz="6" w:space="0" w:color="auto"/>
              <w:left w:val="nil"/>
              <w:bottom w:val="single" w:sz="4" w:space="0" w:color="auto"/>
              <w:right w:val="nil"/>
            </w:tcBorders>
            <w:shd w:val="clear" w:color="auto" w:fill="auto"/>
            <w:noWrap/>
            <w:vAlign w:val="bottom"/>
          </w:tcPr>
          <w:p w14:paraId="77C2F89F" w14:textId="77777777" w:rsidR="000020B9" w:rsidRPr="00E45B5B" w:rsidRDefault="000020B9" w:rsidP="00EF25E1">
            <w:pPr>
              <w:jc w:val="center"/>
              <w:rPr>
                <w:color w:val="000000"/>
                <w:sz w:val="20"/>
                <w:szCs w:val="20"/>
              </w:rPr>
            </w:pPr>
            <w:r w:rsidRPr="00E45B5B">
              <w:rPr>
                <w:color w:val="000000"/>
                <w:sz w:val="20"/>
                <w:szCs w:val="20"/>
              </w:rPr>
              <w:t xml:space="preserve">  (2)   </w:t>
            </w:r>
          </w:p>
        </w:tc>
        <w:tc>
          <w:tcPr>
            <w:tcW w:w="1256" w:type="dxa"/>
            <w:tcBorders>
              <w:top w:val="double" w:sz="6" w:space="0" w:color="auto"/>
              <w:left w:val="nil"/>
              <w:bottom w:val="single" w:sz="4" w:space="0" w:color="auto"/>
              <w:right w:val="nil"/>
            </w:tcBorders>
            <w:shd w:val="clear" w:color="auto" w:fill="auto"/>
            <w:noWrap/>
            <w:vAlign w:val="bottom"/>
          </w:tcPr>
          <w:p w14:paraId="0DC8EED1" w14:textId="77777777" w:rsidR="000020B9" w:rsidRPr="00E45B5B" w:rsidRDefault="000020B9" w:rsidP="00EF25E1">
            <w:pPr>
              <w:jc w:val="center"/>
              <w:rPr>
                <w:color w:val="000000"/>
                <w:sz w:val="20"/>
                <w:szCs w:val="20"/>
              </w:rPr>
            </w:pPr>
            <w:r w:rsidRPr="00E45B5B">
              <w:rPr>
                <w:color w:val="000000"/>
                <w:sz w:val="20"/>
                <w:szCs w:val="20"/>
              </w:rPr>
              <w:t xml:space="preserve">  (3)   </w:t>
            </w:r>
          </w:p>
        </w:tc>
        <w:tc>
          <w:tcPr>
            <w:tcW w:w="1256" w:type="dxa"/>
            <w:tcBorders>
              <w:top w:val="double" w:sz="6" w:space="0" w:color="auto"/>
              <w:left w:val="nil"/>
              <w:bottom w:val="single" w:sz="4" w:space="0" w:color="auto"/>
              <w:right w:val="nil"/>
            </w:tcBorders>
            <w:shd w:val="clear" w:color="auto" w:fill="auto"/>
            <w:noWrap/>
            <w:vAlign w:val="bottom"/>
          </w:tcPr>
          <w:p w14:paraId="707E6F8F" w14:textId="77777777" w:rsidR="000020B9" w:rsidRPr="00E45B5B" w:rsidRDefault="000020B9" w:rsidP="00EF25E1">
            <w:pPr>
              <w:jc w:val="center"/>
              <w:rPr>
                <w:color w:val="000000"/>
                <w:sz w:val="20"/>
                <w:szCs w:val="20"/>
              </w:rPr>
            </w:pPr>
            <w:r w:rsidRPr="00E45B5B">
              <w:rPr>
                <w:color w:val="000000"/>
                <w:sz w:val="20"/>
                <w:szCs w:val="20"/>
              </w:rPr>
              <w:t xml:space="preserve">  (4)   </w:t>
            </w:r>
          </w:p>
        </w:tc>
      </w:tr>
      <w:tr w:rsidR="000020B9" w:rsidRPr="00E45B5B" w14:paraId="7B385C00" w14:textId="77777777" w:rsidTr="00EF25E1">
        <w:trPr>
          <w:trHeight w:val="300"/>
        </w:trPr>
        <w:tc>
          <w:tcPr>
            <w:tcW w:w="5052" w:type="dxa"/>
            <w:tcBorders>
              <w:top w:val="nil"/>
              <w:left w:val="nil"/>
              <w:bottom w:val="nil"/>
              <w:right w:val="nil"/>
            </w:tcBorders>
            <w:shd w:val="clear" w:color="auto" w:fill="auto"/>
            <w:noWrap/>
            <w:vAlign w:val="bottom"/>
          </w:tcPr>
          <w:p w14:paraId="0FA22106" w14:textId="77777777" w:rsidR="000020B9" w:rsidRPr="00E45B5B" w:rsidRDefault="000020B9" w:rsidP="00EF25E1">
            <w:pPr>
              <w:rPr>
                <w:color w:val="000000"/>
                <w:sz w:val="20"/>
                <w:szCs w:val="20"/>
              </w:rPr>
            </w:pPr>
            <w:r w:rsidRPr="00E45B5B">
              <w:rPr>
                <w:color w:val="000000"/>
                <w:sz w:val="20"/>
                <w:szCs w:val="20"/>
              </w:rPr>
              <w:t>ln (wage)</w:t>
            </w:r>
          </w:p>
        </w:tc>
        <w:tc>
          <w:tcPr>
            <w:tcW w:w="1329" w:type="dxa"/>
            <w:tcBorders>
              <w:top w:val="nil"/>
              <w:left w:val="nil"/>
              <w:bottom w:val="nil"/>
              <w:right w:val="nil"/>
            </w:tcBorders>
            <w:shd w:val="clear" w:color="auto" w:fill="auto"/>
            <w:noWrap/>
            <w:vAlign w:val="bottom"/>
          </w:tcPr>
          <w:p w14:paraId="59D99C93" w14:textId="77777777" w:rsidR="000020B9" w:rsidRPr="00E45B5B" w:rsidRDefault="000020B9" w:rsidP="00EF25E1">
            <w:pPr>
              <w:jc w:val="center"/>
              <w:rPr>
                <w:color w:val="000000"/>
                <w:sz w:val="20"/>
                <w:szCs w:val="20"/>
              </w:rPr>
            </w:pPr>
            <w:r w:rsidRPr="00E45B5B">
              <w:rPr>
                <w:color w:val="000000"/>
                <w:sz w:val="20"/>
                <w:szCs w:val="20"/>
              </w:rPr>
              <w:t xml:space="preserve">-0.194   </w:t>
            </w:r>
          </w:p>
        </w:tc>
        <w:tc>
          <w:tcPr>
            <w:tcW w:w="1329" w:type="dxa"/>
            <w:tcBorders>
              <w:top w:val="nil"/>
              <w:left w:val="nil"/>
              <w:bottom w:val="nil"/>
              <w:right w:val="nil"/>
            </w:tcBorders>
            <w:shd w:val="clear" w:color="auto" w:fill="auto"/>
            <w:noWrap/>
            <w:vAlign w:val="bottom"/>
          </w:tcPr>
          <w:p w14:paraId="0C58927D" w14:textId="77777777" w:rsidR="000020B9" w:rsidRPr="00E45B5B" w:rsidRDefault="000020B9" w:rsidP="00EF25E1">
            <w:pPr>
              <w:jc w:val="center"/>
              <w:rPr>
                <w:color w:val="000000"/>
                <w:sz w:val="20"/>
                <w:szCs w:val="20"/>
              </w:rPr>
            </w:pPr>
            <w:r w:rsidRPr="00E45B5B">
              <w:rPr>
                <w:color w:val="000000"/>
                <w:sz w:val="20"/>
                <w:szCs w:val="20"/>
              </w:rPr>
              <w:t xml:space="preserve">-0.197   </w:t>
            </w:r>
          </w:p>
        </w:tc>
        <w:tc>
          <w:tcPr>
            <w:tcW w:w="1256" w:type="dxa"/>
            <w:tcBorders>
              <w:top w:val="nil"/>
              <w:left w:val="nil"/>
              <w:bottom w:val="nil"/>
              <w:right w:val="nil"/>
            </w:tcBorders>
            <w:shd w:val="clear" w:color="auto" w:fill="auto"/>
            <w:noWrap/>
            <w:vAlign w:val="bottom"/>
          </w:tcPr>
          <w:p w14:paraId="3CF88C25" w14:textId="77777777" w:rsidR="000020B9" w:rsidRPr="00E45B5B" w:rsidRDefault="000020B9" w:rsidP="00EF25E1">
            <w:pPr>
              <w:jc w:val="center"/>
              <w:rPr>
                <w:color w:val="000000"/>
                <w:sz w:val="20"/>
                <w:szCs w:val="20"/>
              </w:rPr>
            </w:pPr>
            <w:r w:rsidRPr="00E45B5B">
              <w:rPr>
                <w:color w:val="000000"/>
                <w:sz w:val="20"/>
                <w:szCs w:val="20"/>
              </w:rPr>
              <w:t xml:space="preserve">-0.196   </w:t>
            </w:r>
          </w:p>
        </w:tc>
        <w:tc>
          <w:tcPr>
            <w:tcW w:w="1256" w:type="dxa"/>
            <w:tcBorders>
              <w:top w:val="nil"/>
              <w:left w:val="nil"/>
              <w:bottom w:val="nil"/>
              <w:right w:val="nil"/>
            </w:tcBorders>
            <w:shd w:val="clear" w:color="auto" w:fill="auto"/>
            <w:noWrap/>
            <w:vAlign w:val="bottom"/>
          </w:tcPr>
          <w:p w14:paraId="26252CE7" w14:textId="77777777" w:rsidR="000020B9" w:rsidRPr="00E45B5B" w:rsidRDefault="000020B9" w:rsidP="00EF25E1">
            <w:pPr>
              <w:jc w:val="center"/>
              <w:rPr>
                <w:color w:val="000000"/>
                <w:sz w:val="20"/>
                <w:szCs w:val="20"/>
              </w:rPr>
            </w:pPr>
            <w:r w:rsidRPr="00E45B5B">
              <w:rPr>
                <w:color w:val="000000"/>
                <w:sz w:val="20"/>
                <w:szCs w:val="20"/>
              </w:rPr>
              <w:t xml:space="preserve">-0.196   </w:t>
            </w:r>
          </w:p>
        </w:tc>
      </w:tr>
      <w:tr w:rsidR="000020B9" w:rsidRPr="00E45B5B" w14:paraId="6C1CDC98" w14:textId="77777777" w:rsidTr="00EF25E1">
        <w:trPr>
          <w:trHeight w:val="300"/>
        </w:trPr>
        <w:tc>
          <w:tcPr>
            <w:tcW w:w="5052" w:type="dxa"/>
            <w:tcBorders>
              <w:top w:val="nil"/>
              <w:left w:val="nil"/>
              <w:bottom w:val="nil"/>
              <w:right w:val="nil"/>
            </w:tcBorders>
            <w:shd w:val="clear" w:color="auto" w:fill="auto"/>
            <w:noWrap/>
          </w:tcPr>
          <w:p w14:paraId="3C2E7425" w14:textId="77777777" w:rsidR="000020B9" w:rsidRPr="00E45B5B" w:rsidRDefault="000020B9" w:rsidP="00EF25E1">
            <w:pPr>
              <w:rPr>
                <w:color w:val="000000"/>
                <w:sz w:val="20"/>
                <w:szCs w:val="20"/>
              </w:rPr>
            </w:pPr>
          </w:p>
        </w:tc>
        <w:tc>
          <w:tcPr>
            <w:tcW w:w="1329" w:type="dxa"/>
            <w:tcBorders>
              <w:top w:val="nil"/>
              <w:left w:val="nil"/>
              <w:bottom w:val="nil"/>
              <w:right w:val="nil"/>
            </w:tcBorders>
            <w:shd w:val="clear" w:color="auto" w:fill="auto"/>
            <w:noWrap/>
            <w:vAlign w:val="bottom"/>
          </w:tcPr>
          <w:p w14:paraId="5D2A8AED" w14:textId="77777777" w:rsidR="000020B9" w:rsidRPr="00E45B5B" w:rsidRDefault="000020B9" w:rsidP="00EF25E1">
            <w:pPr>
              <w:jc w:val="center"/>
              <w:rPr>
                <w:color w:val="000000"/>
                <w:sz w:val="20"/>
                <w:szCs w:val="20"/>
              </w:rPr>
            </w:pPr>
            <w:r w:rsidRPr="00E45B5B">
              <w:rPr>
                <w:color w:val="000000"/>
                <w:sz w:val="20"/>
                <w:szCs w:val="20"/>
              </w:rPr>
              <w:t xml:space="preserve">(0.123)   </w:t>
            </w:r>
          </w:p>
        </w:tc>
        <w:tc>
          <w:tcPr>
            <w:tcW w:w="1329" w:type="dxa"/>
            <w:tcBorders>
              <w:top w:val="nil"/>
              <w:left w:val="nil"/>
              <w:bottom w:val="nil"/>
              <w:right w:val="nil"/>
            </w:tcBorders>
            <w:shd w:val="clear" w:color="auto" w:fill="auto"/>
            <w:noWrap/>
            <w:vAlign w:val="bottom"/>
          </w:tcPr>
          <w:p w14:paraId="44209DFC" w14:textId="77777777" w:rsidR="000020B9" w:rsidRPr="00E45B5B" w:rsidRDefault="000020B9" w:rsidP="00EF25E1">
            <w:pPr>
              <w:jc w:val="center"/>
              <w:rPr>
                <w:color w:val="000000"/>
                <w:sz w:val="20"/>
                <w:szCs w:val="20"/>
              </w:rPr>
            </w:pPr>
            <w:r w:rsidRPr="00E45B5B">
              <w:rPr>
                <w:color w:val="000000"/>
                <w:sz w:val="20"/>
                <w:szCs w:val="20"/>
              </w:rPr>
              <w:t xml:space="preserve">(0.122)   </w:t>
            </w:r>
          </w:p>
        </w:tc>
        <w:tc>
          <w:tcPr>
            <w:tcW w:w="1256" w:type="dxa"/>
            <w:tcBorders>
              <w:top w:val="nil"/>
              <w:left w:val="nil"/>
              <w:bottom w:val="nil"/>
              <w:right w:val="nil"/>
            </w:tcBorders>
            <w:shd w:val="clear" w:color="auto" w:fill="auto"/>
            <w:noWrap/>
            <w:vAlign w:val="bottom"/>
          </w:tcPr>
          <w:p w14:paraId="32599800" w14:textId="77777777" w:rsidR="000020B9" w:rsidRPr="00E45B5B" w:rsidRDefault="000020B9" w:rsidP="00EF25E1">
            <w:pPr>
              <w:jc w:val="center"/>
              <w:rPr>
                <w:color w:val="000000"/>
                <w:sz w:val="20"/>
                <w:szCs w:val="20"/>
              </w:rPr>
            </w:pPr>
            <w:r w:rsidRPr="00E45B5B">
              <w:rPr>
                <w:color w:val="000000"/>
                <w:sz w:val="20"/>
                <w:szCs w:val="20"/>
              </w:rPr>
              <w:t xml:space="preserve">(0.121)   </w:t>
            </w:r>
          </w:p>
        </w:tc>
        <w:tc>
          <w:tcPr>
            <w:tcW w:w="1256" w:type="dxa"/>
            <w:tcBorders>
              <w:top w:val="nil"/>
              <w:left w:val="nil"/>
              <w:bottom w:val="nil"/>
              <w:right w:val="nil"/>
            </w:tcBorders>
            <w:shd w:val="clear" w:color="auto" w:fill="auto"/>
            <w:noWrap/>
            <w:vAlign w:val="bottom"/>
          </w:tcPr>
          <w:p w14:paraId="32290E78" w14:textId="77777777" w:rsidR="000020B9" w:rsidRPr="00E45B5B" w:rsidRDefault="000020B9" w:rsidP="00EF25E1">
            <w:pPr>
              <w:jc w:val="center"/>
              <w:rPr>
                <w:color w:val="000000"/>
                <w:sz w:val="20"/>
                <w:szCs w:val="20"/>
              </w:rPr>
            </w:pPr>
            <w:r w:rsidRPr="00E45B5B">
              <w:rPr>
                <w:color w:val="000000"/>
                <w:sz w:val="20"/>
                <w:szCs w:val="20"/>
              </w:rPr>
              <w:t xml:space="preserve">(0.122)   </w:t>
            </w:r>
          </w:p>
        </w:tc>
      </w:tr>
      <w:tr w:rsidR="000020B9" w:rsidRPr="00E45B5B" w14:paraId="4C8E9781" w14:textId="77777777" w:rsidTr="00EF25E1">
        <w:trPr>
          <w:trHeight w:val="300"/>
        </w:trPr>
        <w:tc>
          <w:tcPr>
            <w:tcW w:w="5052" w:type="dxa"/>
            <w:tcBorders>
              <w:top w:val="nil"/>
              <w:left w:val="nil"/>
              <w:bottom w:val="nil"/>
              <w:right w:val="nil"/>
            </w:tcBorders>
            <w:shd w:val="clear" w:color="auto" w:fill="auto"/>
            <w:noWrap/>
            <w:vAlign w:val="bottom"/>
          </w:tcPr>
          <w:p w14:paraId="2A47AC9B" w14:textId="77777777" w:rsidR="000020B9" w:rsidRPr="00E45B5B" w:rsidRDefault="000020B9" w:rsidP="00EF25E1">
            <w:pPr>
              <w:rPr>
                <w:color w:val="000000"/>
                <w:sz w:val="20"/>
                <w:szCs w:val="20"/>
              </w:rPr>
            </w:pPr>
            <w:r w:rsidRPr="00E45B5B">
              <w:rPr>
                <w:color w:val="000000"/>
                <w:sz w:val="20"/>
                <w:szCs w:val="20"/>
              </w:rPr>
              <w:t>ln</w:t>
            </w:r>
            <w:r>
              <w:rPr>
                <w:color w:val="000000"/>
                <w:sz w:val="20"/>
                <w:szCs w:val="20"/>
              </w:rPr>
              <w:t xml:space="preserve"> </w:t>
            </w:r>
            <w:r w:rsidRPr="00E45B5B">
              <w:rPr>
                <w:color w:val="000000"/>
                <w:sz w:val="20"/>
                <w:szCs w:val="20"/>
              </w:rPr>
              <w:t>(cost of capital)</w:t>
            </w:r>
          </w:p>
        </w:tc>
        <w:tc>
          <w:tcPr>
            <w:tcW w:w="1329" w:type="dxa"/>
            <w:tcBorders>
              <w:top w:val="nil"/>
              <w:left w:val="nil"/>
              <w:bottom w:val="nil"/>
              <w:right w:val="nil"/>
            </w:tcBorders>
            <w:shd w:val="clear" w:color="auto" w:fill="auto"/>
            <w:noWrap/>
            <w:vAlign w:val="bottom"/>
          </w:tcPr>
          <w:p w14:paraId="1AB573AD" w14:textId="77777777" w:rsidR="000020B9" w:rsidRPr="00E45B5B" w:rsidRDefault="000020B9" w:rsidP="00EF25E1">
            <w:pPr>
              <w:jc w:val="center"/>
              <w:rPr>
                <w:color w:val="000000"/>
                <w:sz w:val="20"/>
                <w:szCs w:val="20"/>
              </w:rPr>
            </w:pPr>
            <w:r w:rsidRPr="00E45B5B">
              <w:rPr>
                <w:color w:val="000000"/>
                <w:sz w:val="20"/>
                <w:szCs w:val="20"/>
              </w:rPr>
              <w:t>0.334***</w:t>
            </w:r>
          </w:p>
        </w:tc>
        <w:tc>
          <w:tcPr>
            <w:tcW w:w="1329" w:type="dxa"/>
            <w:tcBorders>
              <w:top w:val="nil"/>
              <w:left w:val="nil"/>
              <w:bottom w:val="nil"/>
              <w:right w:val="nil"/>
            </w:tcBorders>
            <w:shd w:val="clear" w:color="auto" w:fill="auto"/>
            <w:noWrap/>
            <w:vAlign w:val="bottom"/>
          </w:tcPr>
          <w:p w14:paraId="3E23849F" w14:textId="77777777" w:rsidR="000020B9" w:rsidRPr="00E45B5B" w:rsidRDefault="000020B9" w:rsidP="00EF25E1">
            <w:pPr>
              <w:jc w:val="center"/>
              <w:rPr>
                <w:color w:val="000000"/>
                <w:sz w:val="20"/>
                <w:szCs w:val="20"/>
              </w:rPr>
            </w:pPr>
            <w:r w:rsidRPr="00E45B5B">
              <w:rPr>
                <w:color w:val="000000"/>
                <w:sz w:val="20"/>
                <w:szCs w:val="20"/>
              </w:rPr>
              <w:t>0.356***</w:t>
            </w:r>
          </w:p>
        </w:tc>
        <w:tc>
          <w:tcPr>
            <w:tcW w:w="1256" w:type="dxa"/>
            <w:tcBorders>
              <w:top w:val="nil"/>
              <w:left w:val="nil"/>
              <w:bottom w:val="nil"/>
              <w:right w:val="nil"/>
            </w:tcBorders>
            <w:shd w:val="clear" w:color="auto" w:fill="auto"/>
            <w:noWrap/>
            <w:vAlign w:val="bottom"/>
          </w:tcPr>
          <w:p w14:paraId="73A39A41" w14:textId="77777777" w:rsidR="000020B9" w:rsidRPr="00E45B5B" w:rsidRDefault="000020B9" w:rsidP="00EF25E1">
            <w:pPr>
              <w:jc w:val="center"/>
              <w:rPr>
                <w:color w:val="000000"/>
                <w:sz w:val="20"/>
                <w:szCs w:val="20"/>
              </w:rPr>
            </w:pPr>
            <w:r w:rsidRPr="00E45B5B">
              <w:rPr>
                <w:color w:val="000000"/>
                <w:sz w:val="20"/>
                <w:szCs w:val="20"/>
              </w:rPr>
              <w:t>0.356***</w:t>
            </w:r>
          </w:p>
        </w:tc>
        <w:tc>
          <w:tcPr>
            <w:tcW w:w="1256" w:type="dxa"/>
            <w:tcBorders>
              <w:top w:val="nil"/>
              <w:left w:val="nil"/>
              <w:bottom w:val="nil"/>
              <w:right w:val="nil"/>
            </w:tcBorders>
            <w:shd w:val="clear" w:color="auto" w:fill="auto"/>
            <w:noWrap/>
            <w:vAlign w:val="bottom"/>
          </w:tcPr>
          <w:p w14:paraId="6661AF4A" w14:textId="77777777" w:rsidR="000020B9" w:rsidRPr="00E45B5B" w:rsidRDefault="000020B9" w:rsidP="00EF25E1">
            <w:pPr>
              <w:jc w:val="center"/>
              <w:rPr>
                <w:color w:val="000000"/>
                <w:sz w:val="20"/>
                <w:szCs w:val="20"/>
              </w:rPr>
            </w:pPr>
            <w:r w:rsidRPr="00E45B5B">
              <w:rPr>
                <w:color w:val="000000"/>
                <w:sz w:val="20"/>
                <w:szCs w:val="20"/>
              </w:rPr>
              <w:t>0.356***</w:t>
            </w:r>
          </w:p>
        </w:tc>
      </w:tr>
      <w:tr w:rsidR="000020B9" w:rsidRPr="00E45B5B" w14:paraId="39475E3D" w14:textId="77777777" w:rsidTr="00EF25E1">
        <w:trPr>
          <w:trHeight w:val="300"/>
        </w:trPr>
        <w:tc>
          <w:tcPr>
            <w:tcW w:w="5052" w:type="dxa"/>
            <w:tcBorders>
              <w:top w:val="nil"/>
              <w:left w:val="nil"/>
              <w:bottom w:val="nil"/>
              <w:right w:val="nil"/>
            </w:tcBorders>
            <w:shd w:val="clear" w:color="auto" w:fill="auto"/>
            <w:noWrap/>
          </w:tcPr>
          <w:p w14:paraId="1556FFBD" w14:textId="77777777" w:rsidR="000020B9" w:rsidRPr="00E45B5B" w:rsidRDefault="000020B9" w:rsidP="00EF25E1">
            <w:pPr>
              <w:rPr>
                <w:color w:val="000000"/>
                <w:sz w:val="20"/>
                <w:szCs w:val="20"/>
              </w:rPr>
            </w:pPr>
          </w:p>
        </w:tc>
        <w:tc>
          <w:tcPr>
            <w:tcW w:w="1329" w:type="dxa"/>
            <w:tcBorders>
              <w:top w:val="nil"/>
              <w:left w:val="nil"/>
              <w:bottom w:val="nil"/>
              <w:right w:val="nil"/>
            </w:tcBorders>
            <w:shd w:val="clear" w:color="auto" w:fill="auto"/>
            <w:noWrap/>
            <w:vAlign w:val="bottom"/>
          </w:tcPr>
          <w:p w14:paraId="459DC143" w14:textId="77777777" w:rsidR="000020B9" w:rsidRPr="00E45B5B" w:rsidRDefault="000020B9" w:rsidP="00EF25E1">
            <w:pPr>
              <w:jc w:val="center"/>
              <w:rPr>
                <w:color w:val="000000"/>
                <w:sz w:val="20"/>
                <w:szCs w:val="20"/>
              </w:rPr>
            </w:pPr>
            <w:r w:rsidRPr="00E45B5B">
              <w:rPr>
                <w:color w:val="000000"/>
                <w:sz w:val="20"/>
                <w:szCs w:val="20"/>
              </w:rPr>
              <w:t xml:space="preserve">(0.053)   </w:t>
            </w:r>
          </w:p>
        </w:tc>
        <w:tc>
          <w:tcPr>
            <w:tcW w:w="1329" w:type="dxa"/>
            <w:tcBorders>
              <w:top w:val="nil"/>
              <w:left w:val="nil"/>
              <w:bottom w:val="nil"/>
              <w:right w:val="nil"/>
            </w:tcBorders>
            <w:shd w:val="clear" w:color="auto" w:fill="auto"/>
            <w:noWrap/>
            <w:vAlign w:val="bottom"/>
          </w:tcPr>
          <w:p w14:paraId="500C0BBE" w14:textId="77777777" w:rsidR="000020B9" w:rsidRPr="00E45B5B" w:rsidRDefault="000020B9" w:rsidP="00EF25E1">
            <w:pPr>
              <w:jc w:val="center"/>
              <w:rPr>
                <w:color w:val="000000"/>
                <w:sz w:val="20"/>
                <w:szCs w:val="20"/>
              </w:rPr>
            </w:pPr>
            <w:r w:rsidRPr="00E45B5B">
              <w:rPr>
                <w:color w:val="000000"/>
                <w:sz w:val="20"/>
                <w:szCs w:val="20"/>
              </w:rPr>
              <w:t xml:space="preserve">(0.060)   </w:t>
            </w:r>
          </w:p>
        </w:tc>
        <w:tc>
          <w:tcPr>
            <w:tcW w:w="1256" w:type="dxa"/>
            <w:tcBorders>
              <w:top w:val="nil"/>
              <w:left w:val="nil"/>
              <w:bottom w:val="nil"/>
              <w:right w:val="nil"/>
            </w:tcBorders>
            <w:shd w:val="clear" w:color="auto" w:fill="auto"/>
            <w:noWrap/>
            <w:vAlign w:val="bottom"/>
          </w:tcPr>
          <w:p w14:paraId="792B6125" w14:textId="77777777" w:rsidR="000020B9" w:rsidRPr="00E45B5B" w:rsidRDefault="000020B9" w:rsidP="00EF25E1">
            <w:pPr>
              <w:jc w:val="center"/>
              <w:rPr>
                <w:color w:val="000000"/>
                <w:sz w:val="20"/>
                <w:szCs w:val="20"/>
              </w:rPr>
            </w:pPr>
            <w:r w:rsidRPr="00E45B5B">
              <w:rPr>
                <w:color w:val="000000"/>
                <w:sz w:val="20"/>
                <w:szCs w:val="20"/>
              </w:rPr>
              <w:t xml:space="preserve">(0.060)   </w:t>
            </w:r>
          </w:p>
        </w:tc>
        <w:tc>
          <w:tcPr>
            <w:tcW w:w="1256" w:type="dxa"/>
            <w:tcBorders>
              <w:top w:val="nil"/>
              <w:left w:val="nil"/>
              <w:bottom w:val="nil"/>
              <w:right w:val="nil"/>
            </w:tcBorders>
            <w:shd w:val="clear" w:color="auto" w:fill="auto"/>
            <w:noWrap/>
            <w:vAlign w:val="bottom"/>
          </w:tcPr>
          <w:p w14:paraId="103AC294" w14:textId="77777777" w:rsidR="000020B9" w:rsidRPr="00E45B5B" w:rsidRDefault="000020B9" w:rsidP="00EF25E1">
            <w:pPr>
              <w:jc w:val="center"/>
              <w:rPr>
                <w:color w:val="000000"/>
                <w:sz w:val="20"/>
                <w:szCs w:val="20"/>
              </w:rPr>
            </w:pPr>
            <w:r w:rsidRPr="00E45B5B">
              <w:rPr>
                <w:color w:val="000000"/>
                <w:sz w:val="20"/>
                <w:szCs w:val="20"/>
              </w:rPr>
              <w:t xml:space="preserve">(0.060)   </w:t>
            </w:r>
          </w:p>
        </w:tc>
      </w:tr>
      <w:tr w:rsidR="000020B9" w:rsidRPr="00E45B5B" w14:paraId="7E359740" w14:textId="77777777" w:rsidTr="00EF25E1">
        <w:trPr>
          <w:trHeight w:val="300"/>
        </w:trPr>
        <w:tc>
          <w:tcPr>
            <w:tcW w:w="5052" w:type="dxa"/>
            <w:tcBorders>
              <w:top w:val="nil"/>
              <w:left w:val="nil"/>
              <w:bottom w:val="nil"/>
              <w:right w:val="nil"/>
            </w:tcBorders>
            <w:shd w:val="clear" w:color="auto" w:fill="auto"/>
            <w:noWrap/>
            <w:vAlign w:val="bottom"/>
          </w:tcPr>
          <w:p w14:paraId="01F72607" w14:textId="77777777" w:rsidR="000020B9" w:rsidRPr="00E45B5B" w:rsidRDefault="000020B9" w:rsidP="00EF25E1">
            <w:pPr>
              <w:rPr>
                <w:color w:val="000000"/>
                <w:sz w:val="20"/>
                <w:szCs w:val="20"/>
                <w:lang w:val="en-US"/>
              </w:rPr>
            </w:pPr>
            <w:r w:rsidRPr="00E45B5B">
              <w:rPr>
                <w:color w:val="000000"/>
                <w:sz w:val="20"/>
                <w:szCs w:val="20"/>
                <w:lang w:val="en-US"/>
              </w:rPr>
              <w:t>ln</w:t>
            </w:r>
            <w:r>
              <w:rPr>
                <w:color w:val="000000"/>
                <w:sz w:val="20"/>
                <w:szCs w:val="20"/>
                <w:lang w:val="en-US"/>
              </w:rPr>
              <w:t xml:space="preserve"> </w:t>
            </w:r>
            <w:r w:rsidRPr="00E45B5B">
              <w:rPr>
                <w:color w:val="000000"/>
                <w:sz w:val="20"/>
                <w:szCs w:val="20"/>
                <w:lang w:val="en-US"/>
              </w:rPr>
              <w:t>(cost of fixed capital)</w:t>
            </w:r>
          </w:p>
        </w:tc>
        <w:tc>
          <w:tcPr>
            <w:tcW w:w="1329" w:type="dxa"/>
            <w:tcBorders>
              <w:top w:val="nil"/>
              <w:left w:val="nil"/>
              <w:bottom w:val="nil"/>
              <w:right w:val="nil"/>
            </w:tcBorders>
            <w:shd w:val="clear" w:color="auto" w:fill="auto"/>
            <w:noWrap/>
            <w:vAlign w:val="bottom"/>
          </w:tcPr>
          <w:p w14:paraId="017A822F" w14:textId="77777777" w:rsidR="000020B9" w:rsidRPr="00E45B5B" w:rsidRDefault="000020B9" w:rsidP="00EF25E1">
            <w:pPr>
              <w:jc w:val="center"/>
              <w:rPr>
                <w:color w:val="000000"/>
                <w:sz w:val="20"/>
                <w:szCs w:val="20"/>
              </w:rPr>
            </w:pPr>
            <w:r w:rsidRPr="00E45B5B">
              <w:rPr>
                <w:color w:val="000000"/>
                <w:sz w:val="20"/>
                <w:szCs w:val="20"/>
              </w:rPr>
              <w:t xml:space="preserve">-0.012   </w:t>
            </w:r>
          </w:p>
        </w:tc>
        <w:tc>
          <w:tcPr>
            <w:tcW w:w="1329" w:type="dxa"/>
            <w:tcBorders>
              <w:top w:val="nil"/>
              <w:left w:val="nil"/>
              <w:bottom w:val="nil"/>
              <w:right w:val="nil"/>
            </w:tcBorders>
            <w:shd w:val="clear" w:color="auto" w:fill="auto"/>
            <w:noWrap/>
            <w:vAlign w:val="bottom"/>
          </w:tcPr>
          <w:p w14:paraId="53E0FBEC" w14:textId="77777777" w:rsidR="000020B9" w:rsidRPr="00E45B5B" w:rsidRDefault="000020B9" w:rsidP="00EF25E1">
            <w:pPr>
              <w:jc w:val="center"/>
              <w:rPr>
                <w:color w:val="000000"/>
                <w:sz w:val="20"/>
                <w:szCs w:val="20"/>
              </w:rPr>
            </w:pPr>
            <w:r w:rsidRPr="00E45B5B">
              <w:rPr>
                <w:color w:val="000000"/>
                <w:sz w:val="20"/>
                <w:szCs w:val="20"/>
              </w:rPr>
              <w:t xml:space="preserve">-0.011   </w:t>
            </w:r>
          </w:p>
        </w:tc>
        <w:tc>
          <w:tcPr>
            <w:tcW w:w="1256" w:type="dxa"/>
            <w:tcBorders>
              <w:top w:val="nil"/>
              <w:left w:val="nil"/>
              <w:bottom w:val="nil"/>
              <w:right w:val="nil"/>
            </w:tcBorders>
            <w:shd w:val="clear" w:color="auto" w:fill="auto"/>
            <w:noWrap/>
            <w:vAlign w:val="bottom"/>
          </w:tcPr>
          <w:p w14:paraId="792D7C12" w14:textId="77777777" w:rsidR="000020B9" w:rsidRPr="00E45B5B" w:rsidRDefault="000020B9" w:rsidP="00EF25E1">
            <w:pPr>
              <w:jc w:val="center"/>
              <w:rPr>
                <w:color w:val="000000"/>
                <w:sz w:val="20"/>
                <w:szCs w:val="20"/>
              </w:rPr>
            </w:pPr>
            <w:r w:rsidRPr="00E45B5B">
              <w:rPr>
                <w:color w:val="000000"/>
                <w:sz w:val="20"/>
                <w:szCs w:val="20"/>
              </w:rPr>
              <w:t xml:space="preserve">-0.011   </w:t>
            </w:r>
          </w:p>
        </w:tc>
        <w:tc>
          <w:tcPr>
            <w:tcW w:w="1256" w:type="dxa"/>
            <w:tcBorders>
              <w:top w:val="nil"/>
              <w:left w:val="nil"/>
              <w:bottom w:val="nil"/>
              <w:right w:val="nil"/>
            </w:tcBorders>
            <w:shd w:val="clear" w:color="auto" w:fill="auto"/>
            <w:noWrap/>
            <w:vAlign w:val="bottom"/>
          </w:tcPr>
          <w:p w14:paraId="60FDA87C" w14:textId="77777777" w:rsidR="000020B9" w:rsidRPr="00E45B5B" w:rsidRDefault="000020B9" w:rsidP="00EF25E1">
            <w:pPr>
              <w:jc w:val="center"/>
              <w:rPr>
                <w:color w:val="000000"/>
                <w:sz w:val="20"/>
                <w:szCs w:val="20"/>
              </w:rPr>
            </w:pPr>
            <w:r w:rsidRPr="00E45B5B">
              <w:rPr>
                <w:color w:val="000000"/>
                <w:sz w:val="20"/>
                <w:szCs w:val="20"/>
              </w:rPr>
              <w:t xml:space="preserve">-0.011   </w:t>
            </w:r>
          </w:p>
        </w:tc>
      </w:tr>
      <w:tr w:rsidR="000020B9" w:rsidRPr="00E45B5B" w14:paraId="57D905E0" w14:textId="77777777" w:rsidTr="00EF25E1">
        <w:trPr>
          <w:trHeight w:val="300"/>
        </w:trPr>
        <w:tc>
          <w:tcPr>
            <w:tcW w:w="5052" w:type="dxa"/>
            <w:tcBorders>
              <w:top w:val="nil"/>
              <w:left w:val="nil"/>
              <w:bottom w:val="nil"/>
              <w:right w:val="nil"/>
            </w:tcBorders>
            <w:shd w:val="clear" w:color="auto" w:fill="auto"/>
            <w:noWrap/>
          </w:tcPr>
          <w:p w14:paraId="68F87C44" w14:textId="77777777" w:rsidR="000020B9" w:rsidRPr="00E45B5B" w:rsidRDefault="000020B9" w:rsidP="00EF25E1">
            <w:pPr>
              <w:rPr>
                <w:color w:val="000000"/>
                <w:sz w:val="20"/>
                <w:szCs w:val="20"/>
              </w:rPr>
            </w:pPr>
          </w:p>
        </w:tc>
        <w:tc>
          <w:tcPr>
            <w:tcW w:w="1329" w:type="dxa"/>
            <w:tcBorders>
              <w:top w:val="nil"/>
              <w:left w:val="nil"/>
              <w:bottom w:val="nil"/>
              <w:right w:val="nil"/>
            </w:tcBorders>
            <w:shd w:val="clear" w:color="auto" w:fill="auto"/>
            <w:noWrap/>
            <w:vAlign w:val="bottom"/>
          </w:tcPr>
          <w:p w14:paraId="1FC42D06" w14:textId="77777777" w:rsidR="000020B9" w:rsidRPr="00E45B5B" w:rsidRDefault="000020B9" w:rsidP="00EF25E1">
            <w:pPr>
              <w:jc w:val="center"/>
              <w:rPr>
                <w:color w:val="000000"/>
                <w:sz w:val="20"/>
                <w:szCs w:val="20"/>
              </w:rPr>
            </w:pPr>
            <w:r w:rsidRPr="00E45B5B">
              <w:rPr>
                <w:color w:val="000000"/>
                <w:sz w:val="20"/>
                <w:szCs w:val="20"/>
              </w:rPr>
              <w:t xml:space="preserve">(0.044)   </w:t>
            </w:r>
          </w:p>
        </w:tc>
        <w:tc>
          <w:tcPr>
            <w:tcW w:w="1329" w:type="dxa"/>
            <w:tcBorders>
              <w:top w:val="nil"/>
              <w:left w:val="nil"/>
              <w:bottom w:val="nil"/>
              <w:right w:val="nil"/>
            </w:tcBorders>
            <w:shd w:val="clear" w:color="auto" w:fill="auto"/>
            <w:noWrap/>
            <w:vAlign w:val="bottom"/>
          </w:tcPr>
          <w:p w14:paraId="43FFFD5F" w14:textId="77777777" w:rsidR="000020B9" w:rsidRPr="00E45B5B" w:rsidRDefault="000020B9" w:rsidP="00EF25E1">
            <w:pPr>
              <w:jc w:val="center"/>
              <w:rPr>
                <w:color w:val="000000"/>
                <w:sz w:val="20"/>
                <w:szCs w:val="20"/>
              </w:rPr>
            </w:pPr>
            <w:r w:rsidRPr="00E45B5B">
              <w:rPr>
                <w:color w:val="000000"/>
                <w:sz w:val="20"/>
                <w:szCs w:val="20"/>
              </w:rPr>
              <w:t xml:space="preserve">(0.045)   </w:t>
            </w:r>
          </w:p>
        </w:tc>
        <w:tc>
          <w:tcPr>
            <w:tcW w:w="1256" w:type="dxa"/>
            <w:tcBorders>
              <w:top w:val="nil"/>
              <w:left w:val="nil"/>
              <w:bottom w:val="nil"/>
              <w:right w:val="nil"/>
            </w:tcBorders>
            <w:shd w:val="clear" w:color="auto" w:fill="auto"/>
            <w:noWrap/>
            <w:vAlign w:val="bottom"/>
          </w:tcPr>
          <w:p w14:paraId="4EA7F635" w14:textId="77777777" w:rsidR="000020B9" w:rsidRPr="00E45B5B" w:rsidRDefault="000020B9" w:rsidP="00EF25E1">
            <w:pPr>
              <w:jc w:val="center"/>
              <w:rPr>
                <w:color w:val="000000"/>
                <w:sz w:val="20"/>
                <w:szCs w:val="20"/>
              </w:rPr>
            </w:pPr>
            <w:r w:rsidRPr="00E45B5B">
              <w:rPr>
                <w:color w:val="000000"/>
                <w:sz w:val="20"/>
                <w:szCs w:val="20"/>
              </w:rPr>
              <w:t xml:space="preserve">(0.045)   </w:t>
            </w:r>
          </w:p>
        </w:tc>
        <w:tc>
          <w:tcPr>
            <w:tcW w:w="1256" w:type="dxa"/>
            <w:tcBorders>
              <w:top w:val="nil"/>
              <w:left w:val="nil"/>
              <w:bottom w:val="nil"/>
              <w:right w:val="nil"/>
            </w:tcBorders>
            <w:shd w:val="clear" w:color="auto" w:fill="auto"/>
            <w:noWrap/>
            <w:vAlign w:val="bottom"/>
          </w:tcPr>
          <w:p w14:paraId="1C9D4126" w14:textId="77777777" w:rsidR="000020B9" w:rsidRPr="00E45B5B" w:rsidRDefault="000020B9" w:rsidP="00EF25E1">
            <w:pPr>
              <w:jc w:val="center"/>
              <w:rPr>
                <w:color w:val="000000"/>
                <w:sz w:val="20"/>
                <w:szCs w:val="20"/>
              </w:rPr>
            </w:pPr>
            <w:r w:rsidRPr="00E45B5B">
              <w:rPr>
                <w:color w:val="000000"/>
                <w:sz w:val="20"/>
                <w:szCs w:val="20"/>
              </w:rPr>
              <w:t xml:space="preserve">(0.045)   </w:t>
            </w:r>
          </w:p>
        </w:tc>
      </w:tr>
      <w:tr w:rsidR="000020B9" w:rsidRPr="00E45B5B" w14:paraId="352DA890" w14:textId="77777777" w:rsidTr="00EF25E1">
        <w:trPr>
          <w:trHeight w:val="300"/>
        </w:trPr>
        <w:tc>
          <w:tcPr>
            <w:tcW w:w="5052" w:type="dxa"/>
            <w:tcBorders>
              <w:top w:val="nil"/>
              <w:left w:val="nil"/>
              <w:bottom w:val="nil"/>
              <w:right w:val="nil"/>
            </w:tcBorders>
            <w:shd w:val="clear" w:color="auto" w:fill="auto"/>
            <w:noWrap/>
            <w:vAlign w:val="bottom"/>
          </w:tcPr>
          <w:p w14:paraId="3BC34F9F" w14:textId="77777777" w:rsidR="000020B9" w:rsidRPr="00E45B5B" w:rsidRDefault="000020B9" w:rsidP="00EF25E1">
            <w:pPr>
              <w:rPr>
                <w:color w:val="000000"/>
                <w:sz w:val="20"/>
                <w:szCs w:val="20"/>
                <w:lang w:val="en-US"/>
              </w:rPr>
            </w:pPr>
            <w:r w:rsidRPr="00E45B5B">
              <w:rPr>
                <w:color w:val="000000"/>
                <w:sz w:val="20"/>
                <w:szCs w:val="20"/>
                <w:lang w:val="en-US"/>
              </w:rPr>
              <w:t>ln (wage)*Dummy Banks with Classic and other Bank Products</w:t>
            </w:r>
          </w:p>
        </w:tc>
        <w:tc>
          <w:tcPr>
            <w:tcW w:w="1329" w:type="dxa"/>
            <w:tcBorders>
              <w:top w:val="nil"/>
              <w:left w:val="nil"/>
              <w:bottom w:val="nil"/>
              <w:right w:val="nil"/>
            </w:tcBorders>
            <w:shd w:val="clear" w:color="auto" w:fill="auto"/>
            <w:noWrap/>
            <w:vAlign w:val="bottom"/>
          </w:tcPr>
          <w:p w14:paraId="4ED25A28" w14:textId="77777777" w:rsidR="000020B9" w:rsidRPr="00E45B5B" w:rsidRDefault="000020B9" w:rsidP="00EF25E1">
            <w:pPr>
              <w:jc w:val="center"/>
              <w:rPr>
                <w:color w:val="000000"/>
                <w:sz w:val="20"/>
                <w:szCs w:val="20"/>
              </w:rPr>
            </w:pPr>
            <w:r w:rsidRPr="00E45B5B">
              <w:rPr>
                <w:color w:val="000000"/>
                <w:sz w:val="20"/>
                <w:szCs w:val="20"/>
              </w:rPr>
              <w:t xml:space="preserve">-0.134   </w:t>
            </w:r>
          </w:p>
        </w:tc>
        <w:tc>
          <w:tcPr>
            <w:tcW w:w="1329" w:type="dxa"/>
            <w:tcBorders>
              <w:top w:val="nil"/>
              <w:left w:val="nil"/>
              <w:bottom w:val="nil"/>
              <w:right w:val="nil"/>
            </w:tcBorders>
            <w:shd w:val="clear" w:color="auto" w:fill="auto"/>
            <w:noWrap/>
            <w:vAlign w:val="bottom"/>
          </w:tcPr>
          <w:p w14:paraId="76D990BC" w14:textId="77777777" w:rsidR="000020B9" w:rsidRPr="00E45B5B" w:rsidRDefault="000020B9" w:rsidP="00EF25E1">
            <w:pPr>
              <w:jc w:val="center"/>
              <w:rPr>
                <w:color w:val="000000"/>
                <w:sz w:val="20"/>
                <w:szCs w:val="20"/>
              </w:rPr>
            </w:pPr>
            <w:r w:rsidRPr="00E45B5B">
              <w:rPr>
                <w:color w:val="000000"/>
                <w:sz w:val="20"/>
                <w:szCs w:val="20"/>
              </w:rPr>
              <w:t xml:space="preserve">-0.134   </w:t>
            </w:r>
          </w:p>
        </w:tc>
        <w:tc>
          <w:tcPr>
            <w:tcW w:w="1256" w:type="dxa"/>
            <w:tcBorders>
              <w:top w:val="nil"/>
              <w:left w:val="nil"/>
              <w:bottom w:val="nil"/>
              <w:right w:val="nil"/>
            </w:tcBorders>
            <w:shd w:val="clear" w:color="auto" w:fill="auto"/>
            <w:noWrap/>
            <w:vAlign w:val="bottom"/>
          </w:tcPr>
          <w:p w14:paraId="13928532" w14:textId="77777777" w:rsidR="000020B9" w:rsidRPr="00E45B5B" w:rsidRDefault="000020B9" w:rsidP="00EF25E1">
            <w:pPr>
              <w:jc w:val="center"/>
              <w:rPr>
                <w:color w:val="000000"/>
                <w:sz w:val="20"/>
                <w:szCs w:val="20"/>
              </w:rPr>
            </w:pPr>
            <w:r w:rsidRPr="00E45B5B">
              <w:rPr>
                <w:color w:val="000000"/>
                <w:sz w:val="20"/>
                <w:szCs w:val="20"/>
              </w:rPr>
              <w:t xml:space="preserve">-0.134   </w:t>
            </w:r>
          </w:p>
        </w:tc>
        <w:tc>
          <w:tcPr>
            <w:tcW w:w="1256" w:type="dxa"/>
            <w:tcBorders>
              <w:top w:val="nil"/>
              <w:left w:val="nil"/>
              <w:bottom w:val="nil"/>
              <w:right w:val="nil"/>
            </w:tcBorders>
            <w:shd w:val="clear" w:color="auto" w:fill="auto"/>
            <w:noWrap/>
            <w:vAlign w:val="bottom"/>
          </w:tcPr>
          <w:p w14:paraId="770C7D3E" w14:textId="77777777" w:rsidR="000020B9" w:rsidRPr="00E45B5B" w:rsidRDefault="000020B9" w:rsidP="00EF25E1">
            <w:pPr>
              <w:jc w:val="center"/>
              <w:rPr>
                <w:color w:val="000000"/>
                <w:sz w:val="20"/>
                <w:szCs w:val="20"/>
              </w:rPr>
            </w:pPr>
            <w:r w:rsidRPr="00E45B5B">
              <w:rPr>
                <w:color w:val="000000"/>
                <w:sz w:val="20"/>
                <w:szCs w:val="20"/>
              </w:rPr>
              <w:t xml:space="preserve">-0.132   </w:t>
            </w:r>
          </w:p>
        </w:tc>
      </w:tr>
      <w:tr w:rsidR="000020B9" w:rsidRPr="00E45B5B" w14:paraId="04AB6436" w14:textId="77777777" w:rsidTr="00EF25E1">
        <w:trPr>
          <w:trHeight w:val="300"/>
        </w:trPr>
        <w:tc>
          <w:tcPr>
            <w:tcW w:w="5052" w:type="dxa"/>
            <w:tcBorders>
              <w:top w:val="nil"/>
              <w:left w:val="nil"/>
              <w:bottom w:val="nil"/>
              <w:right w:val="nil"/>
            </w:tcBorders>
            <w:shd w:val="clear" w:color="auto" w:fill="auto"/>
            <w:noWrap/>
          </w:tcPr>
          <w:p w14:paraId="33A86BAA" w14:textId="77777777" w:rsidR="000020B9" w:rsidRPr="00E45B5B" w:rsidRDefault="000020B9" w:rsidP="00EF25E1">
            <w:pPr>
              <w:rPr>
                <w:color w:val="000000"/>
                <w:sz w:val="20"/>
                <w:szCs w:val="20"/>
              </w:rPr>
            </w:pPr>
          </w:p>
        </w:tc>
        <w:tc>
          <w:tcPr>
            <w:tcW w:w="1329" w:type="dxa"/>
            <w:tcBorders>
              <w:top w:val="nil"/>
              <w:left w:val="nil"/>
              <w:bottom w:val="nil"/>
              <w:right w:val="nil"/>
            </w:tcBorders>
            <w:shd w:val="clear" w:color="auto" w:fill="auto"/>
            <w:noWrap/>
            <w:vAlign w:val="bottom"/>
          </w:tcPr>
          <w:p w14:paraId="5F3719F2" w14:textId="77777777" w:rsidR="000020B9" w:rsidRPr="00E45B5B" w:rsidRDefault="000020B9" w:rsidP="00EF25E1">
            <w:pPr>
              <w:jc w:val="center"/>
              <w:rPr>
                <w:color w:val="000000"/>
                <w:sz w:val="20"/>
                <w:szCs w:val="20"/>
              </w:rPr>
            </w:pPr>
            <w:r w:rsidRPr="00E45B5B">
              <w:rPr>
                <w:color w:val="000000"/>
                <w:sz w:val="20"/>
                <w:szCs w:val="20"/>
              </w:rPr>
              <w:t xml:space="preserve">(0.147)   </w:t>
            </w:r>
          </w:p>
        </w:tc>
        <w:tc>
          <w:tcPr>
            <w:tcW w:w="1329" w:type="dxa"/>
            <w:tcBorders>
              <w:top w:val="nil"/>
              <w:left w:val="nil"/>
              <w:bottom w:val="nil"/>
              <w:right w:val="nil"/>
            </w:tcBorders>
            <w:shd w:val="clear" w:color="auto" w:fill="auto"/>
            <w:noWrap/>
            <w:vAlign w:val="bottom"/>
          </w:tcPr>
          <w:p w14:paraId="5FEB33CD" w14:textId="77777777" w:rsidR="000020B9" w:rsidRPr="00E45B5B" w:rsidRDefault="000020B9" w:rsidP="00EF25E1">
            <w:pPr>
              <w:jc w:val="center"/>
              <w:rPr>
                <w:color w:val="000000"/>
                <w:sz w:val="20"/>
                <w:szCs w:val="20"/>
              </w:rPr>
            </w:pPr>
            <w:r w:rsidRPr="00E45B5B">
              <w:rPr>
                <w:color w:val="000000"/>
                <w:sz w:val="20"/>
                <w:szCs w:val="20"/>
              </w:rPr>
              <w:t xml:space="preserve">(0.141)   </w:t>
            </w:r>
          </w:p>
        </w:tc>
        <w:tc>
          <w:tcPr>
            <w:tcW w:w="1256" w:type="dxa"/>
            <w:tcBorders>
              <w:top w:val="nil"/>
              <w:left w:val="nil"/>
              <w:bottom w:val="nil"/>
              <w:right w:val="nil"/>
            </w:tcBorders>
            <w:shd w:val="clear" w:color="auto" w:fill="auto"/>
            <w:noWrap/>
            <w:vAlign w:val="bottom"/>
          </w:tcPr>
          <w:p w14:paraId="5D2F25F9" w14:textId="77777777" w:rsidR="000020B9" w:rsidRPr="00E45B5B" w:rsidRDefault="000020B9" w:rsidP="00EF25E1">
            <w:pPr>
              <w:jc w:val="center"/>
              <w:rPr>
                <w:color w:val="000000"/>
                <w:sz w:val="20"/>
                <w:szCs w:val="20"/>
              </w:rPr>
            </w:pPr>
            <w:r w:rsidRPr="00E45B5B">
              <w:rPr>
                <w:color w:val="000000"/>
                <w:sz w:val="20"/>
                <w:szCs w:val="20"/>
              </w:rPr>
              <w:t xml:space="preserve">(0.141)   </w:t>
            </w:r>
          </w:p>
        </w:tc>
        <w:tc>
          <w:tcPr>
            <w:tcW w:w="1256" w:type="dxa"/>
            <w:tcBorders>
              <w:top w:val="nil"/>
              <w:left w:val="nil"/>
              <w:bottom w:val="nil"/>
              <w:right w:val="nil"/>
            </w:tcBorders>
            <w:shd w:val="clear" w:color="auto" w:fill="auto"/>
            <w:noWrap/>
            <w:vAlign w:val="bottom"/>
          </w:tcPr>
          <w:p w14:paraId="74D0ADE0" w14:textId="77777777" w:rsidR="000020B9" w:rsidRPr="00E45B5B" w:rsidRDefault="000020B9" w:rsidP="00EF25E1">
            <w:pPr>
              <w:jc w:val="center"/>
              <w:rPr>
                <w:color w:val="000000"/>
                <w:sz w:val="20"/>
                <w:szCs w:val="20"/>
              </w:rPr>
            </w:pPr>
            <w:r w:rsidRPr="00E45B5B">
              <w:rPr>
                <w:color w:val="000000"/>
                <w:sz w:val="20"/>
                <w:szCs w:val="20"/>
              </w:rPr>
              <w:t xml:space="preserve">(0.141)   </w:t>
            </w:r>
          </w:p>
        </w:tc>
      </w:tr>
      <w:tr w:rsidR="000020B9" w:rsidRPr="00E45B5B" w14:paraId="68F56961" w14:textId="77777777" w:rsidTr="00EF25E1">
        <w:trPr>
          <w:trHeight w:val="300"/>
        </w:trPr>
        <w:tc>
          <w:tcPr>
            <w:tcW w:w="5052" w:type="dxa"/>
            <w:tcBorders>
              <w:top w:val="nil"/>
              <w:left w:val="nil"/>
              <w:bottom w:val="nil"/>
              <w:right w:val="nil"/>
            </w:tcBorders>
            <w:shd w:val="clear" w:color="auto" w:fill="auto"/>
            <w:noWrap/>
            <w:vAlign w:val="bottom"/>
          </w:tcPr>
          <w:p w14:paraId="3E302C95" w14:textId="77777777" w:rsidR="000020B9" w:rsidRPr="00E45B5B" w:rsidRDefault="000020B9" w:rsidP="00EF25E1">
            <w:pPr>
              <w:rPr>
                <w:color w:val="000000"/>
                <w:sz w:val="20"/>
                <w:szCs w:val="20"/>
                <w:lang w:val="en-US"/>
              </w:rPr>
            </w:pPr>
            <w:r w:rsidRPr="00E45B5B">
              <w:rPr>
                <w:color w:val="000000"/>
                <w:sz w:val="20"/>
                <w:szCs w:val="20"/>
                <w:lang w:val="en-US"/>
              </w:rPr>
              <w:t>ln(cost of capital)*Dummy Banks with Classic and other Bank Products</w:t>
            </w:r>
          </w:p>
        </w:tc>
        <w:tc>
          <w:tcPr>
            <w:tcW w:w="1329" w:type="dxa"/>
            <w:tcBorders>
              <w:top w:val="nil"/>
              <w:left w:val="nil"/>
              <w:bottom w:val="nil"/>
              <w:right w:val="nil"/>
            </w:tcBorders>
            <w:shd w:val="clear" w:color="auto" w:fill="auto"/>
            <w:noWrap/>
            <w:vAlign w:val="bottom"/>
          </w:tcPr>
          <w:p w14:paraId="592B161C" w14:textId="77777777" w:rsidR="000020B9" w:rsidRPr="00E45B5B" w:rsidRDefault="000020B9" w:rsidP="00EF25E1">
            <w:pPr>
              <w:jc w:val="center"/>
              <w:rPr>
                <w:color w:val="000000"/>
                <w:sz w:val="20"/>
                <w:szCs w:val="20"/>
              </w:rPr>
            </w:pPr>
            <w:r w:rsidRPr="00E45B5B">
              <w:rPr>
                <w:color w:val="000000"/>
                <w:sz w:val="20"/>
                <w:szCs w:val="20"/>
              </w:rPr>
              <w:t xml:space="preserve">-0.032   </w:t>
            </w:r>
          </w:p>
        </w:tc>
        <w:tc>
          <w:tcPr>
            <w:tcW w:w="1329" w:type="dxa"/>
            <w:tcBorders>
              <w:top w:val="nil"/>
              <w:left w:val="nil"/>
              <w:bottom w:val="nil"/>
              <w:right w:val="nil"/>
            </w:tcBorders>
            <w:shd w:val="clear" w:color="auto" w:fill="auto"/>
            <w:noWrap/>
            <w:vAlign w:val="bottom"/>
          </w:tcPr>
          <w:p w14:paraId="64FC2309" w14:textId="77777777" w:rsidR="000020B9" w:rsidRPr="00E45B5B" w:rsidRDefault="000020B9" w:rsidP="00EF25E1">
            <w:pPr>
              <w:jc w:val="center"/>
              <w:rPr>
                <w:color w:val="000000"/>
                <w:sz w:val="20"/>
                <w:szCs w:val="20"/>
              </w:rPr>
            </w:pPr>
            <w:r w:rsidRPr="00E45B5B">
              <w:rPr>
                <w:color w:val="000000"/>
                <w:sz w:val="20"/>
                <w:szCs w:val="20"/>
              </w:rPr>
              <w:t xml:space="preserve">-0.050   </w:t>
            </w:r>
          </w:p>
        </w:tc>
        <w:tc>
          <w:tcPr>
            <w:tcW w:w="1256" w:type="dxa"/>
            <w:tcBorders>
              <w:top w:val="nil"/>
              <w:left w:val="nil"/>
              <w:bottom w:val="nil"/>
              <w:right w:val="nil"/>
            </w:tcBorders>
            <w:shd w:val="clear" w:color="auto" w:fill="auto"/>
            <w:noWrap/>
            <w:vAlign w:val="bottom"/>
          </w:tcPr>
          <w:p w14:paraId="37D8FB91" w14:textId="77777777" w:rsidR="000020B9" w:rsidRPr="00E45B5B" w:rsidRDefault="000020B9" w:rsidP="00EF25E1">
            <w:pPr>
              <w:jc w:val="center"/>
              <w:rPr>
                <w:color w:val="000000"/>
                <w:sz w:val="20"/>
                <w:szCs w:val="20"/>
              </w:rPr>
            </w:pPr>
            <w:r w:rsidRPr="00E45B5B">
              <w:rPr>
                <w:color w:val="000000"/>
                <w:sz w:val="20"/>
                <w:szCs w:val="20"/>
              </w:rPr>
              <w:t xml:space="preserve">-0.050   </w:t>
            </w:r>
          </w:p>
        </w:tc>
        <w:tc>
          <w:tcPr>
            <w:tcW w:w="1256" w:type="dxa"/>
            <w:tcBorders>
              <w:top w:val="nil"/>
              <w:left w:val="nil"/>
              <w:bottom w:val="nil"/>
              <w:right w:val="nil"/>
            </w:tcBorders>
            <w:shd w:val="clear" w:color="auto" w:fill="auto"/>
            <w:noWrap/>
            <w:vAlign w:val="bottom"/>
          </w:tcPr>
          <w:p w14:paraId="1A37C7B7" w14:textId="77777777" w:rsidR="000020B9" w:rsidRPr="00E45B5B" w:rsidRDefault="000020B9" w:rsidP="00EF25E1">
            <w:pPr>
              <w:jc w:val="center"/>
              <w:rPr>
                <w:color w:val="000000"/>
                <w:sz w:val="20"/>
                <w:szCs w:val="20"/>
              </w:rPr>
            </w:pPr>
            <w:r w:rsidRPr="00E45B5B">
              <w:rPr>
                <w:color w:val="000000"/>
                <w:sz w:val="20"/>
                <w:szCs w:val="20"/>
              </w:rPr>
              <w:t xml:space="preserve">-0.051   </w:t>
            </w:r>
          </w:p>
        </w:tc>
      </w:tr>
      <w:tr w:rsidR="000020B9" w:rsidRPr="00E45B5B" w14:paraId="759010B0" w14:textId="77777777" w:rsidTr="00EF25E1">
        <w:trPr>
          <w:trHeight w:val="300"/>
        </w:trPr>
        <w:tc>
          <w:tcPr>
            <w:tcW w:w="5052" w:type="dxa"/>
            <w:tcBorders>
              <w:top w:val="nil"/>
              <w:left w:val="nil"/>
              <w:bottom w:val="nil"/>
              <w:right w:val="nil"/>
            </w:tcBorders>
            <w:shd w:val="clear" w:color="auto" w:fill="auto"/>
            <w:noWrap/>
          </w:tcPr>
          <w:p w14:paraId="29D8AD65" w14:textId="77777777" w:rsidR="000020B9" w:rsidRPr="00E45B5B" w:rsidRDefault="000020B9" w:rsidP="00EF25E1">
            <w:pPr>
              <w:rPr>
                <w:color w:val="000000"/>
                <w:sz w:val="20"/>
                <w:szCs w:val="20"/>
              </w:rPr>
            </w:pPr>
          </w:p>
        </w:tc>
        <w:tc>
          <w:tcPr>
            <w:tcW w:w="1329" w:type="dxa"/>
            <w:tcBorders>
              <w:top w:val="nil"/>
              <w:left w:val="nil"/>
              <w:bottom w:val="nil"/>
              <w:right w:val="nil"/>
            </w:tcBorders>
            <w:shd w:val="clear" w:color="auto" w:fill="auto"/>
            <w:noWrap/>
            <w:vAlign w:val="bottom"/>
          </w:tcPr>
          <w:p w14:paraId="7880B888" w14:textId="77777777" w:rsidR="000020B9" w:rsidRPr="00E45B5B" w:rsidRDefault="000020B9" w:rsidP="00EF25E1">
            <w:pPr>
              <w:jc w:val="center"/>
              <w:rPr>
                <w:color w:val="000000"/>
                <w:sz w:val="20"/>
                <w:szCs w:val="20"/>
              </w:rPr>
            </w:pPr>
            <w:r w:rsidRPr="00E45B5B">
              <w:rPr>
                <w:color w:val="000000"/>
                <w:sz w:val="20"/>
                <w:szCs w:val="20"/>
              </w:rPr>
              <w:t xml:space="preserve">(0.079)   </w:t>
            </w:r>
          </w:p>
        </w:tc>
        <w:tc>
          <w:tcPr>
            <w:tcW w:w="1329" w:type="dxa"/>
            <w:tcBorders>
              <w:top w:val="nil"/>
              <w:left w:val="nil"/>
              <w:bottom w:val="nil"/>
              <w:right w:val="nil"/>
            </w:tcBorders>
            <w:shd w:val="clear" w:color="auto" w:fill="auto"/>
            <w:noWrap/>
            <w:vAlign w:val="bottom"/>
          </w:tcPr>
          <w:p w14:paraId="7D342620" w14:textId="77777777" w:rsidR="000020B9" w:rsidRPr="00E45B5B" w:rsidRDefault="000020B9" w:rsidP="00EF25E1">
            <w:pPr>
              <w:jc w:val="center"/>
              <w:rPr>
                <w:color w:val="000000"/>
                <w:sz w:val="20"/>
                <w:szCs w:val="20"/>
              </w:rPr>
            </w:pPr>
            <w:r w:rsidRPr="00E45B5B">
              <w:rPr>
                <w:color w:val="000000"/>
                <w:sz w:val="20"/>
                <w:szCs w:val="20"/>
              </w:rPr>
              <w:t xml:space="preserve">(0.082)   </w:t>
            </w:r>
          </w:p>
        </w:tc>
        <w:tc>
          <w:tcPr>
            <w:tcW w:w="1256" w:type="dxa"/>
            <w:tcBorders>
              <w:top w:val="nil"/>
              <w:left w:val="nil"/>
              <w:bottom w:val="nil"/>
              <w:right w:val="nil"/>
            </w:tcBorders>
            <w:shd w:val="clear" w:color="auto" w:fill="auto"/>
            <w:noWrap/>
            <w:vAlign w:val="bottom"/>
          </w:tcPr>
          <w:p w14:paraId="54A7890B" w14:textId="77777777" w:rsidR="000020B9" w:rsidRPr="00E45B5B" w:rsidRDefault="000020B9" w:rsidP="00EF25E1">
            <w:pPr>
              <w:jc w:val="center"/>
              <w:rPr>
                <w:color w:val="000000"/>
                <w:sz w:val="20"/>
                <w:szCs w:val="20"/>
              </w:rPr>
            </w:pPr>
            <w:r w:rsidRPr="00E45B5B">
              <w:rPr>
                <w:color w:val="000000"/>
                <w:sz w:val="20"/>
                <w:szCs w:val="20"/>
              </w:rPr>
              <w:t xml:space="preserve">(0.082)   </w:t>
            </w:r>
          </w:p>
        </w:tc>
        <w:tc>
          <w:tcPr>
            <w:tcW w:w="1256" w:type="dxa"/>
            <w:tcBorders>
              <w:top w:val="nil"/>
              <w:left w:val="nil"/>
              <w:bottom w:val="nil"/>
              <w:right w:val="nil"/>
            </w:tcBorders>
            <w:shd w:val="clear" w:color="auto" w:fill="auto"/>
            <w:noWrap/>
            <w:vAlign w:val="bottom"/>
          </w:tcPr>
          <w:p w14:paraId="3A4148BB" w14:textId="77777777" w:rsidR="000020B9" w:rsidRPr="00E45B5B" w:rsidRDefault="000020B9" w:rsidP="00EF25E1">
            <w:pPr>
              <w:jc w:val="center"/>
              <w:rPr>
                <w:color w:val="000000"/>
                <w:sz w:val="20"/>
                <w:szCs w:val="20"/>
              </w:rPr>
            </w:pPr>
            <w:r w:rsidRPr="00E45B5B">
              <w:rPr>
                <w:color w:val="000000"/>
                <w:sz w:val="20"/>
                <w:szCs w:val="20"/>
              </w:rPr>
              <w:t xml:space="preserve">(0.082)   </w:t>
            </w:r>
          </w:p>
        </w:tc>
      </w:tr>
      <w:tr w:rsidR="000020B9" w:rsidRPr="00E45B5B" w14:paraId="3C58D47B" w14:textId="77777777" w:rsidTr="00EF25E1">
        <w:trPr>
          <w:trHeight w:val="300"/>
        </w:trPr>
        <w:tc>
          <w:tcPr>
            <w:tcW w:w="5052" w:type="dxa"/>
            <w:tcBorders>
              <w:top w:val="nil"/>
              <w:left w:val="nil"/>
              <w:bottom w:val="nil"/>
              <w:right w:val="nil"/>
            </w:tcBorders>
            <w:shd w:val="clear" w:color="auto" w:fill="auto"/>
            <w:noWrap/>
            <w:vAlign w:val="bottom"/>
          </w:tcPr>
          <w:p w14:paraId="32DD1936" w14:textId="77777777" w:rsidR="000020B9" w:rsidRPr="00E45B5B" w:rsidRDefault="000020B9" w:rsidP="00EF25E1">
            <w:pPr>
              <w:rPr>
                <w:color w:val="000000"/>
                <w:sz w:val="20"/>
                <w:szCs w:val="20"/>
                <w:lang w:val="en-US"/>
              </w:rPr>
            </w:pPr>
            <w:r w:rsidRPr="00E45B5B">
              <w:rPr>
                <w:color w:val="000000"/>
                <w:sz w:val="20"/>
                <w:szCs w:val="20"/>
                <w:lang w:val="en-US"/>
              </w:rPr>
              <w:t>ln(cost of fixed capital)*Dummy Banks with Classic and other Bank Products</w:t>
            </w:r>
          </w:p>
        </w:tc>
        <w:tc>
          <w:tcPr>
            <w:tcW w:w="1329" w:type="dxa"/>
            <w:tcBorders>
              <w:top w:val="nil"/>
              <w:left w:val="nil"/>
              <w:bottom w:val="nil"/>
              <w:right w:val="nil"/>
            </w:tcBorders>
            <w:shd w:val="clear" w:color="auto" w:fill="auto"/>
            <w:noWrap/>
            <w:vAlign w:val="bottom"/>
          </w:tcPr>
          <w:p w14:paraId="671D0E66" w14:textId="77777777" w:rsidR="000020B9" w:rsidRPr="00E45B5B" w:rsidRDefault="000020B9" w:rsidP="00EF25E1">
            <w:pPr>
              <w:jc w:val="center"/>
              <w:rPr>
                <w:color w:val="000000"/>
                <w:sz w:val="20"/>
                <w:szCs w:val="20"/>
              </w:rPr>
            </w:pPr>
            <w:r w:rsidRPr="00E45B5B">
              <w:rPr>
                <w:color w:val="000000"/>
                <w:sz w:val="20"/>
                <w:szCs w:val="20"/>
              </w:rPr>
              <w:t xml:space="preserve">-0.114   </w:t>
            </w:r>
          </w:p>
        </w:tc>
        <w:tc>
          <w:tcPr>
            <w:tcW w:w="1329" w:type="dxa"/>
            <w:tcBorders>
              <w:top w:val="nil"/>
              <w:left w:val="nil"/>
              <w:bottom w:val="nil"/>
              <w:right w:val="nil"/>
            </w:tcBorders>
            <w:shd w:val="clear" w:color="auto" w:fill="auto"/>
            <w:noWrap/>
            <w:vAlign w:val="bottom"/>
          </w:tcPr>
          <w:p w14:paraId="60BE3A77" w14:textId="77777777" w:rsidR="000020B9" w:rsidRPr="00E45B5B" w:rsidRDefault="000020B9" w:rsidP="00EF25E1">
            <w:pPr>
              <w:jc w:val="center"/>
              <w:rPr>
                <w:color w:val="000000"/>
                <w:sz w:val="20"/>
                <w:szCs w:val="20"/>
              </w:rPr>
            </w:pPr>
            <w:r w:rsidRPr="00E45B5B">
              <w:rPr>
                <w:color w:val="000000"/>
                <w:sz w:val="20"/>
                <w:szCs w:val="20"/>
              </w:rPr>
              <w:t xml:space="preserve">-0.104   </w:t>
            </w:r>
          </w:p>
        </w:tc>
        <w:tc>
          <w:tcPr>
            <w:tcW w:w="1256" w:type="dxa"/>
            <w:tcBorders>
              <w:top w:val="nil"/>
              <w:left w:val="nil"/>
              <w:bottom w:val="nil"/>
              <w:right w:val="nil"/>
            </w:tcBorders>
            <w:shd w:val="clear" w:color="auto" w:fill="auto"/>
            <w:noWrap/>
            <w:vAlign w:val="bottom"/>
          </w:tcPr>
          <w:p w14:paraId="7CD5D825" w14:textId="77777777" w:rsidR="000020B9" w:rsidRPr="00E45B5B" w:rsidRDefault="000020B9" w:rsidP="00EF25E1">
            <w:pPr>
              <w:jc w:val="center"/>
              <w:rPr>
                <w:color w:val="000000"/>
                <w:sz w:val="20"/>
                <w:szCs w:val="20"/>
              </w:rPr>
            </w:pPr>
            <w:r w:rsidRPr="00E45B5B">
              <w:rPr>
                <w:color w:val="000000"/>
                <w:sz w:val="20"/>
                <w:szCs w:val="20"/>
              </w:rPr>
              <w:t xml:space="preserve">-0.104   </w:t>
            </w:r>
          </w:p>
        </w:tc>
        <w:tc>
          <w:tcPr>
            <w:tcW w:w="1256" w:type="dxa"/>
            <w:tcBorders>
              <w:top w:val="nil"/>
              <w:left w:val="nil"/>
              <w:bottom w:val="nil"/>
              <w:right w:val="nil"/>
            </w:tcBorders>
            <w:shd w:val="clear" w:color="auto" w:fill="auto"/>
            <w:noWrap/>
            <w:vAlign w:val="bottom"/>
          </w:tcPr>
          <w:p w14:paraId="32D1F961" w14:textId="77777777" w:rsidR="000020B9" w:rsidRPr="00E45B5B" w:rsidRDefault="000020B9" w:rsidP="00EF25E1">
            <w:pPr>
              <w:jc w:val="center"/>
              <w:rPr>
                <w:color w:val="000000"/>
                <w:sz w:val="20"/>
                <w:szCs w:val="20"/>
              </w:rPr>
            </w:pPr>
            <w:r w:rsidRPr="00E45B5B">
              <w:rPr>
                <w:color w:val="000000"/>
                <w:sz w:val="20"/>
                <w:szCs w:val="20"/>
              </w:rPr>
              <w:t xml:space="preserve">-0.104   </w:t>
            </w:r>
          </w:p>
        </w:tc>
      </w:tr>
      <w:tr w:rsidR="000020B9" w:rsidRPr="00E45B5B" w14:paraId="5E905AC9" w14:textId="77777777" w:rsidTr="00EF25E1">
        <w:trPr>
          <w:trHeight w:val="300"/>
        </w:trPr>
        <w:tc>
          <w:tcPr>
            <w:tcW w:w="5052" w:type="dxa"/>
            <w:tcBorders>
              <w:top w:val="nil"/>
              <w:left w:val="nil"/>
              <w:bottom w:val="nil"/>
              <w:right w:val="nil"/>
            </w:tcBorders>
            <w:shd w:val="clear" w:color="auto" w:fill="auto"/>
            <w:noWrap/>
            <w:vAlign w:val="bottom"/>
          </w:tcPr>
          <w:p w14:paraId="36DC4F25" w14:textId="77777777" w:rsidR="000020B9" w:rsidRPr="00E45B5B" w:rsidRDefault="000020B9" w:rsidP="00EF25E1">
            <w:pPr>
              <w:rPr>
                <w:color w:val="000000"/>
                <w:sz w:val="20"/>
                <w:szCs w:val="20"/>
              </w:rPr>
            </w:pPr>
          </w:p>
        </w:tc>
        <w:tc>
          <w:tcPr>
            <w:tcW w:w="1329" w:type="dxa"/>
            <w:tcBorders>
              <w:top w:val="nil"/>
              <w:left w:val="nil"/>
              <w:bottom w:val="nil"/>
              <w:right w:val="nil"/>
            </w:tcBorders>
            <w:shd w:val="clear" w:color="auto" w:fill="auto"/>
            <w:noWrap/>
            <w:vAlign w:val="bottom"/>
          </w:tcPr>
          <w:p w14:paraId="3CD51DD3" w14:textId="77777777" w:rsidR="000020B9" w:rsidRPr="00E45B5B" w:rsidRDefault="000020B9" w:rsidP="00EF25E1">
            <w:pPr>
              <w:jc w:val="center"/>
              <w:rPr>
                <w:color w:val="000000"/>
                <w:sz w:val="20"/>
                <w:szCs w:val="20"/>
              </w:rPr>
            </w:pPr>
            <w:r w:rsidRPr="00E45B5B">
              <w:rPr>
                <w:color w:val="000000"/>
                <w:sz w:val="20"/>
                <w:szCs w:val="20"/>
              </w:rPr>
              <w:t xml:space="preserve">(0.089)   </w:t>
            </w:r>
          </w:p>
        </w:tc>
        <w:tc>
          <w:tcPr>
            <w:tcW w:w="1329" w:type="dxa"/>
            <w:tcBorders>
              <w:top w:val="nil"/>
              <w:left w:val="nil"/>
              <w:bottom w:val="nil"/>
              <w:right w:val="nil"/>
            </w:tcBorders>
            <w:shd w:val="clear" w:color="auto" w:fill="auto"/>
            <w:noWrap/>
            <w:vAlign w:val="bottom"/>
          </w:tcPr>
          <w:p w14:paraId="56E60A42" w14:textId="77777777" w:rsidR="000020B9" w:rsidRPr="00E45B5B" w:rsidRDefault="000020B9" w:rsidP="00EF25E1">
            <w:pPr>
              <w:jc w:val="center"/>
              <w:rPr>
                <w:color w:val="000000"/>
                <w:sz w:val="20"/>
                <w:szCs w:val="20"/>
              </w:rPr>
            </w:pPr>
            <w:r w:rsidRPr="00E45B5B">
              <w:rPr>
                <w:color w:val="000000"/>
                <w:sz w:val="20"/>
                <w:szCs w:val="20"/>
              </w:rPr>
              <w:t xml:space="preserve">(0.089)   </w:t>
            </w:r>
          </w:p>
        </w:tc>
        <w:tc>
          <w:tcPr>
            <w:tcW w:w="1256" w:type="dxa"/>
            <w:tcBorders>
              <w:top w:val="nil"/>
              <w:left w:val="nil"/>
              <w:bottom w:val="nil"/>
              <w:right w:val="nil"/>
            </w:tcBorders>
            <w:shd w:val="clear" w:color="auto" w:fill="auto"/>
            <w:noWrap/>
            <w:vAlign w:val="bottom"/>
          </w:tcPr>
          <w:p w14:paraId="52246150" w14:textId="77777777" w:rsidR="000020B9" w:rsidRPr="00E45B5B" w:rsidRDefault="000020B9" w:rsidP="00EF25E1">
            <w:pPr>
              <w:jc w:val="center"/>
              <w:rPr>
                <w:color w:val="000000"/>
                <w:sz w:val="20"/>
                <w:szCs w:val="20"/>
              </w:rPr>
            </w:pPr>
            <w:r w:rsidRPr="00E45B5B">
              <w:rPr>
                <w:color w:val="000000"/>
                <w:sz w:val="20"/>
                <w:szCs w:val="20"/>
              </w:rPr>
              <w:t xml:space="preserve">(0.089)   </w:t>
            </w:r>
          </w:p>
        </w:tc>
        <w:tc>
          <w:tcPr>
            <w:tcW w:w="1256" w:type="dxa"/>
            <w:tcBorders>
              <w:top w:val="nil"/>
              <w:left w:val="nil"/>
              <w:bottom w:val="nil"/>
              <w:right w:val="nil"/>
            </w:tcBorders>
            <w:shd w:val="clear" w:color="auto" w:fill="auto"/>
            <w:noWrap/>
            <w:vAlign w:val="bottom"/>
          </w:tcPr>
          <w:p w14:paraId="58B62403" w14:textId="77777777" w:rsidR="000020B9" w:rsidRPr="00E45B5B" w:rsidRDefault="000020B9" w:rsidP="00EF25E1">
            <w:pPr>
              <w:jc w:val="center"/>
              <w:rPr>
                <w:color w:val="000000"/>
                <w:sz w:val="20"/>
                <w:szCs w:val="20"/>
              </w:rPr>
            </w:pPr>
            <w:r w:rsidRPr="00E45B5B">
              <w:rPr>
                <w:color w:val="000000"/>
                <w:sz w:val="20"/>
                <w:szCs w:val="20"/>
              </w:rPr>
              <w:t xml:space="preserve">(0.089)   </w:t>
            </w:r>
          </w:p>
        </w:tc>
      </w:tr>
      <w:tr w:rsidR="000020B9" w:rsidRPr="00E45B5B" w14:paraId="51C472B5" w14:textId="77777777" w:rsidTr="00EF25E1">
        <w:trPr>
          <w:trHeight w:val="300"/>
        </w:trPr>
        <w:tc>
          <w:tcPr>
            <w:tcW w:w="10222" w:type="dxa"/>
            <w:gridSpan w:val="5"/>
            <w:tcBorders>
              <w:top w:val="nil"/>
              <w:left w:val="nil"/>
              <w:bottom w:val="nil"/>
              <w:right w:val="nil"/>
            </w:tcBorders>
            <w:shd w:val="clear" w:color="auto" w:fill="auto"/>
            <w:noWrap/>
          </w:tcPr>
          <w:p w14:paraId="62F7A6BC" w14:textId="77777777" w:rsidR="000020B9" w:rsidRPr="00E45B5B" w:rsidRDefault="000020B9" w:rsidP="00EF25E1">
            <w:pPr>
              <w:jc w:val="center"/>
              <w:rPr>
                <w:b/>
                <w:color w:val="000000"/>
                <w:sz w:val="20"/>
                <w:szCs w:val="20"/>
              </w:rPr>
            </w:pPr>
            <w:r w:rsidRPr="00E45B5B">
              <w:rPr>
                <w:b/>
                <w:color w:val="000000"/>
                <w:sz w:val="20"/>
                <w:szCs w:val="20"/>
              </w:rPr>
              <w:t>Controls</w:t>
            </w:r>
          </w:p>
        </w:tc>
      </w:tr>
      <w:tr w:rsidR="000020B9" w:rsidRPr="00E45B5B" w14:paraId="72E93EE2" w14:textId="77777777" w:rsidTr="00EF25E1">
        <w:trPr>
          <w:trHeight w:val="300"/>
        </w:trPr>
        <w:tc>
          <w:tcPr>
            <w:tcW w:w="5052" w:type="dxa"/>
            <w:tcBorders>
              <w:top w:val="nil"/>
              <w:left w:val="nil"/>
              <w:bottom w:val="nil"/>
              <w:right w:val="nil"/>
            </w:tcBorders>
            <w:shd w:val="clear" w:color="auto" w:fill="auto"/>
            <w:noWrap/>
          </w:tcPr>
          <w:p w14:paraId="78715F9E" w14:textId="77777777" w:rsidR="000020B9" w:rsidRPr="00E45B5B" w:rsidRDefault="000020B9" w:rsidP="00EF25E1">
            <w:pPr>
              <w:rPr>
                <w:color w:val="000000"/>
                <w:sz w:val="20"/>
                <w:szCs w:val="20"/>
              </w:rPr>
            </w:pPr>
          </w:p>
        </w:tc>
        <w:tc>
          <w:tcPr>
            <w:tcW w:w="1329" w:type="dxa"/>
            <w:tcBorders>
              <w:top w:val="nil"/>
              <w:left w:val="nil"/>
              <w:bottom w:val="nil"/>
              <w:right w:val="nil"/>
            </w:tcBorders>
            <w:shd w:val="clear" w:color="auto" w:fill="auto"/>
            <w:noWrap/>
            <w:vAlign w:val="bottom"/>
          </w:tcPr>
          <w:p w14:paraId="306E36BF"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329" w:type="dxa"/>
            <w:tcBorders>
              <w:top w:val="nil"/>
              <w:left w:val="nil"/>
              <w:bottom w:val="nil"/>
              <w:right w:val="nil"/>
            </w:tcBorders>
            <w:shd w:val="clear" w:color="auto" w:fill="auto"/>
            <w:noWrap/>
            <w:vAlign w:val="bottom"/>
          </w:tcPr>
          <w:p w14:paraId="0F370B17" w14:textId="77777777" w:rsidR="000020B9" w:rsidRPr="00E45B5B" w:rsidRDefault="000020B9" w:rsidP="00EF25E1">
            <w:pPr>
              <w:jc w:val="center"/>
              <w:rPr>
                <w:color w:val="000000"/>
                <w:sz w:val="20"/>
                <w:szCs w:val="20"/>
              </w:rPr>
            </w:pPr>
            <w:r w:rsidRPr="00E45B5B">
              <w:rPr>
                <w:color w:val="000000"/>
                <w:sz w:val="20"/>
                <w:szCs w:val="20"/>
              </w:rPr>
              <w:t xml:space="preserve">-1.662   </w:t>
            </w:r>
          </w:p>
        </w:tc>
        <w:tc>
          <w:tcPr>
            <w:tcW w:w="1256" w:type="dxa"/>
            <w:tcBorders>
              <w:top w:val="nil"/>
              <w:left w:val="nil"/>
              <w:bottom w:val="nil"/>
              <w:right w:val="nil"/>
            </w:tcBorders>
            <w:shd w:val="clear" w:color="auto" w:fill="auto"/>
            <w:noWrap/>
            <w:vAlign w:val="bottom"/>
          </w:tcPr>
          <w:p w14:paraId="4DB132B1" w14:textId="77777777" w:rsidR="000020B9" w:rsidRPr="00E45B5B" w:rsidRDefault="000020B9" w:rsidP="00EF25E1">
            <w:pPr>
              <w:jc w:val="center"/>
              <w:rPr>
                <w:color w:val="000000"/>
                <w:sz w:val="20"/>
                <w:szCs w:val="20"/>
              </w:rPr>
            </w:pPr>
            <w:r w:rsidRPr="00E45B5B">
              <w:rPr>
                <w:color w:val="000000"/>
                <w:sz w:val="20"/>
                <w:szCs w:val="20"/>
              </w:rPr>
              <w:t xml:space="preserve">-1.651   </w:t>
            </w:r>
          </w:p>
        </w:tc>
        <w:tc>
          <w:tcPr>
            <w:tcW w:w="1256" w:type="dxa"/>
            <w:tcBorders>
              <w:top w:val="nil"/>
              <w:left w:val="nil"/>
              <w:bottom w:val="nil"/>
              <w:right w:val="nil"/>
            </w:tcBorders>
            <w:shd w:val="clear" w:color="auto" w:fill="auto"/>
            <w:noWrap/>
            <w:vAlign w:val="bottom"/>
          </w:tcPr>
          <w:p w14:paraId="21F29921" w14:textId="77777777" w:rsidR="000020B9" w:rsidRPr="00E45B5B" w:rsidRDefault="000020B9" w:rsidP="00EF25E1">
            <w:pPr>
              <w:jc w:val="center"/>
              <w:rPr>
                <w:color w:val="000000"/>
                <w:sz w:val="20"/>
                <w:szCs w:val="20"/>
              </w:rPr>
            </w:pPr>
            <w:r w:rsidRPr="00E45B5B">
              <w:rPr>
                <w:color w:val="000000"/>
                <w:sz w:val="20"/>
                <w:szCs w:val="20"/>
              </w:rPr>
              <w:t xml:space="preserve">-1.629   </w:t>
            </w:r>
          </w:p>
        </w:tc>
      </w:tr>
      <w:tr w:rsidR="000020B9" w:rsidRPr="00E45B5B" w14:paraId="7FA2DE9F" w14:textId="77777777" w:rsidTr="00EF25E1">
        <w:trPr>
          <w:trHeight w:val="300"/>
        </w:trPr>
        <w:tc>
          <w:tcPr>
            <w:tcW w:w="5052" w:type="dxa"/>
            <w:tcBorders>
              <w:top w:val="nil"/>
              <w:left w:val="nil"/>
              <w:bottom w:val="nil"/>
              <w:right w:val="nil"/>
            </w:tcBorders>
            <w:shd w:val="clear" w:color="auto" w:fill="auto"/>
            <w:noWrap/>
            <w:vAlign w:val="bottom"/>
          </w:tcPr>
          <w:p w14:paraId="791E5145" w14:textId="77777777" w:rsidR="000020B9" w:rsidRPr="00E45B5B" w:rsidRDefault="000020B9" w:rsidP="00EF25E1">
            <w:pPr>
              <w:rPr>
                <w:color w:val="000000"/>
                <w:sz w:val="20"/>
                <w:szCs w:val="20"/>
              </w:rPr>
            </w:pPr>
            <w:r w:rsidRPr="00E45B5B">
              <w:rPr>
                <w:color w:val="000000"/>
                <w:sz w:val="20"/>
                <w:szCs w:val="20"/>
              </w:rPr>
              <w:t xml:space="preserve">Provision Rate </w:t>
            </w:r>
          </w:p>
        </w:tc>
        <w:tc>
          <w:tcPr>
            <w:tcW w:w="1329" w:type="dxa"/>
            <w:tcBorders>
              <w:top w:val="nil"/>
              <w:left w:val="nil"/>
              <w:bottom w:val="nil"/>
              <w:right w:val="nil"/>
            </w:tcBorders>
            <w:shd w:val="clear" w:color="auto" w:fill="auto"/>
            <w:noWrap/>
            <w:vAlign w:val="bottom"/>
          </w:tcPr>
          <w:p w14:paraId="1B20B6EF"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329" w:type="dxa"/>
            <w:tcBorders>
              <w:top w:val="nil"/>
              <w:left w:val="nil"/>
              <w:bottom w:val="nil"/>
              <w:right w:val="nil"/>
            </w:tcBorders>
            <w:shd w:val="clear" w:color="auto" w:fill="auto"/>
            <w:noWrap/>
            <w:vAlign w:val="bottom"/>
          </w:tcPr>
          <w:p w14:paraId="5116B3D5" w14:textId="77777777" w:rsidR="000020B9" w:rsidRPr="00E45B5B" w:rsidRDefault="000020B9" w:rsidP="00EF25E1">
            <w:pPr>
              <w:jc w:val="center"/>
              <w:rPr>
                <w:color w:val="000000"/>
                <w:sz w:val="20"/>
                <w:szCs w:val="20"/>
              </w:rPr>
            </w:pPr>
            <w:r w:rsidRPr="00E45B5B">
              <w:rPr>
                <w:color w:val="000000"/>
                <w:sz w:val="20"/>
                <w:szCs w:val="20"/>
              </w:rPr>
              <w:t xml:space="preserve">(1.968)   </w:t>
            </w:r>
          </w:p>
        </w:tc>
        <w:tc>
          <w:tcPr>
            <w:tcW w:w="1256" w:type="dxa"/>
            <w:tcBorders>
              <w:top w:val="nil"/>
              <w:left w:val="nil"/>
              <w:bottom w:val="nil"/>
              <w:right w:val="nil"/>
            </w:tcBorders>
            <w:shd w:val="clear" w:color="auto" w:fill="auto"/>
            <w:noWrap/>
            <w:vAlign w:val="bottom"/>
          </w:tcPr>
          <w:p w14:paraId="6EFDD761" w14:textId="77777777" w:rsidR="000020B9" w:rsidRPr="00E45B5B" w:rsidRDefault="000020B9" w:rsidP="00EF25E1">
            <w:pPr>
              <w:jc w:val="center"/>
              <w:rPr>
                <w:color w:val="000000"/>
                <w:sz w:val="20"/>
                <w:szCs w:val="20"/>
              </w:rPr>
            </w:pPr>
            <w:r w:rsidRPr="00E45B5B">
              <w:rPr>
                <w:color w:val="000000"/>
                <w:sz w:val="20"/>
                <w:szCs w:val="20"/>
              </w:rPr>
              <w:t xml:space="preserve">(1.967)   </w:t>
            </w:r>
          </w:p>
        </w:tc>
        <w:tc>
          <w:tcPr>
            <w:tcW w:w="1256" w:type="dxa"/>
            <w:tcBorders>
              <w:top w:val="nil"/>
              <w:left w:val="nil"/>
              <w:bottom w:val="nil"/>
              <w:right w:val="nil"/>
            </w:tcBorders>
            <w:shd w:val="clear" w:color="auto" w:fill="auto"/>
            <w:noWrap/>
            <w:vAlign w:val="bottom"/>
          </w:tcPr>
          <w:p w14:paraId="1B3C9EC0" w14:textId="77777777" w:rsidR="000020B9" w:rsidRPr="00E45B5B" w:rsidRDefault="000020B9" w:rsidP="00EF25E1">
            <w:pPr>
              <w:jc w:val="center"/>
              <w:rPr>
                <w:color w:val="000000"/>
                <w:sz w:val="20"/>
                <w:szCs w:val="20"/>
              </w:rPr>
            </w:pPr>
            <w:r w:rsidRPr="00E45B5B">
              <w:rPr>
                <w:color w:val="000000"/>
                <w:sz w:val="20"/>
                <w:szCs w:val="20"/>
              </w:rPr>
              <w:t xml:space="preserve">(1.979)   </w:t>
            </w:r>
          </w:p>
        </w:tc>
      </w:tr>
      <w:tr w:rsidR="000020B9" w:rsidRPr="00E45B5B" w14:paraId="5DD7A269" w14:textId="77777777" w:rsidTr="00EF25E1">
        <w:trPr>
          <w:trHeight w:val="300"/>
        </w:trPr>
        <w:tc>
          <w:tcPr>
            <w:tcW w:w="5052" w:type="dxa"/>
            <w:tcBorders>
              <w:top w:val="nil"/>
              <w:left w:val="nil"/>
              <w:bottom w:val="nil"/>
              <w:right w:val="nil"/>
            </w:tcBorders>
            <w:shd w:val="clear" w:color="auto" w:fill="auto"/>
            <w:noWrap/>
          </w:tcPr>
          <w:p w14:paraId="264386C7" w14:textId="77777777" w:rsidR="000020B9" w:rsidRPr="00E45B5B" w:rsidRDefault="000020B9" w:rsidP="00EF25E1">
            <w:pPr>
              <w:rPr>
                <w:color w:val="000000"/>
                <w:sz w:val="20"/>
                <w:szCs w:val="20"/>
              </w:rPr>
            </w:pPr>
          </w:p>
        </w:tc>
        <w:tc>
          <w:tcPr>
            <w:tcW w:w="1329" w:type="dxa"/>
            <w:tcBorders>
              <w:top w:val="nil"/>
              <w:left w:val="nil"/>
              <w:bottom w:val="nil"/>
              <w:right w:val="nil"/>
            </w:tcBorders>
            <w:shd w:val="clear" w:color="auto" w:fill="auto"/>
            <w:noWrap/>
            <w:vAlign w:val="bottom"/>
          </w:tcPr>
          <w:p w14:paraId="07965471"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329" w:type="dxa"/>
            <w:tcBorders>
              <w:top w:val="nil"/>
              <w:left w:val="nil"/>
              <w:bottom w:val="nil"/>
              <w:right w:val="nil"/>
            </w:tcBorders>
            <w:shd w:val="clear" w:color="auto" w:fill="auto"/>
            <w:noWrap/>
            <w:vAlign w:val="bottom"/>
          </w:tcPr>
          <w:p w14:paraId="2D3225DB" w14:textId="77777777" w:rsidR="000020B9" w:rsidRPr="00E45B5B" w:rsidRDefault="000020B9" w:rsidP="00EF25E1">
            <w:pPr>
              <w:jc w:val="center"/>
              <w:rPr>
                <w:color w:val="000000"/>
                <w:sz w:val="20"/>
                <w:szCs w:val="20"/>
              </w:rPr>
            </w:pPr>
            <w:r w:rsidRPr="00E45B5B">
              <w:rPr>
                <w:color w:val="000000"/>
                <w:sz w:val="20"/>
                <w:szCs w:val="20"/>
              </w:rPr>
              <w:t>1.493***</w:t>
            </w:r>
          </w:p>
        </w:tc>
        <w:tc>
          <w:tcPr>
            <w:tcW w:w="1256" w:type="dxa"/>
            <w:tcBorders>
              <w:top w:val="nil"/>
              <w:left w:val="nil"/>
              <w:bottom w:val="nil"/>
              <w:right w:val="nil"/>
            </w:tcBorders>
            <w:shd w:val="clear" w:color="auto" w:fill="auto"/>
            <w:noWrap/>
            <w:vAlign w:val="bottom"/>
          </w:tcPr>
          <w:p w14:paraId="77E2FBE0" w14:textId="77777777" w:rsidR="000020B9" w:rsidRPr="00E45B5B" w:rsidRDefault="000020B9" w:rsidP="00EF25E1">
            <w:pPr>
              <w:jc w:val="center"/>
              <w:rPr>
                <w:color w:val="000000"/>
                <w:sz w:val="20"/>
                <w:szCs w:val="20"/>
              </w:rPr>
            </w:pPr>
            <w:r w:rsidRPr="00E45B5B">
              <w:rPr>
                <w:color w:val="000000"/>
                <w:sz w:val="20"/>
                <w:szCs w:val="20"/>
              </w:rPr>
              <w:t>1.498***</w:t>
            </w:r>
          </w:p>
        </w:tc>
        <w:tc>
          <w:tcPr>
            <w:tcW w:w="1256" w:type="dxa"/>
            <w:tcBorders>
              <w:top w:val="nil"/>
              <w:left w:val="nil"/>
              <w:bottom w:val="nil"/>
              <w:right w:val="nil"/>
            </w:tcBorders>
            <w:shd w:val="clear" w:color="auto" w:fill="auto"/>
            <w:noWrap/>
            <w:vAlign w:val="bottom"/>
          </w:tcPr>
          <w:p w14:paraId="59E5BEDA" w14:textId="77777777" w:rsidR="000020B9" w:rsidRPr="00E45B5B" w:rsidRDefault="000020B9" w:rsidP="00EF25E1">
            <w:pPr>
              <w:jc w:val="center"/>
              <w:rPr>
                <w:color w:val="000000"/>
                <w:sz w:val="20"/>
                <w:szCs w:val="20"/>
              </w:rPr>
            </w:pPr>
            <w:r w:rsidRPr="00E45B5B">
              <w:rPr>
                <w:color w:val="000000"/>
                <w:sz w:val="20"/>
                <w:szCs w:val="20"/>
              </w:rPr>
              <w:t>1.494***</w:t>
            </w:r>
          </w:p>
        </w:tc>
      </w:tr>
      <w:tr w:rsidR="000020B9" w:rsidRPr="00E45B5B" w14:paraId="5FCE1C50" w14:textId="77777777" w:rsidTr="00EF25E1">
        <w:trPr>
          <w:trHeight w:val="300"/>
        </w:trPr>
        <w:tc>
          <w:tcPr>
            <w:tcW w:w="5052" w:type="dxa"/>
            <w:tcBorders>
              <w:top w:val="nil"/>
              <w:left w:val="nil"/>
              <w:bottom w:val="nil"/>
              <w:right w:val="nil"/>
            </w:tcBorders>
            <w:shd w:val="clear" w:color="auto" w:fill="auto"/>
            <w:noWrap/>
            <w:vAlign w:val="bottom"/>
          </w:tcPr>
          <w:p w14:paraId="347E8198" w14:textId="77777777" w:rsidR="000020B9" w:rsidRPr="00E45B5B" w:rsidRDefault="000020B9" w:rsidP="00EF25E1">
            <w:pPr>
              <w:rPr>
                <w:color w:val="000000"/>
                <w:sz w:val="20"/>
                <w:szCs w:val="20"/>
              </w:rPr>
            </w:pPr>
            <w:r w:rsidRPr="00E45B5B">
              <w:rPr>
                <w:color w:val="000000"/>
                <w:sz w:val="20"/>
                <w:szCs w:val="20"/>
              </w:rPr>
              <w:t>Profitability</w:t>
            </w:r>
          </w:p>
        </w:tc>
        <w:tc>
          <w:tcPr>
            <w:tcW w:w="1329" w:type="dxa"/>
            <w:tcBorders>
              <w:top w:val="nil"/>
              <w:left w:val="nil"/>
              <w:bottom w:val="nil"/>
              <w:right w:val="nil"/>
            </w:tcBorders>
            <w:shd w:val="clear" w:color="auto" w:fill="auto"/>
            <w:noWrap/>
            <w:vAlign w:val="bottom"/>
          </w:tcPr>
          <w:p w14:paraId="743E69D3"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329" w:type="dxa"/>
            <w:tcBorders>
              <w:top w:val="nil"/>
              <w:left w:val="nil"/>
              <w:bottom w:val="nil"/>
              <w:right w:val="nil"/>
            </w:tcBorders>
            <w:shd w:val="clear" w:color="auto" w:fill="auto"/>
            <w:noWrap/>
            <w:vAlign w:val="bottom"/>
          </w:tcPr>
          <w:p w14:paraId="196EBA0B" w14:textId="77777777" w:rsidR="000020B9" w:rsidRPr="00E45B5B" w:rsidRDefault="000020B9" w:rsidP="00EF25E1">
            <w:pPr>
              <w:jc w:val="center"/>
              <w:rPr>
                <w:color w:val="000000"/>
                <w:sz w:val="20"/>
                <w:szCs w:val="20"/>
              </w:rPr>
            </w:pPr>
            <w:r w:rsidRPr="00E45B5B">
              <w:rPr>
                <w:color w:val="000000"/>
                <w:sz w:val="20"/>
                <w:szCs w:val="20"/>
              </w:rPr>
              <w:t xml:space="preserve">(0.306)   </w:t>
            </w:r>
          </w:p>
        </w:tc>
        <w:tc>
          <w:tcPr>
            <w:tcW w:w="1256" w:type="dxa"/>
            <w:tcBorders>
              <w:top w:val="nil"/>
              <w:left w:val="nil"/>
              <w:bottom w:val="nil"/>
              <w:right w:val="nil"/>
            </w:tcBorders>
            <w:shd w:val="clear" w:color="auto" w:fill="auto"/>
            <w:noWrap/>
            <w:vAlign w:val="bottom"/>
          </w:tcPr>
          <w:p w14:paraId="47E3EB2C" w14:textId="77777777" w:rsidR="000020B9" w:rsidRPr="00E45B5B" w:rsidRDefault="000020B9" w:rsidP="00EF25E1">
            <w:pPr>
              <w:jc w:val="center"/>
              <w:rPr>
                <w:color w:val="000000"/>
                <w:sz w:val="20"/>
                <w:szCs w:val="20"/>
              </w:rPr>
            </w:pPr>
            <w:r w:rsidRPr="00E45B5B">
              <w:rPr>
                <w:color w:val="000000"/>
                <w:sz w:val="20"/>
                <w:szCs w:val="20"/>
              </w:rPr>
              <w:t xml:space="preserve">(0.304)   </w:t>
            </w:r>
          </w:p>
        </w:tc>
        <w:tc>
          <w:tcPr>
            <w:tcW w:w="1256" w:type="dxa"/>
            <w:tcBorders>
              <w:top w:val="nil"/>
              <w:left w:val="nil"/>
              <w:bottom w:val="nil"/>
              <w:right w:val="nil"/>
            </w:tcBorders>
            <w:shd w:val="clear" w:color="auto" w:fill="auto"/>
            <w:noWrap/>
            <w:vAlign w:val="bottom"/>
          </w:tcPr>
          <w:p w14:paraId="0DC1D326" w14:textId="77777777" w:rsidR="000020B9" w:rsidRPr="00E45B5B" w:rsidRDefault="000020B9" w:rsidP="00EF25E1">
            <w:pPr>
              <w:jc w:val="center"/>
              <w:rPr>
                <w:color w:val="000000"/>
                <w:sz w:val="20"/>
                <w:szCs w:val="20"/>
              </w:rPr>
            </w:pPr>
            <w:r w:rsidRPr="00E45B5B">
              <w:rPr>
                <w:color w:val="000000"/>
                <w:sz w:val="20"/>
                <w:szCs w:val="20"/>
              </w:rPr>
              <w:t xml:space="preserve">(0.302)   </w:t>
            </w:r>
          </w:p>
        </w:tc>
      </w:tr>
      <w:tr w:rsidR="000020B9" w:rsidRPr="00E45B5B" w14:paraId="6C0BEF5C" w14:textId="77777777" w:rsidTr="00EF25E1">
        <w:trPr>
          <w:trHeight w:val="300"/>
        </w:trPr>
        <w:tc>
          <w:tcPr>
            <w:tcW w:w="5052" w:type="dxa"/>
            <w:tcBorders>
              <w:top w:val="nil"/>
              <w:left w:val="nil"/>
              <w:bottom w:val="nil"/>
              <w:right w:val="nil"/>
            </w:tcBorders>
            <w:shd w:val="clear" w:color="auto" w:fill="auto"/>
            <w:noWrap/>
          </w:tcPr>
          <w:p w14:paraId="01211C28" w14:textId="77777777" w:rsidR="000020B9" w:rsidRPr="00E45B5B" w:rsidRDefault="000020B9" w:rsidP="00EF25E1">
            <w:pPr>
              <w:rPr>
                <w:color w:val="000000"/>
                <w:sz w:val="20"/>
                <w:szCs w:val="20"/>
              </w:rPr>
            </w:pPr>
          </w:p>
        </w:tc>
        <w:tc>
          <w:tcPr>
            <w:tcW w:w="1329" w:type="dxa"/>
            <w:tcBorders>
              <w:top w:val="nil"/>
              <w:left w:val="nil"/>
              <w:bottom w:val="nil"/>
              <w:right w:val="nil"/>
            </w:tcBorders>
            <w:shd w:val="clear" w:color="auto" w:fill="auto"/>
            <w:noWrap/>
            <w:vAlign w:val="bottom"/>
          </w:tcPr>
          <w:p w14:paraId="6E41DE01"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329" w:type="dxa"/>
            <w:tcBorders>
              <w:top w:val="nil"/>
              <w:left w:val="nil"/>
              <w:bottom w:val="nil"/>
              <w:right w:val="nil"/>
            </w:tcBorders>
            <w:shd w:val="clear" w:color="auto" w:fill="auto"/>
            <w:noWrap/>
            <w:vAlign w:val="bottom"/>
          </w:tcPr>
          <w:p w14:paraId="6FEEC466"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256" w:type="dxa"/>
            <w:tcBorders>
              <w:top w:val="nil"/>
              <w:left w:val="nil"/>
              <w:bottom w:val="nil"/>
              <w:right w:val="nil"/>
            </w:tcBorders>
            <w:shd w:val="clear" w:color="auto" w:fill="auto"/>
            <w:noWrap/>
            <w:vAlign w:val="bottom"/>
          </w:tcPr>
          <w:p w14:paraId="35F161FC" w14:textId="77777777" w:rsidR="000020B9" w:rsidRPr="00E45B5B" w:rsidRDefault="000020B9" w:rsidP="00EF25E1">
            <w:pPr>
              <w:jc w:val="center"/>
              <w:rPr>
                <w:color w:val="000000"/>
                <w:sz w:val="20"/>
                <w:szCs w:val="20"/>
              </w:rPr>
            </w:pPr>
            <w:r w:rsidRPr="00E45B5B">
              <w:rPr>
                <w:color w:val="000000"/>
                <w:sz w:val="20"/>
                <w:szCs w:val="20"/>
              </w:rPr>
              <w:t xml:space="preserve">-0.178   </w:t>
            </w:r>
          </w:p>
        </w:tc>
        <w:tc>
          <w:tcPr>
            <w:tcW w:w="1256" w:type="dxa"/>
            <w:tcBorders>
              <w:top w:val="nil"/>
              <w:left w:val="nil"/>
              <w:bottom w:val="nil"/>
              <w:right w:val="nil"/>
            </w:tcBorders>
            <w:shd w:val="clear" w:color="auto" w:fill="auto"/>
            <w:noWrap/>
            <w:vAlign w:val="bottom"/>
          </w:tcPr>
          <w:p w14:paraId="0848CDCD" w14:textId="77777777" w:rsidR="000020B9" w:rsidRPr="00E45B5B" w:rsidRDefault="000020B9" w:rsidP="00EF25E1">
            <w:pPr>
              <w:jc w:val="center"/>
              <w:rPr>
                <w:color w:val="000000"/>
                <w:sz w:val="20"/>
                <w:szCs w:val="20"/>
              </w:rPr>
            </w:pPr>
            <w:r w:rsidRPr="00E45B5B">
              <w:rPr>
                <w:color w:val="000000"/>
                <w:sz w:val="20"/>
                <w:szCs w:val="20"/>
              </w:rPr>
              <w:t xml:space="preserve">-0.166   </w:t>
            </w:r>
          </w:p>
        </w:tc>
      </w:tr>
      <w:tr w:rsidR="000020B9" w:rsidRPr="00E45B5B" w14:paraId="542600D0" w14:textId="77777777" w:rsidTr="00EF25E1">
        <w:trPr>
          <w:trHeight w:val="300"/>
        </w:trPr>
        <w:tc>
          <w:tcPr>
            <w:tcW w:w="5052" w:type="dxa"/>
            <w:tcBorders>
              <w:top w:val="nil"/>
              <w:left w:val="nil"/>
              <w:bottom w:val="nil"/>
              <w:right w:val="nil"/>
            </w:tcBorders>
            <w:shd w:val="clear" w:color="auto" w:fill="auto"/>
            <w:noWrap/>
            <w:vAlign w:val="bottom"/>
          </w:tcPr>
          <w:p w14:paraId="20EA9DFA" w14:textId="77777777" w:rsidR="000020B9" w:rsidRPr="00E45B5B" w:rsidRDefault="000020B9" w:rsidP="00EF25E1">
            <w:pPr>
              <w:rPr>
                <w:color w:val="000000"/>
                <w:sz w:val="20"/>
                <w:szCs w:val="20"/>
              </w:rPr>
            </w:pPr>
            <w:r w:rsidRPr="00E45B5B">
              <w:rPr>
                <w:color w:val="000000"/>
                <w:sz w:val="20"/>
                <w:szCs w:val="20"/>
              </w:rPr>
              <w:t>Market Share (assets)</w:t>
            </w:r>
          </w:p>
        </w:tc>
        <w:tc>
          <w:tcPr>
            <w:tcW w:w="1329" w:type="dxa"/>
            <w:tcBorders>
              <w:top w:val="nil"/>
              <w:left w:val="nil"/>
              <w:bottom w:val="nil"/>
              <w:right w:val="nil"/>
            </w:tcBorders>
            <w:shd w:val="clear" w:color="auto" w:fill="auto"/>
            <w:noWrap/>
            <w:vAlign w:val="bottom"/>
          </w:tcPr>
          <w:p w14:paraId="63BB358B"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329" w:type="dxa"/>
            <w:tcBorders>
              <w:top w:val="nil"/>
              <w:left w:val="nil"/>
              <w:bottom w:val="nil"/>
              <w:right w:val="nil"/>
            </w:tcBorders>
            <w:shd w:val="clear" w:color="auto" w:fill="auto"/>
            <w:noWrap/>
            <w:vAlign w:val="bottom"/>
          </w:tcPr>
          <w:p w14:paraId="2001F867"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256" w:type="dxa"/>
            <w:tcBorders>
              <w:top w:val="nil"/>
              <w:left w:val="nil"/>
              <w:bottom w:val="nil"/>
              <w:right w:val="nil"/>
            </w:tcBorders>
            <w:shd w:val="clear" w:color="auto" w:fill="auto"/>
            <w:noWrap/>
            <w:vAlign w:val="bottom"/>
          </w:tcPr>
          <w:p w14:paraId="06A35845" w14:textId="77777777" w:rsidR="000020B9" w:rsidRPr="00E45B5B" w:rsidRDefault="000020B9" w:rsidP="00EF25E1">
            <w:pPr>
              <w:jc w:val="center"/>
              <w:rPr>
                <w:color w:val="000000"/>
                <w:sz w:val="20"/>
                <w:szCs w:val="20"/>
              </w:rPr>
            </w:pPr>
            <w:r w:rsidRPr="00E45B5B">
              <w:rPr>
                <w:color w:val="000000"/>
                <w:sz w:val="20"/>
                <w:szCs w:val="20"/>
              </w:rPr>
              <w:t xml:space="preserve">(0.503)   </w:t>
            </w:r>
          </w:p>
        </w:tc>
        <w:tc>
          <w:tcPr>
            <w:tcW w:w="1256" w:type="dxa"/>
            <w:tcBorders>
              <w:top w:val="nil"/>
              <w:left w:val="nil"/>
              <w:bottom w:val="nil"/>
              <w:right w:val="nil"/>
            </w:tcBorders>
            <w:shd w:val="clear" w:color="auto" w:fill="auto"/>
            <w:noWrap/>
            <w:vAlign w:val="bottom"/>
          </w:tcPr>
          <w:p w14:paraId="437E022B" w14:textId="77777777" w:rsidR="000020B9" w:rsidRPr="00E45B5B" w:rsidRDefault="000020B9" w:rsidP="00EF25E1">
            <w:pPr>
              <w:jc w:val="center"/>
              <w:rPr>
                <w:color w:val="000000"/>
                <w:sz w:val="20"/>
                <w:szCs w:val="20"/>
              </w:rPr>
            </w:pPr>
            <w:r w:rsidRPr="00E45B5B">
              <w:rPr>
                <w:color w:val="000000"/>
                <w:sz w:val="20"/>
                <w:szCs w:val="20"/>
              </w:rPr>
              <w:t xml:space="preserve">(0.510)   </w:t>
            </w:r>
          </w:p>
        </w:tc>
      </w:tr>
      <w:tr w:rsidR="000020B9" w:rsidRPr="00E45B5B" w14:paraId="5743C723" w14:textId="77777777" w:rsidTr="00EF25E1">
        <w:trPr>
          <w:trHeight w:val="300"/>
        </w:trPr>
        <w:tc>
          <w:tcPr>
            <w:tcW w:w="5052" w:type="dxa"/>
            <w:tcBorders>
              <w:top w:val="nil"/>
              <w:left w:val="nil"/>
              <w:bottom w:val="nil"/>
              <w:right w:val="nil"/>
            </w:tcBorders>
            <w:shd w:val="clear" w:color="auto" w:fill="auto"/>
            <w:noWrap/>
          </w:tcPr>
          <w:p w14:paraId="50FA198E" w14:textId="77777777" w:rsidR="000020B9" w:rsidRPr="00E45B5B" w:rsidRDefault="000020B9" w:rsidP="00EF25E1">
            <w:pPr>
              <w:rPr>
                <w:color w:val="000000"/>
                <w:sz w:val="20"/>
                <w:szCs w:val="20"/>
              </w:rPr>
            </w:pPr>
          </w:p>
        </w:tc>
        <w:tc>
          <w:tcPr>
            <w:tcW w:w="1329" w:type="dxa"/>
            <w:tcBorders>
              <w:top w:val="nil"/>
              <w:left w:val="nil"/>
              <w:bottom w:val="nil"/>
              <w:right w:val="nil"/>
            </w:tcBorders>
            <w:shd w:val="clear" w:color="auto" w:fill="auto"/>
            <w:noWrap/>
            <w:vAlign w:val="bottom"/>
          </w:tcPr>
          <w:p w14:paraId="25B34F4E"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329" w:type="dxa"/>
            <w:tcBorders>
              <w:top w:val="nil"/>
              <w:left w:val="nil"/>
              <w:bottom w:val="nil"/>
              <w:right w:val="nil"/>
            </w:tcBorders>
            <w:shd w:val="clear" w:color="auto" w:fill="auto"/>
            <w:noWrap/>
            <w:vAlign w:val="bottom"/>
          </w:tcPr>
          <w:p w14:paraId="6AF61A55"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256" w:type="dxa"/>
            <w:tcBorders>
              <w:top w:val="nil"/>
              <w:left w:val="nil"/>
              <w:bottom w:val="nil"/>
              <w:right w:val="nil"/>
            </w:tcBorders>
            <w:shd w:val="clear" w:color="auto" w:fill="auto"/>
            <w:noWrap/>
            <w:vAlign w:val="bottom"/>
          </w:tcPr>
          <w:p w14:paraId="7E5D1527"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256" w:type="dxa"/>
            <w:tcBorders>
              <w:top w:val="nil"/>
              <w:left w:val="nil"/>
              <w:bottom w:val="nil"/>
              <w:right w:val="nil"/>
            </w:tcBorders>
            <w:shd w:val="clear" w:color="auto" w:fill="auto"/>
            <w:noWrap/>
            <w:vAlign w:val="bottom"/>
          </w:tcPr>
          <w:p w14:paraId="5401771F" w14:textId="77777777" w:rsidR="000020B9" w:rsidRPr="00E45B5B" w:rsidRDefault="000020B9" w:rsidP="00EF25E1">
            <w:pPr>
              <w:jc w:val="center"/>
              <w:rPr>
                <w:color w:val="000000"/>
                <w:sz w:val="20"/>
                <w:szCs w:val="20"/>
              </w:rPr>
            </w:pPr>
            <w:r w:rsidRPr="00E45B5B">
              <w:rPr>
                <w:color w:val="000000"/>
                <w:sz w:val="20"/>
                <w:szCs w:val="20"/>
              </w:rPr>
              <w:t xml:space="preserve">-0.851   </w:t>
            </w:r>
          </w:p>
        </w:tc>
      </w:tr>
      <w:tr w:rsidR="000020B9" w:rsidRPr="00E45B5B" w14:paraId="4841EFA9" w14:textId="77777777" w:rsidTr="00EF25E1">
        <w:trPr>
          <w:trHeight w:val="300"/>
        </w:trPr>
        <w:tc>
          <w:tcPr>
            <w:tcW w:w="5052" w:type="dxa"/>
            <w:tcBorders>
              <w:top w:val="nil"/>
              <w:left w:val="nil"/>
              <w:bottom w:val="nil"/>
              <w:right w:val="nil"/>
            </w:tcBorders>
            <w:shd w:val="clear" w:color="auto" w:fill="auto"/>
            <w:noWrap/>
            <w:vAlign w:val="bottom"/>
          </w:tcPr>
          <w:p w14:paraId="5E3B729D" w14:textId="77777777" w:rsidR="000020B9" w:rsidRPr="00E45B5B" w:rsidRDefault="000020B9" w:rsidP="00EF25E1">
            <w:pPr>
              <w:rPr>
                <w:color w:val="000000"/>
                <w:sz w:val="20"/>
                <w:szCs w:val="20"/>
              </w:rPr>
            </w:pPr>
            <w:r w:rsidRPr="00E45B5B">
              <w:rPr>
                <w:color w:val="000000"/>
                <w:sz w:val="20"/>
                <w:szCs w:val="20"/>
              </w:rPr>
              <w:t>HHI (assets)</w:t>
            </w:r>
          </w:p>
        </w:tc>
        <w:tc>
          <w:tcPr>
            <w:tcW w:w="1329" w:type="dxa"/>
            <w:tcBorders>
              <w:top w:val="nil"/>
              <w:left w:val="nil"/>
              <w:bottom w:val="nil"/>
              <w:right w:val="nil"/>
            </w:tcBorders>
            <w:shd w:val="clear" w:color="auto" w:fill="auto"/>
            <w:noWrap/>
            <w:vAlign w:val="bottom"/>
          </w:tcPr>
          <w:p w14:paraId="29A8D644"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329" w:type="dxa"/>
            <w:tcBorders>
              <w:top w:val="nil"/>
              <w:left w:val="nil"/>
              <w:bottom w:val="nil"/>
              <w:right w:val="nil"/>
            </w:tcBorders>
            <w:shd w:val="clear" w:color="auto" w:fill="auto"/>
            <w:noWrap/>
            <w:vAlign w:val="bottom"/>
          </w:tcPr>
          <w:p w14:paraId="4D30B164"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256" w:type="dxa"/>
            <w:tcBorders>
              <w:top w:val="nil"/>
              <w:left w:val="nil"/>
              <w:bottom w:val="nil"/>
              <w:right w:val="nil"/>
            </w:tcBorders>
            <w:shd w:val="clear" w:color="auto" w:fill="auto"/>
            <w:noWrap/>
            <w:vAlign w:val="bottom"/>
          </w:tcPr>
          <w:p w14:paraId="60121621"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256" w:type="dxa"/>
            <w:tcBorders>
              <w:top w:val="nil"/>
              <w:left w:val="nil"/>
              <w:bottom w:val="nil"/>
              <w:right w:val="nil"/>
            </w:tcBorders>
            <w:shd w:val="clear" w:color="auto" w:fill="auto"/>
            <w:noWrap/>
            <w:vAlign w:val="bottom"/>
          </w:tcPr>
          <w:p w14:paraId="30E7D0CC" w14:textId="77777777" w:rsidR="000020B9" w:rsidRPr="00E45B5B" w:rsidRDefault="000020B9" w:rsidP="00EF25E1">
            <w:pPr>
              <w:jc w:val="center"/>
              <w:rPr>
                <w:color w:val="000000"/>
                <w:sz w:val="20"/>
                <w:szCs w:val="20"/>
              </w:rPr>
            </w:pPr>
            <w:r w:rsidRPr="00E45B5B">
              <w:rPr>
                <w:color w:val="000000"/>
                <w:sz w:val="20"/>
                <w:szCs w:val="20"/>
              </w:rPr>
              <w:t xml:space="preserve">(0.994)   </w:t>
            </w:r>
          </w:p>
        </w:tc>
      </w:tr>
      <w:tr w:rsidR="000020B9" w:rsidRPr="00E45B5B" w14:paraId="06EDF9A6" w14:textId="77777777" w:rsidTr="00EF25E1">
        <w:trPr>
          <w:trHeight w:val="315"/>
        </w:trPr>
        <w:tc>
          <w:tcPr>
            <w:tcW w:w="5052" w:type="dxa"/>
            <w:tcBorders>
              <w:top w:val="nil"/>
              <w:left w:val="nil"/>
              <w:bottom w:val="double" w:sz="6" w:space="0" w:color="auto"/>
              <w:right w:val="nil"/>
            </w:tcBorders>
            <w:shd w:val="clear" w:color="auto" w:fill="auto"/>
            <w:noWrap/>
          </w:tcPr>
          <w:p w14:paraId="24940029" w14:textId="77777777" w:rsidR="000020B9" w:rsidRPr="00E45B5B" w:rsidRDefault="000020B9" w:rsidP="00EF25E1">
            <w:pPr>
              <w:rPr>
                <w:color w:val="000000"/>
                <w:sz w:val="20"/>
                <w:szCs w:val="20"/>
              </w:rPr>
            </w:pPr>
            <w:r w:rsidRPr="00E45B5B">
              <w:rPr>
                <w:color w:val="000000"/>
                <w:sz w:val="20"/>
                <w:szCs w:val="20"/>
              </w:rPr>
              <w:t> </w:t>
            </w:r>
          </w:p>
        </w:tc>
        <w:tc>
          <w:tcPr>
            <w:tcW w:w="1329" w:type="dxa"/>
            <w:tcBorders>
              <w:top w:val="nil"/>
              <w:left w:val="nil"/>
              <w:bottom w:val="double" w:sz="6" w:space="0" w:color="auto"/>
              <w:right w:val="nil"/>
            </w:tcBorders>
            <w:shd w:val="clear" w:color="auto" w:fill="auto"/>
            <w:noWrap/>
          </w:tcPr>
          <w:p w14:paraId="5CD6EF99" w14:textId="77777777" w:rsidR="000020B9" w:rsidRPr="00E45B5B" w:rsidRDefault="000020B9" w:rsidP="00EF25E1">
            <w:pPr>
              <w:jc w:val="center"/>
              <w:rPr>
                <w:color w:val="000000"/>
                <w:sz w:val="20"/>
                <w:szCs w:val="20"/>
              </w:rPr>
            </w:pPr>
            <w:r w:rsidRPr="00E45B5B">
              <w:rPr>
                <w:color w:val="000000"/>
                <w:sz w:val="20"/>
                <w:szCs w:val="20"/>
              </w:rPr>
              <w:t> </w:t>
            </w:r>
          </w:p>
        </w:tc>
        <w:tc>
          <w:tcPr>
            <w:tcW w:w="1329" w:type="dxa"/>
            <w:tcBorders>
              <w:top w:val="nil"/>
              <w:left w:val="nil"/>
              <w:bottom w:val="double" w:sz="6" w:space="0" w:color="auto"/>
              <w:right w:val="nil"/>
            </w:tcBorders>
            <w:shd w:val="clear" w:color="auto" w:fill="auto"/>
            <w:noWrap/>
          </w:tcPr>
          <w:p w14:paraId="3CB29E18" w14:textId="77777777" w:rsidR="000020B9" w:rsidRPr="00E45B5B" w:rsidRDefault="000020B9" w:rsidP="00EF25E1">
            <w:pPr>
              <w:jc w:val="center"/>
              <w:rPr>
                <w:color w:val="000000"/>
                <w:sz w:val="20"/>
                <w:szCs w:val="20"/>
              </w:rPr>
            </w:pPr>
            <w:r w:rsidRPr="00E45B5B">
              <w:rPr>
                <w:color w:val="000000"/>
                <w:sz w:val="20"/>
                <w:szCs w:val="20"/>
              </w:rPr>
              <w:t> </w:t>
            </w:r>
          </w:p>
        </w:tc>
        <w:tc>
          <w:tcPr>
            <w:tcW w:w="1256" w:type="dxa"/>
            <w:tcBorders>
              <w:top w:val="nil"/>
              <w:left w:val="nil"/>
              <w:bottom w:val="double" w:sz="6" w:space="0" w:color="auto"/>
              <w:right w:val="nil"/>
            </w:tcBorders>
            <w:shd w:val="clear" w:color="auto" w:fill="auto"/>
            <w:noWrap/>
          </w:tcPr>
          <w:p w14:paraId="2B67CC92" w14:textId="77777777" w:rsidR="000020B9" w:rsidRPr="00E45B5B" w:rsidRDefault="000020B9" w:rsidP="00EF25E1">
            <w:pPr>
              <w:jc w:val="center"/>
              <w:rPr>
                <w:color w:val="000000"/>
                <w:sz w:val="20"/>
                <w:szCs w:val="20"/>
              </w:rPr>
            </w:pPr>
            <w:r w:rsidRPr="00E45B5B">
              <w:rPr>
                <w:color w:val="000000"/>
                <w:sz w:val="20"/>
                <w:szCs w:val="20"/>
              </w:rPr>
              <w:t> </w:t>
            </w:r>
          </w:p>
        </w:tc>
        <w:tc>
          <w:tcPr>
            <w:tcW w:w="1256" w:type="dxa"/>
            <w:tcBorders>
              <w:top w:val="nil"/>
              <w:left w:val="nil"/>
              <w:bottom w:val="double" w:sz="6" w:space="0" w:color="auto"/>
              <w:right w:val="nil"/>
            </w:tcBorders>
            <w:shd w:val="clear" w:color="auto" w:fill="auto"/>
            <w:noWrap/>
          </w:tcPr>
          <w:p w14:paraId="481FCC50" w14:textId="77777777" w:rsidR="000020B9" w:rsidRPr="00E45B5B" w:rsidRDefault="000020B9" w:rsidP="00EF25E1">
            <w:pPr>
              <w:jc w:val="center"/>
              <w:rPr>
                <w:color w:val="000000"/>
                <w:sz w:val="20"/>
                <w:szCs w:val="20"/>
              </w:rPr>
            </w:pPr>
            <w:r w:rsidRPr="00E45B5B">
              <w:rPr>
                <w:color w:val="000000"/>
                <w:sz w:val="20"/>
                <w:szCs w:val="20"/>
              </w:rPr>
              <w:t> </w:t>
            </w:r>
          </w:p>
        </w:tc>
      </w:tr>
      <w:tr w:rsidR="000020B9" w:rsidRPr="00E45B5B" w14:paraId="28464834" w14:textId="77777777" w:rsidTr="00EF25E1">
        <w:trPr>
          <w:trHeight w:val="315"/>
        </w:trPr>
        <w:tc>
          <w:tcPr>
            <w:tcW w:w="6381" w:type="dxa"/>
            <w:gridSpan w:val="2"/>
            <w:tcBorders>
              <w:top w:val="nil"/>
              <w:left w:val="nil"/>
              <w:bottom w:val="nil"/>
              <w:right w:val="nil"/>
            </w:tcBorders>
            <w:shd w:val="clear" w:color="auto" w:fill="auto"/>
            <w:noWrap/>
            <w:vAlign w:val="bottom"/>
          </w:tcPr>
          <w:p w14:paraId="728F0DF3" w14:textId="77777777" w:rsidR="000020B9" w:rsidRPr="00E45B5B" w:rsidRDefault="000020B9" w:rsidP="00EF25E1">
            <w:pPr>
              <w:rPr>
                <w:color w:val="000000"/>
                <w:sz w:val="20"/>
                <w:szCs w:val="20"/>
                <w:lang w:val="en-US"/>
              </w:rPr>
            </w:pPr>
            <w:r w:rsidRPr="00E45B5B">
              <w:rPr>
                <w:color w:val="000000"/>
                <w:sz w:val="20"/>
                <w:szCs w:val="20"/>
                <w:lang w:val="en-US"/>
              </w:rPr>
              <w:t xml:space="preserve">H-Statistics (Panzar and </w:t>
            </w:r>
            <w:r>
              <w:rPr>
                <w:color w:val="000000"/>
                <w:sz w:val="20"/>
                <w:szCs w:val="20"/>
                <w:lang w:val="en-US"/>
              </w:rPr>
              <w:t>Rosse</w:t>
            </w:r>
            <w:r w:rsidRPr="00E45B5B">
              <w:rPr>
                <w:color w:val="000000"/>
                <w:sz w:val="20"/>
                <w:szCs w:val="20"/>
                <w:lang w:val="en-US"/>
              </w:rPr>
              <w:t>)</w:t>
            </w:r>
          </w:p>
        </w:tc>
        <w:tc>
          <w:tcPr>
            <w:tcW w:w="1329" w:type="dxa"/>
            <w:tcBorders>
              <w:top w:val="nil"/>
              <w:left w:val="nil"/>
              <w:bottom w:val="nil"/>
              <w:right w:val="nil"/>
            </w:tcBorders>
            <w:shd w:val="clear" w:color="auto" w:fill="auto"/>
            <w:noWrap/>
            <w:vAlign w:val="bottom"/>
          </w:tcPr>
          <w:p w14:paraId="75170967" w14:textId="77777777" w:rsidR="000020B9" w:rsidRPr="00E45B5B" w:rsidRDefault="000020B9" w:rsidP="00EF25E1">
            <w:pPr>
              <w:jc w:val="center"/>
              <w:rPr>
                <w:color w:val="000000"/>
                <w:sz w:val="20"/>
                <w:szCs w:val="20"/>
                <w:lang w:val="en-US"/>
              </w:rPr>
            </w:pPr>
          </w:p>
        </w:tc>
        <w:tc>
          <w:tcPr>
            <w:tcW w:w="1256" w:type="dxa"/>
            <w:tcBorders>
              <w:top w:val="nil"/>
              <w:left w:val="nil"/>
              <w:bottom w:val="nil"/>
              <w:right w:val="nil"/>
            </w:tcBorders>
            <w:shd w:val="clear" w:color="auto" w:fill="auto"/>
            <w:noWrap/>
            <w:vAlign w:val="bottom"/>
          </w:tcPr>
          <w:p w14:paraId="0FD0A470" w14:textId="77777777" w:rsidR="000020B9" w:rsidRPr="00E45B5B" w:rsidRDefault="000020B9" w:rsidP="00EF25E1">
            <w:pPr>
              <w:jc w:val="center"/>
              <w:rPr>
                <w:color w:val="000000"/>
                <w:sz w:val="20"/>
                <w:szCs w:val="20"/>
                <w:lang w:val="en-US"/>
              </w:rPr>
            </w:pPr>
          </w:p>
        </w:tc>
        <w:tc>
          <w:tcPr>
            <w:tcW w:w="1256" w:type="dxa"/>
            <w:tcBorders>
              <w:top w:val="nil"/>
              <w:left w:val="nil"/>
              <w:bottom w:val="nil"/>
              <w:right w:val="nil"/>
            </w:tcBorders>
            <w:shd w:val="clear" w:color="auto" w:fill="auto"/>
            <w:noWrap/>
            <w:vAlign w:val="bottom"/>
          </w:tcPr>
          <w:p w14:paraId="52412571" w14:textId="77777777" w:rsidR="000020B9" w:rsidRPr="00E45B5B" w:rsidRDefault="000020B9" w:rsidP="00EF25E1">
            <w:pPr>
              <w:jc w:val="center"/>
              <w:rPr>
                <w:color w:val="000000"/>
                <w:sz w:val="20"/>
                <w:szCs w:val="20"/>
                <w:lang w:val="en-US"/>
              </w:rPr>
            </w:pPr>
          </w:p>
        </w:tc>
      </w:tr>
      <w:tr w:rsidR="000020B9" w:rsidRPr="00E45B5B" w14:paraId="41A74D03" w14:textId="77777777" w:rsidTr="00EF25E1">
        <w:trPr>
          <w:trHeight w:val="300"/>
        </w:trPr>
        <w:tc>
          <w:tcPr>
            <w:tcW w:w="5052" w:type="dxa"/>
            <w:tcBorders>
              <w:top w:val="nil"/>
              <w:left w:val="nil"/>
              <w:bottom w:val="nil"/>
              <w:right w:val="nil"/>
            </w:tcBorders>
            <w:shd w:val="clear" w:color="auto" w:fill="auto"/>
            <w:noWrap/>
            <w:vAlign w:val="bottom"/>
          </w:tcPr>
          <w:p w14:paraId="2B4CB8CD" w14:textId="77777777" w:rsidR="000020B9" w:rsidRPr="00E45B5B" w:rsidRDefault="000020B9" w:rsidP="00EF25E1">
            <w:pPr>
              <w:rPr>
                <w:color w:val="000000"/>
                <w:sz w:val="20"/>
                <w:szCs w:val="20"/>
              </w:rPr>
            </w:pPr>
            <w:r w:rsidRPr="00E45B5B">
              <w:rPr>
                <w:color w:val="000000"/>
                <w:sz w:val="20"/>
                <w:szCs w:val="20"/>
                <w:lang w:val="en-US"/>
              </w:rPr>
              <w:t xml:space="preserve">    </w:t>
            </w:r>
            <w:r w:rsidRPr="00E45B5B">
              <w:rPr>
                <w:color w:val="000000"/>
                <w:sz w:val="20"/>
                <w:szCs w:val="20"/>
              </w:rPr>
              <w:t>Standard H</w:t>
            </w:r>
          </w:p>
        </w:tc>
        <w:tc>
          <w:tcPr>
            <w:tcW w:w="1329" w:type="dxa"/>
            <w:tcBorders>
              <w:top w:val="nil"/>
              <w:left w:val="nil"/>
              <w:bottom w:val="nil"/>
              <w:right w:val="nil"/>
            </w:tcBorders>
            <w:shd w:val="clear" w:color="auto" w:fill="auto"/>
            <w:noWrap/>
          </w:tcPr>
          <w:p w14:paraId="395A5602" w14:textId="77777777" w:rsidR="000020B9" w:rsidRPr="00E45B5B" w:rsidRDefault="000020B9" w:rsidP="00EF25E1">
            <w:pPr>
              <w:jc w:val="center"/>
              <w:rPr>
                <w:color w:val="000000"/>
                <w:sz w:val="20"/>
                <w:szCs w:val="20"/>
              </w:rPr>
            </w:pPr>
            <w:r w:rsidRPr="00E45B5B">
              <w:rPr>
                <w:color w:val="000000"/>
                <w:sz w:val="20"/>
                <w:szCs w:val="20"/>
              </w:rPr>
              <w:t>0.128</w:t>
            </w:r>
          </w:p>
        </w:tc>
        <w:tc>
          <w:tcPr>
            <w:tcW w:w="1329" w:type="dxa"/>
            <w:tcBorders>
              <w:top w:val="nil"/>
              <w:left w:val="nil"/>
              <w:bottom w:val="nil"/>
              <w:right w:val="nil"/>
            </w:tcBorders>
            <w:shd w:val="clear" w:color="auto" w:fill="auto"/>
            <w:noWrap/>
          </w:tcPr>
          <w:p w14:paraId="59A253C8" w14:textId="77777777" w:rsidR="000020B9" w:rsidRPr="00E45B5B" w:rsidRDefault="000020B9" w:rsidP="00EF25E1">
            <w:pPr>
              <w:jc w:val="center"/>
              <w:rPr>
                <w:color w:val="000000"/>
                <w:sz w:val="20"/>
                <w:szCs w:val="20"/>
              </w:rPr>
            </w:pPr>
            <w:r w:rsidRPr="00E45B5B">
              <w:rPr>
                <w:color w:val="000000"/>
                <w:sz w:val="20"/>
                <w:szCs w:val="20"/>
              </w:rPr>
              <w:t>0.128</w:t>
            </w:r>
          </w:p>
        </w:tc>
        <w:tc>
          <w:tcPr>
            <w:tcW w:w="1256" w:type="dxa"/>
            <w:tcBorders>
              <w:top w:val="nil"/>
              <w:left w:val="nil"/>
              <w:bottom w:val="nil"/>
              <w:right w:val="nil"/>
            </w:tcBorders>
            <w:shd w:val="clear" w:color="auto" w:fill="auto"/>
            <w:noWrap/>
          </w:tcPr>
          <w:p w14:paraId="4374FD51" w14:textId="77777777" w:rsidR="000020B9" w:rsidRPr="00E45B5B" w:rsidRDefault="000020B9" w:rsidP="00EF25E1">
            <w:pPr>
              <w:jc w:val="center"/>
              <w:rPr>
                <w:color w:val="000000"/>
                <w:sz w:val="20"/>
                <w:szCs w:val="20"/>
              </w:rPr>
            </w:pPr>
            <w:r w:rsidRPr="00E45B5B">
              <w:rPr>
                <w:color w:val="000000"/>
                <w:sz w:val="20"/>
                <w:szCs w:val="20"/>
              </w:rPr>
              <w:t>0.128</w:t>
            </w:r>
          </w:p>
        </w:tc>
        <w:tc>
          <w:tcPr>
            <w:tcW w:w="1256" w:type="dxa"/>
            <w:tcBorders>
              <w:top w:val="nil"/>
              <w:left w:val="nil"/>
              <w:bottom w:val="nil"/>
              <w:right w:val="nil"/>
            </w:tcBorders>
            <w:shd w:val="clear" w:color="auto" w:fill="auto"/>
            <w:noWrap/>
          </w:tcPr>
          <w:p w14:paraId="7A26E836" w14:textId="77777777" w:rsidR="000020B9" w:rsidRPr="00E45B5B" w:rsidRDefault="000020B9" w:rsidP="00EF25E1">
            <w:pPr>
              <w:jc w:val="center"/>
              <w:rPr>
                <w:color w:val="000000"/>
                <w:sz w:val="20"/>
                <w:szCs w:val="20"/>
              </w:rPr>
            </w:pPr>
            <w:r w:rsidRPr="00E45B5B">
              <w:rPr>
                <w:color w:val="000000"/>
                <w:sz w:val="20"/>
                <w:szCs w:val="20"/>
              </w:rPr>
              <w:t>0.128</w:t>
            </w:r>
          </w:p>
        </w:tc>
      </w:tr>
      <w:tr w:rsidR="000020B9" w:rsidRPr="00E45B5B" w14:paraId="7410E6BE" w14:textId="77777777" w:rsidTr="00EF25E1">
        <w:trPr>
          <w:trHeight w:val="315"/>
        </w:trPr>
        <w:tc>
          <w:tcPr>
            <w:tcW w:w="5052" w:type="dxa"/>
            <w:tcBorders>
              <w:top w:val="nil"/>
              <w:left w:val="nil"/>
              <w:bottom w:val="double" w:sz="6" w:space="0" w:color="auto"/>
              <w:right w:val="nil"/>
            </w:tcBorders>
            <w:shd w:val="clear" w:color="auto" w:fill="auto"/>
            <w:noWrap/>
            <w:vAlign w:val="bottom"/>
          </w:tcPr>
          <w:p w14:paraId="4A424D6C" w14:textId="77777777" w:rsidR="000020B9" w:rsidRPr="00E45B5B" w:rsidRDefault="000020B9" w:rsidP="00EF25E1">
            <w:pPr>
              <w:rPr>
                <w:color w:val="000000"/>
                <w:sz w:val="20"/>
                <w:szCs w:val="20"/>
              </w:rPr>
            </w:pPr>
            <w:r>
              <w:rPr>
                <w:color w:val="000000"/>
                <w:sz w:val="20"/>
                <w:szCs w:val="20"/>
              </w:rPr>
              <w:t xml:space="preserve">    Δ</w:t>
            </w:r>
            <w:r w:rsidRPr="00E45B5B">
              <w:rPr>
                <w:color w:val="000000"/>
                <w:sz w:val="20"/>
                <w:szCs w:val="20"/>
              </w:rPr>
              <w:t>H</w:t>
            </w:r>
          </w:p>
        </w:tc>
        <w:tc>
          <w:tcPr>
            <w:tcW w:w="1329" w:type="dxa"/>
            <w:tcBorders>
              <w:top w:val="nil"/>
              <w:left w:val="nil"/>
              <w:bottom w:val="double" w:sz="6" w:space="0" w:color="auto"/>
              <w:right w:val="nil"/>
            </w:tcBorders>
            <w:shd w:val="clear" w:color="auto" w:fill="auto"/>
            <w:noWrap/>
          </w:tcPr>
          <w:p w14:paraId="6CA10033" w14:textId="77777777" w:rsidR="000020B9" w:rsidRPr="00E45B5B" w:rsidRDefault="000020B9" w:rsidP="00EF25E1">
            <w:pPr>
              <w:jc w:val="center"/>
              <w:rPr>
                <w:color w:val="000000"/>
                <w:sz w:val="20"/>
                <w:szCs w:val="20"/>
              </w:rPr>
            </w:pPr>
            <w:r w:rsidRPr="00E45B5B">
              <w:rPr>
                <w:color w:val="000000"/>
                <w:sz w:val="20"/>
                <w:szCs w:val="20"/>
              </w:rPr>
              <w:t>-0.281</w:t>
            </w:r>
          </w:p>
        </w:tc>
        <w:tc>
          <w:tcPr>
            <w:tcW w:w="1329" w:type="dxa"/>
            <w:tcBorders>
              <w:top w:val="nil"/>
              <w:left w:val="nil"/>
              <w:bottom w:val="double" w:sz="6" w:space="0" w:color="auto"/>
              <w:right w:val="nil"/>
            </w:tcBorders>
            <w:shd w:val="clear" w:color="auto" w:fill="auto"/>
            <w:noWrap/>
          </w:tcPr>
          <w:p w14:paraId="779187CE" w14:textId="77777777" w:rsidR="000020B9" w:rsidRPr="00E45B5B" w:rsidRDefault="000020B9" w:rsidP="00EF25E1">
            <w:pPr>
              <w:jc w:val="center"/>
              <w:rPr>
                <w:color w:val="000000"/>
                <w:sz w:val="20"/>
                <w:szCs w:val="20"/>
              </w:rPr>
            </w:pPr>
            <w:r w:rsidRPr="00E45B5B">
              <w:rPr>
                <w:color w:val="000000"/>
                <w:sz w:val="20"/>
                <w:szCs w:val="20"/>
              </w:rPr>
              <w:t>-0.288</w:t>
            </w:r>
          </w:p>
        </w:tc>
        <w:tc>
          <w:tcPr>
            <w:tcW w:w="1256" w:type="dxa"/>
            <w:tcBorders>
              <w:top w:val="nil"/>
              <w:left w:val="nil"/>
              <w:bottom w:val="double" w:sz="6" w:space="0" w:color="auto"/>
              <w:right w:val="nil"/>
            </w:tcBorders>
            <w:shd w:val="clear" w:color="auto" w:fill="auto"/>
            <w:noWrap/>
          </w:tcPr>
          <w:p w14:paraId="2513DD9A" w14:textId="77777777" w:rsidR="000020B9" w:rsidRPr="00E45B5B" w:rsidRDefault="000020B9" w:rsidP="00EF25E1">
            <w:pPr>
              <w:jc w:val="center"/>
              <w:rPr>
                <w:color w:val="000000"/>
                <w:sz w:val="20"/>
                <w:szCs w:val="20"/>
              </w:rPr>
            </w:pPr>
            <w:r w:rsidRPr="00E45B5B">
              <w:rPr>
                <w:color w:val="000000"/>
                <w:sz w:val="20"/>
                <w:szCs w:val="20"/>
              </w:rPr>
              <w:t>-0.288</w:t>
            </w:r>
          </w:p>
        </w:tc>
        <w:tc>
          <w:tcPr>
            <w:tcW w:w="1256" w:type="dxa"/>
            <w:tcBorders>
              <w:top w:val="nil"/>
              <w:left w:val="nil"/>
              <w:bottom w:val="double" w:sz="6" w:space="0" w:color="auto"/>
              <w:right w:val="nil"/>
            </w:tcBorders>
            <w:shd w:val="clear" w:color="auto" w:fill="auto"/>
            <w:noWrap/>
          </w:tcPr>
          <w:p w14:paraId="062928DA" w14:textId="77777777" w:rsidR="000020B9" w:rsidRPr="00E45B5B" w:rsidRDefault="000020B9" w:rsidP="00EF25E1">
            <w:pPr>
              <w:jc w:val="center"/>
              <w:rPr>
                <w:color w:val="000000"/>
                <w:sz w:val="20"/>
                <w:szCs w:val="20"/>
              </w:rPr>
            </w:pPr>
            <w:r w:rsidRPr="00E45B5B">
              <w:rPr>
                <w:color w:val="000000"/>
                <w:sz w:val="20"/>
                <w:szCs w:val="20"/>
              </w:rPr>
              <w:t>-0.289</w:t>
            </w:r>
          </w:p>
        </w:tc>
      </w:tr>
      <w:tr w:rsidR="000020B9" w:rsidRPr="00E45B5B" w14:paraId="25F6FDA5" w14:textId="77777777" w:rsidTr="00EF25E1">
        <w:trPr>
          <w:trHeight w:val="330"/>
        </w:trPr>
        <w:tc>
          <w:tcPr>
            <w:tcW w:w="5052" w:type="dxa"/>
            <w:tcBorders>
              <w:top w:val="nil"/>
              <w:left w:val="nil"/>
              <w:bottom w:val="double" w:sz="6" w:space="0" w:color="auto"/>
              <w:right w:val="nil"/>
            </w:tcBorders>
            <w:shd w:val="clear" w:color="auto" w:fill="auto"/>
            <w:noWrap/>
          </w:tcPr>
          <w:p w14:paraId="47710607" w14:textId="77777777" w:rsidR="000020B9" w:rsidRPr="00E45B5B" w:rsidRDefault="000020B9" w:rsidP="00EF25E1">
            <w:pPr>
              <w:rPr>
                <w:color w:val="000000"/>
                <w:sz w:val="20"/>
                <w:szCs w:val="20"/>
                <w:lang w:val="en-US"/>
              </w:rPr>
            </w:pPr>
            <w:r w:rsidRPr="00E45B5B">
              <w:rPr>
                <w:color w:val="000000"/>
                <w:sz w:val="20"/>
                <w:szCs w:val="20"/>
                <w:lang w:val="en-US"/>
              </w:rPr>
              <w:t xml:space="preserve">    Adjusted H = Standard H + </w:t>
            </w:r>
            <w:r>
              <w:rPr>
                <w:color w:val="000000"/>
                <w:sz w:val="20"/>
                <w:szCs w:val="20"/>
              </w:rPr>
              <w:t>Δ</w:t>
            </w:r>
            <w:r w:rsidRPr="00E45B5B">
              <w:rPr>
                <w:color w:val="000000"/>
                <w:sz w:val="20"/>
                <w:szCs w:val="20"/>
                <w:lang w:val="en-US"/>
              </w:rPr>
              <w:t>H</w:t>
            </w:r>
          </w:p>
        </w:tc>
        <w:tc>
          <w:tcPr>
            <w:tcW w:w="1329" w:type="dxa"/>
            <w:tcBorders>
              <w:top w:val="nil"/>
              <w:left w:val="nil"/>
              <w:bottom w:val="double" w:sz="6" w:space="0" w:color="auto"/>
              <w:right w:val="nil"/>
            </w:tcBorders>
            <w:shd w:val="clear" w:color="auto" w:fill="auto"/>
            <w:noWrap/>
          </w:tcPr>
          <w:p w14:paraId="56010FE3" w14:textId="77777777" w:rsidR="000020B9" w:rsidRPr="00E45B5B" w:rsidRDefault="000020B9" w:rsidP="00EF25E1">
            <w:pPr>
              <w:jc w:val="center"/>
              <w:rPr>
                <w:color w:val="000000"/>
                <w:sz w:val="20"/>
                <w:szCs w:val="20"/>
              </w:rPr>
            </w:pPr>
            <w:r w:rsidRPr="00E45B5B">
              <w:rPr>
                <w:color w:val="000000"/>
                <w:sz w:val="20"/>
                <w:szCs w:val="20"/>
              </w:rPr>
              <w:t>-0.153</w:t>
            </w:r>
          </w:p>
        </w:tc>
        <w:tc>
          <w:tcPr>
            <w:tcW w:w="1329" w:type="dxa"/>
            <w:tcBorders>
              <w:top w:val="nil"/>
              <w:left w:val="nil"/>
              <w:bottom w:val="double" w:sz="6" w:space="0" w:color="auto"/>
              <w:right w:val="nil"/>
            </w:tcBorders>
            <w:shd w:val="clear" w:color="auto" w:fill="auto"/>
            <w:noWrap/>
          </w:tcPr>
          <w:p w14:paraId="01CB4D09" w14:textId="77777777" w:rsidR="000020B9" w:rsidRPr="00E45B5B" w:rsidRDefault="000020B9" w:rsidP="00EF25E1">
            <w:pPr>
              <w:jc w:val="center"/>
              <w:rPr>
                <w:color w:val="000000"/>
                <w:sz w:val="20"/>
                <w:szCs w:val="20"/>
              </w:rPr>
            </w:pPr>
            <w:r w:rsidRPr="00E45B5B">
              <w:rPr>
                <w:color w:val="000000"/>
                <w:sz w:val="20"/>
                <w:szCs w:val="20"/>
              </w:rPr>
              <w:t>-0.160</w:t>
            </w:r>
          </w:p>
        </w:tc>
        <w:tc>
          <w:tcPr>
            <w:tcW w:w="1256" w:type="dxa"/>
            <w:tcBorders>
              <w:top w:val="nil"/>
              <w:left w:val="nil"/>
              <w:bottom w:val="double" w:sz="6" w:space="0" w:color="auto"/>
              <w:right w:val="nil"/>
            </w:tcBorders>
            <w:shd w:val="clear" w:color="auto" w:fill="auto"/>
            <w:noWrap/>
          </w:tcPr>
          <w:p w14:paraId="6F571660" w14:textId="77777777" w:rsidR="000020B9" w:rsidRPr="00E45B5B" w:rsidRDefault="000020B9" w:rsidP="00EF25E1">
            <w:pPr>
              <w:jc w:val="center"/>
              <w:rPr>
                <w:color w:val="000000"/>
                <w:sz w:val="20"/>
                <w:szCs w:val="20"/>
              </w:rPr>
            </w:pPr>
            <w:r w:rsidRPr="00E45B5B">
              <w:rPr>
                <w:color w:val="000000"/>
                <w:sz w:val="20"/>
                <w:szCs w:val="20"/>
              </w:rPr>
              <w:t>-0.160</w:t>
            </w:r>
          </w:p>
        </w:tc>
        <w:tc>
          <w:tcPr>
            <w:tcW w:w="1256" w:type="dxa"/>
            <w:tcBorders>
              <w:top w:val="nil"/>
              <w:left w:val="nil"/>
              <w:bottom w:val="double" w:sz="6" w:space="0" w:color="auto"/>
              <w:right w:val="nil"/>
            </w:tcBorders>
            <w:shd w:val="clear" w:color="auto" w:fill="auto"/>
            <w:noWrap/>
          </w:tcPr>
          <w:p w14:paraId="7B026559" w14:textId="77777777" w:rsidR="000020B9" w:rsidRPr="00E45B5B" w:rsidRDefault="000020B9" w:rsidP="00EF25E1">
            <w:pPr>
              <w:jc w:val="center"/>
              <w:rPr>
                <w:color w:val="000000"/>
                <w:sz w:val="20"/>
                <w:szCs w:val="20"/>
              </w:rPr>
            </w:pPr>
            <w:r w:rsidRPr="00E45B5B">
              <w:rPr>
                <w:color w:val="000000"/>
                <w:sz w:val="20"/>
                <w:szCs w:val="20"/>
              </w:rPr>
              <w:t>-0.161</w:t>
            </w:r>
          </w:p>
        </w:tc>
      </w:tr>
      <w:tr w:rsidR="000020B9" w:rsidRPr="00E45B5B" w14:paraId="6D3B8CE7" w14:textId="77777777" w:rsidTr="00EF25E1">
        <w:trPr>
          <w:trHeight w:val="315"/>
        </w:trPr>
        <w:tc>
          <w:tcPr>
            <w:tcW w:w="5052" w:type="dxa"/>
            <w:tcBorders>
              <w:top w:val="nil"/>
              <w:left w:val="nil"/>
              <w:bottom w:val="nil"/>
              <w:right w:val="nil"/>
            </w:tcBorders>
            <w:shd w:val="clear" w:color="auto" w:fill="auto"/>
            <w:noWrap/>
            <w:vAlign w:val="bottom"/>
          </w:tcPr>
          <w:p w14:paraId="0F6D7597" w14:textId="77777777" w:rsidR="000020B9" w:rsidRPr="00E45B5B" w:rsidRDefault="000020B9" w:rsidP="00EF25E1">
            <w:pPr>
              <w:rPr>
                <w:color w:val="000000"/>
                <w:sz w:val="20"/>
                <w:szCs w:val="20"/>
              </w:rPr>
            </w:pPr>
            <w:r>
              <w:rPr>
                <w:color w:val="000000"/>
                <w:sz w:val="20"/>
                <w:szCs w:val="20"/>
              </w:rPr>
              <w:t>Δ</w:t>
            </w:r>
            <w:r w:rsidRPr="00E45B5B">
              <w:rPr>
                <w:color w:val="000000"/>
                <w:sz w:val="20"/>
                <w:szCs w:val="20"/>
              </w:rPr>
              <w:t>H-Statistics</w:t>
            </w:r>
          </w:p>
        </w:tc>
        <w:tc>
          <w:tcPr>
            <w:tcW w:w="1329" w:type="dxa"/>
            <w:tcBorders>
              <w:top w:val="nil"/>
              <w:left w:val="nil"/>
              <w:bottom w:val="nil"/>
              <w:right w:val="nil"/>
            </w:tcBorders>
            <w:shd w:val="clear" w:color="auto" w:fill="auto"/>
            <w:noWrap/>
            <w:vAlign w:val="bottom"/>
          </w:tcPr>
          <w:p w14:paraId="7544E2BE" w14:textId="77777777" w:rsidR="000020B9" w:rsidRPr="00E45B5B" w:rsidRDefault="000020B9" w:rsidP="00EF25E1">
            <w:pPr>
              <w:jc w:val="center"/>
              <w:rPr>
                <w:color w:val="000000"/>
                <w:sz w:val="20"/>
                <w:szCs w:val="20"/>
              </w:rPr>
            </w:pPr>
          </w:p>
        </w:tc>
        <w:tc>
          <w:tcPr>
            <w:tcW w:w="1329" w:type="dxa"/>
            <w:tcBorders>
              <w:top w:val="nil"/>
              <w:left w:val="nil"/>
              <w:bottom w:val="nil"/>
              <w:right w:val="nil"/>
            </w:tcBorders>
            <w:shd w:val="clear" w:color="auto" w:fill="auto"/>
            <w:noWrap/>
            <w:vAlign w:val="bottom"/>
          </w:tcPr>
          <w:p w14:paraId="6EBB7866" w14:textId="77777777" w:rsidR="000020B9" w:rsidRPr="00E45B5B" w:rsidRDefault="000020B9" w:rsidP="00EF25E1">
            <w:pPr>
              <w:jc w:val="center"/>
              <w:rPr>
                <w:color w:val="000000"/>
                <w:sz w:val="20"/>
                <w:szCs w:val="20"/>
              </w:rPr>
            </w:pPr>
          </w:p>
        </w:tc>
        <w:tc>
          <w:tcPr>
            <w:tcW w:w="1256" w:type="dxa"/>
            <w:tcBorders>
              <w:top w:val="nil"/>
              <w:left w:val="nil"/>
              <w:bottom w:val="nil"/>
              <w:right w:val="nil"/>
            </w:tcBorders>
            <w:shd w:val="clear" w:color="auto" w:fill="auto"/>
            <w:noWrap/>
            <w:vAlign w:val="bottom"/>
          </w:tcPr>
          <w:p w14:paraId="2906D81E" w14:textId="77777777" w:rsidR="000020B9" w:rsidRPr="00E45B5B" w:rsidRDefault="000020B9" w:rsidP="00EF25E1">
            <w:pPr>
              <w:jc w:val="center"/>
              <w:rPr>
                <w:color w:val="000000"/>
                <w:sz w:val="20"/>
                <w:szCs w:val="20"/>
              </w:rPr>
            </w:pPr>
          </w:p>
        </w:tc>
        <w:tc>
          <w:tcPr>
            <w:tcW w:w="1256" w:type="dxa"/>
            <w:tcBorders>
              <w:top w:val="nil"/>
              <w:left w:val="nil"/>
              <w:bottom w:val="nil"/>
              <w:right w:val="nil"/>
            </w:tcBorders>
            <w:shd w:val="clear" w:color="auto" w:fill="auto"/>
            <w:noWrap/>
            <w:vAlign w:val="bottom"/>
          </w:tcPr>
          <w:p w14:paraId="069DC281" w14:textId="77777777" w:rsidR="000020B9" w:rsidRPr="00E45B5B" w:rsidRDefault="000020B9" w:rsidP="00EF25E1">
            <w:pPr>
              <w:jc w:val="center"/>
              <w:rPr>
                <w:color w:val="000000"/>
                <w:sz w:val="20"/>
                <w:szCs w:val="20"/>
              </w:rPr>
            </w:pPr>
          </w:p>
        </w:tc>
      </w:tr>
      <w:tr w:rsidR="000020B9" w:rsidRPr="00E45B5B" w14:paraId="0CCB1FE4" w14:textId="77777777" w:rsidTr="00EF25E1">
        <w:trPr>
          <w:trHeight w:val="300"/>
        </w:trPr>
        <w:tc>
          <w:tcPr>
            <w:tcW w:w="5052" w:type="dxa"/>
            <w:tcBorders>
              <w:top w:val="nil"/>
              <w:left w:val="nil"/>
              <w:bottom w:val="nil"/>
              <w:right w:val="nil"/>
            </w:tcBorders>
            <w:shd w:val="clear" w:color="auto" w:fill="auto"/>
            <w:noWrap/>
            <w:vAlign w:val="bottom"/>
          </w:tcPr>
          <w:p w14:paraId="2099630B" w14:textId="77777777" w:rsidR="000020B9" w:rsidRPr="00E45B5B" w:rsidRDefault="000020B9" w:rsidP="00EF25E1">
            <w:pPr>
              <w:rPr>
                <w:color w:val="000000"/>
                <w:sz w:val="20"/>
                <w:szCs w:val="20"/>
              </w:rPr>
            </w:pPr>
            <w:r w:rsidRPr="00E45B5B">
              <w:rPr>
                <w:color w:val="000000"/>
                <w:sz w:val="20"/>
                <w:szCs w:val="20"/>
              </w:rPr>
              <w:t xml:space="preserve">    Estimated </w:t>
            </w:r>
            <w:r>
              <w:rPr>
                <w:color w:val="000000"/>
                <w:sz w:val="20"/>
                <w:szCs w:val="20"/>
              </w:rPr>
              <w:t>Δ</w:t>
            </w:r>
            <w:r w:rsidRPr="00E45B5B">
              <w:rPr>
                <w:color w:val="000000"/>
                <w:sz w:val="20"/>
                <w:szCs w:val="20"/>
              </w:rPr>
              <w:t>H</w:t>
            </w:r>
          </w:p>
        </w:tc>
        <w:tc>
          <w:tcPr>
            <w:tcW w:w="1329" w:type="dxa"/>
            <w:tcBorders>
              <w:top w:val="nil"/>
              <w:left w:val="nil"/>
              <w:bottom w:val="nil"/>
              <w:right w:val="nil"/>
            </w:tcBorders>
            <w:shd w:val="clear" w:color="auto" w:fill="auto"/>
            <w:noWrap/>
            <w:vAlign w:val="bottom"/>
          </w:tcPr>
          <w:p w14:paraId="377970D7" w14:textId="77777777" w:rsidR="000020B9" w:rsidRPr="00E45B5B" w:rsidRDefault="000020B9" w:rsidP="00EF25E1">
            <w:pPr>
              <w:jc w:val="center"/>
              <w:rPr>
                <w:color w:val="000000"/>
                <w:sz w:val="20"/>
                <w:szCs w:val="20"/>
              </w:rPr>
            </w:pPr>
            <w:r w:rsidRPr="00E45B5B">
              <w:rPr>
                <w:color w:val="000000"/>
                <w:sz w:val="20"/>
                <w:szCs w:val="20"/>
              </w:rPr>
              <w:t>-0.281</w:t>
            </w:r>
          </w:p>
        </w:tc>
        <w:tc>
          <w:tcPr>
            <w:tcW w:w="1329" w:type="dxa"/>
            <w:tcBorders>
              <w:top w:val="nil"/>
              <w:left w:val="nil"/>
              <w:bottom w:val="nil"/>
              <w:right w:val="nil"/>
            </w:tcBorders>
            <w:shd w:val="clear" w:color="auto" w:fill="auto"/>
            <w:noWrap/>
            <w:vAlign w:val="bottom"/>
          </w:tcPr>
          <w:p w14:paraId="48EACBC3" w14:textId="77777777" w:rsidR="000020B9" w:rsidRPr="00E45B5B" w:rsidRDefault="000020B9" w:rsidP="00EF25E1">
            <w:pPr>
              <w:jc w:val="center"/>
              <w:rPr>
                <w:color w:val="000000"/>
                <w:sz w:val="20"/>
                <w:szCs w:val="20"/>
              </w:rPr>
            </w:pPr>
            <w:r w:rsidRPr="00E45B5B">
              <w:rPr>
                <w:color w:val="000000"/>
                <w:sz w:val="20"/>
                <w:szCs w:val="20"/>
              </w:rPr>
              <w:t>-0.288</w:t>
            </w:r>
          </w:p>
        </w:tc>
        <w:tc>
          <w:tcPr>
            <w:tcW w:w="1256" w:type="dxa"/>
            <w:tcBorders>
              <w:top w:val="nil"/>
              <w:left w:val="nil"/>
              <w:bottom w:val="nil"/>
              <w:right w:val="nil"/>
            </w:tcBorders>
            <w:shd w:val="clear" w:color="auto" w:fill="auto"/>
            <w:noWrap/>
            <w:vAlign w:val="bottom"/>
          </w:tcPr>
          <w:p w14:paraId="7297C1A4" w14:textId="77777777" w:rsidR="000020B9" w:rsidRPr="00E45B5B" w:rsidRDefault="000020B9" w:rsidP="00EF25E1">
            <w:pPr>
              <w:jc w:val="center"/>
              <w:rPr>
                <w:color w:val="000000"/>
                <w:sz w:val="20"/>
                <w:szCs w:val="20"/>
              </w:rPr>
            </w:pPr>
            <w:r w:rsidRPr="00E45B5B">
              <w:rPr>
                <w:color w:val="000000"/>
                <w:sz w:val="20"/>
                <w:szCs w:val="20"/>
              </w:rPr>
              <w:t>-0.288</w:t>
            </w:r>
          </w:p>
        </w:tc>
        <w:tc>
          <w:tcPr>
            <w:tcW w:w="1256" w:type="dxa"/>
            <w:tcBorders>
              <w:top w:val="nil"/>
              <w:left w:val="nil"/>
              <w:bottom w:val="nil"/>
              <w:right w:val="nil"/>
            </w:tcBorders>
            <w:shd w:val="clear" w:color="auto" w:fill="auto"/>
            <w:noWrap/>
            <w:vAlign w:val="bottom"/>
          </w:tcPr>
          <w:p w14:paraId="42ECAD8F" w14:textId="77777777" w:rsidR="000020B9" w:rsidRPr="00E45B5B" w:rsidRDefault="000020B9" w:rsidP="00EF25E1">
            <w:pPr>
              <w:jc w:val="center"/>
              <w:rPr>
                <w:color w:val="000000"/>
                <w:sz w:val="20"/>
                <w:szCs w:val="20"/>
              </w:rPr>
            </w:pPr>
            <w:r w:rsidRPr="00E45B5B">
              <w:rPr>
                <w:color w:val="000000"/>
                <w:sz w:val="20"/>
                <w:szCs w:val="20"/>
              </w:rPr>
              <w:t>-0.289</w:t>
            </w:r>
          </w:p>
        </w:tc>
      </w:tr>
      <w:tr w:rsidR="000020B9" w:rsidRPr="00E45B5B" w14:paraId="32465A45" w14:textId="77777777" w:rsidTr="00EF25E1">
        <w:trPr>
          <w:trHeight w:val="300"/>
        </w:trPr>
        <w:tc>
          <w:tcPr>
            <w:tcW w:w="5052" w:type="dxa"/>
            <w:tcBorders>
              <w:top w:val="nil"/>
              <w:left w:val="nil"/>
              <w:bottom w:val="nil"/>
              <w:right w:val="nil"/>
            </w:tcBorders>
            <w:shd w:val="clear" w:color="auto" w:fill="auto"/>
            <w:noWrap/>
            <w:vAlign w:val="bottom"/>
          </w:tcPr>
          <w:p w14:paraId="6793389B" w14:textId="77777777" w:rsidR="000020B9" w:rsidRPr="00E45B5B" w:rsidRDefault="000020B9" w:rsidP="00EF25E1">
            <w:pPr>
              <w:rPr>
                <w:color w:val="000000"/>
                <w:sz w:val="20"/>
                <w:szCs w:val="20"/>
              </w:rPr>
            </w:pPr>
            <w:r w:rsidRPr="00E45B5B">
              <w:rPr>
                <w:color w:val="000000"/>
                <w:sz w:val="20"/>
                <w:szCs w:val="20"/>
              </w:rPr>
              <w:t xml:space="preserve">    Standard Deviation </w:t>
            </w:r>
            <w:r>
              <w:rPr>
                <w:color w:val="000000"/>
                <w:sz w:val="20"/>
                <w:szCs w:val="20"/>
              </w:rPr>
              <w:t>Δ</w:t>
            </w:r>
            <w:r w:rsidRPr="00E45B5B">
              <w:rPr>
                <w:color w:val="000000"/>
                <w:sz w:val="20"/>
                <w:szCs w:val="20"/>
              </w:rPr>
              <w:t>H</w:t>
            </w:r>
          </w:p>
        </w:tc>
        <w:tc>
          <w:tcPr>
            <w:tcW w:w="1329" w:type="dxa"/>
            <w:tcBorders>
              <w:top w:val="nil"/>
              <w:left w:val="nil"/>
              <w:bottom w:val="nil"/>
              <w:right w:val="nil"/>
            </w:tcBorders>
            <w:shd w:val="clear" w:color="auto" w:fill="auto"/>
            <w:noWrap/>
            <w:vAlign w:val="bottom"/>
          </w:tcPr>
          <w:p w14:paraId="15EF76CA" w14:textId="77777777" w:rsidR="000020B9" w:rsidRPr="00E45B5B" w:rsidRDefault="000020B9" w:rsidP="00EF25E1">
            <w:pPr>
              <w:jc w:val="center"/>
              <w:rPr>
                <w:color w:val="000000"/>
                <w:sz w:val="20"/>
                <w:szCs w:val="20"/>
              </w:rPr>
            </w:pPr>
            <w:r w:rsidRPr="00E45B5B">
              <w:rPr>
                <w:color w:val="000000"/>
                <w:sz w:val="20"/>
                <w:szCs w:val="20"/>
              </w:rPr>
              <w:t>0.166</w:t>
            </w:r>
          </w:p>
        </w:tc>
        <w:tc>
          <w:tcPr>
            <w:tcW w:w="1329" w:type="dxa"/>
            <w:tcBorders>
              <w:top w:val="nil"/>
              <w:left w:val="nil"/>
              <w:bottom w:val="nil"/>
              <w:right w:val="nil"/>
            </w:tcBorders>
            <w:shd w:val="clear" w:color="auto" w:fill="auto"/>
            <w:noWrap/>
            <w:vAlign w:val="bottom"/>
          </w:tcPr>
          <w:p w14:paraId="1EACED1D" w14:textId="77777777" w:rsidR="000020B9" w:rsidRPr="00E45B5B" w:rsidRDefault="000020B9" w:rsidP="00EF25E1">
            <w:pPr>
              <w:jc w:val="center"/>
              <w:rPr>
                <w:color w:val="000000"/>
                <w:sz w:val="20"/>
                <w:szCs w:val="20"/>
              </w:rPr>
            </w:pPr>
            <w:r w:rsidRPr="00E45B5B">
              <w:rPr>
                <w:color w:val="000000"/>
                <w:sz w:val="20"/>
                <w:szCs w:val="20"/>
              </w:rPr>
              <w:t>0.159</w:t>
            </w:r>
          </w:p>
        </w:tc>
        <w:tc>
          <w:tcPr>
            <w:tcW w:w="1256" w:type="dxa"/>
            <w:tcBorders>
              <w:top w:val="nil"/>
              <w:left w:val="nil"/>
              <w:bottom w:val="nil"/>
              <w:right w:val="nil"/>
            </w:tcBorders>
            <w:shd w:val="clear" w:color="auto" w:fill="auto"/>
            <w:noWrap/>
            <w:vAlign w:val="bottom"/>
          </w:tcPr>
          <w:p w14:paraId="6B11412E" w14:textId="77777777" w:rsidR="000020B9" w:rsidRPr="00E45B5B" w:rsidRDefault="000020B9" w:rsidP="00EF25E1">
            <w:pPr>
              <w:jc w:val="center"/>
              <w:rPr>
                <w:color w:val="000000"/>
                <w:sz w:val="20"/>
                <w:szCs w:val="20"/>
              </w:rPr>
            </w:pPr>
            <w:r w:rsidRPr="00E45B5B">
              <w:rPr>
                <w:color w:val="000000"/>
                <w:sz w:val="20"/>
                <w:szCs w:val="20"/>
              </w:rPr>
              <w:t>0.159</w:t>
            </w:r>
          </w:p>
        </w:tc>
        <w:tc>
          <w:tcPr>
            <w:tcW w:w="1256" w:type="dxa"/>
            <w:tcBorders>
              <w:top w:val="nil"/>
              <w:left w:val="nil"/>
              <w:bottom w:val="nil"/>
              <w:right w:val="nil"/>
            </w:tcBorders>
            <w:shd w:val="clear" w:color="auto" w:fill="auto"/>
            <w:noWrap/>
            <w:vAlign w:val="bottom"/>
          </w:tcPr>
          <w:p w14:paraId="0FFE8523" w14:textId="77777777" w:rsidR="000020B9" w:rsidRPr="00E45B5B" w:rsidRDefault="000020B9" w:rsidP="00EF25E1">
            <w:pPr>
              <w:jc w:val="center"/>
              <w:rPr>
                <w:color w:val="000000"/>
                <w:sz w:val="20"/>
                <w:szCs w:val="20"/>
              </w:rPr>
            </w:pPr>
            <w:r w:rsidRPr="00E45B5B">
              <w:rPr>
                <w:color w:val="000000"/>
                <w:sz w:val="20"/>
                <w:szCs w:val="20"/>
              </w:rPr>
              <w:t>0.159</w:t>
            </w:r>
          </w:p>
        </w:tc>
      </w:tr>
      <w:tr w:rsidR="000020B9" w:rsidRPr="00E45B5B" w14:paraId="34B3979B" w14:textId="77777777" w:rsidTr="00EF25E1">
        <w:trPr>
          <w:trHeight w:val="300"/>
        </w:trPr>
        <w:tc>
          <w:tcPr>
            <w:tcW w:w="5052" w:type="dxa"/>
            <w:tcBorders>
              <w:top w:val="nil"/>
              <w:left w:val="nil"/>
              <w:bottom w:val="nil"/>
              <w:right w:val="nil"/>
            </w:tcBorders>
            <w:shd w:val="clear" w:color="auto" w:fill="auto"/>
            <w:noWrap/>
            <w:vAlign w:val="bottom"/>
          </w:tcPr>
          <w:p w14:paraId="5001D8A4" w14:textId="77777777" w:rsidR="000020B9" w:rsidRPr="00E45B5B" w:rsidRDefault="000020B9" w:rsidP="00EF25E1">
            <w:pPr>
              <w:rPr>
                <w:color w:val="000000"/>
                <w:sz w:val="20"/>
                <w:szCs w:val="20"/>
              </w:rPr>
            </w:pPr>
            <w:r w:rsidRPr="00E45B5B">
              <w:rPr>
                <w:color w:val="000000"/>
                <w:sz w:val="20"/>
                <w:szCs w:val="20"/>
              </w:rPr>
              <w:t xml:space="preserve">     Degrees of Freedom</w:t>
            </w:r>
          </w:p>
        </w:tc>
        <w:tc>
          <w:tcPr>
            <w:tcW w:w="1329" w:type="dxa"/>
            <w:tcBorders>
              <w:top w:val="nil"/>
              <w:left w:val="nil"/>
              <w:bottom w:val="nil"/>
              <w:right w:val="nil"/>
            </w:tcBorders>
            <w:shd w:val="clear" w:color="auto" w:fill="auto"/>
            <w:noWrap/>
            <w:vAlign w:val="bottom"/>
          </w:tcPr>
          <w:p w14:paraId="71E0E1AB" w14:textId="77777777" w:rsidR="000020B9" w:rsidRPr="00E45B5B" w:rsidRDefault="000020B9" w:rsidP="00EF25E1">
            <w:pPr>
              <w:jc w:val="center"/>
              <w:rPr>
                <w:color w:val="000000"/>
                <w:sz w:val="20"/>
                <w:szCs w:val="20"/>
              </w:rPr>
            </w:pPr>
            <w:r w:rsidRPr="00E45B5B">
              <w:rPr>
                <w:color w:val="000000"/>
                <w:sz w:val="20"/>
                <w:szCs w:val="20"/>
              </w:rPr>
              <w:t>71</w:t>
            </w:r>
          </w:p>
        </w:tc>
        <w:tc>
          <w:tcPr>
            <w:tcW w:w="1329" w:type="dxa"/>
            <w:tcBorders>
              <w:top w:val="nil"/>
              <w:left w:val="nil"/>
              <w:bottom w:val="nil"/>
              <w:right w:val="nil"/>
            </w:tcBorders>
            <w:shd w:val="clear" w:color="auto" w:fill="auto"/>
            <w:noWrap/>
            <w:vAlign w:val="bottom"/>
          </w:tcPr>
          <w:p w14:paraId="5B3E5202" w14:textId="77777777" w:rsidR="000020B9" w:rsidRPr="00E45B5B" w:rsidRDefault="000020B9" w:rsidP="00EF25E1">
            <w:pPr>
              <w:jc w:val="center"/>
              <w:rPr>
                <w:color w:val="000000"/>
                <w:sz w:val="20"/>
                <w:szCs w:val="20"/>
              </w:rPr>
            </w:pPr>
            <w:r w:rsidRPr="00E45B5B">
              <w:rPr>
                <w:color w:val="000000"/>
                <w:sz w:val="20"/>
                <w:szCs w:val="20"/>
              </w:rPr>
              <w:t>71</w:t>
            </w:r>
          </w:p>
        </w:tc>
        <w:tc>
          <w:tcPr>
            <w:tcW w:w="1256" w:type="dxa"/>
            <w:tcBorders>
              <w:top w:val="nil"/>
              <w:left w:val="nil"/>
              <w:bottom w:val="nil"/>
              <w:right w:val="nil"/>
            </w:tcBorders>
            <w:shd w:val="clear" w:color="auto" w:fill="auto"/>
            <w:noWrap/>
            <w:vAlign w:val="bottom"/>
          </w:tcPr>
          <w:p w14:paraId="00DCFE5B" w14:textId="77777777" w:rsidR="000020B9" w:rsidRPr="00E45B5B" w:rsidRDefault="000020B9" w:rsidP="00EF25E1">
            <w:pPr>
              <w:jc w:val="center"/>
              <w:rPr>
                <w:color w:val="000000"/>
                <w:sz w:val="20"/>
                <w:szCs w:val="20"/>
              </w:rPr>
            </w:pPr>
            <w:r w:rsidRPr="00E45B5B">
              <w:rPr>
                <w:color w:val="000000"/>
                <w:sz w:val="20"/>
                <w:szCs w:val="20"/>
              </w:rPr>
              <w:t>71</w:t>
            </w:r>
          </w:p>
        </w:tc>
        <w:tc>
          <w:tcPr>
            <w:tcW w:w="1256" w:type="dxa"/>
            <w:tcBorders>
              <w:top w:val="nil"/>
              <w:left w:val="nil"/>
              <w:bottom w:val="nil"/>
              <w:right w:val="nil"/>
            </w:tcBorders>
            <w:shd w:val="clear" w:color="auto" w:fill="auto"/>
            <w:noWrap/>
            <w:vAlign w:val="bottom"/>
          </w:tcPr>
          <w:p w14:paraId="3916A48D" w14:textId="77777777" w:rsidR="000020B9" w:rsidRPr="00E45B5B" w:rsidRDefault="000020B9" w:rsidP="00EF25E1">
            <w:pPr>
              <w:jc w:val="center"/>
              <w:rPr>
                <w:color w:val="000000"/>
                <w:sz w:val="20"/>
                <w:szCs w:val="20"/>
              </w:rPr>
            </w:pPr>
            <w:r w:rsidRPr="00E45B5B">
              <w:rPr>
                <w:color w:val="000000"/>
                <w:sz w:val="20"/>
                <w:szCs w:val="20"/>
              </w:rPr>
              <w:t>71</w:t>
            </w:r>
          </w:p>
        </w:tc>
      </w:tr>
      <w:tr w:rsidR="000020B9" w:rsidRPr="00E45B5B" w14:paraId="4B8AF8FE" w14:textId="77777777" w:rsidTr="00EF25E1">
        <w:trPr>
          <w:trHeight w:val="300"/>
        </w:trPr>
        <w:tc>
          <w:tcPr>
            <w:tcW w:w="5052" w:type="dxa"/>
            <w:tcBorders>
              <w:top w:val="nil"/>
              <w:left w:val="nil"/>
              <w:bottom w:val="nil"/>
              <w:right w:val="nil"/>
            </w:tcBorders>
            <w:shd w:val="clear" w:color="auto" w:fill="auto"/>
            <w:noWrap/>
            <w:vAlign w:val="bottom"/>
          </w:tcPr>
          <w:p w14:paraId="68CBE734" w14:textId="77777777" w:rsidR="000020B9" w:rsidRPr="00E45B5B" w:rsidRDefault="000020B9" w:rsidP="00EF25E1">
            <w:pPr>
              <w:rPr>
                <w:color w:val="000000"/>
                <w:sz w:val="20"/>
                <w:szCs w:val="20"/>
                <w:lang w:val="en-US"/>
              </w:rPr>
            </w:pPr>
            <w:r w:rsidRPr="00E45B5B">
              <w:rPr>
                <w:color w:val="000000"/>
                <w:sz w:val="20"/>
                <w:szCs w:val="20"/>
                <w:lang w:val="en-US"/>
              </w:rPr>
              <w:t xml:space="preserve">     p-value Test - Ho: </w:t>
            </w:r>
            <w:r>
              <w:rPr>
                <w:color w:val="000000"/>
                <w:sz w:val="20"/>
                <w:szCs w:val="20"/>
              </w:rPr>
              <w:t>Δ</w:t>
            </w:r>
            <w:r w:rsidRPr="0056585F">
              <w:rPr>
                <w:color w:val="000000"/>
                <w:sz w:val="20"/>
                <w:szCs w:val="20"/>
                <w:lang w:val="en-US"/>
              </w:rPr>
              <w:t>H</w:t>
            </w:r>
            <w:r w:rsidRPr="00E45B5B">
              <w:rPr>
                <w:color w:val="000000"/>
                <w:sz w:val="20"/>
                <w:szCs w:val="20"/>
                <w:lang w:val="en-US"/>
              </w:rPr>
              <w:t xml:space="preserve">≥0, Ha: </w:t>
            </w:r>
            <w:r>
              <w:rPr>
                <w:color w:val="000000"/>
                <w:sz w:val="20"/>
                <w:szCs w:val="20"/>
              </w:rPr>
              <w:t>Δ</w:t>
            </w:r>
            <w:r w:rsidRPr="0056585F">
              <w:rPr>
                <w:color w:val="000000"/>
                <w:sz w:val="20"/>
                <w:szCs w:val="20"/>
                <w:lang w:val="en-US"/>
              </w:rPr>
              <w:t>H</w:t>
            </w:r>
            <w:r w:rsidRPr="00E45B5B">
              <w:rPr>
                <w:color w:val="000000"/>
                <w:sz w:val="20"/>
                <w:szCs w:val="20"/>
                <w:lang w:val="en-US"/>
              </w:rPr>
              <w:t xml:space="preserve"> &lt;0</w:t>
            </w:r>
          </w:p>
        </w:tc>
        <w:tc>
          <w:tcPr>
            <w:tcW w:w="1329" w:type="dxa"/>
            <w:tcBorders>
              <w:top w:val="nil"/>
              <w:left w:val="nil"/>
              <w:bottom w:val="nil"/>
              <w:right w:val="nil"/>
            </w:tcBorders>
            <w:shd w:val="clear" w:color="auto" w:fill="auto"/>
            <w:noWrap/>
            <w:vAlign w:val="bottom"/>
          </w:tcPr>
          <w:p w14:paraId="7171A42F" w14:textId="77777777" w:rsidR="000020B9" w:rsidRPr="00E45B5B" w:rsidRDefault="000020B9" w:rsidP="00EF25E1">
            <w:pPr>
              <w:jc w:val="center"/>
              <w:rPr>
                <w:color w:val="000000"/>
                <w:sz w:val="20"/>
                <w:szCs w:val="20"/>
              </w:rPr>
            </w:pPr>
            <w:r w:rsidRPr="00E45B5B">
              <w:rPr>
                <w:color w:val="000000"/>
                <w:sz w:val="20"/>
                <w:szCs w:val="20"/>
              </w:rPr>
              <w:t>0.047</w:t>
            </w:r>
          </w:p>
        </w:tc>
        <w:tc>
          <w:tcPr>
            <w:tcW w:w="1329" w:type="dxa"/>
            <w:tcBorders>
              <w:top w:val="nil"/>
              <w:left w:val="nil"/>
              <w:bottom w:val="nil"/>
              <w:right w:val="nil"/>
            </w:tcBorders>
            <w:shd w:val="clear" w:color="auto" w:fill="auto"/>
            <w:noWrap/>
            <w:vAlign w:val="bottom"/>
          </w:tcPr>
          <w:p w14:paraId="2FB4874D" w14:textId="77777777" w:rsidR="000020B9" w:rsidRPr="00E45B5B" w:rsidRDefault="000020B9" w:rsidP="00EF25E1">
            <w:pPr>
              <w:jc w:val="center"/>
              <w:rPr>
                <w:color w:val="000000"/>
                <w:sz w:val="20"/>
                <w:szCs w:val="20"/>
              </w:rPr>
            </w:pPr>
            <w:r w:rsidRPr="00E45B5B">
              <w:rPr>
                <w:color w:val="000000"/>
                <w:sz w:val="20"/>
                <w:szCs w:val="20"/>
              </w:rPr>
              <w:t>0.037</w:t>
            </w:r>
          </w:p>
        </w:tc>
        <w:tc>
          <w:tcPr>
            <w:tcW w:w="1256" w:type="dxa"/>
            <w:tcBorders>
              <w:top w:val="nil"/>
              <w:left w:val="nil"/>
              <w:bottom w:val="nil"/>
              <w:right w:val="nil"/>
            </w:tcBorders>
            <w:shd w:val="clear" w:color="auto" w:fill="auto"/>
            <w:noWrap/>
            <w:vAlign w:val="bottom"/>
          </w:tcPr>
          <w:p w14:paraId="3BB761ED" w14:textId="77777777" w:rsidR="000020B9" w:rsidRPr="00E45B5B" w:rsidRDefault="000020B9" w:rsidP="00EF25E1">
            <w:pPr>
              <w:jc w:val="center"/>
              <w:rPr>
                <w:color w:val="000000"/>
                <w:sz w:val="20"/>
                <w:szCs w:val="20"/>
              </w:rPr>
            </w:pPr>
            <w:r w:rsidRPr="00E45B5B">
              <w:rPr>
                <w:color w:val="000000"/>
                <w:sz w:val="20"/>
                <w:szCs w:val="20"/>
              </w:rPr>
              <w:t>0.037</w:t>
            </w:r>
          </w:p>
        </w:tc>
        <w:tc>
          <w:tcPr>
            <w:tcW w:w="1256" w:type="dxa"/>
            <w:tcBorders>
              <w:top w:val="nil"/>
              <w:left w:val="nil"/>
              <w:bottom w:val="nil"/>
              <w:right w:val="nil"/>
            </w:tcBorders>
            <w:shd w:val="clear" w:color="auto" w:fill="auto"/>
            <w:noWrap/>
            <w:vAlign w:val="bottom"/>
          </w:tcPr>
          <w:p w14:paraId="0534897B" w14:textId="77777777" w:rsidR="000020B9" w:rsidRPr="00E45B5B" w:rsidRDefault="000020B9" w:rsidP="00EF25E1">
            <w:pPr>
              <w:jc w:val="center"/>
              <w:rPr>
                <w:color w:val="000000"/>
                <w:sz w:val="20"/>
                <w:szCs w:val="20"/>
              </w:rPr>
            </w:pPr>
            <w:r w:rsidRPr="00E45B5B">
              <w:rPr>
                <w:color w:val="000000"/>
                <w:sz w:val="20"/>
                <w:szCs w:val="20"/>
              </w:rPr>
              <w:t>0.037</w:t>
            </w:r>
          </w:p>
        </w:tc>
      </w:tr>
      <w:tr w:rsidR="000020B9" w:rsidRPr="00E45B5B" w14:paraId="765963CA" w14:textId="77777777" w:rsidTr="00EF25E1">
        <w:trPr>
          <w:trHeight w:val="315"/>
        </w:trPr>
        <w:tc>
          <w:tcPr>
            <w:tcW w:w="5052" w:type="dxa"/>
            <w:tcBorders>
              <w:top w:val="nil"/>
              <w:left w:val="nil"/>
              <w:bottom w:val="double" w:sz="6" w:space="0" w:color="auto"/>
              <w:right w:val="nil"/>
            </w:tcBorders>
            <w:shd w:val="clear" w:color="auto" w:fill="auto"/>
            <w:noWrap/>
          </w:tcPr>
          <w:p w14:paraId="2D7F02CA" w14:textId="77777777" w:rsidR="000020B9" w:rsidRPr="00E45B5B" w:rsidRDefault="000020B9" w:rsidP="00EF25E1">
            <w:pPr>
              <w:rPr>
                <w:color w:val="000000"/>
                <w:sz w:val="20"/>
                <w:szCs w:val="20"/>
              </w:rPr>
            </w:pPr>
            <w:r w:rsidRPr="00E45B5B">
              <w:rPr>
                <w:color w:val="000000"/>
                <w:sz w:val="20"/>
                <w:szCs w:val="20"/>
              </w:rPr>
              <w:t xml:space="preserve">     Confidence Interval (95%)</w:t>
            </w:r>
          </w:p>
        </w:tc>
        <w:tc>
          <w:tcPr>
            <w:tcW w:w="1329" w:type="dxa"/>
            <w:tcBorders>
              <w:top w:val="nil"/>
              <w:left w:val="nil"/>
              <w:bottom w:val="double" w:sz="6" w:space="0" w:color="auto"/>
              <w:right w:val="nil"/>
            </w:tcBorders>
            <w:shd w:val="clear" w:color="auto" w:fill="auto"/>
            <w:noWrap/>
            <w:vAlign w:val="bottom"/>
          </w:tcPr>
          <w:p w14:paraId="7C9AC30A" w14:textId="77777777" w:rsidR="000020B9" w:rsidRPr="00E45B5B" w:rsidRDefault="000020B9" w:rsidP="00EF25E1">
            <w:pPr>
              <w:jc w:val="center"/>
              <w:rPr>
                <w:color w:val="000000"/>
                <w:sz w:val="20"/>
                <w:szCs w:val="20"/>
              </w:rPr>
            </w:pPr>
            <w:r w:rsidRPr="00E45B5B">
              <w:rPr>
                <w:color w:val="000000"/>
                <w:sz w:val="20"/>
                <w:szCs w:val="20"/>
              </w:rPr>
              <w:t>-0.557/-0.004</w:t>
            </w:r>
          </w:p>
        </w:tc>
        <w:tc>
          <w:tcPr>
            <w:tcW w:w="1329" w:type="dxa"/>
            <w:tcBorders>
              <w:top w:val="nil"/>
              <w:left w:val="nil"/>
              <w:bottom w:val="double" w:sz="6" w:space="0" w:color="auto"/>
              <w:right w:val="nil"/>
            </w:tcBorders>
            <w:shd w:val="clear" w:color="auto" w:fill="auto"/>
            <w:noWrap/>
            <w:vAlign w:val="bottom"/>
          </w:tcPr>
          <w:p w14:paraId="583957A8" w14:textId="77777777" w:rsidR="000020B9" w:rsidRPr="00E45B5B" w:rsidRDefault="000020B9" w:rsidP="00EF25E1">
            <w:pPr>
              <w:jc w:val="center"/>
              <w:rPr>
                <w:color w:val="000000"/>
                <w:sz w:val="20"/>
                <w:szCs w:val="20"/>
              </w:rPr>
            </w:pPr>
            <w:r>
              <w:rPr>
                <w:color w:val="000000"/>
                <w:sz w:val="20"/>
                <w:szCs w:val="20"/>
              </w:rPr>
              <w:t>-0.553</w:t>
            </w:r>
            <w:r w:rsidRPr="00E45B5B">
              <w:rPr>
                <w:color w:val="000000"/>
                <w:sz w:val="20"/>
                <w:szCs w:val="20"/>
              </w:rPr>
              <w:t>/-0.023</w:t>
            </w:r>
          </w:p>
        </w:tc>
        <w:tc>
          <w:tcPr>
            <w:tcW w:w="1256" w:type="dxa"/>
            <w:tcBorders>
              <w:top w:val="nil"/>
              <w:left w:val="nil"/>
              <w:bottom w:val="double" w:sz="6" w:space="0" w:color="auto"/>
              <w:right w:val="nil"/>
            </w:tcBorders>
            <w:shd w:val="clear" w:color="auto" w:fill="auto"/>
            <w:noWrap/>
            <w:vAlign w:val="bottom"/>
          </w:tcPr>
          <w:p w14:paraId="2AE4C025" w14:textId="77777777" w:rsidR="000020B9" w:rsidRPr="00E45B5B" w:rsidRDefault="000020B9" w:rsidP="00EF25E1">
            <w:pPr>
              <w:jc w:val="center"/>
              <w:rPr>
                <w:color w:val="000000"/>
                <w:sz w:val="20"/>
                <w:szCs w:val="20"/>
              </w:rPr>
            </w:pPr>
            <w:r w:rsidRPr="00E45B5B">
              <w:rPr>
                <w:color w:val="000000"/>
                <w:sz w:val="20"/>
                <w:szCs w:val="20"/>
              </w:rPr>
              <w:t>-0.553/-0.023</w:t>
            </w:r>
          </w:p>
        </w:tc>
        <w:tc>
          <w:tcPr>
            <w:tcW w:w="1256" w:type="dxa"/>
            <w:tcBorders>
              <w:top w:val="nil"/>
              <w:left w:val="nil"/>
              <w:bottom w:val="double" w:sz="6" w:space="0" w:color="auto"/>
              <w:right w:val="nil"/>
            </w:tcBorders>
            <w:shd w:val="clear" w:color="auto" w:fill="auto"/>
            <w:noWrap/>
            <w:vAlign w:val="bottom"/>
          </w:tcPr>
          <w:p w14:paraId="24AC0570" w14:textId="77777777" w:rsidR="000020B9" w:rsidRPr="00E45B5B" w:rsidRDefault="000020B9" w:rsidP="00EF25E1">
            <w:pPr>
              <w:jc w:val="center"/>
              <w:rPr>
                <w:color w:val="000000"/>
                <w:sz w:val="20"/>
                <w:szCs w:val="20"/>
              </w:rPr>
            </w:pPr>
            <w:r w:rsidRPr="00E45B5B">
              <w:rPr>
                <w:color w:val="000000"/>
                <w:sz w:val="20"/>
                <w:szCs w:val="20"/>
              </w:rPr>
              <w:t>-0.554/-0.023</w:t>
            </w:r>
          </w:p>
        </w:tc>
      </w:tr>
      <w:tr w:rsidR="000020B9" w:rsidRPr="00E45B5B" w14:paraId="0A8A5FFF" w14:textId="77777777" w:rsidTr="00EF25E1">
        <w:trPr>
          <w:trHeight w:val="315"/>
        </w:trPr>
        <w:tc>
          <w:tcPr>
            <w:tcW w:w="5052" w:type="dxa"/>
            <w:tcBorders>
              <w:top w:val="double" w:sz="6" w:space="0" w:color="auto"/>
              <w:left w:val="nil"/>
              <w:bottom w:val="single" w:sz="4" w:space="0" w:color="auto"/>
              <w:right w:val="nil"/>
            </w:tcBorders>
            <w:shd w:val="clear" w:color="auto" w:fill="auto"/>
            <w:noWrap/>
            <w:vAlign w:val="bottom"/>
          </w:tcPr>
          <w:p w14:paraId="5E562EDF" w14:textId="77777777" w:rsidR="000020B9" w:rsidRPr="00E45B5B" w:rsidRDefault="000020B9" w:rsidP="00EF25E1">
            <w:pPr>
              <w:rPr>
                <w:color w:val="000000"/>
                <w:sz w:val="20"/>
                <w:szCs w:val="20"/>
              </w:rPr>
            </w:pPr>
            <w:r w:rsidRPr="00E45B5B">
              <w:rPr>
                <w:color w:val="000000"/>
                <w:sz w:val="20"/>
                <w:szCs w:val="20"/>
              </w:rPr>
              <w:t>Observations</w:t>
            </w:r>
          </w:p>
        </w:tc>
        <w:tc>
          <w:tcPr>
            <w:tcW w:w="1329" w:type="dxa"/>
            <w:tcBorders>
              <w:top w:val="double" w:sz="6" w:space="0" w:color="auto"/>
              <w:left w:val="nil"/>
              <w:bottom w:val="single" w:sz="4" w:space="0" w:color="auto"/>
              <w:right w:val="nil"/>
            </w:tcBorders>
            <w:shd w:val="clear" w:color="auto" w:fill="auto"/>
            <w:noWrap/>
            <w:vAlign w:val="bottom"/>
          </w:tcPr>
          <w:p w14:paraId="2B510FD5" w14:textId="77777777" w:rsidR="000020B9" w:rsidRPr="00E45B5B" w:rsidRDefault="000020B9" w:rsidP="00EF25E1">
            <w:pPr>
              <w:jc w:val="center"/>
              <w:rPr>
                <w:color w:val="000000"/>
                <w:sz w:val="20"/>
                <w:szCs w:val="20"/>
              </w:rPr>
            </w:pPr>
            <w:r w:rsidRPr="00E45B5B">
              <w:rPr>
                <w:color w:val="000000"/>
                <w:sz w:val="20"/>
                <w:szCs w:val="20"/>
              </w:rPr>
              <w:t>1,998</w:t>
            </w:r>
          </w:p>
        </w:tc>
        <w:tc>
          <w:tcPr>
            <w:tcW w:w="1329" w:type="dxa"/>
            <w:tcBorders>
              <w:top w:val="double" w:sz="6" w:space="0" w:color="auto"/>
              <w:left w:val="nil"/>
              <w:bottom w:val="single" w:sz="4" w:space="0" w:color="auto"/>
              <w:right w:val="nil"/>
            </w:tcBorders>
            <w:shd w:val="clear" w:color="auto" w:fill="auto"/>
            <w:noWrap/>
            <w:vAlign w:val="bottom"/>
          </w:tcPr>
          <w:p w14:paraId="5FD92AA7" w14:textId="77777777" w:rsidR="000020B9" w:rsidRPr="00E45B5B" w:rsidRDefault="000020B9" w:rsidP="00EF25E1">
            <w:pPr>
              <w:jc w:val="center"/>
              <w:rPr>
                <w:color w:val="000000"/>
                <w:sz w:val="20"/>
                <w:szCs w:val="20"/>
              </w:rPr>
            </w:pPr>
            <w:r w:rsidRPr="00E45B5B">
              <w:rPr>
                <w:color w:val="000000"/>
                <w:sz w:val="20"/>
                <w:szCs w:val="20"/>
              </w:rPr>
              <w:t>1,998</w:t>
            </w:r>
          </w:p>
        </w:tc>
        <w:tc>
          <w:tcPr>
            <w:tcW w:w="1256" w:type="dxa"/>
            <w:tcBorders>
              <w:top w:val="double" w:sz="6" w:space="0" w:color="auto"/>
              <w:left w:val="nil"/>
              <w:bottom w:val="single" w:sz="4" w:space="0" w:color="auto"/>
              <w:right w:val="nil"/>
            </w:tcBorders>
            <w:shd w:val="clear" w:color="auto" w:fill="auto"/>
            <w:noWrap/>
            <w:vAlign w:val="bottom"/>
          </w:tcPr>
          <w:p w14:paraId="2946456D" w14:textId="77777777" w:rsidR="000020B9" w:rsidRPr="00E45B5B" w:rsidRDefault="000020B9" w:rsidP="00EF25E1">
            <w:pPr>
              <w:jc w:val="center"/>
              <w:rPr>
                <w:color w:val="000000"/>
                <w:sz w:val="20"/>
                <w:szCs w:val="20"/>
              </w:rPr>
            </w:pPr>
            <w:r w:rsidRPr="00E45B5B">
              <w:rPr>
                <w:color w:val="000000"/>
                <w:sz w:val="20"/>
                <w:szCs w:val="20"/>
              </w:rPr>
              <w:t>1,998</w:t>
            </w:r>
          </w:p>
        </w:tc>
        <w:tc>
          <w:tcPr>
            <w:tcW w:w="1256" w:type="dxa"/>
            <w:tcBorders>
              <w:top w:val="double" w:sz="6" w:space="0" w:color="auto"/>
              <w:left w:val="nil"/>
              <w:bottom w:val="single" w:sz="4" w:space="0" w:color="auto"/>
              <w:right w:val="nil"/>
            </w:tcBorders>
            <w:shd w:val="clear" w:color="auto" w:fill="auto"/>
            <w:noWrap/>
            <w:vAlign w:val="bottom"/>
          </w:tcPr>
          <w:p w14:paraId="07E22AA3" w14:textId="77777777" w:rsidR="000020B9" w:rsidRPr="00E45B5B" w:rsidRDefault="000020B9" w:rsidP="00EF25E1">
            <w:pPr>
              <w:jc w:val="center"/>
              <w:rPr>
                <w:color w:val="000000"/>
                <w:sz w:val="20"/>
                <w:szCs w:val="20"/>
              </w:rPr>
            </w:pPr>
            <w:r w:rsidRPr="00E45B5B">
              <w:rPr>
                <w:color w:val="000000"/>
                <w:sz w:val="20"/>
                <w:szCs w:val="20"/>
              </w:rPr>
              <w:t>1,998</w:t>
            </w:r>
          </w:p>
        </w:tc>
      </w:tr>
      <w:tr w:rsidR="000020B9" w:rsidRPr="00E45B5B" w14:paraId="29DCC62D" w14:textId="77777777" w:rsidTr="00EF25E1">
        <w:trPr>
          <w:trHeight w:val="315"/>
        </w:trPr>
        <w:tc>
          <w:tcPr>
            <w:tcW w:w="5052" w:type="dxa"/>
            <w:tcBorders>
              <w:top w:val="single" w:sz="4" w:space="0" w:color="auto"/>
              <w:left w:val="nil"/>
              <w:bottom w:val="double" w:sz="6" w:space="0" w:color="auto"/>
              <w:right w:val="nil"/>
            </w:tcBorders>
            <w:shd w:val="clear" w:color="auto" w:fill="auto"/>
            <w:noWrap/>
            <w:vAlign w:val="bottom"/>
          </w:tcPr>
          <w:p w14:paraId="799176A0" w14:textId="77777777" w:rsidR="000020B9" w:rsidRPr="00E45B5B" w:rsidRDefault="000020B9" w:rsidP="00EF25E1">
            <w:pPr>
              <w:rPr>
                <w:color w:val="000000"/>
                <w:sz w:val="20"/>
                <w:szCs w:val="20"/>
              </w:rPr>
            </w:pPr>
            <w:r w:rsidRPr="00E45B5B">
              <w:rPr>
                <w:color w:val="000000"/>
                <w:sz w:val="20"/>
                <w:szCs w:val="20"/>
              </w:rPr>
              <w:t>R-Square</w:t>
            </w:r>
          </w:p>
        </w:tc>
        <w:tc>
          <w:tcPr>
            <w:tcW w:w="1329" w:type="dxa"/>
            <w:tcBorders>
              <w:top w:val="single" w:sz="4" w:space="0" w:color="auto"/>
              <w:left w:val="nil"/>
              <w:bottom w:val="double" w:sz="6" w:space="0" w:color="auto"/>
              <w:right w:val="nil"/>
            </w:tcBorders>
            <w:shd w:val="clear" w:color="auto" w:fill="auto"/>
            <w:noWrap/>
            <w:vAlign w:val="bottom"/>
          </w:tcPr>
          <w:p w14:paraId="5C80D2C8" w14:textId="77777777" w:rsidR="000020B9" w:rsidRPr="00E45B5B" w:rsidRDefault="000020B9" w:rsidP="00EF25E1">
            <w:pPr>
              <w:jc w:val="center"/>
              <w:rPr>
                <w:color w:val="000000"/>
                <w:sz w:val="20"/>
                <w:szCs w:val="20"/>
              </w:rPr>
            </w:pPr>
            <w:r w:rsidRPr="00E45B5B">
              <w:rPr>
                <w:color w:val="000000"/>
                <w:sz w:val="20"/>
                <w:szCs w:val="20"/>
              </w:rPr>
              <w:t xml:space="preserve">0.360   </w:t>
            </w:r>
          </w:p>
        </w:tc>
        <w:tc>
          <w:tcPr>
            <w:tcW w:w="1329" w:type="dxa"/>
            <w:tcBorders>
              <w:top w:val="single" w:sz="4" w:space="0" w:color="auto"/>
              <w:left w:val="nil"/>
              <w:bottom w:val="double" w:sz="6" w:space="0" w:color="auto"/>
              <w:right w:val="nil"/>
            </w:tcBorders>
            <w:shd w:val="clear" w:color="auto" w:fill="auto"/>
            <w:noWrap/>
            <w:vAlign w:val="bottom"/>
          </w:tcPr>
          <w:p w14:paraId="552329D5" w14:textId="77777777" w:rsidR="000020B9" w:rsidRPr="00E45B5B" w:rsidRDefault="000020B9" w:rsidP="00EF25E1">
            <w:pPr>
              <w:jc w:val="center"/>
              <w:rPr>
                <w:color w:val="000000"/>
                <w:sz w:val="20"/>
                <w:szCs w:val="20"/>
              </w:rPr>
            </w:pPr>
            <w:r w:rsidRPr="00E45B5B">
              <w:rPr>
                <w:color w:val="000000"/>
                <w:sz w:val="20"/>
                <w:szCs w:val="20"/>
              </w:rPr>
              <w:t xml:space="preserve">0.416   </w:t>
            </w:r>
          </w:p>
        </w:tc>
        <w:tc>
          <w:tcPr>
            <w:tcW w:w="1256" w:type="dxa"/>
            <w:tcBorders>
              <w:top w:val="single" w:sz="4" w:space="0" w:color="auto"/>
              <w:left w:val="nil"/>
              <w:bottom w:val="double" w:sz="6" w:space="0" w:color="auto"/>
              <w:right w:val="nil"/>
            </w:tcBorders>
            <w:shd w:val="clear" w:color="auto" w:fill="auto"/>
            <w:noWrap/>
            <w:vAlign w:val="bottom"/>
          </w:tcPr>
          <w:p w14:paraId="4108AECA" w14:textId="77777777" w:rsidR="000020B9" w:rsidRPr="00E45B5B" w:rsidRDefault="000020B9" w:rsidP="00EF25E1">
            <w:pPr>
              <w:jc w:val="center"/>
              <w:rPr>
                <w:color w:val="000000"/>
                <w:sz w:val="20"/>
                <w:szCs w:val="20"/>
              </w:rPr>
            </w:pPr>
            <w:r w:rsidRPr="00E45B5B">
              <w:rPr>
                <w:color w:val="000000"/>
                <w:sz w:val="20"/>
                <w:szCs w:val="20"/>
              </w:rPr>
              <w:t xml:space="preserve">0.416   </w:t>
            </w:r>
          </w:p>
        </w:tc>
        <w:tc>
          <w:tcPr>
            <w:tcW w:w="1256" w:type="dxa"/>
            <w:tcBorders>
              <w:top w:val="single" w:sz="4" w:space="0" w:color="auto"/>
              <w:left w:val="nil"/>
              <w:bottom w:val="double" w:sz="6" w:space="0" w:color="auto"/>
              <w:right w:val="nil"/>
            </w:tcBorders>
            <w:shd w:val="clear" w:color="auto" w:fill="auto"/>
            <w:noWrap/>
            <w:vAlign w:val="bottom"/>
          </w:tcPr>
          <w:p w14:paraId="05265021" w14:textId="77777777" w:rsidR="000020B9" w:rsidRPr="00E45B5B" w:rsidRDefault="000020B9" w:rsidP="00EF25E1">
            <w:pPr>
              <w:jc w:val="center"/>
              <w:rPr>
                <w:color w:val="000000"/>
                <w:sz w:val="20"/>
                <w:szCs w:val="20"/>
              </w:rPr>
            </w:pPr>
            <w:r w:rsidRPr="00E45B5B">
              <w:rPr>
                <w:color w:val="000000"/>
                <w:sz w:val="20"/>
                <w:szCs w:val="20"/>
              </w:rPr>
              <w:t xml:space="preserve">0.416   </w:t>
            </w:r>
          </w:p>
        </w:tc>
      </w:tr>
      <w:tr w:rsidR="000020B9" w:rsidRPr="00E45B5B" w14:paraId="55FE3D5A" w14:textId="77777777" w:rsidTr="00EF25E1">
        <w:trPr>
          <w:trHeight w:val="315"/>
        </w:trPr>
        <w:tc>
          <w:tcPr>
            <w:tcW w:w="5052" w:type="dxa"/>
            <w:tcBorders>
              <w:top w:val="nil"/>
              <w:left w:val="nil"/>
              <w:bottom w:val="double" w:sz="6" w:space="0" w:color="auto"/>
              <w:right w:val="nil"/>
            </w:tcBorders>
            <w:shd w:val="clear" w:color="auto" w:fill="auto"/>
            <w:noWrap/>
            <w:vAlign w:val="bottom"/>
          </w:tcPr>
          <w:p w14:paraId="15AB6B11" w14:textId="77777777" w:rsidR="000020B9" w:rsidRPr="00E45B5B" w:rsidRDefault="000020B9" w:rsidP="00EF25E1">
            <w:pPr>
              <w:rPr>
                <w:color w:val="000000"/>
                <w:sz w:val="20"/>
                <w:szCs w:val="20"/>
              </w:rPr>
            </w:pPr>
            <w:r w:rsidRPr="00E45B5B">
              <w:rPr>
                <w:color w:val="000000"/>
                <w:sz w:val="20"/>
                <w:szCs w:val="20"/>
              </w:rPr>
              <w:lastRenderedPageBreak/>
              <w:t>Fixed Effects</w:t>
            </w:r>
          </w:p>
        </w:tc>
        <w:tc>
          <w:tcPr>
            <w:tcW w:w="1329" w:type="dxa"/>
            <w:tcBorders>
              <w:top w:val="nil"/>
              <w:left w:val="nil"/>
              <w:bottom w:val="double" w:sz="6" w:space="0" w:color="auto"/>
              <w:right w:val="nil"/>
            </w:tcBorders>
            <w:shd w:val="clear" w:color="auto" w:fill="auto"/>
            <w:noWrap/>
            <w:vAlign w:val="bottom"/>
          </w:tcPr>
          <w:p w14:paraId="6C371FEC" w14:textId="77777777" w:rsidR="000020B9" w:rsidRPr="00E45B5B" w:rsidRDefault="000020B9" w:rsidP="00EF25E1">
            <w:pPr>
              <w:jc w:val="center"/>
              <w:rPr>
                <w:color w:val="000000"/>
                <w:sz w:val="20"/>
                <w:szCs w:val="20"/>
              </w:rPr>
            </w:pPr>
            <w:r w:rsidRPr="00E45B5B">
              <w:rPr>
                <w:color w:val="000000"/>
                <w:sz w:val="20"/>
                <w:szCs w:val="20"/>
              </w:rPr>
              <w:t> </w:t>
            </w:r>
          </w:p>
        </w:tc>
        <w:tc>
          <w:tcPr>
            <w:tcW w:w="1329" w:type="dxa"/>
            <w:tcBorders>
              <w:top w:val="nil"/>
              <w:left w:val="nil"/>
              <w:bottom w:val="double" w:sz="6" w:space="0" w:color="auto"/>
              <w:right w:val="nil"/>
            </w:tcBorders>
            <w:shd w:val="clear" w:color="auto" w:fill="auto"/>
            <w:noWrap/>
            <w:vAlign w:val="bottom"/>
          </w:tcPr>
          <w:p w14:paraId="19D09C25" w14:textId="77777777" w:rsidR="000020B9" w:rsidRPr="00E45B5B" w:rsidRDefault="000020B9" w:rsidP="00EF25E1">
            <w:pPr>
              <w:jc w:val="center"/>
              <w:rPr>
                <w:color w:val="000000"/>
                <w:sz w:val="20"/>
                <w:szCs w:val="20"/>
              </w:rPr>
            </w:pPr>
            <w:r w:rsidRPr="00E45B5B">
              <w:rPr>
                <w:color w:val="000000"/>
                <w:sz w:val="20"/>
                <w:szCs w:val="20"/>
              </w:rPr>
              <w:t> </w:t>
            </w:r>
          </w:p>
        </w:tc>
        <w:tc>
          <w:tcPr>
            <w:tcW w:w="1256" w:type="dxa"/>
            <w:tcBorders>
              <w:top w:val="nil"/>
              <w:left w:val="nil"/>
              <w:bottom w:val="double" w:sz="6" w:space="0" w:color="auto"/>
              <w:right w:val="nil"/>
            </w:tcBorders>
            <w:shd w:val="clear" w:color="auto" w:fill="auto"/>
            <w:noWrap/>
            <w:vAlign w:val="bottom"/>
          </w:tcPr>
          <w:p w14:paraId="7302F135" w14:textId="77777777" w:rsidR="000020B9" w:rsidRPr="00E45B5B" w:rsidRDefault="000020B9" w:rsidP="00EF25E1">
            <w:pPr>
              <w:jc w:val="center"/>
              <w:rPr>
                <w:color w:val="000000"/>
                <w:sz w:val="20"/>
                <w:szCs w:val="20"/>
              </w:rPr>
            </w:pPr>
            <w:r w:rsidRPr="00E45B5B">
              <w:rPr>
                <w:color w:val="000000"/>
                <w:sz w:val="20"/>
                <w:szCs w:val="20"/>
              </w:rPr>
              <w:t> </w:t>
            </w:r>
          </w:p>
        </w:tc>
        <w:tc>
          <w:tcPr>
            <w:tcW w:w="1256" w:type="dxa"/>
            <w:tcBorders>
              <w:top w:val="nil"/>
              <w:left w:val="nil"/>
              <w:bottom w:val="double" w:sz="6" w:space="0" w:color="auto"/>
              <w:right w:val="nil"/>
            </w:tcBorders>
            <w:shd w:val="clear" w:color="auto" w:fill="auto"/>
            <w:noWrap/>
            <w:vAlign w:val="bottom"/>
          </w:tcPr>
          <w:p w14:paraId="52EC802E" w14:textId="77777777" w:rsidR="000020B9" w:rsidRPr="00E45B5B" w:rsidRDefault="000020B9" w:rsidP="00EF25E1">
            <w:pPr>
              <w:jc w:val="center"/>
              <w:rPr>
                <w:color w:val="000000"/>
                <w:sz w:val="20"/>
                <w:szCs w:val="20"/>
              </w:rPr>
            </w:pPr>
            <w:r w:rsidRPr="00E45B5B">
              <w:rPr>
                <w:color w:val="000000"/>
                <w:sz w:val="20"/>
                <w:szCs w:val="20"/>
              </w:rPr>
              <w:t> </w:t>
            </w:r>
          </w:p>
        </w:tc>
      </w:tr>
      <w:tr w:rsidR="000020B9" w:rsidRPr="00E45B5B" w14:paraId="4E6EB18B" w14:textId="77777777" w:rsidTr="00EF25E1">
        <w:trPr>
          <w:trHeight w:val="315"/>
        </w:trPr>
        <w:tc>
          <w:tcPr>
            <w:tcW w:w="5052" w:type="dxa"/>
            <w:tcBorders>
              <w:top w:val="nil"/>
              <w:left w:val="nil"/>
              <w:bottom w:val="nil"/>
              <w:right w:val="nil"/>
            </w:tcBorders>
            <w:shd w:val="clear" w:color="auto" w:fill="auto"/>
            <w:noWrap/>
            <w:vAlign w:val="bottom"/>
          </w:tcPr>
          <w:p w14:paraId="15847AF7" w14:textId="77777777" w:rsidR="000020B9" w:rsidRPr="00E45B5B" w:rsidRDefault="000020B9" w:rsidP="00EF25E1">
            <w:pPr>
              <w:rPr>
                <w:color w:val="000000"/>
                <w:sz w:val="20"/>
                <w:szCs w:val="20"/>
              </w:rPr>
            </w:pPr>
            <w:r w:rsidRPr="00E45B5B">
              <w:rPr>
                <w:color w:val="000000"/>
                <w:sz w:val="20"/>
                <w:szCs w:val="20"/>
              </w:rPr>
              <w:t>BankFixed-Effect</w:t>
            </w:r>
          </w:p>
        </w:tc>
        <w:tc>
          <w:tcPr>
            <w:tcW w:w="1329" w:type="dxa"/>
            <w:tcBorders>
              <w:top w:val="nil"/>
              <w:left w:val="nil"/>
              <w:bottom w:val="nil"/>
              <w:right w:val="nil"/>
            </w:tcBorders>
            <w:shd w:val="clear" w:color="auto" w:fill="auto"/>
            <w:noWrap/>
            <w:vAlign w:val="bottom"/>
          </w:tcPr>
          <w:p w14:paraId="166E2455" w14:textId="77777777" w:rsidR="000020B9" w:rsidRPr="00E45B5B" w:rsidRDefault="000020B9" w:rsidP="00EF25E1">
            <w:pPr>
              <w:jc w:val="center"/>
              <w:rPr>
                <w:color w:val="000000"/>
                <w:sz w:val="20"/>
                <w:szCs w:val="20"/>
              </w:rPr>
            </w:pPr>
            <w:r w:rsidRPr="00E45B5B">
              <w:rPr>
                <w:color w:val="000000"/>
                <w:sz w:val="20"/>
                <w:szCs w:val="20"/>
              </w:rPr>
              <w:t>Yes</w:t>
            </w:r>
          </w:p>
        </w:tc>
        <w:tc>
          <w:tcPr>
            <w:tcW w:w="1329" w:type="dxa"/>
            <w:tcBorders>
              <w:top w:val="nil"/>
              <w:left w:val="nil"/>
              <w:bottom w:val="nil"/>
              <w:right w:val="nil"/>
            </w:tcBorders>
            <w:shd w:val="clear" w:color="auto" w:fill="auto"/>
            <w:noWrap/>
            <w:vAlign w:val="bottom"/>
          </w:tcPr>
          <w:p w14:paraId="1A74991D" w14:textId="77777777" w:rsidR="000020B9" w:rsidRPr="00E45B5B" w:rsidRDefault="000020B9" w:rsidP="00EF25E1">
            <w:pPr>
              <w:jc w:val="center"/>
              <w:rPr>
                <w:color w:val="000000"/>
                <w:sz w:val="20"/>
                <w:szCs w:val="20"/>
              </w:rPr>
            </w:pPr>
            <w:r w:rsidRPr="00E45B5B">
              <w:rPr>
                <w:color w:val="000000"/>
                <w:sz w:val="20"/>
                <w:szCs w:val="20"/>
              </w:rPr>
              <w:t>Yes</w:t>
            </w:r>
          </w:p>
        </w:tc>
        <w:tc>
          <w:tcPr>
            <w:tcW w:w="1256" w:type="dxa"/>
            <w:tcBorders>
              <w:top w:val="nil"/>
              <w:left w:val="nil"/>
              <w:bottom w:val="nil"/>
              <w:right w:val="nil"/>
            </w:tcBorders>
            <w:shd w:val="clear" w:color="auto" w:fill="auto"/>
            <w:noWrap/>
            <w:vAlign w:val="bottom"/>
          </w:tcPr>
          <w:p w14:paraId="0622A4E9" w14:textId="77777777" w:rsidR="000020B9" w:rsidRPr="00E45B5B" w:rsidRDefault="000020B9" w:rsidP="00EF25E1">
            <w:pPr>
              <w:jc w:val="center"/>
              <w:rPr>
                <w:color w:val="000000"/>
                <w:sz w:val="20"/>
                <w:szCs w:val="20"/>
              </w:rPr>
            </w:pPr>
            <w:r w:rsidRPr="00E45B5B">
              <w:rPr>
                <w:color w:val="000000"/>
                <w:sz w:val="20"/>
                <w:szCs w:val="20"/>
              </w:rPr>
              <w:t>Yes</w:t>
            </w:r>
          </w:p>
        </w:tc>
        <w:tc>
          <w:tcPr>
            <w:tcW w:w="1256" w:type="dxa"/>
            <w:tcBorders>
              <w:top w:val="nil"/>
              <w:left w:val="nil"/>
              <w:bottom w:val="nil"/>
              <w:right w:val="nil"/>
            </w:tcBorders>
            <w:shd w:val="clear" w:color="auto" w:fill="auto"/>
            <w:noWrap/>
            <w:vAlign w:val="bottom"/>
          </w:tcPr>
          <w:p w14:paraId="7A1D3B09" w14:textId="77777777" w:rsidR="000020B9" w:rsidRPr="00E45B5B" w:rsidRDefault="000020B9" w:rsidP="00EF25E1">
            <w:pPr>
              <w:jc w:val="center"/>
              <w:rPr>
                <w:color w:val="000000"/>
                <w:sz w:val="20"/>
                <w:szCs w:val="20"/>
              </w:rPr>
            </w:pPr>
            <w:r w:rsidRPr="00E45B5B">
              <w:rPr>
                <w:color w:val="000000"/>
                <w:sz w:val="20"/>
                <w:szCs w:val="20"/>
              </w:rPr>
              <w:t>Yes</w:t>
            </w:r>
          </w:p>
        </w:tc>
      </w:tr>
      <w:tr w:rsidR="000020B9" w:rsidRPr="00E45B5B" w14:paraId="13FC7FC8" w14:textId="77777777" w:rsidTr="00EF25E1">
        <w:trPr>
          <w:trHeight w:val="300"/>
        </w:trPr>
        <w:tc>
          <w:tcPr>
            <w:tcW w:w="5052" w:type="dxa"/>
            <w:tcBorders>
              <w:top w:val="nil"/>
              <w:left w:val="nil"/>
              <w:bottom w:val="nil"/>
              <w:right w:val="nil"/>
            </w:tcBorders>
            <w:shd w:val="clear" w:color="auto" w:fill="auto"/>
            <w:noWrap/>
            <w:vAlign w:val="bottom"/>
          </w:tcPr>
          <w:p w14:paraId="079E0348" w14:textId="77777777" w:rsidR="000020B9" w:rsidRPr="00E45B5B" w:rsidRDefault="000020B9" w:rsidP="00EF25E1">
            <w:pPr>
              <w:rPr>
                <w:color w:val="000000"/>
                <w:sz w:val="20"/>
                <w:szCs w:val="20"/>
              </w:rPr>
            </w:pPr>
            <w:r w:rsidRPr="00E45B5B">
              <w:rPr>
                <w:color w:val="000000"/>
                <w:sz w:val="20"/>
                <w:szCs w:val="20"/>
              </w:rPr>
              <w:t>Month Fixed-Effect</w:t>
            </w:r>
          </w:p>
        </w:tc>
        <w:tc>
          <w:tcPr>
            <w:tcW w:w="1329" w:type="dxa"/>
            <w:tcBorders>
              <w:top w:val="nil"/>
              <w:left w:val="nil"/>
              <w:bottom w:val="nil"/>
              <w:right w:val="nil"/>
            </w:tcBorders>
            <w:shd w:val="clear" w:color="auto" w:fill="auto"/>
            <w:noWrap/>
            <w:vAlign w:val="bottom"/>
          </w:tcPr>
          <w:p w14:paraId="53F09634" w14:textId="77777777" w:rsidR="000020B9" w:rsidRPr="00E45B5B" w:rsidRDefault="000020B9" w:rsidP="00EF25E1">
            <w:pPr>
              <w:jc w:val="center"/>
              <w:rPr>
                <w:color w:val="000000"/>
                <w:sz w:val="20"/>
                <w:szCs w:val="20"/>
              </w:rPr>
            </w:pPr>
            <w:r w:rsidRPr="00E45B5B">
              <w:rPr>
                <w:color w:val="000000"/>
                <w:sz w:val="20"/>
                <w:szCs w:val="20"/>
              </w:rPr>
              <w:t>Yes</w:t>
            </w:r>
          </w:p>
        </w:tc>
        <w:tc>
          <w:tcPr>
            <w:tcW w:w="1329" w:type="dxa"/>
            <w:tcBorders>
              <w:top w:val="nil"/>
              <w:left w:val="nil"/>
              <w:bottom w:val="nil"/>
              <w:right w:val="nil"/>
            </w:tcBorders>
            <w:shd w:val="clear" w:color="auto" w:fill="auto"/>
            <w:noWrap/>
            <w:vAlign w:val="bottom"/>
          </w:tcPr>
          <w:p w14:paraId="4FBF39CF" w14:textId="77777777" w:rsidR="000020B9" w:rsidRPr="00E45B5B" w:rsidRDefault="000020B9" w:rsidP="00EF25E1">
            <w:pPr>
              <w:jc w:val="center"/>
              <w:rPr>
                <w:color w:val="000000"/>
                <w:sz w:val="20"/>
                <w:szCs w:val="20"/>
              </w:rPr>
            </w:pPr>
            <w:r w:rsidRPr="00E45B5B">
              <w:rPr>
                <w:color w:val="000000"/>
                <w:sz w:val="20"/>
                <w:szCs w:val="20"/>
              </w:rPr>
              <w:t>Yes</w:t>
            </w:r>
          </w:p>
        </w:tc>
        <w:tc>
          <w:tcPr>
            <w:tcW w:w="1256" w:type="dxa"/>
            <w:tcBorders>
              <w:top w:val="nil"/>
              <w:left w:val="nil"/>
              <w:bottom w:val="nil"/>
              <w:right w:val="nil"/>
            </w:tcBorders>
            <w:shd w:val="clear" w:color="auto" w:fill="auto"/>
            <w:noWrap/>
            <w:vAlign w:val="bottom"/>
          </w:tcPr>
          <w:p w14:paraId="761989C5" w14:textId="77777777" w:rsidR="000020B9" w:rsidRPr="00E45B5B" w:rsidRDefault="000020B9" w:rsidP="00EF25E1">
            <w:pPr>
              <w:jc w:val="center"/>
              <w:rPr>
                <w:color w:val="000000"/>
                <w:sz w:val="20"/>
                <w:szCs w:val="20"/>
              </w:rPr>
            </w:pPr>
            <w:r w:rsidRPr="00E45B5B">
              <w:rPr>
                <w:color w:val="000000"/>
                <w:sz w:val="20"/>
                <w:szCs w:val="20"/>
              </w:rPr>
              <w:t>Yes</w:t>
            </w:r>
          </w:p>
        </w:tc>
        <w:tc>
          <w:tcPr>
            <w:tcW w:w="1256" w:type="dxa"/>
            <w:tcBorders>
              <w:top w:val="nil"/>
              <w:left w:val="nil"/>
              <w:bottom w:val="nil"/>
              <w:right w:val="nil"/>
            </w:tcBorders>
            <w:shd w:val="clear" w:color="auto" w:fill="auto"/>
            <w:noWrap/>
            <w:vAlign w:val="bottom"/>
          </w:tcPr>
          <w:p w14:paraId="4CC74706" w14:textId="77777777" w:rsidR="000020B9" w:rsidRPr="00E45B5B" w:rsidRDefault="000020B9" w:rsidP="00EF25E1">
            <w:pPr>
              <w:jc w:val="center"/>
              <w:rPr>
                <w:color w:val="000000"/>
                <w:sz w:val="20"/>
                <w:szCs w:val="20"/>
              </w:rPr>
            </w:pPr>
            <w:r w:rsidRPr="00E45B5B">
              <w:rPr>
                <w:color w:val="000000"/>
                <w:sz w:val="20"/>
                <w:szCs w:val="20"/>
              </w:rPr>
              <w:t>Yes</w:t>
            </w:r>
          </w:p>
        </w:tc>
      </w:tr>
      <w:tr w:rsidR="000020B9" w:rsidRPr="00E45B5B" w14:paraId="67E11490" w14:textId="77777777" w:rsidTr="00EF25E1">
        <w:trPr>
          <w:trHeight w:val="315"/>
        </w:trPr>
        <w:tc>
          <w:tcPr>
            <w:tcW w:w="5052" w:type="dxa"/>
            <w:tcBorders>
              <w:top w:val="nil"/>
              <w:left w:val="nil"/>
              <w:bottom w:val="double" w:sz="6" w:space="0" w:color="auto"/>
              <w:right w:val="nil"/>
            </w:tcBorders>
            <w:shd w:val="clear" w:color="auto" w:fill="auto"/>
            <w:noWrap/>
            <w:vAlign w:val="bottom"/>
          </w:tcPr>
          <w:p w14:paraId="58BEE3E3" w14:textId="77777777" w:rsidR="000020B9" w:rsidRPr="00E45B5B" w:rsidRDefault="000020B9" w:rsidP="00EF25E1">
            <w:pPr>
              <w:rPr>
                <w:color w:val="000000"/>
                <w:sz w:val="20"/>
                <w:szCs w:val="20"/>
              </w:rPr>
            </w:pPr>
            <w:r w:rsidRPr="00E45B5B">
              <w:rPr>
                <w:color w:val="000000"/>
                <w:sz w:val="20"/>
                <w:szCs w:val="20"/>
              </w:rPr>
              <w:t>Year Fixed-Effect</w:t>
            </w:r>
          </w:p>
        </w:tc>
        <w:tc>
          <w:tcPr>
            <w:tcW w:w="1329" w:type="dxa"/>
            <w:tcBorders>
              <w:top w:val="nil"/>
              <w:left w:val="nil"/>
              <w:bottom w:val="double" w:sz="6" w:space="0" w:color="auto"/>
              <w:right w:val="nil"/>
            </w:tcBorders>
            <w:shd w:val="clear" w:color="auto" w:fill="auto"/>
            <w:noWrap/>
            <w:vAlign w:val="bottom"/>
          </w:tcPr>
          <w:p w14:paraId="2E395934" w14:textId="77777777" w:rsidR="000020B9" w:rsidRPr="00E45B5B" w:rsidRDefault="000020B9" w:rsidP="00EF25E1">
            <w:pPr>
              <w:jc w:val="center"/>
              <w:rPr>
                <w:color w:val="000000"/>
                <w:sz w:val="20"/>
                <w:szCs w:val="20"/>
              </w:rPr>
            </w:pPr>
            <w:r w:rsidRPr="00E45B5B">
              <w:rPr>
                <w:color w:val="000000"/>
                <w:sz w:val="20"/>
                <w:szCs w:val="20"/>
              </w:rPr>
              <w:t>Yes</w:t>
            </w:r>
          </w:p>
        </w:tc>
        <w:tc>
          <w:tcPr>
            <w:tcW w:w="1329" w:type="dxa"/>
            <w:tcBorders>
              <w:top w:val="nil"/>
              <w:left w:val="nil"/>
              <w:bottom w:val="double" w:sz="6" w:space="0" w:color="auto"/>
              <w:right w:val="nil"/>
            </w:tcBorders>
            <w:shd w:val="clear" w:color="auto" w:fill="auto"/>
            <w:noWrap/>
            <w:vAlign w:val="bottom"/>
          </w:tcPr>
          <w:p w14:paraId="691FDC48" w14:textId="77777777" w:rsidR="000020B9" w:rsidRPr="00E45B5B" w:rsidRDefault="000020B9" w:rsidP="00EF25E1">
            <w:pPr>
              <w:jc w:val="center"/>
              <w:rPr>
                <w:color w:val="000000"/>
                <w:sz w:val="20"/>
                <w:szCs w:val="20"/>
              </w:rPr>
            </w:pPr>
            <w:r w:rsidRPr="00E45B5B">
              <w:rPr>
                <w:color w:val="000000"/>
                <w:sz w:val="20"/>
                <w:szCs w:val="20"/>
              </w:rPr>
              <w:t>Yes</w:t>
            </w:r>
          </w:p>
        </w:tc>
        <w:tc>
          <w:tcPr>
            <w:tcW w:w="1256" w:type="dxa"/>
            <w:tcBorders>
              <w:top w:val="nil"/>
              <w:left w:val="nil"/>
              <w:bottom w:val="double" w:sz="6" w:space="0" w:color="auto"/>
              <w:right w:val="nil"/>
            </w:tcBorders>
            <w:shd w:val="clear" w:color="auto" w:fill="auto"/>
            <w:noWrap/>
            <w:vAlign w:val="bottom"/>
          </w:tcPr>
          <w:p w14:paraId="06529F6F" w14:textId="77777777" w:rsidR="000020B9" w:rsidRPr="00E45B5B" w:rsidRDefault="000020B9" w:rsidP="00EF25E1">
            <w:pPr>
              <w:jc w:val="center"/>
              <w:rPr>
                <w:color w:val="000000"/>
                <w:sz w:val="20"/>
                <w:szCs w:val="20"/>
              </w:rPr>
            </w:pPr>
            <w:r w:rsidRPr="00E45B5B">
              <w:rPr>
                <w:color w:val="000000"/>
                <w:sz w:val="20"/>
                <w:szCs w:val="20"/>
              </w:rPr>
              <w:t>Yes</w:t>
            </w:r>
          </w:p>
        </w:tc>
        <w:tc>
          <w:tcPr>
            <w:tcW w:w="1256" w:type="dxa"/>
            <w:tcBorders>
              <w:top w:val="nil"/>
              <w:left w:val="nil"/>
              <w:bottom w:val="double" w:sz="6" w:space="0" w:color="auto"/>
              <w:right w:val="nil"/>
            </w:tcBorders>
            <w:shd w:val="clear" w:color="auto" w:fill="auto"/>
            <w:noWrap/>
            <w:vAlign w:val="bottom"/>
          </w:tcPr>
          <w:p w14:paraId="2ABB20AB" w14:textId="77777777" w:rsidR="000020B9" w:rsidRPr="00E45B5B" w:rsidRDefault="000020B9" w:rsidP="00EF25E1">
            <w:pPr>
              <w:jc w:val="center"/>
              <w:rPr>
                <w:color w:val="000000"/>
                <w:sz w:val="20"/>
                <w:szCs w:val="20"/>
              </w:rPr>
            </w:pPr>
            <w:r w:rsidRPr="00E45B5B">
              <w:rPr>
                <w:color w:val="000000"/>
                <w:sz w:val="20"/>
                <w:szCs w:val="20"/>
              </w:rPr>
              <w:t>Yes</w:t>
            </w:r>
          </w:p>
        </w:tc>
      </w:tr>
      <w:tr w:rsidR="000020B9" w:rsidRPr="00E45B5B" w14:paraId="1642D47C" w14:textId="77777777" w:rsidTr="00EF25E1">
        <w:trPr>
          <w:trHeight w:val="315"/>
        </w:trPr>
        <w:tc>
          <w:tcPr>
            <w:tcW w:w="6381" w:type="dxa"/>
            <w:gridSpan w:val="2"/>
            <w:tcBorders>
              <w:top w:val="nil"/>
              <w:left w:val="nil"/>
              <w:bottom w:val="nil"/>
              <w:right w:val="nil"/>
            </w:tcBorders>
            <w:shd w:val="clear" w:color="auto" w:fill="auto"/>
            <w:noWrap/>
            <w:vAlign w:val="bottom"/>
          </w:tcPr>
          <w:p w14:paraId="40DECD5A" w14:textId="77777777" w:rsidR="000020B9" w:rsidRPr="00E45B5B" w:rsidRDefault="000020B9" w:rsidP="00EF25E1">
            <w:pPr>
              <w:rPr>
                <w:color w:val="000000"/>
                <w:sz w:val="20"/>
                <w:szCs w:val="20"/>
                <w:lang w:val="en-US"/>
              </w:rPr>
            </w:pPr>
            <w:r w:rsidRPr="00E45B5B">
              <w:rPr>
                <w:color w:val="000000"/>
                <w:sz w:val="20"/>
                <w:szCs w:val="20"/>
                <w:lang w:val="en-US"/>
              </w:rPr>
              <w:t>Robust standard errors in parenthesis.</w:t>
            </w:r>
          </w:p>
        </w:tc>
        <w:tc>
          <w:tcPr>
            <w:tcW w:w="1329" w:type="dxa"/>
            <w:tcBorders>
              <w:top w:val="nil"/>
              <w:left w:val="nil"/>
              <w:bottom w:val="nil"/>
              <w:right w:val="nil"/>
            </w:tcBorders>
            <w:shd w:val="clear" w:color="auto" w:fill="auto"/>
            <w:noWrap/>
            <w:vAlign w:val="bottom"/>
          </w:tcPr>
          <w:p w14:paraId="3E78C4E5" w14:textId="77777777" w:rsidR="000020B9" w:rsidRPr="00E45B5B" w:rsidRDefault="000020B9" w:rsidP="00EF25E1">
            <w:pPr>
              <w:jc w:val="center"/>
              <w:rPr>
                <w:color w:val="000000"/>
                <w:sz w:val="20"/>
                <w:szCs w:val="20"/>
                <w:lang w:val="en-US"/>
              </w:rPr>
            </w:pPr>
          </w:p>
        </w:tc>
        <w:tc>
          <w:tcPr>
            <w:tcW w:w="1256" w:type="dxa"/>
            <w:tcBorders>
              <w:top w:val="nil"/>
              <w:left w:val="nil"/>
              <w:bottom w:val="nil"/>
              <w:right w:val="nil"/>
            </w:tcBorders>
            <w:shd w:val="clear" w:color="auto" w:fill="auto"/>
            <w:noWrap/>
            <w:vAlign w:val="bottom"/>
          </w:tcPr>
          <w:p w14:paraId="3A265ECE" w14:textId="77777777" w:rsidR="000020B9" w:rsidRPr="00E45B5B" w:rsidRDefault="000020B9" w:rsidP="00EF25E1">
            <w:pPr>
              <w:jc w:val="center"/>
              <w:rPr>
                <w:color w:val="000000"/>
                <w:sz w:val="20"/>
                <w:szCs w:val="20"/>
                <w:lang w:val="en-US"/>
              </w:rPr>
            </w:pPr>
          </w:p>
        </w:tc>
        <w:tc>
          <w:tcPr>
            <w:tcW w:w="1256" w:type="dxa"/>
            <w:tcBorders>
              <w:top w:val="nil"/>
              <w:left w:val="nil"/>
              <w:bottom w:val="nil"/>
              <w:right w:val="nil"/>
            </w:tcBorders>
            <w:shd w:val="clear" w:color="auto" w:fill="auto"/>
            <w:noWrap/>
            <w:vAlign w:val="bottom"/>
          </w:tcPr>
          <w:p w14:paraId="6D0FE7F7" w14:textId="77777777" w:rsidR="000020B9" w:rsidRPr="00E45B5B" w:rsidRDefault="000020B9" w:rsidP="00EF25E1">
            <w:pPr>
              <w:jc w:val="center"/>
              <w:rPr>
                <w:color w:val="000000"/>
                <w:sz w:val="20"/>
                <w:szCs w:val="20"/>
                <w:lang w:val="en-US"/>
              </w:rPr>
            </w:pPr>
          </w:p>
        </w:tc>
      </w:tr>
      <w:tr w:rsidR="000020B9" w:rsidRPr="00E45B5B" w14:paraId="29D91CE0" w14:textId="77777777" w:rsidTr="00EF25E1">
        <w:trPr>
          <w:trHeight w:val="300"/>
        </w:trPr>
        <w:tc>
          <w:tcPr>
            <w:tcW w:w="5052" w:type="dxa"/>
            <w:tcBorders>
              <w:top w:val="nil"/>
              <w:left w:val="nil"/>
              <w:bottom w:val="nil"/>
              <w:right w:val="nil"/>
            </w:tcBorders>
            <w:shd w:val="clear" w:color="auto" w:fill="auto"/>
            <w:noWrap/>
            <w:vAlign w:val="bottom"/>
          </w:tcPr>
          <w:p w14:paraId="1CDE664D" w14:textId="77777777" w:rsidR="000020B9" w:rsidRPr="00E45B5B" w:rsidRDefault="000020B9" w:rsidP="00EF25E1">
            <w:pPr>
              <w:rPr>
                <w:color w:val="000000"/>
                <w:sz w:val="20"/>
                <w:szCs w:val="20"/>
              </w:rPr>
            </w:pPr>
            <w:r w:rsidRPr="00E45B5B">
              <w:rPr>
                <w:color w:val="000000"/>
                <w:sz w:val="20"/>
                <w:szCs w:val="20"/>
              </w:rPr>
              <w:t>*p&lt;0.05, ** p&lt; 0.01, ***p&lt;0.001</w:t>
            </w:r>
          </w:p>
        </w:tc>
        <w:tc>
          <w:tcPr>
            <w:tcW w:w="1329" w:type="dxa"/>
            <w:tcBorders>
              <w:top w:val="nil"/>
              <w:left w:val="nil"/>
              <w:bottom w:val="nil"/>
              <w:right w:val="nil"/>
            </w:tcBorders>
            <w:shd w:val="clear" w:color="auto" w:fill="auto"/>
            <w:noWrap/>
            <w:vAlign w:val="bottom"/>
          </w:tcPr>
          <w:p w14:paraId="1B0755DE" w14:textId="77777777" w:rsidR="000020B9" w:rsidRPr="00E45B5B" w:rsidRDefault="000020B9" w:rsidP="00EF25E1">
            <w:pPr>
              <w:rPr>
                <w:color w:val="000000"/>
                <w:sz w:val="20"/>
                <w:szCs w:val="20"/>
              </w:rPr>
            </w:pPr>
          </w:p>
        </w:tc>
        <w:tc>
          <w:tcPr>
            <w:tcW w:w="1329" w:type="dxa"/>
            <w:tcBorders>
              <w:top w:val="nil"/>
              <w:left w:val="nil"/>
              <w:bottom w:val="nil"/>
              <w:right w:val="nil"/>
            </w:tcBorders>
            <w:shd w:val="clear" w:color="auto" w:fill="auto"/>
            <w:noWrap/>
            <w:vAlign w:val="bottom"/>
          </w:tcPr>
          <w:p w14:paraId="0375DA7A" w14:textId="77777777" w:rsidR="000020B9" w:rsidRPr="00E45B5B" w:rsidRDefault="000020B9" w:rsidP="00EF25E1">
            <w:pPr>
              <w:rPr>
                <w:color w:val="000000"/>
                <w:sz w:val="20"/>
                <w:szCs w:val="20"/>
              </w:rPr>
            </w:pPr>
          </w:p>
        </w:tc>
        <w:tc>
          <w:tcPr>
            <w:tcW w:w="1256" w:type="dxa"/>
            <w:tcBorders>
              <w:top w:val="nil"/>
              <w:left w:val="nil"/>
              <w:bottom w:val="nil"/>
              <w:right w:val="nil"/>
            </w:tcBorders>
            <w:shd w:val="clear" w:color="auto" w:fill="auto"/>
            <w:noWrap/>
            <w:vAlign w:val="bottom"/>
          </w:tcPr>
          <w:p w14:paraId="5B4B2FF8" w14:textId="77777777" w:rsidR="000020B9" w:rsidRPr="00E45B5B" w:rsidRDefault="000020B9" w:rsidP="00EF25E1">
            <w:pPr>
              <w:rPr>
                <w:color w:val="000000"/>
                <w:sz w:val="20"/>
                <w:szCs w:val="20"/>
              </w:rPr>
            </w:pPr>
          </w:p>
        </w:tc>
        <w:tc>
          <w:tcPr>
            <w:tcW w:w="1256" w:type="dxa"/>
            <w:tcBorders>
              <w:top w:val="nil"/>
              <w:left w:val="nil"/>
              <w:bottom w:val="nil"/>
              <w:right w:val="nil"/>
            </w:tcBorders>
            <w:shd w:val="clear" w:color="auto" w:fill="auto"/>
            <w:noWrap/>
            <w:vAlign w:val="bottom"/>
          </w:tcPr>
          <w:p w14:paraId="6E7C1907" w14:textId="77777777" w:rsidR="000020B9" w:rsidRPr="00E45B5B" w:rsidRDefault="000020B9" w:rsidP="00EF25E1">
            <w:pPr>
              <w:rPr>
                <w:color w:val="000000"/>
                <w:sz w:val="20"/>
                <w:szCs w:val="20"/>
              </w:rPr>
            </w:pPr>
          </w:p>
        </w:tc>
      </w:tr>
    </w:tbl>
    <w:p w14:paraId="0935969E" w14:textId="77777777" w:rsidR="000020B9" w:rsidRPr="00FE253A" w:rsidRDefault="000020B9" w:rsidP="000020B9">
      <w:pPr>
        <w:rPr>
          <w:lang w:val="fr-FR"/>
        </w:rPr>
      </w:pPr>
    </w:p>
    <w:p w14:paraId="67DFEBAF" w14:textId="77777777" w:rsidR="000020B9" w:rsidRDefault="000020B9" w:rsidP="000020B9"/>
    <w:p w14:paraId="146192EF" w14:textId="77777777" w:rsidR="000020B9" w:rsidRDefault="000020B9" w:rsidP="000020B9">
      <w:r>
        <w:br w:type="page"/>
      </w:r>
    </w:p>
    <w:tbl>
      <w:tblPr>
        <w:tblW w:w="10674" w:type="dxa"/>
        <w:tblInd w:w="55" w:type="dxa"/>
        <w:tblCellMar>
          <w:left w:w="70" w:type="dxa"/>
          <w:right w:w="70" w:type="dxa"/>
        </w:tblCellMar>
        <w:tblLook w:val="04A0" w:firstRow="1" w:lastRow="0" w:firstColumn="1" w:lastColumn="0" w:noHBand="0" w:noVBand="1"/>
      </w:tblPr>
      <w:tblGrid>
        <w:gridCol w:w="5156"/>
        <w:gridCol w:w="1273"/>
        <w:gridCol w:w="1247"/>
        <w:gridCol w:w="1691"/>
        <w:gridCol w:w="1307"/>
      </w:tblGrid>
      <w:tr w:rsidR="000020B9" w:rsidRPr="00E45B5B" w14:paraId="3A353FBF" w14:textId="77777777" w:rsidTr="00EF25E1">
        <w:trPr>
          <w:trHeight w:val="1305"/>
          <w:tblHeader/>
        </w:trPr>
        <w:tc>
          <w:tcPr>
            <w:tcW w:w="10674" w:type="dxa"/>
            <w:gridSpan w:val="5"/>
            <w:tcBorders>
              <w:top w:val="nil"/>
              <w:left w:val="nil"/>
              <w:right w:val="nil"/>
            </w:tcBorders>
            <w:shd w:val="clear" w:color="auto" w:fill="auto"/>
            <w:noWrap/>
            <w:vAlign w:val="bottom"/>
          </w:tcPr>
          <w:p w14:paraId="7E4EA60C" w14:textId="77777777" w:rsidR="000020B9" w:rsidRPr="00E45B5B" w:rsidRDefault="000020B9" w:rsidP="00EF25E1">
            <w:pPr>
              <w:rPr>
                <w:b/>
                <w:color w:val="000000"/>
                <w:sz w:val="20"/>
                <w:szCs w:val="20"/>
                <w:lang w:val="en-US"/>
              </w:rPr>
            </w:pPr>
            <w:r>
              <w:rPr>
                <w:b/>
                <w:color w:val="000000"/>
                <w:sz w:val="20"/>
                <w:szCs w:val="20"/>
                <w:lang w:val="en-US"/>
              </w:rPr>
              <w:lastRenderedPageBreak/>
              <w:t>Ta</w:t>
            </w:r>
            <w:r w:rsidRPr="00E45B5B">
              <w:rPr>
                <w:b/>
                <w:color w:val="000000"/>
                <w:sz w:val="20"/>
                <w:szCs w:val="20"/>
                <w:lang w:val="en-US"/>
              </w:rPr>
              <w:t xml:space="preserve">ble </w:t>
            </w:r>
            <w:r>
              <w:rPr>
                <w:b/>
                <w:color w:val="000000"/>
                <w:sz w:val="20"/>
                <w:szCs w:val="20"/>
                <w:lang w:val="en-US"/>
              </w:rPr>
              <w:t>8</w:t>
            </w:r>
          </w:p>
          <w:p w14:paraId="2A4528A6" w14:textId="77777777" w:rsidR="000020B9" w:rsidRPr="00E45B5B" w:rsidRDefault="000020B9" w:rsidP="00EF25E1">
            <w:pPr>
              <w:rPr>
                <w:b/>
                <w:color w:val="000000"/>
                <w:sz w:val="20"/>
                <w:szCs w:val="20"/>
                <w:lang w:val="en-US"/>
              </w:rPr>
            </w:pPr>
            <w:r w:rsidRPr="00E45B5B">
              <w:rPr>
                <w:b/>
                <w:color w:val="000000"/>
                <w:sz w:val="20"/>
                <w:szCs w:val="20"/>
                <w:lang w:val="en-US"/>
              </w:rPr>
              <w:t>In all columns below the dependent variable is the natural logarithm of the financial revenue. The unit price paid by the public body is deflated by the monthly official price index (IPCA=1 in 2001</w:t>
            </w:r>
            <w:r>
              <w:rPr>
                <w:b/>
                <w:color w:val="000000"/>
                <w:sz w:val="20"/>
                <w:szCs w:val="20"/>
                <w:lang w:val="en-US"/>
              </w:rPr>
              <w:t>Q1</w:t>
            </w:r>
            <w:r w:rsidRPr="00E45B5B">
              <w:rPr>
                <w:b/>
                <w:color w:val="000000"/>
                <w:sz w:val="20"/>
                <w:szCs w:val="20"/>
                <w:lang w:val="en-US"/>
              </w:rPr>
              <w:t>). The Banks supplying Classic and only nonfinancial products are exclude from those regressions in this table.</w:t>
            </w:r>
          </w:p>
        </w:tc>
      </w:tr>
      <w:tr w:rsidR="000020B9" w:rsidRPr="00E45B5B" w14:paraId="2548906D" w14:textId="77777777" w:rsidTr="00EF25E1">
        <w:trPr>
          <w:trHeight w:val="330"/>
          <w:tblHeader/>
        </w:trPr>
        <w:tc>
          <w:tcPr>
            <w:tcW w:w="10674" w:type="dxa"/>
            <w:gridSpan w:val="5"/>
            <w:tcBorders>
              <w:top w:val="nil"/>
              <w:left w:val="nil"/>
              <w:bottom w:val="nil"/>
              <w:right w:val="nil"/>
            </w:tcBorders>
            <w:shd w:val="clear" w:color="auto" w:fill="auto"/>
            <w:noWrap/>
            <w:vAlign w:val="bottom"/>
          </w:tcPr>
          <w:p w14:paraId="27DB5B41" w14:textId="77777777" w:rsidR="000020B9" w:rsidRPr="00E45B5B" w:rsidRDefault="000020B9" w:rsidP="00EF25E1">
            <w:pPr>
              <w:rPr>
                <w:b/>
                <w:color w:val="000000"/>
                <w:sz w:val="20"/>
                <w:szCs w:val="20"/>
                <w:lang w:val="en-US"/>
              </w:rPr>
            </w:pPr>
            <w:r w:rsidRPr="00E45B5B">
              <w:rPr>
                <w:b/>
                <w:color w:val="000000"/>
                <w:sz w:val="20"/>
                <w:szCs w:val="20"/>
                <w:lang w:val="en-US"/>
              </w:rPr>
              <w:t>Dependent Variable: ln (Revenue)</w:t>
            </w:r>
          </w:p>
        </w:tc>
      </w:tr>
      <w:tr w:rsidR="000020B9" w:rsidRPr="00E45B5B" w14:paraId="6AE52C5D" w14:textId="77777777" w:rsidTr="00EF25E1">
        <w:trPr>
          <w:trHeight w:val="315"/>
          <w:tblHeader/>
        </w:trPr>
        <w:tc>
          <w:tcPr>
            <w:tcW w:w="5156" w:type="dxa"/>
            <w:tcBorders>
              <w:top w:val="double" w:sz="6" w:space="0" w:color="auto"/>
              <w:left w:val="nil"/>
              <w:bottom w:val="single" w:sz="4" w:space="0" w:color="auto"/>
              <w:right w:val="nil"/>
            </w:tcBorders>
            <w:shd w:val="clear" w:color="auto" w:fill="auto"/>
            <w:noWrap/>
            <w:vAlign w:val="bottom"/>
          </w:tcPr>
          <w:p w14:paraId="6BD967D5" w14:textId="77777777" w:rsidR="000020B9" w:rsidRPr="00E45B5B" w:rsidRDefault="000020B9" w:rsidP="00EF25E1">
            <w:pPr>
              <w:rPr>
                <w:color w:val="000000"/>
                <w:sz w:val="20"/>
                <w:szCs w:val="20"/>
              </w:rPr>
            </w:pPr>
            <w:r w:rsidRPr="00E45B5B">
              <w:rPr>
                <w:color w:val="000000"/>
                <w:sz w:val="20"/>
                <w:szCs w:val="20"/>
              </w:rPr>
              <w:t> </w:t>
            </w:r>
          </w:p>
        </w:tc>
        <w:tc>
          <w:tcPr>
            <w:tcW w:w="1273" w:type="dxa"/>
            <w:tcBorders>
              <w:top w:val="double" w:sz="6" w:space="0" w:color="auto"/>
              <w:left w:val="nil"/>
              <w:bottom w:val="single" w:sz="4" w:space="0" w:color="auto"/>
              <w:right w:val="nil"/>
            </w:tcBorders>
            <w:shd w:val="clear" w:color="auto" w:fill="auto"/>
            <w:noWrap/>
            <w:vAlign w:val="bottom"/>
          </w:tcPr>
          <w:p w14:paraId="0E71461A" w14:textId="77777777" w:rsidR="000020B9" w:rsidRPr="00E45B5B" w:rsidRDefault="000020B9" w:rsidP="00EF25E1">
            <w:pPr>
              <w:jc w:val="center"/>
              <w:rPr>
                <w:color w:val="000000"/>
                <w:sz w:val="20"/>
                <w:szCs w:val="20"/>
              </w:rPr>
            </w:pPr>
            <w:r w:rsidRPr="00E45B5B">
              <w:rPr>
                <w:color w:val="000000"/>
                <w:sz w:val="20"/>
                <w:szCs w:val="20"/>
              </w:rPr>
              <w:t xml:space="preserve">  (1)   </w:t>
            </w:r>
          </w:p>
        </w:tc>
        <w:tc>
          <w:tcPr>
            <w:tcW w:w="1247" w:type="dxa"/>
            <w:tcBorders>
              <w:top w:val="double" w:sz="6" w:space="0" w:color="auto"/>
              <w:left w:val="nil"/>
              <w:bottom w:val="single" w:sz="4" w:space="0" w:color="auto"/>
              <w:right w:val="nil"/>
            </w:tcBorders>
            <w:shd w:val="clear" w:color="auto" w:fill="auto"/>
            <w:noWrap/>
            <w:vAlign w:val="bottom"/>
          </w:tcPr>
          <w:p w14:paraId="2A9B0054" w14:textId="77777777" w:rsidR="000020B9" w:rsidRPr="00E45B5B" w:rsidRDefault="000020B9" w:rsidP="00EF25E1">
            <w:pPr>
              <w:jc w:val="center"/>
              <w:rPr>
                <w:color w:val="000000"/>
                <w:sz w:val="20"/>
                <w:szCs w:val="20"/>
              </w:rPr>
            </w:pPr>
            <w:r w:rsidRPr="00E45B5B">
              <w:rPr>
                <w:color w:val="000000"/>
                <w:sz w:val="20"/>
                <w:szCs w:val="20"/>
              </w:rPr>
              <w:t xml:space="preserve">  (2)   </w:t>
            </w:r>
          </w:p>
        </w:tc>
        <w:tc>
          <w:tcPr>
            <w:tcW w:w="1691" w:type="dxa"/>
            <w:tcBorders>
              <w:top w:val="double" w:sz="6" w:space="0" w:color="auto"/>
              <w:left w:val="nil"/>
              <w:bottom w:val="single" w:sz="4" w:space="0" w:color="auto"/>
              <w:right w:val="nil"/>
            </w:tcBorders>
            <w:shd w:val="clear" w:color="auto" w:fill="auto"/>
            <w:noWrap/>
            <w:vAlign w:val="bottom"/>
          </w:tcPr>
          <w:p w14:paraId="176868CA" w14:textId="77777777" w:rsidR="000020B9" w:rsidRPr="00E45B5B" w:rsidRDefault="000020B9" w:rsidP="00EF25E1">
            <w:pPr>
              <w:jc w:val="center"/>
              <w:rPr>
                <w:color w:val="000000"/>
                <w:sz w:val="20"/>
                <w:szCs w:val="20"/>
              </w:rPr>
            </w:pPr>
            <w:r w:rsidRPr="00E45B5B">
              <w:rPr>
                <w:color w:val="000000"/>
                <w:sz w:val="20"/>
                <w:szCs w:val="20"/>
              </w:rPr>
              <w:t xml:space="preserve">  (3)   </w:t>
            </w:r>
          </w:p>
        </w:tc>
        <w:tc>
          <w:tcPr>
            <w:tcW w:w="1307" w:type="dxa"/>
            <w:tcBorders>
              <w:top w:val="double" w:sz="6" w:space="0" w:color="auto"/>
              <w:left w:val="nil"/>
              <w:bottom w:val="single" w:sz="4" w:space="0" w:color="auto"/>
              <w:right w:val="nil"/>
            </w:tcBorders>
            <w:shd w:val="clear" w:color="auto" w:fill="auto"/>
            <w:noWrap/>
            <w:vAlign w:val="bottom"/>
          </w:tcPr>
          <w:p w14:paraId="1B88D1CB" w14:textId="77777777" w:rsidR="000020B9" w:rsidRPr="00E45B5B" w:rsidRDefault="000020B9" w:rsidP="00EF25E1">
            <w:pPr>
              <w:jc w:val="center"/>
              <w:rPr>
                <w:color w:val="000000"/>
                <w:sz w:val="20"/>
                <w:szCs w:val="20"/>
              </w:rPr>
            </w:pPr>
            <w:r w:rsidRPr="00E45B5B">
              <w:rPr>
                <w:color w:val="000000"/>
                <w:sz w:val="20"/>
                <w:szCs w:val="20"/>
              </w:rPr>
              <w:t xml:space="preserve">  (4)   </w:t>
            </w:r>
          </w:p>
        </w:tc>
      </w:tr>
      <w:tr w:rsidR="000020B9" w:rsidRPr="00E45B5B" w14:paraId="476FB3A5" w14:textId="77777777" w:rsidTr="00EF25E1">
        <w:trPr>
          <w:trHeight w:val="300"/>
        </w:trPr>
        <w:tc>
          <w:tcPr>
            <w:tcW w:w="5156" w:type="dxa"/>
            <w:tcBorders>
              <w:top w:val="nil"/>
              <w:left w:val="nil"/>
              <w:bottom w:val="nil"/>
              <w:right w:val="nil"/>
            </w:tcBorders>
            <w:shd w:val="clear" w:color="auto" w:fill="auto"/>
            <w:noWrap/>
            <w:vAlign w:val="bottom"/>
          </w:tcPr>
          <w:p w14:paraId="74E3E0E5" w14:textId="77777777" w:rsidR="000020B9" w:rsidRPr="00E45B5B" w:rsidRDefault="000020B9" w:rsidP="00EF25E1">
            <w:pPr>
              <w:rPr>
                <w:color w:val="000000"/>
                <w:sz w:val="20"/>
                <w:szCs w:val="20"/>
              </w:rPr>
            </w:pPr>
            <w:r w:rsidRPr="00E45B5B">
              <w:rPr>
                <w:color w:val="000000"/>
                <w:sz w:val="20"/>
                <w:szCs w:val="20"/>
              </w:rPr>
              <w:t>ln (wage)</w:t>
            </w:r>
          </w:p>
        </w:tc>
        <w:tc>
          <w:tcPr>
            <w:tcW w:w="1273" w:type="dxa"/>
            <w:tcBorders>
              <w:top w:val="nil"/>
              <w:left w:val="nil"/>
              <w:bottom w:val="nil"/>
              <w:right w:val="nil"/>
            </w:tcBorders>
            <w:shd w:val="clear" w:color="auto" w:fill="auto"/>
            <w:noWrap/>
            <w:vAlign w:val="bottom"/>
          </w:tcPr>
          <w:p w14:paraId="6537ADCC" w14:textId="77777777" w:rsidR="000020B9" w:rsidRPr="00E45B5B" w:rsidRDefault="000020B9" w:rsidP="00EF25E1">
            <w:pPr>
              <w:jc w:val="center"/>
              <w:rPr>
                <w:color w:val="000000"/>
                <w:sz w:val="20"/>
                <w:szCs w:val="20"/>
              </w:rPr>
            </w:pPr>
            <w:r w:rsidRPr="00E45B5B">
              <w:rPr>
                <w:color w:val="000000"/>
                <w:sz w:val="20"/>
                <w:szCs w:val="20"/>
              </w:rPr>
              <w:t xml:space="preserve">-0.193   </w:t>
            </w:r>
          </w:p>
        </w:tc>
        <w:tc>
          <w:tcPr>
            <w:tcW w:w="1247" w:type="dxa"/>
            <w:tcBorders>
              <w:top w:val="nil"/>
              <w:left w:val="nil"/>
              <w:bottom w:val="nil"/>
              <w:right w:val="nil"/>
            </w:tcBorders>
            <w:shd w:val="clear" w:color="auto" w:fill="auto"/>
            <w:noWrap/>
            <w:vAlign w:val="bottom"/>
          </w:tcPr>
          <w:p w14:paraId="241347A6" w14:textId="77777777" w:rsidR="000020B9" w:rsidRPr="00E45B5B" w:rsidRDefault="000020B9" w:rsidP="00EF25E1">
            <w:pPr>
              <w:jc w:val="center"/>
              <w:rPr>
                <w:color w:val="000000"/>
                <w:sz w:val="20"/>
                <w:szCs w:val="20"/>
              </w:rPr>
            </w:pPr>
            <w:r w:rsidRPr="00E45B5B">
              <w:rPr>
                <w:color w:val="000000"/>
                <w:sz w:val="20"/>
                <w:szCs w:val="20"/>
              </w:rPr>
              <w:t xml:space="preserve">-0.196   </w:t>
            </w:r>
          </w:p>
        </w:tc>
        <w:tc>
          <w:tcPr>
            <w:tcW w:w="1691" w:type="dxa"/>
            <w:tcBorders>
              <w:top w:val="nil"/>
              <w:left w:val="nil"/>
              <w:bottom w:val="nil"/>
              <w:right w:val="nil"/>
            </w:tcBorders>
            <w:shd w:val="clear" w:color="auto" w:fill="auto"/>
            <w:noWrap/>
            <w:vAlign w:val="bottom"/>
          </w:tcPr>
          <w:p w14:paraId="12B06B4C" w14:textId="77777777" w:rsidR="000020B9" w:rsidRPr="00E45B5B" w:rsidRDefault="000020B9" w:rsidP="00EF25E1">
            <w:pPr>
              <w:jc w:val="center"/>
              <w:rPr>
                <w:color w:val="000000"/>
                <w:sz w:val="20"/>
                <w:szCs w:val="20"/>
              </w:rPr>
            </w:pPr>
            <w:r w:rsidRPr="00E45B5B">
              <w:rPr>
                <w:color w:val="000000"/>
                <w:sz w:val="20"/>
                <w:szCs w:val="20"/>
              </w:rPr>
              <w:t xml:space="preserve">-0.196   </w:t>
            </w:r>
          </w:p>
        </w:tc>
        <w:tc>
          <w:tcPr>
            <w:tcW w:w="1307" w:type="dxa"/>
            <w:tcBorders>
              <w:top w:val="nil"/>
              <w:left w:val="nil"/>
              <w:bottom w:val="nil"/>
              <w:right w:val="nil"/>
            </w:tcBorders>
            <w:shd w:val="clear" w:color="auto" w:fill="auto"/>
            <w:noWrap/>
            <w:vAlign w:val="bottom"/>
          </w:tcPr>
          <w:p w14:paraId="1510FABC" w14:textId="77777777" w:rsidR="000020B9" w:rsidRPr="00E45B5B" w:rsidRDefault="000020B9" w:rsidP="00EF25E1">
            <w:pPr>
              <w:jc w:val="center"/>
              <w:rPr>
                <w:color w:val="000000"/>
                <w:sz w:val="20"/>
                <w:szCs w:val="20"/>
              </w:rPr>
            </w:pPr>
            <w:r w:rsidRPr="00E45B5B">
              <w:rPr>
                <w:color w:val="000000"/>
                <w:sz w:val="20"/>
                <w:szCs w:val="20"/>
              </w:rPr>
              <w:t xml:space="preserve">-0.196   </w:t>
            </w:r>
          </w:p>
        </w:tc>
      </w:tr>
      <w:tr w:rsidR="000020B9" w:rsidRPr="00E45B5B" w14:paraId="0F110872" w14:textId="77777777" w:rsidTr="00EF25E1">
        <w:trPr>
          <w:trHeight w:val="300"/>
        </w:trPr>
        <w:tc>
          <w:tcPr>
            <w:tcW w:w="5156" w:type="dxa"/>
            <w:tcBorders>
              <w:top w:val="nil"/>
              <w:left w:val="nil"/>
              <w:bottom w:val="nil"/>
              <w:right w:val="nil"/>
            </w:tcBorders>
            <w:shd w:val="clear" w:color="auto" w:fill="auto"/>
            <w:noWrap/>
          </w:tcPr>
          <w:p w14:paraId="234BA75F" w14:textId="77777777" w:rsidR="000020B9" w:rsidRPr="00E45B5B" w:rsidRDefault="000020B9" w:rsidP="00EF25E1">
            <w:pPr>
              <w:rPr>
                <w:color w:val="000000"/>
                <w:sz w:val="20"/>
                <w:szCs w:val="20"/>
              </w:rPr>
            </w:pPr>
          </w:p>
        </w:tc>
        <w:tc>
          <w:tcPr>
            <w:tcW w:w="1273" w:type="dxa"/>
            <w:tcBorders>
              <w:top w:val="nil"/>
              <w:left w:val="nil"/>
              <w:bottom w:val="nil"/>
              <w:right w:val="nil"/>
            </w:tcBorders>
            <w:shd w:val="clear" w:color="auto" w:fill="auto"/>
            <w:noWrap/>
            <w:vAlign w:val="bottom"/>
          </w:tcPr>
          <w:p w14:paraId="2860A69A" w14:textId="77777777" w:rsidR="000020B9" w:rsidRPr="00E45B5B" w:rsidRDefault="000020B9" w:rsidP="00EF25E1">
            <w:pPr>
              <w:jc w:val="center"/>
              <w:rPr>
                <w:color w:val="000000"/>
                <w:sz w:val="20"/>
                <w:szCs w:val="20"/>
              </w:rPr>
            </w:pPr>
            <w:r w:rsidRPr="00E45B5B">
              <w:rPr>
                <w:color w:val="000000"/>
                <w:sz w:val="20"/>
                <w:szCs w:val="20"/>
              </w:rPr>
              <w:t xml:space="preserve">(0.123)   </w:t>
            </w:r>
          </w:p>
        </w:tc>
        <w:tc>
          <w:tcPr>
            <w:tcW w:w="1247" w:type="dxa"/>
            <w:tcBorders>
              <w:top w:val="nil"/>
              <w:left w:val="nil"/>
              <w:bottom w:val="nil"/>
              <w:right w:val="nil"/>
            </w:tcBorders>
            <w:shd w:val="clear" w:color="auto" w:fill="auto"/>
            <w:noWrap/>
            <w:vAlign w:val="bottom"/>
          </w:tcPr>
          <w:p w14:paraId="1EE4398A" w14:textId="77777777" w:rsidR="000020B9" w:rsidRPr="00E45B5B" w:rsidRDefault="000020B9" w:rsidP="00EF25E1">
            <w:pPr>
              <w:jc w:val="center"/>
              <w:rPr>
                <w:color w:val="000000"/>
                <w:sz w:val="20"/>
                <w:szCs w:val="20"/>
              </w:rPr>
            </w:pPr>
            <w:r w:rsidRPr="00E45B5B">
              <w:rPr>
                <w:color w:val="000000"/>
                <w:sz w:val="20"/>
                <w:szCs w:val="20"/>
              </w:rPr>
              <w:t xml:space="preserve">(0.122)   </w:t>
            </w:r>
          </w:p>
        </w:tc>
        <w:tc>
          <w:tcPr>
            <w:tcW w:w="1691" w:type="dxa"/>
            <w:tcBorders>
              <w:top w:val="nil"/>
              <w:left w:val="nil"/>
              <w:bottom w:val="nil"/>
              <w:right w:val="nil"/>
            </w:tcBorders>
            <w:shd w:val="clear" w:color="auto" w:fill="auto"/>
            <w:noWrap/>
            <w:vAlign w:val="bottom"/>
          </w:tcPr>
          <w:p w14:paraId="34802392" w14:textId="77777777" w:rsidR="000020B9" w:rsidRPr="00E45B5B" w:rsidRDefault="000020B9" w:rsidP="00EF25E1">
            <w:pPr>
              <w:jc w:val="center"/>
              <w:rPr>
                <w:color w:val="000000"/>
                <w:sz w:val="20"/>
                <w:szCs w:val="20"/>
              </w:rPr>
            </w:pPr>
            <w:r w:rsidRPr="00E45B5B">
              <w:rPr>
                <w:color w:val="000000"/>
                <w:sz w:val="20"/>
                <w:szCs w:val="20"/>
              </w:rPr>
              <w:t xml:space="preserve">(0.121)   </w:t>
            </w:r>
          </w:p>
        </w:tc>
        <w:tc>
          <w:tcPr>
            <w:tcW w:w="1307" w:type="dxa"/>
            <w:tcBorders>
              <w:top w:val="nil"/>
              <w:left w:val="nil"/>
              <w:bottom w:val="nil"/>
              <w:right w:val="nil"/>
            </w:tcBorders>
            <w:shd w:val="clear" w:color="auto" w:fill="auto"/>
            <w:noWrap/>
            <w:vAlign w:val="bottom"/>
          </w:tcPr>
          <w:p w14:paraId="32E179F9" w14:textId="77777777" w:rsidR="000020B9" w:rsidRPr="00E45B5B" w:rsidRDefault="000020B9" w:rsidP="00EF25E1">
            <w:pPr>
              <w:jc w:val="center"/>
              <w:rPr>
                <w:color w:val="000000"/>
                <w:sz w:val="20"/>
                <w:szCs w:val="20"/>
              </w:rPr>
            </w:pPr>
            <w:r w:rsidRPr="00E45B5B">
              <w:rPr>
                <w:color w:val="000000"/>
                <w:sz w:val="20"/>
                <w:szCs w:val="20"/>
              </w:rPr>
              <w:t xml:space="preserve">(0.122)   </w:t>
            </w:r>
          </w:p>
        </w:tc>
      </w:tr>
      <w:tr w:rsidR="000020B9" w:rsidRPr="00E45B5B" w14:paraId="3CB5A74D" w14:textId="77777777" w:rsidTr="00EF25E1">
        <w:trPr>
          <w:trHeight w:val="300"/>
        </w:trPr>
        <w:tc>
          <w:tcPr>
            <w:tcW w:w="5156" w:type="dxa"/>
            <w:tcBorders>
              <w:top w:val="nil"/>
              <w:left w:val="nil"/>
              <w:bottom w:val="nil"/>
              <w:right w:val="nil"/>
            </w:tcBorders>
            <w:shd w:val="clear" w:color="auto" w:fill="auto"/>
            <w:noWrap/>
            <w:vAlign w:val="bottom"/>
          </w:tcPr>
          <w:p w14:paraId="1B7DBFBA" w14:textId="77777777" w:rsidR="000020B9" w:rsidRPr="00E45B5B" w:rsidRDefault="000020B9" w:rsidP="00EF25E1">
            <w:pPr>
              <w:rPr>
                <w:color w:val="000000"/>
                <w:sz w:val="20"/>
                <w:szCs w:val="20"/>
              </w:rPr>
            </w:pPr>
            <w:r w:rsidRPr="00E45B5B">
              <w:rPr>
                <w:color w:val="000000"/>
                <w:sz w:val="20"/>
                <w:szCs w:val="20"/>
              </w:rPr>
              <w:t>ln(cost of capital)</w:t>
            </w:r>
          </w:p>
        </w:tc>
        <w:tc>
          <w:tcPr>
            <w:tcW w:w="1273" w:type="dxa"/>
            <w:tcBorders>
              <w:top w:val="nil"/>
              <w:left w:val="nil"/>
              <w:bottom w:val="nil"/>
              <w:right w:val="nil"/>
            </w:tcBorders>
            <w:shd w:val="clear" w:color="auto" w:fill="auto"/>
            <w:noWrap/>
            <w:vAlign w:val="bottom"/>
          </w:tcPr>
          <w:p w14:paraId="423112E5" w14:textId="77777777" w:rsidR="000020B9" w:rsidRPr="00E45B5B" w:rsidRDefault="000020B9" w:rsidP="00EF25E1">
            <w:pPr>
              <w:jc w:val="center"/>
              <w:rPr>
                <w:color w:val="000000"/>
                <w:sz w:val="20"/>
                <w:szCs w:val="20"/>
              </w:rPr>
            </w:pPr>
            <w:r w:rsidRPr="00E45B5B">
              <w:rPr>
                <w:color w:val="000000"/>
                <w:sz w:val="20"/>
                <w:szCs w:val="20"/>
              </w:rPr>
              <w:t>0.334***</w:t>
            </w:r>
          </w:p>
        </w:tc>
        <w:tc>
          <w:tcPr>
            <w:tcW w:w="1247" w:type="dxa"/>
            <w:tcBorders>
              <w:top w:val="nil"/>
              <w:left w:val="nil"/>
              <w:bottom w:val="nil"/>
              <w:right w:val="nil"/>
            </w:tcBorders>
            <w:shd w:val="clear" w:color="auto" w:fill="auto"/>
            <w:noWrap/>
            <w:vAlign w:val="bottom"/>
          </w:tcPr>
          <w:p w14:paraId="6FAEAA3D" w14:textId="77777777" w:rsidR="000020B9" w:rsidRPr="00E45B5B" w:rsidRDefault="000020B9" w:rsidP="00EF25E1">
            <w:pPr>
              <w:jc w:val="center"/>
              <w:rPr>
                <w:color w:val="000000"/>
                <w:sz w:val="20"/>
                <w:szCs w:val="20"/>
              </w:rPr>
            </w:pPr>
            <w:r w:rsidRPr="00E45B5B">
              <w:rPr>
                <w:color w:val="000000"/>
                <w:sz w:val="20"/>
                <w:szCs w:val="20"/>
              </w:rPr>
              <w:t>0.356***</w:t>
            </w:r>
          </w:p>
        </w:tc>
        <w:tc>
          <w:tcPr>
            <w:tcW w:w="1691" w:type="dxa"/>
            <w:tcBorders>
              <w:top w:val="nil"/>
              <w:left w:val="nil"/>
              <w:bottom w:val="nil"/>
              <w:right w:val="nil"/>
            </w:tcBorders>
            <w:shd w:val="clear" w:color="auto" w:fill="auto"/>
            <w:noWrap/>
            <w:vAlign w:val="bottom"/>
          </w:tcPr>
          <w:p w14:paraId="1AC5D834" w14:textId="77777777" w:rsidR="000020B9" w:rsidRPr="00E45B5B" w:rsidRDefault="000020B9" w:rsidP="00EF25E1">
            <w:pPr>
              <w:jc w:val="center"/>
              <w:rPr>
                <w:color w:val="000000"/>
                <w:sz w:val="20"/>
                <w:szCs w:val="20"/>
              </w:rPr>
            </w:pPr>
            <w:r w:rsidRPr="00E45B5B">
              <w:rPr>
                <w:color w:val="000000"/>
                <w:sz w:val="20"/>
                <w:szCs w:val="20"/>
              </w:rPr>
              <w:t>0.355***</w:t>
            </w:r>
          </w:p>
        </w:tc>
        <w:tc>
          <w:tcPr>
            <w:tcW w:w="1307" w:type="dxa"/>
            <w:tcBorders>
              <w:top w:val="nil"/>
              <w:left w:val="nil"/>
              <w:bottom w:val="nil"/>
              <w:right w:val="nil"/>
            </w:tcBorders>
            <w:shd w:val="clear" w:color="auto" w:fill="auto"/>
            <w:noWrap/>
            <w:vAlign w:val="bottom"/>
          </w:tcPr>
          <w:p w14:paraId="3304080D" w14:textId="77777777" w:rsidR="000020B9" w:rsidRPr="00E45B5B" w:rsidRDefault="000020B9" w:rsidP="00EF25E1">
            <w:pPr>
              <w:jc w:val="center"/>
              <w:rPr>
                <w:color w:val="000000"/>
                <w:sz w:val="20"/>
                <w:szCs w:val="20"/>
              </w:rPr>
            </w:pPr>
            <w:r w:rsidRPr="00E45B5B">
              <w:rPr>
                <w:color w:val="000000"/>
                <w:sz w:val="20"/>
                <w:szCs w:val="20"/>
              </w:rPr>
              <w:t>0.356***</w:t>
            </w:r>
          </w:p>
        </w:tc>
      </w:tr>
      <w:tr w:rsidR="000020B9" w:rsidRPr="00E45B5B" w14:paraId="200438DD" w14:textId="77777777" w:rsidTr="00EF25E1">
        <w:trPr>
          <w:trHeight w:val="300"/>
        </w:trPr>
        <w:tc>
          <w:tcPr>
            <w:tcW w:w="5156" w:type="dxa"/>
            <w:tcBorders>
              <w:top w:val="nil"/>
              <w:left w:val="nil"/>
              <w:bottom w:val="nil"/>
              <w:right w:val="nil"/>
            </w:tcBorders>
            <w:shd w:val="clear" w:color="auto" w:fill="auto"/>
            <w:noWrap/>
          </w:tcPr>
          <w:p w14:paraId="1FE000E1" w14:textId="77777777" w:rsidR="000020B9" w:rsidRPr="00E45B5B" w:rsidRDefault="000020B9" w:rsidP="00EF25E1">
            <w:pPr>
              <w:rPr>
                <w:color w:val="000000"/>
                <w:sz w:val="20"/>
                <w:szCs w:val="20"/>
              </w:rPr>
            </w:pPr>
          </w:p>
        </w:tc>
        <w:tc>
          <w:tcPr>
            <w:tcW w:w="1273" w:type="dxa"/>
            <w:tcBorders>
              <w:top w:val="nil"/>
              <w:left w:val="nil"/>
              <w:bottom w:val="nil"/>
              <w:right w:val="nil"/>
            </w:tcBorders>
            <w:shd w:val="clear" w:color="auto" w:fill="auto"/>
            <w:noWrap/>
            <w:vAlign w:val="bottom"/>
          </w:tcPr>
          <w:p w14:paraId="6F8E6B49" w14:textId="77777777" w:rsidR="000020B9" w:rsidRPr="00E45B5B" w:rsidRDefault="000020B9" w:rsidP="00EF25E1">
            <w:pPr>
              <w:jc w:val="center"/>
              <w:rPr>
                <w:color w:val="000000"/>
                <w:sz w:val="20"/>
                <w:szCs w:val="20"/>
              </w:rPr>
            </w:pPr>
            <w:r w:rsidRPr="00E45B5B">
              <w:rPr>
                <w:color w:val="000000"/>
                <w:sz w:val="20"/>
                <w:szCs w:val="20"/>
              </w:rPr>
              <w:t xml:space="preserve">(0.053)   </w:t>
            </w:r>
          </w:p>
        </w:tc>
        <w:tc>
          <w:tcPr>
            <w:tcW w:w="1247" w:type="dxa"/>
            <w:tcBorders>
              <w:top w:val="nil"/>
              <w:left w:val="nil"/>
              <w:bottom w:val="nil"/>
              <w:right w:val="nil"/>
            </w:tcBorders>
            <w:shd w:val="clear" w:color="auto" w:fill="auto"/>
            <w:noWrap/>
            <w:vAlign w:val="bottom"/>
          </w:tcPr>
          <w:p w14:paraId="45B6CE86" w14:textId="77777777" w:rsidR="000020B9" w:rsidRPr="00E45B5B" w:rsidRDefault="000020B9" w:rsidP="00EF25E1">
            <w:pPr>
              <w:jc w:val="center"/>
              <w:rPr>
                <w:color w:val="000000"/>
                <w:sz w:val="20"/>
                <w:szCs w:val="20"/>
              </w:rPr>
            </w:pPr>
            <w:r w:rsidRPr="00E45B5B">
              <w:rPr>
                <w:color w:val="000000"/>
                <w:sz w:val="20"/>
                <w:szCs w:val="20"/>
              </w:rPr>
              <w:t xml:space="preserve">(0.060)   </w:t>
            </w:r>
          </w:p>
        </w:tc>
        <w:tc>
          <w:tcPr>
            <w:tcW w:w="1691" w:type="dxa"/>
            <w:tcBorders>
              <w:top w:val="nil"/>
              <w:left w:val="nil"/>
              <w:bottom w:val="nil"/>
              <w:right w:val="nil"/>
            </w:tcBorders>
            <w:shd w:val="clear" w:color="auto" w:fill="auto"/>
            <w:noWrap/>
            <w:vAlign w:val="bottom"/>
          </w:tcPr>
          <w:p w14:paraId="111DC007" w14:textId="77777777" w:rsidR="000020B9" w:rsidRPr="00E45B5B" w:rsidRDefault="000020B9" w:rsidP="00EF25E1">
            <w:pPr>
              <w:jc w:val="center"/>
              <w:rPr>
                <w:color w:val="000000"/>
                <w:sz w:val="20"/>
                <w:szCs w:val="20"/>
              </w:rPr>
            </w:pPr>
            <w:r w:rsidRPr="00E45B5B">
              <w:rPr>
                <w:color w:val="000000"/>
                <w:sz w:val="20"/>
                <w:szCs w:val="20"/>
              </w:rPr>
              <w:t xml:space="preserve">(0.060)   </w:t>
            </w:r>
          </w:p>
        </w:tc>
        <w:tc>
          <w:tcPr>
            <w:tcW w:w="1307" w:type="dxa"/>
            <w:tcBorders>
              <w:top w:val="nil"/>
              <w:left w:val="nil"/>
              <w:bottom w:val="nil"/>
              <w:right w:val="nil"/>
            </w:tcBorders>
            <w:shd w:val="clear" w:color="auto" w:fill="auto"/>
            <w:noWrap/>
            <w:vAlign w:val="bottom"/>
          </w:tcPr>
          <w:p w14:paraId="3D5C7BC0" w14:textId="77777777" w:rsidR="000020B9" w:rsidRPr="00E45B5B" w:rsidRDefault="000020B9" w:rsidP="00EF25E1">
            <w:pPr>
              <w:jc w:val="center"/>
              <w:rPr>
                <w:color w:val="000000"/>
                <w:sz w:val="20"/>
                <w:szCs w:val="20"/>
              </w:rPr>
            </w:pPr>
            <w:r w:rsidRPr="00E45B5B">
              <w:rPr>
                <w:color w:val="000000"/>
                <w:sz w:val="20"/>
                <w:szCs w:val="20"/>
              </w:rPr>
              <w:t xml:space="preserve">(0.060)   </w:t>
            </w:r>
          </w:p>
        </w:tc>
      </w:tr>
      <w:tr w:rsidR="000020B9" w:rsidRPr="00E45B5B" w14:paraId="070D9813" w14:textId="77777777" w:rsidTr="00EF25E1">
        <w:trPr>
          <w:trHeight w:val="300"/>
        </w:trPr>
        <w:tc>
          <w:tcPr>
            <w:tcW w:w="5156" w:type="dxa"/>
            <w:tcBorders>
              <w:top w:val="nil"/>
              <w:left w:val="nil"/>
              <w:bottom w:val="nil"/>
              <w:right w:val="nil"/>
            </w:tcBorders>
            <w:shd w:val="clear" w:color="auto" w:fill="auto"/>
            <w:noWrap/>
            <w:vAlign w:val="bottom"/>
          </w:tcPr>
          <w:p w14:paraId="5D062E08" w14:textId="77777777" w:rsidR="000020B9" w:rsidRPr="00E45B5B" w:rsidRDefault="000020B9" w:rsidP="00EF25E1">
            <w:pPr>
              <w:rPr>
                <w:color w:val="000000"/>
                <w:sz w:val="20"/>
                <w:szCs w:val="20"/>
                <w:lang w:val="en-US"/>
              </w:rPr>
            </w:pPr>
            <w:r w:rsidRPr="00E45B5B">
              <w:rPr>
                <w:color w:val="000000"/>
                <w:sz w:val="20"/>
                <w:szCs w:val="20"/>
                <w:lang w:val="en-US"/>
              </w:rPr>
              <w:t>ln(cost of fixed capital)</w:t>
            </w:r>
          </w:p>
        </w:tc>
        <w:tc>
          <w:tcPr>
            <w:tcW w:w="1273" w:type="dxa"/>
            <w:tcBorders>
              <w:top w:val="nil"/>
              <w:left w:val="nil"/>
              <w:bottom w:val="nil"/>
              <w:right w:val="nil"/>
            </w:tcBorders>
            <w:shd w:val="clear" w:color="auto" w:fill="auto"/>
            <w:noWrap/>
            <w:vAlign w:val="bottom"/>
          </w:tcPr>
          <w:p w14:paraId="5120C824" w14:textId="77777777" w:rsidR="000020B9" w:rsidRPr="00E45B5B" w:rsidRDefault="000020B9" w:rsidP="00EF25E1">
            <w:pPr>
              <w:jc w:val="center"/>
              <w:rPr>
                <w:color w:val="000000"/>
                <w:sz w:val="20"/>
                <w:szCs w:val="20"/>
              </w:rPr>
            </w:pPr>
            <w:r w:rsidRPr="00E45B5B">
              <w:rPr>
                <w:color w:val="000000"/>
                <w:sz w:val="20"/>
                <w:szCs w:val="20"/>
              </w:rPr>
              <w:t xml:space="preserve">-0.013   </w:t>
            </w:r>
          </w:p>
        </w:tc>
        <w:tc>
          <w:tcPr>
            <w:tcW w:w="1247" w:type="dxa"/>
            <w:tcBorders>
              <w:top w:val="nil"/>
              <w:left w:val="nil"/>
              <w:bottom w:val="nil"/>
              <w:right w:val="nil"/>
            </w:tcBorders>
            <w:shd w:val="clear" w:color="auto" w:fill="auto"/>
            <w:noWrap/>
            <w:vAlign w:val="bottom"/>
          </w:tcPr>
          <w:p w14:paraId="71AAE1BF" w14:textId="77777777" w:rsidR="000020B9" w:rsidRPr="00E45B5B" w:rsidRDefault="000020B9" w:rsidP="00EF25E1">
            <w:pPr>
              <w:jc w:val="center"/>
              <w:rPr>
                <w:color w:val="000000"/>
                <w:sz w:val="20"/>
                <w:szCs w:val="20"/>
              </w:rPr>
            </w:pPr>
            <w:r w:rsidRPr="00E45B5B">
              <w:rPr>
                <w:color w:val="000000"/>
                <w:sz w:val="20"/>
                <w:szCs w:val="20"/>
              </w:rPr>
              <w:t xml:space="preserve">-0.012   </w:t>
            </w:r>
          </w:p>
        </w:tc>
        <w:tc>
          <w:tcPr>
            <w:tcW w:w="1691" w:type="dxa"/>
            <w:tcBorders>
              <w:top w:val="nil"/>
              <w:left w:val="nil"/>
              <w:bottom w:val="nil"/>
              <w:right w:val="nil"/>
            </w:tcBorders>
            <w:shd w:val="clear" w:color="auto" w:fill="auto"/>
            <w:noWrap/>
            <w:vAlign w:val="bottom"/>
          </w:tcPr>
          <w:p w14:paraId="43A33FF7" w14:textId="77777777" w:rsidR="000020B9" w:rsidRPr="00E45B5B" w:rsidRDefault="000020B9" w:rsidP="00EF25E1">
            <w:pPr>
              <w:jc w:val="center"/>
              <w:rPr>
                <w:color w:val="000000"/>
                <w:sz w:val="20"/>
                <w:szCs w:val="20"/>
              </w:rPr>
            </w:pPr>
            <w:r w:rsidRPr="00E45B5B">
              <w:rPr>
                <w:color w:val="000000"/>
                <w:sz w:val="20"/>
                <w:szCs w:val="20"/>
              </w:rPr>
              <w:t xml:space="preserve">-0.011   </w:t>
            </w:r>
          </w:p>
        </w:tc>
        <w:tc>
          <w:tcPr>
            <w:tcW w:w="1307" w:type="dxa"/>
            <w:tcBorders>
              <w:top w:val="nil"/>
              <w:left w:val="nil"/>
              <w:bottom w:val="nil"/>
              <w:right w:val="nil"/>
            </w:tcBorders>
            <w:shd w:val="clear" w:color="auto" w:fill="auto"/>
            <w:noWrap/>
            <w:vAlign w:val="bottom"/>
          </w:tcPr>
          <w:p w14:paraId="68D9D001" w14:textId="77777777" w:rsidR="000020B9" w:rsidRPr="00E45B5B" w:rsidRDefault="000020B9" w:rsidP="00EF25E1">
            <w:pPr>
              <w:jc w:val="center"/>
              <w:rPr>
                <w:color w:val="000000"/>
                <w:sz w:val="20"/>
                <w:szCs w:val="20"/>
              </w:rPr>
            </w:pPr>
            <w:r w:rsidRPr="00E45B5B">
              <w:rPr>
                <w:color w:val="000000"/>
                <w:sz w:val="20"/>
                <w:szCs w:val="20"/>
              </w:rPr>
              <w:t xml:space="preserve">-0.012   </w:t>
            </w:r>
          </w:p>
        </w:tc>
      </w:tr>
      <w:tr w:rsidR="000020B9" w:rsidRPr="00E45B5B" w14:paraId="37D72D8B" w14:textId="77777777" w:rsidTr="00EF25E1">
        <w:trPr>
          <w:trHeight w:val="300"/>
        </w:trPr>
        <w:tc>
          <w:tcPr>
            <w:tcW w:w="5156" w:type="dxa"/>
            <w:tcBorders>
              <w:top w:val="nil"/>
              <w:left w:val="nil"/>
              <w:bottom w:val="nil"/>
              <w:right w:val="nil"/>
            </w:tcBorders>
            <w:shd w:val="clear" w:color="auto" w:fill="auto"/>
            <w:noWrap/>
          </w:tcPr>
          <w:p w14:paraId="2F8FBEFC" w14:textId="77777777" w:rsidR="000020B9" w:rsidRPr="00E45B5B" w:rsidRDefault="000020B9" w:rsidP="00EF25E1">
            <w:pPr>
              <w:rPr>
                <w:color w:val="000000"/>
                <w:sz w:val="20"/>
                <w:szCs w:val="20"/>
              </w:rPr>
            </w:pPr>
          </w:p>
        </w:tc>
        <w:tc>
          <w:tcPr>
            <w:tcW w:w="1273" w:type="dxa"/>
            <w:tcBorders>
              <w:top w:val="nil"/>
              <w:left w:val="nil"/>
              <w:bottom w:val="nil"/>
              <w:right w:val="nil"/>
            </w:tcBorders>
            <w:shd w:val="clear" w:color="auto" w:fill="auto"/>
            <w:noWrap/>
            <w:vAlign w:val="bottom"/>
          </w:tcPr>
          <w:p w14:paraId="389E9839" w14:textId="77777777" w:rsidR="000020B9" w:rsidRPr="00E45B5B" w:rsidRDefault="000020B9" w:rsidP="00EF25E1">
            <w:pPr>
              <w:jc w:val="center"/>
              <w:rPr>
                <w:color w:val="000000"/>
                <w:sz w:val="20"/>
                <w:szCs w:val="20"/>
              </w:rPr>
            </w:pPr>
            <w:r w:rsidRPr="00E45B5B">
              <w:rPr>
                <w:color w:val="000000"/>
                <w:sz w:val="20"/>
                <w:szCs w:val="20"/>
              </w:rPr>
              <w:t xml:space="preserve">(0.044)   </w:t>
            </w:r>
          </w:p>
        </w:tc>
        <w:tc>
          <w:tcPr>
            <w:tcW w:w="1247" w:type="dxa"/>
            <w:tcBorders>
              <w:top w:val="nil"/>
              <w:left w:val="nil"/>
              <w:bottom w:val="nil"/>
              <w:right w:val="nil"/>
            </w:tcBorders>
            <w:shd w:val="clear" w:color="auto" w:fill="auto"/>
            <w:noWrap/>
            <w:vAlign w:val="bottom"/>
          </w:tcPr>
          <w:p w14:paraId="374291E8" w14:textId="77777777" w:rsidR="000020B9" w:rsidRPr="00E45B5B" w:rsidRDefault="000020B9" w:rsidP="00EF25E1">
            <w:pPr>
              <w:jc w:val="center"/>
              <w:rPr>
                <w:color w:val="000000"/>
                <w:sz w:val="20"/>
                <w:szCs w:val="20"/>
              </w:rPr>
            </w:pPr>
            <w:r w:rsidRPr="00E45B5B">
              <w:rPr>
                <w:color w:val="000000"/>
                <w:sz w:val="20"/>
                <w:szCs w:val="20"/>
              </w:rPr>
              <w:t xml:space="preserve">(0.045)   </w:t>
            </w:r>
          </w:p>
        </w:tc>
        <w:tc>
          <w:tcPr>
            <w:tcW w:w="1691" w:type="dxa"/>
            <w:tcBorders>
              <w:top w:val="nil"/>
              <w:left w:val="nil"/>
              <w:bottom w:val="nil"/>
              <w:right w:val="nil"/>
            </w:tcBorders>
            <w:shd w:val="clear" w:color="auto" w:fill="auto"/>
            <w:noWrap/>
            <w:vAlign w:val="bottom"/>
          </w:tcPr>
          <w:p w14:paraId="0FE44AE6" w14:textId="77777777" w:rsidR="000020B9" w:rsidRPr="00E45B5B" w:rsidRDefault="000020B9" w:rsidP="00EF25E1">
            <w:pPr>
              <w:jc w:val="center"/>
              <w:rPr>
                <w:color w:val="000000"/>
                <w:sz w:val="20"/>
                <w:szCs w:val="20"/>
              </w:rPr>
            </w:pPr>
            <w:r w:rsidRPr="00E45B5B">
              <w:rPr>
                <w:color w:val="000000"/>
                <w:sz w:val="20"/>
                <w:szCs w:val="20"/>
              </w:rPr>
              <w:t xml:space="preserve">(0.045)   </w:t>
            </w:r>
          </w:p>
        </w:tc>
        <w:tc>
          <w:tcPr>
            <w:tcW w:w="1307" w:type="dxa"/>
            <w:tcBorders>
              <w:top w:val="nil"/>
              <w:left w:val="nil"/>
              <w:bottom w:val="nil"/>
              <w:right w:val="nil"/>
            </w:tcBorders>
            <w:shd w:val="clear" w:color="auto" w:fill="auto"/>
            <w:noWrap/>
            <w:vAlign w:val="bottom"/>
          </w:tcPr>
          <w:p w14:paraId="441A1652" w14:textId="77777777" w:rsidR="000020B9" w:rsidRPr="00E45B5B" w:rsidRDefault="000020B9" w:rsidP="00EF25E1">
            <w:pPr>
              <w:jc w:val="center"/>
              <w:rPr>
                <w:color w:val="000000"/>
                <w:sz w:val="20"/>
                <w:szCs w:val="20"/>
              </w:rPr>
            </w:pPr>
            <w:r w:rsidRPr="00E45B5B">
              <w:rPr>
                <w:color w:val="000000"/>
                <w:sz w:val="20"/>
                <w:szCs w:val="20"/>
              </w:rPr>
              <w:t xml:space="preserve">(0.045)   </w:t>
            </w:r>
          </w:p>
        </w:tc>
      </w:tr>
      <w:tr w:rsidR="000020B9" w:rsidRPr="00E45B5B" w14:paraId="21B07988" w14:textId="77777777" w:rsidTr="00EF25E1">
        <w:trPr>
          <w:trHeight w:val="300"/>
        </w:trPr>
        <w:tc>
          <w:tcPr>
            <w:tcW w:w="5156" w:type="dxa"/>
            <w:tcBorders>
              <w:top w:val="nil"/>
              <w:left w:val="nil"/>
              <w:bottom w:val="nil"/>
              <w:right w:val="nil"/>
            </w:tcBorders>
            <w:shd w:val="clear" w:color="auto" w:fill="auto"/>
            <w:noWrap/>
            <w:vAlign w:val="bottom"/>
          </w:tcPr>
          <w:p w14:paraId="54FAFA99" w14:textId="77777777" w:rsidR="000020B9" w:rsidRPr="00E45B5B" w:rsidRDefault="000020B9" w:rsidP="00EF25E1">
            <w:pPr>
              <w:rPr>
                <w:color w:val="000000"/>
                <w:sz w:val="20"/>
                <w:szCs w:val="20"/>
                <w:lang w:val="en-US"/>
              </w:rPr>
            </w:pPr>
            <w:r w:rsidRPr="00E45B5B">
              <w:rPr>
                <w:color w:val="000000"/>
                <w:sz w:val="20"/>
                <w:szCs w:val="20"/>
                <w:lang w:val="en-US"/>
              </w:rPr>
              <w:t>ln (wage)*Dummy Banks with Classic and  Financial Bank Products</w:t>
            </w:r>
          </w:p>
        </w:tc>
        <w:tc>
          <w:tcPr>
            <w:tcW w:w="1273" w:type="dxa"/>
            <w:tcBorders>
              <w:top w:val="nil"/>
              <w:left w:val="nil"/>
              <w:bottom w:val="nil"/>
              <w:right w:val="nil"/>
            </w:tcBorders>
            <w:shd w:val="clear" w:color="auto" w:fill="auto"/>
            <w:noWrap/>
            <w:vAlign w:val="bottom"/>
          </w:tcPr>
          <w:p w14:paraId="3B6C95E6" w14:textId="77777777" w:rsidR="000020B9" w:rsidRPr="00E45B5B" w:rsidRDefault="000020B9" w:rsidP="00EF25E1">
            <w:pPr>
              <w:jc w:val="center"/>
              <w:rPr>
                <w:color w:val="000000"/>
                <w:sz w:val="20"/>
                <w:szCs w:val="20"/>
              </w:rPr>
            </w:pPr>
            <w:r w:rsidRPr="00E45B5B">
              <w:rPr>
                <w:color w:val="000000"/>
                <w:sz w:val="20"/>
                <w:szCs w:val="20"/>
              </w:rPr>
              <w:t xml:space="preserve">-0.132   </w:t>
            </w:r>
          </w:p>
        </w:tc>
        <w:tc>
          <w:tcPr>
            <w:tcW w:w="1247" w:type="dxa"/>
            <w:tcBorders>
              <w:top w:val="nil"/>
              <w:left w:val="nil"/>
              <w:bottom w:val="nil"/>
              <w:right w:val="nil"/>
            </w:tcBorders>
            <w:shd w:val="clear" w:color="auto" w:fill="auto"/>
            <w:noWrap/>
            <w:vAlign w:val="bottom"/>
          </w:tcPr>
          <w:p w14:paraId="4FBF7BFC" w14:textId="77777777" w:rsidR="000020B9" w:rsidRPr="00E45B5B" w:rsidRDefault="000020B9" w:rsidP="00EF25E1">
            <w:pPr>
              <w:jc w:val="center"/>
              <w:rPr>
                <w:color w:val="000000"/>
                <w:sz w:val="20"/>
                <w:szCs w:val="20"/>
              </w:rPr>
            </w:pPr>
            <w:r w:rsidRPr="00E45B5B">
              <w:rPr>
                <w:color w:val="000000"/>
                <w:sz w:val="20"/>
                <w:szCs w:val="20"/>
              </w:rPr>
              <w:t xml:space="preserve">-0.132   </w:t>
            </w:r>
          </w:p>
        </w:tc>
        <w:tc>
          <w:tcPr>
            <w:tcW w:w="1691" w:type="dxa"/>
            <w:tcBorders>
              <w:top w:val="nil"/>
              <w:left w:val="nil"/>
              <w:bottom w:val="nil"/>
              <w:right w:val="nil"/>
            </w:tcBorders>
            <w:shd w:val="clear" w:color="auto" w:fill="auto"/>
            <w:noWrap/>
            <w:vAlign w:val="bottom"/>
          </w:tcPr>
          <w:p w14:paraId="00044DD0" w14:textId="77777777" w:rsidR="000020B9" w:rsidRPr="00E45B5B" w:rsidRDefault="000020B9" w:rsidP="00EF25E1">
            <w:pPr>
              <w:jc w:val="center"/>
              <w:rPr>
                <w:color w:val="000000"/>
                <w:sz w:val="20"/>
                <w:szCs w:val="20"/>
              </w:rPr>
            </w:pPr>
            <w:r w:rsidRPr="00E45B5B">
              <w:rPr>
                <w:color w:val="000000"/>
                <w:sz w:val="20"/>
                <w:szCs w:val="20"/>
              </w:rPr>
              <w:t xml:space="preserve">-0.132   </w:t>
            </w:r>
          </w:p>
        </w:tc>
        <w:tc>
          <w:tcPr>
            <w:tcW w:w="1307" w:type="dxa"/>
            <w:tcBorders>
              <w:top w:val="nil"/>
              <w:left w:val="nil"/>
              <w:bottom w:val="nil"/>
              <w:right w:val="nil"/>
            </w:tcBorders>
            <w:shd w:val="clear" w:color="auto" w:fill="auto"/>
            <w:noWrap/>
            <w:vAlign w:val="bottom"/>
          </w:tcPr>
          <w:p w14:paraId="4029E12E" w14:textId="77777777" w:rsidR="000020B9" w:rsidRPr="00E45B5B" w:rsidRDefault="000020B9" w:rsidP="00EF25E1">
            <w:pPr>
              <w:jc w:val="center"/>
              <w:rPr>
                <w:color w:val="000000"/>
                <w:sz w:val="20"/>
                <w:szCs w:val="20"/>
              </w:rPr>
            </w:pPr>
            <w:r w:rsidRPr="00E45B5B">
              <w:rPr>
                <w:color w:val="000000"/>
                <w:sz w:val="20"/>
                <w:szCs w:val="20"/>
              </w:rPr>
              <w:t xml:space="preserve">-0.130   </w:t>
            </w:r>
          </w:p>
        </w:tc>
      </w:tr>
      <w:tr w:rsidR="000020B9" w:rsidRPr="00E45B5B" w14:paraId="3D68BE89" w14:textId="77777777" w:rsidTr="00EF25E1">
        <w:trPr>
          <w:trHeight w:val="300"/>
        </w:trPr>
        <w:tc>
          <w:tcPr>
            <w:tcW w:w="5156" w:type="dxa"/>
            <w:tcBorders>
              <w:top w:val="nil"/>
              <w:left w:val="nil"/>
              <w:bottom w:val="nil"/>
              <w:right w:val="nil"/>
            </w:tcBorders>
            <w:shd w:val="clear" w:color="auto" w:fill="auto"/>
            <w:noWrap/>
          </w:tcPr>
          <w:p w14:paraId="0A331340" w14:textId="77777777" w:rsidR="000020B9" w:rsidRPr="00E45B5B" w:rsidRDefault="000020B9" w:rsidP="00EF25E1">
            <w:pPr>
              <w:rPr>
                <w:color w:val="000000"/>
                <w:sz w:val="20"/>
                <w:szCs w:val="20"/>
              </w:rPr>
            </w:pPr>
          </w:p>
        </w:tc>
        <w:tc>
          <w:tcPr>
            <w:tcW w:w="1273" w:type="dxa"/>
            <w:tcBorders>
              <w:top w:val="nil"/>
              <w:left w:val="nil"/>
              <w:bottom w:val="nil"/>
              <w:right w:val="nil"/>
            </w:tcBorders>
            <w:shd w:val="clear" w:color="auto" w:fill="auto"/>
            <w:noWrap/>
            <w:vAlign w:val="bottom"/>
          </w:tcPr>
          <w:p w14:paraId="6476449B" w14:textId="77777777" w:rsidR="000020B9" w:rsidRPr="00E45B5B" w:rsidRDefault="000020B9" w:rsidP="00EF25E1">
            <w:pPr>
              <w:jc w:val="center"/>
              <w:rPr>
                <w:color w:val="000000"/>
                <w:sz w:val="20"/>
                <w:szCs w:val="20"/>
              </w:rPr>
            </w:pPr>
            <w:r w:rsidRPr="00E45B5B">
              <w:rPr>
                <w:color w:val="000000"/>
                <w:sz w:val="20"/>
                <w:szCs w:val="20"/>
              </w:rPr>
              <w:t xml:space="preserve">(0.148)   </w:t>
            </w:r>
          </w:p>
        </w:tc>
        <w:tc>
          <w:tcPr>
            <w:tcW w:w="1247" w:type="dxa"/>
            <w:tcBorders>
              <w:top w:val="nil"/>
              <w:left w:val="nil"/>
              <w:bottom w:val="nil"/>
              <w:right w:val="nil"/>
            </w:tcBorders>
            <w:shd w:val="clear" w:color="auto" w:fill="auto"/>
            <w:noWrap/>
            <w:vAlign w:val="bottom"/>
          </w:tcPr>
          <w:p w14:paraId="2832DDA7" w14:textId="77777777" w:rsidR="000020B9" w:rsidRPr="00E45B5B" w:rsidRDefault="000020B9" w:rsidP="00EF25E1">
            <w:pPr>
              <w:jc w:val="center"/>
              <w:rPr>
                <w:color w:val="000000"/>
                <w:sz w:val="20"/>
                <w:szCs w:val="20"/>
              </w:rPr>
            </w:pPr>
            <w:r w:rsidRPr="00E45B5B">
              <w:rPr>
                <w:color w:val="000000"/>
                <w:sz w:val="20"/>
                <w:szCs w:val="20"/>
              </w:rPr>
              <w:t xml:space="preserve">(0.142)   </w:t>
            </w:r>
          </w:p>
        </w:tc>
        <w:tc>
          <w:tcPr>
            <w:tcW w:w="1691" w:type="dxa"/>
            <w:tcBorders>
              <w:top w:val="nil"/>
              <w:left w:val="nil"/>
              <w:bottom w:val="nil"/>
              <w:right w:val="nil"/>
            </w:tcBorders>
            <w:shd w:val="clear" w:color="auto" w:fill="auto"/>
            <w:noWrap/>
            <w:vAlign w:val="bottom"/>
          </w:tcPr>
          <w:p w14:paraId="426E265C" w14:textId="77777777" w:rsidR="000020B9" w:rsidRPr="00E45B5B" w:rsidRDefault="000020B9" w:rsidP="00EF25E1">
            <w:pPr>
              <w:jc w:val="center"/>
              <w:rPr>
                <w:color w:val="000000"/>
                <w:sz w:val="20"/>
                <w:szCs w:val="20"/>
              </w:rPr>
            </w:pPr>
            <w:r w:rsidRPr="00E45B5B">
              <w:rPr>
                <w:color w:val="000000"/>
                <w:sz w:val="20"/>
                <w:szCs w:val="20"/>
              </w:rPr>
              <w:t xml:space="preserve">(0.142)   </w:t>
            </w:r>
          </w:p>
        </w:tc>
        <w:tc>
          <w:tcPr>
            <w:tcW w:w="1307" w:type="dxa"/>
            <w:tcBorders>
              <w:top w:val="nil"/>
              <w:left w:val="nil"/>
              <w:bottom w:val="nil"/>
              <w:right w:val="nil"/>
            </w:tcBorders>
            <w:shd w:val="clear" w:color="auto" w:fill="auto"/>
            <w:noWrap/>
            <w:vAlign w:val="bottom"/>
          </w:tcPr>
          <w:p w14:paraId="16C27755" w14:textId="77777777" w:rsidR="000020B9" w:rsidRPr="00E45B5B" w:rsidRDefault="000020B9" w:rsidP="00EF25E1">
            <w:pPr>
              <w:jc w:val="center"/>
              <w:rPr>
                <w:color w:val="000000"/>
                <w:sz w:val="20"/>
                <w:szCs w:val="20"/>
              </w:rPr>
            </w:pPr>
            <w:r w:rsidRPr="00E45B5B">
              <w:rPr>
                <w:color w:val="000000"/>
                <w:sz w:val="20"/>
                <w:szCs w:val="20"/>
              </w:rPr>
              <w:t xml:space="preserve">(0.142)   </w:t>
            </w:r>
          </w:p>
        </w:tc>
      </w:tr>
      <w:tr w:rsidR="000020B9" w:rsidRPr="00E45B5B" w14:paraId="58992BE0" w14:textId="77777777" w:rsidTr="00EF25E1">
        <w:trPr>
          <w:trHeight w:val="300"/>
        </w:trPr>
        <w:tc>
          <w:tcPr>
            <w:tcW w:w="5156" w:type="dxa"/>
            <w:tcBorders>
              <w:top w:val="nil"/>
              <w:left w:val="nil"/>
              <w:bottom w:val="nil"/>
              <w:right w:val="nil"/>
            </w:tcBorders>
            <w:shd w:val="clear" w:color="auto" w:fill="auto"/>
            <w:noWrap/>
            <w:vAlign w:val="bottom"/>
          </w:tcPr>
          <w:p w14:paraId="7662729F" w14:textId="77777777" w:rsidR="000020B9" w:rsidRPr="00E45B5B" w:rsidRDefault="000020B9" w:rsidP="00EF25E1">
            <w:pPr>
              <w:rPr>
                <w:color w:val="000000"/>
                <w:sz w:val="20"/>
                <w:szCs w:val="20"/>
                <w:lang w:val="en-US"/>
              </w:rPr>
            </w:pPr>
            <w:r w:rsidRPr="00E45B5B">
              <w:rPr>
                <w:color w:val="000000"/>
                <w:sz w:val="20"/>
                <w:szCs w:val="20"/>
                <w:lang w:val="en-US"/>
              </w:rPr>
              <w:t>ln(cost of capital)*Dummy Banks with Classic and  Financial Bank Products</w:t>
            </w:r>
          </w:p>
        </w:tc>
        <w:tc>
          <w:tcPr>
            <w:tcW w:w="1273" w:type="dxa"/>
            <w:tcBorders>
              <w:top w:val="nil"/>
              <w:left w:val="nil"/>
              <w:bottom w:val="nil"/>
              <w:right w:val="nil"/>
            </w:tcBorders>
            <w:shd w:val="clear" w:color="auto" w:fill="auto"/>
            <w:noWrap/>
            <w:vAlign w:val="bottom"/>
          </w:tcPr>
          <w:p w14:paraId="39D42A55" w14:textId="77777777" w:rsidR="000020B9" w:rsidRPr="00E45B5B" w:rsidRDefault="000020B9" w:rsidP="00EF25E1">
            <w:pPr>
              <w:jc w:val="center"/>
              <w:rPr>
                <w:color w:val="000000"/>
                <w:sz w:val="20"/>
                <w:szCs w:val="20"/>
              </w:rPr>
            </w:pPr>
            <w:r w:rsidRPr="00E45B5B">
              <w:rPr>
                <w:color w:val="000000"/>
                <w:sz w:val="20"/>
                <w:szCs w:val="20"/>
              </w:rPr>
              <w:t xml:space="preserve">-0.036   </w:t>
            </w:r>
          </w:p>
        </w:tc>
        <w:tc>
          <w:tcPr>
            <w:tcW w:w="1247" w:type="dxa"/>
            <w:tcBorders>
              <w:top w:val="nil"/>
              <w:left w:val="nil"/>
              <w:bottom w:val="nil"/>
              <w:right w:val="nil"/>
            </w:tcBorders>
            <w:shd w:val="clear" w:color="auto" w:fill="auto"/>
            <w:noWrap/>
            <w:vAlign w:val="bottom"/>
          </w:tcPr>
          <w:p w14:paraId="1B68E05D" w14:textId="77777777" w:rsidR="000020B9" w:rsidRPr="00E45B5B" w:rsidRDefault="000020B9" w:rsidP="00EF25E1">
            <w:pPr>
              <w:jc w:val="center"/>
              <w:rPr>
                <w:color w:val="000000"/>
                <w:sz w:val="20"/>
                <w:szCs w:val="20"/>
              </w:rPr>
            </w:pPr>
            <w:r w:rsidRPr="00E45B5B">
              <w:rPr>
                <w:color w:val="000000"/>
                <w:sz w:val="20"/>
                <w:szCs w:val="20"/>
              </w:rPr>
              <w:t xml:space="preserve">-0.054   </w:t>
            </w:r>
          </w:p>
        </w:tc>
        <w:tc>
          <w:tcPr>
            <w:tcW w:w="1691" w:type="dxa"/>
            <w:tcBorders>
              <w:top w:val="nil"/>
              <w:left w:val="nil"/>
              <w:bottom w:val="nil"/>
              <w:right w:val="nil"/>
            </w:tcBorders>
            <w:shd w:val="clear" w:color="auto" w:fill="auto"/>
            <w:noWrap/>
            <w:vAlign w:val="bottom"/>
          </w:tcPr>
          <w:p w14:paraId="21740F54" w14:textId="77777777" w:rsidR="000020B9" w:rsidRPr="00E45B5B" w:rsidRDefault="000020B9" w:rsidP="00EF25E1">
            <w:pPr>
              <w:jc w:val="center"/>
              <w:rPr>
                <w:color w:val="000000"/>
                <w:sz w:val="20"/>
                <w:szCs w:val="20"/>
              </w:rPr>
            </w:pPr>
            <w:r w:rsidRPr="00E45B5B">
              <w:rPr>
                <w:color w:val="000000"/>
                <w:sz w:val="20"/>
                <w:szCs w:val="20"/>
              </w:rPr>
              <w:t xml:space="preserve">-0.054   </w:t>
            </w:r>
          </w:p>
        </w:tc>
        <w:tc>
          <w:tcPr>
            <w:tcW w:w="1307" w:type="dxa"/>
            <w:tcBorders>
              <w:top w:val="nil"/>
              <w:left w:val="nil"/>
              <w:bottom w:val="nil"/>
              <w:right w:val="nil"/>
            </w:tcBorders>
            <w:shd w:val="clear" w:color="auto" w:fill="auto"/>
            <w:noWrap/>
            <w:vAlign w:val="bottom"/>
          </w:tcPr>
          <w:p w14:paraId="7C7CBE30" w14:textId="77777777" w:rsidR="000020B9" w:rsidRPr="00E45B5B" w:rsidRDefault="000020B9" w:rsidP="00EF25E1">
            <w:pPr>
              <w:jc w:val="center"/>
              <w:rPr>
                <w:color w:val="000000"/>
                <w:sz w:val="20"/>
                <w:szCs w:val="20"/>
              </w:rPr>
            </w:pPr>
            <w:r w:rsidRPr="00E45B5B">
              <w:rPr>
                <w:color w:val="000000"/>
                <w:sz w:val="20"/>
                <w:szCs w:val="20"/>
              </w:rPr>
              <w:t xml:space="preserve">-0.055   </w:t>
            </w:r>
          </w:p>
        </w:tc>
      </w:tr>
      <w:tr w:rsidR="000020B9" w:rsidRPr="00E45B5B" w14:paraId="7D4564D2" w14:textId="77777777" w:rsidTr="00EF25E1">
        <w:trPr>
          <w:trHeight w:val="300"/>
        </w:trPr>
        <w:tc>
          <w:tcPr>
            <w:tcW w:w="5156" w:type="dxa"/>
            <w:tcBorders>
              <w:top w:val="nil"/>
              <w:left w:val="nil"/>
              <w:bottom w:val="nil"/>
              <w:right w:val="nil"/>
            </w:tcBorders>
            <w:shd w:val="clear" w:color="auto" w:fill="auto"/>
            <w:noWrap/>
          </w:tcPr>
          <w:p w14:paraId="073514B5" w14:textId="77777777" w:rsidR="000020B9" w:rsidRPr="00E45B5B" w:rsidRDefault="000020B9" w:rsidP="00EF25E1">
            <w:pPr>
              <w:rPr>
                <w:color w:val="000000"/>
                <w:sz w:val="20"/>
                <w:szCs w:val="20"/>
              </w:rPr>
            </w:pPr>
          </w:p>
        </w:tc>
        <w:tc>
          <w:tcPr>
            <w:tcW w:w="1273" w:type="dxa"/>
            <w:tcBorders>
              <w:top w:val="nil"/>
              <w:left w:val="nil"/>
              <w:bottom w:val="nil"/>
              <w:right w:val="nil"/>
            </w:tcBorders>
            <w:shd w:val="clear" w:color="auto" w:fill="auto"/>
            <w:noWrap/>
            <w:vAlign w:val="bottom"/>
          </w:tcPr>
          <w:p w14:paraId="1A681F8D" w14:textId="77777777" w:rsidR="000020B9" w:rsidRPr="00E45B5B" w:rsidRDefault="000020B9" w:rsidP="00EF25E1">
            <w:pPr>
              <w:jc w:val="center"/>
              <w:rPr>
                <w:color w:val="000000"/>
                <w:sz w:val="20"/>
                <w:szCs w:val="20"/>
              </w:rPr>
            </w:pPr>
            <w:r w:rsidRPr="00E45B5B">
              <w:rPr>
                <w:color w:val="000000"/>
                <w:sz w:val="20"/>
                <w:szCs w:val="20"/>
              </w:rPr>
              <w:t xml:space="preserve">(0.080)   </w:t>
            </w:r>
          </w:p>
        </w:tc>
        <w:tc>
          <w:tcPr>
            <w:tcW w:w="1247" w:type="dxa"/>
            <w:tcBorders>
              <w:top w:val="nil"/>
              <w:left w:val="nil"/>
              <w:bottom w:val="nil"/>
              <w:right w:val="nil"/>
            </w:tcBorders>
            <w:shd w:val="clear" w:color="auto" w:fill="auto"/>
            <w:noWrap/>
            <w:vAlign w:val="bottom"/>
          </w:tcPr>
          <w:p w14:paraId="278F15C1" w14:textId="77777777" w:rsidR="000020B9" w:rsidRPr="00E45B5B" w:rsidRDefault="000020B9" w:rsidP="00EF25E1">
            <w:pPr>
              <w:jc w:val="center"/>
              <w:rPr>
                <w:color w:val="000000"/>
                <w:sz w:val="20"/>
                <w:szCs w:val="20"/>
              </w:rPr>
            </w:pPr>
            <w:r w:rsidRPr="00E45B5B">
              <w:rPr>
                <w:color w:val="000000"/>
                <w:sz w:val="20"/>
                <w:szCs w:val="20"/>
              </w:rPr>
              <w:t xml:space="preserve">(0.083)   </w:t>
            </w:r>
          </w:p>
        </w:tc>
        <w:tc>
          <w:tcPr>
            <w:tcW w:w="1691" w:type="dxa"/>
            <w:tcBorders>
              <w:top w:val="nil"/>
              <w:left w:val="nil"/>
              <w:bottom w:val="nil"/>
              <w:right w:val="nil"/>
            </w:tcBorders>
            <w:shd w:val="clear" w:color="auto" w:fill="auto"/>
            <w:noWrap/>
            <w:vAlign w:val="bottom"/>
          </w:tcPr>
          <w:p w14:paraId="37424310" w14:textId="77777777" w:rsidR="000020B9" w:rsidRPr="00E45B5B" w:rsidRDefault="000020B9" w:rsidP="00EF25E1">
            <w:pPr>
              <w:jc w:val="center"/>
              <w:rPr>
                <w:color w:val="000000"/>
                <w:sz w:val="20"/>
                <w:szCs w:val="20"/>
              </w:rPr>
            </w:pPr>
            <w:r w:rsidRPr="00E45B5B">
              <w:rPr>
                <w:color w:val="000000"/>
                <w:sz w:val="20"/>
                <w:szCs w:val="20"/>
              </w:rPr>
              <w:t xml:space="preserve">(0.083)   </w:t>
            </w:r>
          </w:p>
        </w:tc>
        <w:tc>
          <w:tcPr>
            <w:tcW w:w="1307" w:type="dxa"/>
            <w:tcBorders>
              <w:top w:val="nil"/>
              <w:left w:val="nil"/>
              <w:bottom w:val="nil"/>
              <w:right w:val="nil"/>
            </w:tcBorders>
            <w:shd w:val="clear" w:color="auto" w:fill="auto"/>
            <w:noWrap/>
            <w:vAlign w:val="bottom"/>
          </w:tcPr>
          <w:p w14:paraId="04138E43" w14:textId="77777777" w:rsidR="000020B9" w:rsidRPr="00E45B5B" w:rsidRDefault="000020B9" w:rsidP="00EF25E1">
            <w:pPr>
              <w:jc w:val="center"/>
              <w:rPr>
                <w:color w:val="000000"/>
                <w:sz w:val="20"/>
                <w:szCs w:val="20"/>
              </w:rPr>
            </w:pPr>
            <w:r w:rsidRPr="00E45B5B">
              <w:rPr>
                <w:color w:val="000000"/>
                <w:sz w:val="20"/>
                <w:szCs w:val="20"/>
              </w:rPr>
              <w:t xml:space="preserve">(0.082)   </w:t>
            </w:r>
          </w:p>
        </w:tc>
      </w:tr>
      <w:tr w:rsidR="000020B9" w:rsidRPr="00E45B5B" w14:paraId="7D4E4215" w14:textId="77777777" w:rsidTr="00EF25E1">
        <w:trPr>
          <w:trHeight w:val="300"/>
        </w:trPr>
        <w:tc>
          <w:tcPr>
            <w:tcW w:w="5156" w:type="dxa"/>
            <w:tcBorders>
              <w:top w:val="nil"/>
              <w:left w:val="nil"/>
              <w:bottom w:val="nil"/>
              <w:right w:val="nil"/>
            </w:tcBorders>
            <w:shd w:val="clear" w:color="auto" w:fill="auto"/>
            <w:noWrap/>
            <w:vAlign w:val="bottom"/>
          </w:tcPr>
          <w:p w14:paraId="6A39CD3D" w14:textId="77777777" w:rsidR="000020B9" w:rsidRPr="00E45B5B" w:rsidRDefault="000020B9" w:rsidP="00EF25E1">
            <w:pPr>
              <w:rPr>
                <w:color w:val="000000"/>
                <w:sz w:val="20"/>
                <w:szCs w:val="20"/>
                <w:lang w:val="en-US"/>
              </w:rPr>
            </w:pPr>
            <w:r w:rsidRPr="00E45B5B">
              <w:rPr>
                <w:color w:val="000000"/>
                <w:sz w:val="20"/>
                <w:szCs w:val="20"/>
                <w:lang w:val="en-US"/>
              </w:rPr>
              <w:t>ln(cost of fixed capital)*Dummy Banks with Classic and  Financial Bank Products</w:t>
            </w:r>
          </w:p>
        </w:tc>
        <w:tc>
          <w:tcPr>
            <w:tcW w:w="1273" w:type="dxa"/>
            <w:tcBorders>
              <w:top w:val="nil"/>
              <w:left w:val="nil"/>
              <w:bottom w:val="nil"/>
              <w:right w:val="nil"/>
            </w:tcBorders>
            <w:shd w:val="clear" w:color="auto" w:fill="auto"/>
            <w:noWrap/>
            <w:vAlign w:val="bottom"/>
          </w:tcPr>
          <w:p w14:paraId="46838E3A" w14:textId="77777777" w:rsidR="000020B9" w:rsidRPr="00E45B5B" w:rsidRDefault="000020B9" w:rsidP="00EF25E1">
            <w:pPr>
              <w:jc w:val="center"/>
              <w:rPr>
                <w:color w:val="000000"/>
                <w:sz w:val="20"/>
                <w:szCs w:val="20"/>
              </w:rPr>
            </w:pPr>
            <w:r w:rsidRPr="00E45B5B">
              <w:rPr>
                <w:color w:val="000000"/>
                <w:sz w:val="20"/>
                <w:szCs w:val="20"/>
              </w:rPr>
              <w:t xml:space="preserve">-0.116   </w:t>
            </w:r>
          </w:p>
        </w:tc>
        <w:tc>
          <w:tcPr>
            <w:tcW w:w="1247" w:type="dxa"/>
            <w:tcBorders>
              <w:top w:val="nil"/>
              <w:left w:val="nil"/>
              <w:bottom w:val="nil"/>
              <w:right w:val="nil"/>
            </w:tcBorders>
            <w:shd w:val="clear" w:color="auto" w:fill="auto"/>
            <w:noWrap/>
            <w:vAlign w:val="bottom"/>
          </w:tcPr>
          <w:p w14:paraId="3FF42495" w14:textId="77777777" w:rsidR="000020B9" w:rsidRPr="00E45B5B" w:rsidRDefault="000020B9" w:rsidP="00EF25E1">
            <w:pPr>
              <w:jc w:val="center"/>
              <w:rPr>
                <w:color w:val="000000"/>
                <w:sz w:val="20"/>
                <w:szCs w:val="20"/>
              </w:rPr>
            </w:pPr>
            <w:r w:rsidRPr="00E45B5B">
              <w:rPr>
                <w:color w:val="000000"/>
                <w:sz w:val="20"/>
                <w:szCs w:val="20"/>
              </w:rPr>
              <w:t xml:space="preserve">-0.105   </w:t>
            </w:r>
          </w:p>
        </w:tc>
        <w:tc>
          <w:tcPr>
            <w:tcW w:w="1691" w:type="dxa"/>
            <w:tcBorders>
              <w:top w:val="nil"/>
              <w:left w:val="nil"/>
              <w:bottom w:val="nil"/>
              <w:right w:val="nil"/>
            </w:tcBorders>
            <w:shd w:val="clear" w:color="auto" w:fill="auto"/>
            <w:noWrap/>
            <w:vAlign w:val="bottom"/>
          </w:tcPr>
          <w:p w14:paraId="142C35FB" w14:textId="77777777" w:rsidR="000020B9" w:rsidRPr="00E45B5B" w:rsidRDefault="000020B9" w:rsidP="00EF25E1">
            <w:pPr>
              <w:jc w:val="center"/>
              <w:rPr>
                <w:color w:val="000000"/>
                <w:sz w:val="20"/>
                <w:szCs w:val="20"/>
              </w:rPr>
            </w:pPr>
            <w:r w:rsidRPr="00E45B5B">
              <w:rPr>
                <w:color w:val="000000"/>
                <w:sz w:val="20"/>
                <w:szCs w:val="20"/>
              </w:rPr>
              <w:t xml:space="preserve">-0.105   </w:t>
            </w:r>
          </w:p>
        </w:tc>
        <w:tc>
          <w:tcPr>
            <w:tcW w:w="1307" w:type="dxa"/>
            <w:tcBorders>
              <w:top w:val="nil"/>
              <w:left w:val="nil"/>
              <w:bottom w:val="nil"/>
              <w:right w:val="nil"/>
            </w:tcBorders>
            <w:shd w:val="clear" w:color="auto" w:fill="auto"/>
            <w:noWrap/>
            <w:vAlign w:val="bottom"/>
          </w:tcPr>
          <w:p w14:paraId="7F1FAD74" w14:textId="77777777" w:rsidR="000020B9" w:rsidRPr="00E45B5B" w:rsidRDefault="000020B9" w:rsidP="00EF25E1">
            <w:pPr>
              <w:jc w:val="center"/>
              <w:rPr>
                <w:color w:val="000000"/>
                <w:sz w:val="20"/>
                <w:szCs w:val="20"/>
              </w:rPr>
            </w:pPr>
            <w:r w:rsidRPr="00E45B5B">
              <w:rPr>
                <w:color w:val="000000"/>
                <w:sz w:val="20"/>
                <w:szCs w:val="20"/>
              </w:rPr>
              <w:t xml:space="preserve">-0.105   </w:t>
            </w:r>
          </w:p>
        </w:tc>
      </w:tr>
      <w:tr w:rsidR="000020B9" w:rsidRPr="00E45B5B" w14:paraId="01B8FC05" w14:textId="77777777" w:rsidTr="00EF25E1">
        <w:trPr>
          <w:trHeight w:val="300"/>
        </w:trPr>
        <w:tc>
          <w:tcPr>
            <w:tcW w:w="5156" w:type="dxa"/>
            <w:tcBorders>
              <w:top w:val="nil"/>
              <w:left w:val="nil"/>
              <w:bottom w:val="nil"/>
              <w:right w:val="nil"/>
            </w:tcBorders>
            <w:shd w:val="clear" w:color="auto" w:fill="auto"/>
            <w:noWrap/>
            <w:vAlign w:val="bottom"/>
          </w:tcPr>
          <w:p w14:paraId="3E4A2514" w14:textId="77777777" w:rsidR="000020B9" w:rsidRPr="00E45B5B" w:rsidRDefault="000020B9" w:rsidP="00EF25E1">
            <w:pPr>
              <w:rPr>
                <w:color w:val="000000"/>
                <w:sz w:val="20"/>
                <w:szCs w:val="20"/>
              </w:rPr>
            </w:pPr>
          </w:p>
        </w:tc>
        <w:tc>
          <w:tcPr>
            <w:tcW w:w="1273" w:type="dxa"/>
            <w:tcBorders>
              <w:top w:val="nil"/>
              <w:left w:val="nil"/>
              <w:bottom w:val="nil"/>
              <w:right w:val="nil"/>
            </w:tcBorders>
            <w:shd w:val="clear" w:color="auto" w:fill="auto"/>
            <w:noWrap/>
            <w:vAlign w:val="bottom"/>
          </w:tcPr>
          <w:p w14:paraId="3D7D3713" w14:textId="77777777" w:rsidR="000020B9" w:rsidRPr="00E45B5B" w:rsidRDefault="000020B9" w:rsidP="00EF25E1">
            <w:pPr>
              <w:jc w:val="center"/>
              <w:rPr>
                <w:color w:val="000000"/>
                <w:sz w:val="20"/>
                <w:szCs w:val="20"/>
              </w:rPr>
            </w:pPr>
            <w:r w:rsidRPr="00E45B5B">
              <w:rPr>
                <w:color w:val="000000"/>
                <w:sz w:val="20"/>
                <w:szCs w:val="20"/>
              </w:rPr>
              <w:t xml:space="preserve">(0.089)   </w:t>
            </w:r>
          </w:p>
        </w:tc>
        <w:tc>
          <w:tcPr>
            <w:tcW w:w="1247" w:type="dxa"/>
            <w:tcBorders>
              <w:top w:val="nil"/>
              <w:left w:val="nil"/>
              <w:bottom w:val="nil"/>
              <w:right w:val="nil"/>
            </w:tcBorders>
            <w:shd w:val="clear" w:color="auto" w:fill="auto"/>
            <w:noWrap/>
            <w:vAlign w:val="bottom"/>
          </w:tcPr>
          <w:p w14:paraId="07B6A055" w14:textId="77777777" w:rsidR="000020B9" w:rsidRPr="00E45B5B" w:rsidRDefault="000020B9" w:rsidP="00EF25E1">
            <w:pPr>
              <w:jc w:val="center"/>
              <w:rPr>
                <w:color w:val="000000"/>
                <w:sz w:val="20"/>
                <w:szCs w:val="20"/>
              </w:rPr>
            </w:pPr>
            <w:r w:rsidRPr="00E45B5B">
              <w:rPr>
                <w:color w:val="000000"/>
                <w:sz w:val="20"/>
                <w:szCs w:val="20"/>
              </w:rPr>
              <w:t xml:space="preserve">(0.089)   </w:t>
            </w:r>
          </w:p>
        </w:tc>
        <w:tc>
          <w:tcPr>
            <w:tcW w:w="1691" w:type="dxa"/>
            <w:tcBorders>
              <w:top w:val="nil"/>
              <w:left w:val="nil"/>
              <w:bottom w:val="nil"/>
              <w:right w:val="nil"/>
            </w:tcBorders>
            <w:shd w:val="clear" w:color="auto" w:fill="auto"/>
            <w:noWrap/>
            <w:vAlign w:val="bottom"/>
          </w:tcPr>
          <w:p w14:paraId="04319AD9" w14:textId="77777777" w:rsidR="000020B9" w:rsidRPr="00E45B5B" w:rsidRDefault="000020B9" w:rsidP="00EF25E1">
            <w:pPr>
              <w:jc w:val="center"/>
              <w:rPr>
                <w:color w:val="000000"/>
                <w:sz w:val="20"/>
                <w:szCs w:val="20"/>
              </w:rPr>
            </w:pPr>
            <w:r w:rsidRPr="00E45B5B">
              <w:rPr>
                <w:color w:val="000000"/>
                <w:sz w:val="20"/>
                <w:szCs w:val="20"/>
              </w:rPr>
              <w:t xml:space="preserve">(0.089)   </w:t>
            </w:r>
          </w:p>
        </w:tc>
        <w:tc>
          <w:tcPr>
            <w:tcW w:w="1307" w:type="dxa"/>
            <w:tcBorders>
              <w:top w:val="nil"/>
              <w:left w:val="nil"/>
              <w:bottom w:val="nil"/>
              <w:right w:val="nil"/>
            </w:tcBorders>
            <w:shd w:val="clear" w:color="auto" w:fill="auto"/>
            <w:noWrap/>
            <w:vAlign w:val="bottom"/>
          </w:tcPr>
          <w:p w14:paraId="7E0E329F" w14:textId="77777777" w:rsidR="000020B9" w:rsidRPr="00E45B5B" w:rsidRDefault="000020B9" w:rsidP="00EF25E1">
            <w:pPr>
              <w:jc w:val="center"/>
              <w:rPr>
                <w:color w:val="000000"/>
                <w:sz w:val="20"/>
                <w:szCs w:val="20"/>
              </w:rPr>
            </w:pPr>
            <w:r w:rsidRPr="00E45B5B">
              <w:rPr>
                <w:color w:val="000000"/>
                <w:sz w:val="20"/>
                <w:szCs w:val="20"/>
              </w:rPr>
              <w:t xml:space="preserve">(0.089)   </w:t>
            </w:r>
          </w:p>
        </w:tc>
      </w:tr>
      <w:tr w:rsidR="000020B9" w:rsidRPr="00E45B5B" w14:paraId="5EB86D86" w14:textId="77777777" w:rsidTr="00EF25E1">
        <w:trPr>
          <w:trHeight w:val="300"/>
        </w:trPr>
        <w:tc>
          <w:tcPr>
            <w:tcW w:w="10674" w:type="dxa"/>
            <w:gridSpan w:val="5"/>
            <w:tcBorders>
              <w:top w:val="nil"/>
              <w:left w:val="nil"/>
              <w:bottom w:val="nil"/>
              <w:right w:val="nil"/>
            </w:tcBorders>
            <w:shd w:val="clear" w:color="auto" w:fill="auto"/>
            <w:noWrap/>
          </w:tcPr>
          <w:p w14:paraId="30A901D7" w14:textId="77777777" w:rsidR="000020B9" w:rsidRPr="00E45B5B" w:rsidRDefault="000020B9" w:rsidP="00EF25E1">
            <w:pPr>
              <w:jc w:val="center"/>
              <w:rPr>
                <w:b/>
                <w:color w:val="000000"/>
                <w:sz w:val="20"/>
                <w:szCs w:val="20"/>
              </w:rPr>
            </w:pPr>
            <w:r w:rsidRPr="00E45B5B">
              <w:rPr>
                <w:b/>
                <w:color w:val="000000"/>
                <w:sz w:val="20"/>
                <w:szCs w:val="20"/>
              </w:rPr>
              <w:t>Controls</w:t>
            </w:r>
          </w:p>
        </w:tc>
      </w:tr>
      <w:tr w:rsidR="000020B9" w:rsidRPr="00E45B5B" w14:paraId="71CC7738" w14:textId="77777777" w:rsidTr="00EF25E1">
        <w:trPr>
          <w:trHeight w:val="300"/>
        </w:trPr>
        <w:tc>
          <w:tcPr>
            <w:tcW w:w="5156" w:type="dxa"/>
            <w:tcBorders>
              <w:top w:val="nil"/>
              <w:left w:val="nil"/>
              <w:bottom w:val="nil"/>
              <w:right w:val="nil"/>
            </w:tcBorders>
            <w:shd w:val="clear" w:color="auto" w:fill="auto"/>
            <w:noWrap/>
            <w:vAlign w:val="bottom"/>
          </w:tcPr>
          <w:p w14:paraId="644E850B" w14:textId="77777777" w:rsidR="000020B9" w:rsidRPr="00E45B5B" w:rsidRDefault="000020B9" w:rsidP="00EF25E1">
            <w:pPr>
              <w:rPr>
                <w:color w:val="000000"/>
                <w:sz w:val="20"/>
                <w:szCs w:val="20"/>
              </w:rPr>
            </w:pPr>
            <w:r w:rsidRPr="00E45B5B">
              <w:rPr>
                <w:color w:val="000000"/>
                <w:sz w:val="20"/>
                <w:szCs w:val="20"/>
              </w:rPr>
              <w:t xml:space="preserve">Provision Rate </w:t>
            </w:r>
          </w:p>
        </w:tc>
        <w:tc>
          <w:tcPr>
            <w:tcW w:w="1273" w:type="dxa"/>
            <w:tcBorders>
              <w:top w:val="nil"/>
              <w:left w:val="nil"/>
              <w:bottom w:val="nil"/>
              <w:right w:val="nil"/>
            </w:tcBorders>
            <w:shd w:val="clear" w:color="auto" w:fill="auto"/>
            <w:noWrap/>
            <w:vAlign w:val="bottom"/>
          </w:tcPr>
          <w:p w14:paraId="3352EF42" w14:textId="77777777" w:rsidR="000020B9" w:rsidRPr="00E45B5B" w:rsidRDefault="000020B9" w:rsidP="00EF25E1">
            <w:pPr>
              <w:rPr>
                <w:color w:val="000000"/>
                <w:sz w:val="20"/>
                <w:szCs w:val="20"/>
              </w:rPr>
            </w:pPr>
            <w:r w:rsidRPr="00E45B5B">
              <w:rPr>
                <w:color w:val="000000"/>
                <w:sz w:val="20"/>
                <w:szCs w:val="20"/>
              </w:rPr>
              <w:t xml:space="preserve">        </w:t>
            </w:r>
          </w:p>
        </w:tc>
        <w:tc>
          <w:tcPr>
            <w:tcW w:w="1247" w:type="dxa"/>
            <w:tcBorders>
              <w:top w:val="nil"/>
              <w:left w:val="nil"/>
              <w:bottom w:val="nil"/>
              <w:right w:val="nil"/>
            </w:tcBorders>
            <w:shd w:val="clear" w:color="auto" w:fill="auto"/>
            <w:noWrap/>
            <w:vAlign w:val="bottom"/>
          </w:tcPr>
          <w:p w14:paraId="0FB17EE9" w14:textId="77777777" w:rsidR="000020B9" w:rsidRPr="00E45B5B" w:rsidRDefault="000020B9" w:rsidP="00EF25E1">
            <w:pPr>
              <w:jc w:val="center"/>
              <w:rPr>
                <w:color w:val="000000"/>
                <w:sz w:val="20"/>
                <w:szCs w:val="20"/>
              </w:rPr>
            </w:pPr>
            <w:r w:rsidRPr="00E45B5B">
              <w:rPr>
                <w:color w:val="000000"/>
                <w:sz w:val="20"/>
                <w:szCs w:val="20"/>
              </w:rPr>
              <w:t xml:space="preserve">-1.624   </w:t>
            </w:r>
          </w:p>
        </w:tc>
        <w:tc>
          <w:tcPr>
            <w:tcW w:w="1691" w:type="dxa"/>
            <w:tcBorders>
              <w:top w:val="nil"/>
              <w:left w:val="nil"/>
              <w:bottom w:val="nil"/>
              <w:right w:val="nil"/>
            </w:tcBorders>
            <w:shd w:val="clear" w:color="auto" w:fill="auto"/>
            <w:noWrap/>
            <w:vAlign w:val="bottom"/>
          </w:tcPr>
          <w:p w14:paraId="275E7282" w14:textId="77777777" w:rsidR="000020B9" w:rsidRPr="00E45B5B" w:rsidRDefault="000020B9" w:rsidP="00EF25E1">
            <w:pPr>
              <w:jc w:val="center"/>
              <w:rPr>
                <w:color w:val="000000"/>
                <w:sz w:val="20"/>
                <w:szCs w:val="20"/>
              </w:rPr>
            </w:pPr>
            <w:r w:rsidRPr="00E45B5B">
              <w:rPr>
                <w:color w:val="000000"/>
                <w:sz w:val="20"/>
                <w:szCs w:val="20"/>
              </w:rPr>
              <w:t xml:space="preserve">-1.614   </w:t>
            </w:r>
          </w:p>
        </w:tc>
        <w:tc>
          <w:tcPr>
            <w:tcW w:w="1307" w:type="dxa"/>
            <w:tcBorders>
              <w:top w:val="nil"/>
              <w:left w:val="nil"/>
              <w:bottom w:val="nil"/>
              <w:right w:val="nil"/>
            </w:tcBorders>
            <w:shd w:val="clear" w:color="auto" w:fill="auto"/>
            <w:noWrap/>
            <w:vAlign w:val="bottom"/>
          </w:tcPr>
          <w:p w14:paraId="6D5BB21A" w14:textId="77777777" w:rsidR="000020B9" w:rsidRPr="00E45B5B" w:rsidRDefault="000020B9" w:rsidP="00EF25E1">
            <w:pPr>
              <w:jc w:val="center"/>
              <w:rPr>
                <w:color w:val="000000"/>
                <w:sz w:val="20"/>
                <w:szCs w:val="20"/>
              </w:rPr>
            </w:pPr>
            <w:r w:rsidRPr="00E45B5B">
              <w:rPr>
                <w:color w:val="000000"/>
                <w:sz w:val="20"/>
                <w:szCs w:val="20"/>
              </w:rPr>
              <w:t xml:space="preserve">-1.592   </w:t>
            </w:r>
          </w:p>
        </w:tc>
      </w:tr>
      <w:tr w:rsidR="000020B9" w:rsidRPr="00E45B5B" w14:paraId="795C5760" w14:textId="77777777" w:rsidTr="00EF25E1">
        <w:trPr>
          <w:trHeight w:val="300"/>
        </w:trPr>
        <w:tc>
          <w:tcPr>
            <w:tcW w:w="5156" w:type="dxa"/>
            <w:tcBorders>
              <w:top w:val="nil"/>
              <w:left w:val="nil"/>
              <w:bottom w:val="nil"/>
              <w:right w:val="nil"/>
            </w:tcBorders>
            <w:shd w:val="clear" w:color="auto" w:fill="auto"/>
            <w:noWrap/>
          </w:tcPr>
          <w:p w14:paraId="4C068F36" w14:textId="77777777" w:rsidR="000020B9" w:rsidRPr="00E45B5B" w:rsidRDefault="000020B9" w:rsidP="00EF25E1">
            <w:pPr>
              <w:rPr>
                <w:color w:val="000000"/>
                <w:sz w:val="20"/>
                <w:szCs w:val="20"/>
              </w:rPr>
            </w:pPr>
          </w:p>
        </w:tc>
        <w:tc>
          <w:tcPr>
            <w:tcW w:w="1273" w:type="dxa"/>
            <w:tcBorders>
              <w:top w:val="nil"/>
              <w:left w:val="nil"/>
              <w:bottom w:val="nil"/>
              <w:right w:val="nil"/>
            </w:tcBorders>
            <w:shd w:val="clear" w:color="auto" w:fill="auto"/>
            <w:noWrap/>
            <w:vAlign w:val="bottom"/>
          </w:tcPr>
          <w:p w14:paraId="32B0EBCD" w14:textId="77777777" w:rsidR="000020B9" w:rsidRPr="00E45B5B" w:rsidRDefault="000020B9" w:rsidP="00EF25E1">
            <w:pPr>
              <w:rPr>
                <w:color w:val="000000"/>
                <w:sz w:val="20"/>
                <w:szCs w:val="20"/>
              </w:rPr>
            </w:pPr>
            <w:r w:rsidRPr="00E45B5B">
              <w:rPr>
                <w:color w:val="000000"/>
                <w:sz w:val="20"/>
                <w:szCs w:val="20"/>
              </w:rPr>
              <w:t xml:space="preserve">        </w:t>
            </w:r>
          </w:p>
        </w:tc>
        <w:tc>
          <w:tcPr>
            <w:tcW w:w="1247" w:type="dxa"/>
            <w:tcBorders>
              <w:top w:val="nil"/>
              <w:left w:val="nil"/>
              <w:bottom w:val="nil"/>
              <w:right w:val="nil"/>
            </w:tcBorders>
            <w:shd w:val="clear" w:color="auto" w:fill="auto"/>
            <w:noWrap/>
            <w:vAlign w:val="bottom"/>
          </w:tcPr>
          <w:p w14:paraId="4852E180" w14:textId="77777777" w:rsidR="000020B9" w:rsidRPr="00E45B5B" w:rsidRDefault="000020B9" w:rsidP="00EF25E1">
            <w:pPr>
              <w:jc w:val="center"/>
              <w:rPr>
                <w:color w:val="000000"/>
                <w:sz w:val="20"/>
                <w:szCs w:val="20"/>
              </w:rPr>
            </w:pPr>
            <w:r w:rsidRPr="00E45B5B">
              <w:rPr>
                <w:color w:val="000000"/>
                <w:sz w:val="20"/>
                <w:szCs w:val="20"/>
              </w:rPr>
              <w:t xml:space="preserve">(1.969)   </w:t>
            </w:r>
          </w:p>
        </w:tc>
        <w:tc>
          <w:tcPr>
            <w:tcW w:w="1691" w:type="dxa"/>
            <w:tcBorders>
              <w:top w:val="nil"/>
              <w:left w:val="nil"/>
              <w:bottom w:val="nil"/>
              <w:right w:val="nil"/>
            </w:tcBorders>
            <w:shd w:val="clear" w:color="auto" w:fill="auto"/>
            <w:noWrap/>
            <w:vAlign w:val="bottom"/>
          </w:tcPr>
          <w:p w14:paraId="2EA1D706" w14:textId="77777777" w:rsidR="000020B9" w:rsidRPr="00E45B5B" w:rsidRDefault="000020B9" w:rsidP="00EF25E1">
            <w:pPr>
              <w:jc w:val="center"/>
              <w:rPr>
                <w:color w:val="000000"/>
                <w:sz w:val="20"/>
                <w:szCs w:val="20"/>
              </w:rPr>
            </w:pPr>
            <w:r w:rsidRPr="00E45B5B">
              <w:rPr>
                <w:color w:val="000000"/>
                <w:sz w:val="20"/>
                <w:szCs w:val="20"/>
              </w:rPr>
              <w:t xml:space="preserve">(1.968)   </w:t>
            </w:r>
          </w:p>
        </w:tc>
        <w:tc>
          <w:tcPr>
            <w:tcW w:w="1307" w:type="dxa"/>
            <w:tcBorders>
              <w:top w:val="nil"/>
              <w:left w:val="nil"/>
              <w:bottom w:val="nil"/>
              <w:right w:val="nil"/>
            </w:tcBorders>
            <w:shd w:val="clear" w:color="auto" w:fill="auto"/>
            <w:noWrap/>
            <w:vAlign w:val="bottom"/>
          </w:tcPr>
          <w:p w14:paraId="11C2CDC2" w14:textId="77777777" w:rsidR="000020B9" w:rsidRPr="00E45B5B" w:rsidRDefault="000020B9" w:rsidP="00EF25E1">
            <w:pPr>
              <w:jc w:val="center"/>
              <w:rPr>
                <w:color w:val="000000"/>
                <w:sz w:val="20"/>
                <w:szCs w:val="20"/>
              </w:rPr>
            </w:pPr>
            <w:r w:rsidRPr="00E45B5B">
              <w:rPr>
                <w:color w:val="000000"/>
                <w:sz w:val="20"/>
                <w:szCs w:val="20"/>
              </w:rPr>
              <w:t xml:space="preserve">(1.979)   </w:t>
            </w:r>
          </w:p>
        </w:tc>
      </w:tr>
      <w:tr w:rsidR="000020B9" w:rsidRPr="00E45B5B" w14:paraId="5A2C206D" w14:textId="77777777" w:rsidTr="00EF25E1">
        <w:trPr>
          <w:trHeight w:val="300"/>
        </w:trPr>
        <w:tc>
          <w:tcPr>
            <w:tcW w:w="5156" w:type="dxa"/>
            <w:tcBorders>
              <w:top w:val="nil"/>
              <w:left w:val="nil"/>
              <w:bottom w:val="nil"/>
              <w:right w:val="nil"/>
            </w:tcBorders>
            <w:shd w:val="clear" w:color="auto" w:fill="auto"/>
            <w:noWrap/>
            <w:vAlign w:val="bottom"/>
          </w:tcPr>
          <w:p w14:paraId="6690FE26" w14:textId="77777777" w:rsidR="000020B9" w:rsidRPr="00E45B5B" w:rsidRDefault="000020B9" w:rsidP="00EF25E1">
            <w:pPr>
              <w:rPr>
                <w:color w:val="000000"/>
                <w:sz w:val="20"/>
                <w:szCs w:val="20"/>
              </w:rPr>
            </w:pPr>
            <w:r w:rsidRPr="00E45B5B">
              <w:rPr>
                <w:color w:val="000000"/>
                <w:sz w:val="20"/>
                <w:szCs w:val="20"/>
              </w:rPr>
              <w:t>Profitability</w:t>
            </w:r>
          </w:p>
        </w:tc>
        <w:tc>
          <w:tcPr>
            <w:tcW w:w="1273" w:type="dxa"/>
            <w:tcBorders>
              <w:top w:val="nil"/>
              <w:left w:val="nil"/>
              <w:bottom w:val="nil"/>
              <w:right w:val="nil"/>
            </w:tcBorders>
            <w:shd w:val="clear" w:color="auto" w:fill="auto"/>
            <w:noWrap/>
            <w:vAlign w:val="bottom"/>
          </w:tcPr>
          <w:p w14:paraId="6372F6CE" w14:textId="77777777" w:rsidR="000020B9" w:rsidRPr="00E45B5B" w:rsidRDefault="000020B9" w:rsidP="00EF25E1">
            <w:pPr>
              <w:rPr>
                <w:color w:val="000000"/>
                <w:sz w:val="20"/>
                <w:szCs w:val="20"/>
              </w:rPr>
            </w:pPr>
            <w:r w:rsidRPr="00E45B5B">
              <w:rPr>
                <w:color w:val="000000"/>
                <w:sz w:val="20"/>
                <w:szCs w:val="20"/>
              </w:rPr>
              <w:t xml:space="preserve">        </w:t>
            </w:r>
          </w:p>
        </w:tc>
        <w:tc>
          <w:tcPr>
            <w:tcW w:w="1247" w:type="dxa"/>
            <w:tcBorders>
              <w:top w:val="nil"/>
              <w:left w:val="nil"/>
              <w:bottom w:val="nil"/>
              <w:right w:val="nil"/>
            </w:tcBorders>
            <w:shd w:val="clear" w:color="auto" w:fill="auto"/>
            <w:noWrap/>
            <w:vAlign w:val="bottom"/>
          </w:tcPr>
          <w:p w14:paraId="4C733878" w14:textId="77777777" w:rsidR="000020B9" w:rsidRPr="00E45B5B" w:rsidRDefault="000020B9" w:rsidP="00EF25E1">
            <w:pPr>
              <w:jc w:val="center"/>
              <w:rPr>
                <w:color w:val="000000"/>
                <w:sz w:val="20"/>
                <w:szCs w:val="20"/>
              </w:rPr>
            </w:pPr>
            <w:r w:rsidRPr="00E45B5B">
              <w:rPr>
                <w:color w:val="000000"/>
                <w:sz w:val="20"/>
                <w:szCs w:val="20"/>
              </w:rPr>
              <w:t>1.494***</w:t>
            </w:r>
          </w:p>
        </w:tc>
        <w:tc>
          <w:tcPr>
            <w:tcW w:w="1691" w:type="dxa"/>
            <w:tcBorders>
              <w:top w:val="nil"/>
              <w:left w:val="nil"/>
              <w:bottom w:val="nil"/>
              <w:right w:val="nil"/>
            </w:tcBorders>
            <w:shd w:val="clear" w:color="auto" w:fill="auto"/>
            <w:noWrap/>
            <w:vAlign w:val="bottom"/>
          </w:tcPr>
          <w:p w14:paraId="7B4A2231" w14:textId="77777777" w:rsidR="000020B9" w:rsidRPr="00E45B5B" w:rsidRDefault="000020B9" w:rsidP="00EF25E1">
            <w:pPr>
              <w:jc w:val="center"/>
              <w:rPr>
                <w:color w:val="000000"/>
                <w:sz w:val="20"/>
                <w:szCs w:val="20"/>
              </w:rPr>
            </w:pPr>
            <w:r w:rsidRPr="00E45B5B">
              <w:rPr>
                <w:color w:val="000000"/>
                <w:sz w:val="20"/>
                <w:szCs w:val="20"/>
              </w:rPr>
              <w:t>1.499***</w:t>
            </w:r>
          </w:p>
        </w:tc>
        <w:tc>
          <w:tcPr>
            <w:tcW w:w="1307" w:type="dxa"/>
            <w:tcBorders>
              <w:top w:val="nil"/>
              <w:left w:val="nil"/>
              <w:bottom w:val="nil"/>
              <w:right w:val="nil"/>
            </w:tcBorders>
            <w:shd w:val="clear" w:color="auto" w:fill="auto"/>
            <w:noWrap/>
            <w:vAlign w:val="bottom"/>
          </w:tcPr>
          <w:p w14:paraId="660EA065" w14:textId="77777777" w:rsidR="000020B9" w:rsidRPr="00E45B5B" w:rsidRDefault="000020B9" w:rsidP="00EF25E1">
            <w:pPr>
              <w:jc w:val="center"/>
              <w:rPr>
                <w:color w:val="000000"/>
                <w:sz w:val="20"/>
                <w:szCs w:val="20"/>
              </w:rPr>
            </w:pPr>
            <w:r w:rsidRPr="00E45B5B">
              <w:rPr>
                <w:color w:val="000000"/>
                <w:sz w:val="20"/>
                <w:szCs w:val="20"/>
              </w:rPr>
              <w:t>1.495***</w:t>
            </w:r>
          </w:p>
        </w:tc>
      </w:tr>
      <w:tr w:rsidR="000020B9" w:rsidRPr="00E45B5B" w14:paraId="042F59B6" w14:textId="77777777" w:rsidTr="00EF25E1">
        <w:trPr>
          <w:trHeight w:val="300"/>
        </w:trPr>
        <w:tc>
          <w:tcPr>
            <w:tcW w:w="5156" w:type="dxa"/>
            <w:tcBorders>
              <w:top w:val="nil"/>
              <w:left w:val="nil"/>
              <w:bottom w:val="nil"/>
              <w:right w:val="nil"/>
            </w:tcBorders>
            <w:shd w:val="clear" w:color="auto" w:fill="auto"/>
            <w:noWrap/>
          </w:tcPr>
          <w:p w14:paraId="69E4D85A" w14:textId="77777777" w:rsidR="000020B9" w:rsidRPr="00E45B5B" w:rsidRDefault="000020B9" w:rsidP="00EF25E1">
            <w:pPr>
              <w:rPr>
                <w:color w:val="000000"/>
                <w:sz w:val="20"/>
                <w:szCs w:val="20"/>
              </w:rPr>
            </w:pPr>
          </w:p>
        </w:tc>
        <w:tc>
          <w:tcPr>
            <w:tcW w:w="1273" w:type="dxa"/>
            <w:tcBorders>
              <w:top w:val="nil"/>
              <w:left w:val="nil"/>
              <w:bottom w:val="nil"/>
              <w:right w:val="nil"/>
            </w:tcBorders>
            <w:shd w:val="clear" w:color="auto" w:fill="auto"/>
            <w:noWrap/>
            <w:vAlign w:val="bottom"/>
          </w:tcPr>
          <w:p w14:paraId="0B4CDDF9" w14:textId="77777777" w:rsidR="000020B9" w:rsidRPr="00E45B5B" w:rsidRDefault="000020B9" w:rsidP="00EF25E1">
            <w:pPr>
              <w:rPr>
                <w:color w:val="000000"/>
                <w:sz w:val="20"/>
                <w:szCs w:val="20"/>
              </w:rPr>
            </w:pPr>
            <w:r w:rsidRPr="00E45B5B">
              <w:rPr>
                <w:color w:val="000000"/>
                <w:sz w:val="20"/>
                <w:szCs w:val="20"/>
              </w:rPr>
              <w:t xml:space="preserve">        </w:t>
            </w:r>
          </w:p>
        </w:tc>
        <w:tc>
          <w:tcPr>
            <w:tcW w:w="1247" w:type="dxa"/>
            <w:tcBorders>
              <w:top w:val="nil"/>
              <w:left w:val="nil"/>
              <w:bottom w:val="nil"/>
              <w:right w:val="nil"/>
            </w:tcBorders>
            <w:shd w:val="clear" w:color="auto" w:fill="auto"/>
            <w:noWrap/>
            <w:vAlign w:val="bottom"/>
          </w:tcPr>
          <w:p w14:paraId="1EEC54CD" w14:textId="77777777" w:rsidR="000020B9" w:rsidRPr="00E45B5B" w:rsidRDefault="000020B9" w:rsidP="00EF25E1">
            <w:pPr>
              <w:jc w:val="center"/>
              <w:rPr>
                <w:color w:val="000000"/>
                <w:sz w:val="20"/>
                <w:szCs w:val="20"/>
              </w:rPr>
            </w:pPr>
            <w:r w:rsidRPr="00E45B5B">
              <w:rPr>
                <w:color w:val="000000"/>
                <w:sz w:val="20"/>
                <w:szCs w:val="20"/>
              </w:rPr>
              <w:t xml:space="preserve">(0.306)   </w:t>
            </w:r>
          </w:p>
        </w:tc>
        <w:tc>
          <w:tcPr>
            <w:tcW w:w="1691" w:type="dxa"/>
            <w:tcBorders>
              <w:top w:val="nil"/>
              <w:left w:val="nil"/>
              <w:bottom w:val="nil"/>
              <w:right w:val="nil"/>
            </w:tcBorders>
            <w:shd w:val="clear" w:color="auto" w:fill="auto"/>
            <w:noWrap/>
            <w:vAlign w:val="bottom"/>
          </w:tcPr>
          <w:p w14:paraId="6B7E10EA" w14:textId="77777777" w:rsidR="000020B9" w:rsidRPr="00E45B5B" w:rsidRDefault="000020B9" w:rsidP="00EF25E1">
            <w:pPr>
              <w:jc w:val="center"/>
              <w:rPr>
                <w:color w:val="000000"/>
                <w:sz w:val="20"/>
                <w:szCs w:val="20"/>
              </w:rPr>
            </w:pPr>
            <w:r w:rsidRPr="00E45B5B">
              <w:rPr>
                <w:color w:val="000000"/>
                <w:sz w:val="20"/>
                <w:szCs w:val="20"/>
              </w:rPr>
              <w:t xml:space="preserve">(0.304)   </w:t>
            </w:r>
          </w:p>
        </w:tc>
        <w:tc>
          <w:tcPr>
            <w:tcW w:w="1307" w:type="dxa"/>
            <w:tcBorders>
              <w:top w:val="nil"/>
              <w:left w:val="nil"/>
              <w:bottom w:val="nil"/>
              <w:right w:val="nil"/>
            </w:tcBorders>
            <w:shd w:val="clear" w:color="auto" w:fill="auto"/>
            <w:noWrap/>
            <w:vAlign w:val="bottom"/>
          </w:tcPr>
          <w:p w14:paraId="5E5BD60B" w14:textId="77777777" w:rsidR="000020B9" w:rsidRPr="00E45B5B" w:rsidRDefault="000020B9" w:rsidP="00EF25E1">
            <w:pPr>
              <w:jc w:val="center"/>
              <w:rPr>
                <w:color w:val="000000"/>
                <w:sz w:val="20"/>
                <w:szCs w:val="20"/>
              </w:rPr>
            </w:pPr>
            <w:r w:rsidRPr="00E45B5B">
              <w:rPr>
                <w:color w:val="000000"/>
                <w:sz w:val="20"/>
                <w:szCs w:val="20"/>
              </w:rPr>
              <w:t xml:space="preserve">(0.302)   </w:t>
            </w:r>
          </w:p>
        </w:tc>
      </w:tr>
      <w:tr w:rsidR="000020B9" w:rsidRPr="00E45B5B" w14:paraId="79032B99" w14:textId="77777777" w:rsidTr="00EF25E1">
        <w:trPr>
          <w:trHeight w:val="300"/>
        </w:trPr>
        <w:tc>
          <w:tcPr>
            <w:tcW w:w="5156" w:type="dxa"/>
            <w:tcBorders>
              <w:top w:val="nil"/>
              <w:left w:val="nil"/>
              <w:bottom w:val="nil"/>
              <w:right w:val="nil"/>
            </w:tcBorders>
            <w:shd w:val="clear" w:color="auto" w:fill="auto"/>
            <w:noWrap/>
            <w:vAlign w:val="bottom"/>
          </w:tcPr>
          <w:p w14:paraId="27915C4E" w14:textId="77777777" w:rsidR="000020B9" w:rsidRPr="00E45B5B" w:rsidRDefault="000020B9" w:rsidP="00EF25E1">
            <w:pPr>
              <w:rPr>
                <w:color w:val="000000"/>
                <w:sz w:val="20"/>
                <w:szCs w:val="20"/>
              </w:rPr>
            </w:pPr>
            <w:r w:rsidRPr="00E45B5B">
              <w:rPr>
                <w:color w:val="000000"/>
                <w:sz w:val="20"/>
                <w:szCs w:val="20"/>
              </w:rPr>
              <w:t>Market Share (assets)</w:t>
            </w:r>
          </w:p>
        </w:tc>
        <w:tc>
          <w:tcPr>
            <w:tcW w:w="1273" w:type="dxa"/>
            <w:tcBorders>
              <w:top w:val="nil"/>
              <w:left w:val="nil"/>
              <w:bottom w:val="nil"/>
              <w:right w:val="nil"/>
            </w:tcBorders>
            <w:shd w:val="clear" w:color="auto" w:fill="auto"/>
            <w:noWrap/>
            <w:vAlign w:val="bottom"/>
          </w:tcPr>
          <w:p w14:paraId="0E8EF73A" w14:textId="77777777" w:rsidR="000020B9" w:rsidRPr="00E45B5B" w:rsidRDefault="000020B9" w:rsidP="00EF25E1">
            <w:pPr>
              <w:rPr>
                <w:color w:val="000000"/>
                <w:sz w:val="20"/>
                <w:szCs w:val="20"/>
              </w:rPr>
            </w:pPr>
            <w:r w:rsidRPr="00E45B5B">
              <w:rPr>
                <w:color w:val="000000"/>
                <w:sz w:val="20"/>
                <w:szCs w:val="20"/>
              </w:rPr>
              <w:t xml:space="preserve">        </w:t>
            </w:r>
          </w:p>
        </w:tc>
        <w:tc>
          <w:tcPr>
            <w:tcW w:w="1247" w:type="dxa"/>
            <w:tcBorders>
              <w:top w:val="nil"/>
              <w:left w:val="nil"/>
              <w:bottom w:val="nil"/>
              <w:right w:val="nil"/>
            </w:tcBorders>
            <w:shd w:val="clear" w:color="auto" w:fill="auto"/>
            <w:noWrap/>
            <w:vAlign w:val="bottom"/>
          </w:tcPr>
          <w:p w14:paraId="1DAF2C36"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691" w:type="dxa"/>
            <w:tcBorders>
              <w:top w:val="nil"/>
              <w:left w:val="nil"/>
              <w:bottom w:val="nil"/>
              <w:right w:val="nil"/>
            </w:tcBorders>
            <w:shd w:val="clear" w:color="auto" w:fill="auto"/>
            <w:noWrap/>
            <w:vAlign w:val="bottom"/>
          </w:tcPr>
          <w:p w14:paraId="643FD9AC" w14:textId="77777777" w:rsidR="000020B9" w:rsidRPr="00E45B5B" w:rsidRDefault="000020B9" w:rsidP="00EF25E1">
            <w:pPr>
              <w:jc w:val="center"/>
              <w:rPr>
                <w:color w:val="000000"/>
                <w:sz w:val="20"/>
                <w:szCs w:val="20"/>
              </w:rPr>
            </w:pPr>
            <w:r w:rsidRPr="00E45B5B">
              <w:rPr>
                <w:color w:val="000000"/>
                <w:sz w:val="20"/>
                <w:szCs w:val="20"/>
              </w:rPr>
              <w:t xml:space="preserve">-0.180   </w:t>
            </w:r>
          </w:p>
        </w:tc>
        <w:tc>
          <w:tcPr>
            <w:tcW w:w="1307" w:type="dxa"/>
            <w:tcBorders>
              <w:top w:val="nil"/>
              <w:left w:val="nil"/>
              <w:bottom w:val="nil"/>
              <w:right w:val="nil"/>
            </w:tcBorders>
            <w:shd w:val="clear" w:color="auto" w:fill="auto"/>
            <w:noWrap/>
            <w:vAlign w:val="bottom"/>
          </w:tcPr>
          <w:p w14:paraId="008E9552" w14:textId="77777777" w:rsidR="000020B9" w:rsidRPr="00E45B5B" w:rsidRDefault="000020B9" w:rsidP="00EF25E1">
            <w:pPr>
              <w:jc w:val="center"/>
              <w:rPr>
                <w:color w:val="000000"/>
                <w:sz w:val="20"/>
                <w:szCs w:val="20"/>
              </w:rPr>
            </w:pPr>
            <w:r w:rsidRPr="00E45B5B">
              <w:rPr>
                <w:color w:val="000000"/>
                <w:sz w:val="20"/>
                <w:szCs w:val="20"/>
              </w:rPr>
              <w:t xml:space="preserve">-0.168   </w:t>
            </w:r>
          </w:p>
        </w:tc>
      </w:tr>
      <w:tr w:rsidR="000020B9" w:rsidRPr="00E45B5B" w14:paraId="003B6736" w14:textId="77777777" w:rsidTr="00EF25E1">
        <w:trPr>
          <w:trHeight w:val="300"/>
        </w:trPr>
        <w:tc>
          <w:tcPr>
            <w:tcW w:w="5156" w:type="dxa"/>
            <w:tcBorders>
              <w:top w:val="nil"/>
              <w:left w:val="nil"/>
              <w:bottom w:val="nil"/>
              <w:right w:val="nil"/>
            </w:tcBorders>
            <w:shd w:val="clear" w:color="auto" w:fill="auto"/>
            <w:noWrap/>
          </w:tcPr>
          <w:p w14:paraId="09AC915C" w14:textId="77777777" w:rsidR="000020B9" w:rsidRPr="00E45B5B" w:rsidRDefault="000020B9" w:rsidP="00EF25E1">
            <w:pPr>
              <w:rPr>
                <w:color w:val="000000"/>
                <w:sz w:val="20"/>
                <w:szCs w:val="20"/>
              </w:rPr>
            </w:pPr>
          </w:p>
        </w:tc>
        <w:tc>
          <w:tcPr>
            <w:tcW w:w="1273" w:type="dxa"/>
            <w:tcBorders>
              <w:top w:val="nil"/>
              <w:left w:val="nil"/>
              <w:bottom w:val="nil"/>
              <w:right w:val="nil"/>
            </w:tcBorders>
            <w:shd w:val="clear" w:color="auto" w:fill="auto"/>
            <w:noWrap/>
            <w:vAlign w:val="bottom"/>
          </w:tcPr>
          <w:p w14:paraId="3C513058" w14:textId="77777777" w:rsidR="000020B9" w:rsidRPr="00E45B5B" w:rsidRDefault="000020B9" w:rsidP="00EF25E1">
            <w:pPr>
              <w:rPr>
                <w:color w:val="000000"/>
                <w:sz w:val="20"/>
                <w:szCs w:val="20"/>
              </w:rPr>
            </w:pPr>
            <w:r w:rsidRPr="00E45B5B">
              <w:rPr>
                <w:color w:val="000000"/>
                <w:sz w:val="20"/>
                <w:szCs w:val="20"/>
              </w:rPr>
              <w:t xml:space="preserve">        </w:t>
            </w:r>
          </w:p>
        </w:tc>
        <w:tc>
          <w:tcPr>
            <w:tcW w:w="1247" w:type="dxa"/>
            <w:tcBorders>
              <w:top w:val="nil"/>
              <w:left w:val="nil"/>
              <w:bottom w:val="nil"/>
              <w:right w:val="nil"/>
            </w:tcBorders>
            <w:shd w:val="clear" w:color="auto" w:fill="auto"/>
            <w:noWrap/>
            <w:vAlign w:val="bottom"/>
          </w:tcPr>
          <w:p w14:paraId="11B8631C"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691" w:type="dxa"/>
            <w:tcBorders>
              <w:top w:val="nil"/>
              <w:left w:val="nil"/>
              <w:bottom w:val="nil"/>
              <w:right w:val="nil"/>
            </w:tcBorders>
            <w:shd w:val="clear" w:color="auto" w:fill="auto"/>
            <w:noWrap/>
            <w:vAlign w:val="bottom"/>
          </w:tcPr>
          <w:p w14:paraId="69BED30E" w14:textId="77777777" w:rsidR="000020B9" w:rsidRPr="00E45B5B" w:rsidRDefault="000020B9" w:rsidP="00EF25E1">
            <w:pPr>
              <w:jc w:val="center"/>
              <w:rPr>
                <w:color w:val="000000"/>
                <w:sz w:val="20"/>
                <w:szCs w:val="20"/>
              </w:rPr>
            </w:pPr>
            <w:r w:rsidRPr="00E45B5B">
              <w:rPr>
                <w:color w:val="000000"/>
                <w:sz w:val="20"/>
                <w:szCs w:val="20"/>
              </w:rPr>
              <w:t xml:space="preserve">(0.502)   </w:t>
            </w:r>
          </w:p>
        </w:tc>
        <w:tc>
          <w:tcPr>
            <w:tcW w:w="1307" w:type="dxa"/>
            <w:tcBorders>
              <w:top w:val="nil"/>
              <w:left w:val="nil"/>
              <w:bottom w:val="nil"/>
              <w:right w:val="nil"/>
            </w:tcBorders>
            <w:shd w:val="clear" w:color="auto" w:fill="auto"/>
            <w:noWrap/>
            <w:vAlign w:val="bottom"/>
          </w:tcPr>
          <w:p w14:paraId="58B3AE87" w14:textId="77777777" w:rsidR="000020B9" w:rsidRPr="00E45B5B" w:rsidRDefault="000020B9" w:rsidP="00EF25E1">
            <w:pPr>
              <w:jc w:val="center"/>
              <w:rPr>
                <w:color w:val="000000"/>
                <w:sz w:val="20"/>
                <w:szCs w:val="20"/>
              </w:rPr>
            </w:pPr>
            <w:r w:rsidRPr="00E45B5B">
              <w:rPr>
                <w:color w:val="000000"/>
                <w:sz w:val="20"/>
                <w:szCs w:val="20"/>
              </w:rPr>
              <w:t xml:space="preserve">(0.510)   </w:t>
            </w:r>
          </w:p>
        </w:tc>
      </w:tr>
      <w:tr w:rsidR="000020B9" w:rsidRPr="00E45B5B" w14:paraId="5B89EB8A" w14:textId="77777777" w:rsidTr="00EF25E1">
        <w:trPr>
          <w:trHeight w:val="300"/>
        </w:trPr>
        <w:tc>
          <w:tcPr>
            <w:tcW w:w="5156" w:type="dxa"/>
            <w:tcBorders>
              <w:top w:val="nil"/>
              <w:left w:val="nil"/>
              <w:bottom w:val="nil"/>
              <w:right w:val="nil"/>
            </w:tcBorders>
            <w:shd w:val="clear" w:color="auto" w:fill="auto"/>
            <w:noWrap/>
            <w:vAlign w:val="bottom"/>
          </w:tcPr>
          <w:p w14:paraId="01F320E4" w14:textId="77777777" w:rsidR="000020B9" w:rsidRPr="00E45B5B" w:rsidRDefault="000020B9" w:rsidP="00EF25E1">
            <w:pPr>
              <w:rPr>
                <w:color w:val="000000"/>
                <w:sz w:val="20"/>
                <w:szCs w:val="20"/>
              </w:rPr>
            </w:pPr>
            <w:r w:rsidRPr="00E45B5B">
              <w:rPr>
                <w:color w:val="000000"/>
                <w:sz w:val="20"/>
                <w:szCs w:val="20"/>
              </w:rPr>
              <w:t>HHI (assets)</w:t>
            </w:r>
          </w:p>
        </w:tc>
        <w:tc>
          <w:tcPr>
            <w:tcW w:w="1273" w:type="dxa"/>
            <w:tcBorders>
              <w:top w:val="nil"/>
              <w:left w:val="nil"/>
              <w:bottom w:val="nil"/>
              <w:right w:val="nil"/>
            </w:tcBorders>
            <w:shd w:val="clear" w:color="auto" w:fill="auto"/>
            <w:noWrap/>
            <w:vAlign w:val="bottom"/>
          </w:tcPr>
          <w:p w14:paraId="67418CFD" w14:textId="77777777" w:rsidR="000020B9" w:rsidRPr="00E45B5B" w:rsidRDefault="000020B9" w:rsidP="00EF25E1">
            <w:pPr>
              <w:rPr>
                <w:color w:val="000000"/>
                <w:sz w:val="20"/>
                <w:szCs w:val="20"/>
              </w:rPr>
            </w:pPr>
            <w:r w:rsidRPr="00E45B5B">
              <w:rPr>
                <w:color w:val="000000"/>
                <w:sz w:val="20"/>
                <w:szCs w:val="20"/>
              </w:rPr>
              <w:t xml:space="preserve">        </w:t>
            </w:r>
          </w:p>
        </w:tc>
        <w:tc>
          <w:tcPr>
            <w:tcW w:w="1247" w:type="dxa"/>
            <w:tcBorders>
              <w:top w:val="nil"/>
              <w:left w:val="nil"/>
              <w:bottom w:val="nil"/>
              <w:right w:val="nil"/>
            </w:tcBorders>
            <w:shd w:val="clear" w:color="auto" w:fill="auto"/>
            <w:noWrap/>
            <w:vAlign w:val="bottom"/>
          </w:tcPr>
          <w:p w14:paraId="58CABD09"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691" w:type="dxa"/>
            <w:tcBorders>
              <w:top w:val="nil"/>
              <w:left w:val="nil"/>
              <w:bottom w:val="nil"/>
              <w:right w:val="nil"/>
            </w:tcBorders>
            <w:shd w:val="clear" w:color="auto" w:fill="auto"/>
            <w:noWrap/>
            <w:vAlign w:val="bottom"/>
          </w:tcPr>
          <w:p w14:paraId="74C2D4D6"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307" w:type="dxa"/>
            <w:tcBorders>
              <w:top w:val="nil"/>
              <w:left w:val="nil"/>
              <w:bottom w:val="nil"/>
              <w:right w:val="nil"/>
            </w:tcBorders>
            <w:shd w:val="clear" w:color="auto" w:fill="auto"/>
            <w:noWrap/>
            <w:vAlign w:val="bottom"/>
          </w:tcPr>
          <w:p w14:paraId="716C1C63" w14:textId="77777777" w:rsidR="000020B9" w:rsidRPr="00E45B5B" w:rsidRDefault="000020B9" w:rsidP="00EF25E1">
            <w:pPr>
              <w:jc w:val="center"/>
              <w:rPr>
                <w:color w:val="000000"/>
                <w:sz w:val="20"/>
                <w:szCs w:val="20"/>
              </w:rPr>
            </w:pPr>
            <w:r w:rsidRPr="00E45B5B">
              <w:rPr>
                <w:color w:val="000000"/>
                <w:sz w:val="20"/>
                <w:szCs w:val="20"/>
              </w:rPr>
              <w:t xml:space="preserve">-0.832   </w:t>
            </w:r>
          </w:p>
        </w:tc>
      </w:tr>
      <w:tr w:rsidR="000020B9" w:rsidRPr="00E45B5B" w14:paraId="26992CBF" w14:textId="77777777" w:rsidTr="00EF25E1">
        <w:trPr>
          <w:trHeight w:val="300"/>
        </w:trPr>
        <w:tc>
          <w:tcPr>
            <w:tcW w:w="5156" w:type="dxa"/>
            <w:tcBorders>
              <w:top w:val="nil"/>
              <w:left w:val="nil"/>
              <w:bottom w:val="nil"/>
              <w:right w:val="nil"/>
            </w:tcBorders>
            <w:shd w:val="clear" w:color="auto" w:fill="auto"/>
            <w:noWrap/>
            <w:vAlign w:val="bottom"/>
          </w:tcPr>
          <w:p w14:paraId="551DE46C" w14:textId="77777777" w:rsidR="000020B9" w:rsidRPr="00E45B5B" w:rsidRDefault="000020B9" w:rsidP="00EF25E1">
            <w:pPr>
              <w:rPr>
                <w:color w:val="000000"/>
                <w:sz w:val="20"/>
                <w:szCs w:val="20"/>
              </w:rPr>
            </w:pPr>
          </w:p>
        </w:tc>
        <w:tc>
          <w:tcPr>
            <w:tcW w:w="1273" w:type="dxa"/>
            <w:tcBorders>
              <w:top w:val="nil"/>
              <w:left w:val="nil"/>
              <w:bottom w:val="nil"/>
              <w:right w:val="nil"/>
            </w:tcBorders>
            <w:shd w:val="clear" w:color="auto" w:fill="auto"/>
            <w:noWrap/>
            <w:vAlign w:val="bottom"/>
          </w:tcPr>
          <w:p w14:paraId="76D0F486" w14:textId="77777777" w:rsidR="000020B9" w:rsidRPr="00E45B5B" w:rsidRDefault="000020B9" w:rsidP="00EF25E1">
            <w:pPr>
              <w:rPr>
                <w:color w:val="000000"/>
                <w:sz w:val="20"/>
                <w:szCs w:val="20"/>
              </w:rPr>
            </w:pPr>
          </w:p>
        </w:tc>
        <w:tc>
          <w:tcPr>
            <w:tcW w:w="1247" w:type="dxa"/>
            <w:tcBorders>
              <w:top w:val="nil"/>
              <w:left w:val="nil"/>
              <w:bottom w:val="nil"/>
              <w:right w:val="nil"/>
            </w:tcBorders>
            <w:shd w:val="clear" w:color="auto" w:fill="auto"/>
            <w:noWrap/>
            <w:vAlign w:val="bottom"/>
          </w:tcPr>
          <w:p w14:paraId="4941AB18" w14:textId="77777777" w:rsidR="000020B9" w:rsidRPr="00E45B5B" w:rsidRDefault="000020B9" w:rsidP="00EF25E1">
            <w:pPr>
              <w:jc w:val="center"/>
              <w:rPr>
                <w:color w:val="000000"/>
                <w:sz w:val="20"/>
                <w:szCs w:val="20"/>
              </w:rPr>
            </w:pPr>
          </w:p>
        </w:tc>
        <w:tc>
          <w:tcPr>
            <w:tcW w:w="1691" w:type="dxa"/>
            <w:tcBorders>
              <w:top w:val="nil"/>
              <w:left w:val="nil"/>
              <w:bottom w:val="nil"/>
              <w:right w:val="nil"/>
            </w:tcBorders>
            <w:shd w:val="clear" w:color="auto" w:fill="auto"/>
            <w:noWrap/>
            <w:vAlign w:val="bottom"/>
          </w:tcPr>
          <w:p w14:paraId="774D9FA4" w14:textId="77777777" w:rsidR="000020B9" w:rsidRPr="00E45B5B" w:rsidRDefault="000020B9" w:rsidP="00EF25E1">
            <w:pPr>
              <w:jc w:val="center"/>
              <w:rPr>
                <w:color w:val="000000"/>
                <w:sz w:val="20"/>
                <w:szCs w:val="20"/>
              </w:rPr>
            </w:pPr>
          </w:p>
        </w:tc>
        <w:tc>
          <w:tcPr>
            <w:tcW w:w="1307" w:type="dxa"/>
            <w:tcBorders>
              <w:top w:val="nil"/>
              <w:left w:val="nil"/>
              <w:bottom w:val="nil"/>
              <w:right w:val="nil"/>
            </w:tcBorders>
            <w:shd w:val="clear" w:color="auto" w:fill="auto"/>
            <w:noWrap/>
            <w:vAlign w:val="bottom"/>
          </w:tcPr>
          <w:p w14:paraId="77F2544E" w14:textId="77777777" w:rsidR="000020B9" w:rsidRPr="00E45B5B" w:rsidRDefault="000020B9" w:rsidP="00EF25E1">
            <w:pPr>
              <w:jc w:val="center"/>
              <w:rPr>
                <w:color w:val="000000"/>
                <w:sz w:val="20"/>
                <w:szCs w:val="20"/>
              </w:rPr>
            </w:pPr>
            <w:r w:rsidRPr="00E45B5B">
              <w:rPr>
                <w:color w:val="000000"/>
                <w:sz w:val="20"/>
                <w:szCs w:val="20"/>
              </w:rPr>
              <w:t xml:space="preserve">(0.996)   </w:t>
            </w:r>
          </w:p>
        </w:tc>
      </w:tr>
      <w:tr w:rsidR="000020B9" w:rsidRPr="00E45B5B" w14:paraId="78A899DC" w14:textId="77777777" w:rsidTr="00EF25E1">
        <w:trPr>
          <w:trHeight w:val="315"/>
        </w:trPr>
        <w:tc>
          <w:tcPr>
            <w:tcW w:w="6429" w:type="dxa"/>
            <w:gridSpan w:val="2"/>
            <w:tcBorders>
              <w:top w:val="nil"/>
              <w:left w:val="nil"/>
              <w:bottom w:val="nil"/>
              <w:right w:val="nil"/>
            </w:tcBorders>
            <w:shd w:val="clear" w:color="auto" w:fill="auto"/>
            <w:noWrap/>
            <w:vAlign w:val="bottom"/>
          </w:tcPr>
          <w:p w14:paraId="5D567154" w14:textId="77777777" w:rsidR="000020B9" w:rsidRPr="00E45B5B" w:rsidRDefault="000020B9" w:rsidP="00EF25E1">
            <w:pPr>
              <w:rPr>
                <w:color w:val="000000"/>
                <w:sz w:val="20"/>
                <w:szCs w:val="20"/>
                <w:lang w:val="en-US"/>
              </w:rPr>
            </w:pPr>
            <w:r w:rsidRPr="00E45B5B">
              <w:rPr>
                <w:color w:val="000000"/>
                <w:sz w:val="20"/>
                <w:szCs w:val="20"/>
                <w:lang w:val="en-US"/>
              </w:rPr>
              <w:t xml:space="preserve">H-Statistics (Panzar and </w:t>
            </w:r>
            <w:r>
              <w:rPr>
                <w:color w:val="000000"/>
                <w:sz w:val="20"/>
                <w:szCs w:val="20"/>
                <w:lang w:val="en-US"/>
              </w:rPr>
              <w:t>Rosse</w:t>
            </w:r>
            <w:r w:rsidRPr="00E45B5B">
              <w:rPr>
                <w:color w:val="000000"/>
                <w:sz w:val="20"/>
                <w:szCs w:val="20"/>
                <w:lang w:val="en-US"/>
              </w:rPr>
              <w:t>)</w:t>
            </w:r>
          </w:p>
        </w:tc>
        <w:tc>
          <w:tcPr>
            <w:tcW w:w="1247" w:type="dxa"/>
            <w:tcBorders>
              <w:top w:val="nil"/>
              <w:left w:val="nil"/>
              <w:bottom w:val="nil"/>
              <w:right w:val="nil"/>
            </w:tcBorders>
            <w:shd w:val="clear" w:color="auto" w:fill="auto"/>
            <w:noWrap/>
            <w:vAlign w:val="bottom"/>
          </w:tcPr>
          <w:p w14:paraId="58468A77" w14:textId="77777777" w:rsidR="000020B9" w:rsidRPr="00E45B5B" w:rsidRDefault="000020B9" w:rsidP="00EF25E1">
            <w:pPr>
              <w:jc w:val="center"/>
              <w:rPr>
                <w:color w:val="000000"/>
                <w:sz w:val="20"/>
                <w:szCs w:val="20"/>
                <w:lang w:val="en-US"/>
              </w:rPr>
            </w:pPr>
          </w:p>
        </w:tc>
        <w:tc>
          <w:tcPr>
            <w:tcW w:w="1691" w:type="dxa"/>
            <w:tcBorders>
              <w:top w:val="nil"/>
              <w:left w:val="nil"/>
              <w:bottom w:val="nil"/>
              <w:right w:val="nil"/>
            </w:tcBorders>
            <w:shd w:val="clear" w:color="auto" w:fill="auto"/>
            <w:noWrap/>
            <w:vAlign w:val="bottom"/>
          </w:tcPr>
          <w:p w14:paraId="253AE71A" w14:textId="77777777" w:rsidR="000020B9" w:rsidRPr="00E45B5B" w:rsidRDefault="000020B9" w:rsidP="00EF25E1">
            <w:pPr>
              <w:jc w:val="center"/>
              <w:rPr>
                <w:color w:val="000000"/>
                <w:sz w:val="20"/>
                <w:szCs w:val="20"/>
                <w:lang w:val="en-US"/>
              </w:rPr>
            </w:pPr>
          </w:p>
        </w:tc>
        <w:tc>
          <w:tcPr>
            <w:tcW w:w="1307" w:type="dxa"/>
            <w:tcBorders>
              <w:top w:val="nil"/>
              <w:left w:val="nil"/>
              <w:bottom w:val="nil"/>
              <w:right w:val="nil"/>
            </w:tcBorders>
            <w:shd w:val="clear" w:color="auto" w:fill="auto"/>
            <w:noWrap/>
            <w:vAlign w:val="bottom"/>
          </w:tcPr>
          <w:p w14:paraId="5FC08B30" w14:textId="77777777" w:rsidR="000020B9" w:rsidRPr="00E45B5B" w:rsidRDefault="000020B9" w:rsidP="00EF25E1">
            <w:pPr>
              <w:jc w:val="center"/>
              <w:rPr>
                <w:color w:val="000000"/>
                <w:sz w:val="20"/>
                <w:szCs w:val="20"/>
                <w:lang w:val="en-US"/>
              </w:rPr>
            </w:pPr>
          </w:p>
        </w:tc>
      </w:tr>
      <w:tr w:rsidR="000020B9" w:rsidRPr="00E45B5B" w14:paraId="60EF583F" w14:textId="77777777" w:rsidTr="00EF25E1">
        <w:trPr>
          <w:trHeight w:val="300"/>
        </w:trPr>
        <w:tc>
          <w:tcPr>
            <w:tcW w:w="5156" w:type="dxa"/>
            <w:tcBorders>
              <w:top w:val="nil"/>
              <w:left w:val="nil"/>
              <w:bottom w:val="nil"/>
              <w:right w:val="nil"/>
            </w:tcBorders>
            <w:shd w:val="clear" w:color="auto" w:fill="auto"/>
            <w:noWrap/>
            <w:vAlign w:val="bottom"/>
          </w:tcPr>
          <w:p w14:paraId="77237C90" w14:textId="77777777" w:rsidR="000020B9" w:rsidRPr="00E45B5B" w:rsidRDefault="000020B9" w:rsidP="00EF25E1">
            <w:pPr>
              <w:rPr>
                <w:color w:val="000000"/>
                <w:sz w:val="20"/>
                <w:szCs w:val="20"/>
              </w:rPr>
            </w:pPr>
            <w:r w:rsidRPr="00E45B5B">
              <w:rPr>
                <w:color w:val="000000"/>
                <w:sz w:val="20"/>
                <w:szCs w:val="20"/>
                <w:lang w:val="en-US"/>
              </w:rPr>
              <w:t xml:space="preserve">    </w:t>
            </w:r>
            <w:r w:rsidRPr="00E45B5B">
              <w:rPr>
                <w:color w:val="000000"/>
                <w:sz w:val="20"/>
                <w:szCs w:val="20"/>
              </w:rPr>
              <w:t>Standard H</w:t>
            </w:r>
          </w:p>
        </w:tc>
        <w:tc>
          <w:tcPr>
            <w:tcW w:w="1273" w:type="dxa"/>
            <w:tcBorders>
              <w:top w:val="nil"/>
              <w:left w:val="nil"/>
              <w:bottom w:val="nil"/>
              <w:right w:val="nil"/>
            </w:tcBorders>
            <w:shd w:val="clear" w:color="auto" w:fill="auto"/>
            <w:noWrap/>
          </w:tcPr>
          <w:p w14:paraId="276E9308" w14:textId="77777777" w:rsidR="000020B9" w:rsidRPr="00E45B5B" w:rsidRDefault="000020B9" w:rsidP="00EF25E1">
            <w:pPr>
              <w:jc w:val="center"/>
              <w:rPr>
                <w:color w:val="000000"/>
                <w:sz w:val="20"/>
                <w:szCs w:val="20"/>
              </w:rPr>
            </w:pPr>
            <w:r w:rsidRPr="00E45B5B">
              <w:rPr>
                <w:color w:val="000000"/>
                <w:sz w:val="20"/>
                <w:szCs w:val="20"/>
              </w:rPr>
              <w:t>0.128</w:t>
            </w:r>
          </w:p>
        </w:tc>
        <w:tc>
          <w:tcPr>
            <w:tcW w:w="1247" w:type="dxa"/>
            <w:tcBorders>
              <w:top w:val="nil"/>
              <w:left w:val="nil"/>
              <w:bottom w:val="nil"/>
              <w:right w:val="nil"/>
            </w:tcBorders>
            <w:shd w:val="clear" w:color="auto" w:fill="auto"/>
            <w:noWrap/>
          </w:tcPr>
          <w:p w14:paraId="580B50FA" w14:textId="77777777" w:rsidR="000020B9" w:rsidRPr="00E45B5B" w:rsidRDefault="000020B9" w:rsidP="00EF25E1">
            <w:pPr>
              <w:jc w:val="center"/>
              <w:rPr>
                <w:color w:val="000000"/>
                <w:sz w:val="20"/>
                <w:szCs w:val="20"/>
              </w:rPr>
            </w:pPr>
            <w:r w:rsidRPr="00E45B5B">
              <w:rPr>
                <w:color w:val="000000"/>
                <w:sz w:val="20"/>
                <w:szCs w:val="20"/>
              </w:rPr>
              <w:t>0.126</w:t>
            </w:r>
          </w:p>
        </w:tc>
        <w:tc>
          <w:tcPr>
            <w:tcW w:w="1691" w:type="dxa"/>
            <w:tcBorders>
              <w:top w:val="nil"/>
              <w:left w:val="nil"/>
              <w:bottom w:val="nil"/>
              <w:right w:val="nil"/>
            </w:tcBorders>
            <w:shd w:val="clear" w:color="auto" w:fill="auto"/>
            <w:noWrap/>
          </w:tcPr>
          <w:p w14:paraId="452E7411" w14:textId="77777777" w:rsidR="000020B9" w:rsidRPr="00E45B5B" w:rsidRDefault="000020B9" w:rsidP="00EF25E1">
            <w:pPr>
              <w:jc w:val="center"/>
              <w:rPr>
                <w:color w:val="000000"/>
                <w:sz w:val="20"/>
                <w:szCs w:val="20"/>
              </w:rPr>
            </w:pPr>
            <w:r w:rsidRPr="00E45B5B">
              <w:rPr>
                <w:color w:val="000000"/>
                <w:sz w:val="20"/>
                <w:szCs w:val="20"/>
              </w:rPr>
              <w:t>0.127</w:t>
            </w:r>
          </w:p>
        </w:tc>
        <w:tc>
          <w:tcPr>
            <w:tcW w:w="1307" w:type="dxa"/>
            <w:tcBorders>
              <w:top w:val="nil"/>
              <w:left w:val="nil"/>
              <w:bottom w:val="nil"/>
              <w:right w:val="nil"/>
            </w:tcBorders>
            <w:shd w:val="clear" w:color="auto" w:fill="auto"/>
            <w:noWrap/>
          </w:tcPr>
          <w:p w14:paraId="22278393" w14:textId="77777777" w:rsidR="000020B9" w:rsidRPr="00E45B5B" w:rsidRDefault="000020B9" w:rsidP="00EF25E1">
            <w:pPr>
              <w:jc w:val="center"/>
              <w:rPr>
                <w:color w:val="000000"/>
                <w:sz w:val="20"/>
                <w:szCs w:val="20"/>
              </w:rPr>
            </w:pPr>
            <w:r w:rsidRPr="00E45B5B">
              <w:rPr>
                <w:color w:val="000000"/>
                <w:sz w:val="20"/>
                <w:szCs w:val="20"/>
              </w:rPr>
              <w:t>0.126</w:t>
            </w:r>
          </w:p>
        </w:tc>
      </w:tr>
      <w:tr w:rsidR="000020B9" w:rsidRPr="00E45B5B" w14:paraId="4981A459" w14:textId="77777777" w:rsidTr="00EF25E1">
        <w:trPr>
          <w:trHeight w:val="315"/>
        </w:trPr>
        <w:tc>
          <w:tcPr>
            <w:tcW w:w="5156" w:type="dxa"/>
            <w:tcBorders>
              <w:top w:val="nil"/>
              <w:left w:val="nil"/>
              <w:bottom w:val="double" w:sz="6" w:space="0" w:color="auto"/>
              <w:right w:val="nil"/>
            </w:tcBorders>
            <w:shd w:val="clear" w:color="auto" w:fill="auto"/>
            <w:noWrap/>
            <w:vAlign w:val="bottom"/>
          </w:tcPr>
          <w:p w14:paraId="59194B6B" w14:textId="77777777" w:rsidR="000020B9" w:rsidRPr="00E45B5B" w:rsidRDefault="000020B9" w:rsidP="00EF25E1">
            <w:pPr>
              <w:rPr>
                <w:color w:val="000000"/>
                <w:sz w:val="20"/>
                <w:szCs w:val="20"/>
              </w:rPr>
            </w:pPr>
            <w:r w:rsidRPr="00E45B5B">
              <w:rPr>
                <w:color w:val="000000"/>
                <w:sz w:val="20"/>
                <w:szCs w:val="20"/>
              </w:rPr>
              <w:t xml:space="preserve">    </w:t>
            </w:r>
            <w:r>
              <w:rPr>
                <w:color w:val="000000"/>
                <w:sz w:val="20"/>
                <w:szCs w:val="20"/>
              </w:rPr>
              <w:t>Δ</w:t>
            </w:r>
            <w:r w:rsidRPr="00E45B5B">
              <w:rPr>
                <w:color w:val="000000"/>
                <w:sz w:val="20"/>
                <w:szCs w:val="20"/>
              </w:rPr>
              <w:t>H</w:t>
            </w:r>
          </w:p>
        </w:tc>
        <w:tc>
          <w:tcPr>
            <w:tcW w:w="1273" w:type="dxa"/>
            <w:tcBorders>
              <w:top w:val="nil"/>
              <w:left w:val="nil"/>
              <w:bottom w:val="double" w:sz="6" w:space="0" w:color="auto"/>
              <w:right w:val="nil"/>
            </w:tcBorders>
            <w:shd w:val="clear" w:color="auto" w:fill="auto"/>
            <w:noWrap/>
          </w:tcPr>
          <w:p w14:paraId="3A6F1C3E" w14:textId="77777777" w:rsidR="000020B9" w:rsidRPr="00E45B5B" w:rsidRDefault="000020B9" w:rsidP="00EF25E1">
            <w:pPr>
              <w:jc w:val="center"/>
              <w:rPr>
                <w:color w:val="000000"/>
                <w:sz w:val="20"/>
                <w:szCs w:val="20"/>
              </w:rPr>
            </w:pPr>
            <w:r w:rsidRPr="00E45B5B">
              <w:rPr>
                <w:color w:val="000000"/>
                <w:sz w:val="20"/>
                <w:szCs w:val="20"/>
              </w:rPr>
              <w:t>-0.283</w:t>
            </w:r>
          </w:p>
        </w:tc>
        <w:tc>
          <w:tcPr>
            <w:tcW w:w="1247" w:type="dxa"/>
            <w:tcBorders>
              <w:top w:val="nil"/>
              <w:left w:val="nil"/>
              <w:bottom w:val="double" w:sz="6" w:space="0" w:color="auto"/>
              <w:right w:val="nil"/>
            </w:tcBorders>
            <w:shd w:val="clear" w:color="auto" w:fill="auto"/>
            <w:noWrap/>
          </w:tcPr>
          <w:p w14:paraId="539B3E3B" w14:textId="77777777" w:rsidR="000020B9" w:rsidRPr="00E45B5B" w:rsidRDefault="000020B9" w:rsidP="00EF25E1">
            <w:pPr>
              <w:jc w:val="center"/>
              <w:rPr>
                <w:color w:val="000000"/>
                <w:sz w:val="20"/>
                <w:szCs w:val="20"/>
              </w:rPr>
            </w:pPr>
            <w:r w:rsidRPr="00E45B5B">
              <w:rPr>
                <w:color w:val="000000"/>
                <w:sz w:val="20"/>
                <w:szCs w:val="20"/>
              </w:rPr>
              <w:t>-0.291</w:t>
            </w:r>
          </w:p>
        </w:tc>
        <w:tc>
          <w:tcPr>
            <w:tcW w:w="1691" w:type="dxa"/>
            <w:tcBorders>
              <w:top w:val="nil"/>
              <w:left w:val="nil"/>
              <w:bottom w:val="double" w:sz="6" w:space="0" w:color="auto"/>
              <w:right w:val="nil"/>
            </w:tcBorders>
            <w:shd w:val="clear" w:color="auto" w:fill="auto"/>
            <w:noWrap/>
          </w:tcPr>
          <w:p w14:paraId="05AF30C2" w14:textId="77777777" w:rsidR="000020B9" w:rsidRPr="00E45B5B" w:rsidRDefault="000020B9" w:rsidP="00EF25E1">
            <w:pPr>
              <w:jc w:val="center"/>
              <w:rPr>
                <w:color w:val="000000"/>
                <w:sz w:val="20"/>
                <w:szCs w:val="20"/>
              </w:rPr>
            </w:pPr>
            <w:r w:rsidRPr="00E45B5B">
              <w:rPr>
                <w:color w:val="000000"/>
                <w:sz w:val="20"/>
                <w:szCs w:val="20"/>
              </w:rPr>
              <w:t>-0.291</w:t>
            </w:r>
          </w:p>
        </w:tc>
        <w:tc>
          <w:tcPr>
            <w:tcW w:w="1307" w:type="dxa"/>
            <w:tcBorders>
              <w:top w:val="nil"/>
              <w:left w:val="nil"/>
              <w:bottom w:val="double" w:sz="6" w:space="0" w:color="auto"/>
              <w:right w:val="nil"/>
            </w:tcBorders>
            <w:shd w:val="clear" w:color="auto" w:fill="auto"/>
            <w:noWrap/>
          </w:tcPr>
          <w:p w14:paraId="2CEE355B" w14:textId="77777777" w:rsidR="000020B9" w:rsidRPr="00E45B5B" w:rsidRDefault="000020B9" w:rsidP="00EF25E1">
            <w:pPr>
              <w:jc w:val="center"/>
              <w:rPr>
                <w:color w:val="000000"/>
                <w:sz w:val="20"/>
                <w:szCs w:val="20"/>
              </w:rPr>
            </w:pPr>
            <w:r w:rsidRPr="00E45B5B">
              <w:rPr>
                <w:color w:val="000000"/>
                <w:sz w:val="20"/>
                <w:szCs w:val="20"/>
              </w:rPr>
              <w:t>-0.290</w:t>
            </w:r>
          </w:p>
        </w:tc>
      </w:tr>
      <w:tr w:rsidR="000020B9" w:rsidRPr="00E45B5B" w14:paraId="41A37F09" w14:textId="77777777" w:rsidTr="00EF25E1">
        <w:trPr>
          <w:trHeight w:val="330"/>
        </w:trPr>
        <w:tc>
          <w:tcPr>
            <w:tcW w:w="5156" w:type="dxa"/>
            <w:tcBorders>
              <w:top w:val="nil"/>
              <w:left w:val="nil"/>
              <w:bottom w:val="double" w:sz="6" w:space="0" w:color="auto"/>
              <w:right w:val="nil"/>
            </w:tcBorders>
            <w:shd w:val="clear" w:color="auto" w:fill="auto"/>
            <w:noWrap/>
          </w:tcPr>
          <w:p w14:paraId="0D8ABE54" w14:textId="77777777" w:rsidR="000020B9" w:rsidRPr="00E45B5B" w:rsidRDefault="000020B9" w:rsidP="00EF25E1">
            <w:pPr>
              <w:rPr>
                <w:color w:val="000000"/>
                <w:sz w:val="20"/>
                <w:szCs w:val="20"/>
              </w:rPr>
            </w:pPr>
            <w:r w:rsidRPr="00E45B5B">
              <w:rPr>
                <w:color w:val="000000"/>
                <w:sz w:val="20"/>
                <w:szCs w:val="20"/>
              </w:rPr>
              <w:t xml:space="preserve">    Adjusted H = StandarH +deltaH</w:t>
            </w:r>
          </w:p>
        </w:tc>
        <w:tc>
          <w:tcPr>
            <w:tcW w:w="1273" w:type="dxa"/>
            <w:tcBorders>
              <w:top w:val="nil"/>
              <w:left w:val="nil"/>
              <w:bottom w:val="double" w:sz="6" w:space="0" w:color="auto"/>
              <w:right w:val="nil"/>
            </w:tcBorders>
            <w:shd w:val="clear" w:color="auto" w:fill="auto"/>
            <w:noWrap/>
          </w:tcPr>
          <w:p w14:paraId="1EB467BF" w14:textId="77777777" w:rsidR="000020B9" w:rsidRPr="00E45B5B" w:rsidRDefault="000020B9" w:rsidP="00EF25E1">
            <w:pPr>
              <w:jc w:val="center"/>
              <w:rPr>
                <w:color w:val="000000"/>
                <w:sz w:val="20"/>
                <w:szCs w:val="20"/>
              </w:rPr>
            </w:pPr>
            <w:r w:rsidRPr="00E45B5B">
              <w:rPr>
                <w:color w:val="000000"/>
                <w:sz w:val="20"/>
                <w:szCs w:val="20"/>
              </w:rPr>
              <w:t>-0.155</w:t>
            </w:r>
          </w:p>
        </w:tc>
        <w:tc>
          <w:tcPr>
            <w:tcW w:w="1247" w:type="dxa"/>
            <w:tcBorders>
              <w:top w:val="nil"/>
              <w:left w:val="nil"/>
              <w:bottom w:val="double" w:sz="6" w:space="0" w:color="auto"/>
              <w:right w:val="nil"/>
            </w:tcBorders>
            <w:shd w:val="clear" w:color="auto" w:fill="auto"/>
            <w:noWrap/>
          </w:tcPr>
          <w:p w14:paraId="09FCCBF4" w14:textId="77777777" w:rsidR="000020B9" w:rsidRPr="00E45B5B" w:rsidRDefault="000020B9" w:rsidP="00EF25E1">
            <w:pPr>
              <w:jc w:val="center"/>
              <w:rPr>
                <w:color w:val="000000"/>
                <w:sz w:val="20"/>
                <w:szCs w:val="20"/>
              </w:rPr>
            </w:pPr>
            <w:r w:rsidRPr="00E45B5B">
              <w:rPr>
                <w:color w:val="000000"/>
                <w:sz w:val="20"/>
                <w:szCs w:val="20"/>
              </w:rPr>
              <w:t>-0.165</w:t>
            </w:r>
          </w:p>
        </w:tc>
        <w:tc>
          <w:tcPr>
            <w:tcW w:w="1691" w:type="dxa"/>
            <w:tcBorders>
              <w:top w:val="nil"/>
              <w:left w:val="nil"/>
              <w:bottom w:val="double" w:sz="6" w:space="0" w:color="auto"/>
              <w:right w:val="nil"/>
            </w:tcBorders>
            <w:shd w:val="clear" w:color="auto" w:fill="auto"/>
            <w:noWrap/>
          </w:tcPr>
          <w:p w14:paraId="422900A5" w14:textId="77777777" w:rsidR="000020B9" w:rsidRPr="00E45B5B" w:rsidRDefault="000020B9" w:rsidP="00EF25E1">
            <w:pPr>
              <w:jc w:val="center"/>
              <w:rPr>
                <w:color w:val="000000"/>
                <w:sz w:val="20"/>
                <w:szCs w:val="20"/>
              </w:rPr>
            </w:pPr>
            <w:r w:rsidRPr="00E45B5B">
              <w:rPr>
                <w:color w:val="000000"/>
                <w:sz w:val="20"/>
                <w:szCs w:val="20"/>
              </w:rPr>
              <w:t>-0.164</w:t>
            </w:r>
          </w:p>
        </w:tc>
        <w:tc>
          <w:tcPr>
            <w:tcW w:w="1307" w:type="dxa"/>
            <w:tcBorders>
              <w:top w:val="nil"/>
              <w:left w:val="nil"/>
              <w:bottom w:val="double" w:sz="6" w:space="0" w:color="auto"/>
              <w:right w:val="nil"/>
            </w:tcBorders>
            <w:shd w:val="clear" w:color="auto" w:fill="auto"/>
            <w:noWrap/>
          </w:tcPr>
          <w:p w14:paraId="3A0A8BD7" w14:textId="77777777" w:rsidR="000020B9" w:rsidRPr="00E45B5B" w:rsidRDefault="000020B9" w:rsidP="00EF25E1">
            <w:pPr>
              <w:jc w:val="center"/>
              <w:rPr>
                <w:color w:val="000000"/>
                <w:sz w:val="20"/>
                <w:szCs w:val="20"/>
              </w:rPr>
            </w:pPr>
            <w:r w:rsidRPr="00E45B5B">
              <w:rPr>
                <w:color w:val="000000"/>
                <w:sz w:val="20"/>
                <w:szCs w:val="20"/>
              </w:rPr>
              <w:t>-0.164</w:t>
            </w:r>
          </w:p>
        </w:tc>
      </w:tr>
      <w:tr w:rsidR="000020B9" w:rsidRPr="00E45B5B" w14:paraId="37EB6AF7" w14:textId="77777777" w:rsidTr="00EF25E1">
        <w:trPr>
          <w:trHeight w:val="315"/>
        </w:trPr>
        <w:tc>
          <w:tcPr>
            <w:tcW w:w="5156" w:type="dxa"/>
            <w:tcBorders>
              <w:top w:val="nil"/>
              <w:left w:val="nil"/>
              <w:bottom w:val="nil"/>
              <w:right w:val="nil"/>
            </w:tcBorders>
            <w:shd w:val="clear" w:color="auto" w:fill="auto"/>
            <w:noWrap/>
            <w:vAlign w:val="bottom"/>
          </w:tcPr>
          <w:p w14:paraId="384D647F" w14:textId="77777777" w:rsidR="000020B9" w:rsidRPr="00E45B5B" w:rsidRDefault="000020B9" w:rsidP="00EF25E1">
            <w:pPr>
              <w:rPr>
                <w:color w:val="000000"/>
                <w:sz w:val="20"/>
                <w:szCs w:val="20"/>
              </w:rPr>
            </w:pPr>
            <w:r>
              <w:rPr>
                <w:color w:val="000000"/>
                <w:sz w:val="20"/>
                <w:szCs w:val="20"/>
              </w:rPr>
              <w:t>Δ</w:t>
            </w:r>
            <w:r w:rsidRPr="00E45B5B">
              <w:rPr>
                <w:color w:val="000000"/>
                <w:sz w:val="20"/>
                <w:szCs w:val="20"/>
              </w:rPr>
              <w:t>H-Statistics</w:t>
            </w:r>
          </w:p>
        </w:tc>
        <w:tc>
          <w:tcPr>
            <w:tcW w:w="1273" w:type="dxa"/>
            <w:tcBorders>
              <w:top w:val="nil"/>
              <w:left w:val="nil"/>
              <w:bottom w:val="nil"/>
              <w:right w:val="nil"/>
            </w:tcBorders>
            <w:shd w:val="clear" w:color="auto" w:fill="auto"/>
            <w:noWrap/>
            <w:vAlign w:val="bottom"/>
          </w:tcPr>
          <w:p w14:paraId="0C152904" w14:textId="77777777" w:rsidR="000020B9" w:rsidRPr="00E45B5B" w:rsidRDefault="000020B9" w:rsidP="00EF25E1">
            <w:pPr>
              <w:jc w:val="center"/>
              <w:rPr>
                <w:color w:val="000000"/>
                <w:sz w:val="20"/>
                <w:szCs w:val="20"/>
              </w:rPr>
            </w:pPr>
          </w:p>
        </w:tc>
        <w:tc>
          <w:tcPr>
            <w:tcW w:w="1247" w:type="dxa"/>
            <w:tcBorders>
              <w:top w:val="nil"/>
              <w:left w:val="nil"/>
              <w:bottom w:val="nil"/>
              <w:right w:val="nil"/>
            </w:tcBorders>
            <w:shd w:val="clear" w:color="auto" w:fill="auto"/>
            <w:noWrap/>
            <w:vAlign w:val="bottom"/>
          </w:tcPr>
          <w:p w14:paraId="22D33FDE" w14:textId="77777777" w:rsidR="000020B9" w:rsidRPr="00E45B5B" w:rsidRDefault="000020B9" w:rsidP="00EF25E1">
            <w:pPr>
              <w:jc w:val="center"/>
              <w:rPr>
                <w:color w:val="000000"/>
                <w:sz w:val="20"/>
                <w:szCs w:val="20"/>
              </w:rPr>
            </w:pPr>
          </w:p>
        </w:tc>
        <w:tc>
          <w:tcPr>
            <w:tcW w:w="1691" w:type="dxa"/>
            <w:tcBorders>
              <w:top w:val="nil"/>
              <w:left w:val="nil"/>
              <w:bottom w:val="nil"/>
              <w:right w:val="nil"/>
            </w:tcBorders>
            <w:shd w:val="clear" w:color="auto" w:fill="auto"/>
            <w:noWrap/>
            <w:vAlign w:val="bottom"/>
          </w:tcPr>
          <w:p w14:paraId="1D45F115" w14:textId="77777777" w:rsidR="000020B9" w:rsidRPr="00E45B5B" w:rsidRDefault="000020B9" w:rsidP="00EF25E1">
            <w:pPr>
              <w:jc w:val="center"/>
              <w:rPr>
                <w:color w:val="000000"/>
                <w:sz w:val="20"/>
                <w:szCs w:val="20"/>
              </w:rPr>
            </w:pPr>
          </w:p>
        </w:tc>
        <w:tc>
          <w:tcPr>
            <w:tcW w:w="1307" w:type="dxa"/>
            <w:tcBorders>
              <w:top w:val="nil"/>
              <w:left w:val="nil"/>
              <w:bottom w:val="nil"/>
              <w:right w:val="nil"/>
            </w:tcBorders>
            <w:shd w:val="clear" w:color="auto" w:fill="auto"/>
            <w:noWrap/>
            <w:vAlign w:val="bottom"/>
          </w:tcPr>
          <w:p w14:paraId="1F3E6668" w14:textId="77777777" w:rsidR="000020B9" w:rsidRPr="00E45B5B" w:rsidRDefault="000020B9" w:rsidP="00EF25E1">
            <w:pPr>
              <w:jc w:val="center"/>
              <w:rPr>
                <w:color w:val="000000"/>
                <w:sz w:val="20"/>
                <w:szCs w:val="20"/>
              </w:rPr>
            </w:pPr>
          </w:p>
        </w:tc>
      </w:tr>
      <w:tr w:rsidR="000020B9" w:rsidRPr="00E45B5B" w14:paraId="384F9651" w14:textId="77777777" w:rsidTr="00EF25E1">
        <w:trPr>
          <w:trHeight w:val="300"/>
        </w:trPr>
        <w:tc>
          <w:tcPr>
            <w:tcW w:w="5156" w:type="dxa"/>
            <w:tcBorders>
              <w:top w:val="nil"/>
              <w:left w:val="nil"/>
              <w:bottom w:val="nil"/>
              <w:right w:val="nil"/>
            </w:tcBorders>
            <w:shd w:val="clear" w:color="auto" w:fill="auto"/>
            <w:noWrap/>
            <w:vAlign w:val="bottom"/>
          </w:tcPr>
          <w:p w14:paraId="5D734EA2" w14:textId="77777777" w:rsidR="000020B9" w:rsidRPr="00E45B5B" w:rsidRDefault="000020B9" w:rsidP="00EF25E1">
            <w:pPr>
              <w:rPr>
                <w:color w:val="000000"/>
                <w:sz w:val="20"/>
                <w:szCs w:val="20"/>
              </w:rPr>
            </w:pPr>
            <w:r w:rsidRPr="00E45B5B">
              <w:rPr>
                <w:color w:val="000000"/>
                <w:sz w:val="20"/>
                <w:szCs w:val="20"/>
              </w:rPr>
              <w:t xml:space="preserve">    Estimated </w:t>
            </w:r>
            <w:r>
              <w:rPr>
                <w:color w:val="000000"/>
                <w:sz w:val="20"/>
                <w:szCs w:val="20"/>
              </w:rPr>
              <w:t>Δ</w:t>
            </w:r>
            <w:r w:rsidRPr="00E45B5B">
              <w:rPr>
                <w:color w:val="000000"/>
                <w:sz w:val="20"/>
                <w:szCs w:val="20"/>
              </w:rPr>
              <w:t>H</w:t>
            </w:r>
          </w:p>
        </w:tc>
        <w:tc>
          <w:tcPr>
            <w:tcW w:w="1273" w:type="dxa"/>
            <w:tcBorders>
              <w:top w:val="nil"/>
              <w:left w:val="nil"/>
              <w:bottom w:val="nil"/>
              <w:right w:val="nil"/>
            </w:tcBorders>
            <w:shd w:val="clear" w:color="auto" w:fill="auto"/>
            <w:noWrap/>
            <w:vAlign w:val="bottom"/>
          </w:tcPr>
          <w:p w14:paraId="2B9C92F1" w14:textId="77777777" w:rsidR="000020B9" w:rsidRPr="00E45B5B" w:rsidRDefault="000020B9" w:rsidP="00EF25E1">
            <w:pPr>
              <w:jc w:val="center"/>
              <w:rPr>
                <w:color w:val="000000"/>
                <w:sz w:val="20"/>
                <w:szCs w:val="20"/>
              </w:rPr>
            </w:pPr>
            <w:r w:rsidRPr="00E45B5B">
              <w:rPr>
                <w:color w:val="000000"/>
                <w:sz w:val="20"/>
                <w:szCs w:val="20"/>
              </w:rPr>
              <w:t>-0.283</w:t>
            </w:r>
          </w:p>
        </w:tc>
        <w:tc>
          <w:tcPr>
            <w:tcW w:w="1247" w:type="dxa"/>
            <w:tcBorders>
              <w:top w:val="nil"/>
              <w:left w:val="nil"/>
              <w:bottom w:val="nil"/>
              <w:right w:val="nil"/>
            </w:tcBorders>
            <w:shd w:val="clear" w:color="auto" w:fill="auto"/>
            <w:noWrap/>
            <w:vAlign w:val="bottom"/>
          </w:tcPr>
          <w:p w14:paraId="30BDE538" w14:textId="77777777" w:rsidR="000020B9" w:rsidRPr="00E45B5B" w:rsidRDefault="000020B9" w:rsidP="00EF25E1">
            <w:pPr>
              <w:jc w:val="center"/>
              <w:rPr>
                <w:color w:val="000000"/>
                <w:sz w:val="20"/>
                <w:szCs w:val="20"/>
              </w:rPr>
            </w:pPr>
            <w:r w:rsidRPr="00E45B5B">
              <w:rPr>
                <w:color w:val="000000"/>
                <w:sz w:val="20"/>
                <w:szCs w:val="20"/>
              </w:rPr>
              <w:t>-0.291</w:t>
            </w:r>
          </w:p>
        </w:tc>
        <w:tc>
          <w:tcPr>
            <w:tcW w:w="1691" w:type="dxa"/>
            <w:tcBorders>
              <w:top w:val="nil"/>
              <w:left w:val="nil"/>
              <w:bottom w:val="nil"/>
              <w:right w:val="nil"/>
            </w:tcBorders>
            <w:shd w:val="clear" w:color="auto" w:fill="auto"/>
            <w:noWrap/>
            <w:vAlign w:val="bottom"/>
          </w:tcPr>
          <w:p w14:paraId="000F5BA1" w14:textId="77777777" w:rsidR="000020B9" w:rsidRPr="00E45B5B" w:rsidRDefault="000020B9" w:rsidP="00EF25E1">
            <w:pPr>
              <w:jc w:val="center"/>
              <w:rPr>
                <w:color w:val="000000"/>
                <w:sz w:val="20"/>
                <w:szCs w:val="20"/>
              </w:rPr>
            </w:pPr>
            <w:r w:rsidRPr="00E45B5B">
              <w:rPr>
                <w:color w:val="000000"/>
                <w:sz w:val="20"/>
                <w:szCs w:val="20"/>
              </w:rPr>
              <w:t>-0.291</w:t>
            </w:r>
          </w:p>
        </w:tc>
        <w:tc>
          <w:tcPr>
            <w:tcW w:w="1307" w:type="dxa"/>
            <w:tcBorders>
              <w:top w:val="nil"/>
              <w:left w:val="nil"/>
              <w:bottom w:val="nil"/>
              <w:right w:val="nil"/>
            </w:tcBorders>
            <w:shd w:val="clear" w:color="auto" w:fill="auto"/>
            <w:noWrap/>
            <w:vAlign w:val="bottom"/>
          </w:tcPr>
          <w:p w14:paraId="683AF17F" w14:textId="77777777" w:rsidR="000020B9" w:rsidRPr="00E45B5B" w:rsidRDefault="000020B9" w:rsidP="00EF25E1">
            <w:pPr>
              <w:jc w:val="center"/>
              <w:rPr>
                <w:color w:val="000000"/>
                <w:sz w:val="20"/>
                <w:szCs w:val="20"/>
              </w:rPr>
            </w:pPr>
            <w:r w:rsidRPr="00E45B5B">
              <w:rPr>
                <w:color w:val="000000"/>
                <w:sz w:val="20"/>
                <w:szCs w:val="20"/>
              </w:rPr>
              <w:t>-0.290</w:t>
            </w:r>
          </w:p>
        </w:tc>
      </w:tr>
      <w:tr w:rsidR="000020B9" w:rsidRPr="00E45B5B" w14:paraId="77E3A0B8" w14:textId="77777777" w:rsidTr="00EF25E1">
        <w:trPr>
          <w:trHeight w:val="300"/>
        </w:trPr>
        <w:tc>
          <w:tcPr>
            <w:tcW w:w="5156" w:type="dxa"/>
            <w:tcBorders>
              <w:top w:val="nil"/>
              <w:left w:val="nil"/>
              <w:bottom w:val="nil"/>
              <w:right w:val="nil"/>
            </w:tcBorders>
            <w:shd w:val="clear" w:color="auto" w:fill="auto"/>
            <w:noWrap/>
            <w:vAlign w:val="bottom"/>
          </w:tcPr>
          <w:p w14:paraId="6046683B" w14:textId="77777777" w:rsidR="000020B9" w:rsidRPr="00E45B5B" w:rsidRDefault="000020B9" w:rsidP="00EF25E1">
            <w:pPr>
              <w:rPr>
                <w:color w:val="000000"/>
                <w:sz w:val="20"/>
                <w:szCs w:val="20"/>
              </w:rPr>
            </w:pPr>
            <w:r w:rsidRPr="00E45B5B">
              <w:rPr>
                <w:color w:val="000000"/>
                <w:sz w:val="20"/>
                <w:szCs w:val="20"/>
              </w:rPr>
              <w:t xml:space="preserve">    Standard Deviation </w:t>
            </w:r>
            <w:r>
              <w:rPr>
                <w:color w:val="000000"/>
                <w:sz w:val="20"/>
                <w:szCs w:val="20"/>
              </w:rPr>
              <w:t>Δ</w:t>
            </w:r>
            <w:r w:rsidRPr="00E45B5B">
              <w:rPr>
                <w:color w:val="000000"/>
                <w:sz w:val="20"/>
                <w:szCs w:val="20"/>
              </w:rPr>
              <w:t>H</w:t>
            </w:r>
          </w:p>
        </w:tc>
        <w:tc>
          <w:tcPr>
            <w:tcW w:w="1273" w:type="dxa"/>
            <w:tcBorders>
              <w:top w:val="nil"/>
              <w:left w:val="nil"/>
              <w:bottom w:val="nil"/>
              <w:right w:val="nil"/>
            </w:tcBorders>
            <w:shd w:val="clear" w:color="auto" w:fill="auto"/>
            <w:noWrap/>
            <w:vAlign w:val="bottom"/>
          </w:tcPr>
          <w:p w14:paraId="0819923A" w14:textId="77777777" w:rsidR="000020B9" w:rsidRPr="00E45B5B" w:rsidRDefault="000020B9" w:rsidP="00EF25E1">
            <w:pPr>
              <w:jc w:val="center"/>
              <w:rPr>
                <w:color w:val="000000"/>
                <w:sz w:val="20"/>
                <w:szCs w:val="20"/>
              </w:rPr>
            </w:pPr>
            <w:r w:rsidRPr="00E45B5B">
              <w:rPr>
                <w:color w:val="000000"/>
                <w:sz w:val="20"/>
                <w:szCs w:val="20"/>
              </w:rPr>
              <w:t>0.166</w:t>
            </w:r>
          </w:p>
        </w:tc>
        <w:tc>
          <w:tcPr>
            <w:tcW w:w="1247" w:type="dxa"/>
            <w:tcBorders>
              <w:top w:val="nil"/>
              <w:left w:val="nil"/>
              <w:bottom w:val="nil"/>
              <w:right w:val="nil"/>
            </w:tcBorders>
            <w:shd w:val="clear" w:color="auto" w:fill="auto"/>
            <w:noWrap/>
            <w:vAlign w:val="bottom"/>
          </w:tcPr>
          <w:p w14:paraId="580B7909" w14:textId="77777777" w:rsidR="000020B9" w:rsidRPr="00E45B5B" w:rsidRDefault="000020B9" w:rsidP="00EF25E1">
            <w:pPr>
              <w:jc w:val="center"/>
              <w:rPr>
                <w:color w:val="000000"/>
                <w:sz w:val="20"/>
                <w:szCs w:val="20"/>
              </w:rPr>
            </w:pPr>
            <w:r w:rsidRPr="00E45B5B">
              <w:rPr>
                <w:color w:val="000000"/>
                <w:sz w:val="20"/>
                <w:szCs w:val="20"/>
              </w:rPr>
              <w:t>0.159</w:t>
            </w:r>
          </w:p>
        </w:tc>
        <w:tc>
          <w:tcPr>
            <w:tcW w:w="1691" w:type="dxa"/>
            <w:tcBorders>
              <w:top w:val="nil"/>
              <w:left w:val="nil"/>
              <w:bottom w:val="nil"/>
              <w:right w:val="nil"/>
            </w:tcBorders>
            <w:shd w:val="clear" w:color="auto" w:fill="auto"/>
            <w:noWrap/>
            <w:vAlign w:val="bottom"/>
          </w:tcPr>
          <w:p w14:paraId="4B2F306D" w14:textId="77777777" w:rsidR="000020B9" w:rsidRPr="00E45B5B" w:rsidRDefault="000020B9" w:rsidP="00EF25E1">
            <w:pPr>
              <w:jc w:val="center"/>
              <w:rPr>
                <w:color w:val="000000"/>
                <w:sz w:val="20"/>
                <w:szCs w:val="20"/>
              </w:rPr>
            </w:pPr>
            <w:r w:rsidRPr="00E45B5B">
              <w:rPr>
                <w:color w:val="000000"/>
                <w:sz w:val="20"/>
                <w:szCs w:val="20"/>
              </w:rPr>
              <w:t>0.159</w:t>
            </w:r>
          </w:p>
        </w:tc>
        <w:tc>
          <w:tcPr>
            <w:tcW w:w="1307" w:type="dxa"/>
            <w:tcBorders>
              <w:top w:val="nil"/>
              <w:left w:val="nil"/>
              <w:bottom w:val="nil"/>
              <w:right w:val="nil"/>
            </w:tcBorders>
            <w:shd w:val="clear" w:color="auto" w:fill="auto"/>
            <w:noWrap/>
            <w:vAlign w:val="bottom"/>
          </w:tcPr>
          <w:p w14:paraId="6C619D7C" w14:textId="77777777" w:rsidR="000020B9" w:rsidRPr="00E45B5B" w:rsidRDefault="000020B9" w:rsidP="00EF25E1">
            <w:pPr>
              <w:jc w:val="center"/>
              <w:rPr>
                <w:color w:val="000000"/>
                <w:sz w:val="20"/>
                <w:szCs w:val="20"/>
              </w:rPr>
            </w:pPr>
            <w:r w:rsidRPr="00E45B5B">
              <w:rPr>
                <w:color w:val="000000"/>
                <w:sz w:val="20"/>
                <w:szCs w:val="20"/>
              </w:rPr>
              <w:t>0.159</w:t>
            </w:r>
          </w:p>
        </w:tc>
      </w:tr>
      <w:tr w:rsidR="000020B9" w:rsidRPr="00E45B5B" w14:paraId="707B6929" w14:textId="77777777" w:rsidTr="00EF25E1">
        <w:trPr>
          <w:trHeight w:val="300"/>
        </w:trPr>
        <w:tc>
          <w:tcPr>
            <w:tcW w:w="5156" w:type="dxa"/>
            <w:tcBorders>
              <w:top w:val="nil"/>
              <w:left w:val="nil"/>
              <w:bottom w:val="nil"/>
              <w:right w:val="nil"/>
            </w:tcBorders>
            <w:shd w:val="clear" w:color="auto" w:fill="auto"/>
            <w:noWrap/>
            <w:vAlign w:val="bottom"/>
          </w:tcPr>
          <w:p w14:paraId="7299AAA7" w14:textId="77777777" w:rsidR="000020B9" w:rsidRPr="00E45B5B" w:rsidRDefault="000020B9" w:rsidP="00EF25E1">
            <w:pPr>
              <w:rPr>
                <w:color w:val="000000"/>
                <w:sz w:val="20"/>
                <w:szCs w:val="20"/>
              </w:rPr>
            </w:pPr>
            <w:r w:rsidRPr="00E45B5B">
              <w:rPr>
                <w:color w:val="000000"/>
                <w:sz w:val="20"/>
                <w:szCs w:val="20"/>
              </w:rPr>
              <w:t xml:space="preserve">     Degrees of Freedom</w:t>
            </w:r>
          </w:p>
        </w:tc>
        <w:tc>
          <w:tcPr>
            <w:tcW w:w="1273" w:type="dxa"/>
            <w:tcBorders>
              <w:top w:val="nil"/>
              <w:left w:val="nil"/>
              <w:bottom w:val="nil"/>
              <w:right w:val="nil"/>
            </w:tcBorders>
            <w:shd w:val="clear" w:color="auto" w:fill="auto"/>
            <w:noWrap/>
            <w:vAlign w:val="bottom"/>
          </w:tcPr>
          <w:p w14:paraId="0C34B398" w14:textId="77777777" w:rsidR="000020B9" w:rsidRPr="00E45B5B" w:rsidRDefault="000020B9" w:rsidP="00EF25E1">
            <w:pPr>
              <w:jc w:val="center"/>
              <w:rPr>
                <w:color w:val="000000"/>
                <w:sz w:val="20"/>
                <w:szCs w:val="20"/>
              </w:rPr>
            </w:pPr>
            <w:r w:rsidRPr="00E45B5B">
              <w:rPr>
                <w:color w:val="000000"/>
                <w:sz w:val="20"/>
                <w:szCs w:val="20"/>
              </w:rPr>
              <w:t>70</w:t>
            </w:r>
          </w:p>
        </w:tc>
        <w:tc>
          <w:tcPr>
            <w:tcW w:w="1247" w:type="dxa"/>
            <w:tcBorders>
              <w:top w:val="nil"/>
              <w:left w:val="nil"/>
              <w:bottom w:val="nil"/>
              <w:right w:val="nil"/>
            </w:tcBorders>
            <w:shd w:val="clear" w:color="auto" w:fill="auto"/>
            <w:noWrap/>
            <w:vAlign w:val="bottom"/>
          </w:tcPr>
          <w:p w14:paraId="5CDA897C" w14:textId="77777777" w:rsidR="000020B9" w:rsidRPr="00E45B5B" w:rsidRDefault="000020B9" w:rsidP="00EF25E1">
            <w:pPr>
              <w:jc w:val="center"/>
              <w:rPr>
                <w:color w:val="000000"/>
                <w:sz w:val="20"/>
                <w:szCs w:val="20"/>
              </w:rPr>
            </w:pPr>
            <w:r w:rsidRPr="00E45B5B">
              <w:rPr>
                <w:color w:val="000000"/>
                <w:sz w:val="20"/>
                <w:szCs w:val="20"/>
              </w:rPr>
              <w:t>70</w:t>
            </w:r>
          </w:p>
        </w:tc>
        <w:tc>
          <w:tcPr>
            <w:tcW w:w="1691" w:type="dxa"/>
            <w:tcBorders>
              <w:top w:val="nil"/>
              <w:left w:val="nil"/>
              <w:bottom w:val="nil"/>
              <w:right w:val="nil"/>
            </w:tcBorders>
            <w:shd w:val="clear" w:color="auto" w:fill="auto"/>
            <w:noWrap/>
            <w:vAlign w:val="bottom"/>
          </w:tcPr>
          <w:p w14:paraId="46D94DE3" w14:textId="77777777" w:rsidR="000020B9" w:rsidRPr="00E45B5B" w:rsidRDefault="000020B9" w:rsidP="00EF25E1">
            <w:pPr>
              <w:jc w:val="center"/>
              <w:rPr>
                <w:color w:val="000000"/>
                <w:sz w:val="20"/>
                <w:szCs w:val="20"/>
              </w:rPr>
            </w:pPr>
            <w:r w:rsidRPr="00E45B5B">
              <w:rPr>
                <w:color w:val="000000"/>
                <w:sz w:val="20"/>
                <w:szCs w:val="20"/>
              </w:rPr>
              <w:t>70</w:t>
            </w:r>
          </w:p>
        </w:tc>
        <w:tc>
          <w:tcPr>
            <w:tcW w:w="1307" w:type="dxa"/>
            <w:tcBorders>
              <w:top w:val="nil"/>
              <w:left w:val="nil"/>
              <w:bottom w:val="nil"/>
              <w:right w:val="nil"/>
            </w:tcBorders>
            <w:shd w:val="clear" w:color="auto" w:fill="auto"/>
            <w:noWrap/>
            <w:vAlign w:val="bottom"/>
          </w:tcPr>
          <w:p w14:paraId="198DD043" w14:textId="77777777" w:rsidR="000020B9" w:rsidRPr="00E45B5B" w:rsidRDefault="000020B9" w:rsidP="00EF25E1">
            <w:pPr>
              <w:jc w:val="center"/>
              <w:rPr>
                <w:color w:val="000000"/>
                <w:sz w:val="20"/>
                <w:szCs w:val="20"/>
              </w:rPr>
            </w:pPr>
            <w:r w:rsidRPr="00E45B5B">
              <w:rPr>
                <w:color w:val="000000"/>
                <w:sz w:val="20"/>
                <w:szCs w:val="20"/>
              </w:rPr>
              <w:t>70</w:t>
            </w:r>
          </w:p>
        </w:tc>
      </w:tr>
      <w:tr w:rsidR="000020B9" w:rsidRPr="00E45B5B" w14:paraId="53E34CE7" w14:textId="77777777" w:rsidTr="00EF25E1">
        <w:trPr>
          <w:trHeight w:val="300"/>
        </w:trPr>
        <w:tc>
          <w:tcPr>
            <w:tcW w:w="5156" w:type="dxa"/>
            <w:tcBorders>
              <w:top w:val="nil"/>
              <w:left w:val="nil"/>
              <w:bottom w:val="nil"/>
              <w:right w:val="nil"/>
            </w:tcBorders>
            <w:shd w:val="clear" w:color="auto" w:fill="auto"/>
            <w:noWrap/>
            <w:vAlign w:val="bottom"/>
          </w:tcPr>
          <w:p w14:paraId="497E4D65" w14:textId="77777777" w:rsidR="000020B9" w:rsidRPr="00E45B5B" w:rsidRDefault="000020B9" w:rsidP="00EF25E1">
            <w:pPr>
              <w:rPr>
                <w:color w:val="000000"/>
                <w:sz w:val="20"/>
                <w:szCs w:val="20"/>
                <w:lang w:val="en-US"/>
              </w:rPr>
            </w:pPr>
            <w:r w:rsidRPr="00E45B5B">
              <w:rPr>
                <w:color w:val="000000"/>
                <w:sz w:val="20"/>
                <w:szCs w:val="20"/>
                <w:lang w:val="en-US"/>
              </w:rPr>
              <w:t xml:space="preserve">     p-value Test - Ho: </w:t>
            </w:r>
            <w:r>
              <w:rPr>
                <w:color w:val="000000"/>
                <w:sz w:val="20"/>
                <w:szCs w:val="20"/>
              </w:rPr>
              <w:t>Δ</w:t>
            </w:r>
            <w:r w:rsidRPr="0056585F">
              <w:rPr>
                <w:color w:val="000000"/>
                <w:sz w:val="20"/>
                <w:szCs w:val="20"/>
                <w:lang w:val="en-US"/>
              </w:rPr>
              <w:t>H</w:t>
            </w:r>
            <w:r w:rsidRPr="00E45B5B">
              <w:rPr>
                <w:color w:val="000000"/>
                <w:sz w:val="20"/>
                <w:szCs w:val="20"/>
                <w:lang w:val="en-US"/>
              </w:rPr>
              <w:t xml:space="preserve">≥0, Ha: </w:t>
            </w:r>
            <w:r>
              <w:rPr>
                <w:color w:val="000000"/>
                <w:sz w:val="20"/>
                <w:szCs w:val="20"/>
              </w:rPr>
              <w:t>Δ</w:t>
            </w:r>
            <w:r w:rsidRPr="0056585F">
              <w:rPr>
                <w:color w:val="000000"/>
                <w:sz w:val="20"/>
                <w:szCs w:val="20"/>
                <w:lang w:val="en-US"/>
              </w:rPr>
              <w:t>H</w:t>
            </w:r>
            <w:r w:rsidRPr="00E45B5B">
              <w:rPr>
                <w:color w:val="000000"/>
                <w:sz w:val="20"/>
                <w:szCs w:val="20"/>
                <w:lang w:val="en-US"/>
              </w:rPr>
              <w:t xml:space="preserve"> &lt;0</w:t>
            </w:r>
          </w:p>
        </w:tc>
        <w:tc>
          <w:tcPr>
            <w:tcW w:w="1273" w:type="dxa"/>
            <w:tcBorders>
              <w:top w:val="nil"/>
              <w:left w:val="nil"/>
              <w:bottom w:val="nil"/>
              <w:right w:val="nil"/>
            </w:tcBorders>
            <w:shd w:val="clear" w:color="auto" w:fill="auto"/>
            <w:noWrap/>
            <w:vAlign w:val="bottom"/>
          </w:tcPr>
          <w:p w14:paraId="0D6BED24" w14:textId="77777777" w:rsidR="000020B9" w:rsidRPr="00E45B5B" w:rsidRDefault="000020B9" w:rsidP="00EF25E1">
            <w:pPr>
              <w:jc w:val="center"/>
              <w:rPr>
                <w:color w:val="000000"/>
                <w:sz w:val="20"/>
                <w:szCs w:val="20"/>
              </w:rPr>
            </w:pPr>
            <w:r w:rsidRPr="00E45B5B">
              <w:rPr>
                <w:color w:val="000000"/>
                <w:sz w:val="20"/>
                <w:szCs w:val="20"/>
              </w:rPr>
              <w:t>0.046</w:t>
            </w:r>
          </w:p>
        </w:tc>
        <w:tc>
          <w:tcPr>
            <w:tcW w:w="1247" w:type="dxa"/>
            <w:tcBorders>
              <w:top w:val="nil"/>
              <w:left w:val="nil"/>
              <w:bottom w:val="nil"/>
              <w:right w:val="nil"/>
            </w:tcBorders>
            <w:shd w:val="clear" w:color="auto" w:fill="auto"/>
            <w:noWrap/>
            <w:vAlign w:val="bottom"/>
          </w:tcPr>
          <w:p w14:paraId="00754291" w14:textId="77777777" w:rsidR="000020B9" w:rsidRPr="00E45B5B" w:rsidRDefault="000020B9" w:rsidP="00EF25E1">
            <w:pPr>
              <w:jc w:val="center"/>
              <w:rPr>
                <w:color w:val="000000"/>
                <w:sz w:val="20"/>
                <w:szCs w:val="20"/>
              </w:rPr>
            </w:pPr>
            <w:r w:rsidRPr="00E45B5B">
              <w:rPr>
                <w:color w:val="000000"/>
                <w:sz w:val="20"/>
                <w:szCs w:val="20"/>
              </w:rPr>
              <w:t>0.036</w:t>
            </w:r>
          </w:p>
        </w:tc>
        <w:tc>
          <w:tcPr>
            <w:tcW w:w="1691" w:type="dxa"/>
            <w:tcBorders>
              <w:top w:val="nil"/>
              <w:left w:val="nil"/>
              <w:bottom w:val="nil"/>
              <w:right w:val="nil"/>
            </w:tcBorders>
            <w:shd w:val="clear" w:color="auto" w:fill="auto"/>
            <w:noWrap/>
            <w:vAlign w:val="bottom"/>
          </w:tcPr>
          <w:p w14:paraId="2D8768E7" w14:textId="77777777" w:rsidR="000020B9" w:rsidRPr="00E45B5B" w:rsidRDefault="000020B9" w:rsidP="00EF25E1">
            <w:pPr>
              <w:jc w:val="center"/>
              <w:rPr>
                <w:color w:val="000000"/>
                <w:sz w:val="20"/>
                <w:szCs w:val="20"/>
              </w:rPr>
            </w:pPr>
            <w:r w:rsidRPr="00E45B5B">
              <w:rPr>
                <w:color w:val="000000"/>
                <w:sz w:val="20"/>
                <w:szCs w:val="20"/>
              </w:rPr>
              <w:t>0.036</w:t>
            </w:r>
          </w:p>
        </w:tc>
        <w:tc>
          <w:tcPr>
            <w:tcW w:w="1307" w:type="dxa"/>
            <w:tcBorders>
              <w:top w:val="nil"/>
              <w:left w:val="nil"/>
              <w:bottom w:val="nil"/>
              <w:right w:val="nil"/>
            </w:tcBorders>
            <w:shd w:val="clear" w:color="auto" w:fill="auto"/>
            <w:noWrap/>
            <w:vAlign w:val="bottom"/>
          </w:tcPr>
          <w:p w14:paraId="3ED0308C" w14:textId="77777777" w:rsidR="000020B9" w:rsidRPr="00E45B5B" w:rsidRDefault="000020B9" w:rsidP="00EF25E1">
            <w:pPr>
              <w:jc w:val="center"/>
              <w:rPr>
                <w:color w:val="000000"/>
                <w:sz w:val="20"/>
                <w:szCs w:val="20"/>
              </w:rPr>
            </w:pPr>
            <w:r w:rsidRPr="00E45B5B">
              <w:rPr>
                <w:color w:val="000000"/>
                <w:sz w:val="20"/>
                <w:szCs w:val="20"/>
              </w:rPr>
              <w:t>0.036</w:t>
            </w:r>
          </w:p>
        </w:tc>
      </w:tr>
      <w:tr w:rsidR="000020B9" w:rsidRPr="00E45B5B" w14:paraId="236B5FF7" w14:textId="77777777" w:rsidTr="00EF25E1">
        <w:trPr>
          <w:trHeight w:val="315"/>
        </w:trPr>
        <w:tc>
          <w:tcPr>
            <w:tcW w:w="5156" w:type="dxa"/>
            <w:tcBorders>
              <w:top w:val="nil"/>
              <w:left w:val="nil"/>
              <w:bottom w:val="double" w:sz="6" w:space="0" w:color="auto"/>
              <w:right w:val="nil"/>
            </w:tcBorders>
            <w:shd w:val="clear" w:color="auto" w:fill="auto"/>
            <w:noWrap/>
          </w:tcPr>
          <w:p w14:paraId="520A1A93" w14:textId="77777777" w:rsidR="000020B9" w:rsidRPr="00E45B5B" w:rsidRDefault="000020B9" w:rsidP="00EF25E1">
            <w:pPr>
              <w:rPr>
                <w:color w:val="000000"/>
                <w:sz w:val="20"/>
                <w:szCs w:val="20"/>
              </w:rPr>
            </w:pPr>
            <w:r w:rsidRPr="00E45B5B">
              <w:rPr>
                <w:color w:val="000000"/>
                <w:sz w:val="20"/>
                <w:szCs w:val="20"/>
              </w:rPr>
              <w:t xml:space="preserve">     Confidence Interval (95%)</w:t>
            </w:r>
          </w:p>
        </w:tc>
        <w:tc>
          <w:tcPr>
            <w:tcW w:w="1273" w:type="dxa"/>
            <w:tcBorders>
              <w:top w:val="nil"/>
              <w:left w:val="nil"/>
              <w:bottom w:val="double" w:sz="6" w:space="0" w:color="auto"/>
              <w:right w:val="nil"/>
            </w:tcBorders>
            <w:shd w:val="clear" w:color="auto" w:fill="auto"/>
            <w:noWrap/>
            <w:vAlign w:val="bottom"/>
          </w:tcPr>
          <w:p w14:paraId="68AA5F61" w14:textId="77777777" w:rsidR="000020B9" w:rsidRPr="00E45B5B" w:rsidRDefault="000020B9" w:rsidP="00EF25E1">
            <w:pPr>
              <w:jc w:val="center"/>
              <w:rPr>
                <w:color w:val="000000"/>
                <w:sz w:val="20"/>
                <w:szCs w:val="20"/>
              </w:rPr>
            </w:pPr>
            <w:r w:rsidRPr="00E45B5B">
              <w:rPr>
                <w:color w:val="000000"/>
                <w:sz w:val="20"/>
                <w:szCs w:val="20"/>
              </w:rPr>
              <w:t>-0.559/-0.007</w:t>
            </w:r>
          </w:p>
        </w:tc>
        <w:tc>
          <w:tcPr>
            <w:tcW w:w="1247" w:type="dxa"/>
            <w:tcBorders>
              <w:top w:val="nil"/>
              <w:left w:val="nil"/>
              <w:bottom w:val="double" w:sz="6" w:space="0" w:color="auto"/>
              <w:right w:val="nil"/>
            </w:tcBorders>
            <w:shd w:val="clear" w:color="auto" w:fill="auto"/>
            <w:noWrap/>
            <w:vAlign w:val="bottom"/>
          </w:tcPr>
          <w:p w14:paraId="6B19EE3E" w14:textId="77777777" w:rsidR="000020B9" w:rsidRPr="00E45B5B" w:rsidRDefault="000020B9" w:rsidP="00EF25E1">
            <w:pPr>
              <w:jc w:val="center"/>
              <w:rPr>
                <w:color w:val="000000"/>
                <w:sz w:val="20"/>
                <w:szCs w:val="20"/>
              </w:rPr>
            </w:pPr>
            <w:r w:rsidRPr="00E45B5B">
              <w:rPr>
                <w:color w:val="000000"/>
                <w:sz w:val="20"/>
                <w:szCs w:val="20"/>
              </w:rPr>
              <w:t>-0.556/-0.026</w:t>
            </w:r>
          </w:p>
        </w:tc>
        <w:tc>
          <w:tcPr>
            <w:tcW w:w="1691" w:type="dxa"/>
            <w:tcBorders>
              <w:top w:val="nil"/>
              <w:left w:val="nil"/>
              <w:bottom w:val="double" w:sz="6" w:space="0" w:color="auto"/>
              <w:right w:val="nil"/>
            </w:tcBorders>
            <w:shd w:val="clear" w:color="auto" w:fill="auto"/>
            <w:noWrap/>
            <w:vAlign w:val="bottom"/>
          </w:tcPr>
          <w:p w14:paraId="5CD5B0D7" w14:textId="77777777" w:rsidR="000020B9" w:rsidRPr="00E45B5B" w:rsidRDefault="000020B9" w:rsidP="00EF25E1">
            <w:pPr>
              <w:jc w:val="center"/>
              <w:rPr>
                <w:color w:val="000000"/>
                <w:sz w:val="20"/>
                <w:szCs w:val="20"/>
              </w:rPr>
            </w:pPr>
            <w:r w:rsidRPr="00E45B5B">
              <w:rPr>
                <w:color w:val="000000"/>
                <w:sz w:val="20"/>
                <w:szCs w:val="20"/>
              </w:rPr>
              <w:t>-0.557/-0.026</w:t>
            </w:r>
          </w:p>
        </w:tc>
        <w:tc>
          <w:tcPr>
            <w:tcW w:w="1307" w:type="dxa"/>
            <w:tcBorders>
              <w:top w:val="nil"/>
              <w:left w:val="nil"/>
              <w:bottom w:val="double" w:sz="6" w:space="0" w:color="auto"/>
              <w:right w:val="nil"/>
            </w:tcBorders>
            <w:shd w:val="clear" w:color="auto" w:fill="auto"/>
            <w:noWrap/>
            <w:vAlign w:val="bottom"/>
          </w:tcPr>
          <w:p w14:paraId="0CEE0CBD" w14:textId="77777777" w:rsidR="000020B9" w:rsidRPr="00E45B5B" w:rsidRDefault="000020B9" w:rsidP="00EF25E1">
            <w:pPr>
              <w:jc w:val="center"/>
              <w:rPr>
                <w:color w:val="000000"/>
                <w:sz w:val="20"/>
                <w:szCs w:val="20"/>
              </w:rPr>
            </w:pPr>
            <w:r>
              <w:rPr>
                <w:color w:val="000000"/>
                <w:sz w:val="20"/>
                <w:szCs w:val="20"/>
              </w:rPr>
              <w:t>-0.556</w:t>
            </w:r>
            <w:r w:rsidRPr="00E45B5B">
              <w:rPr>
                <w:color w:val="000000"/>
                <w:sz w:val="20"/>
                <w:szCs w:val="20"/>
              </w:rPr>
              <w:t>/-0.025</w:t>
            </w:r>
          </w:p>
        </w:tc>
      </w:tr>
      <w:tr w:rsidR="000020B9" w:rsidRPr="00E45B5B" w14:paraId="4FE1492F" w14:textId="77777777" w:rsidTr="00EF25E1">
        <w:trPr>
          <w:trHeight w:val="315"/>
        </w:trPr>
        <w:tc>
          <w:tcPr>
            <w:tcW w:w="5156" w:type="dxa"/>
            <w:tcBorders>
              <w:top w:val="double" w:sz="6" w:space="0" w:color="auto"/>
              <w:left w:val="nil"/>
              <w:bottom w:val="single" w:sz="4" w:space="0" w:color="auto"/>
              <w:right w:val="nil"/>
            </w:tcBorders>
            <w:shd w:val="clear" w:color="auto" w:fill="auto"/>
            <w:noWrap/>
            <w:vAlign w:val="bottom"/>
          </w:tcPr>
          <w:p w14:paraId="694D4E23" w14:textId="77777777" w:rsidR="000020B9" w:rsidRPr="00E45B5B" w:rsidRDefault="000020B9" w:rsidP="00EF25E1">
            <w:pPr>
              <w:rPr>
                <w:color w:val="000000"/>
                <w:sz w:val="20"/>
                <w:szCs w:val="20"/>
              </w:rPr>
            </w:pPr>
            <w:r w:rsidRPr="00E45B5B">
              <w:rPr>
                <w:color w:val="000000"/>
                <w:sz w:val="20"/>
                <w:szCs w:val="20"/>
              </w:rPr>
              <w:t>Observations</w:t>
            </w:r>
          </w:p>
        </w:tc>
        <w:tc>
          <w:tcPr>
            <w:tcW w:w="1273" w:type="dxa"/>
            <w:tcBorders>
              <w:top w:val="double" w:sz="6" w:space="0" w:color="auto"/>
              <w:left w:val="nil"/>
              <w:bottom w:val="single" w:sz="4" w:space="0" w:color="auto"/>
              <w:right w:val="nil"/>
            </w:tcBorders>
            <w:shd w:val="clear" w:color="auto" w:fill="auto"/>
            <w:noWrap/>
            <w:vAlign w:val="bottom"/>
          </w:tcPr>
          <w:p w14:paraId="55BB7286" w14:textId="77777777" w:rsidR="000020B9" w:rsidRPr="00E45B5B" w:rsidRDefault="000020B9" w:rsidP="00EF25E1">
            <w:pPr>
              <w:jc w:val="center"/>
              <w:rPr>
                <w:color w:val="000000"/>
                <w:sz w:val="20"/>
                <w:szCs w:val="20"/>
              </w:rPr>
            </w:pPr>
            <w:r w:rsidRPr="00E45B5B">
              <w:rPr>
                <w:color w:val="000000"/>
                <w:sz w:val="20"/>
                <w:szCs w:val="20"/>
              </w:rPr>
              <w:t>1,988</w:t>
            </w:r>
          </w:p>
        </w:tc>
        <w:tc>
          <w:tcPr>
            <w:tcW w:w="1247" w:type="dxa"/>
            <w:tcBorders>
              <w:top w:val="double" w:sz="6" w:space="0" w:color="auto"/>
              <w:left w:val="nil"/>
              <w:bottom w:val="single" w:sz="4" w:space="0" w:color="auto"/>
              <w:right w:val="nil"/>
            </w:tcBorders>
            <w:shd w:val="clear" w:color="auto" w:fill="auto"/>
            <w:noWrap/>
            <w:vAlign w:val="bottom"/>
          </w:tcPr>
          <w:p w14:paraId="13256868" w14:textId="77777777" w:rsidR="000020B9" w:rsidRPr="00E45B5B" w:rsidRDefault="000020B9" w:rsidP="00EF25E1">
            <w:pPr>
              <w:jc w:val="center"/>
              <w:rPr>
                <w:color w:val="000000"/>
                <w:sz w:val="20"/>
                <w:szCs w:val="20"/>
              </w:rPr>
            </w:pPr>
            <w:r w:rsidRPr="00E45B5B">
              <w:rPr>
                <w:color w:val="000000"/>
                <w:sz w:val="20"/>
                <w:szCs w:val="20"/>
              </w:rPr>
              <w:t>1,988</w:t>
            </w:r>
          </w:p>
        </w:tc>
        <w:tc>
          <w:tcPr>
            <w:tcW w:w="1691" w:type="dxa"/>
            <w:tcBorders>
              <w:top w:val="double" w:sz="6" w:space="0" w:color="auto"/>
              <w:left w:val="nil"/>
              <w:bottom w:val="single" w:sz="4" w:space="0" w:color="auto"/>
              <w:right w:val="nil"/>
            </w:tcBorders>
            <w:shd w:val="clear" w:color="auto" w:fill="auto"/>
            <w:noWrap/>
            <w:vAlign w:val="bottom"/>
          </w:tcPr>
          <w:p w14:paraId="1D231C93" w14:textId="77777777" w:rsidR="000020B9" w:rsidRPr="00E45B5B" w:rsidRDefault="000020B9" w:rsidP="00EF25E1">
            <w:pPr>
              <w:jc w:val="center"/>
              <w:rPr>
                <w:color w:val="000000"/>
                <w:sz w:val="20"/>
                <w:szCs w:val="20"/>
              </w:rPr>
            </w:pPr>
            <w:r w:rsidRPr="00E45B5B">
              <w:rPr>
                <w:color w:val="000000"/>
                <w:sz w:val="20"/>
                <w:szCs w:val="20"/>
              </w:rPr>
              <w:t>1,988</w:t>
            </w:r>
          </w:p>
        </w:tc>
        <w:tc>
          <w:tcPr>
            <w:tcW w:w="1307" w:type="dxa"/>
            <w:tcBorders>
              <w:top w:val="double" w:sz="6" w:space="0" w:color="auto"/>
              <w:left w:val="nil"/>
              <w:bottom w:val="single" w:sz="4" w:space="0" w:color="auto"/>
              <w:right w:val="nil"/>
            </w:tcBorders>
            <w:shd w:val="clear" w:color="auto" w:fill="auto"/>
            <w:noWrap/>
            <w:vAlign w:val="bottom"/>
          </w:tcPr>
          <w:p w14:paraId="670BEF1E" w14:textId="77777777" w:rsidR="000020B9" w:rsidRPr="00E45B5B" w:rsidRDefault="000020B9" w:rsidP="00EF25E1">
            <w:pPr>
              <w:jc w:val="center"/>
              <w:rPr>
                <w:color w:val="000000"/>
                <w:sz w:val="20"/>
                <w:szCs w:val="20"/>
              </w:rPr>
            </w:pPr>
            <w:r w:rsidRPr="00E45B5B">
              <w:rPr>
                <w:color w:val="000000"/>
                <w:sz w:val="20"/>
                <w:szCs w:val="20"/>
              </w:rPr>
              <w:t>1,988</w:t>
            </w:r>
          </w:p>
        </w:tc>
      </w:tr>
      <w:tr w:rsidR="000020B9" w:rsidRPr="00E45B5B" w14:paraId="3465DA68" w14:textId="77777777" w:rsidTr="00EF25E1">
        <w:trPr>
          <w:trHeight w:val="315"/>
        </w:trPr>
        <w:tc>
          <w:tcPr>
            <w:tcW w:w="5156" w:type="dxa"/>
            <w:tcBorders>
              <w:top w:val="single" w:sz="4" w:space="0" w:color="auto"/>
              <w:left w:val="nil"/>
              <w:bottom w:val="double" w:sz="6" w:space="0" w:color="auto"/>
              <w:right w:val="nil"/>
            </w:tcBorders>
            <w:shd w:val="clear" w:color="auto" w:fill="auto"/>
            <w:noWrap/>
            <w:vAlign w:val="bottom"/>
          </w:tcPr>
          <w:p w14:paraId="10C17083" w14:textId="77777777" w:rsidR="000020B9" w:rsidRPr="00E45B5B" w:rsidRDefault="000020B9" w:rsidP="00EF25E1">
            <w:pPr>
              <w:rPr>
                <w:color w:val="000000"/>
                <w:sz w:val="20"/>
                <w:szCs w:val="20"/>
              </w:rPr>
            </w:pPr>
            <w:r w:rsidRPr="00E45B5B">
              <w:rPr>
                <w:color w:val="000000"/>
                <w:sz w:val="20"/>
                <w:szCs w:val="20"/>
              </w:rPr>
              <w:t>R-Square</w:t>
            </w:r>
          </w:p>
        </w:tc>
        <w:tc>
          <w:tcPr>
            <w:tcW w:w="1273" w:type="dxa"/>
            <w:tcBorders>
              <w:top w:val="single" w:sz="4" w:space="0" w:color="auto"/>
              <w:left w:val="nil"/>
              <w:bottom w:val="double" w:sz="6" w:space="0" w:color="auto"/>
              <w:right w:val="nil"/>
            </w:tcBorders>
            <w:shd w:val="clear" w:color="auto" w:fill="auto"/>
            <w:noWrap/>
            <w:vAlign w:val="bottom"/>
          </w:tcPr>
          <w:p w14:paraId="6805FC4C" w14:textId="77777777" w:rsidR="000020B9" w:rsidRPr="00E45B5B" w:rsidRDefault="000020B9" w:rsidP="00EF25E1">
            <w:pPr>
              <w:jc w:val="center"/>
              <w:rPr>
                <w:color w:val="000000"/>
                <w:sz w:val="20"/>
                <w:szCs w:val="20"/>
              </w:rPr>
            </w:pPr>
            <w:r w:rsidRPr="00E45B5B">
              <w:rPr>
                <w:color w:val="000000"/>
                <w:sz w:val="20"/>
                <w:szCs w:val="20"/>
              </w:rPr>
              <w:t xml:space="preserve">0.361   </w:t>
            </w:r>
          </w:p>
        </w:tc>
        <w:tc>
          <w:tcPr>
            <w:tcW w:w="1247" w:type="dxa"/>
            <w:tcBorders>
              <w:top w:val="single" w:sz="4" w:space="0" w:color="auto"/>
              <w:left w:val="nil"/>
              <w:bottom w:val="double" w:sz="6" w:space="0" w:color="auto"/>
              <w:right w:val="nil"/>
            </w:tcBorders>
            <w:shd w:val="clear" w:color="auto" w:fill="auto"/>
            <w:noWrap/>
            <w:vAlign w:val="bottom"/>
          </w:tcPr>
          <w:p w14:paraId="48ACDDFB" w14:textId="77777777" w:rsidR="000020B9" w:rsidRPr="00E45B5B" w:rsidRDefault="000020B9" w:rsidP="00EF25E1">
            <w:pPr>
              <w:jc w:val="center"/>
              <w:rPr>
                <w:color w:val="000000"/>
                <w:sz w:val="20"/>
                <w:szCs w:val="20"/>
              </w:rPr>
            </w:pPr>
            <w:r w:rsidRPr="00E45B5B">
              <w:rPr>
                <w:color w:val="000000"/>
                <w:sz w:val="20"/>
                <w:szCs w:val="20"/>
              </w:rPr>
              <w:t xml:space="preserve">0.417   </w:t>
            </w:r>
          </w:p>
        </w:tc>
        <w:tc>
          <w:tcPr>
            <w:tcW w:w="1691" w:type="dxa"/>
            <w:tcBorders>
              <w:top w:val="single" w:sz="4" w:space="0" w:color="auto"/>
              <w:left w:val="nil"/>
              <w:bottom w:val="double" w:sz="6" w:space="0" w:color="auto"/>
              <w:right w:val="nil"/>
            </w:tcBorders>
            <w:shd w:val="clear" w:color="auto" w:fill="auto"/>
            <w:noWrap/>
            <w:vAlign w:val="bottom"/>
          </w:tcPr>
          <w:p w14:paraId="2ACCAF04" w14:textId="77777777" w:rsidR="000020B9" w:rsidRPr="00E45B5B" w:rsidRDefault="000020B9" w:rsidP="00EF25E1">
            <w:pPr>
              <w:jc w:val="center"/>
              <w:rPr>
                <w:color w:val="000000"/>
                <w:sz w:val="20"/>
                <w:szCs w:val="20"/>
              </w:rPr>
            </w:pPr>
            <w:r w:rsidRPr="00E45B5B">
              <w:rPr>
                <w:color w:val="000000"/>
                <w:sz w:val="20"/>
                <w:szCs w:val="20"/>
              </w:rPr>
              <w:t xml:space="preserve">0.417   </w:t>
            </w:r>
          </w:p>
        </w:tc>
        <w:tc>
          <w:tcPr>
            <w:tcW w:w="1307" w:type="dxa"/>
            <w:tcBorders>
              <w:top w:val="single" w:sz="4" w:space="0" w:color="auto"/>
              <w:left w:val="nil"/>
              <w:bottom w:val="double" w:sz="6" w:space="0" w:color="auto"/>
              <w:right w:val="nil"/>
            </w:tcBorders>
            <w:shd w:val="clear" w:color="auto" w:fill="auto"/>
            <w:noWrap/>
            <w:vAlign w:val="bottom"/>
          </w:tcPr>
          <w:p w14:paraId="0962F536" w14:textId="77777777" w:rsidR="000020B9" w:rsidRPr="00E45B5B" w:rsidRDefault="000020B9" w:rsidP="00EF25E1">
            <w:pPr>
              <w:jc w:val="center"/>
              <w:rPr>
                <w:color w:val="000000"/>
                <w:sz w:val="20"/>
                <w:szCs w:val="20"/>
              </w:rPr>
            </w:pPr>
            <w:r w:rsidRPr="00E45B5B">
              <w:rPr>
                <w:color w:val="000000"/>
                <w:sz w:val="20"/>
                <w:szCs w:val="20"/>
              </w:rPr>
              <w:t xml:space="preserve">0.417   </w:t>
            </w:r>
          </w:p>
        </w:tc>
      </w:tr>
      <w:tr w:rsidR="000020B9" w:rsidRPr="00E45B5B" w14:paraId="7C8AD416" w14:textId="77777777" w:rsidTr="00EF25E1">
        <w:trPr>
          <w:trHeight w:val="315"/>
        </w:trPr>
        <w:tc>
          <w:tcPr>
            <w:tcW w:w="5156" w:type="dxa"/>
            <w:tcBorders>
              <w:top w:val="nil"/>
              <w:left w:val="nil"/>
              <w:bottom w:val="nil"/>
              <w:right w:val="nil"/>
            </w:tcBorders>
            <w:shd w:val="clear" w:color="auto" w:fill="auto"/>
            <w:noWrap/>
            <w:vAlign w:val="bottom"/>
          </w:tcPr>
          <w:p w14:paraId="42788DB1" w14:textId="77777777" w:rsidR="000020B9" w:rsidRPr="00E45B5B" w:rsidRDefault="000020B9" w:rsidP="00EF25E1">
            <w:pPr>
              <w:rPr>
                <w:color w:val="000000"/>
                <w:sz w:val="20"/>
                <w:szCs w:val="20"/>
              </w:rPr>
            </w:pPr>
          </w:p>
        </w:tc>
        <w:tc>
          <w:tcPr>
            <w:tcW w:w="1273" w:type="dxa"/>
            <w:tcBorders>
              <w:top w:val="nil"/>
              <w:left w:val="nil"/>
              <w:bottom w:val="nil"/>
              <w:right w:val="nil"/>
            </w:tcBorders>
            <w:shd w:val="clear" w:color="auto" w:fill="auto"/>
            <w:noWrap/>
            <w:vAlign w:val="bottom"/>
          </w:tcPr>
          <w:p w14:paraId="25E084D6" w14:textId="77777777" w:rsidR="000020B9" w:rsidRPr="00E45B5B" w:rsidRDefault="000020B9" w:rsidP="00EF25E1">
            <w:pPr>
              <w:jc w:val="center"/>
              <w:rPr>
                <w:color w:val="000000"/>
                <w:sz w:val="20"/>
                <w:szCs w:val="20"/>
              </w:rPr>
            </w:pPr>
          </w:p>
        </w:tc>
        <w:tc>
          <w:tcPr>
            <w:tcW w:w="1247" w:type="dxa"/>
            <w:tcBorders>
              <w:top w:val="nil"/>
              <w:left w:val="nil"/>
              <w:bottom w:val="nil"/>
              <w:right w:val="nil"/>
            </w:tcBorders>
            <w:shd w:val="clear" w:color="auto" w:fill="auto"/>
            <w:noWrap/>
            <w:vAlign w:val="bottom"/>
          </w:tcPr>
          <w:p w14:paraId="3154CECC" w14:textId="77777777" w:rsidR="000020B9" w:rsidRPr="00E45B5B" w:rsidRDefault="000020B9" w:rsidP="00EF25E1">
            <w:pPr>
              <w:jc w:val="center"/>
              <w:rPr>
                <w:color w:val="000000"/>
                <w:sz w:val="20"/>
                <w:szCs w:val="20"/>
              </w:rPr>
            </w:pPr>
          </w:p>
        </w:tc>
        <w:tc>
          <w:tcPr>
            <w:tcW w:w="1691" w:type="dxa"/>
            <w:tcBorders>
              <w:top w:val="nil"/>
              <w:left w:val="nil"/>
              <w:bottom w:val="nil"/>
              <w:right w:val="nil"/>
            </w:tcBorders>
            <w:shd w:val="clear" w:color="auto" w:fill="auto"/>
            <w:noWrap/>
            <w:vAlign w:val="bottom"/>
          </w:tcPr>
          <w:p w14:paraId="1D8E45C6" w14:textId="77777777" w:rsidR="000020B9" w:rsidRPr="00E45B5B" w:rsidRDefault="000020B9" w:rsidP="00EF25E1">
            <w:pPr>
              <w:jc w:val="center"/>
              <w:rPr>
                <w:color w:val="000000"/>
                <w:sz w:val="20"/>
                <w:szCs w:val="20"/>
              </w:rPr>
            </w:pPr>
          </w:p>
        </w:tc>
        <w:tc>
          <w:tcPr>
            <w:tcW w:w="1307" w:type="dxa"/>
            <w:tcBorders>
              <w:top w:val="nil"/>
              <w:left w:val="nil"/>
              <w:bottom w:val="nil"/>
              <w:right w:val="nil"/>
            </w:tcBorders>
            <w:shd w:val="clear" w:color="auto" w:fill="auto"/>
            <w:noWrap/>
            <w:vAlign w:val="bottom"/>
          </w:tcPr>
          <w:p w14:paraId="7617725A" w14:textId="77777777" w:rsidR="000020B9" w:rsidRPr="00E45B5B" w:rsidRDefault="000020B9" w:rsidP="00EF25E1">
            <w:pPr>
              <w:jc w:val="center"/>
              <w:rPr>
                <w:color w:val="000000"/>
                <w:sz w:val="20"/>
                <w:szCs w:val="20"/>
              </w:rPr>
            </w:pPr>
          </w:p>
        </w:tc>
      </w:tr>
      <w:tr w:rsidR="000020B9" w:rsidRPr="00E45B5B" w14:paraId="4B113596" w14:textId="77777777" w:rsidTr="00EF25E1">
        <w:trPr>
          <w:trHeight w:val="315"/>
        </w:trPr>
        <w:tc>
          <w:tcPr>
            <w:tcW w:w="5156" w:type="dxa"/>
            <w:tcBorders>
              <w:top w:val="nil"/>
              <w:left w:val="nil"/>
              <w:bottom w:val="double" w:sz="6" w:space="0" w:color="auto"/>
              <w:right w:val="nil"/>
            </w:tcBorders>
            <w:shd w:val="clear" w:color="auto" w:fill="auto"/>
            <w:noWrap/>
            <w:vAlign w:val="bottom"/>
          </w:tcPr>
          <w:p w14:paraId="74F757AF" w14:textId="77777777" w:rsidR="000020B9" w:rsidRPr="00E45B5B" w:rsidRDefault="000020B9" w:rsidP="00EF25E1">
            <w:pPr>
              <w:rPr>
                <w:color w:val="000000"/>
                <w:sz w:val="20"/>
                <w:szCs w:val="20"/>
              </w:rPr>
            </w:pPr>
            <w:r w:rsidRPr="00E45B5B">
              <w:rPr>
                <w:color w:val="000000"/>
                <w:sz w:val="20"/>
                <w:szCs w:val="20"/>
              </w:rPr>
              <w:t>Fixed Effects</w:t>
            </w:r>
          </w:p>
        </w:tc>
        <w:tc>
          <w:tcPr>
            <w:tcW w:w="1273" w:type="dxa"/>
            <w:tcBorders>
              <w:top w:val="nil"/>
              <w:left w:val="nil"/>
              <w:bottom w:val="double" w:sz="6" w:space="0" w:color="auto"/>
              <w:right w:val="nil"/>
            </w:tcBorders>
            <w:shd w:val="clear" w:color="auto" w:fill="auto"/>
            <w:noWrap/>
            <w:vAlign w:val="bottom"/>
          </w:tcPr>
          <w:p w14:paraId="4FEBD2FA" w14:textId="77777777" w:rsidR="000020B9" w:rsidRPr="00E45B5B" w:rsidRDefault="000020B9" w:rsidP="00EF25E1">
            <w:pPr>
              <w:jc w:val="center"/>
              <w:rPr>
                <w:color w:val="000000"/>
                <w:sz w:val="20"/>
                <w:szCs w:val="20"/>
              </w:rPr>
            </w:pPr>
            <w:r w:rsidRPr="00E45B5B">
              <w:rPr>
                <w:color w:val="000000"/>
                <w:sz w:val="20"/>
                <w:szCs w:val="20"/>
              </w:rPr>
              <w:t> </w:t>
            </w:r>
          </w:p>
        </w:tc>
        <w:tc>
          <w:tcPr>
            <w:tcW w:w="1247" w:type="dxa"/>
            <w:tcBorders>
              <w:top w:val="nil"/>
              <w:left w:val="nil"/>
              <w:bottom w:val="double" w:sz="6" w:space="0" w:color="auto"/>
              <w:right w:val="nil"/>
            </w:tcBorders>
            <w:shd w:val="clear" w:color="auto" w:fill="auto"/>
            <w:noWrap/>
            <w:vAlign w:val="bottom"/>
          </w:tcPr>
          <w:p w14:paraId="2509AB25" w14:textId="77777777" w:rsidR="000020B9" w:rsidRPr="00E45B5B" w:rsidRDefault="000020B9" w:rsidP="00EF25E1">
            <w:pPr>
              <w:jc w:val="center"/>
              <w:rPr>
                <w:color w:val="000000"/>
                <w:sz w:val="20"/>
                <w:szCs w:val="20"/>
              </w:rPr>
            </w:pPr>
            <w:r w:rsidRPr="00E45B5B">
              <w:rPr>
                <w:color w:val="000000"/>
                <w:sz w:val="20"/>
                <w:szCs w:val="20"/>
              </w:rPr>
              <w:t> </w:t>
            </w:r>
          </w:p>
        </w:tc>
        <w:tc>
          <w:tcPr>
            <w:tcW w:w="1691" w:type="dxa"/>
            <w:tcBorders>
              <w:top w:val="nil"/>
              <w:left w:val="nil"/>
              <w:bottom w:val="double" w:sz="6" w:space="0" w:color="auto"/>
              <w:right w:val="nil"/>
            </w:tcBorders>
            <w:shd w:val="clear" w:color="auto" w:fill="auto"/>
            <w:noWrap/>
            <w:vAlign w:val="bottom"/>
          </w:tcPr>
          <w:p w14:paraId="7EF77A9C" w14:textId="77777777" w:rsidR="000020B9" w:rsidRPr="00E45B5B" w:rsidRDefault="000020B9" w:rsidP="00EF25E1">
            <w:pPr>
              <w:jc w:val="center"/>
              <w:rPr>
                <w:color w:val="000000"/>
                <w:sz w:val="20"/>
                <w:szCs w:val="20"/>
              </w:rPr>
            </w:pPr>
            <w:r w:rsidRPr="00E45B5B">
              <w:rPr>
                <w:color w:val="000000"/>
                <w:sz w:val="20"/>
                <w:szCs w:val="20"/>
              </w:rPr>
              <w:t> </w:t>
            </w:r>
          </w:p>
        </w:tc>
        <w:tc>
          <w:tcPr>
            <w:tcW w:w="1307" w:type="dxa"/>
            <w:tcBorders>
              <w:top w:val="nil"/>
              <w:left w:val="nil"/>
              <w:bottom w:val="double" w:sz="6" w:space="0" w:color="auto"/>
              <w:right w:val="nil"/>
            </w:tcBorders>
            <w:shd w:val="clear" w:color="auto" w:fill="auto"/>
            <w:noWrap/>
            <w:vAlign w:val="bottom"/>
          </w:tcPr>
          <w:p w14:paraId="7727C082" w14:textId="77777777" w:rsidR="000020B9" w:rsidRPr="00E45B5B" w:rsidRDefault="000020B9" w:rsidP="00EF25E1">
            <w:pPr>
              <w:jc w:val="center"/>
              <w:rPr>
                <w:color w:val="000000"/>
                <w:sz w:val="20"/>
                <w:szCs w:val="20"/>
              </w:rPr>
            </w:pPr>
            <w:r w:rsidRPr="00E45B5B">
              <w:rPr>
                <w:color w:val="000000"/>
                <w:sz w:val="20"/>
                <w:szCs w:val="20"/>
              </w:rPr>
              <w:t> </w:t>
            </w:r>
          </w:p>
        </w:tc>
      </w:tr>
      <w:tr w:rsidR="000020B9" w:rsidRPr="00E45B5B" w14:paraId="5104ECD9" w14:textId="77777777" w:rsidTr="00EF25E1">
        <w:trPr>
          <w:trHeight w:val="315"/>
        </w:trPr>
        <w:tc>
          <w:tcPr>
            <w:tcW w:w="5156" w:type="dxa"/>
            <w:tcBorders>
              <w:top w:val="nil"/>
              <w:left w:val="nil"/>
              <w:bottom w:val="nil"/>
              <w:right w:val="nil"/>
            </w:tcBorders>
            <w:shd w:val="clear" w:color="auto" w:fill="auto"/>
            <w:noWrap/>
            <w:vAlign w:val="bottom"/>
          </w:tcPr>
          <w:p w14:paraId="6E4186CB" w14:textId="77777777" w:rsidR="000020B9" w:rsidRPr="00E45B5B" w:rsidRDefault="000020B9" w:rsidP="00EF25E1">
            <w:pPr>
              <w:rPr>
                <w:color w:val="000000"/>
                <w:sz w:val="20"/>
                <w:szCs w:val="20"/>
              </w:rPr>
            </w:pPr>
            <w:r w:rsidRPr="00E45B5B">
              <w:rPr>
                <w:color w:val="000000"/>
                <w:sz w:val="20"/>
                <w:szCs w:val="20"/>
              </w:rPr>
              <w:t>BankFixed-Effect</w:t>
            </w:r>
          </w:p>
        </w:tc>
        <w:tc>
          <w:tcPr>
            <w:tcW w:w="1273" w:type="dxa"/>
            <w:tcBorders>
              <w:top w:val="nil"/>
              <w:left w:val="nil"/>
              <w:bottom w:val="nil"/>
              <w:right w:val="nil"/>
            </w:tcBorders>
            <w:shd w:val="clear" w:color="auto" w:fill="auto"/>
            <w:noWrap/>
            <w:vAlign w:val="bottom"/>
          </w:tcPr>
          <w:p w14:paraId="62DD08A3" w14:textId="77777777" w:rsidR="000020B9" w:rsidRPr="00E45B5B" w:rsidRDefault="000020B9" w:rsidP="00EF25E1">
            <w:pPr>
              <w:jc w:val="center"/>
              <w:rPr>
                <w:color w:val="000000"/>
                <w:sz w:val="20"/>
                <w:szCs w:val="20"/>
              </w:rPr>
            </w:pPr>
            <w:r w:rsidRPr="00E45B5B">
              <w:rPr>
                <w:color w:val="000000"/>
                <w:sz w:val="20"/>
                <w:szCs w:val="20"/>
              </w:rPr>
              <w:t>Yes</w:t>
            </w:r>
          </w:p>
        </w:tc>
        <w:tc>
          <w:tcPr>
            <w:tcW w:w="1247" w:type="dxa"/>
            <w:tcBorders>
              <w:top w:val="nil"/>
              <w:left w:val="nil"/>
              <w:bottom w:val="nil"/>
              <w:right w:val="nil"/>
            </w:tcBorders>
            <w:shd w:val="clear" w:color="auto" w:fill="auto"/>
            <w:noWrap/>
            <w:vAlign w:val="bottom"/>
          </w:tcPr>
          <w:p w14:paraId="54A14ED3" w14:textId="77777777" w:rsidR="000020B9" w:rsidRPr="00E45B5B" w:rsidRDefault="000020B9" w:rsidP="00EF25E1">
            <w:pPr>
              <w:jc w:val="center"/>
              <w:rPr>
                <w:color w:val="000000"/>
                <w:sz w:val="20"/>
                <w:szCs w:val="20"/>
              </w:rPr>
            </w:pPr>
            <w:r w:rsidRPr="00E45B5B">
              <w:rPr>
                <w:color w:val="000000"/>
                <w:sz w:val="20"/>
                <w:szCs w:val="20"/>
              </w:rPr>
              <w:t>Yes</w:t>
            </w:r>
          </w:p>
        </w:tc>
        <w:tc>
          <w:tcPr>
            <w:tcW w:w="1691" w:type="dxa"/>
            <w:tcBorders>
              <w:top w:val="nil"/>
              <w:left w:val="nil"/>
              <w:bottom w:val="nil"/>
              <w:right w:val="nil"/>
            </w:tcBorders>
            <w:shd w:val="clear" w:color="auto" w:fill="auto"/>
            <w:noWrap/>
            <w:vAlign w:val="bottom"/>
          </w:tcPr>
          <w:p w14:paraId="4B59C6EC" w14:textId="77777777" w:rsidR="000020B9" w:rsidRPr="00E45B5B" w:rsidRDefault="000020B9" w:rsidP="00EF25E1">
            <w:pPr>
              <w:jc w:val="center"/>
              <w:rPr>
                <w:color w:val="000000"/>
                <w:sz w:val="20"/>
                <w:szCs w:val="20"/>
              </w:rPr>
            </w:pPr>
            <w:r w:rsidRPr="00E45B5B">
              <w:rPr>
                <w:color w:val="000000"/>
                <w:sz w:val="20"/>
                <w:szCs w:val="20"/>
              </w:rPr>
              <w:t>Yes</w:t>
            </w:r>
          </w:p>
        </w:tc>
        <w:tc>
          <w:tcPr>
            <w:tcW w:w="1307" w:type="dxa"/>
            <w:tcBorders>
              <w:top w:val="nil"/>
              <w:left w:val="nil"/>
              <w:bottom w:val="nil"/>
              <w:right w:val="nil"/>
            </w:tcBorders>
            <w:shd w:val="clear" w:color="auto" w:fill="auto"/>
            <w:noWrap/>
            <w:vAlign w:val="bottom"/>
          </w:tcPr>
          <w:p w14:paraId="4E313682" w14:textId="77777777" w:rsidR="000020B9" w:rsidRPr="00E45B5B" w:rsidRDefault="000020B9" w:rsidP="00EF25E1">
            <w:pPr>
              <w:jc w:val="center"/>
              <w:rPr>
                <w:color w:val="000000"/>
                <w:sz w:val="20"/>
                <w:szCs w:val="20"/>
              </w:rPr>
            </w:pPr>
            <w:r w:rsidRPr="00E45B5B">
              <w:rPr>
                <w:color w:val="000000"/>
                <w:sz w:val="20"/>
                <w:szCs w:val="20"/>
              </w:rPr>
              <w:t>Yes</w:t>
            </w:r>
          </w:p>
        </w:tc>
      </w:tr>
      <w:tr w:rsidR="000020B9" w:rsidRPr="00E45B5B" w14:paraId="06E74817" w14:textId="77777777" w:rsidTr="00EF25E1">
        <w:trPr>
          <w:trHeight w:val="300"/>
        </w:trPr>
        <w:tc>
          <w:tcPr>
            <w:tcW w:w="5156" w:type="dxa"/>
            <w:tcBorders>
              <w:top w:val="nil"/>
              <w:left w:val="nil"/>
              <w:bottom w:val="nil"/>
              <w:right w:val="nil"/>
            </w:tcBorders>
            <w:shd w:val="clear" w:color="auto" w:fill="auto"/>
            <w:noWrap/>
            <w:vAlign w:val="bottom"/>
          </w:tcPr>
          <w:p w14:paraId="44FF0F95" w14:textId="77777777" w:rsidR="000020B9" w:rsidRPr="00E45B5B" w:rsidRDefault="000020B9" w:rsidP="00EF25E1">
            <w:pPr>
              <w:rPr>
                <w:color w:val="000000"/>
                <w:sz w:val="20"/>
                <w:szCs w:val="20"/>
              </w:rPr>
            </w:pPr>
            <w:r w:rsidRPr="00E45B5B">
              <w:rPr>
                <w:color w:val="000000"/>
                <w:sz w:val="20"/>
                <w:szCs w:val="20"/>
              </w:rPr>
              <w:t>Month Fixed-Effect</w:t>
            </w:r>
          </w:p>
        </w:tc>
        <w:tc>
          <w:tcPr>
            <w:tcW w:w="1273" w:type="dxa"/>
            <w:tcBorders>
              <w:top w:val="nil"/>
              <w:left w:val="nil"/>
              <w:bottom w:val="nil"/>
              <w:right w:val="nil"/>
            </w:tcBorders>
            <w:shd w:val="clear" w:color="auto" w:fill="auto"/>
            <w:noWrap/>
            <w:vAlign w:val="bottom"/>
          </w:tcPr>
          <w:p w14:paraId="08059D4D" w14:textId="77777777" w:rsidR="000020B9" w:rsidRPr="00E45B5B" w:rsidRDefault="000020B9" w:rsidP="00EF25E1">
            <w:pPr>
              <w:jc w:val="center"/>
              <w:rPr>
                <w:color w:val="000000"/>
                <w:sz w:val="20"/>
                <w:szCs w:val="20"/>
              </w:rPr>
            </w:pPr>
            <w:r w:rsidRPr="00E45B5B">
              <w:rPr>
                <w:color w:val="000000"/>
                <w:sz w:val="20"/>
                <w:szCs w:val="20"/>
              </w:rPr>
              <w:t>Yes</w:t>
            </w:r>
          </w:p>
        </w:tc>
        <w:tc>
          <w:tcPr>
            <w:tcW w:w="1247" w:type="dxa"/>
            <w:tcBorders>
              <w:top w:val="nil"/>
              <w:left w:val="nil"/>
              <w:bottom w:val="nil"/>
              <w:right w:val="nil"/>
            </w:tcBorders>
            <w:shd w:val="clear" w:color="auto" w:fill="auto"/>
            <w:noWrap/>
            <w:vAlign w:val="bottom"/>
          </w:tcPr>
          <w:p w14:paraId="5A70421A" w14:textId="77777777" w:rsidR="000020B9" w:rsidRPr="00E45B5B" w:rsidRDefault="000020B9" w:rsidP="00EF25E1">
            <w:pPr>
              <w:jc w:val="center"/>
              <w:rPr>
                <w:color w:val="000000"/>
                <w:sz w:val="20"/>
                <w:szCs w:val="20"/>
              </w:rPr>
            </w:pPr>
            <w:r w:rsidRPr="00E45B5B">
              <w:rPr>
                <w:color w:val="000000"/>
                <w:sz w:val="20"/>
                <w:szCs w:val="20"/>
              </w:rPr>
              <w:t>Yes</w:t>
            </w:r>
          </w:p>
        </w:tc>
        <w:tc>
          <w:tcPr>
            <w:tcW w:w="1691" w:type="dxa"/>
            <w:tcBorders>
              <w:top w:val="nil"/>
              <w:left w:val="nil"/>
              <w:bottom w:val="nil"/>
              <w:right w:val="nil"/>
            </w:tcBorders>
            <w:shd w:val="clear" w:color="auto" w:fill="auto"/>
            <w:noWrap/>
            <w:vAlign w:val="bottom"/>
          </w:tcPr>
          <w:p w14:paraId="1FA4C2F4" w14:textId="77777777" w:rsidR="000020B9" w:rsidRPr="00E45B5B" w:rsidRDefault="000020B9" w:rsidP="00EF25E1">
            <w:pPr>
              <w:jc w:val="center"/>
              <w:rPr>
                <w:color w:val="000000"/>
                <w:sz w:val="20"/>
                <w:szCs w:val="20"/>
              </w:rPr>
            </w:pPr>
            <w:r w:rsidRPr="00E45B5B">
              <w:rPr>
                <w:color w:val="000000"/>
                <w:sz w:val="20"/>
                <w:szCs w:val="20"/>
              </w:rPr>
              <w:t>Yes</w:t>
            </w:r>
          </w:p>
        </w:tc>
        <w:tc>
          <w:tcPr>
            <w:tcW w:w="1307" w:type="dxa"/>
            <w:tcBorders>
              <w:top w:val="nil"/>
              <w:left w:val="nil"/>
              <w:bottom w:val="nil"/>
              <w:right w:val="nil"/>
            </w:tcBorders>
            <w:shd w:val="clear" w:color="auto" w:fill="auto"/>
            <w:noWrap/>
            <w:vAlign w:val="bottom"/>
          </w:tcPr>
          <w:p w14:paraId="0ED7C683" w14:textId="77777777" w:rsidR="000020B9" w:rsidRPr="00E45B5B" w:rsidRDefault="000020B9" w:rsidP="00EF25E1">
            <w:pPr>
              <w:jc w:val="center"/>
              <w:rPr>
                <w:color w:val="000000"/>
                <w:sz w:val="20"/>
                <w:szCs w:val="20"/>
              </w:rPr>
            </w:pPr>
            <w:r w:rsidRPr="00E45B5B">
              <w:rPr>
                <w:color w:val="000000"/>
                <w:sz w:val="20"/>
                <w:szCs w:val="20"/>
              </w:rPr>
              <w:t>Yes</w:t>
            </w:r>
          </w:p>
        </w:tc>
      </w:tr>
      <w:tr w:rsidR="000020B9" w:rsidRPr="00E45B5B" w14:paraId="5929AF41" w14:textId="77777777" w:rsidTr="00EF25E1">
        <w:trPr>
          <w:trHeight w:val="315"/>
        </w:trPr>
        <w:tc>
          <w:tcPr>
            <w:tcW w:w="5156" w:type="dxa"/>
            <w:tcBorders>
              <w:top w:val="nil"/>
              <w:left w:val="nil"/>
              <w:bottom w:val="double" w:sz="6" w:space="0" w:color="auto"/>
              <w:right w:val="nil"/>
            </w:tcBorders>
            <w:shd w:val="clear" w:color="auto" w:fill="auto"/>
            <w:noWrap/>
            <w:vAlign w:val="bottom"/>
          </w:tcPr>
          <w:p w14:paraId="71C54C2E" w14:textId="77777777" w:rsidR="000020B9" w:rsidRPr="00E45B5B" w:rsidRDefault="000020B9" w:rsidP="00EF25E1">
            <w:pPr>
              <w:rPr>
                <w:color w:val="000000"/>
                <w:sz w:val="20"/>
                <w:szCs w:val="20"/>
              </w:rPr>
            </w:pPr>
            <w:r w:rsidRPr="00E45B5B">
              <w:rPr>
                <w:color w:val="000000"/>
                <w:sz w:val="20"/>
                <w:szCs w:val="20"/>
              </w:rPr>
              <w:t>Year Fixed-Effect</w:t>
            </w:r>
          </w:p>
        </w:tc>
        <w:tc>
          <w:tcPr>
            <w:tcW w:w="1273" w:type="dxa"/>
            <w:tcBorders>
              <w:top w:val="nil"/>
              <w:left w:val="nil"/>
              <w:bottom w:val="double" w:sz="6" w:space="0" w:color="auto"/>
              <w:right w:val="nil"/>
            </w:tcBorders>
            <w:shd w:val="clear" w:color="auto" w:fill="auto"/>
            <w:noWrap/>
            <w:vAlign w:val="bottom"/>
          </w:tcPr>
          <w:p w14:paraId="390878E6" w14:textId="77777777" w:rsidR="000020B9" w:rsidRPr="00E45B5B" w:rsidRDefault="000020B9" w:rsidP="00EF25E1">
            <w:pPr>
              <w:jc w:val="center"/>
              <w:rPr>
                <w:color w:val="000000"/>
                <w:sz w:val="20"/>
                <w:szCs w:val="20"/>
              </w:rPr>
            </w:pPr>
            <w:r w:rsidRPr="00E45B5B">
              <w:rPr>
                <w:color w:val="000000"/>
                <w:sz w:val="20"/>
                <w:szCs w:val="20"/>
              </w:rPr>
              <w:t>Yes</w:t>
            </w:r>
          </w:p>
        </w:tc>
        <w:tc>
          <w:tcPr>
            <w:tcW w:w="1247" w:type="dxa"/>
            <w:tcBorders>
              <w:top w:val="nil"/>
              <w:left w:val="nil"/>
              <w:bottom w:val="double" w:sz="6" w:space="0" w:color="auto"/>
              <w:right w:val="nil"/>
            </w:tcBorders>
            <w:shd w:val="clear" w:color="auto" w:fill="auto"/>
            <w:noWrap/>
            <w:vAlign w:val="bottom"/>
          </w:tcPr>
          <w:p w14:paraId="1512D085" w14:textId="77777777" w:rsidR="000020B9" w:rsidRPr="00E45B5B" w:rsidRDefault="000020B9" w:rsidP="00EF25E1">
            <w:pPr>
              <w:jc w:val="center"/>
              <w:rPr>
                <w:color w:val="000000"/>
                <w:sz w:val="20"/>
                <w:szCs w:val="20"/>
              </w:rPr>
            </w:pPr>
            <w:r w:rsidRPr="00E45B5B">
              <w:rPr>
                <w:color w:val="000000"/>
                <w:sz w:val="20"/>
                <w:szCs w:val="20"/>
              </w:rPr>
              <w:t>Yes</w:t>
            </w:r>
          </w:p>
        </w:tc>
        <w:tc>
          <w:tcPr>
            <w:tcW w:w="1691" w:type="dxa"/>
            <w:tcBorders>
              <w:top w:val="nil"/>
              <w:left w:val="nil"/>
              <w:bottom w:val="double" w:sz="6" w:space="0" w:color="auto"/>
              <w:right w:val="nil"/>
            </w:tcBorders>
            <w:shd w:val="clear" w:color="auto" w:fill="auto"/>
            <w:noWrap/>
            <w:vAlign w:val="bottom"/>
          </w:tcPr>
          <w:p w14:paraId="0DD6444E" w14:textId="77777777" w:rsidR="000020B9" w:rsidRPr="00E45B5B" w:rsidRDefault="000020B9" w:rsidP="00EF25E1">
            <w:pPr>
              <w:jc w:val="center"/>
              <w:rPr>
                <w:color w:val="000000"/>
                <w:sz w:val="20"/>
                <w:szCs w:val="20"/>
              </w:rPr>
            </w:pPr>
            <w:r w:rsidRPr="00E45B5B">
              <w:rPr>
                <w:color w:val="000000"/>
                <w:sz w:val="20"/>
                <w:szCs w:val="20"/>
              </w:rPr>
              <w:t>Yes</w:t>
            </w:r>
          </w:p>
        </w:tc>
        <w:tc>
          <w:tcPr>
            <w:tcW w:w="1307" w:type="dxa"/>
            <w:tcBorders>
              <w:top w:val="nil"/>
              <w:left w:val="nil"/>
              <w:bottom w:val="double" w:sz="6" w:space="0" w:color="auto"/>
              <w:right w:val="nil"/>
            </w:tcBorders>
            <w:shd w:val="clear" w:color="auto" w:fill="auto"/>
            <w:noWrap/>
            <w:vAlign w:val="bottom"/>
          </w:tcPr>
          <w:p w14:paraId="70070A79" w14:textId="77777777" w:rsidR="000020B9" w:rsidRPr="00E45B5B" w:rsidRDefault="000020B9" w:rsidP="00EF25E1">
            <w:pPr>
              <w:jc w:val="center"/>
              <w:rPr>
                <w:color w:val="000000"/>
                <w:sz w:val="20"/>
                <w:szCs w:val="20"/>
              </w:rPr>
            </w:pPr>
            <w:r w:rsidRPr="00E45B5B">
              <w:rPr>
                <w:color w:val="000000"/>
                <w:sz w:val="20"/>
                <w:szCs w:val="20"/>
              </w:rPr>
              <w:t>Yes</w:t>
            </w:r>
          </w:p>
        </w:tc>
      </w:tr>
      <w:tr w:rsidR="000020B9" w:rsidRPr="00E45B5B" w14:paraId="6A7FC010" w14:textId="77777777" w:rsidTr="00EF25E1">
        <w:trPr>
          <w:trHeight w:val="315"/>
        </w:trPr>
        <w:tc>
          <w:tcPr>
            <w:tcW w:w="6429" w:type="dxa"/>
            <w:gridSpan w:val="2"/>
            <w:tcBorders>
              <w:top w:val="nil"/>
              <w:left w:val="nil"/>
              <w:bottom w:val="nil"/>
              <w:right w:val="nil"/>
            </w:tcBorders>
            <w:shd w:val="clear" w:color="auto" w:fill="auto"/>
            <w:noWrap/>
            <w:vAlign w:val="bottom"/>
          </w:tcPr>
          <w:p w14:paraId="2F352EA6" w14:textId="77777777" w:rsidR="000020B9" w:rsidRPr="00E45B5B" w:rsidRDefault="000020B9" w:rsidP="00EF25E1">
            <w:pPr>
              <w:rPr>
                <w:color w:val="000000"/>
                <w:sz w:val="20"/>
                <w:szCs w:val="20"/>
                <w:lang w:val="en-US"/>
              </w:rPr>
            </w:pPr>
            <w:r w:rsidRPr="00E45B5B">
              <w:rPr>
                <w:color w:val="000000"/>
                <w:sz w:val="20"/>
                <w:szCs w:val="20"/>
                <w:lang w:val="en-US"/>
              </w:rPr>
              <w:t>Robust standard errors in parenthesis.</w:t>
            </w:r>
          </w:p>
        </w:tc>
        <w:tc>
          <w:tcPr>
            <w:tcW w:w="1247" w:type="dxa"/>
            <w:tcBorders>
              <w:top w:val="nil"/>
              <w:left w:val="nil"/>
              <w:bottom w:val="nil"/>
              <w:right w:val="nil"/>
            </w:tcBorders>
            <w:shd w:val="clear" w:color="auto" w:fill="auto"/>
            <w:noWrap/>
            <w:vAlign w:val="bottom"/>
          </w:tcPr>
          <w:p w14:paraId="264B6E92" w14:textId="77777777" w:rsidR="000020B9" w:rsidRPr="00E45B5B" w:rsidRDefault="000020B9" w:rsidP="00EF25E1">
            <w:pPr>
              <w:jc w:val="center"/>
              <w:rPr>
                <w:color w:val="000000"/>
                <w:sz w:val="20"/>
                <w:szCs w:val="20"/>
                <w:lang w:val="en-US"/>
              </w:rPr>
            </w:pPr>
          </w:p>
        </w:tc>
        <w:tc>
          <w:tcPr>
            <w:tcW w:w="1691" w:type="dxa"/>
            <w:tcBorders>
              <w:top w:val="nil"/>
              <w:left w:val="nil"/>
              <w:bottom w:val="nil"/>
              <w:right w:val="nil"/>
            </w:tcBorders>
            <w:shd w:val="clear" w:color="auto" w:fill="auto"/>
            <w:noWrap/>
            <w:vAlign w:val="bottom"/>
          </w:tcPr>
          <w:p w14:paraId="36DDAFD4" w14:textId="77777777" w:rsidR="000020B9" w:rsidRPr="00E45B5B" w:rsidRDefault="000020B9" w:rsidP="00EF25E1">
            <w:pPr>
              <w:jc w:val="center"/>
              <w:rPr>
                <w:color w:val="000000"/>
                <w:sz w:val="20"/>
                <w:szCs w:val="20"/>
                <w:lang w:val="en-US"/>
              </w:rPr>
            </w:pPr>
          </w:p>
        </w:tc>
        <w:tc>
          <w:tcPr>
            <w:tcW w:w="1307" w:type="dxa"/>
            <w:tcBorders>
              <w:top w:val="nil"/>
              <w:left w:val="nil"/>
              <w:bottom w:val="nil"/>
              <w:right w:val="nil"/>
            </w:tcBorders>
            <w:shd w:val="clear" w:color="auto" w:fill="auto"/>
            <w:noWrap/>
            <w:vAlign w:val="bottom"/>
          </w:tcPr>
          <w:p w14:paraId="71AF3B38" w14:textId="77777777" w:rsidR="000020B9" w:rsidRPr="00E45B5B" w:rsidRDefault="000020B9" w:rsidP="00EF25E1">
            <w:pPr>
              <w:jc w:val="center"/>
              <w:rPr>
                <w:color w:val="000000"/>
                <w:sz w:val="20"/>
                <w:szCs w:val="20"/>
                <w:lang w:val="en-US"/>
              </w:rPr>
            </w:pPr>
          </w:p>
        </w:tc>
      </w:tr>
      <w:tr w:rsidR="000020B9" w:rsidRPr="00E45B5B" w14:paraId="2D3F8BAB" w14:textId="77777777" w:rsidTr="00EF25E1">
        <w:trPr>
          <w:trHeight w:val="300"/>
        </w:trPr>
        <w:tc>
          <w:tcPr>
            <w:tcW w:w="5156" w:type="dxa"/>
            <w:tcBorders>
              <w:top w:val="nil"/>
              <w:left w:val="nil"/>
              <w:bottom w:val="nil"/>
              <w:right w:val="nil"/>
            </w:tcBorders>
            <w:shd w:val="clear" w:color="auto" w:fill="auto"/>
            <w:noWrap/>
            <w:vAlign w:val="bottom"/>
          </w:tcPr>
          <w:p w14:paraId="41F8153B" w14:textId="77777777" w:rsidR="000020B9" w:rsidRPr="00E45B5B" w:rsidRDefault="000020B9" w:rsidP="00EF25E1">
            <w:pPr>
              <w:rPr>
                <w:color w:val="000000"/>
                <w:sz w:val="20"/>
                <w:szCs w:val="20"/>
              </w:rPr>
            </w:pPr>
            <w:r w:rsidRPr="00E45B5B">
              <w:rPr>
                <w:color w:val="000000"/>
                <w:sz w:val="20"/>
                <w:szCs w:val="20"/>
              </w:rPr>
              <w:t>*p&lt;0.05, ** p&lt; 0.01, ***p&lt;0.001</w:t>
            </w:r>
          </w:p>
        </w:tc>
        <w:tc>
          <w:tcPr>
            <w:tcW w:w="1273" w:type="dxa"/>
            <w:tcBorders>
              <w:top w:val="nil"/>
              <w:left w:val="nil"/>
              <w:bottom w:val="nil"/>
              <w:right w:val="nil"/>
            </w:tcBorders>
            <w:shd w:val="clear" w:color="auto" w:fill="auto"/>
            <w:noWrap/>
            <w:vAlign w:val="bottom"/>
          </w:tcPr>
          <w:p w14:paraId="65535618" w14:textId="77777777" w:rsidR="000020B9" w:rsidRPr="00E45B5B" w:rsidRDefault="000020B9" w:rsidP="00EF25E1">
            <w:pPr>
              <w:rPr>
                <w:color w:val="000000"/>
                <w:sz w:val="20"/>
                <w:szCs w:val="20"/>
              </w:rPr>
            </w:pPr>
          </w:p>
        </w:tc>
        <w:tc>
          <w:tcPr>
            <w:tcW w:w="1247" w:type="dxa"/>
            <w:tcBorders>
              <w:top w:val="nil"/>
              <w:left w:val="nil"/>
              <w:bottom w:val="nil"/>
              <w:right w:val="nil"/>
            </w:tcBorders>
            <w:shd w:val="clear" w:color="auto" w:fill="auto"/>
            <w:noWrap/>
            <w:vAlign w:val="bottom"/>
          </w:tcPr>
          <w:p w14:paraId="491AB281" w14:textId="77777777" w:rsidR="000020B9" w:rsidRPr="00E45B5B" w:rsidRDefault="000020B9" w:rsidP="00EF25E1">
            <w:pPr>
              <w:rPr>
                <w:color w:val="000000"/>
                <w:sz w:val="20"/>
                <w:szCs w:val="20"/>
              </w:rPr>
            </w:pPr>
          </w:p>
        </w:tc>
        <w:tc>
          <w:tcPr>
            <w:tcW w:w="1691" w:type="dxa"/>
            <w:tcBorders>
              <w:top w:val="nil"/>
              <w:left w:val="nil"/>
              <w:bottom w:val="nil"/>
              <w:right w:val="nil"/>
            </w:tcBorders>
            <w:shd w:val="clear" w:color="auto" w:fill="auto"/>
            <w:noWrap/>
            <w:vAlign w:val="bottom"/>
          </w:tcPr>
          <w:p w14:paraId="203EEC43" w14:textId="77777777" w:rsidR="000020B9" w:rsidRPr="00E45B5B" w:rsidRDefault="000020B9" w:rsidP="00EF25E1">
            <w:pPr>
              <w:rPr>
                <w:color w:val="000000"/>
                <w:sz w:val="20"/>
                <w:szCs w:val="20"/>
              </w:rPr>
            </w:pPr>
          </w:p>
        </w:tc>
        <w:tc>
          <w:tcPr>
            <w:tcW w:w="1307" w:type="dxa"/>
            <w:tcBorders>
              <w:top w:val="nil"/>
              <w:left w:val="nil"/>
              <w:bottom w:val="nil"/>
              <w:right w:val="nil"/>
            </w:tcBorders>
            <w:shd w:val="clear" w:color="auto" w:fill="auto"/>
            <w:noWrap/>
            <w:vAlign w:val="bottom"/>
          </w:tcPr>
          <w:p w14:paraId="28FA814F" w14:textId="77777777" w:rsidR="000020B9" w:rsidRPr="00E45B5B" w:rsidRDefault="000020B9" w:rsidP="00EF25E1">
            <w:pPr>
              <w:rPr>
                <w:color w:val="000000"/>
                <w:sz w:val="20"/>
                <w:szCs w:val="20"/>
              </w:rPr>
            </w:pPr>
          </w:p>
        </w:tc>
      </w:tr>
    </w:tbl>
    <w:p w14:paraId="79DDDC09" w14:textId="77777777" w:rsidR="000020B9" w:rsidRDefault="000020B9" w:rsidP="000020B9">
      <w:r>
        <w:br w:type="page"/>
      </w:r>
    </w:p>
    <w:tbl>
      <w:tblPr>
        <w:tblW w:w="10717" w:type="dxa"/>
        <w:tblInd w:w="55" w:type="dxa"/>
        <w:tblCellMar>
          <w:left w:w="70" w:type="dxa"/>
          <w:right w:w="70" w:type="dxa"/>
        </w:tblCellMar>
        <w:tblLook w:val="04A0" w:firstRow="1" w:lastRow="0" w:firstColumn="1" w:lastColumn="0" w:noHBand="0" w:noVBand="1"/>
      </w:tblPr>
      <w:tblGrid>
        <w:gridCol w:w="5273"/>
        <w:gridCol w:w="1248"/>
        <w:gridCol w:w="1256"/>
        <w:gridCol w:w="1662"/>
        <w:gridCol w:w="1278"/>
      </w:tblGrid>
      <w:tr w:rsidR="000020B9" w:rsidRPr="00E45B5B" w14:paraId="63B45A23" w14:textId="77777777" w:rsidTr="00EF25E1">
        <w:trPr>
          <w:trHeight w:val="1305"/>
          <w:tblHeader/>
        </w:trPr>
        <w:tc>
          <w:tcPr>
            <w:tcW w:w="10717" w:type="dxa"/>
            <w:gridSpan w:val="5"/>
            <w:tcBorders>
              <w:top w:val="nil"/>
              <w:left w:val="nil"/>
              <w:right w:val="nil"/>
            </w:tcBorders>
            <w:shd w:val="clear" w:color="auto" w:fill="auto"/>
            <w:noWrap/>
            <w:vAlign w:val="bottom"/>
          </w:tcPr>
          <w:p w14:paraId="4F4F38F5" w14:textId="77777777" w:rsidR="000020B9" w:rsidRPr="00FD550E" w:rsidRDefault="000020B9" w:rsidP="00EF25E1">
            <w:pPr>
              <w:rPr>
                <w:b/>
                <w:color w:val="000000"/>
                <w:sz w:val="20"/>
                <w:szCs w:val="20"/>
                <w:lang w:val="en-US"/>
              </w:rPr>
            </w:pPr>
            <w:r w:rsidRPr="00FD550E">
              <w:rPr>
                <w:b/>
                <w:color w:val="000000"/>
                <w:sz w:val="20"/>
                <w:szCs w:val="20"/>
                <w:lang w:val="en-US"/>
              </w:rPr>
              <w:lastRenderedPageBreak/>
              <w:t xml:space="preserve">Table </w:t>
            </w:r>
            <w:r>
              <w:rPr>
                <w:b/>
                <w:color w:val="000000"/>
                <w:sz w:val="20"/>
                <w:szCs w:val="20"/>
                <w:lang w:val="en-US"/>
              </w:rPr>
              <w:t>9</w:t>
            </w:r>
          </w:p>
          <w:p w14:paraId="2D48FA3A" w14:textId="77777777" w:rsidR="000020B9" w:rsidRPr="00FD550E" w:rsidRDefault="000020B9" w:rsidP="00EF25E1">
            <w:pPr>
              <w:rPr>
                <w:b/>
                <w:color w:val="000000"/>
                <w:sz w:val="20"/>
                <w:szCs w:val="20"/>
                <w:lang w:val="en-US"/>
              </w:rPr>
            </w:pPr>
            <w:r w:rsidRPr="00FD550E">
              <w:rPr>
                <w:b/>
                <w:color w:val="000000"/>
                <w:sz w:val="20"/>
                <w:szCs w:val="20"/>
                <w:lang w:val="en-US"/>
              </w:rPr>
              <w:t>In all columns below the dependent variable is the natural logarithm of the financial revenue. The unit price paid by the public body is deflated by the monthly official price index (IPCA=1 in 2001</w:t>
            </w:r>
            <w:r>
              <w:rPr>
                <w:b/>
                <w:color w:val="000000"/>
                <w:sz w:val="20"/>
                <w:szCs w:val="20"/>
                <w:lang w:val="en-US"/>
              </w:rPr>
              <w:t>Q1</w:t>
            </w:r>
            <w:r w:rsidRPr="00FD550E">
              <w:rPr>
                <w:b/>
                <w:color w:val="000000"/>
                <w:sz w:val="20"/>
                <w:szCs w:val="20"/>
                <w:lang w:val="en-US"/>
              </w:rPr>
              <w:t>). The Banks supplying Classic and only financial products are exclude from those regressions in this table.</w:t>
            </w:r>
          </w:p>
        </w:tc>
      </w:tr>
      <w:tr w:rsidR="000020B9" w:rsidRPr="00E45B5B" w14:paraId="35B336DD" w14:textId="77777777" w:rsidTr="00EF25E1">
        <w:trPr>
          <w:trHeight w:val="330"/>
          <w:tblHeader/>
        </w:trPr>
        <w:tc>
          <w:tcPr>
            <w:tcW w:w="10717" w:type="dxa"/>
            <w:gridSpan w:val="5"/>
            <w:tcBorders>
              <w:top w:val="nil"/>
              <w:left w:val="nil"/>
              <w:bottom w:val="nil"/>
              <w:right w:val="nil"/>
            </w:tcBorders>
            <w:shd w:val="clear" w:color="auto" w:fill="auto"/>
            <w:noWrap/>
            <w:vAlign w:val="bottom"/>
          </w:tcPr>
          <w:p w14:paraId="18F2CD1B" w14:textId="77777777" w:rsidR="000020B9" w:rsidRPr="00FD550E" w:rsidRDefault="000020B9" w:rsidP="00EF25E1">
            <w:pPr>
              <w:rPr>
                <w:b/>
                <w:color w:val="000000"/>
                <w:sz w:val="20"/>
                <w:szCs w:val="20"/>
              </w:rPr>
            </w:pPr>
            <w:r w:rsidRPr="00FD550E">
              <w:rPr>
                <w:b/>
                <w:color w:val="000000"/>
                <w:sz w:val="20"/>
                <w:szCs w:val="20"/>
              </w:rPr>
              <w:t>Dependent Variable: ln(Revenue)</w:t>
            </w:r>
          </w:p>
        </w:tc>
      </w:tr>
      <w:tr w:rsidR="000020B9" w:rsidRPr="00E45B5B" w14:paraId="4F719470" w14:textId="77777777" w:rsidTr="00EF25E1">
        <w:trPr>
          <w:trHeight w:val="315"/>
          <w:tblHeader/>
        </w:trPr>
        <w:tc>
          <w:tcPr>
            <w:tcW w:w="5273" w:type="dxa"/>
            <w:tcBorders>
              <w:top w:val="double" w:sz="6" w:space="0" w:color="auto"/>
              <w:left w:val="nil"/>
              <w:bottom w:val="single" w:sz="4" w:space="0" w:color="auto"/>
              <w:right w:val="nil"/>
            </w:tcBorders>
            <w:shd w:val="clear" w:color="auto" w:fill="auto"/>
            <w:noWrap/>
            <w:vAlign w:val="bottom"/>
          </w:tcPr>
          <w:p w14:paraId="374C7CA6" w14:textId="77777777" w:rsidR="000020B9" w:rsidRPr="00E45B5B" w:rsidRDefault="000020B9" w:rsidP="00EF25E1">
            <w:pPr>
              <w:rPr>
                <w:color w:val="000000"/>
                <w:sz w:val="20"/>
                <w:szCs w:val="20"/>
              </w:rPr>
            </w:pPr>
            <w:r w:rsidRPr="00E45B5B">
              <w:rPr>
                <w:color w:val="000000"/>
                <w:sz w:val="20"/>
                <w:szCs w:val="20"/>
              </w:rPr>
              <w:t> </w:t>
            </w:r>
          </w:p>
        </w:tc>
        <w:tc>
          <w:tcPr>
            <w:tcW w:w="1248" w:type="dxa"/>
            <w:tcBorders>
              <w:top w:val="double" w:sz="6" w:space="0" w:color="auto"/>
              <w:left w:val="nil"/>
              <w:bottom w:val="single" w:sz="4" w:space="0" w:color="auto"/>
              <w:right w:val="nil"/>
            </w:tcBorders>
            <w:shd w:val="clear" w:color="auto" w:fill="auto"/>
            <w:noWrap/>
            <w:vAlign w:val="bottom"/>
          </w:tcPr>
          <w:p w14:paraId="0C56C745" w14:textId="77777777" w:rsidR="000020B9" w:rsidRPr="00E45B5B" w:rsidRDefault="000020B9" w:rsidP="00EF25E1">
            <w:pPr>
              <w:jc w:val="center"/>
              <w:rPr>
                <w:color w:val="000000"/>
                <w:sz w:val="20"/>
                <w:szCs w:val="20"/>
              </w:rPr>
            </w:pPr>
            <w:r w:rsidRPr="00E45B5B">
              <w:rPr>
                <w:color w:val="000000"/>
                <w:sz w:val="20"/>
                <w:szCs w:val="20"/>
              </w:rPr>
              <w:t xml:space="preserve">  (1)   </w:t>
            </w:r>
          </w:p>
        </w:tc>
        <w:tc>
          <w:tcPr>
            <w:tcW w:w="1256" w:type="dxa"/>
            <w:tcBorders>
              <w:top w:val="double" w:sz="6" w:space="0" w:color="auto"/>
              <w:left w:val="nil"/>
              <w:bottom w:val="single" w:sz="4" w:space="0" w:color="auto"/>
              <w:right w:val="nil"/>
            </w:tcBorders>
            <w:shd w:val="clear" w:color="auto" w:fill="auto"/>
            <w:noWrap/>
            <w:vAlign w:val="bottom"/>
          </w:tcPr>
          <w:p w14:paraId="7827692C" w14:textId="77777777" w:rsidR="000020B9" w:rsidRPr="00E45B5B" w:rsidRDefault="000020B9" w:rsidP="00EF25E1">
            <w:pPr>
              <w:jc w:val="center"/>
              <w:rPr>
                <w:color w:val="000000"/>
                <w:sz w:val="20"/>
                <w:szCs w:val="20"/>
              </w:rPr>
            </w:pPr>
            <w:r w:rsidRPr="00E45B5B">
              <w:rPr>
                <w:color w:val="000000"/>
                <w:sz w:val="20"/>
                <w:szCs w:val="20"/>
              </w:rPr>
              <w:t xml:space="preserve">  (2)   </w:t>
            </w:r>
          </w:p>
        </w:tc>
        <w:tc>
          <w:tcPr>
            <w:tcW w:w="1662" w:type="dxa"/>
            <w:tcBorders>
              <w:top w:val="double" w:sz="6" w:space="0" w:color="auto"/>
              <w:left w:val="nil"/>
              <w:bottom w:val="single" w:sz="4" w:space="0" w:color="auto"/>
              <w:right w:val="nil"/>
            </w:tcBorders>
            <w:shd w:val="clear" w:color="auto" w:fill="auto"/>
            <w:noWrap/>
            <w:vAlign w:val="bottom"/>
          </w:tcPr>
          <w:p w14:paraId="1AFAA54A" w14:textId="77777777" w:rsidR="000020B9" w:rsidRPr="00E45B5B" w:rsidRDefault="000020B9" w:rsidP="00EF25E1">
            <w:pPr>
              <w:jc w:val="center"/>
              <w:rPr>
                <w:color w:val="000000"/>
                <w:sz w:val="20"/>
                <w:szCs w:val="20"/>
              </w:rPr>
            </w:pPr>
            <w:r w:rsidRPr="00E45B5B">
              <w:rPr>
                <w:color w:val="000000"/>
                <w:sz w:val="20"/>
                <w:szCs w:val="20"/>
              </w:rPr>
              <w:t xml:space="preserve">  (3)   </w:t>
            </w:r>
          </w:p>
        </w:tc>
        <w:tc>
          <w:tcPr>
            <w:tcW w:w="1278" w:type="dxa"/>
            <w:tcBorders>
              <w:top w:val="double" w:sz="6" w:space="0" w:color="auto"/>
              <w:left w:val="nil"/>
              <w:bottom w:val="single" w:sz="4" w:space="0" w:color="auto"/>
              <w:right w:val="nil"/>
            </w:tcBorders>
            <w:shd w:val="clear" w:color="auto" w:fill="auto"/>
            <w:noWrap/>
            <w:vAlign w:val="bottom"/>
          </w:tcPr>
          <w:p w14:paraId="1CA3B55E" w14:textId="77777777" w:rsidR="000020B9" w:rsidRPr="00E45B5B" w:rsidRDefault="000020B9" w:rsidP="00EF25E1">
            <w:pPr>
              <w:jc w:val="center"/>
              <w:rPr>
                <w:color w:val="000000"/>
                <w:sz w:val="20"/>
                <w:szCs w:val="20"/>
              </w:rPr>
            </w:pPr>
            <w:r w:rsidRPr="00E45B5B">
              <w:rPr>
                <w:color w:val="000000"/>
                <w:sz w:val="20"/>
                <w:szCs w:val="20"/>
              </w:rPr>
              <w:t xml:space="preserve">  (4)   </w:t>
            </w:r>
          </w:p>
        </w:tc>
      </w:tr>
      <w:tr w:rsidR="000020B9" w:rsidRPr="00E45B5B" w14:paraId="2F49E61B" w14:textId="77777777" w:rsidTr="00EF25E1">
        <w:trPr>
          <w:trHeight w:val="300"/>
        </w:trPr>
        <w:tc>
          <w:tcPr>
            <w:tcW w:w="5273" w:type="dxa"/>
            <w:tcBorders>
              <w:top w:val="nil"/>
              <w:left w:val="nil"/>
              <w:bottom w:val="nil"/>
              <w:right w:val="nil"/>
            </w:tcBorders>
            <w:shd w:val="clear" w:color="auto" w:fill="auto"/>
            <w:noWrap/>
            <w:vAlign w:val="bottom"/>
          </w:tcPr>
          <w:p w14:paraId="53587CDB" w14:textId="77777777" w:rsidR="000020B9" w:rsidRPr="00E45B5B" w:rsidRDefault="000020B9" w:rsidP="00EF25E1">
            <w:pPr>
              <w:rPr>
                <w:color w:val="000000"/>
                <w:sz w:val="20"/>
                <w:szCs w:val="20"/>
              </w:rPr>
            </w:pPr>
            <w:r w:rsidRPr="00E45B5B">
              <w:rPr>
                <w:color w:val="000000"/>
                <w:sz w:val="20"/>
                <w:szCs w:val="20"/>
              </w:rPr>
              <w:t>ln (wage)</w:t>
            </w:r>
          </w:p>
        </w:tc>
        <w:tc>
          <w:tcPr>
            <w:tcW w:w="1248" w:type="dxa"/>
            <w:tcBorders>
              <w:top w:val="nil"/>
              <w:left w:val="nil"/>
              <w:bottom w:val="nil"/>
              <w:right w:val="nil"/>
            </w:tcBorders>
            <w:shd w:val="clear" w:color="auto" w:fill="auto"/>
            <w:noWrap/>
            <w:vAlign w:val="bottom"/>
          </w:tcPr>
          <w:p w14:paraId="04BAB42E" w14:textId="77777777" w:rsidR="000020B9" w:rsidRPr="00E45B5B" w:rsidRDefault="000020B9" w:rsidP="00EF25E1">
            <w:pPr>
              <w:jc w:val="center"/>
              <w:rPr>
                <w:color w:val="000000"/>
                <w:sz w:val="20"/>
                <w:szCs w:val="20"/>
              </w:rPr>
            </w:pPr>
            <w:r w:rsidRPr="00E45B5B">
              <w:rPr>
                <w:color w:val="000000"/>
                <w:sz w:val="20"/>
                <w:szCs w:val="20"/>
              </w:rPr>
              <w:t xml:space="preserve">-0.197   </w:t>
            </w:r>
          </w:p>
        </w:tc>
        <w:tc>
          <w:tcPr>
            <w:tcW w:w="1256" w:type="dxa"/>
            <w:tcBorders>
              <w:top w:val="nil"/>
              <w:left w:val="nil"/>
              <w:bottom w:val="nil"/>
              <w:right w:val="nil"/>
            </w:tcBorders>
            <w:shd w:val="clear" w:color="auto" w:fill="auto"/>
            <w:noWrap/>
            <w:vAlign w:val="bottom"/>
          </w:tcPr>
          <w:p w14:paraId="099EFB4B" w14:textId="77777777" w:rsidR="000020B9" w:rsidRPr="00E45B5B" w:rsidRDefault="000020B9" w:rsidP="00EF25E1">
            <w:pPr>
              <w:jc w:val="center"/>
              <w:rPr>
                <w:color w:val="000000"/>
                <w:sz w:val="20"/>
                <w:szCs w:val="20"/>
              </w:rPr>
            </w:pPr>
            <w:r w:rsidRPr="00E45B5B">
              <w:rPr>
                <w:color w:val="000000"/>
                <w:sz w:val="20"/>
                <w:szCs w:val="20"/>
              </w:rPr>
              <w:t xml:space="preserve">-0.200   </w:t>
            </w:r>
          </w:p>
        </w:tc>
        <w:tc>
          <w:tcPr>
            <w:tcW w:w="1662" w:type="dxa"/>
            <w:tcBorders>
              <w:top w:val="nil"/>
              <w:left w:val="nil"/>
              <w:bottom w:val="nil"/>
              <w:right w:val="nil"/>
            </w:tcBorders>
            <w:shd w:val="clear" w:color="auto" w:fill="auto"/>
            <w:noWrap/>
            <w:vAlign w:val="bottom"/>
          </w:tcPr>
          <w:p w14:paraId="331B10AA" w14:textId="77777777" w:rsidR="000020B9" w:rsidRPr="00E45B5B" w:rsidRDefault="000020B9" w:rsidP="00EF25E1">
            <w:pPr>
              <w:jc w:val="center"/>
              <w:rPr>
                <w:color w:val="000000"/>
                <w:sz w:val="20"/>
                <w:szCs w:val="20"/>
              </w:rPr>
            </w:pPr>
            <w:r w:rsidRPr="00E45B5B">
              <w:rPr>
                <w:color w:val="000000"/>
                <w:sz w:val="20"/>
                <w:szCs w:val="20"/>
              </w:rPr>
              <w:t xml:space="preserve">-0.198   </w:t>
            </w:r>
          </w:p>
        </w:tc>
        <w:tc>
          <w:tcPr>
            <w:tcW w:w="1278" w:type="dxa"/>
            <w:tcBorders>
              <w:top w:val="nil"/>
              <w:left w:val="nil"/>
              <w:bottom w:val="nil"/>
              <w:right w:val="nil"/>
            </w:tcBorders>
            <w:shd w:val="clear" w:color="auto" w:fill="auto"/>
            <w:noWrap/>
            <w:vAlign w:val="bottom"/>
          </w:tcPr>
          <w:p w14:paraId="305B07E0" w14:textId="77777777" w:rsidR="000020B9" w:rsidRPr="00E45B5B" w:rsidRDefault="000020B9" w:rsidP="00EF25E1">
            <w:pPr>
              <w:jc w:val="center"/>
              <w:rPr>
                <w:color w:val="000000"/>
                <w:sz w:val="20"/>
                <w:szCs w:val="20"/>
              </w:rPr>
            </w:pPr>
            <w:r w:rsidRPr="00E45B5B">
              <w:rPr>
                <w:color w:val="000000"/>
                <w:sz w:val="20"/>
                <w:szCs w:val="20"/>
              </w:rPr>
              <w:t xml:space="preserve">-0.198   </w:t>
            </w:r>
          </w:p>
        </w:tc>
      </w:tr>
      <w:tr w:rsidR="000020B9" w:rsidRPr="00E45B5B" w14:paraId="423E627C" w14:textId="77777777" w:rsidTr="00EF25E1">
        <w:trPr>
          <w:trHeight w:val="300"/>
        </w:trPr>
        <w:tc>
          <w:tcPr>
            <w:tcW w:w="5273" w:type="dxa"/>
            <w:tcBorders>
              <w:top w:val="nil"/>
              <w:left w:val="nil"/>
              <w:bottom w:val="nil"/>
              <w:right w:val="nil"/>
            </w:tcBorders>
            <w:shd w:val="clear" w:color="auto" w:fill="auto"/>
            <w:noWrap/>
          </w:tcPr>
          <w:p w14:paraId="410D6975" w14:textId="77777777" w:rsidR="000020B9" w:rsidRPr="00E45B5B" w:rsidRDefault="000020B9" w:rsidP="00EF25E1">
            <w:pPr>
              <w:rPr>
                <w:color w:val="000000"/>
                <w:sz w:val="20"/>
                <w:szCs w:val="20"/>
              </w:rPr>
            </w:pPr>
          </w:p>
        </w:tc>
        <w:tc>
          <w:tcPr>
            <w:tcW w:w="1248" w:type="dxa"/>
            <w:tcBorders>
              <w:top w:val="nil"/>
              <w:left w:val="nil"/>
              <w:bottom w:val="nil"/>
              <w:right w:val="nil"/>
            </w:tcBorders>
            <w:shd w:val="clear" w:color="auto" w:fill="auto"/>
            <w:noWrap/>
            <w:vAlign w:val="bottom"/>
          </w:tcPr>
          <w:p w14:paraId="3A938A91" w14:textId="77777777" w:rsidR="000020B9" w:rsidRPr="00E45B5B" w:rsidRDefault="000020B9" w:rsidP="00EF25E1">
            <w:pPr>
              <w:jc w:val="center"/>
              <w:rPr>
                <w:color w:val="000000"/>
                <w:sz w:val="20"/>
                <w:szCs w:val="20"/>
              </w:rPr>
            </w:pPr>
            <w:r w:rsidRPr="00E45B5B">
              <w:rPr>
                <w:color w:val="000000"/>
                <w:sz w:val="20"/>
                <w:szCs w:val="20"/>
              </w:rPr>
              <w:t xml:space="preserve">(0.123)   </w:t>
            </w:r>
          </w:p>
        </w:tc>
        <w:tc>
          <w:tcPr>
            <w:tcW w:w="1256" w:type="dxa"/>
            <w:tcBorders>
              <w:top w:val="nil"/>
              <w:left w:val="nil"/>
              <w:bottom w:val="nil"/>
              <w:right w:val="nil"/>
            </w:tcBorders>
            <w:shd w:val="clear" w:color="auto" w:fill="auto"/>
            <w:noWrap/>
            <w:vAlign w:val="bottom"/>
          </w:tcPr>
          <w:p w14:paraId="4937A714" w14:textId="77777777" w:rsidR="000020B9" w:rsidRPr="00E45B5B" w:rsidRDefault="000020B9" w:rsidP="00EF25E1">
            <w:pPr>
              <w:jc w:val="center"/>
              <w:rPr>
                <w:color w:val="000000"/>
                <w:sz w:val="20"/>
                <w:szCs w:val="20"/>
              </w:rPr>
            </w:pPr>
            <w:r w:rsidRPr="00E45B5B">
              <w:rPr>
                <w:color w:val="000000"/>
                <w:sz w:val="20"/>
                <w:szCs w:val="20"/>
              </w:rPr>
              <w:t xml:space="preserve">(0.122)   </w:t>
            </w:r>
          </w:p>
        </w:tc>
        <w:tc>
          <w:tcPr>
            <w:tcW w:w="1662" w:type="dxa"/>
            <w:tcBorders>
              <w:top w:val="nil"/>
              <w:left w:val="nil"/>
              <w:bottom w:val="nil"/>
              <w:right w:val="nil"/>
            </w:tcBorders>
            <w:shd w:val="clear" w:color="auto" w:fill="auto"/>
            <w:noWrap/>
            <w:vAlign w:val="bottom"/>
          </w:tcPr>
          <w:p w14:paraId="77119243" w14:textId="77777777" w:rsidR="000020B9" w:rsidRPr="00E45B5B" w:rsidRDefault="000020B9" w:rsidP="00EF25E1">
            <w:pPr>
              <w:jc w:val="center"/>
              <w:rPr>
                <w:color w:val="000000"/>
                <w:sz w:val="20"/>
                <w:szCs w:val="20"/>
              </w:rPr>
            </w:pPr>
            <w:r w:rsidRPr="00E45B5B">
              <w:rPr>
                <w:color w:val="000000"/>
                <w:sz w:val="20"/>
                <w:szCs w:val="20"/>
              </w:rPr>
              <w:t xml:space="preserve">(0.121)   </w:t>
            </w:r>
          </w:p>
        </w:tc>
        <w:tc>
          <w:tcPr>
            <w:tcW w:w="1278" w:type="dxa"/>
            <w:tcBorders>
              <w:top w:val="nil"/>
              <w:left w:val="nil"/>
              <w:bottom w:val="nil"/>
              <w:right w:val="nil"/>
            </w:tcBorders>
            <w:shd w:val="clear" w:color="auto" w:fill="auto"/>
            <w:noWrap/>
            <w:vAlign w:val="bottom"/>
          </w:tcPr>
          <w:p w14:paraId="78251909" w14:textId="77777777" w:rsidR="000020B9" w:rsidRPr="00E45B5B" w:rsidRDefault="000020B9" w:rsidP="00EF25E1">
            <w:pPr>
              <w:jc w:val="center"/>
              <w:rPr>
                <w:color w:val="000000"/>
                <w:sz w:val="20"/>
                <w:szCs w:val="20"/>
              </w:rPr>
            </w:pPr>
            <w:r w:rsidRPr="00E45B5B">
              <w:rPr>
                <w:color w:val="000000"/>
                <w:sz w:val="20"/>
                <w:szCs w:val="20"/>
              </w:rPr>
              <w:t xml:space="preserve">(0.122)   </w:t>
            </w:r>
          </w:p>
        </w:tc>
      </w:tr>
      <w:tr w:rsidR="000020B9" w:rsidRPr="00E45B5B" w14:paraId="1091FA7D" w14:textId="77777777" w:rsidTr="00EF25E1">
        <w:trPr>
          <w:trHeight w:val="300"/>
        </w:trPr>
        <w:tc>
          <w:tcPr>
            <w:tcW w:w="5273" w:type="dxa"/>
            <w:tcBorders>
              <w:top w:val="nil"/>
              <w:left w:val="nil"/>
              <w:bottom w:val="nil"/>
              <w:right w:val="nil"/>
            </w:tcBorders>
            <w:shd w:val="clear" w:color="auto" w:fill="auto"/>
            <w:noWrap/>
            <w:vAlign w:val="bottom"/>
          </w:tcPr>
          <w:p w14:paraId="6E54FE65" w14:textId="77777777" w:rsidR="000020B9" w:rsidRPr="00E45B5B" w:rsidRDefault="000020B9" w:rsidP="00EF25E1">
            <w:pPr>
              <w:rPr>
                <w:color w:val="000000"/>
                <w:sz w:val="20"/>
                <w:szCs w:val="20"/>
              </w:rPr>
            </w:pPr>
            <w:r w:rsidRPr="00E45B5B">
              <w:rPr>
                <w:color w:val="000000"/>
                <w:sz w:val="20"/>
                <w:szCs w:val="20"/>
              </w:rPr>
              <w:t>ln(cost of capital)</w:t>
            </w:r>
          </w:p>
        </w:tc>
        <w:tc>
          <w:tcPr>
            <w:tcW w:w="1248" w:type="dxa"/>
            <w:tcBorders>
              <w:top w:val="nil"/>
              <w:left w:val="nil"/>
              <w:bottom w:val="nil"/>
              <w:right w:val="nil"/>
            </w:tcBorders>
            <w:shd w:val="clear" w:color="auto" w:fill="auto"/>
            <w:noWrap/>
            <w:vAlign w:val="bottom"/>
          </w:tcPr>
          <w:p w14:paraId="4DB0503E" w14:textId="77777777" w:rsidR="000020B9" w:rsidRPr="00E45B5B" w:rsidRDefault="000020B9" w:rsidP="00EF25E1">
            <w:pPr>
              <w:jc w:val="center"/>
              <w:rPr>
                <w:color w:val="000000"/>
                <w:sz w:val="20"/>
                <w:szCs w:val="20"/>
              </w:rPr>
            </w:pPr>
            <w:r w:rsidRPr="00E45B5B">
              <w:rPr>
                <w:color w:val="000000"/>
                <w:sz w:val="20"/>
                <w:szCs w:val="20"/>
              </w:rPr>
              <w:t>0.333***</w:t>
            </w:r>
          </w:p>
        </w:tc>
        <w:tc>
          <w:tcPr>
            <w:tcW w:w="1256" w:type="dxa"/>
            <w:tcBorders>
              <w:top w:val="nil"/>
              <w:left w:val="nil"/>
              <w:bottom w:val="nil"/>
              <w:right w:val="nil"/>
            </w:tcBorders>
            <w:shd w:val="clear" w:color="auto" w:fill="auto"/>
            <w:noWrap/>
            <w:vAlign w:val="bottom"/>
          </w:tcPr>
          <w:p w14:paraId="00033591" w14:textId="77777777" w:rsidR="000020B9" w:rsidRPr="00E45B5B" w:rsidRDefault="000020B9" w:rsidP="00EF25E1">
            <w:pPr>
              <w:jc w:val="center"/>
              <w:rPr>
                <w:color w:val="000000"/>
                <w:sz w:val="20"/>
                <w:szCs w:val="20"/>
              </w:rPr>
            </w:pPr>
            <w:r w:rsidRPr="00E45B5B">
              <w:rPr>
                <w:color w:val="000000"/>
                <w:sz w:val="20"/>
                <w:szCs w:val="20"/>
              </w:rPr>
              <w:t>0.355***</w:t>
            </w:r>
          </w:p>
        </w:tc>
        <w:tc>
          <w:tcPr>
            <w:tcW w:w="1662" w:type="dxa"/>
            <w:tcBorders>
              <w:top w:val="nil"/>
              <w:left w:val="nil"/>
              <w:bottom w:val="nil"/>
              <w:right w:val="nil"/>
            </w:tcBorders>
            <w:shd w:val="clear" w:color="auto" w:fill="auto"/>
            <w:noWrap/>
            <w:vAlign w:val="bottom"/>
          </w:tcPr>
          <w:p w14:paraId="162AA364" w14:textId="77777777" w:rsidR="000020B9" w:rsidRPr="00E45B5B" w:rsidRDefault="000020B9" w:rsidP="00EF25E1">
            <w:pPr>
              <w:jc w:val="center"/>
              <w:rPr>
                <w:color w:val="000000"/>
                <w:sz w:val="20"/>
                <w:szCs w:val="20"/>
              </w:rPr>
            </w:pPr>
            <w:r w:rsidRPr="00E45B5B">
              <w:rPr>
                <w:color w:val="000000"/>
                <w:sz w:val="20"/>
                <w:szCs w:val="20"/>
              </w:rPr>
              <w:t>0.355***</w:t>
            </w:r>
          </w:p>
        </w:tc>
        <w:tc>
          <w:tcPr>
            <w:tcW w:w="1278" w:type="dxa"/>
            <w:tcBorders>
              <w:top w:val="nil"/>
              <w:left w:val="nil"/>
              <w:bottom w:val="nil"/>
              <w:right w:val="nil"/>
            </w:tcBorders>
            <w:shd w:val="clear" w:color="auto" w:fill="auto"/>
            <w:noWrap/>
            <w:vAlign w:val="bottom"/>
          </w:tcPr>
          <w:p w14:paraId="7CCAF124" w14:textId="77777777" w:rsidR="000020B9" w:rsidRPr="00E45B5B" w:rsidRDefault="000020B9" w:rsidP="00EF25E1">
            <w:pPr>
              <w:jc w:val="center"/>
              <w:rPr>
                <w:color w:val="000000"/>
                <w:sz w:val="20"/>
                <w:szCs w:val="20"/>
              </w:rPr>
            </w:pPr>
            <w:r w:rsidRPr="00E45B5B">
              <w:rPr>
                <w:color w:val="000000"/>
                <w:sz w:val="20"/>
                <w:szCs w:val="20"/>
              </w:rPr>
              <w:t>0.355***</w:t>
            </w:r>
          </w:p>
        </w:tc>
      </w:tr>
      <w:tr w:rsidR="000020B9" w:rsidRPr="00E45B5B" w14:paraId="1E963071" w14:textId="77777777" w:rsidTr="00EF25E1">
        <w:trPr>
          <w:trHeight w:val="300"/>
        </w:trPr>
        <w:tc>
          <w:tcPr>
            <w:tcW w:w="5273" w:type="dxa"/>
            <w:tcBorders>
              <w:top w:val="nil"/>
              <w:left w:val="nil"/>
              <w:bottom w:val="nil"/>
              <w:right w:val="nil"/>
            </w:tcBorders>
            <w:shd w:val="clear" w:color="auto" w:fill="auto"/>
            <w:noWrap/>
          </w:tcPr>
          <w:p w14:paraId="4B4347C7" w14:textId="77777777" w:rsidR="000020B9" w:rsidRPr="00E45B5B" w:rsidRDefault="000020B9" w:rsidP="00EF25E1">
            <w:pPr>
              <w:rPr>
                <w:color w:val="000000"/>
                <w:sz w:val="20"/>
                <w:szCs w:val="20"/>
              </w:rPr>
            </w:pPr>
          </w:p>
        </w:tc>
        <w:tc>
          <w:tcPr>
            <w:tcW w:w="1248" w:type="dxa"/>
            <w:tcBorders>
              <w:top w:val="nil"/>
              <w:left w:val="nil"/>
              <w:bottom w:val="nil"/>
              <w:right w:val="nil"/>
            </w:tcBorders>
            <w:shd w:val="clear" w:color="auto" w:fill="auto"/>
            <w:noWrap/>
            <w:vAlign w:val="bottom"/>
          </w:tcPr>
          <w:p w14:paraId="6F258A3C" w14:textId="77777777" w:rsidR="000020B9" w:rsidRPr="00E45B5B" w:rsidRDefault="000020B9" w:rsidP="00EF25E1">
            <w:pPr>
              <w:jc w:val="center"/>
              <w:rPr>
                <w:color w:val="000000"/>
                <w:sz w:val="20"/>
                <w:szCs w:val="20"/>
              </w:rPr>
            </w:pPr>
            <w:r w:rsidRPr="00E45B5B">
              <w:rPr>
                <w:color w:val="000000"/>
                <w:sz w:val="20"/>
                <w:szCs w:val="20"/>
              </w:rPr>
              <w:t xml:space="preserve">(0.053)   </w:t>
            </w:r>
          </w:p>
        </w:tc>
        <w:tc>
          <w:tcPr>
            <w:tcW w:w="1256" w:type="dxa"/>
            <w:tcBorders>
              <w:top w:val="nil"/>
              <w:left w:val="nil"/>
              <w:bottom w:val="nil"/>
              <w:right w:val="nil"/>
            </w:tcBorders>
            <w:shd w:val="clear" w:color="auto" w:fill="auto"/>
            <w:noWrap/>
            <w:vAlign w:val="bottom"/>
          </w:tcPr>
          <w:p w14:paraId="0E35240C" w14:textId="77777777" w:rsidR="000020B9" w:rsidRPr="00E45B5B" w:rsidRDefault="000020B9" w:rsidP="00EF25E1">
            <w:pPr>
              <w:jc w:val="center"/>
              <w:rPr>
                <w:color w:val="000000"/>
                <w:sz w:val="20"/>
                <w:szCs w:val="20"/>
              </w:rPr>
            </w:pPr>
            <w:r w:rsidRPr="00E45B5B">
              <w:rPr>
                <w:color w:val="000000"/>
                <w:sz w:val="20"/>
                <w:szCs w:val="20"/>
              </w:rPr>
              <w:t xml:space="preserve">(0.061)   </w:t>
            </w:r>
          </w:p>
        </w:tc>
        <w:tc>
          <w:tcPr>
            <w:tcW w:w="1662" w:type="dxa"/>
            <w:tcBorders>
              <w:top w:val="nil"/>
              <w:left w:val="nil"/>
              <w:bottom w:val="nil"/>
              <w:right w:val="nil"/>
            </w:tcBorders>
            <w:shd w:val="clear" w:color="auto" w:fill="auto"/>
            <w:noWrap/>
            <w:vAlign w:val="bottom"/>
          </w:tcPr>
          <w:p w14:paraId="27B4AAC4" w14:textId="77777777" w:rsidR="000020B9" w:rsidRPr="00E45B5B" w:rsidRDefault="000020B9" w:rsidP="00EF25E1">
            <w:pPr>
              <w:jc w:val="center"/>
              <w:rPr>
                <w:color w:val="000000"/>
                <w:sz w:val="20"/>
                <w:szCs w:val="20"/>
              </w:rPr>
            </w:pPr>
            <w:r w:rsidRPr="00E45B5B">
              <w:rPr>
                <w:color w:val="000000"/>
                <w:sz w:val="20"/>
                <w:szCs w:val="20"/>
              </w:rPr>
              <w:t xml:space="preserve">(0.061)   </w:t>
            </w:r>
          </w:p>
        </w:tc>
        <w:tc>
          <w:tcPr>
            <w:tcW w:w="1278" w:type="dxa"/>
            <w:tcBorders>
              <w:top w:val="nil"/>
              <w:left w:val="nil"/>
              <w:bottom w:val="nil"/>
              <w:right w:val="nil"/>
            </w:tcBorders>
            <w:shd w:val="clear" w:color="auto" w:fill="auto"/>
            <w:noWrap/>
            <w:vAlign w:val="bottom"/>
          </w:tcPr>
          <w:p w14:paraId="5907E2D7" w14:textId="77777777" w:rsidR="000020B9" w:rsidRPr="00E45B5B" w:rsidRDefault="000020B9" w:rsidP="00EF25E1">
            <w:pPr>
              <w:jc w:val="center"/>
              <w:rPr>
                <w:color w:val="000000"/>
                <w:sz w:val="20"/>
                <w:szCs w:val="20"/>
              </w:rPr>
            </w:pPr>
            <w:r w:rsidRPr="00E45B5B">
              <w:rPr>
                <w:color w:val="000000"/>
                <w:sz w:val="20"/>
                <w:szCs w:val="20"/>
              </w:rPr>
              <w:t xml:space="preserve">(0.061)   </w:t>
            </w:r>
          </w:p>
        </w:tc>
      </w:tr>
      <w:tr w:rsidR="000020B9" w:rsidRPr="00E45B5B" w14:paraId="7039F894" w14:textId="77777777" w:rsidTr="00EF25E1">
        <w:trPr>
          <w:trHeight w:val="300"/>
        </w:trPr>
        <w:tc>
          <w:tcPr>
            <w:tcW w:w="5273" w:type="dxa"/>
            <w:tcBorders>
              <w:top w:val="nil"/>
              <w:left w:val="nil"/>
              <w:bottom w:val="nil"/>
              <w:right w:val="nil"/>
            </w:tcBorders>
            <w:shd w:val="clear" w:color="auto" w:fill="auto"/>
            <w:noWrap/>
            <w:vAlign w:val="bottom"/>
          </w:tcPr>
          <w:p w14:paraId="02CD2CD5" w14:textId="77777777" w:rsidR="000020B9" w:rsidRPr="00E45B5B" w:rsidRDefault="000020B9" w:rsidP="00EF25E1">
            <w:pPr>
              <w:rPr>
                <w:color w:val="000000"/>
                <w:sz w:val="20"/>
                <w:szCs w:val="20"/>
                <w:lang w:val="en-US"/>
              </w:rPr>
            </w:pPr>
            <w:r w:rsidRPr="00E45B5B">
              <w:rPr>
                <w:color w:val="000000"/>
                <w:sz w:val="20"/>
                <w:szCs w:val="20"/>
                <w:lang w:val="en-US"/>
              </w:rPr>
              <w:t>ln(cost of fixed capital)</w:t>
            </w:r>
          </w:p>
        </w:tc>
        <w:tc>
          <w:tcPr>
            <w:tcW w:w="1248" w:type="dxa"/>
            <w:tcBorders>
              <w:top w:val="nil"/>
              <w:left w:val="nil"/>
              <w:bottom w:val="nil"/>
              <w:right w:val="nil"/>
            </w:tcBorders>
            <w:shd w:val="clear" w:color="auto" w:fill="auto"/>
            <w:noWrap/>
            <w:vAlign w:val="bottom"/>
          </w:tcPr>
          <w:p w14:paraId="143D8953" w14:textId="77777777" w:rsidR="000020B9" w:rsidRPr="00E45B5B" w:rsidRDefault="000020B9" w:rsidP="00EF25E1">
            <w:pPr>
              <w:jc w:val="center"/>
              <w:rPr>
                <w:color w:val="000000"/>
                <w:sz w:val="20"/>
                <w:szCs w:val="20"/>
              </w:rPr>
            </w:pPr>
            <w:r w:rsidRPr="00E45B5B">
              <w:rPr>
                <w:color w:val="000000"/>
                <w:sz w:val="20"/>
                <w:szCs w:val="20"/>
              </w:rPr>
              <w:t xml:space="preserve">-0.013   </w:t>
            </w:r>
          </w:p>
        </w:tc>
        <w:tc>
          <w:tcPr>
            <w:tcW w:w="1256" w:type="dxa"/>
            <w:tcBorders>
              <w:top w:val="nil"/>
              <w:left w:val="nil"/>
              <w:bottom w:val="nil"/>
              <w:right w:val="nil"/>
            </w:tcBorders>
            <w:shd w:val="clear" w:color="auto" w:fill="auto"/>
            <w:noWrap/>
            <w:vAlign w:val="bottom"/>
          </w:tcPr>
          <w:p w14:paraId="17C9F37F" w14:textId="77777777" w:rsidR="000020B9" w:rsidRPr="00E45B5B" w:rsidRDefault="000020B9" w:rsidP="00EF25E1">
            <w:pPr>
              <w:jc w:val="center"/>
              <w:rPr>
                <w:color w:val="000000"/>
                <w:sz w:val="20"/>
                <w:szCs w:val="20"/>
              </w:rPr>
            </w:pPr>
            <w:r w:rsidRPr="00E45B5B">
              <w:rPr>
                <w:color w:val="000000"/>
                <w:sz w:val="20"/>
                <w:szCs w:val="20"/>
              </w:rPr>
              <w:t xml:space="preserve">-0.012   </w:t>
            </w:r>
          </w:p>
        </w:tc>
        <w:tc>
          <w:tcPr>
            <w:tcW w:w="1662" w:type="dxa"/>
            <w:tcBorders>
              <w:top w:val="nil"/>
              <w:left w:val="nil"/>
              <w:bottom w:val="nil"/>
              <w:right w:val="nil"/>
            </w:tcBorders>
            <w:shd w:val="clear" w:color="auto" w:fill="auto"/>
            <w:noWrap/>
            <w:vAlign w:val="bottom"/>
          </w:tcPr>
          <w:p w14:paraId="398F1E69" w14:textId="77777777" w:rsidR="000020B9" w:rsidRPr="00E45B5B" w:rsidRDefault="000020B9" w:rsidP="00EF25E1">
            <w:pPr>
              <w:jc w:val="center"/>
              <w:rPr>
                <w:color w:val="000000"/>
                <w:sz w:val="20"/>
                <w:szCs w:val="20"/>
              </w:rPr>
            </w:pPr>
            <w:r w:rsidRPr="00E45B5B">
              <w:rPr>
                <w:color w:val="000000"/>
                <w:sz w:val="20"/>
                <w:szCs w:val="20"/>
              </w:rPr>
              <w:t xml:space="preserve">-0.011   </w:t>
            </w:r>
          </w:p>
        </w:tc>
        <w:tc>
          <w:tcPr>
            <w:tcW w:w="1278" w:type="dxa"/>
            <w:tcBorders>
              <w:top w:val="nil"/>
              <w:left w:val="nil"/>
              <w:bottom w:val="nil"/>
              <w:right w:val="nil"/>
            </w:tcBorders>
            <w:shd w:val="clear" w:color="auto" w:fill="auto"/>
            <w:noWrap/>
            <w:vAlign w:val="bottom"/>
          </w:tcPr>
          <w:p w14:paraId="428E82BA" w14:textId="77777777" w:rsidR="000020B9" w:rsidRPr="00E45B5B" w:rsidRDefault="000020B9" w:rsidP="00EF25E1">
            <w:pPr>
              <w:jc w:val="center"/>
              <w:rPr>
                <w:color w:val="000000"/>
                <w:sz w:val="20"/>
                <w:szCs w:val="20"/>
              </w:rPr>
            </w:pPr>
            <w:r w:rsidRPr="00E45B5B">
              <w:rPr>
                <w:color w:val="000000"/>
                <w:sz w:val="20"/>
                <w:szCs w:val="20"/>
              </w:rPr>
              <w:t xml:space="preserve">-0.012   </w:t>
            </w:r>
          </w:p>
        </w:tc>
      </w:tr>
      <w:tr w:rsidR="000020B9" w:rsidRPr="00E45B5B" w14:paraId="0F530FBB" w14:textId="77777777" w:rsidTr="00EF25E1">
        <w:trPr>
          <w:trHeight w:val="300"/>
        </w:trPr>
        <w:tc>
          <w:tcPr>
            <w:tcW w:w="5273" w:type="dxa"/>
            <w:tcBorders>
              <w:top w:val="nil"/>
              <w:left w:val="nil"/>
              <w:bottom w:val="nil"/>
              <w:right w:val="nil"/>
            </w:tcBorders>
            <w:shd w:val="clear" w:color="auto" w:fill="auto"/>
            <w:noWrap/>
          </w:tcPr>
          <w:p w14:paraId="7B022BE4" w14:textId="77777777" w:rsidR="000020B9" w:rsidRPr="00E45B5B" w:rsidRDefault="000020B9" w:rsidP="00EF25E1">
            <w:pPr>
              <w:rPr>
                <w:color w:val="000000"/>
                <w:sz w:val="20"/>
                <w:szCs w:val="20"/>
              </w:rPr>
            </w:pPr>
          </w:p>
        </w:tc>
        <w:tc>
          <w:tcPr>
            <w:tcW w:w="1248" w:type="dxa"/>
            <w:tcBorders>
              <w:top w:val="nil"/>
              <w:left w:val="nil"/>
              <w:bottom w:val="nil"/>
              <w:right w:val="nil"/>
            </w:tcBorders>
            <w:shd w:val="clear" w:color="auto" w:fill="auto"/>
            <w:noWrap/>
            <w:vAlign w:val="bottom"/>
          </w:tcPr>
          <w:p w14:paraId="1D5AB9D9" w14:textId="77777777" w:rsidR="000020B9" w:rsidRPr="00E45B5B" w:rsidRDefault="000020B9" w:rsidP="00EF25E1">
            <w:pPr>
              <w:jc w:val="center"/>
              <w:rPr>
                <w:color w:val="000000"/>
                <w:sz w:val="20"/>
                <w:szCs w:val="20"/>
              </w:rPr>
            </w:pPr>
            <w:r w:rsidRPr="00E45B5B">
              <w:rPr>
                <w:color w:val="000000"/>
                <w:sz w:val="20"/>
                <w:szCs w:val="20"/>
              </w:rPr>
              <w:t xml:space="preserve">(0.044)   </w:t>
            </w:r>
          </w:p>
        </w:tc>
        <w:tc>
          <w:tcPr>
            <w:tcW w:w="1256" w:type="dxa"/>
            <w:tcBorders>
              <w:top w:val="nil"/>
              <w:left w:val="nil"/>
              <w:bottom w:val="nil"/>
              <w:right w:val="nil"/>
            </w:tcBorders>
            <w:shd w:val="clear" w:color="auto" w:fill="auto"/>
            <w:noWrap/>
            <w:vAlign w:val="bottom"/>
          </w:tcPr>
          <w:p w14:paraId="3C988297" w14:textId="77777777" w:rsidR="000020B9" w:rsidRPr="00E45B5B" w:rsidRDefault="000020B9" w:rsidP="00EF25E1">
            <w:pPr>
              <w:jc w:val="center"/>
              <w:rPr>
                <w:color w:val="000000"/>
                <w:sz w:val="20"/>
                <w:szCs w:val="20"/>
              </w:rPr>
            </w:pPr>
            <w:r w:rsidRPr="00E45B5B">
              <w:rPr>
                <w:color w:val="000000"/>
                <w:sz w:val="20"/>
                <w:szCs w:val="20"/>
              </w:rPr>
              <w:t xml:space="preserve">(0.045)   </w:t>
            </w:r>
          </w:p>
        </w:tc>
        <w:tc>
          <w:tcPr>
            <w:tcW w:w="1662" w:type="dxa"/>
            <w:tcBorders>
              <w:top w:val="nil"/>
              <w:left w:val="nil"/>
              <w:bottom w:val="nil"/>
              <w:right w:val="nil"/>
            </w:tcBorders>
            <w:shd w:val="clear" w:color="auto" w:fill="auto"/>
            <w:noWrap/>
            <w:vAlign w:val="bottom"/>
          </w:tcPr>
          <w:p w14:paraId="41D69CA5" w14:textId="77777777" w:rsidR="000020B9" w:rsidRPr="00E45B5B" w:rsidRDefault="000020B9" w:rsidP="00EF25E1">
            <w:pPr>
              <w:jc w:val="center"/>
              <w:rPr>
                <w:color w:val="000000"/>
                <w:sz w:val="20"/>
                <w:szCs w:val="20"/>
              </w:rPr>
            </w:pPr>
            <w:r w:rsidRPr="00E45B5B">
              <w:rPr>
                <w:color w:val="000000"/>
                <w:sz w:val="20"/>
                <w:szCs w:val="20"/>
              </w:rPr>
              <w:t xml:space="preserve">(0.045)   </w:t>
            </w:r>
          </w:p>
        </w:tc>
        <w:tc>
          <w:tcPr>
            <w:tcW w:w="1278" w:type="dxa"/>
            <w:tcBorders>
              <w:top w:val="nil"/>
              <w:left w:val="nil"/>
              <w:bottom w:val="nil"/>
              <w:right w:val="nil"/>
            </w:tcBorders>
            <w:shd w:val="clear" w:color="auto" w:fill="auto"/>
            <w:noWrap/>
            <w:vAlign w:val="bottom"/>
          </w:tcPr>
          <w:p w14:paraId="61442BD9" w14:textId="77777777" w:rsidR="000020B9" w:rsidRPr="00E45B5B" w:rsidRDefault="000020B9" w:rsidP="00EF25E1">
            <w:pPr>
              <w:jc w:val="center"/>
              <w:rPr>
                <w:color w:val="000000"/>
                <w:sz w:val="20"/>
                <w:szCs w:val="20"/>
              </w:rPr>
            </w:pPr>
            <w:r w:rsidRPr="00E45B5B">
              <w:rPr>
                <w:color w:val="000000"/>
                <w:sz w:val="20"/>
                <w:szCs w:val="20"/>
              </w:rPr>
              <w:t xml:space="preserve">(0.045)   </w:t>
            </w:r>
          </w:p>
        </w:tc>
      </w:tr>
      <w:tr w:rsidR="000020B9" w:rsidRPr="00E45B5B" w14:paraId="712581B2" w14:textId="77777777" w:rsidTr="00EF25E1">
        <w:trPr>
          <w:trHeight w:val="300"/>
        </w:trPr>
        <w:tc>
          <w:tcPr>
            <w:tcW w:w="5273" w:type="dxa"/>
            <w:tcBorders>
              <w:top w:val="nil"/>
              <w:left w:val="nil"/>
              <w:bottom w:val="nil"/>
              <w:right w:val="nil"/>
            </w:tcBorders>
            <w:shd w:val="clear" w:color="auto" w:fill="auto"/>
            <w:noWrap/>
            <w:vAlign w:val="bottom"/>
          </w:tcPr>
          <w:p w14:paraId="008F41FE" w14:textId="77777777" w:rsidR="000020B9" w:rsidRPr="00E45B5B" w:rsidRDefault="000020B9" w:rsidP="00EF25E1">
            <w:pPr>
              <w:rPr>
                <w:color w:val="000000"/>
                <w:sz w:val="20"/>
                <w:szCs w:val="20"/>
                <w:lang w:val="en-US"/>
              </w:rPr>
            </w:pPr>
            <w:r w:rsidRPr="00E45B5B">
              <w:rPr>
                <w:color w:val="000000"/>
                <w:sz w:val="20"/>
                <w:szCs w:val="20"/>
                <w:lang w:val="en-US"/>
              </w:rPr>
              <w:t>ln (wage)*Dummy Banks with Classic and  NonFinancial Bank Products</w:t>
            </w:r>
          </w:p>
        </w:tc>
        <w:tc>
          <w:tcPr>
            <w:tcW w:w="1248" w:type="dxa"/>
            <w:tcBorders>
              <w:top w:val="nil"/>
              <w:left w:val="nil"/>
              <w:bottom w:val="nil"/>
              <w:right w:val="nil"/>
            </w:tcBorders>
            <w:shd w:val="clear" w:color="auto" w:fill="auto"/>
            <w:noWrap/>
            <w:vAlign w:val="bottom"/>
          </w:tcPr>
          <w:p w14:paraId="12E36493" w14:textId="77777777" w:rsidR="000020B9" w:rsidRPr="00E45B5B" w:rsidRDefault="000020B9" w:rsidP="00EF25E1">
            <w:pPr>
              <w:jc w:val="center"/>
              <w:rPr>
                <w:color w:val="000000"/>
                <w:sz w:val="20"/>
                <w:szCs w:val="20"/>
              </w:rPr>
            </w:pPr>
            <w:r w:rsidRPr="00E45B5B">
              <w:rPr>
                <w:color w:val="000000"/>
                <w:sz w:val="20"/>
                <w:szCs w:val="20"/>
              </w:rPr>
              <w:t xml:space="preserve">-0.252   </w:t>
            </w:r>
          </w:p>
        </w:tc>
        <w:tc>
          <w:tcPr>
            <w:tcW w:w="1256" w:type="dxa"/>
            <w:tcBorders>
              <w:top w:val="nil"/>
              <w:left w:val="nil"/>
              <w:bottom w:val="nil"/>
              <w:right w:val="nil"/>
            </w:tcBorders>
            <w:shd w:val="clear" w:color="auto" w:fill="auto"/>
            <w:noWrap/>
            <w:vAlign w:val="bottom"/>
          </w:tcPr>
          <w:p w14:paraId="389610D4" w14:textId="77777777" w:rsidR="000020B9" w:rsidRPr="00E45B5B" w:rsidRDefault="000020B9" w:rsidP="00EF25E1">
            <w:pPr>
              <w:jc w:val="center"/>
              <w:rPr>
                <w:color w:val="000000"/>
                <w:sz w:val="20"/>
                <w:szCs w:val="20"/>
              </w:rPr>
            </w:pPr>
            <w:r w:rsidRPr="00E45B5B">
              <w:rPr>
                <w:color w:val="000000"/>
                <w:sz w:val="20"/>
                <w:szCs w:val="20"/>
              </w:rPr>
              <w:t xml:space="preserve">-0.181   </w:t>
            </w:r>
          </w:p>
        </w:tc>
        <w:tc>
          <w:tcPr>
            <w:tcW w:w="1662" w:type="dxa"/>
            <w:tcBorders>
              <w:top w:val="nil"/>
              <w:left w:val="nil"/>
              <w:bottom w:val="nil"/>
              <w:right w:val="nil"/>
            </w:tcBorders>
            <w:shd w:val="clear" w:color="auto" w:fill="auto"/>
            <w:noWrap/>
            <w:vAlign w:val="bottom"/>
          </w:tcPr>
          <w:p w14:paraId="7010678C" w14:textId="77777777" w:rsidR="000020B9" w:rsidRPr="00E45B5B" w:rsidRDefault="000020B9" w:rsidP="00EF25E1">
            <w:pPr>
              <w:jc w:val="center"/>
              <w:rPr>
                <w:color w:val="000000"/>
                <w:sz w:val="20"/>
                <w:szCs w:val="20"/>
              </w:rPr>
            </w:pPr>
            <w:r w:rsidRPr="00E45B5B">
              <w:rPr>
                <w:color w:val="000000"/>
                <w:sz w:val="20"/>
                <w:szCs w:val="20"/>
              </w:rPr>
              <w:t xml:space="preserve">-0.173   </w:t>
            </w:r>
          </w:p>
        </w:tc>
        <w:tc>
          <w:tcPr>
            <w:tcW w:w="1278" w:type="dxa"/>
            <w:tcBorders>
              <w:top w:val="nil"/>
              <w:left w:val="nil"/>
              <w:bottom w:val="nil"/>
              <w:right w:val="nil"/>
            </w:tcBorders>
            <w:shd w:val="clear" w:color="auto" w:fill="auto"/>
            <w:noWrap/>
            <w:vAlign w:val="bottom"/>
          </w:tcPr>
          <w:p w14:paraId="406155CD" w14:textId="77777777" w:rsidR="000020B9" w:rsidRPr="00E45B5B" w:rsidRDefault="000020B9" w:rsidP="00EF25E1">
            <w:pPr>
              <w:jc w:val="center"/>
              <w:rPr>
                <w:color w:val="000000"/>
                <w:sz w:val="20"/>
                <w:szCs w:val="20"/>
              </w:rPr>
            </w:pPr>
            <w:r w:rsidRPr="00E45B5B">
              <w:rPr>
                <w:color w:val="000000"/>
                <w:sz w:val="20"/>
                <w:szCs w:val="20"/>
              </w:rPr>
              <w:t xml:space="preserve">-0.171   </w:t>
            </w:r>
          </w:p>
        </w:tc>
      </w:tr>
      <w:tr w:rsidR="000020B9" w:rsidRPr="00E45B5B" w14:paraId="2B8E1774" w14:textId="77777777" w:rsidTr="00EF25E1">
        <w:trPr>
          <w:trHeight w:val="300"/>
        </w:trPr>
        <w:tc>
          <w:tcPr>
            <w:tcW w:w="5273" w:type="dxa"/>
            <w:tcBorders>
              <w:top w:val="nil"/>
              <w:left w:val="nil"/>
              <w:bottom w:val="nil"/>
              <w:right w:val="nil"/>
            </w:tcBorders>
            <w:shd w:val="clear" w:color="auto" w:fill="auto"/>
            <w:noWrap/>
          </w:tcPr>
          <w:p w14:paraId="46ED7CE7" w14:textId="77777777" w:rsidR="000020B9" w:rsidRPr="00E45B5B" w:rsidRDefault="000020B9" w:rsidP="00EF25E1">
            <w:pPr>
              <w:rPr>
                <w:color w:val="000000"/>
                <w:sz w:val="20"/>
                <w:szCs w:val="20"/>
              </w:rPr>
            </w:pPr>
          </w:p>
        </w:tc>
        <w:tc>
          <w:tcPr>
            <w:tcW w:w="1248" w:type="dxa"/>
            <w:tcBorders>
              <w:top w:val="nil"/>
              <w:left w:val="nil"/>
              <w:bottom w:val="nil"/>
              <w:right w:val="nil"/>
            </w:tcBorders>
            <w:shd w:val="clear" w:color="auto" w:fill="auto"/>
            <w:noWrap/>
            <w:vAlign w:val="bottom"/>
          </w:tcPr>
          <w:p w14:paraId="1FDD91D9" w14:textId="77777777" w:rsidR="000020B9" w:rsidRPr="00E45B5B" w:rsidRDefault="000020B9" w:rsidP="00EF25E1">
            <w:pPr>
              <w:jc w:val="center"/>
              <w:rPr>
                <w:color w:val="000000"/>
                <w:sz w:val="20"/>
                <w:szCs w:val="20"/>
              </w:rPr>
            </w:pPr>
            <w:r w:rsidRPr="00E45B5B">
              <w:rPr>
                <w:color w:val="000000"/>
                <w:sz w:val="20"/>
                <w:szCs w:val="20"/>
              </w:rPr>
              <w:t xml:space="preserve">(0.180)   </w:t>
            </w:r>
          </w:p>
        </w:tc>
        <w:tc>
          <w:tcPr>
            <w:tcW w:w="1256" w:type="dxa"/>
            <w:tcBorders>
              <w:top w:val="nil"/>
              <w:left w:val="nil"/>
              <w:bottom w:val="nil"/>
              <w:right w:val="nil"/>
            </w:tcBorders>
            <w:shd w:val="clear" w:color="auto" w:fill="auto"/>
            <w:noWrap/>
            <w:vAlign w:val="bottom"/>
          </w:tcPr>
          <w:p w14:paraId="1230E2D7" w14:textId="77777777" w:rsidR="000020B9" w:rsidRPr="00E45B5B" w:rsidRDefault="000020B9" w:rsidP="00EF25E1">
            <w:pPr>
              <w:jc w:val="center"/>
              <w:rPr>
                <w:color w:val="000000"/>
                <w:sz w:val="20"/>
                <w:szCs w:val="20"/>
              </w:rPr>
            </w:pPr>
            <w:r w:rsidRPr="00E45B5B">
              <w:rPr>
                <w:color w:val="000000"/>
                <w:sz w:val="20"/>
                <w:szCs w:val="20"/>
              </w:rPr>
              <w:t xml:space="preserve">(0.174)   </w:t>
            </w:r>
          </w:p>
        </w:tc>
        <w:tc>
          <w:tcPr>
            <w:tcW w:w="1662" w:type="dxa"/>
            <w:tcBorders>
              <w:top w:val="nil"/>
              <w:left w:val="nil"/>
              <w:bottom w:val="nil"/>
              <w:right w:val="nil"/>
            </w:tcBorders>
            <w:shd w:val="clear" w:color="auto" w:fill="auto"/>
            <w:noWrap/>
            <w:vAlign w:val="bottom"/>
          </w:tcPr>
          <w:p w14:paraId="787AFDA3" w14:textId="77777777" w:rsidR="000020B9" w:rsidRPr="00E45B5B" w:rsidRDefault="000020B9" w:rsidP="00EF25E1">
            <w:pPr>
              <w:jc w:val="center"/>
              <w:rPr>
                <w:color w:val="000000"/>
                <w:sz w:val="20"/>
                <w:szCs w:val="20"/>
              </w:rPr>
            </w:pPr>
            <w:r w:rsidRPr="00E45B5B">
              <w:rPr>
                <w:color w:val="000000"/>
                <w:sz w:val="20"/>
                <w:szCs w:val="20"/>
              </w:rPr>
              <w:t xml:space="preserve">(0.177)   </w:t>
            </w:r>
          </w:p>
        </w:tc>
        <w:tc>
          <w:tcPr>
            <w:tcW w:w="1278" w:type="dxa"/>
            <w:tcBorders>
              <w:top w:val="nil"/>
              <w:left w:val="nil"/>
              <w:bottom w:val="nil"/>
              <w:right w:val="nil"/>
            </w:tcBorders>
            <w:shd w:val="clear" w:color="auto" w:fill="auto"/>
            <w:noWrap/>
            <w:vAlign w:val="bottom"/>
          </w:tcPr>
          <w:p w14:paraId="21614483" w14:textId="77777777" w:rsidR="000020B9" w:rsidRPr="00E45B5B" w:rsidRDefault="000020B9" w:rsidP="00EF25E1">
            <w:pPr>
              <w:jc w:val="center"/>
              <w:rPr>
                <w:color w:val="000000"/>
                <w:sz w:val="20"/>
                <w:szCs w:val="20"/>
              </w:rPr>
            </w:pPr>
            <w:r w:rsidRPr="00E45B5B">
              <w:rPr>
                <w:color w:val="000000"/>
                <w:sz w:val="20"/>
                <w:szCs w:val="20"/>
              </w:rPr>
              <w:t xml:space="preserve">(0.176)   </w:t>
            </w:r>
          </w:p>
        </w:tc>
      </w:tr>
      <w:tr w:rsidR="000020B9" w:rsidRPr="00E45B5B" w14:paraId="6574D88F" w14:textId="77777777" w:rsidTr="00EF25E1">
        <w:trPr>
          <w:trHeight w:val="300"/>
        </w:trPr>
        <w:tc>
          <w:tcPr>
            <w:tcW w:w="5273" w:type="dxa"/>
            <w:tcBorders>
              <w:top w:val="nil"/>
              <w:left w:val="nil"/>
              <w:bottom w:val="nil"/>
              <w:right w:val="nil"/>
            </w:tcBorders>
            <w:shd w:val="clear" w:color="auto" w:fill="auto"/>
            <w:noWrap/>
            <w:vAlign w:val="bottom"/>
          </w:tcPr>
          <w:p w14:paraId="05268A05" w14:textId="77777777" w:rsidR="000020B9" w:rsidRPr="00E45B5B" w:rsidRDefault="000020B9" w:rsidP="00EF25E1">
            <w:pPr>
              <w:rPr>
                <w:color w:val="000000"/>
                <w:sz w:val="20"/>
                <w:szCs w:val="20"/>
                <w:lang w:val="en-US"/>
              </w:rPr>
            </w:pPr>
            <w:r w:rsidRPr="00E45B5B">
              <w:rPr>
                <w:color w:val="000000"/>
                <w:sz w:val="20"/>
                <w:szCs w:val="20"/>
                <w:lang w:val="en-US"/>
              </w:rPr>
              <w:t>ln(cost of capital)*Dummy Banks with Classic and  NonFinancial Bank Products</w:t>
            </w:r>
          </w:p>
        </w:tc>
        <w:tc>
          <w:tcPr>
            <w:tcW w:w="1248" w:type="dxa"/>
            <w:tcBorders>
              <w:top w:val="nil"/>
              <w:left w:val="nil"/>
              <w:bottom w:val="nil"/>
              <w:right w:val="nil"/>
            </w:tcBorders>
            <w:shd w:val="clear" w:color="auto" w:fill="auto"/>
            <w:noWrap/>
            <w:vAlign w:val="bottom"/>
          </w:tcPr>
          <w:p w14:paraId="3289A33B" w14:textId="77777777" w:rsidR="000020B9" w:rsidRPr="00E45B5B" w:rsidRDefault="000020B9" w:rsidP="00EF25E1">
            <w:pPr>
              <w:jc w:val="center"/>
              <w:rPr>
                <w:color w:val="000000"/>
                <w:sz w:val="20"/>
                <w:szCs w:val="20"/>
              </w:rPr>
            </w:pPr>
            <w:r w:rsidRPr="00E45B5B">
              <w:rPr>
                <w:color w:val="000000"/>
                <w:sz w:val="20"/>
                <w:szCs w:val="20"/>
              </w:rPr>
              <w:t xml:space="preserve">0.050   </w:t>
            </w:r>
          </w:p>
        </w:tc>
        <w:tc>
          <w:tcPr>
            <w:tcW w:w="1256" w:type="dxa"/>
            <w:tcBorders>
              <w:top w:val="nil"/>
              <w:left w:val="nil"/>
              <w:bottom w:val="nil"/>
              <w:right w:val="nil"/>
            </w:tcBorders>
            <w:shd w:val="clear" w:color="auto" w:fill="auto"/>
            <w:noWrap/>
            <w:vAlign w:val="bottom"/>
          </w:tcPr>
          <w:p w14:paraId="6547D7DD" w14:textId="77777777" w:rsidR="000020B9" w:rsidRPr="00E45B5B" w:rsidRDefault="000020B9" w:rsidP="00EF25E1">
            <w:pPr>
              <w:jc w:val="center"/>
              <w:rPr>
                <w:color w:val="000000"/>
                <w:sz w:val="20"/>
                <w:szCs w:val="20"/>
              </w:rPr>
            </w:pPr>
            <w:r w:rsidRPr="00E45B5B">
              <w:rPr>
                <w:color w:val="000000"/>
                <w:sz w:val="20"/>
                <w:szCs w:val="20"/>
              </w:rPr>
              <w:t xml:space="preserve">0.036   </w:t>
            </w:r>
          </w:p>
        </w:tc>
        <w:tc>
          <w:tcPr>
            <w:tcW w:w="1662" w:type="dxa"/>
            <w:tcBorders>
              <w:top w:val="nil"/>
              <w:left w:val="nil"/>
              <w:bottom w:val="nil"/>
              <w:right w:val="nil"/>
            </w:tcBorders>
            <w:shd w:val="clear" w:color="auto" w:fill="auto"/>
            <w:noWrap/>
            <w:vAlign w:val="bottom"/>
          </w:tcPr>
          <w:p w14:paraId="1031136D" w14:textId="77777777" w:rsidR="000020B9" w:rsidRPr="00E45B5B" w:rsidRDefault="000020B9" w:rsidP="00EF25E1">
            <w:pPr>
              <w:jc w:val="center"/>
              <w:rPr>
                <w:color w:val="000000"/>
                <w:sz w:val="20"/>
                <w:szCs w:val="20"/>
              </w:rPr>
            </w:pPr>
            <w:r w:rsidRPr="00E45B5B">
              <w:rPr>
                <w:color w:val="000000"/>
                <w:sz w:val="20"/>
                <w:szCs w:val="20"/>
              </w:rPr>
              <w:t xml:space="preserve">0.036   </w:t>
            </w:r>
          </w:p>
        </w:tc>
        <w:tc>
          <w:tcPr>
            <w:tcW w:w="1278" w:type="dxa"/>
            <w:tcBorders>
              <w:top w:val="nil"/>
              <w:left w:val="nil"/>
              <w:bottom w:val="nil"/>
              <w:right w:val="nil"/>
            </w:tcBorders>
            <w:shd w:val="clear" w:color="auto" w:fill="auto"/>
            <w:noWrap/>
            <w:vAlign w:val="bottom"/>
          </w:tcPr>
          <w:p w14:paraId="45C303C8" w14:textId="77777777" w:rsidR="000020B9" w:rsidRPr="00E45B5B" w:rsidRDefault="000020B9" w:rsidP="00EF25E1">
            <w:pPr>
              <w:jc w:val="center"/>
              <w:rPr>
                <w:color w:val="000000"/>
                <w:sz w:val="20"/>
                <w:szCs w:val="20"/>
              </w:rPr>
            </w:pPr>
            <w:r w:rsidRPr="00E45B5B">
              <w:rPr>
                <w:color w:val="000000"/>
                <w:sz w:val="20"/>
                <w:szCs w:val="20"/>
              </w:rPr>
              <w:t xml:space="preserve">0.033   </w:t>
            </w:r>
          </w:p>
        </w:tc>
      </w:tr>
      <w:tr w:rsidR="000020B9" w:rsidRPr="00E45B5B" w14:paraId="6C9E62BD" w14:textId="77777777" w:rsidTr="00EF25E1">
        <w:trPr>
          <w:trHeight w:val="300"/>
        </w:trPr>
        <w:tc>
          <w:tcPr>
            <w:tcW w:w="5273" w:type="dxa"/>
            <w:tcBorders>
              <w:top w:val="nil"/>
              <w:left w:val="nil"/>
              <w:bottom w:val="nil"/>
              <w:right w:val="nil"/>
            </w:tcBorders>
            <w:shd w:val="clear" w:color="auto" w:fill="auto"/>
            <w:noWrap/>
          </w:tcPr>
          <w:p w14:paraId="4EA4DC09" w14:textId="77777777" w:rsidR="000020B9" w:rsidRPr="00E45B5B" w:rsidRDefault="000020B9" w:rsidP="00EF25E1">
            <w:pPr>
              <w:rPr>
                <w:color w:val="000000"/>
                <w:sz w:val="20"/>
                <w:szCs w:val="20"/>
              </w:rPr>
            </w:pPr>
          </w:p>
        </w:tc>
        <w:tc>
          <w:tcPr>
            <w:tcW w:w="1248" w:type="dxa"/>
            <w:tcBorders>
              <w:top w:val="nil"/>
              <w:left w:val="nil"/>
              <w:bottom w:val="nil"/>
              <w:right w:val="nil"/>
            </w:tcBorders>
            <w:shd w:val="clear" w:color="auto" w:fill="auto"/>
            <w:noWrap/>
            <w:vAlign w:val="bottom"/>
          </w:tcPr>
          <w:p w14:paraId="259A294D" w14:textId="77777777" w:rsidR="000020B9" w:rsidRPr="00E45B5B" w:rsidRDefault="000020B9" w:rsidP="00EF25E1">
            <w:pPr>
              <w:jc w:val="center"/>
              <w:rPr>
                <w:color w:val="000000"/>
                <w:sz w:val="20"/>
                <w:szCs w:val="20"/>
              </w:rPr>
            </w:pPr>
            <w:r w:rsidRPr="00E45B5B">
              <w:rPr>
                <w:color w:val="000000"/>
                <w:sz w:val="20"/>
                <w:szCs w:val="20"/>
              </w:rPr>
              <w:t xml:space="preserve">(0.070)   </w:t>
            </w:r>
          </w:p>
        </w:tc>
        <w:tc>
          <w:tcPr>
            <w:tcW w:w="1256" w:type="dxa"/>
            <w:tcBorders>
              <w:top w:val="nil"/>
              <w:left w:val="nil"/>
              <w:bottom w:val="nil"/>
              <w:right w:val="nil"/>
            </w:tcBorders>
            <w:shd w:val="clear" w:color="auto" w:fill="auto"/>
            <w:noWrap/>
            <w:vAlign w:val="bottom"/>
          </w:tcPr>
          <w:p w14:paraId="262F3542" w14:textId="77777777" w:rsidR="000020B9" w:rsidRPr="00E45B5B" w:rsidRDefault="000020B9" w:rsidP="00EF25E1">
            <w:pPr>
              <w:jc w:val="center"/>
              <w:rPr>
                <w:color w:val="000000"/>
                <w:sz w:val="20"/>
                <w:szCs w:val="20"/>
              </w:rPr>
            </w:pPr>
            <w:r w:rsidRPr="00E45B5B">
              <w:rPr>
                <w:color w:val="000000"/>
                <w:sz w:val="20"/>
                <w:szCs w:val="20"/>
              </w:rPr>
              <w:t xml:space="preserve">(0.078)   </w:t>
            </w:r>
          </w:p>
        </w:tc>
        <w:tc>
          <w:tcPr>
            <w:tcW w:w="1662" w:type="dxa"/>
            <w:tcBorders>
              <w:top w:val="nil"/>
              <w:left w:val="nil"/>
              <w:bottom w:val="nil"/>
              <w:right w:val="nil"/>
            </w:tcBorders>
            <w:shd w:val="clear" w:color="auto" w:fill="auto"/>
            <w:noWrap/>
            <w:vAlign w:val="bottom"/>
          </w:tcPr>
          <w:p w14:paraId="7C1AE6FC" w14:textId="77777777" w:rsidR="000020B9" w:rsidRPr="00E45B5B" w:rsidRDefault="000020B9" w:rsidP="00EF25E1">
            <w:pPr>
              <w:jc w:val="center"/>
              <w:rPr>
                <w:color w:val="000000"/>
                <w:sz w:val="20"/>
                <w:szCs w:val="20"/>
              </w:rPr>
            </w:pPr>
            <w:r w:rsidRPr="00E45B5B">
              <w:rPr>
                <w:color w:val="000000"/>
                <w:sz w:val="20"/>
                <w:szCs w:val="20"/>
              </w:rPr>
              <w:t xml:space="preserve">(0.078)   </w:t>
            </w:r>
          </w:p>
        </w:tc>
        <w:tc>
          <w:tcPr>
            <w:tcW w:w="1278" w:type="dxa"/>
            <w:tcBorders>
              <w:top w:val="nil"/>
              <w:left w:val="nil"/>
              <w:bottom w:val="nil"/>
              <w:right w:val="nil"/>
            </w:tcBorders>
            <w:shd w:val="clear" w:color="auto" w:fill="auto"/>
            <w:noWrap/>
            <w:vAlign w:val="bottom"/>
          </w:tcPr>
          <w:p w14:paraId="2F1C52B9" w14:textId="77777777" w:rsidR="000020B9" w:rsidRPr="00E45B5B" w:rsidRDefault="000020B9" w:rsidP="00EF25E1">
            <w:pPr>
              <w:jc w:val="center"/>
              <w:rPr>
                <w:color w:val="000000"/>
                <w:sz w:val="20"/>
                <w:szCs w:val="20"/>
              </w:rPr>
            </w:pPr>
            <w:r w:rsidRPr="00E45B5B">
              <w:rPr>
                <w:color w:val="000000"/>
                <w:sz w:val="20"/>
                <w:szCs w:val="20"/>
              </w:rPr>
              <w:t xml:space="preserve">(0.075)   </w:t>
            </w:r>
          </w:p>
        </w:tc>
      </w:tr>
      <w:tr w:rsidR="000020B9" w:rsidRPr="00E45B5B" w14:paraId="4E176CAD" w14:textId="77777777" w:rsidTr="00EF25E1">
        <w:trPr>
          <w:trHeight w:val="300"/>
        </w:trPr>
        <w:tc>
          <w:tcPr>
            <w:tcW w:w="5273" w:type="dxa"/>
            <w:tcBorders>
              <w:top w:val="nil"/>
              <w:left w:val="nil"/>
              <w:bottom w:val="nil"/>
              <w:right w:val="nil"/>
            </w:tcBorders>
            <w:shd w:val="clear" w:color="auto" w:fill="auto"/>
            <w:noWrap/>
            <w:vAlign w:val="bottom"/>
          </w:tcPr>
          <w:p w14:paraId="133EDD35" w14:textId="77777777" w:rsidR="000020B9" w:rsidRPr="00E45B5B" w:rsidRDefault="000020B9" w:rsidP="00EF25E1">
            <w:pPr>
              <w:rPr>
                <w:color w:val="000000"/>
                <w:sz w:val="20"/>
                <w:szCs w:val="20"/>
                <w:lang w:val="en-US"/>
              </w:rPr>
            </w:pPr>
            <w:r w:rsidRPr="00E45B5B">
              <w:rPr>
                <w:color w:val="000000"/>
                <w:sz w:val="20"/>
                <w:szCs w:val="20"/>
                <w:lang w:val="en-US"/>
              </w:rPr>
              <w:t>ln(cost of fixed capital)*Dummy Banks with Classic and  NonFinancial Bank Products</w:t>
            </w:r>
          </w:p>
        </w:tc>
        <w:tc>
          <w:tcPr>
            <w:tcW w:w="1248" w:type="dxa"/>
            <w:tcBorders>
              <w:top w:val="nil"/>
              <w:left w:val="nil"/>
              <w:bottom w:val="nil"/>
              <w:right w:val="nil"/>
            </w:tcBorders>
            <w:shd w:val="clear" w:color="auto" w:fill="auto"/>
            <w:noWrap/>
            <w:vAlign w:val="bottom"/>
          </w:tcPr>
          <w:p w14:paraId="6DB8E722" w14:textId="77777777" w:rsidR="000020B9" w:rsidRPr="00E45B5B" w:rsidRDefault="000020B9" w:rsidP="00EF25E1">
            <w:pPr>
              <w:jc w:val="center"/>
              <w:rPr>
                <w:color w:val="000000"/>
                <w:sz w:val="20"/>
                <w:szCs w:val="20"/>
              </w:rPr>
            </w:pPr>
            <w:r w:rsidRPr="00E45B5B">
              <w:rPr>
                <w:color w:val="000000"/>
                <w:sz w:val="20"/>
                <w:szCs w:val="20"/>
              </w:rPr>
              <w:t xml:space="preserve">-0.077   </w:t>
            </w:r>
          </w:p>
        </w:tc>
        <w:tc>
          <w:tcPr>
            <w:tcW w:w="1256" w:type="dxa"/>
            <w:tcBorders>
              <w:top w:val="nil"/>
              <w:left w:val="nil"/>
              <w:bottom w:val="nil"/>
              <w:right w:val="nil"/>
            </w:tcBorders>
            <w:shd w:val="clear" w:color="auto" w:fill="auto"/>
            <w:noWrap/>
            <w:vAlign w:val="bottom"/>
          </w:tcPr>
          <w:p w14:paraId="6987FBFC" w14:textId="77777777" w:rsidR="000020B9" w:rsidRPr="00E45B5B" w:rsidRDefault="000020B9" w:rsidP="00EF25E1">
            <w:pPr>
              <w:jc w:val="center"/>
              <w:rPr>
                <w:color w:val="000000"/>
                <w:sz w:val="20"/>
                <w:szCs w:val="20"/>
              </w:rPr>
            </w:pPr>
            <w:r w:rsidRPr="00E45B5B">
              <w:rPr>
                <w:color w:val="000000"/>
                <w:sz w:val="20"/>
                <w:szCs w:val="20"/>
              </w:rPr>
              <w:t xml:space="preserve">-0.094   </w:t>
            </w:r>
          </w:p>
        </w:tc>
        <w:tc>
          <w:tcPr>
            <w:tcW w:w="1662" w:type="dxa"/>
            <w:tcBorders>
              <w:top w:val="nil"/>
              <w:left w:val="nil"/>
              <w:bottom w:val="nil"/>
              <w:right w:val="nil"/>
            </w:tcBorders>
            <w:shd w:val="clear" w:color="auto" w:fill="auto"/>
            <w:noWrap/>
            <w:vAlign w:val="bottom"/>
          </w:tcPr>
          <w:p w14:paraId="20DADD79" w14:textId="77777777" w:rsidR="000020B9" w:rsidRPr="00E45B5B" w:rsidRDefault="000020B9" w:rsidP="00EF25E1">
            <w:pPr>
              <w:jc w:val="center"/>
              <w:rPr>
                <w:color w:val="000000"/>
                <w:sz w:val="20"/>
                <w:szCs w:val="20"/>
              </w:rPr>
            </w:pPr>
            <w:r w:rsidRPr="00E45B5B">
              <w:rPr>
                <w:color w:val="000000"/>
                <w:sz w:val="20"/>
                <w:szCs w:val="20"/>
              </w:rPr>
              <w:t xml:space="preserve">-0.099   </w:t>
            </w:r>
          </w:p>
        </w:tc>
        <w:tc>
          <w:tcPr>
            <w:tcW w:w="1278" w:type="dxa"/>
            <w:tcBorders>
              <w:top w:val="nil"/>
              <w:left w:val="nil"/>
              <w:bottom w:val="nil"/>
              <w:right w:val="nil"/>
            </w:tcBorders>
            <w:shd w:val="clear" w:color="auto" w:fill="auto"/>
            <w:noWrap/>
            <w:vAlign w:val="bottom"/>
          </w:tcPr>
          <w:p w14:paraId="076F2627" w14:textId="77777777" w:rsidR="000020B9" w:rsidRPr="00E45B5B" w:rsidRDefault="000020B9" w:rsidP="00EF25E1">
            <w:pPr>
              <w:jc w:val="center"/>
              <w:rPr>
                <w:color w:val="000000"/>
                <w:sz w:val="20"/>
                <w:szCs w:val="20"/>
              </w:rPr>
            </w:pPr>
            <w:r w:rsidRPr="00E45B5B">
              <w:rPr>
                <w:color w:val="000000"/>
                <w:sz w:val="20"/>
                <w:szCs w:val="20"/>
              </w:rPr>
              <w:t xml:space="preserve">-0.098   </w:t>
            </w:r>
          </w:p>
        </w:tc>
      </w:tr>
      <w:tr w:rsidR="000020B9" w:rsidRPr="00E45B5B" w14:paraId="75929088" w14:textId="77777777" w:rsidTr="00EF25E1">
        <w:trPr>
          <w:trHeight w:val="300"/>
        </w:trPr>
        <w:tc>
          <w:tcPr>
            <w:tcW w:w="5273" w:type="dxa"/>
            <w:tcBorders>
              <w:top w:val="nil"/>
              <w:left w:val="nil"/>
              <w:bottom w:val="nil"/>
              <w:right w:val="nil"/>
            </w:tcBorders>
            <w:shd w:val="clear" w:color="auto" w:fill="auto"/>
            <w:noWrap/>
            <w:vAlign w:val="bottom"/>
          </w:tcPr>
          <w:p w14:paraId="73B0FFC3" w14:textId="77777777" w:rsidR="000020B9" w:rsidRPr="00E45B5B" w:rsidRDefault="000020B9" w:rsidP="00EF25E1">
            <w:pPr>
              <w:rPr>
                <w:color w:val="000000"/>
                <w:sz w:val="20"/>
                <w:szCs w:val="20"/>
              </w:rPr>
            </w:pPr>
          </w:p>
        </w:tc>
        <w:tc>
          <w:tcPr>
            <w:tcW w:w="1248" w:type="dxa"/>
            <w:tcBorders>
              <w:top w:val="nil"/>
              <w:left w:val="nil"/>
              <w:bottom w:val="nil"/>
              <w:right w:val="nil"/>
            </w:tcBorders>
            <w:shd w:val="clear" w:color="auto" w:fill="auto"/>
            <w:noWrap/>
            <w:vAlign w:val="bottom"/>
          </w:tcPr>
          <w:p w14:paraId="6850D0A7" w14:textId="77777777" w:rsidR="000020B9" w:rsidRPr="00E45B5B" w:rsidRDefault="000020B9" w:rsidP="00EF25E1">
            <w:pPr>
              <w:jc w:val="center"/>
              <w:rPr>
                <w:color w:val="000000"/>
                <w:sz w:val="20"/>
                <w:szCs w:val="20"/>
              </w:rPr>
            </w:pPr>
            <w:r w:rsidRPr="00E45B5B">
              <w:rPr>
                <w:color w:val="000000"/>
                <w:sz w:val="20"/>
                <w:szCs w:val="20"/>
              </w:rPr>
              <w:t xml:space="preserve">(0.053)   </w:t>
            </w:r>
          </w:p>
        </w:tc>
        <w:tc>
          <w:tcPr>
            <w:tcW w:w="1256" w:type="dxa"/>
            <w:tcBorders>
              <w:top w:val="nil"/>
              <w:left w:val="nil"/>
              <w:bottom w:val="nil"/>
              <w:right w:val="nil"/>
            </w:tcBorders>
            <w:shd w:val="clear" w:color="auto" w:fill="auto"/>
            <w:noWrap/>
            <w:vAlign w:val="bottom"/>
          </w:tcPr>
          <w:p w14:paraId="7F617766" w14:textId="77777777" w:rsidR="000020B9" w:rsidRPr="00E45B5B" w:rsidRDefault="000020B9" w:rsidP="00EF25E1">
            <w:pPr>
              <w:jc w:val="center"/>
              <w:rPr>
                <w:color w:val="000000"/>
                <w:sz w:val="20"/>
                <w:szCs w:val="20"/>
              </w:rPr>
            </w:pPr>
            <w:r w:rsidRPr="00E45B5B">
              <w:rPr>
                <w:color w:val="000000"/>
                <w:sz w:val="20"/>
                <w:szCs w:val="20"/>
              </w:rPr>
              <w:t xml:space="preserve">(0.055)   </w:t>
            </w:r>
          </w:p>
        </w:tc>
        <w:tc>
          <w:tcPr>
            <w:tcW w:w="1662" w:type="dxa"/>
            <w:tcBorders>
              <w:top w:val="nil"/>
              <w:left w:val="nil"/>
              <w:bottom w:val="nil"/>
              <w:right w:val="nil"/>
            </w:tcBorders>
            <w:shd w:val="clear" w:color="auto" w:fill="auto"/>
            <w:noWrap/>
            <w:vAlign w:val="bottom"/>
          </w:tcPr>
          <w:p w14:paraId="592E7100" w14:textId="77777777" w:rsidR="000020B9" w:rsidRPr="00E45B5B" w:rsidRDefault="000020B9" w:rsidP="00EF25E1">
            <w:pPr>
              <w:jc w:val="center"/>
              <w:rPr>
                <w:color w:val="000000"/>
                <w:sz w:val="20"/>
                <w:szCs w:val="20"/>
              </w:rPr>
            </w:pPr>
            <w:r w:rsidRPr="00E45B5B">
              <w:rPr>
                <w:color w:val="000000"/>
                <w:sz w:val="20"/>
                <w:szCs w:val="20"/>
              </w:rPr>
              <w:t xml:space="preserve">(0.057)   </w:t>
            </w:r>
          </w:p>
        </w:tc>
        <w:tc>
          <w:tcPr>
            <w:tcW w:w="1278" w:type="dxa"/>
            <w:tcBorders>
              <w:top w:val="nil"/>
              <w:left w:val="nil"/>
              <w:bottom w:val="nil"/>
              <w:right w:val="nil"/>
            </w:tcBorders>
            <w:shd w:val="clear" w:color="auto" w:fill="auto"/>
            <w:noWrap/>
            <w:vAlign w:val="bottom"/>
          </w:tcPr>
          <w:p w14:paraId="65B1EB08" w14:textId="77777777" w:rsidR="000020B9" w:rsidRPr="00E45B5B" w:rsidRDefault="000020B9" w:rsidP="00EF25E1">
            <w:pPr>
              <w:jc w:val="center"/>
              <w:rPr>
                <w:color w:val="000000"/>
                <w:sz w:val="20"/>
                <w:szCs w:val="20"/>
              </w:rPr>
            </w:pPr>
            <w:r w:rsidRPr="00E45B5B">
              <w:rPr>
                <w:color w:val="000000"/>
                <w:sz w:val="20"/>
                <w:szCs w:val="20"/>
              </w:rPr>
              <w:t xml:space="preserve">(0.057)   </w:t>
            </w:r>
          </w:p>
        </w:tc>
      </w:tr>
      <w:tr w:rsidR="000020B9" w:rsidRPr="00E45B5B" w14:paraId="5EE5413A" w14:textId="77777777" w:rsidTr="00EF25E1">
        <w:trPr>
          <w:trHeight w:val="300"/>
        </w:trPr>
        <w:tc>
          <w:tcPr>
            <w:tcW w:w="10717" w:type="dxa"/>
            <w:gridSpan w:val="5"/>
            <w:tcBorders>
              <w:top w:val="nil"/>
              <w:left w:val="nil"/>
              <w:bottom w:val="nil"/>
              <w:right w:val="nil"/>
            </w:tcBorders>
            <w:shd w:val="clear" w:color="auto" w:fill="auto"/>
            <w:noWrap/>
          </w:tcPr>
          <w:p w14:paraId="12BFB090" w14:textId="77777777" w:rsidR="000020B9" w:rsidRPr="00FD550E" w:rsidRDefault="000020B9" w:rsidP="00EF25E1">
            <w:pPr>
              <w:jc w:val="center"/>
              <w:rPr>
                <w:b/>
                <w:color w:val="000000"/>
                <w:sz w:val="20"/>
                <w:szCs w:val="20"/>
              </w:rPr>
            </w:pPr>
            <w:r w:rsidRPr="00FD550E">
              <w:rPr>
                <w:b/>
                <w:color w:val="000000"/>
                <w:sz w:val="20"/>
                <w:szCs w:val="20"/>
              </w:rPr>
              <w:t>Controls</w:t>
            </w:r>
          </w:p>
        </w:tc>
      </w:tr>
      <w:tr w:rsidR="000020B9" w:rsidRPr="00E45B5B" w14:paraId="35B22E6F" w14:textId="77777777" w:rsidTr="00EF25E1">
        <w:trPr>
          <w:trHeight w:val="300"/>
        </w:trPr>
        <w:tc>
          <w:tcPr>
            <w:tcW w:w="5273" w:type="dxa"/>
            <w:tcBorders>
              <w:top w:val="nil"/>
              <w:left w:val="nil"/>
              <w:bottom w:val="nil"/>
              <w:right w:val="nil"/>
            </w:tcBorders>
            <w:shd w:val="clear" w:color="auto" w:fill="auto"/>
            <w:noWrap/>
            <w:vAlign w:val="bottom"/>
          </w:tcPr>
          <w:p w14:paraId="1C0441C3" w14:textId="77777777" w:rsidR="000020B9" w:rsidRPr="00E45B5B" w:rsidRDefault="000020B9" w:rsidP="00EF25E1">
            <w:pPr>
              <w:rPr>
                <w:color w:val="000000"/>
                <w:sz w:val="20"/>
                <w:szCs w:val="20"/>
              </w:rPr>
            </w:pPr>
            <w:r w:rsidRPr="00E45B5B">
              <w:rPr>
                <w:color w:val="000000"/>
                <w:sz w:val="20"/>
                <w:szCs w:val="20"/>
              </w:rPr>
              <w:t xml:space="preserve">Provision Rate </w:t>
            </w:r>
          </w:p>
        </w:tc>
        <w:tc>
          <w:tcPr>
            <w:tcW w:w="1248" w:type="dxa"/>
            <w:tcBorders>
              <w:top w:val="nil"/>
              <w:left w:val="nil"/>
              <w:bottom w:val="nil"/>
              <w:right w:val="nil"/>
            </w:tcBorders>
            <w:shd w:val="clear" w:color="auto" w:fill="auto"/>
            <w:noWrap/>
            <w:vAlign w:val="bottom"/>
          </w:tcPr>
          <w:p w14:paraId="6A5B9AB2" w14:textId="77777777" w:rsidR="000020B9" w:rsidRPr="00E45B5B" w:rsidRDefault="000020B9" w:rsidP="00EF25E1">
            <w:pPr>
              <w:rPr>
                <w:color w:val="000000"/>
                <w:sz w:val="20"/>
                <w:szCs w:val="20"/>
              </w:rPr>
            </w:pPr>
            <w:r w:rsidRPr="00E45B5B">
              <w:rPr>
                <w:color w:val="000000"/>
                <w:sz w:val="20"/>
                <w:szCs w:val="20"/>
              </w:rPr>
              <w:t xml:space="preserve">        </w:t>
            </w:r>
          </w:p>
        </w:tc>
        <w:tc>
          <w:tcPr>
            <w:tcW w:w="1256" w:type="dxa"/>
            <w:tcBorders>
              <w:top w:val="nil"/>
              <w:left w:val="nil"/>
              <w:bottom w:val="nil"/>
              <w:right w:val="nil"/>
            </w:tcBorders>
            <w:shd w:val="clear" w:color="auto" w:fill="auto"/>
            <w:noWrap/>
            <w:vAlign w:val="bottom"/>
          </w:tcPr>
          <w:p w14:paraId="574A9C18" w14:textId="77777777" w:rsidR="000020B9" w:rsidRPr="00E45B5B" w:rsidRDefault="000020B9" w:rsidP="00EF25E1">
            <w:pPr>
              <w:jc w:val="center"/>
              <w:rPr>
                <w:color w:val="000000"/>
                <w:sz w:val="20"/>
                <w:szCs w:val="20"/>
              </w:rPr>
            </w:pPr>
            <w:r w:rsidRPr="00E45B5B">
              <w:rPr>
                <w:color w:val="000000"/>
                <w:sz w:val="20"/>
                <w:szCs w:val="20"/>
              </w:rPr>
              <w:t xml:space="preserve">-1.643   </w:t>
            </w:r>
          </w:p>
        </w:tc>
        <w:tc>
          <w:tcPr>
            <w:tcW w:w="1662" w:type="dxa"/>
            <w:tcBorders>
              <w:top w:val="nil"/>
              <w:left w:val="nil"/>
              <w:bottom w:val="nil"/>
              <w:right w:val="nil"/>
            </w:tcBorders>
            <w:shd w:val="clear" w:color="auto" w:fill="auto"/>
            <w:noWrap/>
            <w:vAlign w:val="bottom"/>
          </w:tcPr>
          <w:p w14:paraId="6453211A" w14:textId="77777777" w:rsidR="000020B9" w:rsidRPr="00E45B5B" w:rsidRDefault="000020B9" w:rsidP="00EF25E1">
            <w:pPr>
              <w:jc w:val="center"/>
              <w:rPr>
                <w:color w:val="000000"/>
                <w:sz w:val="20"/>
                <w:szCs w:val="20"/>
              </w:rPr>
            </w:pPr>
            <w:r w:rsidRPr="00E45B5B">
              <w:rPr>
                <w:color w:val="000000"/>
                <w:sz w:val="20"/>
                <w:szCs w:val="20"/>
              </w:rPr>
              <w:t xml:space="preserve">-1.618   </w:t>
            </w:r>
          </w:p>
        </w:tc>
        <w:tc>
          <w:tcPr>
            <w:tcW w:w="1278" w:type="dxa"/>
            <w:tcBorders>
              <w:top w:val="nil"/>
              <w:left w:val="nil"/>
              <w:bottom w:val="nil"/>
              <w:right w:val="nil"/>
            </w:tcBorders>
            <w:shd w:val="clear" w:color="auto" w:fill="auto"/>
            <w:noWrap/>
            <w:vAlign w:val="bottom"/>
          </w:tcPr>
          <w:p w14:paraId="6429E139" w14:textId="77777777" w:rsidR="000020B9" w:rsidRPr="00E45B5B" w:rsidRDefault="000020B9" w:rsidP="00EF25E1">
            <w:pPr>
              <w:jc w:val="center"/>
              <w:rPr>
                <w:color w:val="000000"/>
                <w:sz w:val="20"/>
                <w:szCs w:val="20"/>
              </w:rPr>
            </w:pPr>
            <w:r w:rsidRPr="00E45B5B">
              <w:rPr>
                <w:color w:val="000000"/>
                <w:sz w:val="20"/>
                <w:szCs w:val="20"/>
              </w:rPr>
              <w:t xml:space="preserve">-1.600   </w:t>
            </w:r>
          </w:p>
        </w:tc>
      </w:tr>
      <w:tr w:rsidR="000020B9" w:rsidRPr="00E45B5B" w14:paraId="552A095B" w14:textId="77777777" w:rsidTr="00EF25E1">
        <w:trPr>
          <w:trHeight w:val="300"/>
        </w:trPr>
        <w:tc>
          <w:tcPr>
            <w:tcW w:w="5273" w:type="dxa"/>
            <w:tcBorders>
              <w:top w:val="nil"/>
              <w:left w:val="nil"/>
              <w:bottom w:val="nil"/>
              <w:right w:val="nil"/>
            </w:tcBorders>
            <w:shd w:val="clear" w:color="auto" w:fill="auto"/>
            <w:noWrap/>
          </w:tcPr>
          <w:p w14:paraId="0FAC334A" w14:textId="77777777" w:rsidR="000020B9" w:rsidRPr="00E45B5B" w:rsidRDefault="000020B9" w:rsidP="00EF25E1">
            <w:pPr>
              <w:rPr>
                <w:color w:val="000000"/>
                <w:sz w:val="20"/>
                <w:szCs w:val="20"/>
              </w:rPr>
            </w:pPr>
          </w:p>
        </w:tc>
        <w:tc>
          <w:tcPr>
            <w:tcW w:w="1248" w:type="dxa"/>
            <w:tcBorders>
              <w:top w:val="nil"/>
              <w:left w:val="nil"/>
              <w:bottom w:val="nil"/>
              <w:right w:val="nil"/>
            </w:tcBorders>
            <w:shd w:val="clear" w:color="auto" w:fill="auto"/>
            <w:noWrap/>
            <w:vAlign w:val="bottom"/>
          </w:tcPr>
          <w:p w14:paraId="5C3864FD" w14:textId="77777777" w:rsidR="000020B9" w:rsidRPr="00E45B5B" w:rsidRDefault="000020B9" w:rsidP="00EF25E1">
            <w:pPr>
              <w:rPr>
                <w:color w:val="000000"/>
                <w:sz w:val="20"/>
                <w:szCs w:val="20"/>
              </w:rPr>
            </w:pPr>
            <w:r w:rsidRPr="00E45B5B">
              <w:rPr>
                <w:color w:val="000000"/>
                <w:sz w:val="20"/>
                <w:szCs w:val="20"/>
              </w:rPr>
              <w:t xml:space="preserve">        </w:t>
            </w:r>
          </w:p>
        </w:tc>
        <w:tc>
          <w:tcPr>
            <w:tcW w:w="1256" w:type="dxa"/>
            <w:tcBorders>
              <w:top w:val="nil"/>
              <w:left w:val="nil"/>
              <w:bottom w:val="nil"/>
              <w:right w:val="nil"/>
            </w:tcBorders>
            <w:shd w:val="clear" w:color="auto" w:fill="auto"/>
            <w:noWrap/>
            <w:vAlign w:val="bottom"/>
          </w:tcPr>
          <w:p w14:paraId="7A872635" w14:textId="77777777" w:rsidR="000020B9" w:rsidRPr="00E45B5B" w:rsidRDefault="000020B9" w:rsidP="00EF25E1">
            <w:pPr>
              <w:jc w:val="center"/>
              <w:rPr>
                <w:color w:val="000000"/>
                <w:sz w:val="20"/>
                <w:szCs w:val="20"/>
              </w:rPr>
            </w:pPr>
            <w:r w:rsidRPr="00E45B5B">
              <w:rPr>
                <w:color w:val="000000"/>
                <w:sz w:val="20"/>
                <w:szCs w:val="20"/>
              </w:rPr>
              <w:t xml:space="preserve">(2.032)   </w:t>
            </w:r>
          </w:p>
        </w:tc>
        <w:tc>
          <w:tcPr>
            <w:tcW w:w="1662" w:type="dxa"/>
            <w:tcBorders>
              <w:top w:val="nil"/>
              <w:left w:val="nil"/>
              <w:bottom w:val="nil"/>
              <w:right w:val="nil"/>
            </w:tcBorders>
            <w:shd w:val="clear" w:color="auto" w:fill="auto"/>
            <w:noWrap/>
            <w:vAlign w:val="bottom"/>
          </w:tcPr>
          <w:p w14:paraId="2DD1B977" w14:textId="77777777" w:rsidR="000020B9" w:rsidRPr="00E45B5B" w:rsidRDefault="000020B9" w:rsidP="00EF25E1">
            <w:pPr>
              <w:jc w:val="center"/>
              <w:rPr>
                <w:color w:val="000000"/>
                <w:sz w:val="20"/>
                <w:szCs w:val="20"/>
              </w:rPr>
            </w:pPr>
            <w:r w:rsidRPr="00E45B5B">
              <w:rPr>
                <w:color w:val="000000"/>
                <w:sz w:val="20"/>
                <w:szCs w:val="20"/>
              </w:rPr>
              <w:t xml:space="preserve">(2.027)   </w:t>
            </w:r>
          </w:p>
        </w:tc>
        <w:tc>
          <w:tcPr>
            <w:tcW w:w="1278" w:type="dxa"/>
            <w:tcBorders>
              <w:top w:val="nil"/>
              <w:left w:val="nil"/>
              <w:bottom w:val="nil"/>
              <w:right w:val="nil"/>
            </w:tcBorders>
            <w:shd w:val="clear" w:color="auto" w:fill="auto"/>
            <w:noWrap/>
            <w:vAlign w:val="bottom"/>
          </w:tcPr>
          <w:p w14:paraId="61C4C798" w14:textId="77777777" w:rsidR="000020B9" w:rsidRPr="00E45B5B" w:rsidRDefault="000020B9" w:rsidP="00EF25E1">
            <w:pPr>
              <w:jc w:val="center"/>
              <w:rPr>
                <w:color w:val="000000"/>
                <w:sz w:val="20"/>
                <w:szCs w:val="20"/>
              </w:rPr>
            </w:pPr>
            <w:r w:rsidRPr="00E45B5B">
              <w:rPr>
                <w:color w:val="000000"/>
                <w:sz w:val="20"/>
                <w:szCs w:val="20"/>
              </w:rPr>
              <w:t xml:space="preserve">(2.038)   </w:t>
            </w:r>
          </w:p>
        </w:tc>
      </w:tr>
      <w:tr w:rsidR="000020B9" w:rsidRPr="00E45B5B" w14:paraId="0F7A2BFF" w14:textId="77777777" w:rsidTr="00EF25E1">
        <w:trPr>
          <w:trHeight w:val="300"/>
        </w:trPr>
        <w:tc>
          <w:tcPr>
            <w:tcW w:w="5273" w:type="dxa"/>
            <w:tcBorders>
              <w:top w:val="nil"/>
              <w:left w:val="nil"/>
              <w:bottom w:val="nil"/>
              <w:right w:val="nil"/>
            </w:tcBorders>
            <w:shd w:val="clear" w:color="auto" w:fill="auto"/>
            <w:noWrap/>
            <w:vAlign w:val="bottom"/>
          </w:tcPr>
          <w:p w14:paraId="48B5BA8E" w14:textId="77777777" w:rsidR="000020B9" w:rsidRPr="00E45B5B" w:rsidRDefault="000020B9" w:rsidP="00EF25E1">
            <w:pPr>
              <w:rPr>
                <w:color w:val="000000"/>
                <w:sz w:val="20"/>
                <w:szCs w:val="20"/>
              </w:rPr>
            </w:pPr>
            <w:r w:rsidRPr="00E45B5B">
              <w:rPr>
                <w:color w:val="000000"/>
                <w:sz w:val="20"/>
                <w:szCs w:val="20"/>
              </w:rPr>
              <w:t>Profitability</w:t>
            </w:r>
          </w:p>
        </w:tc>
        <w:tc>
          <w:tcPr>
            <w:tcW w:w="1248" w:type="dxa"/>
            <w:tcBorders>
              <w:top w:val="nil"/>
              <w:left w:val="nil"/>
              <w:bottom w:val="nil"/>
              <w:right w:val="nil"/>
            </w:tcBorders>
            <w:shd w:val="clear" w:color="auto" w:fill="auto"/>
            <w:noWrap/>
            <w:vAlign w:val="bottom"/>
          </w:tcPr>
          <w:p w14:paraId="7EC2B2E6" w14:textId="77777777" w:rsidR="000020B9" w:rsidRPr="00E45B5B" w:rsidRDefault="000020B9" w:rsidP="00EF25E1">
            <w:pPr>
              <w:rPr>
                <w:color w:val="000000"/>
                <w:sz w:val="20"/>
                <w:szCs w:val="20"/>
              </w:rPr>
            </w:pPr>
            <w:r w:rsidRPr="00E45B5B">
              <w:rPr>
                <w:color w:val="000000"/>
                <w:sz w:val="20"/>
                <w:szCs w:val="20"/>
              </w:rPr>
              <w:t xml:space="preserve">        </w:t>
            </w:r>
          </w:p>
        </w:tc>
        <w:tc>
          <w:tcPr>
            <w:tcW w:w="1256" w:type="dxa"/>
            <w:tcBorders>
              <w:top w:val="nil"/>
              <w:left w:val="nil"/>
              <w:bottom w:val="nil"/>
              <w:right w:val="nil"/>
            </w:tcBorders>
            <w:shd w:val="clear" w:color="auto" w:fill="auto"/>
            <w:noWrap/>
            <w:vAlign w:val="bottom"/>
          </w:tcPr>
          <w:p w14:paraId="0E560F2E" w14:textId="77777777" w:rsidR="000020B9" w:rsidRPr="00E45B5B" w:rsidRDefault="000020B9" w:rsidP="00EF25E1">
            <w:pPr>
              <w:jc w:val="center"/>
              <w:rPr>
                <w:color w:val="000000"/>
                <w:sz w:val="20"/>
                <w:szCs w:val="20"/>
              </w:rPr>
            </w:pPr>
            <w:r w:rsidRPr="00E45B5B">
              <w:rPr>
                <w:color w:val="000000"/>
                <w:sz w:val="20"/>
                <w:szCs w:val="20"/>
              </w:rPr>
              <w:t>1.489***</w:t>
            </w:r>
          </w:p>
        </w:tc>
        <w:tc>
          <w:tcPr>
            <w:tcW w:w="1662" w:type="dxa"/>
            <w:tcBorders>
              <w:top w:val="nil"/>
              <w:left w:val="nil"/>
              <w:bottom w:val="nil"/>
              <w:right w:val="nil"/>
            </w:tcBorders>
            <w:shd w:val="clear" w:color="auto" w:fill="auto"/>
            <w:noWrap/>
            <w:vAlign w:val="bottom"/>
          </w:tcPr>
          <w:p w14:paraId="1691014D" w14:textId="77777777" w:rsidR="000020B9" w:rsidRPr="00E45B5B" w:rsidRDefault="000020B9" w:rsidP="00EF25E1">
            <w:pPr>
              <w:jc w:val="center"/>
              <w:rPr>
                <w:color w:val="000000"/>
                <w:sz w:val="20"/>
                <w:szCs w:val="20"/>
              </w:rPr>
            </w:pPr>
            <w:r w:rsidRPr="00E45B5B">
              <w:rPr>
                <w:color w:val="000000"/>
                <w:sz w:val="20"/>
                <w:szCs w:val="20"/>
              </w:rPr>
              <w:t>1.500***</w:t>
            </w:r>
          </w:p>
        </w:tc>
        <w:tc>
          <w:tcPr>
            <w:tcW w:w="1278" w:type="dxa"/>
            <w:tcBorders>
              <w:top w:val="nil"/>
              <w:left w:val="nil"/>
              <w:bottom w:val="nil"/>
              <w:right w:val="nil"/>
            </w:tcBorders>
            <w:shd w:val="clear" w:color="auto" w:fill="auto"/>
            <w:noWrap/>
            <w:vAlign w:val="bottom"/>
          </w:tcPr>
          <w:p w14:paraId="53EB932E" w14:textId="77777777" w:rsidR="000020B9" w:rsidRPr="00E45B5B" w:rsidRDefault="000020B9" w:rsidP="00EF25E1">
            <w:pPr>
              <w:jc w:val="center"/>
              <w:rPr>
                <w:color w:val="000000"/>
                <w:sz w:val="20"/>
                <w:szCs w:val="20"/>
              </w:rPr>
            </w:pPr>
            <w:r w:rsidRPr="00E45B5B">
              <w:rPr>
                <w:color w:val="000000"/>
                <w:sz w:val="20"/>
                <w:szCs w:val="20"/>
              </w:rPr>
              <w:t>1.497***</w:t>
            </w:r>
          </w:p>
        </w:tc>
      </w:tr>
      <w:tr w:rsidR="000020B9" w:rsidRPr="00E45B5B" w14:paraId="0109A415" w14:textId="77777777" w:rsidTr="00EF25E1">
        <w:trPr>
          <w:trHeight w:val="300"/>
        </w:trPr>
        <w:tc>
          <w:tcPr>
            <w:tcW w:w="5273" w:type="dxa"/>
            <w:tcBorders>
              <w:top w:val="nil"/>
              <w:left w:val="nil"/>
              <w:bottom w:val="nil"/>
              <w:right w:val="nil"/>
            </w:tcBorders>
            <w:shd w:val="clear" w:color="auto" w:fill="auto"/>
            <w:noWrap/>
          </w:tcPr>
          <w:p w14:paraId="5CF698C5" w14:textId="77777777" w:rsidR="000020B9" w:rsidRPr="00E45B5B" w:rsidRDefault="000020B9" w:rsidP="00EF25E1">
            <w:pPr>
              <w:rPr>
                <w:color w:val="000000"/>
                <w:sz w:val="20"/>
                <w:szCs w:val="20"/>
              </w:rPr>
            </w:pPr>
          </w:p>
        </w:tc>
        <w:tc>
          <w:tcPr>
            <w:tcW w:w="1248" w:type="dxa"/>
            <w:tcBorders>
              <w:top w:val="nil"/>
              <w:left w:val="nil"/>
              <w:bottom w:val="nil"/>
              <w:right w:val="nil"/>
            </w:tcBorders>
            <w:shd w:val="clear" w:color="auto" w:fill="auto"/>
            <w:noWrap/>
            <w:vAlign w:val="bottom"/>
          </w:tcPr>
          <w:p w14:paraId="7B4FB42D" w14:textId="77777777" w:rsidR="000020B9" w:rsidRPr="00E45B5B" w:rsidRDefault="000020B9" w:rsidP="00EF25E1">
            <w:pPr>
              <w:rPr>
                <w:color w:val="000000"/>
                <w:sz w:val="20"/>
                <w:szCs w:val="20"/>
              </w:rPr>
            </w:pPr>
            <w:r w:rsidRPr="00E45B5B">
              <w:rPr>
                <w:color w:val="000000"/>
                <w:sz w:val="20"/>
                <w:szCs w:val="20"/>
              </w:rPr>
              <w:t xml:space="preserve">        </w:t>
            </w:r>
          </w:p>
        </w:tc>
        <w:tc>
          <w:tcPr>
            <w:tcW w:w="1256" w:type="dxa"/>
            <w:tcBorders>
              <w:top w:val="nil"/>
              <w:left w:val="nil"/>
              <w:bottom w:val="nil"/>
              <w:right w:val="nil"/>
            </w:tcBorders>
            <w:shd w:val="clear" w:color="auto" w:fill="auto"/>
            <w:noWrap/>
            <w:vAlign w:val="bottom"/>
          </w:tcPr>
          <w:p w14:paraId="3BC010CB" w14:textId="77777777" w:rsidR="000020B9" w:rsidRPr="00E45B5B" w:rsidRDefault="000020B9" w:rsidP="00EF25E1">
            <w:pPr>
              <w:jc w:val="center"/>
              <w:rPr>
                <w:color w:val="000000"/>
                <w:sz w:val="20"/>
                <w:szCs w:val="20"/>
              </w:rPr>
            </w:pPr>
            <w:r w:rsidRPr="00E45B5B">
              <w:rPr>
                <w:color w:val="000000"/>
                <w:sz w:val="20"/>
                <w:szCs w:val="20"/>
              </w:rPr>
              <w:t xml:space="preserve">(0.311)   </w:t>
            </w:r>
          </w:p>
        </w:tc>
        <w:tc>
          <w:tcPr>
            <w:tcW w:w="1662" w:type="dxa"/>
            <w:tcBorders>
              <w:top w:val="nil"/>
              <w:left w:val="nil"/>
              <w:bottom w:val="nil"/>
              <w:right w:val="nil"/>
            </w:tcBorders>
            <w:shd w:val="clear" w:color="auto" w:fill="auto"/>
            <w:noWrap/>
            <w:vAlign w:val="bottom"/>
          </w:tcPr>
          <w:p w14:paraId="52510BB2" w14:textId="77777777" w:rsidR="000020B9" w:rsidRPr="00E45B5B" w:rsidRDefault="000020B9" w:rsidP="00EF25E1">
            <w:pPr>
              <w:jc w:val="center"/>
              <w:rPr>
                <w:color w:val="000000"/>
                <w:sz w:val="20"/>
                <w:szCs w:val="20"/>
              </w:rPr>
            </w:pPr>
            <w:r w:rsidRPr="00E45B5B">
              <w:rPr>
                <w:color w:val="000000"/>
                <w:sz w:val="20"/>
                <w:szCs w:val="20"/>
              </w:rPr>
              <w:t xml:space="preserve">(0.310)   </w:t>
            </w:r>
          </w:p>
        </w:tc>
        <w:tc>
          <w:tcPr>
            <w:tcW w:w="1278" w:type="dxa"/>
            <w:tcBorders>
              <w:top w:val="nil"/>
              <w:left w:val="nil"/>
              <w:bottom w:val="nil"/>
              <w:right w:val="nil"/>
            </w:tcBorders>
            <w:shd w:val="clear" w:color="auto" w:fill="auto"/>
            <w:noWrap/>
            <w:vAlign w:val="bottom"/>
          </w:tcPr>
          <w:p w14:paraId="0A3A7E3D" w14:textId="77777777" w:rsidR="000020B9" w:rsidRPr="00E45B5B" w:rsidRDefault="000020B9" w:rsidP="00EF25E1">
            <w:pPr>
              <w:jc w:val="center"/>
              <w:rPr>
                <w:color w:val="000000"/>
                <w:sz w:val="20"/>
                <w:szCs w:val="20"/>
              </w:rPr>
            </w:pPr>
            <w:r w:rsidRPr="00E45B5B">
              <w:rPr>
                <w:color w:val="000000"/>
                <w:sz w:val="20"/>
                <w:szCs w:val="20"/>
              </w:rPr>
              <w:t xml:space="preserve">(0.308)   </w:t>
            </w:r>
          </w:p>
        </w:tc>
      </w:tr>
      <w:tr w:rsidR="000020B9" w:rsidRPr="00E45B5B" w14:paraId="311B5979" w14:textId="77777777" w:rsidTr="00EF25E1">
        <w:trPr>
          <w:trHeight w:val="300"/>
        </w:trPr>
        <w:tc>
          <w:tcPr>
            <w:tcW w:w="5273" w:type="dxa"/>
            <w:tcBorders>
              <w:top w:val="nil"/>
              <w:left w:val="nil"/>
              <w:bottom w:val="nil"/>
              <w:right w:val="nil"/>
            </w:tcBorders>
            <w:shd w:val="clear" w:color="auto" w:fill="auto"/>
            <w:noWrap/>
            <w:vAlign w:val="bottom"/>
          </w:tcPr>
          <w:p w14:paraId="69E87CC3" w14:textId="77777777" w:rsidR="000020B9" w:rsidRPr="00E45B5B" w:rsidRDefault="000020B9" w:rsidP="00EF25E1">
            <w:pPr>
              <w:rPr>
                <w:color w:val="000000"/>
                <w:sz w:val="20"/>
                <w:szCs w:val="20"/>
              </w:rPr>
            </w:pPr>
            <w:r w:rsidRPr="00E45B5B">
              <w:rPr>
                <w:color w:val="000000"/>
                <w:sz w:val="20"/>
                <w:szCs w:val="20"/>
              </w:rPr>
              <w:t>Market Share (assets)</w:t>
            </w:r>
          </w:p>
        </w:tc>
        <w:tc>
          <w:tcPr>
            <w:tcW w:w="1248" w:type="dxa"/>
            <w:tcBorders>
              <w:top w:val="nil"/>
              <w:left w:val="nil"/>
              <w:bottom w:val="nil"/>
              <w:right w:val="nil"/>
            </w:tcBorders>
            <w:shd w:val="clear" w:color="auto" w:fill="auto"/>
            <w:noWrap/>
            <w:vAlign w:val="bottom"/>
          </w:tcPr>
          <w:p w14:paraId="17073B75" w14:textId="77777777" w:rsidR="000020B9" w:rsidRPr="00E45B5B" w:rsidRDefault="000020B9" w:rsidP="00EF25E1">
            <w:pPr>
              <w:rPr>
                <w:color w:val="000000"/>
                <w:sz w:val="20"/>
                <w:szCs w:val="20"/>
              </w:rPr>
            </w:pPr>
            <w:r w:rsidRPr="00E45B5B">
              <w:rPr>
                <w:color w:val="000000"/>
                <w:sz w:val="20"/>
                <w:szCs w:val="20"/>
              </w:rPr>
              <w:t xml:space="preserve">        </w:t>
            </w:r>
          </w:p>
        </w:tc>
        <w:tc>
          <w:tcPr>
            <w:tcW w:w="1256" w:type="dxa"/>
            <w:tcBorders>
              <w:top w:val="nil"/>
              <w:left w:val="nil"/>
              <w:bottom w:val="nil"/>
              <w:right w:val="nil"/>
            </w:tcBorders>
            <w:shd w:val="clear" w:color="auto" w:fill="auto"/>
            <w:noWrap/>
            <w:vAlign w:val="bottom"/>
          </w:tcPr>
          <w:p w14:paraId="0B80A4B0"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662" w:type="dxa"/>
            <w:tcBorders>
              <w:top w:val="nil"/>
              <w:left w:val="nil"/>
              <w:bottom w:val="nil"/>
              <w:right w:val="nil"/>
            </w:tcBorders>
            <w:shd w:val="clear" w:color="auto" w:fill="auto"/>
            <w:noWrap/>
            <w:vAlign w:val="bottom"/>
          </w:tcPr>
          <w:p w14:paraId="613ABBB8" w14:textId="77777777" w:rsidR="000020B9" w:rsidRPr="00E45B5B" w:rsidRDefault="000020B9" w:rsidP="00EF25E1">
            <w:pPr>
              <w:jc w:val="center"/>
              <w:rPr>
                <w:color w:val="000000"/>
                <w:sz w:val="20"/>
                <w:szCs w:val="20"/>
              </w:rPr>
            </w:pPr>
            <w:r w:rsidRPr="00E45B5B">
              <w:rPr>
                <w:color w:val="000000"/>
                <w:sz w:val="20"/>
                <w:szCs w:val="20"/>
              </w:rPr>
              <w:t xml:space="preserve">-0.413   </w:t>
            </w:r>
          </w:p>
        </w:tc>
        <w:tc>
          <w:tcPr>
            <w:tcW w:w="1278" w:type="dxa"/>
            <w:tcBorders>
              <w:top w:val="nil"/>
              <w:left w:val="nil"/>
              <w:bottom w:val="nil"/>
              <w:right w:val="nil"/>
            </w:tcBorders>
            <w:shd w:val="clear" w:color="auto" w:fill="auto"/>
            <w:noWrap/>
            <w:vAlign w:val="bottom"/>
          </w:tcPr>
          <w:p w14:paraId="25405C22" w14:textId="77777777" w:rsidR="000020B9" w:rsidRPr="00E45B5B" w:rsidRDefault="000020B9" w:rsidP="00EF25E1">
            <w:pPr>
              <w:jc w:val="center"/>
              <w:rPr>
                <w:color w:val="000000"/>
                <w:sz w:val="20"/>
                <w:szCs w:val="20"/>
              </w:rPr>
            </w:pPr>
            <w:r w:rsidRPr="00E45B5B">
              <w:rPr>
                <w:color w:val="000000"/>
                <w:sz w:val="20"/>
                <w:szCs w:val="20"/>
              </w:rPr>
              <w:t xml:space="preserve">-0.400   </w:t>
            </w:r>
          </w:p>
        </w:tc>
      </w:tr>
      <w:tr w:rsidR="000020B9" w:rsidRPr="00E45B5B" w14:paraId="0497CF96" w14:textId="77777777" w:rsidTr="00EF25E1">
        <w:trPr>
          <w:trHeight w:val="300"/>
        </w:trPr>
        <w:tc>
          <w:tcPr>
            <w:tcW w:w="5273" w:type="dxa"/>
            <w:tcBorders>
              <w:top w:val="nil"/>
              <w:left w:val="nil"/>
              <w:bottom w:val="nil"/>
              <w:right w:val="nil"/>
            </w:tcBorders>
            <w:shd w:val="clear" w:color="auto" w:fill="auto"/>
            <w:noWrap/>
          </w:tcPr>
          <w:p w14:paraId="014437A0" w14:textId="77777777" w:rsidR="000020B9" w:rsidRPr="00E45B5B" w:rsidRDefault="000020B9" w:rsidP="00EF25E1">
            <w:pPr>
              <w:rPr>
                <w:color w:val="000000"/>
                <w:sz w:val="20"/>
                <w:szCs w:val="20"/>
              </w:rPr>
            </w:pPr>
          </w:p>
        </w:tc>
        <w:tc>
          <w:tcPr>
            <w:tcW w:w="1248" w:type="dxa"/>
            <w:tcBorders>
              <w:top w:val="nil"/>
              <w:left w:val="nil"/>
              <w:bottom w:val="nil"/>
              <w:right w:val="nil"/>
            </w:tcBorders>
            <w:shd w:val="clear" w:color="auto" w:fill="auto"/>
            <w:noWrap/>
            <w:vAlign w:val="bottom"/>
          </w:tcPr>
          <w:p w14:paraId="31169F3C" w14:textId="77777777" w:rsidR="000020B9" w:rsidRPr="00E45B5B" w:rsidRDefault="000020B9" w:rsidP="00EF25E1">
            <w:pPr>
              <w:rPr>
                <w:color w:val="000000"/>
                <w:sz w:val="20"/>
                <w:szCs w:val="20"/>
              </w:rPr>
            </w:pPr>
            <w:r w:rsidRPr="00E45B5B">
              <w:rPr>
                <w:color w:val="000000"/>
                <w:sz w:val="20"/>
                <w:szCs w:val="20"/>
              </w:rPr>
              <w:t xml:space="preserve">        </w:t>
            </w:r>
          </w:p>
        </w:tc>
        <w:tc>
          <w:tcPr>
            <w:tcW w:w="1256" w:type="dxa"/>
            <w:tcBorders>
              <w:top w:val="nil"/>
              <w:left w:val="nil"/>
              <w:bottom w:val="nil"/>
              <w:right w:val="nil"/>
            </w:tcBorders>
            <w:shd w:val="clear" w:color="auto" w:fill="auto"/>
            <w:noWrap/>
            <w:vAlign w:val="bottom"/>
          </w:tcPr>
          <w:p w14:paraId="4BE79DC9"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662" w:type="dxa"/>
            <w:tcBorders>
              <w:top w:val="nil"/>
              <w:left w:val="nil"/>
              <w:bottom w:val="nil"/>
              <w:right w:val="nil"/>
            </w:tcBorders>
            <w:shd w:val="clear" w:color="auto" w:fill="auto"/>
            <w:noWrap/>
            <w:vAlign w:val="bottom"/>
          </w:tcPr>
          <w:p w14:paraId="0F9CF6F6" w14:textId="77777777" w:rsidR="000020B9" w:rsidRPr="00E45B5B" w:rsidRDefault="000020B9" w:rsidP="00EF25E1">
            <w:pPr>
              <w:jc w:val="center"/>
              <w:rPr>
                <w:color w:val="000000"/>
                <w:sz w:val="20"/>
                <w:szCs w:val="20"/>
              </w:rPr>
            </w:pPr>
            <w:r w:rsidRPr="00E45B5B">
              <w:rPr>
                <w:color w:val="000000"/>
                <w:sz w:val="20"/>
                <w:szCs w:val="20"/>
              </w:rPr>
              <w:t xml:space="preserve">(0.433)   </w:t>
            </w:r>
          </w:p>
        </w:tc>
        <w:tc>
          <w:tcPr>
            <w:tcW w:w="1278" w:type="dxa"/>
            <w:tcBorders>
              <w:top w:val="nil"/>
              <w:left w:val="nil"/>
              <w:bottom w:val="nil"/>
              <w:right w:val="nil"/>
            </w:tcBorders>
            <w:shd w:val="clear" w:color="auto" w:fill="auto"/>
            <w:noWrap/>
            <w:vAlign w:val="bottom"/>
          </w:tcPr>
          <w:p w14:paraId="13BAE960" w14:textId="77777777" w:rsidR="000020B9" w:rsidRPr="00E45B5B" w:rsidRDefault="000020B9" w:rsidP="00EF25E1">
            <w:pPr>
              <w:jc w:val="center"/>
              <w:rPr>
                <w:color w:val="000000"/>
                <w:sz w:val="20"/>
                <w:szCs w:val="20"/>
              </w:rPr>
            </w:pPr>
            <w:r w:rsidRPr="00E45B5B">
              <w:rPr>
                <w:color w:val="000000"/>
                <w:sz w:val="20"/>
                <w:szCs w:val="20"/>
              </w:rPr>
              <w:t xml:space="preserve">(0.439)   </w:t>
            </w:r>
          </w:p>
        </w:tc>
      </w:tr>
      <w:tr w:rsidR="000020B9" w:rsidRPr="00E45B5B" w14:paraId="44821DBD" w14:textId="77777777" w:rsidTr="00EF25E1">
        <w:trPr>
          <w:trHeight w:val="300"/>
        </w:trPr>
        <w:tc>
          <w:tcPr>
            <w:tcW w:w="5273" w:type="dxa"/>
            <w:tcBorders>
              <w:top w:val="nil"/>
              <w:left w:val="nil"/>
              <w:bottom w:val="nil"/>
              <w:right w:val="nil"/>
            </w:tcBorders>
            <w:shd w:val="clear" w:color="auto" w:fill="auto"/>
            <w:noWrap/>
            <w:vAlign w:val="bottom"/>
          </w:tcPr>
          <w:p w14:paraId="4F035A73" w14:textId="77777777" w:rsidR="000020B9" w:rsidRPr="00E45B5B" w:rsidRDefault="000020B9" w:rsidP="00EF25E1">
            <w:pPr>
              <w:rPr>
                <w:color w:val="000000"/>
                <w:sz w:val="20"/>
                <w:szCs w:val="20"/>
              </w:rPr>
            </w:pPr>
            <w:r w:rsidRPr="00E45B5B">
              <w:rPr>
                <w:color w:val="000000"/>
                <w:sz w:val="20"/>
                <w:szCs w:val="20"/>
              </w:rPr>
              <w:t>HHI (assets)</w:t>
            </w:r>
          </w:p>
        </w:tc>
        <w:tc>
          <w:tcPr>
            <w:tcW w:w="1248" w:type="dxa"/>
            <w:tcBorders>
              <w:top w:val="nil"/>
              <w:left w:val="nil"/>
              <w:bottom w:val="nil"/>
              <w:right w:val="nil"/>
            </w:tcBorders>
            <w:shd w:val="clear" w:color="auto" w:fill="auto"/>
            <w:noWrap/>
            <w:vAlign w:val="bottom"/>
          </w:tcPr>
          <w:p w14:paraId="4EB1C704" w14:textId="77777777" w:rsidR="000020B9" w:rsidRPr="00E45B5B" w:rsidRDefault="000020B9" w:rsidP="00EF25E1">
            <w:pPr>
              <w:rPr>
                <w:color w:val="000000"/>
                <w:sz w:val="20"/>
                <w:szCs w:val="20"/>
              </w:rPr>
            </w:pPr>
            <w:r w:rsidRPr="00E45B5B">
              <w:rPr>
                <w:color w:val="000000"/>
                <w:sz w:val="20"/>
                <w:szCs w:val="20"/>
              </w:rPr>
              <w:t xml:space="preserve">        </w:t>
            </w:r>
          </w:p>
        </w:tc>
        <w:tc>
          <w:tcPr>
            <w:tcW w:w="1256" w:type="dxa"/>
            <w:tcBorders>
              <w:top w:val="nil"/>
              <w:left w:val="nil"/>
              <w:bottom w:val="nil"/>
              <w:right w:val="nil"/>
            </w:tcBorders>
            <w:shd w:val="clear" w:color="auto" w:fill="auto"/>
            <w:noWrap/>
            <w:vAlign w:val="bottom"/>
          </w:tcPr>
          <w:p w14:paraId="152CCB1C"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662" w:type="dxa"/>
            <w:tcBorders>
              <w:top w:val="nil"/>
              <w:left w:val="nil"/>
              <w:bottom w:val="nil"/>
              <w:right w:val="nil"/>
            </w:tcBorders>
            <w:shd w:val="clear" w:color="auto" w:fill="auto"/>
            <w:noWrap/>
            <w:vAlign w:val="bottom"/>
          </w:tcPr>
          <w:p w14:paraId="72789ECD"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278" w:type="dxa"/>
            <w:tcBorders>
              <w:top w:val="nil"/>
              <w:left w:val="nil"/>
              <w:bottom w:val="nil"/>
              <w:right w:val="nil"/>
            </w:tcBorders>
            <w:shd w:val="clear" w:color="auto" w:fill="auto"/>
            <w:noWrap/>
            <w:vAlign w:val="bottom"/>
          </w:tcPr>
          <w:p w14:paraId="18711011" w14:textId="77777777" w:rsidR="000020B9" w:rsidRPr="00E45B5B" w:rsidRDefault="000020B9" w:rsidP="00EF25E1">
            <w:pPr>
              <w:jc w:val="center"/>
              <w:rPr>
                <w:color w:val="000000"/>
                <w:sz w:val="20"/>
                <w:szCs w:val="20"/>
              </w:rPr>
            </w:pPr>
            <w:r w:rsidRPr="00E45B5B">
              <w:rPr>
                <w:color w:val="000000"/>
                <w:sz w:val="20"/>
                <w:szCs w:val="20"/>
              </w:rPr>
              <w:t xml:space="preserve">-0.879   </w:t>
            </w:r>
          </w:p>
        </w:tc>
      </w:tr>
      <w:tr w:rsidR="000020B9" w:rsidRPr="00E45B5B" w14:paraId="22413C77" w14:textId="77777777" w:rsidTr="00EF25E1">
        <w:trPr>
          <w:trHeight w:val="300"/>
        </w:trPr>
        <w:tc>
          <w:tcPr>
            <w:tcW w:w="5273" w:type="dxa"/>
            <w:tcBorders>
              <w:top w:val="nil"/>
              <w:left w:val="nil"/>
              <w:bottom w:val="nil"/>
              <w:right w:val="nil"/>
            </w:tcBorders>
            <w:shd w:val="clear" w:color="auto" w:fill="auto"/>
            <w:noWrap/>
            <w:vAlign w:val="bottom"/>
          </w:tcPr>
          <w:p w14:paraId="4EBBB307" w14:textId="77777777" w:rsidR="000020B9" w:rsidRPr="00E45B5B" w:rsidRDefault="000020B9" w:rsidP="00EF25E1">
            <w:pPr>
              <w:rPr>
                <w:color w:val="000000"/>
                <w:sz w:val="20"/>
                <w:szCs w:val="20"/>
              </w:rPr>
            </w:pPr>
          </w:p>
        </w:tc>
        <w:tc>
          <w:tcPr>
            <w:tcW w:w="1248" w:type="dxa"/>
            <w:tcBorders>
              <w:top w:val="nil"/>
              <w:left w:val="nil"/>
              <w:bottom w:val="nil"/>
              <w:right w:val="nil"/>
            </w:tcBorders>
            <w:shd w:val="clear" w:color="auto" w:fill="auto"/>
            <w:noWrap/>
            <w:vAlign w:val="bottom"/>
          </w:tcPr>
          <w:p w14:paraId="11CFE571" w14:textId="77777777" w:rsidR="000020B9" w:rsidRPr="00E45B5B" w:rsidRDefault="000020B9" w:rsidP="00EF25E1">
            <w:pPr>
              <w:rPr>
                <w:color w:val="000000"/>
                <w:sz w:val="20"/>
                <w:szCs w:val="20"/>
              </w:rPr>
            </w:pPr>
            <w:r w:rsidRPr="00E45B5B">
              <w:rPr>
                <w:color w:val="000000"/>
                <w:sz w:val="20"/>
                <w:szCs w:val="20"/>
              </w:rPr>
              <w:t xml:space="preserve">        </w:t>
            </w:r>
          </w:p>
        </w:tc>
        <w:tc>
          <w:tcPr>
            <w:tcW w:w="1256" w:type="dxa"/>
            <w:tcBorders>
              <w:top w:val="nil"/>
              <w:left w:val="nil"/>
              <w:bottom w:val="nil"/>
              <w:right w:val="nil"/>
            </w:tcBorders>
            <w:shd w:val="clear" w:color="auto" w:fill="auto"/>
            <w:noWrap/>
            <w:vAlign w:val="bottom"/>
          </w:tcPr>
          <w:p w14:paraId="6FA1E7FB"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662" w:type="dxa"/>
            <w:tcBorders>
              <w:top w:val="nil"/>
              <w:left w:val="nil"/>
              <w:bottom w:val="nil"/>
              <w:right w:val="nil"/>
            </w:tcBorders>
            <w:shd w:val="clear" w:color="auto" w:fill="auto"/>
            <w:noWrap/>
            <w:vAlign w:val="bottom"/>
          </w:tcPr>
          <w:p w14:paraId="314D7069"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278" w:type="dxa"/>
            <w:tcBorders>
              <w:top w:val="nil"/>
              <w:left w:val="nil"/>
              <w:bottom w:val="nil"/>
              <w:right w:val="nil"/>
            </w:tcBorders>
            <w:shd w:val="clear" w:color="auto" w:fill="auto"/>
            <w:noWrap/>
            <w:vAlign w:val="bottom"/>
          </w:tcPr>
          <w:p w14:paraId="02DE391A" w14:textId="77777777" w:rsidR="000020B9" w:rsidRPr="00E45B5B" w:rsidRDefault="000020B9" w:rsidP="00EF25E1">
            <w:pPr>
              <w:jc w:val="center"/>
              <w:rPr>
                <w:color w:val="000000"/>
                <w:sz w:val="20"/>
                <w:szCs w:val="20"/>
              </w:rPr>
            </w:pPr>
            <w:r w:rsidRPr="00E45B5B">
              <w:rPr>
                <w:color w:val="000000"/>
                <w:sz w:val="20"/>
                <w:szCs w:val="20"/>
              </w:rPr>
              <w:t xml:space="preserve">(1.098)   </w:t>
            </w:r>
          </w:p>
        </w:tc>
      </w:tr>
      <w:tr w:rsidR="000020B9" w:rsidRPr="00E45B5B" w14:paraId="0C1EC697" w14:textId="77777777" w:rsidTr="00EF25E1">
        <w:trPr>
          <w:trHeight w:val="315"/>
        </w:trPr>
        <w:tc>
          <w:tcPr>
            <w:tcW w:w="5273" w:type="dxa"/>
            <w:tcBorders>
              <w:top w:val="nil"/>
              <w:left w:val="nil"/>
              <w:bottom w:val="double" w:sz="6" w:space="0" w:color="auto"/>
              <w:right w:val="nil"/>
            </w:tcBorders>
            <w:shd w:val="clear" w:color="auto" w:fill="auto"/>
            <w:noWrap/>
          </w:tcPr>
          <w:p w14:paraId="3BB9668B" w14:textId="77777777" w:rsidR="000020B9" w:rsidRPr="00E45B5B" w:rsidRDefault="000020B9" w:rsidP="00EF25E1">
            <w:pPr>
              <w:rPr>
                <w:color w:val="000000"/>
                <w:sz w:val="20"/>
                <w:szCs w:val="20"/>
              </w:rPr>
            </w:pPr>
            <w:r w:rsidRPr="00E45B5B">
              <w:rPr>
                <w:color w:val="000000"/>
                <w:sz w:val="20"/>
                <w:szCs w:val="20"/>
              </w:rPr>
              <w:t> </w:t>
            </w:r>
          </w:p>
        </w:tc>
        <w:tc>
          <w:tcPr>
            <w:tcW w:w="1248" w:type="dxa"/>
            <w:tcBorders>
              <w:top w:val="nil"/>
              <w:left w:val="nil"/>
              <w:bottom w:val="double" w:sz="6" w:space="0" w:color="auto"/>
              <w:right w:val="nil"/>
            </w:tcBorders>
            <w:shd w:val="clear" w:color="auto" w:fill="auto"/>
            <w:noWrap/>
          </w:tcPr>
          <w:p w14:paraId="529FADA6"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256" w:type="dxa"/>
            <w:tcBorders>
              <w:top w:val="nil"/>
              <w:left w:val="nil"/>
              <w:bottom w:val="double" w:sz="6" w:space="0" w:color="auto"/>
              <w:right w:val="nil"/>
            </w:tcBorders>
            <w:shd w:val="clear" w:color="auto" w:fill="auto"/>
            <w:noWrap/>
          </w:tcPr>
          <w:p w14:paraId="52D59A43"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662" w:type="dxa"/>
            <w:tcBorders>
              <w:top w:val="nil"/>
              <w:left w:val="nil"/>
              <w:bottom w:val="double" w:sz="6" w:space="0" w:color="auto"/>
              <w:right w:val="nil"/>
            </w:tcBorders>
            <w:shd w:val="clear" w:color="auto" w:fill="auto"/>
            <w:noWrap/>
          </w:tcPr>
          <w:p w14:paraId="678BD7D3"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278" w:type="dxa"/>
            <w:tcBorders>
              <w:top w:val="nil"/>
              <w:left w:val="nil"/>
              <w:bottom w:val="double" w:sz="6" w:space="0" w:color="auto"/>
              <w:right w:val="nil"/>
            </w:tcBorders>
            <w:shd w:val="clear" w:color="auto" w:fill="auto"/>
            <w:noWrap/>
          </w:tcPr>
          <w:p w14:paraId="7AE3B189" w14:textId="77777777" w:rsidR="000020B9" w:rsidRPr="00E45B5B" w:rsidRDefault="000020B9" w:rsidP="00EF25E1">
            <w:pPr>
              <w:jc w:val="center"/>
              <w:rPr>
                <w:color w:val="000000"/>
                <w:sz w:val="20"/>
                <w:szCs w:val="20"/>
              </w:rPr>
            </w:pPr>
            <w:r w:rsidRPr="00E45B5B">
              <w:rPr>
                <w:color w:val="000000"/>
                <w:sz w:val="20"/>
                <w:szCs w:val="20"/>
              </w:rPr>
              <w:t> </w:t>
            </w:r>
          </w:p>
        </w:tc>
      </w:tr>
      <w:tr w:rsidR="000020B9" w:rsidRPr="00E45B5B" w14:paraId="6E7AA4DB" w14:textId="77777777" w:rsidTr="00EF25E1">
        <w:trPr>
          <w:trHeight w:val="315"/>
        </w:trPr>
        <w:tc>
          <w:tcPr>
            <w:tcW w:w="6521" w:type="dxa"/>
            <w:gridSpan w:val="2"/>
            <w:tcBorders>
              <w:top w:val="nil"/>
              <w:left w:val="nil"/>
              <w:bottom w:val="nil"/>
              <w:right w:val="nil"/>
            </w:tcBorders>
            <w:shd w:val="clear" w:color="auto" w:fill="auto"/>
            <w:noWrap/>
            <w:vAlign w:val="bottom"/>
          </w:tcPr>
          <w:p w14:paraId="13B53F0A" w14:textId="77777777" w:rsidR="000020B9" w:rsidRPr="00E45B5B" w:rsidRDefault="000020B9" w:rsidP="00EF25E1">
            <w:pPr>
              <w:rPr>
                <w:color w:val="000000"/>
                <w:sz w:val="20"/>
                <w:szCs w:val="20"/>
                <w:lang w:val="en-US"/>
              </w:rPr>
            </w:pPr>
            <w:r w:rsidRPr="00E45B5B">
              <w:rPr>
                <w:color w:val="000000"/>
                <w:sz w:val="20"/>
                <w:szCs w:val="20"/>
                <w:lang w:val="en-US"/>
              </w:rPr>
              <w:t xml:space="preserve">H-Statistics (Panzar and </w:t>
            </w:r>
            <w:r>
              <w:rPr>
                <w:color w:val="000000"/>
                <w:sz w:val="20"/>
                <w:szCs w:val="20"/>
                <w:lang w:val="en-US"/>
              </w:rPr>
              <w:t>Rosse</w:t>
            </w:r>
            <w:r w:rsidRPr="00E45B5B">
              <w:rPr>
                <w:color w:val="000000"/>
                <w:sz w:val="20"/>
                <w:szCs w:val="20"/>
                <w:lang w:val="en-US"/>
              </w:rPr>
              <w:t>)</w:t>
            </w:r>
          </w:p>
        </w:tc>
        <w:tc>
          <w:tcPr>
            <w:tcW w:w="1256" w:type="dxa"/>
            <w:tcBorders>
              <w:top w:val="nil"/>
              <w:left w:val="nil"/>
              <w:bottom w:val="nil"/>
              <w:right w:val="nil"/>
            </w:tcBorders>
            <w:shd w:val="clear" w:color="auto" w:fill="auto"/>
            <w:noWrap/>
            <w:vAlign w:val="bottom"/>
          </w:tcPr>
          <w:p w14:paraId="2B400E3E" w14:textId="77777777" w:rsidR="000020B9" w:rsidRPr="00E45B5B" w:rsidRDefault="000020B9" w:rsidP="00EF25E1">
            <w:pPr>
              <w:jc w:val="center"/>
              <w:rPr>
                <w:color w:val="000000"/>
                <w:sz w:val="20"/>
                <w:szCs w:val="20"/>
                <w:lang w:val="en-US"/>
              </w:rPr>
            </w:pPr>
          </w:p>
        </w:tc>
        <w:tc>
          <w:tcPr>
            <w:tcW w:w="1662" w:type="dxa"/>
            <w:tcBorders>
              <w:top w:val="nil"/>
              <w:left w:val="nil"/>
              <w:bottom w:val="nil"/>
              <w:right w:val="nil"/>
            </w:tcBorders>
            <w:shd w:val="clear" w:color="auto" w:fill="auto"/>
            <w:noWrap/>
            <w:vAlign w:val="bottom"/>
          </w:tcPr>
          <w:p w14:paraId="536F2F6C" w14:textId="77777777" w:rsidR="000020B9" w:rsidRPr="00E45B5B" w:rsidRDefault="000020B9" w:rsidP="00EF25E1">
            <w:pPr>
              <w:jc w:val="center"/>
              <w:rPr>
                <w:color w:val="000000"/>
                <w:sz w:val="20"/>
                <w:szCs w:val="20"/>
                <w:lang w:val="en-US"/>
              </w:rPr>
            </w:pPr>
          </w:p>
        </w:tc>
        <w:tc>
          <w:tcPr>
            <w:tcW w:w="1278" w:type="dxa"/>
            <w:tcBorders>
              <w:top w:val="nil"/>
              <w:left w:val="nil"/>
              <w:bottom w:val="nil"/>
              <w:right w:val="nil"/>
            </w:tcBorders>
            <w:shd w:val="clear" w:color="auto" w:fill="auto"/>
            <w:noWrap/>
            <w:vAlign w:val="bottom"/>
          </w:tcPr>
          <w:p w14:paraId="6B7B2656" w14:textId="77777777" w:rsidR="000020B9" w:rsidRPr="00E45B5B" w:rsidRDefault="000020B9" w:rsidP="00EF25E1">
            <w:pPr>
              <w:jc w:val="center"/>
              <w:rPr>
                <w:color w:val="000000"/>
                <w:sz w:val="20"/>
                <w:szCs w:val="20"/>
                <w:lang w:val="en-US"/>
              </w:rPr>
            </w:pPr>
          </w:p>
        </w:tc>
      </w:tr>
      <w:tr w:rsidR="000020B9" w:rsidRPr="00E45B5B" w14:paraId="3AEA4CE9" w14:textId="77777777" w:rsidTr="00EF25E1">
        <w:trPr>
          <w:trHeight w:val="300"/>
        </w:trPr>
        <w:tc>
          <w:tcPr>
            <w:tcW w:w="5273" w:type="dxa"/>
            <w:tcBorders>
              <w:top w:val="nil"/>
              <w:left w:val="nil"/>
              <w:bottom w:val="nil"/>
              <w:right w:val="nil"/>
            </w:tcBorders>
            <w:shd w:val="clear" w:color="auto" w:fill="auto"/>
            <w:noWrap/>
            <w:vAlign w:val="bottom"/>
          </w:tcPr>
          <w:p w14:paraId="721349E3" w14:textId="77777777" w:rsidR="000020B9" w:rsidRPr="00E45B5B" w:rsidRDefault="000020B9" w:rsidP="00EF25E1">
            <w:pPr>
              <w:rPr>
                <w:color w:val="000000"/>
                <w:sz w:val="20"/>
                <w:szCs w:val="20"/>
              </w:rPr>
            </w:pPr>
            <w:r w:rsidRPr="00E45B5B">
              <w:rPr>
                <w:color w:val="000000"/>
                <w:sz w:val="20"/>
                <w:szCs w:val="20"/>
                <w:lang w:val="en-US"/>
              </w:rPr>
              <w:t xml:space="preserve">    </w:t>
            </w:r>
            <w:r w:rsidRPr="00E45B5B">
              <w:rPr>
                <w:color w:val="000000"/>
                <w:sz w:val="20"/>
                <w:szCs w:val="20"/>
              </w:rPr>
              <w:t>Standard H</w:t>
            </w:r>
          </w:p>
        </w:tc>
        <w:tc>
          <w:tcPr>
            <w:tcW w:w="1248" w:type="dxa"/>
            <w:tcBorders>
              <w:top w:val="nil"/>
              <w:left w:val="nil"/>
              <w:bottom w:val="nil"/>
              <w:right w:val="nil"/>
            </w:tcBorders>
            <w:shd w:val="clear" w:color="auto" w:fill="auto"/>
            <w:noWrap/>
          </w:tcPr>
          <w:p w14:paraId="69066BB2" w14:textId="77777777" w:rsidR="000020B9" w:rsidRPr="00E45B5B" w:rsidRDefault="000020B9" w:rsidP="00EF25E1">
            <w:pPr>
              <w:jc w:val="center"/>
              <w:rPr>
                <w:color w:val="000000"/>
                <w:sz w:val="20"/>
                <w:szCs w:val="20"/>
              </w:rPr>
            </w:pPr>
            <w:r w:rsidRPr="00E45B5B">
              <w:rPr>
                <w:color w:val="000000"/>
                <w:sz w:val="20"/>
                <w:szCs w:val="20"/>
              </w:rPr>
              <w:t>0.123</w:t>
            </w:r>
          </w:p>
        </w:tc>
        <w:tc>
          <w:tcPr>
            <w:tcW w:w="1256" w:type="dxa"/>
            <w:tcBorders>
              <w:top w:val="nil"/>
              <w:left w:val="nil"/>
              <w:bottom w:val="nil"/>
              <w:right w:val="nil"/>
            </w:tcBorders>
            <w:shd w:val="clear" w:color="auto" w:fill="auto"/>
            <w:noWrap/>
          </w:tcPr>
          <w:p w14:paraId="365E6A99" w14:textId="77777777" w:rsidR="000020B9" w:rsidRPr="00E45B5B" w:rsidRDefault="000020B9" w:rsidP="00EF25E1">
            <w:pPr>
              <w:jc w:val="center"/>
              <w:rPr>
                <w:color w:val="000000"/>
                <w:sz w:val="20"/>
                <w:szCs w:val="20"/>
              </w:rPr>
            </w:pPr>
            <w:r w:rsidRPr="00E45B5B">
              <w:rPr>
                <w:color w:val="000000"/>
                <w:sz w:val="20"/>
                <w:szCs w:val="20"/>
              </w:rPr>
              <w:t>0.121</w:t>
            </w:r>
          </w:p>
        </w:tc>
        <w:tc>
          <w:tcPr>
            <w:tcW w:w="1662" w:type="dxa"/>
            <w:tcBorders>
              <w:top w:val="nil"/>
              <w:left w:val="nil"/>
              <w:bottom w:val="nil"/>
              <w:right w:val="nil"/>
            </w:tcBorders>
            <w:shd w:val="clear" w:color="auto" w:fill="auto"/>
            <w:noWrap/>
          </w:tcPr>
          <w:p w14:paraId="5F2C4EBD" w14:textId="77777777" w:rsidR="000020B9" w:rsidRPr="00E45B5B" w:rsidRDefault="000020B9" w:rsidP="00EF25E1">
            <w:pPr>
              <w:jc w:val="center"/>
              <w:rPr>
                <w:color w:val="000000"/>
                <w:sz w:val="20"/>
                <w:szCs w:val="20"/>
              </w:rPr>
            </w:pPr>
            <w:r w:rsidRPr="00E45B5B">
              <w:rPr>
                <w:color w:val="000000"/>
                <w:sz w:val="20"/>
                <w:szCs w:val="20"/>
              </w:rPr>
              <w:t>0.124</w:t>
            </w:r>
          </w:p>
        </w:tc>
        <w:tc>
          <w:tcPr>
            <w:tcW w:w="1278" w:type="dxa"/>
            <w:tcBorders>
              <w:top w:val="nil"/>
              <w:left w:val="nil"/>
              <w:bottom w:val="nil"/>
              <w:right w:val="nil"/>
            </w:tcBorders>
            <w:shd w:val="clear" w:color="auto" w:fill="auto"/>
            <w:noWrap/>
          </w:tcPr>
          <w:p w14:paraId="41D59CB9" w14:textId="77777777" w:rsidR="000020B9" w:rsidRPr="00E45B5B" w:rsidRDefault="000020B9" w:rsidP="00EF25E1">
            <w:pPr>
              <w:jc w:val="center"/>
              <w:rPr>
                <w:color w:val="000000"/>
                <w:sz w:val="20"/>
                <w:szCs w:val="20"/>
              </w:rPr>
            </w:pPr>
            <w:r w:rsidRPr="00E45B5B">
              <w:rPr>
                <w:color w:val="000000"/>
                <w:sz w:val="20"/>
                <w:szCs w:val="20"/>
              </w:rPr>
              <w:t>0.123</w:t>
            </w:r>
          </w:p>
        </w:tc>
      </w:tr>
      <w:tr w:rsidR="000020B9" w:rsidRPr="00E45B5B" w14:paraId="716E36E1" w14:textId="77777777" w:rsidTr="00EF25E1">
        <w:trPr>
          <w:trHeight w:val="315"/>
        </w:trPr>
        <w:tc>
          <w:tcPr>
            <w:tcW w:w="5273" w:type="dxa"/>
            <w:tcBorders>
              <w:top w:val="nil"/>
              <w:left w:val="nil"/>
              <w:bottom w:val="double" w:sz="6" w:space="0" w:color="auto"/>
              <w:right w:val="nil"/>
            </w:tcBorders>
            <w:shd w:val="clear" w:color="auto" w:fill="auto"/>
            <w:noWrap/>
            <w:vAlign w:val="bottom"/>
          </w:tcPr>
          <w:p w14:paraId="4995491B" w14:textId="77777777" w:rsidR="000020B9" w:rsidRPr="00E45B5B" w:rsidRDefault="000020B9" w:rsidP="00EF25E1">
            <w:pPr>
              <w:rPr>
                <w:color w:val="000000"/>
                <w:sz w:val="20"/>
                <w:szCs w:val="20"/>
              </w:rPr>
            </w:pPr>
            <w:r w:rsidRPr="00E45B5B">
              <w:rPr>
                <w:color w:val="000000"/>
                <w:sz w:val="20"/>
                <w:szCs w:val="20"/>
              </w:rPr>
              <w:t xml:space="preserve">    </w:t>
            </w:r>
            <w:r>
              <w:rPr>
                <w:color w:val="000000"/>
                <w:sz w:val="20"/>
                <w:szCs w:val="20"/>
              </w:rPr>
              <w:t>Δ</w:t>
            </w:r>
            <w:r w:rsidRPr="00E45B5B">
              <w:rPr>
                <w:color w:val="000000"/>
                <w:sz w:val="20"/>
                <w:szCs w:val="20"/>
              </w:rPr>
              <w:t>H</w:t>
            </w:r>
          </w:p>
        </w:tc>
        <w:tc>
          <w:tcPr>
            <w:tcW w:w="1248" w:type="dxa"/>
            <w:tcBorders>
              <w:top w:val="nil"/>
              <w:left w:val="nil"/>
              <w:bottom w:val="double" w:sz="6" w:space="0" w:color="auto"/>
              <w:right w:val="nil"/>
            </w:tcBorders>
            <w:shd w:val="clear" w:color="auto" w:fill="auto"/>
            <w:noWrap/>
          </w:tcPr>
          <w:p w14:paraId="7F226F11" w14:textId="77777777" w:rsidR="000020B9" w:rsidRPr="00E45B5B" w:rsidRDefault="000020B9" w:rsidP="00EF25E1">
            <w:pPr>
              <w:jc w:val="center"/>
              <w:rPr>
                <w:color w:val="000000"/>
                <w:sz w:val="20"/>
                <w:szCs w:val="20"/>
              </w:rPr>
            </w:pPr>
            <w:r w:rsidRPr="00E45B5B">
              <w:rPr>
                <w:color w:val="000000"/>
                <w:sz w:val="20"/>
                <w:szCs w:val="20"/>
              </w:rPr>
              <w:t>-0.279</w:t>
            </w:r>
          </w:p>
        </w:tc>
        <w:tc>
          <w:tcPr>
            <w:tcW w:w="1256" w:type="dxa"/>
            <w:tcBorders>
              <w:top w:val="nil"/>
              <w:left w:val="nil"/>
              <w:bottom w:val="double" w:sz="6" w:space="0" w:color="auto"/>
              <w:right w:val="nil"/>
            </w:tcBorders>
            <w:shd w:val="clear" w:color="auto" w:fill="auto"/>
            <w:noWrap/>
          </w:tcPr>
          <w:p w14:paraId="670BCC58" w14:textId="77777777" w:rsidR="000020B9" w:rsidRPr="00E45B5B" w:rsidRDefault="000020B9" w:rsidP="00EF25E1">
            <w:pPr>
              <w:jc w:val="center"/>
              <w:rPr>
                <w:color w:val="000000"/>
                <w:sz w:val="20"/>
                <w:szCs w:val="20"/>
              </w:rPr>
            </w:pPr>
            <w:r w:rsidRPr="00E45B5B">
              <w:rPr>
                <w:color w:val="000000"/>
                <w:sz w:val="20"/>
                <w:szCs w:val="20"/>
              </w:rPr>
              <w:t>-0.240</w:t>
            </w:r>
          </w:p>
        </w:tc>
        <w:tc>
          <w:tcPr>
            <w:tcW w:w="1662" w:type="dxa"/>
            <w:tcBorders>
              <w:top w:val="nil"/>
              <w:left w:val="nil"/>
              <w:bottom w:val="double" w:sz="6" w:space="0" w:color="auto"/>
              <w:right w:val="nil"/>
            </w:tcBorders>
            <w:shd w:val="clear" w:color="auto" w:fill="auto"/>
            <w:noWrap/>
          </w:tcPr>
          <w:p w14:paraId="4AAB3ED5" w14:textId="77777777" w:rsidR="000020B9" w:rsidRPr="00E45B5B" w:rsidRDefault="000020B9" w:rsidP="00EF25E1">
            <w:pPr>
              <w:jc w:val="center"/>
              <w:rPr>
                <w:color w:val="000000"/>
                <w:sz w:val="20"/>
                <w:szCs w:val="20"/>
              </w:rPr>
            </w:pPr>
            <w:r w:rsidRPr="00E45B5B">
              <w:rPr>
                <w:color w:val="000000"/>
                <w:sz w:val="20"/>
                <w:szCs w:val="20"/>
              </w:rPr>
              <w:t>-0.236</w:t>
            </w:r>
          </w:p>
        </w:tc>
        <w:tc>
          <w:tcPr>
            <w:tcW w:w="1278" w:type="dxa"/>
            <w:tcBorders>
              <w:top w:val="nil"/>
              <w:left w:val="nil"/>
              <w:bottom w:val="double" w:sz="6" w:space="0" w:color="auto"/>
              <w:right w:val="nil"/>
            </w:tcBorders>
            <w:shd w:val="clear" w:color="auto" w:fill="auto"/>
            <w:noWrap/>
          </w:tcPr>
          <w:p w14:paraId="26965CAE" w14:textId="77777777" w:rsidR="000020B9" w:rsidRPr="00E45B5B" w:rsidRDefault="000020B9" w:rsidP="00EF25E1">
            <w:pPr>
              <w:jc w:val="center"/>
              <w:rPr>
                <w:color w:val="000000"/>
                <w:sz w:val="20"/>
                <w:szCs w:val="20"/>
              </w:rPr>
            </w:pPr>
            <w:r w:rsidRPr="00E45B5B">
              <w:rPr>
                <w:color w:val="000000"/>
                <w:sz w:val="20"/>
                <w:szCs w:val="20"/>
              </w:rPr>
              <w:t>-0.236</w:t>
            </w:r>
          </w:p>
        </w:tc>
      </w:tr>
      <w:tr w:rsidR="000020B9" w:rsidRPr="00E45B5B" w14:paraId="5800B2D2" w14:textId="77777777" w:rsidTr="00EF25E1">
        <w:trPr>
          <w:trHeight w:val="330"/>
        </w:trPr>
        <w:tc>
          <w:tcPr>
            <w:tcW w:w="5273" w:type="dxa"/>
            <w:tcBorders>
              <w:top w:val="nil"/>
              <w:left w:val="nil"/>
              <w:bottom w:val="double" w:sz="6" w:space="0" w:color="auto"/>
              <w:right w:val="nil"/>
            </w:tcBorders>
            <w:shd w:val="clear" w:color="auto" w:fill="auto"/>
            <w:noWrap/>
          </w:tcPr>
          <w:p w14:paraId="2C3C545E" w14:textId="77777777" w:rsidR="000020B9" w:rsidRPr="00E45B5B" w:rsidRDefault="000020B9" w:rsidP="00EF25E1">
            <w:pPr>
              <w:rPr>
                <w:color w:val="000000"/>
                <w:sz w:val="20"/>
                <w:szCs w:val="20"/>
              </w:rPr>
            </w:pPr>
            <w:r w:rsidRPr="00E45B5B">
              <w:rPr>
                <w:color w:val="000000"/>
                <w:sz w:val="20"/>
                <w:szCs w:val="20"/>
              </w:rPr>
              <w:t xml:space="preserve">    Adjusted H = StandarH +deltaH</w:t>
            </w:r>
          </w:p>
        </w:tc>
        <w:tc>
          <w:tcPr>
            <w:tcW w:w="1248" w:type="dxa"/>
            <w:tcBorders>
              <w:top w:val="nil"/>
              <w:left w:val="nil"/>
              <w:bottom w:val="double" w:sz="6" w:space="0" w:color="auto"/>
              <w:right w:val="nil"/>
            </w:tcBorders>
            <w:shd w:val="clear" w:color="auto" w:fill="auto"/>
            <w:noWrap/>
          </w:tcPr>
          <w:p w14:paraId="217D7317" w14:textId="77777777" w:rsidR="000020B9" w:rsidRPr="00E45B5B" w:rsidRDefault="000020B9" w:rsidP="00EF25E1">
            <w:pPr>
              <w:jc w:val="center"/>
              <w:rPr>
                <w:color w:val="000000"/>
                <w:sz w:val="20"/>
                <w:szCs w:val="20"/>
              </w:rPr>
            </w:pPr>
            <w:r w:rsidRPr="00E45B5B">
              <w:rPr>
                <w:color w:val="000000"/>
                <w:sz w:val="20"/>
                <w:szCs w:val="20"/>
              </w:rPr>
              <w:t>-0.156</w:t>
            </w:r>
          </w:p>
        </w:tc>
        <w:tc>
          <w:tcPr>
            <w:tcW w:w="1256" w:type="dxa"/>
            <w:tcBorders>
              <w:top w:val="nil"/>
              <w:left w:val="nil"/>
              <w:bottom w:val="double" w:sz="6" w:space="0" w:color="auto"/>
              <w:right w:val="nil"/>
            </w:tcBorders>
            <w:shd w:val="clear" w:color="auto" w:fill="auto"/>
            <w:noWrap/>
          </w:tcPr>
          <w:p w14:paraId="64B50422" w14:textId="77777777" w:rsidR="000020B9" w:rsidRPr="00E45B5B" w:rsidRDefault="000020B9" w:rsidP="00EF25E1">
            <w:pPr>
              <w:jc w:val="center"/>
              <w:rPr>
                <w:color w:val="000000"/>
                <w:sz w:val="20"/>
                <w:szCs w:val="20"/>
              </w:rPr>
            </w:pPr>
            <w:r w:rsidRPr="00E45B5B">
              <w:rPr>
                <w:color w:val="000000"/>
                <w:sz w:val="20"/>
                <w:szCs w:val="20"/>
              </w:rPr>
              <w:t>-0.119</w:t>
            </w:r>
          </w:p>
        </w:tc>
        <w:tc>
          <w:tcPr>
            <w:tcW w:w="1662" w:type="dxa"/>
            <w:tcBorders>
              <w:top w:val="nil"/>
              <w:left w:val="nil"/>
              <w:bottom w:val="double" w:sz="6" w:space="0" w:color="auto"/>
              <w:right w:val="nil"/>
            </w:tcBorders>
            <w:shd w:val="clear" w:color="auto" w:fill="auto"/>
            <w:noWrap/>
          </w:tcPr>
          <w:p w14:paraId="0F6C70D5" w14:textId="77777777" w:rsidR="000020B9" w:rsidRPr="00E45B5B" w:rsidRDefault="000020B9" w:rsidP="00EF25E1">
            <w:pPr>
              <w:jc w:val="center"/>
              <w:rPr>
                <w:color w:val="000000"/>
                <w:sz w:val="20"/>
                <w:szCs w:val="20"/>
              </w:rPr>
            </w:pPr>
            <w:r w:rsidRPr="00E45B5B">
              <w:rPr>
                <w:color w:val="000000"/>
                <w:sz w:val="20"/>
                <w:szCs w:val="20"/>
              </w:rPr>
              <w:t>-0.112</w:t>
            </w:r>
          </w:p>
        </w:tc>
        <w:tc>
          <w:tcPr>
            <w:tcW w:w="1278" w:type="dxa"/>
            <w:tcBorders>
              <w:top w:val="nil"/>
              <w:left w:val="nil"/>
              <w:bottom w:val="double" w:sz="6" w:space="0" w:color="auto"/>
              <w:right w:val="nil"/>
            </w:tcBorders>
            <w:shd w:val="clear" w:color="auto" w:fill="auto"/>
            <w:noWrap/>
          </w:tcPr>
          <w:p w14:paraId="4E31651C" w14:textId="77777777" w:rsidR="000020B9" w:rsidRPr="00E45B5B" w:rsidRDefault="000020B9" w:rsidP="00EF25E1">
            <w:pPr>
              <w:jc w:val="center"/>
              <w:rPr>
                <w:color w:val="000000"/>
                <w:sz w:val="20"/>
                <w:szCs w:val="20"/>
              </w:rPr>
            </w:pPr>
            <w:r w:rsidRPr="00E45B5B">
              <w:rPr>
                <w:color w:val="000000"/>
                <w:sz w:val="20"/>
                <w:szCs w:val="20"/>
              </w:rPr>
              <w:t>-0.113</w:t>
            </w:r>
          </w:p>
        </w:tc>
      </w:tr>
      <w:tr w:rsidR="000020B9" w:rsidRPr="00E45B5B" w14:paraId="1100D889" w14:textId="77777777" w:rsidTr="00EF25E1">
        <w:trPr>
          <w:trHeight w:val="315"/>
        </w:trPr>
        <w:tc>
          <w:tcPr>
            <w:tcW w:w="5273" w:type="dxa"/>
            <w:tcBorders>
              <w:top w:val="nil"/>
              <w:left w:val="nil"/>
              <w:bottom w:val="nil"/>
              <w:right w:val="nil"/>
            </w:tcBorders>
            <w:shd w:val="clear" w:color="auto" w:fill="auto"/>
            <w:noWrap/>
            <w:vAlign w:val="bottom"/>
          </w:tcPr>
          <w:p w14:paraId="2DD8FF5A" w14:textId="77777777" w:rsidR="000020B9" w:rsidRPr="00E45B5B" w:rsidRDefault="000020B9" w:rsidP="00EF25E1">
            <w:pPr>
              <w:rPr>
                <w:color w:val="000000"/>
                <w:sz w:val="20"/>
                <w:szCs w:val="20"/>
              </w:rPr>
            </w:pPr>
            <w:r>
              <w:rPr>
                <w:color w:val="000000"/>
                <w:sz w:val="20"/>
                <w:szCs w:val="20"/>
              </w:rPr>
              <w:t>Δ</w:t>
            </w:r>
            <w:r w:rsidRPr="00E45B5B">
              <w:rPr>
                <w:color w:val="000000"/>
                <w:sz w:val="20"/>
                <w:szCs w:val="20"/>
              </w:rPr>
              <w:t>H-Statistics</w:t>
            </w:r>
          </w:p>
        </w:tc>
        <w:tc>
          <w:tcPr>
            <w:tcW w:w="1248" w:type="dxa"/>
            <w:tcBorders>
              <w:top w:val="nil"/>
              <w:left w:val="nil"/>
              <w:bottom w:val="nil"/>
              <w:right w:val="nil"/>
            </w:tcBorders>
            <w:shd w:val="clear" w:color="auto" w:fill="auto"/>
            <w:noWrap/>
            <w:vAlign w:val="bottom"/>
          </w:tcPr>
          <w:p w14:paraId="78C8EA19" w14:textId="77777777" w:rsidR="000020B9" w:rsidRPr="00E45B5B" w:rsidRDefault="000020B9" w:rsidP="00EF25E1">
            <w:pPr>
              <w:jc w:val="center"/>
              <w:rPr>
                <w:color w:val="000000"/>
                <w:sz w:val="20"/>
                <w:szCs w:val="20"/>
              </w:rPr>
            </w:pPr>
          </w:p>
        </w:tc>
        <w:tc>
          <w:tcPr>
            <w:tcW w:w="1256" w:type="dxa"/>
            <w:tcBorders>
              <w:top w:val="nil"/>
              <w:left w:val="nil"/>
              <w:bottom w:val="nil"/>
              <w:right w:val="nil"/>
            </w:tcBorders>
            <w:shd w:val="clear" w:color="auto" w:fill="auto"/>
            <w:noWrap/>
            <w:vAlign w:val="bottom"/>
          </w:tcPr>
          <w:p w14:paraId="4EC9A915" w14:textId="77777777" w:rsidR="000020B9" w:rsidRPr="00E45B5B" w:rsidRDefault="000020B9" w:rsidP="00EF25E1">
            <w:pPr>
              <w:jc w:val="center"/>
              <w:rPr>
                <w:color w:val="000000"/>
                <w:sz w:val="20"/>
                <w:szCs w:val="20"/>
              </w:rPr>
            </w:pPr>
          </w:p>
        </w:tc>
        <w:tc>
          <w:tcPr>
            <w:tcW w:w="1662" w:type="dxa"/>
            <w:tcBorders>
              <w:top w:val="nil"/>
              <w:left w:val="nil"/>
              <w:bottom w:val="nil"/>
              <w:right w:val="nil"/>
            </w:tcBorders>
            <w:shd w:val="clear" w:color="auto" w:fill="auto"/>
            <w:noWrap/>
            <w:vAlign w:val="bottom"/>
          </w:tcPr>
          <w:p w14:paraId="296868F7" w14:textId="77777777" w:rsidR="000020B9" w:rsidRPr="00E45B5B" w:rsidRDefault="000020B9" w:rsidP="00EF25E1">
            <w:pPr>
              <w:jc w:val="center"/>
              <w:rPr>
                <w:color w:val="000000"/>
                <w:sz w:val="20"/>
                <w:szCs w:val="20"/>
              </w:rPr>
            </w:pPr>
          </w:p>
        </w:tc>
        <w:tc>
          <w:tcPr>
            <w:tcW w:w="1278" w:type="dxa"/>
            <w:tcBorders>
              <w:top w:val="nil"/>
              <w:left w:val="nil"/>
              <w:bottom w:val="nil"/>
              <w:right w:val="nil"/>
            </w:tcBorders>
            <w:shd w:val="clear" w:color="auto" w:fill="auto"/>
            <w:noWrap/>
            <w:vAlign w:val="bottom"/>
          </w:tcPr>
          <w:p w14:paraId="258F9982" w14:textId="77777777" w:rsidR="000020B9" w:rsidRPr="00E45B5B" w:rsidRDefault="000020B9" w:rsidP="00EF25E1">
            <w:pPr>
              <w:jc w:val="center"/>
              <w:rPr>
                <w:color w:val="000000"/>
                <w:sz w:val="20"/>
                <w:szCs w:val="20"/>
              </w:rPr>
            </w:pPr>
          </w:p>
        </w:tc>
      </w:tr>
      <w:tr w:rsidR="000020B9" w:rsidRPr="00E45B5B" w14:paraId="38F50FC3" w14:textId="77777777" w:rsidTr="00EF25E1">
        <w:trPr>
          <w:trHeight w:val="300"/>
        </w:trPr>
        <w:tc>
          <w:tcPr>
            <w:tcW w:w="5273" w:type="dxa"/>
            <w:tcBorders>
              <w:top w:val="nil"/>
              <w:left w:val="nil"/>
              <w:bottom w:val="nil"/>
              <w:right w:val="nil"/>
            </w:tcBorders>
            <w:shd w:val="clear" w:color="auto" w:fill="auto"/>
            <w:noWrap/>
            <w:vAlign w:val="bottom"/>
          </w:tcPr>
          <w:p w14:paraId="687FBE1C" w14:textId="77777777" w:rsidR="000020B9" w:rsidRPr="00E45B5B" w:rsidRDefault="000020B9" w:rsidP="00EF25E1">
            <w:pPr>
              <w:rPr>
                <w:color w:val="000000"/>
                <w:sz w:val="20"/>
                <w:szCs w:val="20"/>
              </w:rPr>
            </w:pPr>
            <w:r w:rsidRPr="00E45B5B">
              <w:rPr>
                <w:color w:val="000000"/>
                <w:sz w:val="20"/>
                <w:szCs w:val="20"/>
              </w:rPr>
              <w:t xml:space="preserve">    Estimated </w:t>
            </w:r>
            <w:r>
              <w:rPr>
                <w:color w:val="000000"/>
                <w:sz w:val="20"/>
                <w:szCs w:val="20"/>
              </w:rPr>
              <w:t>Δ</w:t>
            </w:r>
            <w:r w:rsidRPr="00E45B5B">
              <w:rPr>
                <w:color w:val="000000"/>
                <w:sz w:val="20"/>
                <w:szCs w:val="20"/>
              </w:rPr>
              <w:t>H</w:t>
            </w:r>
          </w:p>
        </w:tc>
        <w:tc>
          <w:tcPr>
            <w:tcW w:w="1248" w:type="dxa"/>
            <w:tcBorders>
              <w:top w:val="nil"/>
              <w:left w:val="nil"/>
              <w:bottom w:val="nil"/>
              <w:right w:val="nil"/>
            </w:tcBorders>
            <w:shd w:val="clear" w:color="auto" w:fill="auto"/>
            <w:noWrap/>
            <w:vAlign w:val="bottom"/>
          </w:tcPr>
          <w:p w14:paraId="07AD16CF" w14:textId="77777777" w:rsidR="000020B9" w:rsidRPr="00E45B5B" w:rsidRDefault="000020B9" w:rsidP="00EF25E1">
            <w:pPr>
              <w:jc w:val="center"/>
              <w:rPr>
                <w:color w:val="000000"/>
                <w:sz w:val="20"/>
                <w:szCs w:val="20"/>
              </w:rPr>
            </w:pPr>
            <w:r w:rsidRPr="00E45B5B">
              <w:rPr>
                <w:color w:val="000000"/>
                <w:sz w:val="20"/>
                <w:szCs w:val="20"/>
              </w:rPr>
              <w:t>-0.279</w:t>
            </w:r>
          </w:p>
        </w:tc>
        <w:tc>
          <w:tcPr>
            <w:tcW w:w="1256" w:type="dxa"/>
            <w:tcBorders>
              <w:top w:val="nil"/>
              <w:left w:val="nil"/>
              <w:bottom w:val="nil"/>
              <w:right w:val="nil"/>
            </w:tcBorders>
            <w:shd w:val="clear" w:color="auto" w:fill="auto"/>
            <w:noWrap/>
            <w:vAlign w:val="bottom"/>
          </w:tcPr>
          <w:p w14:paraId="1650C67D" w14:textId="77777777" w:rsidR="000020B9" w:rsidRPr="00E45B5B" w:rsidRDefault="000020B9" w:rsidP="00EF25E1">
            <w:pPr>
              <w:jc w:val="center"/>
              <w:rPr>
                <w:color w:val="000000"/>
                <w:sz w:val="20"/>
                <w:szCs w:val="20"/>
              </w:rPr>
            </w:pPr>
            <w:r w:rsidRPr="00E45B5B">
              <w:rPr>
                <w:color w:val="000000"/>
                <w:sz w:val="20"/>
                <w:szCs w:val="20"/>
              </w:rPr>
              <w:t>-0.240</w:t>
            </w:r>
          </w:p>
        </w:tc>
        <w:tc>
          <w:tcPr>
            <w:tcW w:w="1662" w:type="dxa"/>
            <w:tcBorders>
              <w:top w:val="nil"/>
              <w:left w:val="nil"/>
              <w:bottom w:val="nil"/>
              <w:right w:val="nil"/>
            </w:tcBorders>
            <w:shd w:val="clear" w:color="auto" w:fill="auto"/>
            <w:noWrap/>
            <w:vAlign w:val="bottom"/>
          </w:tcPr>
          <w:p w14:paraId="33DB613C" w14:textId="77777777" w:rsidR="000020B9" w:rsidRPr="00E45B5B" w:rsidRDefault="000020B9" w:rsidP="00EF25E1">
            <w:pPr>
              <w:jc w:val="center"/>
              <w:rPr>
                <w:color w:val="000000"/>
                <w:sz w:val="20"/>
                <w:szCs w:val="20"/>
              </w:rPr>
            </w:pPr>
            <w:r w:rsidRPr="00E45B5B">
              <w:rPr>
                <w:color w:val="000000"/>
                <w:sz w:val="20"/>
                <w:szCs w:val="20"/>
              </w:rPr>
              <w:t>-0.236</w:t>
            </w:r>
          </w:p>
        </w:tc>
        <w:tc>
          <w:tcPr>
            <w:tcW w:w="1278" w:type="dxa"/>
            <w:tcBorders>
              <w:top w:val="nil"/>
              <w:left w:val="nil"/>
              <w:bottom w:val="nil"/>
              <w:right w:val="nil"/>
            </w:tcBorders>
            <w:shd w:val="clear" w:color="auto" w:fill="auto"/>
            <w:noWrap/>
            <w:vAlign w:val="bottom"/>
          </w:tcPr>
          <w:p w14:paraId="022DFAA4" w14:textId="77777777" w:rsidR="000020B9" w:rsidRPr="00E45B5B" w:rsidRDefault="000020B9" w:rsidP="00EF25E1">
            <w:pPr>
              <w:jc w:val="center"/>
              <w:rPr>
                <w:color w:val="000000"/>
                <w:sz w:val="20"/>
                <w:szCs w:val="20"/>
              </w:rPr>
            </w:pPr>
            <w:r w:rsidRPr="00E45B5B">
              <w:rPr>
                <w:color w:val="000000"/>
                <w:sz w:val="20"/>
                <w:szCs w:val="20"/>
              </w:rPr>
              <w:t>-0.236</w:t>
            </w:r>
          </w:p>
        </w:tc>
      </w:tr>
      <w:tr w:rsidR="000020B9" w:rsidRPr="00E45B5B" w14:paraId="61390DBD" w14:textId="77777777" w:rsidTr="00EF25E1">
        <w:trPr>
          <w:trHeight w:val="300"/>
        </w:trPr>
        <w:tc>
          <w:tcPr>
            <w:tcW w:w="5273" w:type="dxa"/>
            <w:tcBorders>
              <w:top w:val="nil"/>
              <w:left w:val="nil"/>
              <w:bottom w:val="nil"/>
              <w:right w:val="nil"/>
            </w:tcBorders>
            <w:shd w:val="clear" w:color="auto" w:fill="auto"/>
            <w:noWrap/>
            <w:vAlign w:val="bottom"/>
          </w:tcPr>
          <w:p w14:paraId="2C6A8FCC" w14:textId="77777777" w:rsidR="000020B9" w:rsidRPr="00E45B5B" w:rsidRDefault="000020B9" w:rsidP="00EF25E1">
            <w:pPr>
              <w:rPr>
                <w:color w:val="000000"/>
                <w:sz w:val="20"/>
                <w:szCs w:val="20"/>
              </w:rPr>
            </w:pPr>
            <w:r w:rsidRPr="00E45B5B">
              <w:rPr>
                <w:color w:val="000000"/>
                <w:sz w:val="20"/>
                <w:szCs w:val="20"/>
              </w:rPr>
              <w:t xml:space="preserve">    Standard Deviation </w:t>
            </w:r>
            <w:r>
              <w:rPr>
                <w:color w:val="000000"/>
                <w:sz w:val="20"/>
                <w:szCs w:val="20"/>
              </w:rPr>
              <w:t>Δ</w:t>
            </w:r>
            <w:r w:rsidRPr="00E45B5B">
              <w:rPr>
                <w:color w:val="000000"/>
                <w:sz w:val="20"/>
                <w:szCs w:val="20"/>
              </w:rPr>
              <w:t>H</w:t>
            </w:r>
          </w:p>
        </w:tc>
        <w:tc>
          <w:tcPr>
            <w:tcW w:w="1248" w:type="dxa"/>
            <w:tcBorders>
              <w:top w:val="nil"/>
              <w:left w:val="nil"/>
              <w:bottom w:val="nil"/>
              <w:right w:val="nil"/>
            </w:tcBorders>
            <w:shd w:val="clear" w:color="auto" w:fill="auto"/>
            <w:noWrap/>
            <w:vAlign w:val="bottom"/>
          </w:tcPr>
          <w:p w14:paraId="0F1B5B6E" w14:textId="77777777" w:rsidR="000020B9" w:rsidRPr="00E45B5B" w:rsidRDefault="000020B9" w:rsidP="00EF25E1">
            <w:pPr>
              <w:jc w:val="center"/>
              <w:rPr>
                <w:color w:val="000000"/>
                <w:sz w:val="20"/>
                <w:szCs w:val="20"/>
              </w:rPr>
            </w:pPr>
            <w:r w:rsidRPr="00E45B5B">
              <w:rPr>
                <w:color w:val="000000"/>
                <w:sz w:val="20"/>
                <w:szCs w:val="20"/>
              </w:rPr>
              <w:t>0.158</w:t>
            </w:r>
          </w:p>
        </w:tc>
        <w:tc>
          <w:tcPr>
            <w:tcW w:w="1256" w:type="dxa"/>
            <w:tcBorders>
              <w:top w:val="nil"/>
              <w:left w:val="nil"/>
              <w:bottom w:val="nil"/>
              <w:right w:val="nil"/>
            </w:tcBorders>
            <w:shd w:val="clear" w:color="auto" w:fill="auto"/>
            <w:noWrap/>
            <w:vAlign w:val="bottom"/>
          </w:tcPr>
          <w:p w14:paraId="278F4808" w14:textId="77777777" w:rsidR="000020B9" w:rsidRPr="00E45B5B" w:rsidRDefault="000020B9" w:rsidP="00EF25E1">
            <w:pPr>
              <w:jc w:val="center"/>
              <w:rPr>
                <w:color w:val="000000"/>
                <w:sz w:val="20"/>
                <w:szCs w:val="20"/>
              </w:rPr>
            </w:pPr>
            <w:r w:rsidRPr="00E45B5B">
              <w:rPr>
                <w:color w:val="000000"/>
                <w:sz w:val="20"/>
                <w:szCs w:val="20"/>
              </w:rPr>
              <w:t>0.154</w:t>
            </w:r>
          </w:p>
        </w:tc>
        <w:tc>
          <w:tcPr>
            <w:tcW w:w="1662" w:type="dxa"/>
            <w:tcBorders>
              <w:top w:val="nil"/>
              <w:left w:val="nil"/>
              <w:bottom w:val="nil"/>
              <w:right w:val="nil"/>
            </w:tcBorders>
            <w:shd w:val="clear" w:color="auto" w:fill="auto"/>
            <w:noWrap/>
            <w:vAlign w:val="bottom"/>
          </w:tcPr>
          <w:p w14:paraId="3ECB0FCE" w14:textId="77777777" w:rsidR="000020B9" w:rsidRPr="00E45B5B" w:rsidRDefault="000020B9" w:rsidP="00EF25E1">
            <w:pPr>
              <w:jc w:val="center"/>
              <w:rPr>
                <w:color w:val="000000"/>
                <w:sz w:val="20"/>
                <w:szCs w:val="20"/>
              </w:rPr>
            </w:pPr>
            <w:r w:rsidRPr="00E45B5B">
              <w:rPr>
                <w:color w:val="000000"/>
                <w:sz w:val="20"/>
                <w:szCs w:val="20"/>
              </w:rPr>
              <w:t>0.157</w:t>
            </w:r>
          </w:p>
        </w:tc>
        <w:tc>
          <w:tcPr>
            <w:tcW w:w="1278" w:type="dxa"/>
            <w:tcBorders>
              <w:top w:val="nil"/>
              <w:left w:val="nil"/>
              <w:bottom w:val="nil"/>
              <w:right w:val="nil"/>
            </w:tcBorders>
            <w:shd w:val="clear" w:color="auto" w:fill="auto"/>
            <w:noWrap/>
            <w:vAlign w:val="bottom"/>
          </w:tcPr>
          <w:p w14:paraId="0F2A34D2" w14:textId="77777777" w:rsidR="000020B9" w:rsidRPr="00E45B5B" w:rsidRDefault="000020B9" w:rsidP="00EF25E1">
            <w:pPr>
              <w:jc w:val="center"/>
              <w:rPr>
                <w:color w:val="000000"/>
                <w:sz w:val="20"/>
                <w:szCs w:val="20"/>
              </w:rPr>
            </w:pPr>
            <w:r w:rsidRPr="00E45B5B">
              <w:rPr>
                <w:color w:val="000000"/>
                <w:sz w:val="20"/>
                <w:szCs w:val="20"/>
              </w:rPr>
              <w:t>0.157</w:t>
            </w:r>
          </w:p>
        </w:tc>
      </w:tr>
      <w:tr w:rsidR="000020B9" w:rsidRPr="00E45B5B" w14:paraId="6CD88E4A" w14:textId="77777777" w:rsidTr="00EF25E1">
        <w:trPr>
          <w:trHeight w:val="300"/>
        </w:trPr>
        <w:tc>
          <w:tcPr>
            <w:tcW w:w="5273" w:type="dxa"/>
            <w:tcBorders>
              <w:top w:val="nil"/>
              <w:left w:val="nil"/>
              <w:bottom w:val="nil"/>
              <w:right w:val="nil"/>
            </w:tcBorders>
            <w:shd w:val="clear" w:color="auto" w:fill="auto"/>
            <w:noWrap/>
            <w:vAlign w:val="bottom"/>
          </w:tcPr>
          <w:p w14:paraId="64D1075D" w14:textId="77777777" w:rsidR="000020B9" w:rsidRPr="00E45B5B" w:rsidRDefault="000020B9" w:rsidP="00EF25E1">
            <w:pPr>
              <w:rPr>
                <w:color w:val="000000"/>
                <w:sz w:val="20"/>
                <w:szCs w:val="20"/>
              </w:rPr>
            </w:pPr>
            <w:r w:rsidRPr="00E45B5B">
              <w:rPr>
                <w:color w:val="000000"/>
                <w:sz w:val="20"/>
                <w:szCs w:val="20"/>
              </w:rPr>
              <w:t xml:space="preserve">     Degrees of Freedom</w:t>
            </w:r>
          </w:p>
        </w:tc>
        <w:tc>
          <w:tcPr>
            <w:tcW w:w="1248" w:type="dxa"/>
            <w:tcBorders>
              <w:top w:val="nil"/>
              <w:left w:val="nil"/>
              <w:bottom w:val="nil"/>
              <w:right w:val="nil"/>
            </w:tcBorders>
            <w:shd w:val="clear" w:color="auto" w:fill="auto"/>
            <w:noWrap/>
            <w:vAlign w:val="bottom"/>
          </w:tcPr>
          <w:p w14:paraId="421476B7" w14:textId="77777777" w:rsidR="000020B9" w:rsidRPr="00E45B5B" w:rsidRDefault="000020B9" w:rsidP="00EF25E1">
            <w:pPr>
              <w:jc w:val="center"/>
              <w:rPr>
                <w:color w:val="000000"/>
                <w:sz w:val="20"/>
                <w:szCs w:val="20"/>
              </w:rPr>
            </w:pPr>
            <w:r w:rsidRPr="00E45B5B">
              <w:rPr>
                <w:color w:val="000000"/>
                <w:sz w:val="20"/>
                <w:szCs w:val="20"/>
              </w:rPr>
              <w:t>61</w:t>
            </w:r>
          </w:p>
        </w:tc>
        <w:tc>
          <w:tcPr>
            <w:tcW w:w="1256" w:type="dxa"/>
            <w:tcBorders>
              <w:top w:val="nil"/>
              <w:left w:val="nil"/>
              <w:bottom w:val="nil"/>
              <w:right w:val="nil"/>
            </w:tcBorders>
            <w:shd w:val="clear" w:color="auto" w:fill="auto"/>
            <w:noWrap/>
            <w:vAlign w:val="bottom"/>
          </w:tcPr>
          <w:p w14:paraId="261B34F5" w14:textId="77777777" w:rsidR="000020B9" w:rsidRPr="00E45B5B" w:rsidRDefault="000020B9" w:rsidP="00EF25E1">
            <w:pPr>
              <w:jc w:val="center"/>
              <w:rPr>
                <w:color w:val="000000"/>
                <w:sz w:val="20"/>
                <w:szCs w:val="20"/>
              </w:rPr>
            </w:pPr>
            <w:r w:rsidRPr="00E45B5B">
              <w:rPr>
                <w:color w:val="000000"/>
                <w:sz w:val="20"/>
                <w:szCs w:val="20"/>
              </w:rPr>
              <w:t>61</w:t>
            </w:r>
          </w:p>
        </w:tc>
        <w:tc>
          <w:tcPr>
            <w:tcW w:w="1662" w:type="dxa"/>
            <w:tcBorders>
              <w:top w:val="nil"/>
              <w:left w:val="nil"/>
              <w:bottom w:val="nil"/>
              <w:right w:val="nil"/>
            </w:tcBorders>
            <w:shd w:val="clear" w:color="auto" w:fill="auto"/>
            <w:noWrap/>
            <w:vAlign w:val="bottom"/>
          </w:tcPr>
          <w:p w14:paraId="7CCB52BF" w14:textId="77777777" w:rsidR="000020B9" w:rsidRPr="00E45B5B" w:rsidRDefault="000020B9" w:rsidP="00EF25E1">
            <w:pPr>
              <w:jc w:val="center"/>
              <w:rPr>
                <w:color w:val="000000"/>
                <w:sz w:val="20"/>
                <w:szCs w:val="20"/>
              </w:rPr>
            </w:pPr>
            <w:r w:rsidRPr="00E45B5B">
              <w:rPr>
                <w:color w:val="000000"/>
                <w:sz w:val="20"/>
                <w:szCs w:val="20"/>
              </w:rPr>
              <w:t>61</w:t>
            </w:r>
          </w:p>
        </w:tc>
        <w:tc>
          <w:tcPr>
            <w:tcW w:w="1278" w:type="dxa"/>
            <w:tcBorders>
              <w:top w:val="nil"/>
              <w:left w:val="nil"/>
              <w:bottom w:val="nil"/>
              <w:right w:val="nil"/>
            </w:tcBorders>
            <w:shd w:val="clear" w:color="auto" w:fill="auto"/>
            <w:noWrap/>
            <w:vAlign w:val="bottom"/>
          </w:tcPr>
          <w:p w14:paraId="1F326EFC" w14:textId="77777777" w:rsidR="000020B9" w:rsidRPr="00E45B5B" w:rsidRDefault="000020B9" w:rsidP="00EF25E1">
            <w:pPr>
              <w:jc w:val="center"/>
              <w:rPr>
                <w:color w:val="000000"/>
                <w:sz w:val="20"/>
                <w:szCs w:val="20"/>
              </w:rPr>
            </w:pPr>
            <w:r w:rsidRPr="00E45B5B">
              <w:rPr>
                <w:color w:val="000000"/>
                <w:sz w:val="20"/>
                <w:szCs w:val="20"/>
              </w:rPr>
              <w:t>61</w:t>
            </w:r>
          </w:p>
        </w:tc>
      </w:tr>
      <w:tr w:rsidR="000020B9" w:rsidRPr="00E45B5B" w14:paraId="16E78127" w14:textId="77777777" w:rsidTr="00EF25E1">
        <w:trPr>
          <w:trHeight w:val="300"/>
        </w:trPr>
        <w:tc>
          <w:tcPr>
            <w:tcW w:w="5273" w:type="dxa"/>
            <w:tcBorders>
              <w:top w:val="nil"/>
              <w:left w:val="nil"/>
              <w:bottom w:val="nil"/>
              <w:right w:val="nil"/>
            </w:tcBorders>
            <w:shd w:val="clear" w:color="auto" w:fill="auto"/>
            <w:noWrap/>
            <w:vAlign w:val="bottom"/>
          </w:tcPr>
          <w:p w14:paraId="4AD7976E" w14:textId="77777777" w:rsidR="000020B9" w:rsidRPr="00E45B5B" w:rsidRDefault="000020B9" w:rsidP="00EF25E1">
            <w:pPr>
              <w:rPr>
                <w:color w:val="000000"/>
                <w:sz w:val="20"/>
                <w:szCs w:val="20"/>
                <w:lang w:val="en-US"/>
              </w:rPr>
            </w:pPr>
            <w:r w:rsidRPr="00E45B5B">
              <w:rPr>
                <w:color w:val="000000"/>
                <w:sz w:val="20"/>
                <w:szCs w:val="20"/>
                <w:lang w:val="en-US"/>
              </w:rPr>
              <w:t xml:space="preserve">     p-value Test - Ho: </w:t>
            </w:r>
            <w:r>
              <w:rPr>
                <w:color w:val="000000"/>
                <w:sz w:val="20"/>
                <w:szCs w:val="20"/>
              </w:rPr>
              <w:t>Δ</w:t>
            </w:r>
            <w:r w:rsidRPr="0056585F">
              <w:rPr>
                <w:color w:val="000000"/>
                <w:sz w:val="20"/>
                <w:szCs w:val="20"/>
                <w:lang w:val="en-US"/>
              </w:rPr>
              <w:t>H</w:t>
            </w:r>
            <w:r w:rsidRPr="00E45B5B">
              <w:rPr>
                <w:color w:val="000000"/>
                <w:sz w:val="20"/>
                <w:szCs w:val="20"/>
                <w:lang w:val="en-US"/>
              </w:rPr>
              <w:t xml:space="preserve">≥0, Ha: </w:t>
            </w:r>
            <w:r>
              <w:rPr>
                <w:color w:val="000000"/>
                <w:sz w:val="20"/>
                <w:szCs w:val="20"/>
              </w:rPr>
              <w:t>Δ</w:t>
            </w:r>
            <w:r w:rsidRPr="0056585F">
              <w:rPr>
                <w:color w:val="000000"/>
                <w:sz w:val="20"/>
                <w:szCs w:val="20"/>
                <w:lang w:val="en-US"/>
              </w:rPr>
              <w:t>H</w:t>
            </w:r>
            <w:r w:rsidRPr="00E45B5B">
              <w:rPr>
                <w:color w:val="000000"/>
                <w:sz w:val="20"/>
                <w:szCs w:val="20"/>
                <w:lang w:val="en-US"/>
              </w:rPr>
              <w:t xml:space="preserve"> &lt;0</w:t>
            </w:r>
          </w:p>
        </w:tc>
        <w:tc>
          <w:tcPr>
            <w:tcW w:w="1248" w:type="dxa"/>
            <w:tcBorders>
              <w:top w:val="nil"/>
              <w:left w:val="nil"/>
              <w:bottom w:val="nil"/>
              <w:right w:val="nil"/>
            </w:tcBorders>
            <w:shd w:val="clear" w:color="auto" w:fill="auto"/>
            <w:noWrap/>
            <w:vAlign w:val="bottom"/>
          </w:tcPr>
          <w:p w14:paraId="4BD93C30" w14:textId="77777777" w:rsidR="000020B9" w:rsidRPr="00E45B5B" w:rsidRDefault="000020B9" w:rsidP="00EF25E1">
            <w:pPr>
              <w:jc w:val="center"/>
              <w:rPr>
                <w:color w:val="000000"/>
                <w:sz w:val="20"/>
                <w:szCs w:val="20"/>
              </w:rPr>
            </w:pPr>
            <w:r w:rsidRPr="00E45B5B">
              <w:rPr>
                <w:color w:val="000000"/>
                <w:sz w:val="20"/>
                <w:szCs w:val="20"/>
              </w:rPr>
              <w:t>0.041</w:t>
            </w:r>
          </w:p>
        </w:tc>
        <w:tc>
          <w:tcPr>
            <w:tcW w:w="1256" w:type="dxa"/>
            <w:tcBorders>
              <w:top w:val="nil"/>
              <w:left w:val="nil"/>
              <w:bottom w:val="nil"/>
              <w:right w:val="nil"/>
            </w:tcBorders>
            <w:shd w:val="clear" w:color="auto" w:fill="auto"/>
            <w:noWrap/>
            <w:vAlign w:val="bottom"/>
          </w:tcPr>
          <w:p w14:paraId="67E6E67C" w14:textId="77777777" w:rsidR="000020B9" w:rsidRPr="00E45B5B" w:rsidRDefault="000020B9" w:rsidP="00EF25E1">
            <w:pPr>
              <w:jc w:val="center"/>
              <w:rPr>
                <w:color w:val="000000"/>
                <w:sz w:val="20"/>
                <w:szCs w:val="20"/>
              </w:rPr>
            </w:pPr>
            <w:r w:rsidRPr="00E45B5B">
              <w:rPr>
                <w:color w:val="000000"/>
                <w:sz w:val="20"/>
                <w:szCs w:val="20"/>
              </w:rPr>
              <w:t>0.062</w:t>
            </w:r>
          </w:p>
        </w:tc>
        <w:tc>
          <w:tcPr>
            <w:tcW w:w="1662" w:type="dxa"/>
            <w:tcBorders>
              <w:top w:val="nil"/>
              <w:left w:val="nil"/>
              <w:bottom w:val="nil"/>
              <w:right w:val="nil"/>
            </w:tcBorders>
            <w:shd w:val="clear" w:color="auto" w:fill="auto"/>
            <w:noWrap/>
            <w:vAlign w:val="bottom"/>
          </w:tcPr>
          <w:p w14:paraId="20251637" w14:textId="77777777" w:rsidR="000020B9" w:rsidRPr="00E45B5B" w:rsidRDefault="000020B9" w:rsidP="00EF25E1">
            <w:pPr>
              <w:jc w:val="center"/>
              <w:rPr>
                <w:color w:val="000000"/>
                <w:sz w:val="20"/>
                <w:szCs w:val="20"/>
              </w:rPr>
            </w:pPr>
            <w:r w:rsidRPr="00E45B5B">
              <w:rPr>
                <w:color w:val="000000"/>
                <w:sz w:val="20"/>
                <w:szCs w:val="20"/>
              </w:rPr>
              <w:t>0.069</w:t>
            </w:r>
          </w:p>
        </w:tc>
        <w:tc>
          <w:tcPr>
            <w:tcW w:w="1278" w:type="dxa"/>
            <w:tcBorders>
              <w:top w:val="nil"/>
              <w:left w:val="nil"/>
              <w:bottom w:val="nil"/>
              <w:right w:val="nil"/>
            </w:tcBorders>
            <w:shd w:val="clear" w:color="auto" w:fill="auto"/>
            <w:noWrap/>
            <w:vAlign w:val="bottom"/>
          </w:tcPr>
          <w:p w14:paraId="49D1F66D" w14:textId="77777777" w:rsidR="000020B9" w:rsidRPr="00E45B5B" w:rsidRDefault="000020B9" w:rsidP="00EF25E1">
            <w:pPr>
              <w:jc w:val="center"/>
              <w:rPr>
                <w:color w:val="000000"/>
                <w:sz w:val="20"/>
                <w:szCs w:val="20"/>
              </w:rPr>
            </w:pPr>
            <w:r w:rsidRPr="00E45B5B">
              <w:rPr>
                <w:color w:val="000000"/>
                <w:sz w:val="20"/>
                <w:szCs w:val="20"/>
              </w:rPr>
              <w:t>0.069</w:t>
            </w:r>
          </w:p>
        </w:tc>
      </w:tr>
      <w:tr w:rsidR="000020B9" w:rsidRPr="00E45B5B" w14:paraId="6D3FBEDA" w14:textId="77777777" w:rsidTr="00EF25E1">
        <w:trPr>
          <w:trHeight w:val="315"/>
        </w:trPr>
        <w:tc>
          <w:tcPr>
            <w:tcW w:w="5273" w:type="dxa"/>
            <w:tcBorders>
              <w:top w:val="nil"/>
              <w:left w:val="nil"/>
              <w:bottom w:val="double" w:sz="6" w:space="0" w:color="auto"/>
              <w:right w:val="nil"/>
            </w:tcBorders>
            <w:shd w:val="clear" w:color="auto" w:fill="auto"/>
            <w:noWrap/>
          </w:tcPr>
          <w:p w14:paraId="4A526892" w14:textId="77777777" w:rsidR="000020B9" w:rsidRPr="00E45B5B" w:rsidRDefault="000020B9" w:rsidP="00EF25E1">
            <w:pPr>
              <w:rPr>
                <w:color w:val="000000"/>
                <w:sz w:val="20"/>
                <w:szCs w:val="20"/>
              </w:rPr>
            </w:pPr>
            <w:r w:rsidRPr="00E45B5B">
              <w:rPr>
                <w:color w:val="000000"/>
                <w:sz w:val="20"/>
                <w:szCs w:val="20"/>
              </w:rPr>
              <w:t xml:space="preserve">     Confidence Interval (95%)</w:t>
            </w:r>
          </w:p>
        </w:tc>
        <w:tc>
          <w:tcPr>
            <w:tcW w:w="1248" w:type="dxa"/>
            <w:tcBorders>
              <w:top w:val="nil"/>
              <w:left w:val="nil"/>
              <w:bottom w:val="double" w:sz="6" w:space="0" w:color="auto"/>
              <w:right w:val="nil"/>
            </w:tcBorders>
            <w:shd w:val="clear" w:color="auto" w:fill="auto"/>
            <w:noWrap/>
            <w:vAlign w:val="bottom"/>
          </w:tcPr>
          <w:p w14:paraId="568273BE" w14:textId="77777777" w:rsidR="000020B9" w:rsidRPr="00E45B5B" w:rsidRDefault="000020B9" w:rsidP="00EF25E1">
            <w:pPr>
              <w:jc w:val="center"/>
              <w:rPr>
                <w:color w:val="000000"/>
                <w:sz w:val="20"/>
                <w:szCs w:val="20"/>
              </w:rPr>
            </w:pPr>
            <w:r w:rsidRPr="00E45B5B">
              <w:rPr>
                <w:color w:val="000000"/>
                <w:sz w:val="20"/>
                <w:szCs w:val="20"/>
              </w:rPr>
              <w:t>-0.544/-0.015</w:t>
            </w:r>
          </w:p>
        </w:tc>
        <w:tc>
          <w:tcPr>
            <w:tcW w:w="1256" w:type="dxa"/>
            <w:tcBorders>
              <w:top w:val="nil"/>
              <w:left w:val="nil"/>
              <w:bottom w:val="double" w:sz="6" w:space="0" w:color="auto"/>
              <w:right w:val="nil"/>
            </w:tcBorders>
            <w:shd w:val="clear" w:color="auto" w:fill="auto"/>
            <w:noWrap/>
            <w:vAlign w:val="bottom"/>
          </w:tcPr>
          <w:p w14:paraId="659F1D88" w14:textId="77777777" w:rsidR="000020B9" w:rsidRPr="00E45B5B" w:rsidRDefault="000020B9" w:rsidP="00EF25E1">
            <w:pPr>
              <w:jc w:val="center"/>
              <w:rPr>
                <w:color w:val="000000"/>
                <w:sz w:val="20"/>
                <w:szCs w:val="20"/>
              </w:rPr>
            </w:pPr>
            <w:r w:rsidRPr="00E45B5B">
              <w:rPr>
                <w:color w:val="000000"/>
                <w:sz w:val="20"/>
                <w:szCs w:val="20"/>
              </w:rPr>
              <w:t>-0.497/0.017</w:t>
            </w:r>
          </w:p>
        </w:tc>
        <w:tc>
          <w:tcPr>
            <w:tcW w:w="1662" w:type="dxa"/>
            <w:tcBorders>
              <w:top w:val="nil"/>
              <w:left w:val="nil"/>
              <w:bottom w:val="double" w:sz="6" w:space="0" w:color="auto"/>
              <w:right w:val="nil"/>
            </w:tcBorders>
            <w:shd w:val="clear" w:color="auto" w:fill="auto"/>
            <w:noWrap/>
            <w:vAlign w:val="bottom"/>
          </w:tcPr>
          <w:p w14:paraId="243CDE9F" w14:textId="77777777" w:rsidR="000020B9" w:rsidRPr="00E45B5B" w:rsidRDefault="000020B9" w:rsidP="00EF25E1">
            <w:pPr>
              <w:jc w:val="center"/>
              <w:rPr>
                <w:color w:val="000000"/>
                <w:sz w:val="20"/>
                <w:szCs w:val="20"/>
              </w:rPr>
            </w:pPr>
            <w:r>
              <w:rPr>
                <w:color w:val="000000"/>
                <w:sz w:val="20"/>
                <w:szCs w:val="20"/>
              </w:rPr>
              <w:t>-0.497</w:t>
            </w:r>
            <w:r w:rsidRPr="00E45B5B">
              <w:rPr>
                <w:color w:val="000000"/>
                <w:sz w:val="20"/>
                <w:szCs w:val="20"/>
              </w:rPr>
              <w:t>/0.026</w:t>
            </w:r>
          </w:p>
        </w:tc>
        <w:tc>
          <w:tcPr>
            <w:tcW w:w="1278" w:type="dxa"/>
            <w:tcBorders>
              <w:top w:val="nil"/>
              <w:left w:val="nil"/>
              <w:bottom w:val="double" w:sz="6" w:space="0" w:color="auto"/>
              <w:right w:val="nil"/>
            </w:tcBorders>
            <w:shd w:val="clear" w:color="auto" w:fill="auto"/>
            <w:noWrap/>
            <w:vAlign w:val="bottom"/>
          </w:tcPr>
          <w:p w14:paraId="4E354909" w14:textId="77777777" w:rsidR="000020B9" w:rsidRPr="00E45B5B" w:rsidRDefault="000020B9" w:rsidP="00EF25E1">
            <w:pPr>
              <w:jc w:val="center"/>
              <w:rPr>
                <w:color w:val="000000"/>
                <w:sz w:val="20"/>
                <w:szCs w:val="20"/>
              </w:rPr>
            </w:pPr>
            <w:r w:rsidRPr="00E45B5B">
              <w:rPr>
                <w:color w:val="000000"/>
                <w:sz w:val="20"/>
                <w:szCs w:val="20"/>
              </w:rPr>
              <w:t>-0.498/0.026</w:t>
            </w:r>
          </w:p>
        </w:tc>
      </w:tr>
      <w:tr w:rsidR="000020B9" w:rsidRPr="00E45B5B" w14:paraId="587D30D3" w14:textId="77777777" w:rsidTr="00EF25E1">
        <w:trPr>
          <w:trHeight w:val="315"/>
        </w:trPr>
        <w:tc>
          <w:tcPr>
            <w:tcW w:w="5273" w:type="dxa"/>
            <w:tcBorders>
              <w:top w:val="double" w:sz="6" w:space="0" w:color="auto"/>
              <w:left w:val="nil"/>
              <w:bottom w:val="single" w:sz="4" w:space="0" w:color="auto"/>
              <w:right w:val="nil"/>
            </w:tcBorders>
            <w:shd w:val="clear" w:color="auto" w:fill="auto"/>
            <w:noWrap/>
            <w:vAlign w:val="bottom"/>
          </w:tcPr>
          <w:p w14:paraId="41899034" w14:textId="77777777" w:rsidR="000020B9" w:rsidRPr="00E45B5B" w:rsidRDefault="000020B9" w:rsidP="00EF25E1">
            <w:pPr>
              <w:rPr>
                <w:color w:val="000000"/>
                <w:sz w:val="20"/>
                <w:szCs w:val="20"/>
              </w:rPr>
            </w:pPr>
            <w:r w:rsidRPr="00E45B5B">
              <w:rPr>
                <w:color w:val="000000"/>
                <w:sz w:val="20"/>
                <w:szCs w:val="20"/>
              </w:rPr>
              <w:t>Observations</w:t>
            </w:r>
          </w:p>
        </w:tc>
        <w:tc>
          <w:tcPr>
            <w:tcW w:w="1248" w:type="dxa"/>
            <w:tcBorders>
              <w:top w:val="double" w:sz="6" w:space="0" w:color="auto"/>
              <w:left w:val="nil"/>
              <w:bottom w:val="single" w:sz="4" w:space="0" w:color="auto"/>
              <w:right w:val="nil"/>
            </w:tcBorders>
            <w:shd w:val="clear" w:color="auto" w:fill="auto"/>
            <w:noWrap/>
            <w:vAlign w:val="bottom"/>
          </w:tcPr>
          <w:p w14:paraId="556E0104" w14:textId="77777777" w:rsidR="000020B9" w:rsidRPr="00E45B5B" w:rsidRDefault="000020B9" w:rsidP="00EF25E1">
            <w:pPr>
              <w:jc w:val="center"/>
              <w:rPr>
                <w:color w:val="000000"/>
                <w:sz w:val="20"/>
                <w:szCs w:val="20"/>
              </w:rPr>
            </w:pPr>
            <w:r w:rsidRPr="00E45B5B">
              <w:rPr>
                <w:color w:val="000000"/>
                <w:sz w:val="20"/>
                <w:szCs w:val="20"/>
              </w:rPr>
              <w:t>1,786</w:t>
            </w:r>
          </w:p>
        </w:tc>
        <w:tc>
          <w:tcPr>
            <w:tcW w:w="1256" w:type="dxa"/>
            <w:tcBorders>
              <w:top w:val="double" w:sz="6" w:space="0" w:color="auto"/>
              <w:left w:val="nil"/>
              <w:bottom w:val="single" w:sz="4" w:space="0" w:color="auto"/>
              <w:right w:val="nil"/>
            </w:tcBorders>
            <w:shd w:val="clear" w:color="auto" w:fill="auto"/>
            <w:noWrap/>
            <w:vAlign w:val="bottom"/>
          </w:tcPr>
          <w:p w14:paraId="7829E665" w14:textId="77777777" w:rsidR="000020B9" w:rsidRPr="00E45B5B" w:rsidRDefault="000020B9" w:rsidP="00EF25E1">
            <w:pPr>
              <w:jc w:val="center"/>
              <w:rPr>
                <w:color w:val="000000"/>
                <w:sz w:val="20"/>
                <w:szCs w:val="20"/>
              </w:rPr>
            </w:pPr>
            <w:r w:rsidRPr="00E45B5B">
              <w:rPr>
                <w:color w:val="000000"/>
                <w:sz w:val="20"/>
                <w:szCs w:val="20"/>
              </w:rPr>
              <w:t>1,786</w:t>
            </w:r>
          </w:p>
        </w:tc>
        <w:tc>
          <w:tcPr>
            <w:tcW w:w="1662" w:type="dxa"/>
            <w:tcBorders>
              <w:top w:val="double" w:sz="6" w:space="0" w:color="auto"/>
              <w:left w:val="nil"/>
              <w:bottom w:val="single" w:sz="4" w:space="0" w:color="auto"/>
              <w:right w:val="nil"/>
            </w:tcBorders>
            <w:shd w:val="clear" w:color="auto" w:fill="auto"/>
            <w:noWrap/>
            <w:vAlign w:val="bottom"/>
          </w:tcPr>
          <w:p w14:paraId="7A7898C3" w14:textId="77777777" w:rsidR="000020B9" w:rsidRPr="00E45B5B" w:rsidRDefault="000020B9" w:rsidP="00EF25E1">
            <w:pPr>
              <w:jc w:val="center"/>
              <w:rPr>
                <w:color w:val="000000"/>
                <w:sz w:val="20"/>
                <w:szCs w:val="20"/>
              </w:rPr>
            </w:pPr>
            <w:r w:rsidRPr="00E45B5B">
              <w:rPr>
                <w:color w:val="000000"/>
                <w:sz w:val="20"/>
                <w:szCs w:val="20"/>
              </w:rPr>
              <w:t>1,786</w:t>
            </w:r>
          </w:p>
        </w:tc>
        <w:tc>
          <w:tcPr>
            <w:tcW w:w="1278" w:type="dxa"/>
            <w:tcBorders>
              <w:top w:val="double" w:sz="6" w:space="0" w:color="auto"/>
              <w:left w:val="nil"/>
              <w:bottom w:val="single" w:sz="4" w:space="0" w:color="auto"/>
              <w:right w:val="nil"/>
            </w:tcBorders>
            <w:shd w:val="clear" w:color="auto" w:fill="auto"/>
            <w:noWrap/>
            <w:vAlign w:val="bottom"/>
          </w:tcPr>
          <w:p w14:paraId="7F897C94" w14:textId="77777777" w:rsidR="000020B9" w:rsidRPr="00E45B5B" w:rsidRDefault="000020B9" w:rsidP="00EF25E1">
            <w:pPr>
              <w:jc w:val="center"/>
              <w:rPr>
                <w:color w:val="000000"/>
                <w:sz w:val="20"/>
                <w:szCs w:val="20"/>
              </w:rPr>
            </w:pPr>
            <w:r w:rsidRPr="00E45B5B">
              <w:rPr>
                <w:color w:val="000000"/>
                <w:sz w:val="20"/>
                <w:szCs w:val="20"/>
              </w:rPr>
              <w:t>1,786</w:t>
            </w:r>
          </w:p>
        </w:tc>
      </w:tr>
      <w:tr w:rsidR="000020B9" w:rsidRPr="00E45B5B" w14:paraId="6D81E186" w14:textId="77777777" w:rsidTr="00EF25E1">
        <w:trPr>
          <w:trHeight w:val="315"/>
        </w:trPr>
        <w:tc>
          <w:tcPr>
            <w:tcW w:w="5273" w:type="dxa"/>
            <w:tcBorders>
              <w:top w:val="single" w:sz="4" w:space="0" w:color="auto"/>
              <w:left w:val="nil"/>
              <w:bottom w:val="double" w:sz="6" w:space="0" w:color="auto"/>
              <w:right w:val="nil"/>
            </w:tcBorders>
            <w:shd w:val="clear" w:color="auto" w:fill="auto"/>
            <w:noWrap/>
            <w:vAlign w:val="bottom"/>
          </w:tcPr>
          <w:p w14:paraId="55C7009E" w14:textId="77777777" w:rsidR="000020B9" w:rsidRPr="00E45B5B" w:rsidRDefault="000020B9" w:rsidP="00EF25E1">
            <w:pPr>
              <w:rPr>
                <w:color w:val="000000"/>
                <w:sz w:val="20"/>
                <w:szCs w:val="20"/>
              </w:rPr>
            </w:pPr>
            <w:r w:rsidRPr="00E45B5B">
              <w:rPr>
                <w:color w:val="000000"/>
                <w:sz w:val="20"/>
                <w:szCs w:val="20"/>
              </w:rPr>
              <w:lastRenderedPageBreak/>
              <w:t>R-Square</w:t>
            </w:r>
          </w:p>
        </w:tc>
        <w:tc>
          <w:tcPr>
            <w:tcW w:w="1248" w:type="dxa"/>
            <w:tcBorders>
              <w:top w:val="single" w:sz="4" w:space="0" w:color="auto"/>
              <w:left w:val="nil"/>
              <w:bottom w:val="double" w:sz="6" w:space="0" w:color="auto"/>
              <w:right w:val="nil"/>
            </w:tcBorders>
            <w:shd w:val="clear" w:color="auto" w:fill="auto"/>
            <w:noWrap/>
            <w:vAlign w:val="bottom"/>
          </w:tcPr>
          <w:p w14:paraId="4E6F91CD" w14:textId="77777777" w:rsidR="000020B9" w:rsidRPr="00E45B5B" w:rsidRDefault="000020B9" w:rsidP="00EF25E1">
            <w:pPr>
              <w:jc w:val="center"/>
              <w:rPr>
                <w:color w:val="000000"/>
                <w:sz w:val="20"/>
                <w:szCs w:val="20"/>
              </w:rPr>
            </w:pPr>
            <w:r w:rsidRPr="00E45B5B">
              <w:rPr>
                <w:color w:val="000000"/>
                <w:sz w:val="20"/>
                <w:szCs w:val="20"/>
              </w:rPr>
              <w:t xml:space="preserve">0.394   </w:t>
            </w:r>
          </w:p>
        </w:tc>
        <w:tc>
          <w:tcPr>
            <w:tcW w:w="1256" w:type="dxa"/>
            <w:tcBorders>
              <w:top w:val="single" w:sz="4" w:space="0" w:color="auto"/>
              <w:left w:val="nil"/>
              <w:bottom w:val="double" w:sz="6" w:space="0" w:color="auto"/>
              <w:right w:val="nil"/>
            </w:tcBorders>
            <w:shd w:val="clear" w:color="auto" w:fill="auto"/>
            <w:noWrap/>
            <w:vAlign w:val="bottom"/>
          </w:tcPr>
          <w:p w14:paraId="29394E99" w14:textId="77777777" w:rsidR="000020B9" w:rsidRPr="00E45B5B" w:rsidRDefault="000020B9" w:rsidP="00EF25E1">
            <w:pPr>
              <w:jc w:val="center"/>
              <w:rPr>
                <w:color w:val="000000"/>
                <w:sz w:val="20"/>
                <w:szCs w:val="20"/>
              </w:rPr>
            </w:pPr>
            <w:r w:rsidRPr="00E45B5B">
              <w:rPr>
                <w:color w:val="000000"/>
                <w:sz w:val="20"/>
                <w:szCs w:val="20"/>
              </w:rPr>
              <w:t xml:space="preserve">0.454   </w:t>
            </w:r>
          </w:p>
        </w:tc>
        <w:tc>
          <w:tcPr>
            <w:tcW w:w="1662" w:type="dxa"/>
            <w:tcBorders>
              <w:top w:val="single" w:sz="4" w:space="0" w:color="auto"/>
              <w:left w:val="nil"/>
              <w:bottom w:val="double" w:sz="6" w:space="0" w:color="auto"/>
              <w:right w:val="nil"/>
            </w:tcBorders>
            <w:shd w:val="clear" w:color="auto" w:fill="auto"/>
            <w:noWrap/>
            <w:vAlign w:val="bottom"/>
          </w:tcPr>
          <w:p w14:paraId="1689175B" w14:textId="77777777" w:rsidR="000020B9" w:rsidRPr="00E45B5B" w:rsidRDefault="000020B9" w:rsidP="00EF25E1">
            <w:pPr>
              <w:jc w:val="center"/>
              <w:rPr>
                <w:color w:val="000000"/>
                <w:sz w:val="20"/>
                <w:szCs w:val="20"/>
              </w:rPr>
            </w:pPr>
            <w:r w:rsidRPr="00E45B5B">
              <w:rPr>
                <w:color w:val="000000"/>
                <w:sz w:val="20"/>
                <w:szCs w:val="20"/>
              </w:rPr>
              <w:t xml:space="preserve">0.454   </w:t>
            </w:r>
          </w:p>
        </w:tc>
        <w:tc>
          <w:tcPr>
            <w:tcW w:w="1278" w:type="dxa"/>
            <w:tcBorders>
              <w:top w:val="single" w:sz="4" w:space="0" w:color="auto"/>
              <w:left w:val="nil"/>
              <w:bottom w:val="double" w:sz="6" w:space="0" w:color="auto"/>
              <w:right w:val="nil"/>
            </w:tcBorders>
            <w:shd w:val="clear" w:color="auto" w:fill="auto"/>
            <w:noWrap/>
            <w:vAlign w:val="bottom"/>
          </w:tcPr>
          <w:p w14:paraId="2451B462" w14:textId="77777777" w:rsidR="000020B9" w:rsidRPr="00E45B5B" w:rsidRDefault="000020B9" w:rsidP="00EF25E1">
            <w:pPr>
              <w:jc w:val="center"/>
              <w:rPr>
                <w:color w:val="000000"/>
                <w:sz w:val="20"/>
                <w:szCs w:val="20"/>
              </w:rPr>
            </w:pPr>
            <w:r w:rsidRPr="00E45B5B">
              <w:rPr>
                <w:color w:val="000000"/>
                <w:sz w:val="20"/>
                <w:szCs w:val="20"/>
              </w:rPr>
              <w:t xml:space="preserve">0.455   </w:t>
            </w:r>
          </w:p>
        </w:tc>
      </w:tr>
      <w:tr w:rsidR="000020B9" w:rsidRPr="00E45B5B" w14:paraId="6AE466F6" w14:textId="77777777" w:rsidTr="00EF25E1">
        <w:trPr>
          <w:trHeight w:val="315"/>
        </w:trPr>
        <w:tc>
          <w:tcPr>
            <w:tcW w:w="5273" w:type="dxa"/>
            <w:tcBorders>
              <w:top w:val="nil"/>
              <w:left w:val="nil"/>
              <w:bottom w:val="double" w:sz="6" w:space="0" w:color="auto"/>
              <w:right w:val="nil"/>
            </w:tcBorders>
            <w:shd w:val="clear" w:color="auto" w:fill="auto"/>
            <w:noWrap/>
            <w:vAlign w:val="bottom"/>
          </w:tcPr>
          <w:p w14:paraId="2AB5CE49" w14:textId="77777777" w:rsidR="000020B9" w:rsidRPr="00E45B5B" w:rsidRDefault="000020B9" w:rsidP="00EF25E1">
            <w:pPr>
              <w:rPr>
                <w:color w:val="000000"/>
                <w:sz w:val="20"/>
                <w:szCs w:val="20"/>
              </w:rPr>
            </w:pPr>
            <w:r w:rsidRPr="00E45B5B">
              <w:rPr>
                <w:color w:val="000000"/>
                <w:sz w:val="20"/>
                <w:szCs w:val="20"/>
              </w:rPr>
              <w:t>Fixed Effects</w:t>
            </w:r>
          </w:p>
        </w:tc>
        <w:tc>
          <w:tcPr>
            <w:tcW w:w="1248" w:type="dxa"/>
            <w:tcBorders>
              <w:top w:val="nil"/>
              <w:left w:val="nil"/>
              <w:bottom w:val="double" w:sz="6" w:space="0" w:color="auto"/>
              <w:right w:val="nil"/>
            </w:tcBorders>
            <w:shd w:val="clear" w:color="auto" w:fill="auto"/>
            <w:noWrap/>
            <w:vAlign w:val="bottom"/>
          </w:tcPr>
          <w:p w14:paraId="1BB7A30F" w14:textId="77777777" w:rsidR="000020B9" w:rsidRPr="00E45B5B" w:rsidRDefault="000020B9" w:rsidP="00EF25E1">
            <w:pPr>
              <w:jc w:val="center"/>
              <w:rPr>
                <w:color w:val="000000"/>
                <w:sz w:val="20"/>
                <w:szCs w:val="20"/>
              </w:rPr>
            </w:pPr>
            <w:r w:rsidRPr="00E45B5B">
              <w:rPr>
                <w:color w:val="000000"/>
                <w:sz w:val="20"/>
                <w:szCs w:val="20"/>
              </w:rPr>
              <w:t> </w:t>
            </w:r>
          </w:p>
        </w:tc>
        <w:tc>
          <w:tcPr>
            <w:tcW w:w="1256" w:type="dxa"/>
            <w:tcBorders>
              <w:top w:val="nil"/>
              <w:left w:val="nil"/>
              <w:bottom w:val="double" w:sz="6" w:space="0" w:color="auto"/>
              <w:right w:val="nil"/>
            </w:tcBorders>
            <w:shd w:val="clear" w:color="auto" w:fill="auto"/>
            <w:noWrap/>
            <w:vAlign w:val="bottom"/>
          </w:tcPr>
          <w:p w14:paraId="6EF7366F" w14:textId="77777777" w:rsidR="000020B9" w:rsidRPr="00E45B5B" w:rsidRDefault="000020B9" w:rsidP="00EF25E1">
            <w:pPr>
              <w:jc w:val="center"/>
              <w:rPr>
                <w:color w:val="000000"/>
                <w:sz w:val="20"/>
                <w:szCs w:val="20"/>
              </w:rPr>
            </w:pPr>
            <w:r w:rsidRPr="00E45B5B">
              <w:rPr>
                <w:color w:val="000000"/>
                <w:sz w:val="20"/>
                <w:szCs w:val="20"/>
              </w:rPr>
              <w:t> </w:t>
            </w:r>
          </w:p>
        </w:tc>
        <w:tc>
          <w:tcPr>
            <w:tcW w:w="1662" w:type="dxa"/>
            <w:tcBorders>
              <w:top w:val="nil"/>
              <w:left w:val="nil"/>
              <w:bottom w:val="double" w:sz="6" w:space="0" w:color="auto"/>
              <w:right w:val="nil"/>
            </w:tcBorders>
            <w:shd w:val="clear" w:color="auto" w:fill="auto"/>
            <w:noWrap/>
            <w:vAlign w:val="bottom"/>
          </w:tcPr>
          <w:p w14:paraId="1CF0452D" w14:textId="77777777" w:rsidR="000020B9" w:rsidRPr="00E45B5B" w:rsidRDefault="000020B9" w:rsidP="00EF25E1">
            <w:pPr>
              <w:jc w:val="center"/>
              <w:rPr>
                <w:color w:val="000000"/>
                <w:sz w:val="20"/>
                <w:szCs w:val="20"/>
              </w:rPr>
            </w:pPr>
            <w:r w:rsidRPr="00E45B5B">
              <w:rPr>
                <w:color w:val="000000"/>
                <w:sz w:val="20"/>
                <w:szCs w:val="20"/>
              </w:rPr>
              <w:t> </w:t>
            </w:r>
          </w:p>
        </w:tc>
        <w:tc>
          <w:tcPr>
            <w:tcW w:w="1278" w:type="dxa"/>
            <w:tcBorders>
              <w:top w:val="nil"/>
              <w:left w:val="nil"/>
              <w:bottom w:val="double" w:sz="6" w:space="0" w:color="auto"/>
              <w:right w:val="nil"/>
            </w:tcBorders>
            <w:shd w:val="clear" w:color="auto" w:fill="auto"/>
            <w:noWrap/>
            <w:vAlign w:val="bottom"/>
          </w:tcPr>
          <w:p w14:paraId="489A84C5" w14:textId="77777777" w:rsidR="000020B9" w:rsidRPr="00E45B5B" w:rsidRDefault="000020B9" w:rsidP="00EF25E1">
            <w:pPr>
              <w:jc w:val="center"/>
              <w:rPr>
                <w:color w:val="000000"/>
                <w:sz w:val="20"/>
                <w:szCs w:val="20"/>
              </w:rPr>
            </w:pPr>
            <w:r w:rsidRPr="00E45B5B">
              <w:rPr>
                <w:color w:val="000000"/>
                <w:sz w:val="20"/>
                <w:szCs w:val="20"/>
              </w:rPr>
              <w:t> </w:t>
            </w:r>
          </w:p>
        </w:tc>
      </w:tr>
      <w:tr w:rsidR="000020B9" w:rsidRPr="00E45B5B" w14:paraId="57B46D15" w14:textId="77777777" w:rsidTr="00EF25E1">
        <w:trPr>
          <w:trHeight w:val="315"/>
        </w:trPr>
        <w:tc>
          <w:tcPr>
            <w:tcW w:w="5273" w:type="dxa"/>
            <w:tcBorders>
              <w:top w:val="nil"/>
              <w:left w:val="nil"/>
              <w:bottom w:val="nil"/>
              <w:right w:val="nil"/>
            </w:tcBorders>
            <w:shd w:val="clear" w:color="auto" w:fill="auto"/>
            <w:noWrap/>
            <w:vAlign w:val="bottom"/>
          </w:tcPr>
          <w:p w14:paraId="574ECCB3" w14:textId="77777777" w:rsidR="000020B9" w:rsidRPr="00E45B5B" w:rsidRDefault="000020B9" w:rsidP="00EF25E1">
            <w:pPr>
              <w:rPr>
                <w:color w:val="000000"/>
                <w:sz w:val="20"/>
                <w:szCs w:val="20"/>
              </w:rPr>
            </w:pPr>
            <w:r w:rsidRPr="00E45B5B">
              <w:rPr>
                <w:color w:val="000000"/>
                <w:sz w:val="20"/>
                <w:szCs w:val="20"/>
              </w:rPr>
              <w:t>BankFixed-Effect</w:t>
            </w:r>
          </w:p>
        </w:tc>
        <w:tc>
          <w:tcPr>
            <w:tcW w:w="1248" w:type="dxa"/>
            <w:tcBorders>
              <w:top w:val="nil"/>
              <w:left w:val="nil"/>
              <w:bottom w:val="nil"/>
              <w:right w:val="nil"/>
            </w:tcBorders>
            <w:shd w:val="clear" w:color="auto" w:fill="auto"/>
            <w:noWrap/>
            <w:vAlign w:val="bottom"/>
          </w:tcPr>
          <w:p w14:paraId="050FC712" w14:textId="77777777" w:rsidR="000020B9" w:rsidRPr="00E45B5B" w:rsidRDefault="000020B9" w:rsidP="00EF25E1">
            <w:pPr>
              <w:jc w:val="center"/>
              <w:rPr>
                <w:color w:val="000000"/>
                <w:sz w:val="20"/>
                <w:szCs w:val="20"/>
              </w:rPr>
            </w:pPr>
            <w:r w:rsidRPr="00E45B5B">
              <w:rPr>
                <w:color w:val="000000"/>
                <w:sz w:val="20"/>
                <w:szCs w:val="20"/>
              </w:rPr>
              <w:t>Yes</w:t>
            </w:r>
          </w:p>
        </w:tc>
        <w:tc>
          <w:tcPr>
            <w:tcW w:w="1256" w:type="dxa"/>
            <w:tcBorders>
              <w:top w:val="nil"/>
              <w:left w:val="nil"/>
              <w:bottom w:val="nil"/>
              <w:right w:val="nil"/>
            </w:tcBorders>
            <w:shd w:val="clear" w:color="auto" w:fill="auto"/>
            <w:noWrap/>
            <w:vAlign w:val="bottom"/>
          </w:tcPr>
          <w:p w14:paraId="4954C16D" w14:textId="77777777" w:rsidR="000020B9" w:rsidRPr="00E45B5B" w:rsidRDefault="000020B9" w:rsidP="00EF25E1">
            <w:pPr>
              <w:jc w:val="center"/>
              <w:rPr>
                <w:color w:val="000000"/>
                <w:sz w:val="20"/>
                <w:szCs w:val="20"/>
              </w:rPr>
            </w:pPr>
            <w:r w:rsidRPr="00E45B5B">
              <w:rPr>
                <w:color w:val="000000"/>
                <w:sz w:val="20"/>
                <w:szCs w:val="20"/>
              </w:rPr>
              <w:t>Yes</w:t>
            </w:r>
          </w:p>
        </w:tc>
        <w:tc>
          <w:tcPr>
            <w:tcW w:w="1662" w:type="dxa"/>
            <w:tcBorders>
              <w:top w:val="nil"/>
              <w:left w:val="nil"/>
              <w:bottom w:val="nil"/>
              <w:right w:val="nil"/>
            </w:tcBorders>
            <w:shd w:val="clear" w:color="auto" w:fill="auto"/>
            <w:noWrap/>
            <w:vAlign w:val="bottom"/>
          </w:tcPr>
          <w:p w14:paraId="538D3BCD" w14:textId="77777777" w:rsidR="000020B9" w:rsidRPr="00E45B5B" w:rsidRDefault="000020B9" w:rsidP="00EF25E1">
            <w:pPr>
              <w:jc w:val="center"/>
              <w:rPr>
                <w:color w:val="000000"/>
                <w:sz w:val="20"/>
                <w:szCs w:val="20"/>
              </w:rPr>
            </w:pPr>
            <w:r w:rsidRPr="00E45B5B">
              <w:rPr>
                <w:color w:val="000000"/>
                <w:sz w:val="20"/>
                <w:szCs w:val="20"/>
              </w:rPr>
              <w:t>Yes</w:t>
            </w:r>
          </w:p>
        </w:tc>
        <w:tc>
          <w:tcPr>
            <w:tcW w:w="1278" w:type="dxa"/>
            <w:tcBorders>
              <w:top w:val="nil"/>
              <w:left w:val="nil"/>
              <w:bottom w:val="nil"/>
              <w:right w:val="nil"/>
            </w:tcBorders>
            <w:shd w:val="clear" w:color="auto" w:fill="auto"/>
            <w:noWrap/>
            <w:vAlign w:val="bottom"/>
          </w:tcPr>
          <w:p w14:paraId="6C3C1311" w14:textId="77777777" w:rsidR="000020B9" w:rsidRPr="00E45B5B" w:rsidRDefault="000020B9" w:rsidP="00EF25E1">
            <w:pPr>
              <w:jc w:val="center"/>
              <w:rPr>
                <w:color w:val="000000"/>
                <w:sz w:val="20"/>
                <w:szCs w:val="20"/>
              </w:rPr>
            </w:pPr>
            <w:r w:rsidRPr="00E45B5B">
              <w:rPr>
                <w:color w:val="000000"/>
                <w:sz w:val="20"/>
                <w:szCs w:val="20"/>
              </w:rPr>
              <w:t>Yes</w:t>
            </w:r>
          </w:p>
        </w:tc>
      </w:tr>
      <w:tr w:rsidR="000020B9" w:rsidRPr="00E45B5B" w14:paraId="7D2D52A6" w14:textId="77777777" w:rsidTr="00EF25E1">
        <w:trPr>
          <w:trHeight w:val="300"/>
        </w:trPr>
        <w:tc>
          <w:tcPr>
            <w:tcW w:w="5273" w:type="dxa"/>
            <w:tcBorders>
              <w:top w:val="nil"/>
              <w:left w:val="nil"/>
              <w:bottom w:val="nil"/>
              <w:right w:val="nil"/>
            </w:tcBorders>
            <w:shd w:val="clear" w:color="auto" w:fill="auto"/>
            <w:noWrap/>
            <w:vAlign w:val="bottom"/>
          </w:tcPr>
          <w:p w14:paraId="3FC9ACD9" w14:textId="77777777" w:rsidR="000020B9" w:rsidRPr="00E45B5B" w:rsidRDefault="000020B9" w:rsidP="00EF25E1">
            <w:pPr>
              <w:rPr>
                <w:color w:val="000000"/>
                <w:sz w:val="20"/>
                <w:szCs w:val="20"/>
              </w:rPr>
            </w:pPr>
            <w:r w:rsidRPr="00E45B5B">
              <w:rPr>
                <w:color w:val="000000"/>
                <w:sz w:val="20"/>
                <w:szCs w:val="20"/>
              </w:rPr>
              <w:t>Month Fixed-Effect</w:t>
            </w:r>
          </w:p>
        </w:tc>
        <w:tc>
          <w:tcPr>
            <w:tcW w:w="1248" w:type="dxa"/>
            <w:tcBorders>
              <w:top w:val="nil"/>
              <w:left w:val="nil"/>
              <w:bottom w:val="nil"/>
              <w:right w:val="nil"/>
            </w:tcBorders>
            <w:shd w:val="clear" w:color="auto" w:fill="auto"/>
            <w:noWrap/>
            <w:vAlign w:val="bottom"/>
          </w:tcPr>
          <w:p w14:paraId="36F8E217" w14:textId="77777777" w:rsidR="000020B9" w:rsidRPr="00E45B5B" w:rsidRDefault="000020B9" w:rsidP="00EF25E1">
            <w:pPr>
              <w:jc w:val="center"/>
              <w:rPr>
                <w:color w:val="000000"/>
                <w:sz w:val="20"/>
                <w:szCs w:val="20"/>
              </w:rPr>
            </w:pPr>
            <w:r w:rsidRPr="00E45B5B">
              <w:rPr>
                <w:color w:val="000000"/>
                <w:sz w:val="20"/>
                <w:szCs w:val="20"/>
              </w:rPr>
              <w:t>Yes</w:t>
            </w:r>
          </w:p>
        </w:tc>
        <w:tc>
          <w:tcPr>
            <w:tcW w:w="1256" w:type="dxa"/>
            <w:tcBorders>
              <w:top w:val="nil"/>
              <w:left w:val="nil"/>
              <w:bottom w:val="nil"/>
              <w:right w:val="nil"/>
            </w:tcBorders>
            <w:shd w:val="clear" w:color="auto" w:fill="auto"/>
            <w:noWrap/>
            <w:vAlign w:val="bottom"/>
          </w:tcPr>
          <w:p w14:paraId="05065D5B" w14:textId="77777777" w:rsidR="000020B9" w:rsidRPr="00E45B5B" w:rsidRDefault="000020B9" w:rsidP="00EF25E1">
            <w:pPr>
              <w:jc w:val="center"/>
              <w:rPr>
                <w:color w:val="000000"/>
                <w:sz w:val="20"/>
                <w:szCs w:val="20"/>
              </w:rPr>
            </w:pPr>
            <w:r w:rsidRPr="00E45B5B">
              <w:rPr>
                <w:color w:val="000000"/>
                <w:sz w:val="20"/>
                <w:szCs w:val="20"/>
              </w:rPr>
              <w:t>Yes</w:t>
            </w:r>
          </w:p>
        </w:tc>
        <w:tc>
          <w:tcPr>
            <w:tcW w:w="1662" w:type="dxa"/>
            <w:tcBorders>
              <w:top w:val="nil"/>
              <w:left w:val="nil"/>
              <w:bottom w:val="nil"/>
              <w:right w:val="nil"/>
            </w:tcBorders>
            <w:shd w:val="clear" w:color="auto" w:fill="auto"/>
            <w:noWrap/>
            <w:vAlign w:val="bottom"/>
          </w:tcPr>
          <w:p w14:paraId="60382D18" w14:textId="77777777" w:rsidR="000020B9" w:rsidRPr="00E45B5B" w:rsidRDefault="000020B9" w:rsidP="00EF25E1">
            <w:pPr>
              <w:jc w:val="center"/>
              <w:rPr>
                <w:color w:val="000000"/>
                <w:sz w:val="20"/>
                <w:szCs w:val="20"/>
              </w:rPr>
            </w:pPr>
            <w:r w:rsidRPr="00E45B5B">
              <w:rPr>
                <w:color w:val="000000"/>
                <w:sz w:val="20"/>
                <w:szCs w:val="20"/>
              </w:rPr>
              <w:t>Yes</w:t>
            </w:r>
          </w:p>
        </w:tc>
        <w:tc>
          <w:tcPr>
            <w:tcW w:w="1278" w:type="dxa"/>
            <w:tcBorders>
              <w:top w:val="nil"/>
              <w:left w:val="nil"/>
              <w:bottom w:val="nil"/>
              <w:right w:val="nil"/>
            </w:tcBorders>
            <w:shd w:val="clear" w:color="auto" w:fill="auto"/>
            <w:noWrap/>
            <w:vAlign w:val="bottom"/>
          </w:tcPr>
          <w:p w14:paraId="6626E508" w14:textId="77777777" w:rsidR="000020B9" w:rsidRPr="00E45B5B" w:rsidRDefault="000020B9" w:rsidP="00EF25E1">
            <w:pPr>
              <w:jc w:val="center"/>
              <w:rPr>
                <w:color w:val="000000"/>
                <w:sz w:val="20"/>
                <w:szCs w:val="20"/>
              </w:rPr>
            </w:pPr>
            <w:r w:rsidRPr="00E45B5B">
              <w:rPr>
                <w:color w:val="000000"/>
                <w:sz w:val="20"/>
                <w:szCs w:val="20"/>
              </w:rPr>
              <w:t>Yes</w:t>
            </w:r>
          </w:p>
        </w:tc>
      </w:tr>
      <w:tr w:rsidR="000020B9" w:rsidRPr="00E45B5B" w14:paraId="1C09B195" w14:textId="77777777" w:rsidTr="00EF25E1">
        <w:trPr>
          <w:trHeight w:val="315"/>
        </w:trPr>
        <w:tc>
          <w:tcPr>
            <w:tcW w:w="5273" w:type="dxa"/>
            <w:tcBorders>
              <w:top w:val="nil"/>
              <w:left w:val="nil"/>
              <w:bottom w:val="double" w:sz="6" w:space="0" w:color="auto"/>
              <w:right w:val="nil"/>
            </w:tcBorders>
            <w:shd w:val="clear" w:color="auto" w:fill="auto"/>
            <w:noWrap/>
            <w:vAlign w:val="bottom"/>
          </w:tcPr>
          <w:p w14:paraId="4EC895FA" w14:textId="77777777" w:rsidR="000020B9" w:rsidRPr="00E45B5B" w:rsidRDefault="000020B9" w:rsidP="00EF25E1">
            <w:pPr>
              <w:rPr>
                <w:color w:val="000000"/>
                <w:sz w:val="20"/>
                <w:szCs w:val="20"/>
              </w:rPr>
            </w:pPr>
            <w:r w:rsidRPr="00E45B5B">
              <w:rPr>
                <w:color w:val="000000"/>
                <w:sz w:val="20"/>
                <w:szCs w:val="20"/>
              </w:rPr>
              <w:t>Year Fixed-Effect</w:t>
            </w:r>
          </w:p>
        </w:tc>
        <w:tc>
          <w:tcPr>
            <w:tcW w:w="1248" w:type="dxa"/>
            <w:tcBorders>
              <w:top w:val="nil"/>
              <w:left w:val="nil"/>
              <w:bottom w:val="double" w:sz="6" w:space="0" w:color="auto"/>
              <w:right w:val="nil"/>
            </w:tcBorders>
            <w:shd w:val="clear" w:color="auto" w:fill="auto"/>
            <w:noWrap/>
            <w:vAlign w:val="bottom"/>
          </w:tcPr>
          <w:p w14:paraId="002E726A" w14:textId="77777777" w:rsidR="000020B9" w:rsidRPr="00E45B5B" w:rsidRDefault="000020B9" w:rsidP="00EF25E1">
            <w:pPr>
              <w:jc w:val="center"/>
              <w:rPr>
                <w:color w:val="000000"/>
                <w:sz w:val="20"/>
                <w:szCs w:val="20"/>
              </w:rPr>
            </w:pPr>
            <w:r w:rsidRPr="00E45B5B">
              <w:rPr>
                <w:color w:val="000000"/>
                <w:sz w:val="20"/>
                <w:szCs w:val="20"/>
              </w:rPr>
              <w:t>Yes</w:t>
            </w:r>
          </w:p>
        </w:tc>
        <w:tc>
          <w:tcPr>
            <w:tcW w:w="1256" w:type="dxa"/>
            <w:tcBorders>
              <w:top w:val="nil"/>
              <w:left w:val="nil"/>
              <w:bottom w:val="double" w:sz="6" w:space="0" w:color="auto"/>
              <w:right w:val="nil"/>
            </w:tcBorders>
            <w:shd w:val="clear" w:color="auto" w:fill="auto"/>
            <w:noWrap/>
            <w:vAlign w:val="bottom"/>
          </w:tcPr>
          <w:p w14:paraId="10E7F0C7" w14:textId="77777777" w:rsidR="000020B9" w:rsidRPr="00E45B5B" w:rsidRDefault="000020B9" w:rsidP="00EF25E1">
            <w:pPr>
              <w:jc w:val="center"/>
              <w:rPr>
                <w:color w:val="000000"/>
                <w:sz w:val="20"/>
                <w:szCs w:val="20"/>
              </w:rPr>
            </w:pPr>
            <w:r w:rsidRPr="00E45B5B">
              <w:rPr>
                <w:color w:val="000000"/>
                <w:sz w:val="20"/>
                <w:szCs w:val="20"/>
              </w:rPr>
              <w:t>Yes</w:t>
            </w:r>
          </w:p>
        </w:tc>
        <w:tc>
          <w:tcPr>
            <w:tcW w:w="1662" w:type="dxa"/>
            <w:tcBorders>
              <w:top w:val="nil"/>
              <w:left w:val="nil"/>
              <w:bottom w:val="double" w:sz="6" w:space="0" w:color="auto"/>
              <w:right w:val="nil"/>
            </w:tcBorders>
            <w:shd w:val="clear" w:color="auto" w:fill="auto"/>
            <w:noWrap/>
            <w:vAlign w:val="bottom"/>
          </w:tcPr>
          <w:p w14:paraId="2D0CB27A" w14:textId="77777777" w:rsidR="000020B9" w:rsidRPr="00E45B5B" w:rsidRDefault="000020B9" w:rsidP="00EF25E1">
            <w:pPr>
              <w:jc w:val="center"/>
              <w:rPr>
                <w:color w:val="000000"/>
                <w:sz w:val="20"/>
                <w:szCs w:val="20"/>
              </w:rPr>
            </w:pPr>
            <w:r w:rsidRPr="00E45B5B">
              <w:rPr>
                <w:color w:val="000000"/>
                <w:sz w:val="20"/>
                <w:szCs w:val="20"/>
              </w:rPr>
              <w:t>Yes</w:t>
            </w:r>
          </w:p>
        </w:tc>
        <w:tc>
          <w:tcPr>
            <w:tcW w:w="1278" w:type="dxa"/>
            <w:tcBorders>
              <w:top w:val="nil"/>
              <w:left w:val="nil"/>
              <w:bottom w:val="double" w:sz="6" w:space="0" w:color="auto"/>
              <w:right w:val="nil"/>
            </w:tcBorders>
            <w:shd w:val="clear" w:color="auto" w:fill="auto"/>
            <w:noWrap/>
            <w:vAlign w:val="bottom"/>
          </w:tcPr>
          <w:p w14:paraId="5B27AC4B" w14:textId="77777777" w:rsidR="000020B9" w:rsidRPr="00E45B5B" w:rsidRDefault="000020B9" w:rsidP="00EF25E1">
            <w:pPr>
              <w:jc w:val="center"/>
              <w:rPr>
                <w:color w:val="000000"/>
                <w:sz w:val="20"/>
                <w:szCs w:val="20"/>
              </w:rPr>
            </w:pPr>
            <w:r w:rsidRPr="00E45B5B">
              <w:rPr>
                <w:color w:val="000000"/>
                <w:sz w:val="20"/>
                <w:szCs w:val="20"/>
              </w:rPr>
              <w:t>Yes</w:t>
            </w:r>
          </w:p>
        </w:tc>
      </w:tr>
      <w:tr w:rsidR="000020B9" w:rsidRPr="00E45B5B" w14:paraId="03C5A74C" w14:textId="77777777" w:rsidTr="00EF25E1">
        <w:trPr>
          <w:trHeight w:val="315"/>
        </w:trPr>
        <w:tc>
          <w:tcPr>
            <w:tcW w:w="6521" w:type="dxa"/>
            <w:gridSpan w:val="2"/>
            <w:tcBorders>
              <w:top w:val="nil"/>
              <w:left w:val="nil"/>
              <w:bottom w:val="nil"/>
              <w:right w:val="nil"/>
            </w:tcBorders>
            <w:shd w:val="clear" w:color="auto" w:fill="auto"/>
            <w:noWrap/>
            <w:vAlign w:val="bottom"/>
          </w:tcPr>
          <w:p w14:paraId="3AEE7007" w14:textId="77777777" w:rsidR="000020B9" w:rsidRPr="00E45B5B" w:rsidRDefault="000020B9" w:rsidP="00EF25E1">
            <w:pPr>
              <w:rPr>
                <w:color w:val="000000"/>
                <w:sz w:val="20"/>
                <w:szCs w:val="20"/>
                <w:lang w:val="en-US"/>
              </w:rPr>
            </w:pPr>
            <w:r w:rsidRPr="00E45B5B">
              <w:rPr>
                <w:color w:val="000000"/>
                <w:sz w:val="20"/>
                <w:szCs w:val="20"/>
                <w:lang w:val="en-US"/>
              </w:rPr>
              <w:t>Robust standard errors in parenthesis.</w:t>
            </w:r>
          </w:p>
        </w:tc>
        <w:tc>
          <w:tcPr>
            <w:tcW w:w="1256" w:type="dxa"/>
            <w:tcBorders>
              <w:top w:val="nil"/>
              <w:left w:val="nil"/>
              <w:bottom w:val="nil"/>
              <w:right w:val="nil"/>
            </w:tcBorders>
            <w:shd w:val="clear" w:color="auto" w:fill="auto"/>
            <w:noWrap/>
            <w:vAlign w:val="bottom"/>
          </w:tcPr>
          <w:p w14:paraId="684CA0A5" w14:textId="77777777" w:rsidR="000020B9" w:rsidRPr="00E45B5B" w:rsidRDefault="000020B9" w:rsidP="00EF25E1">
            <w:pPr>
              <w:jc w:val="center"/>
              <w:rPr>
                <w:color w:val="000000"/>
                <w:sz w:val="20"/>
                <w:szCs w:val="20"/>
                <w:lang w:val="en-US"/>
              </w:rPr>
            </w:pPr>
          </w:p>
        </w:tc>
        <w:tc>
          <w:tcPr>
            <w:tcW w:w="1662" w:type="dxa"/>
            <w:tcBorders>
              <w:top w:val="nil"/>
              <w:left w:val="nil"/>
              <w:bottom w:val="nil"/>
              <w:right w:val="nil"/>
            </w:tcBorders>
            <w:shd w:val="clear" w:color="auto" w:fill="auto"/>
            <w:noWrap/>
            <w:vAlign w:val="bottom"/>
          </w:tcPr>
          <w:p w14:paraId="5EBBCD8E" w14:textId="77777777" w:rsidR="000020B9" w:rsidRPr="00E45B5B" w:rsidRDefault="000020B9" w:rsidP="00EF25E1">
            <w:pPr>
              <w:jc w:val="center"/>
              <w:rPr>
                <w:color w:val="000000"/>
                <w:sz w:val="20"/>
                <w:szCs w:val="20"/>
                <w:lang w:val="en-US"/>
              </w:rPr>
            </w:pPr>
          </w:p>
        </w:tc>
        <w:tc>
          <w:tcPr>
            <w:tcW w:w="1278" w:type="dxa"/>
            <w:tcBorders>
              <w:top w:val="nil"/>
              <w:left w:val="nil"/>
              <w:bottom w:val="nil"/>
              <w:right w:val="nil"/>
            </w:tcBorders>
            <w:shd w:val="clear" w:color="auto" w:fill="auto"/>
            <w:noWrap/>
            <w:vAlign w:val="bottom"/>
          </w:tcPr>
          <w:p w14:paraId="65C9A4D7" w14:textId="77777777" w:rsidR="000020B9" w:rsidRPr="00E45B5B" w:rsidRDefault="000020B9" w:rsidP="00EF25E1">
            <w:pPr>
              <w:jc w:val="center"/>
              <w:rPr>
                <w:color w:val="000000"/>
                <w:sz w:val="20"/>
                <w:szCs w:val="20"/>
                <w:lang w:val="en-US"/>
              </w:rPr>
            </w:pPr>
          </w:p>
        </w:tc>
      </w:tr>
      <w:tr w:rsidR="000020B9" w:rsidRPr="00E45B5B" w14:paraId="5A96D7F4" w14:textId="77777777" w:rsidTr="00EF25E1">
        <w:trPr>
          <w:trHeight w:val="300"/>
        </w:trPr>
        <w:tc>
          <w:tcPr>
            <w:tcW w:w="5273" w:type="dxa"/>
            <w:tcBorders>
              <w:top w:val="nil"/>
              <w:left w:val="nil"/>
              <w:bottom w:val="nil"/>
              <w:right w:val="nil"/>
            </w:tcBorders>
            <w:shd w:val="clear" w:color="auto" w:fill="auto"/>
            <w:noWrap/>
            <w:vAlign w:val="bottom"/>
          </w:tcPr>
          <w:p w14:paraId="50AFC442" w14:textId="77777777" w:rsidR="000020B9" w:rsidRPr="00E45B5B" w:rsidRDefault="000020B9" w:rsidP="00EF25E1">
            <w:pPr>
              <w:rPr>
                <w:color w:val="000000"/>
                <w:sz w:val="20"/>
                <w:szCs w:val="20"/>
              </w:rPr>
            </w:pPr>
            <w:r w:rsidRPr="00E45B5B">
              <w:rPr>
                <w:color w:val="000000"/>
                <w:sz w:val="20"/>
                <w:szCs w:val="20"/>
              </w:rPr>
              <w:t>*p&lt;0.05, ** p&lt; 0.01, ***p&lt;0.001</w:t>
            </w:r>
          </w:p>
        </w:tc>
        <w:tc>
          <w:tcPr>
            <w:tcW w:w="1248" w:type="dxa"/>
            <w:tcBorders>
              <w:top w:val="nil"/>
              <w:left w:val="nil"/>
              <w:bottom w:val="nil"/>
              <w:right w:val="nil"/>
            </w:tcBorders>
            <w:shd w:val="clear" w:color="auto" w:fill="auto"/>
            <w:noWrap/>
            <w:vAlign w:val="bottom"/>
          </w:tcPr>
          <w:p w14:paraId="0208F3EB" w14:textId="77777777" w:rsidR="000020B9" w:rsidRPr="00E45B5B" w:rsidRDefault="000020B9" w:rsidP="00EF25E1">
            <w:pPr>
              <w:rPr>
                <w:color w:val="000000"/>
                <w:sz w:val="20"/>
                <w:szCs w:val="20"/>
              </w:rPr>
            </w:pPr>
          </w:p>
        </w:tc>
        <w:tc>
          <w:tcPr>
            <w:tcW w:w="1256" w:type="dxa"/>
            <w:tcBorders>
              <w:top w:val="nil"/>
              <w:left w:val="nil"/>
              <w:bottom w:val="nil"/>
              <w:right w:val="nil"/>
            </w:tcBorders>
            <w:shd w:val="clear" w:color="auto" w:fill="auto"/>
            <w:noWrap/>
            <w:vAlign w:val="bottom"/>
          </w:tcPr>
          <w:p w14:paraId="2C822CFA" w14:textId="77777777" w:rsidR="000020B9" w:rsidRPr="00E45B5B" w:rsidRDefault="000020B9" w:rsidP="00EF25E1">
            <w:pPr>
              <w:rPr>
                <w:color w:val="000000"/>
                <w:sz w:val="20"/>
                <w:szCs w:val="20"/>
              </w:rPr>
            </w:pPr>
          </w:p>
        </w:tc>
        <w:tc>
          <w:tcPr>
            <w:tcW w:w="1662" w:type="dxa"/>
            <w:tcBorders>
              <w:top w:val="nil"/>
              <w:left w:val="nil"/>
              <w:bottom w:val="nil"/>
              <w:right w:val="nil"/>
            </w:tcBorders>
            <w:shd w:val="clear" w:color="auto" w:fill="auto"/>
            <w:noWrap/>
            <w:vAlign w:val="bottom"/>
          </w:tcPr>
          <w:p w14:paraId="19044BEA" w14:textId="77777777" w:rsidR="000020B9" w:rsidRPr="00E45B5B" w:rsidRDefault="000020B9" w:rsidP="00EF25E1">
            <w:pPr>
              <w:rPr>
                <w:color w:val="000000"/>
                <w:sz w:val="20"/>
                <w:szCs w:val="20"/>
              </w:rPr>
            </w:pPr>
          </w:p>
        </w:tc>
        <w:tc>
          <w:tcPr>
            <w:tcW w:w="1278" w:type="dxa"/>
            <w:tcBorders>
              <w:top w:val="nil"/>
              <w:left w:val="nil"/>
              <w:bottom w:val="nil"/>
              <w:right w:val="nil"/>
            </w:tcBorders>
            <w:shd w:val="clear" w:color="auto" w:fill="auto"/>
            <w:noWrap/>
            <w:vAlign w:val="bottom"/>
          </w:tcPr>
          <w:p w14:paraId="54E1195D" w14:textId="77777777" w:rsidR="000020B9" w:rsidRPr="00E45B5B" w:rsidRDefault="000020B9" w:rsidP="00EF25E1">
            <w:pPr>
              <w:rPr>
                <w:color w:val="000000"/>
                <w:sz w:val="20"/>
                <w:szCs w:val="20"/>
              </w:rPr>
            </w:pPr>
          </w:p>
        </w:tc>
      </w:tr>
    </w:tbl>
    <w:p w14:paraId="67E79D4E" w14:textId="77777777" w:rsidR="000020B9" w:rsidRDefault="000020B9" w:rsidP="000020B9">
      <w:r>
        <w:br w:type="page"/>
      </w:r>
    </w:p>
    <w:tbl>
      <w:tblPr>
        <w:tblW w:w="10745" w:type="dxa"/>
        <w:tblInd w:w="55" w:type="dxa"/>
        <w:tblCellMar>
          <w:left w:w="70" w:type="dxa"/>
          <w:right w:w="70" w:type="dxa"/>
        </w:tblCellMar>
        <w:tblLook w:val="04A0" w:firstRow="1" w:lastRow="0" w:firstColumn="1" w:lastColumn="0" w:noHBand="0" w:noVBand="1"/>
      </w:tblPr>
      <w:tblGrid>
        <w:gridCol w:w="5516"/>
        <w:gridCol w:w="1329"/>
        <w:gridCol w:w="1169"/>
        <w:gridCol w:w="1263"/>
        <w:gridCol w:w="1468"/>
      </w:tblGrid>
      <w:tr w:rsidR="000020B9" w:rsidRPr="00FD550E" w14:paraId="1F278F7C" w14:textId="77777777" w:rsidTr="00EF25E1">
        <w:trPr>
          <w:trHeight w:val="1305"/>
          <w:tblHeader/>
        </w:trPr>
        <w:tc>
          <w:tcPr>
            <w:tcW w:w="10745" w:type="dxa"/>
            <w:gridSpan w:val="5"/>
            <w:tcBorders>
              <w:top w:val="nil"/>
              <w:left w:val="nil"/>
              <w:right w:val="nil"/>
            </w:tcBorders>
            <w:shd w:val="clear" w:color="auto" w:fill="auto"/>
            <w:noWrap/>
            <w:vAlign w:val="bottom"/>
          </w:tcPr>
          <w:p w14:paraId="3B8AA83B" w14:textId="77777777" w:rsidR="000020B9" w:rsidRPr="00FD550E" w:rsidRDefault="000020B9" w:rsidP="00EF25E1">
            <w:pPr>
              <w:rPr>
                <w:b/>
                <w:color w:val="000000"/>
                <w:sz w:val="20"/>
                <w:szCs w:val="20"/>
                <w:lang w:val="en-US"/>
              </w:rPr>
            </w:pPr>
            <w:r w:rsidRPr="00FD550E">
              <w:rPr>
                <w:b/>
                <w:color w:val="000000"/>
                <w:sz w:val="20"/>
                <w:szCs w:val="20"/>
                <w:lang w:val="en-US"/>
              </w:rPr>
              <w:lastRenderedPageBreak/>
              <w:t>Table 1</w:t>
            </w:r>
            <w:r>
              <w:rPr>
                <w:b/>
                <w:color w:val="000000"/>
                <w:sz w:val="20"/>
                <w:szCs w:val="20"/>
                <w:lang w:val="en-US"/>
              </w:rPr>
              <w:t>0</w:t>
            </w:r>
          </w:p>
          <w:p w14:paraId="5164B2AE" w14:textId="77777777" w:rsidR="000020B9" w:rsidRPr="00FD550E" w:rsidRDefault="000020B9" w:rsidP="00EF25E1">
            <w:pPr>
              <w:rPr>
                <w:b/>
                <w:color w:val="000000"/>
                <w:sz w:val="20"/>
                <w:szCs w:val="20"/>
                <w:lang w:val="en-US"/>
              </w:rPr>
            </w:pPr>
            <w:r w:rsidRPr="00FD550E">
              <w:rPr>
                <w:b/>
                <w:color w:val="000000"/>
                <w:sz w:val="20"/>
                <w:szCs w:val="20"/>
                <w:lang w:val="en-US"/>
              </w:rPr>
              <w:t>In all columns below the dependent variable is the natural logarithm of the financial revenue. The unit price paid by the public body is deflated by the monthly official price index (IPCA=1 in 2001</w:t>
            </w:r>
            <w:r>
              <w:rPr>
                <w:b/>
                <w:color w:val="000000"/>
                <w:sz w:val="20"/>
                <w:szCs w:val="20"/>
                <w:lang w:val="en-US"/>
              </w:rPr>
              <w:t>Q1</w:t>
            </w:r>
            <w:r w:rsidRPr="00FD550E">
              <w:rPr>
                <w:b/>
                <w:color w:val="000000"/>
                <w:sz w:val="20"/>
                <w:szCs w:val="20"/>
                <w:lang w:val="en-US"/>
              </w:rPr>
              <w:t>). The Banks supplying Classic and only financial or only non</w:t>
            </w:r>
            <w:r>
              <w:rPr>
                <w:b/>
                <w:color w:val="000000"/>
                <w:sz w:val="20"/>
                <w:szCs w:val="20"/>
                <w:lang w:val="en-US"/>
              </w:rPr>
              <w:t xml:space="preserve"> </w:t>
            </w:r>
            <w:r w:rsidRPr="00FD550E">
              <w:rPr>
                <w:b/>
                <w:color w:val="000000"/>
                <w:sz w:val="20"/>
                <w:szCs w:val="20"/>
                <w:lang w:val="en-US"/>
              </w:rPr>
              <w:t>fina</w:t>
            </w:r>
            <w:r>
              <w:rPr>
                <w:b/>
                <w:color w:val="000000"/>
                <w:sz w:val="20"/>
                <w:szCs w:val="20"/>
                <w:lang w:val="en-US"/>
              </w:rPr>
              <w:t>n</w:t>
            </w:r>
            <w:r w:rsidRPr="00FD550E">
              <w:rPr>
                <w:b/>
                <w:color w:val="000000"/>
                <w:sz w:val="20"/>
                <w:szCs w:val="20"/>
                <w:lang w:val="en-US"/>
              </w:rPr>
              <w:t>cial products are exclude from those regressions in this table.</w:t>
            </w:r>
          </w:p>
        </w:tc>
      </w:tr>
      <w:tr w:rsidR="000020B9" w:rsidRPr="00E45B5B" w14:paraId="7859F81F" w14:textId="77777777" w:rsidTr="00EF25E1">
        <w:trPr>
          <w:trHeight w:val="330"/>
          <w:tblHeader/>
        </w:trPr>
        <w:tc>
          <w:tcPr>
            <w:tcW w:w="10745" w:type="dxa"/>
            <w:gridSpan w:val="5"/>
            <w:tcBorders>
              <w:top w:val="nil"/>
              <w:left w:val="nil"/>
              <w:bottom w:val="nil"/>
              <w:right w:val="nil"/>
            </w:tcBorders>
            <w:shd w:val="clear" w:color="auto" w:fill="auto"/>
            <w:noWrap/>
            <w:vAlign w:val="bottom"/>
          </w:tcPr>
          <w:p w14:paraId="4BB84C75" w14:textId="77777777" w:rsidR="000020B9" w:rsidRPr="00FD550E" w:rsidRDefault="000020B9" w:rsidP="00EF25E1">
            <w:pPr>
              <w:rPr>
                <w:b/>
                <w:color w:val="000000"/>
                <w:sz w:val="20"/>
                <w:szCs w:val="20"/>
              </w:rPr>
            </w:pPr>
            <w:r w:rsidRPr="00FD550E">
              <w:rPr>
                <w:b/>
                <w:color w:val="000000"/>
                <w:sz w:val="20"/>
                <w:szCs w:val="20"/>
              </w:rPr>
              <w:t>Dependent Variable: ln(Revenue)</w:t>
            </w:r>
          </w:p>
        </w:tc>
      </w:tr>
      <w:tr w:rsidR="000020B9" w:rsidRPr="00E45B5B" w14:paraId="6FEE11D9" w14:textId="77777777" w:rsidTr="00EF25E1">
        <w:trPr>
          <w:trHeight w:val="315"/>
          <w:tblHeader/>
        </w:trPr>
        <w:tc>
          <w:tcPr>
            <w:tcW w:w="5516" w:type="dxa"/>
            <w:tcBorders>
              <w:top w:val="double" w:sz="6" w:space="0" w:color="auto"/>
              <w:left w:val="nil"/>
              <w:bottom w:val="single" w:sz="4" w:space="0" w:color="auto"/>
              <w:right w:val="nil"/>
            </w:tcBorders>
            <w:shd w:val="clear" w:color="auto" w:fill="auto"/>
            <w:noWrap/>
            <w:vAlign w:val="bottom"/>
          </w:tcPr>
          <w:p w14:paraId="2E90B260" w14:textId="77777777" w:rsidR="000020B9" w:rsidRPr="00E45B5B" w:rsidRDefault="000020B9" w:rsidP="00EF25E1">
            <w:pPr>
              <w:rPr>
                <w:color w:val="000000"/>
                <w:sz w:val="20"/>
                <w:szCs w:val="20"/>
              </w:rPr>
            </w:pPr>
            <w:r w:rsidRPr="00E45B5B">
              <w:rPr>
                <w:color w:val="000000"/>
                <w:sz w:val="20"/>
                <w:szCs w:val="20"/>
              </w:rPr>
              <w:t> </w:t>
            </w:r>
          </w:p>
        </w:tc>
        <w:tc>
          <w:tcPr>
            <w:tcW w:w="1329" w:type="dxa"/>
            <w:tcBorders>
              <w:top w:val="double" w:sz="6" w:space="0" w:color="auto"/>
              <w:left w:val="nil"/>
              <w:bottom w:val="single" w:sz="4" w:space="0" w:color="auto"/>
              <w:right w:val="nil"/>
            </w:tcBorders>
            <w:shd w:val="clear" w:color="auto" w:fill="auto"/>
            <w:noWrap/>
            <w:vAlign w:val="bottom"/>
          </w:tcPr>
          <w:p w14:paraId="0017E31F" w14:textId="77777777" w:rsidR="000020B9" w:rsidRPr="00E45B5B" w:rsidRDefault="000020B9" w:rsidP="00EF25E1">
            <w:pPr>
              <w:jc w:val="center"/>
              <w:rPr>
                <w:color w:val="000000"/>
                <w:sz w:val="20"/>
                <w:szCs w:val="20"/>
              </w:rPr>
            </w:pPr>
            <w:r w:rsidRPr="00E45B5B">
              <w:rPr>
                <w:color w:val="000000"/>
                <w:sz w:val="20"/>
                <w:szCs w:val="20"/>
              </w:rPr>
              <w:t xml:space="preserve">  (1)   </w:t>
            </w:r>
          </w:p>
        </w:tc>
        <w:tc>
          <w:tcPr>
            <w:tcW w:w="1169" w:type="dxa"/>
            <w:tcBorders>
              <w:top w:val="double" w:sz="6" w:space="0" w:color="auto"/>
              <w:left w:val="nil"/>
              <w:bottom w:val="single" w:sz="4" w:space="0" w:color="auto"/>
              <w:right w:val="nil"/>
            </w:tcBorders>
            <w:shd w:val="clear" w:color="auto" w:fill="auto"/>
            <w:noWrap/>
            <w:vAlign w:val="bottom"/>
          </w:tcPr>
          <w:p w14:paraId="2F70D25C" w14:textId="77777777" w:rsidR="000020B9" w:rsidRPr="00E45B5B" w:rsidRDefault="000020B9" w:rsidP="00EF25E1">
            <w:pPr>
              <w:jc w:val="center"/>
              <w:rPr>
                <w:color w:val="000000"/>
                <w:sz w:val="20"/>
                <w:szCs w:val="20"/>
              </w:rPr>
            </w:pPr>
            <w:r w:rsidRPr="00E45B5B">
              <w:rPr>
                <w:color w:val="000000"/>
                <w:sz w:val="20"/>
                <w:szCs w:val="20"/>
              </w:rPr>
              <w:t xml:space="preserve">  (2)   </w:t>
            </w:r>
          </w:p>
        </w:tc>
        <w:tc>
          <w:tcPr>
            <w:tcW w:w="1263" w:type="dxa"/>
            <w:tcBorders>
              <w:top w:val="double" w:sz="6" w:space="0" w:color="auto"/>
              <w:left w:val="nil"/>
              <w:bottom w:val="single" w:sz="4" w:space="0" w:color="auto"/>
              <w:right w:val="nil"/>
            </w:tcBorders>
            <w:shd w:val="clear" w:color="auto" w:fill="auto"/>
            <w:noWrap/>
            <w:vAlign w:val="bottom"/>
          </w:tcPr>
          <w:p w14:paraId="1642F2CF" w14:textId="77777777" w:rsidR="000020B9" w:rsidRPr="00E45B5B" w:rsidRDefault="000020B9" w:rsidP="00EF25E1">
            <w:pPr>
              <w:jc w:val="center"/>
              <w:rPr>
                <w:color w:val="000000"/>
                <w:sz w:val="20"/>
                <w:szCs w:val="20"/>
              </w:rPr>
            </w:pPr>
            <w:r w:rsidRPr="00E45B5B">
              <w:rPr>
                <w:color w:val="000000"/>
                <w:sz w:val="20"/>
                <w:szCs w:val="20"/>
              </w:rPr>
              <w:t xml:space="preserve">  (3)   </w:t>
            </w:r>
          </w:p>
        </w:tc>
        <w:tc>
          <w:tcPr>
            <w:tcW w:w="1468" w:type="dxa"/>
            <w:tcBorders>
              <w:top w:val="double" w:sz="6" w:space="0" w:color="auto"/>
              <w:left w:val="nil"/>
              <w:bottom w:val="single" w:sz="4" w:space="0" w:color="auto"/>
              <w:right w:val="nil"/>
            </w:tcBorders>
            <w:shd w:val="clear" w:color="auto" w:fill="auto"/>
            <w:noWrap/>
            <w:vAlign w:val="bottom"/>
          </w:tcPr>
          <w:p w14:paraId="2169B915" w14:textId="77777777" w:rsidR="000020B9" w:rsidRPr="00E45B5B" w:rsidRDefault="000020B9" w:rsidP="00EF25E1">
            <w:pPr>
              <w:jc w:val="center"/>
              <w:rPr>
                <w:color w:val="000000"/>
                <w:sz w:val="20"/>
                <w:szCs w:val="20"/>
              </w:rPr>
            </w:pPr>
            <w:r w:rsidRPr="00E45B5B">
              <w:rPr>
                <w:color w:val="000000"/>
                <w:sz w:val="20"/>
                <w:szCs w:val="20"/>
              </w:rPr>
              <w:t xml:space="preserve">  (4)   </w:t>
            </w:r>
          </w:p>
        </w:tc>
      </w:tr>
      <w:tr w:rsidR="000020B9" w:rsidRPr="00E45B5B" w14:paraId="679CE09A" w14:textId="77777777" w:rsidTr="00EF25E1">
        <w:trPr>
          <w:trHeight w:val="300"/>
        </w:trPr>
        <w:tc>
          <w:tcPr>
            <w:tcW w:w="5516" w:type="dxa"/>
            <w:tcBorders>
              <w:top w:val="nil"/>
              <w:left w:val="nil"/>
              <w:bottom w:val="nil"/>
              <w:right w:val="nil"/>
            </w:tcBorders>
            <w:shd w:val="clear" w:color="auto" w:fill="auto"/>
            <w:noWrap/>
            <w:vAlign w:val="bottom"/>
          </w:tcPr>
          <w:p w14:paraId="1B2FAD04" w14:textId="77777777" w:rsidR="000020B9" w:rsidRPr="00E45B5B" w:rsidRDefault="000020B9" w:rsidP="00EF25E1">
            <w:pPr>
              <w:rPr>
                <w:color w:val="000000"/>
                <w:sz w:val="20"/>
                <w:szCs w:val="20"/>
              </w:rPr>
            </w:pPr>
            <w:r w:rsidRPr="00E45B5B">
              <w:rPr>
                <w:color w:val="000000"/>
                <w:sz w:val="20"/>
                <w:szCs w:val="20"/>
              </w:rPr>
              <w:t>ln (wage)</w:t>
            </w:r>
          </w:p>
        </w:tc>
        <w:tc>
          <w:tcPr>
            <w:tcW w:w="1329" w:type="dxa"/>
            <w:tcBorders>
              <w:top w:val="nil"/>
              <w:left w:val="nil"/>
              <w:bottom w:val="nil"/>
              <w:right w:val="nil"/>
            </w:tcBorders>
            <w:shd w:val="clear" w:color="auto" w:fill="auto"/>
            <w:noWrap/>
            <w:vAlign w:val="bottom"/>
          </w:tcPr>
          <w:p w14:paraId="0F0D3D9C" w14:textId="77777777" w:rsidR="000020B9" w:rsidRPr="00E45B5B" w:rsidRDefault="000020B9" w:rsidP="00EF25E1">
            <w:pPr>
              <w:jc w:val="center"/>
              <w:rPr>
                <w:color w:val="000000"/>
                <w:sz w:val="20"/>
                <w:szCs w:val="20"/>
              </w:rPr>
            </w:pPr>
            <w:r w:rsidRPr="00E45B5B">
              <w:rPr>
                <w:color w:val="000000"/>
                <w:sz w:val="20"/>
                <w:szCs w:val="20"/>
              </w:rPr>
              <w:t xml:space="preserve">-0.197   </w:t>
            </w:r>
          </w:p>
        </w:tc>
        <w:tc>
          <w:tcPr>
            <w:tcW w:w="1169" w:type="dxa"/>
            <w:tcBorders>
              <w:top w:val="nil"/>
              <w:left w:val="nil"/>
              <w:bottom w:val="nil"/>
              <w:right w:val="nil"/>
            </w:tcBorders>
            <w:shd w:val="clear" w:color="auto" w:fill="auto"/>
            <w:noWrap/>
            <w:vAlign w:val="bottom"/>
          </w:tcPr>
          <w:p w14:paraId="0A014445" w14:textId="77777777" w:rsidR="000020B9" w:rsidRPr="00E45B5B" w:rsidRDefault="000020B9" w:rsidP="00EF25E1">
            <w:pPr>
              <w:jc w:val="center"/>
              <w:rPr>
                <w:color w:val="000000"/>
                <w:sz w:val="20"/>
                <w:szCs w:val="20"/>
              </w:rPr>
            </w:pPr>
            <w:r w:rsidRPr="00E45B5B">
              <w:rPr>
                <w:color w:val="000000"/>
                <w:sz w:val="20"/>
                <w:szCs w:val="20"/>
              </w:rPr>
              <w:t xml:space="preserve">-0.199   </w:t>
            </w:r>
          </w:p>
        </w:tc>
        <w:tc>
          <w:tcPr>
            <w:tcW w:w="1263" w:type="dxa"/>
            <w:tcBorders>
              <w:top w:val="nil"/>
              <w:left w:val="nil"/>
              <w:bottom w:val="nil"/>
              <w:right w:val="nil"/>
            </w:tcBorders>
            <w:shd w:val="clear" w:color="auto" w:fill="auto"/>
            <w:noWrap/>
            <w:vAlign w:val="bottom"/>
          </w:tcPr>
          <w:p w14:paraId="6DA4C030" w14:textId="77777777" w:rsidR="000020B9" w:rsidRPr="00E45B5B" w:rsidRDefault="000020B9" w:rsidP="00EF25E1">
            <w:pPr>
              <w:jc w:val="center"/>
              <w:rPr>
                <w:color w:val="000000"/>
                <w:sz w:val="20"/>
                <w:szCs w:val="20"/>
              </w:rPr>
            </w:pPr>
            <w:r w:rsidRPr="00E45B5B">
              <w:rPr>
                <w:color w:val="000000"/>
                <w:sz w:val="20"/>
                <w:szCs w:val="20"/>
              </w:rPr>
              <w:t xml:space="preserve">-0.198   </w:t>
            </w:r>
          </w:p>
        </w:tc>
        <w:tc>
          <w:tcPr>
            <w:tcW w:w="1468" w:type="dxa"/>
            <w:tcBorders>
              <w:top w:val="nil"/>
              <w:left w:val="nil"/>
              <w:bottom w:val="nil"/>
              <w:right w:val="nil"/>
            </w:tcBorders>
            <w:shd w:val="clear" w:color="auto" w:fill="auto"/>
            <w:noWrap/>
            <w:vAlign w:val="bottom"/>
          </w:tcPr>
          <w:p w14:paraId="646DE952" w14:textId="77777777" w:rsidR="000020B9" w:rsidRPr="00E45B5B" w:rsidRDefault="000020B9" w:rsidP="00EF25E1">
            <w:pPr>
              <w:jc w:val="center"/>
              <w:rPr>
                <w:color w:val="000000"/>
                <w:sz w:val="20"/>
                <w:szCs w:val="20"/>
              </w:rPr>
            </w:pPr>
            <w:r w:rsidRPr="00E45B5B">
              <w:rPr>
                <w:color w:val="000000"/>
                <w:sz w:val="20"/>
                <w:szCs w:val="20"/>
              </w:rPr>
              <w:t xml:space="preserve">-0.198   </w:t>
            </w:r>
          </w:p>
        </w:tc>
      </w:tr>
      <w:tr w:rsidR="000020B9" w:rsidRPr="00E45B5B" w14:paraId="0EBAA166" w14:textId="77777777" w:rsidTr="00EF25E1">
        <w:trPr>
          <w:trHeight w:val="300"/>
        </w:trPr>
        <w:tc>
          <w:tcPr>
            <w:tcW w:w="5516" w:type="dxa"/>
            <w:tcBorders>
              <w:top w:val="nil"/>
              <w:left w:val="nil"/>
              <w:bottom w:val="nil"/>
              <w:right w:val="nil"/>
            </w:tcBorders>
            <w:shd w:val="clear" w:color="auto" w:fill="auto"/>
            <w:noWrap/>
          </w:tcPr>
          <w:p w14:paraId="086170C8" w14:textId="77777777" w:rsidR="000020B9" w:rsidRPr="00E45B5B" w:rsidRDefault="000020B9" w:rsidP="00EF25E1">
            <w:pPr>
              <w:rPr>
                <w:color w:val="000000"/>
                <w:sz w:val="20"/>
                <w:szCs w:val="20"/>
              </w:rPr>
            </w:pPr>
          </w:p>
        </w:tc>
        <w:tc>
          <w:tcPr>
            <w:tcW w:w="1329" w:type="dxa"/>
            <w:tcBorders>
              <w:top w:val="nil"/>
              <w:left w:val="nil"/>
              <w:bottom w:val="nil"/>
              <w:right w:val="nil"/>
            </w:tcBorders>
            <w:shd w:val="clear" w:color="auto" w:fill="auto"/>
            <w:noWrap/>
            <w:vAlign w:val="bottom"/>
          </w:tcPr>
          <w:p w14:paraId="1D304D4C" w14:textId="77777777" w:rsidR="000020B9" w:rsidRPr="00E45B5B" w:rsidRDefault="000020B9" w:rsidP="00EF25E1">
            <w:pPr>
              <w:jc w:val="center"/>
              <w:rPr>
                <w:color w:val="000000"/>
                <w:sz w:val="20"/>
                <w:szCs w:val="20"/>
              </w:rPr>
            </w:pPr>
            <w:r w:rsidRPr="00E45B5B">
              <w:rPr>
                <w:color w:val="000000"/>
                <w:sz w:val="20"/>
                <w:szCs w:val="20"/>
              </w:rPr>
              <w:t xml:space="preserve">(0.123)   </w:t>
            </w:r>
          </w:p>
        </w:tc>
        <w:tc>
          <w:tcPr>
            <w:tcW w:w="1169" w:type="dxa"/>
            <w:tcBorders>
              <w:top w:val="nil"/>
              <w:left w:val="nil"/>
              <w:bottom w:val="nil"/>
              <w:right w:val="nil"/>
            </w:tcBorders>
            <w:shd w:val="clear" w:color="auto" w:fill="auto"/>
            <w:noWrap/>
            <w:vAlign w:val="bottom"/>
          </w:tcPr>
          <w:p w14:paraId="61122FA1" w14:textId="77777777" w:rsidR="000020B9" w:rsidRPr="00E45B5B" w:rsidRDefault="000020B9" w:rsidP="00EF25E1">
            <w:pPr>
              <w:jc w:val="center"/>
              <w:rPr>
                <w:color w:val="000000"/>
                <w:sz w:val="20"/>
                <w:szCs w:val="20"/>
              </w:rPr>
            </w:pPr>
            <w:r w:rsidRPr="00E45B5B">
              <w:rPr>
                <w:color w:val="000000"/>
                <w:sz w:val="20"/>
                <w:szCs w:val="20"/>
              </w:rPr>
              <w:t xml:space="preserve">(0.122)   </w:t>
            </w:r>
          </w:p>
        </w:tc>
        <w:tc>
          <w:tcPr>
            <w:tcW w:w="1263" w:type="dxa"/>
            <w:tcBorders>
              <w:top w:val="nil"/>
              <w:left w:val="nil"/>
              <w:bottom w:val="nil"/>
              <w:right w:val="nil"/>
            </w:tcBorders>
            <w:shd w:val="clear" w:color="auto" w:fill="auto"/>
            <w:noWrap/>
            <w:vAlign w:val="bottom"/>
          </w:tcPr>
          <w:p w14:paraId="11BA1739" w14:textId="77777777" w:rsidR="000020B9" w:rsidRPr="00E45B5B" w:rsidRDefault="000020B9" w:rsidP="00EF25E1">
            <w:pPr>
              <w:jc w:val="center"/>
              <w:rPr>
                <w:color w:val="000000"/>
                <w:sz w:val="20"/>
                <w:szCs w:val="20"/>
              </w:rPr>
            </w:pPr>
            <w:r w:rsidRPr="00E45B5B">
              <w:rPr>
                <w:color w:val="000000"/>
                <w:sz w:val="20"/>
                <w:szCs w:val="20"/>
              </w:rPr>
              <w:t xml:space="preserve">(0.121)   </w:t>
            </w:r>
          </w:p>
        </w:tc>
        <w:tc>
          <w:tcPr>
            <w:tcW w:w="1468" w:type="dxa"/>
            <w:tcBorders>
              <w:top w:val="nil"/>
              <w:left w:val="nil"/>
              <w:bottom w:val="nil"/>
              <w:right w:val="nil"/>
            </w:tcBorders>
            <w:shd w:val="clear" w:color="auto" w:fill="auto"/>
            <w:noWrap/>
            <w:vAlign w:val="bottom"/>
          </w:tcPr>
          <w:p w14:paraId="2B19901E" w14:textId="77777777" w:rsidR="000020B9" w:rsidRPr="00E45B5B" w:rsidRDefault="000020B9" w:rsidP="00EF25E1">
            <w:pPr>
              <w:jc w:val="center"/>
              <w:rPr>
                <w:color w:val="000000"/>
                <w:sz w:val="20"/>
                <w:szCs w:val="20"/>
              </w:rPr>
            </w:pPr>
            <w:r w:rsidRPr="00E45B5B">
              <w:rPr>
                <w:color w:val="000000"/>
                <w:sz w:val="20"/>
                <w:szCs w:val="20"/>
              </w:rPr>
              <w:t xml:space="preserve">(0.122)   </w:t>
            </w:r>
          </w:p>
        </w:tc>
      </w:tr>
      <w:tr w:rsidR="000020B9" w:rsidRPr="00E45B5B" w14:paraId="6D668390" w14:textId="77777777" w:rsidTr="00EF25E1">
        <w:trPr>
          <w:trHeight w:val="300"/>
        </w:trPr>
        <w:tc>
          <w:tcPr>
            <w:tcW w:w="5516" w:type="dxa"/>
            <w:tcBorders>
              <w:top w:val="nil"/>
              <w:left w:val="nil"/>
              <w:bottom w:val="nil"/>
              <w:right w:val="nil"/>
            </w:tcBorders>
            <w:shd w:val="clear" w:color="auto" w:fill="auto"/>
            <w:noWrap/>
            <w:vAlign w:val="bottom"/>
          </w:tcPr>
          <w:p w14:paraId="28CE7902" w14:textId="77777777" w:rsidR="000020B9" w:rsidRPr="00E45B5B" w:rsidRDefault="000020B9" w:rsidP="00EF25E1">
            <w:pPr>
              <w:rPr>
                <w:color w:val="000000"/>
                <w:sz w:val="20"/>
                <w:szCs w:val="20"/>
              </w:rPr>
            </w:pPr>
            <w:r w:rsidRPr="00E45B5B">
              <w:rPr>
                <w:color w:val="000000"/>
                <w:sz w:val="20"/>
                <w:szCs w:val="20"/>
              </w:rPr>
              <w:t>ln(cost of capital)</w:t>
            </w:r>
          </w:p>
        </w:tc>
        <w:tc>
          <w:tcPr>
            <w:tcW w:w="1329" w:type="dxa"/>
            <w:tcBorders>
              <w:top w:val="nil"/>
              <w:left w:val="nil"/>
              <w:bottom w:val="nil"/>
              <w:right w:val="nil"/>
            </w:tcBorders>
            <w:shd w:val="clear" w:color="auto" w:fill="auto"/>
            <w:noWrap/>
            <w:vAlign w:val="bottom"/>
          </w:tcPr>
          <w:p w14:paraId="140508FD" w14:textId="77777777" w:rsidR="000020B9" w:rsidRPr="00E45B5B" w:rsidRDefault="000020B9" w:rsidP="00EF25E1">
            <w:pPr>
              <w:jc w:val="center"/>
              <w:rPr>
                <w:color w:val="000000"/>
                <w:sz w:val="20"/>
                <w:szCs w:val="20"/>
              </w:rPr>
            </w:pPr>
            <w:r w:rsidRPr="00E45B5B">
              <w:rPr>
                <w:color w:val="000000"/>
                <w:sz w:val="20"/>
                <w:szCs w:val="20"/>
              </w:rPr>
              <w:t>0.333***</w:t>
            </w:r>
          </w:p>
        </w:tc>
        <w:tc>
          <w:tcPr>
            <w:tcW w:w="1169" w:type="dxa"/>
            <w:tcBorders>
              <w:top w:val="nil"/>
              <w:left w:val="nil"/>
              <w:bottom w:val="nil"/>
              <w:right w:val="nil"/>
            </w:tcBorders>
            <w:shd w:val="clear" w:color="auto" w:fill="auto"/>
            <w:noWrap/>
            <w:vAlign w:val="bottom"/>
          </w:tcPr>
          <w:p w14:paraId="20367B6C" w14:textId="77777777" w:rsidR="000020B9" w:rsidRPr="00E45B5B" w:rsidRDefault="000020B9" w:rsidP="00EF25E1">
            <w:pPr>
              <w:jc w:val="center"/>
              <w:rPr>
                <w:color w:val="000000"/>
                <w:sz w:val="20"/>
                <w:szCs w:val="20"/>
              </w:rPr>
            </w:pPr>
            <w:r w:rsidRPr="00E45B5B">
              <w:rPr>
                <w:color w:val="000000"/>
                <w:sz w:val="20"/>
                <w:szCs w:val="20"/>
              </w:rPr>
              <w:t>0.355***</w:t>
            </w:r>
          </w:p>
        </w:tc>
        <w:tc>
          <w:tcPr>
            <w:tcW w:w="1263" w:type="dxa"/>
            <w:tcBorders>
              <w:top w:val="nil"/>
              <w:left w:val="nil"/>
              <w:bottom w:val="nil"/>
              <w:right w:val="nil"/>
            </w:tcBorders>
            <w:shd w:val="clear" w:color="auto" w:fill="auto"/>
            <w:noWrap/>
            <w:vAlign w:val="bottom"/>
          </w:tcPr>
          <w:p w14:paraId="6529A9D6" w14:textId="77777777" w:rsidR="000020B9" w:rsidRPr="00E45B5B" w:rsidRDefault="000020B9" w:rsidP="00EF25E1">
            <w:pPr>
              <w:jc w:val="center"/>
              <w:rPr>
                <w:color w:val="000000"/>
                <w:sz w:val="20"/>
                <w:szCs w:val="20"/>
              </w:rPr>
            </w:pPr>
            <w:r w:rsidRPr="00E45B5B">
              <w:rPr>
                <w:color w:val="000000"/>
                <w:sz w:val="20"/>
                <w:szCs w:val="20"/>
              </w:rPr>
              <w:t>0.354***</w:t>
            </w:r>
          </w:p>
        </w:tc>
        <w:tc>
          <w:tcPr>
            <w:tcW w:w="1468" w:type="dxa"/>
            <w:tcBorders>
              <w:top w:val="nil"/>
              <w:left w:val="nil"/>
              <w:bottom w:val="nil"/>
              <w:right w:val="nil"/>
            </w:tcBorders>
            <w:shd w:val="clear" w:color="auto" w:fill="auto"/>
            <w:noWrap/>
            <w:vAlign w:val="bottom"/>
          </w:tcPr>
          <w:p w14:paraId="0A655B26" w14:textId="77777777" w:rsidR="000020B9" w:rsidRPr="00E45B5B" w:rsidRDefault="000020B9" w:rsidP="00EF25E1">
            <w:pPr>
              <w:jc w:val="center"/>
              <w:rPr>
                <w:color w:val="000000"/>
                <w:sz w:val="20"/>
                <w:szCs w:val="20"/>
              </w:rPr>
            </w:pPr>
            <w:r w:rsidRPr="00E45B5B">
              <w:rPr>
                <w:color w:val="000000"/>
                <w:sz w:val="20"/>
                <w:szCs w:val="20"/>
              </w:rPr>
              <w:t>0.355***</w:t>
            </w:r>
          </w:p>
        </w:tc>
      </w:tr>
      <w:tr w:rsidR="000020B9" w:rsidRPr="00E45B5B" w14:paraId="0481B187" w14:textId="77777777" w:rsidTr="00EF25E1">
        <w:trPr>
          <w:trHeight w:val="300"/>
        </w:trPr>
        <w:tc>
          <w:tcPr>
            <w:tcW w:w="5516" w:type="dxa"/>
            <w:tcBorders>
              <w:top w:val="nil"/>
              <w:left w:val="nil"/>
              <w:bottom w:val="nil"/>
              <w:right w:val="nil"/>
            </w:tcBorders>
            <w:shd w:val="clear" w:color="auto" w:fill="auto"/>
            <w:noWrap/>
          </w:tcPr>
          <w:p w14:paraId="10D22573" w14:textId="77777777" w:rsidR="000020B9" w:rsidRPr="00E45B5B" w:rsidRDefault="000020B9" w:rsidP="00EF25E1">
            <w:pPr>
              <w:rPr>
                <w:color w:val="000000"/>
                <w:sz w:val="20"/>
                <w:szCs w:val="20"/>
              </w:rPr>
            </w:pPr>
          </w:p>
        </w:tc>
        <w:tc>
          <w:tcPr>
            <w:tcW w:w="1329" w:type="dxa"/>
            <w:tcBorders>
              <w:top w:val="nil"/>
              <w:left w:val="nil"/>
              <w:bottom w:val="nil"/>
              <w:right w:val="nil"/>
            </w:tcBorders>
            <w:shd w:val="clear" w:color="auto" w:fill="auto"/>
            <w:noWrap/>
            <w:vAlign w:val="bottom"/>
          </w:tcPr>
          <w:p w14:paraId="68F3633F" w14:textId="77777777" w:rsidR="000020B9" w:rsidRPr="00E45B5B" w:rsidRDefault="000020B9" w:rsidP="00EF25E1">
            <w:pPr>
              <w:jc w:val="center"/>
              <w:rPr>
                <w:color w:val="000000"/>
                <w:sz w:val="20"/>
                <w:szCs w:val="20"/>
              </w:rPr>
            </w:pPr>
            <w:r w:rsidRPr="00E45B5B">
              <w:rPr>
                <w:color w:val="000000"/>
                <w:sz w:val="20"/>
                <w:szCs w:val="20"/>
              </w:rPr>
              <w:t xml:space="preserve">(0.053)   </w:t>
            </w:r>
          </w:p>
        </w:tc>
        <w:tc>
          <w:tcPr>
            <w:tcW w:w="1169" w:type="dxa"/>
            <w:tcBorders>
              <w:top w:val="nil"/>
              <w:left w:val="nil"/>
              <w:bottom w:val="nil"/>
              <w:right w:val="nil"/>
            </w:tcBorders>
            <w:shd w:val="clear" w:color="auto" w:fill="auto"/>
            <w:noWrap/>
            <w:vAlign w:val="bottom"/>
          </w:tcPr>
          <w:p w14:paraId="5C336A1C" w14:textId="77777777" w:rsidR="000020B9" w:rsidRPr="00E45B5B" w:rsidRDefault="000020B9" w:rsidP="00EF25E1">
            <w:pPr>
              <w:jc w:val="center"/>
              <w:rPr>
                <w:color w:val="000000"/>
                <w:sz w:val="20"/>
                <w:szCs w:val="20"/>
              </w:rPr>
            </w:pPr>
            <w:r w:rsidRPr="00E45B5B">
              <w:rPr>
                <w:color w:val="000000"/>
                <w:sz w:val="20"/>
                <w:szCs w:val="20"/>
              </w:rPr>
              <w:t xml:space="preserve">(0.061)   </w:t>
            </w:r>
          </w:p>
        </w:tc>
        <w:tc>
          <w:tcPr>
            <w:tcW w:w="1263" w:type="dxa"/>
            <w:tcBorders>
              <w:top w:val="nil"/>
              <w:left w:val="nil"/>
              <w:bottom w:val="nil"/>
              <w:right w:val="nil"/>
            </w:tcBorders>
            <w:shd w:val="clear" w:color="auto" w:fill="auto"/>
            <w:noWrap/>
            <w:vAlign w:val="bottom"/>
          </w:tcPr>
          <w:p w14:paraId="3B7AA889" w14:textId="77777777" w:rsidR="000020B9" w:rsidRPr="00E45B5B" w:rsidRDefault="000020B9" w:rsidP="00EF25E1">
            <w:pPr>
              <w:jc w:val="center"/>
              <w:rPr>
                <w:color w:val="000000"/>
                <w:sz w:val="20"/>
                <w:szCs w:val="20"/>
              </w:rPr>
            </w:pPr>
            <w:r w:rsidRPr="00E45B5B">
              <w:rPr>
                <w:color w:val="000000"/>
                <w:sz w:val="20"/>
                <w:szCs w:val="20"/>
              </w:rPr>
              <w:t xml:space="preserve">(0.061)   </w:t>
            </w:r>
          </w:p>
        </w:tc>
        <w:tc>
          <w:tcPr>
            <w:tcW w:w="1468" w:type="dxa"/>
            <w:tcBorders>
              <w:top w:val="nil"/>
              <w:left w:val="nil"/>
              <w:bottom w:val="nil"/>
              <w:right w:val="nil"/>
            </w:tcBorders>
            <w:shd w:val="clear" w:color="auto" w:fill="auto"/>
            <w:noWrap/>
            <w:vAlign w:val="bottom"/>
          </w:tcPr>
          <w:p w14:paraId="6BA06CFA" w14:textId="77777777" w:rsidR="000020B9" w:rsidRPr="00E45B5B" w:rsidRDefault="000020B9" w:rsidP="00EF25E1">
            <w:pPr>
              <w:jc w:val="center"/>
              <w:rPr>
                <w:color w:val="000000"/>
                <w:sz w:val="20"/>
                <w:szCs w:val="20"/>
              </w:rPr>
            </w:pPr>
            <w:r w:rsidRPr="00E45B5B">
              <w:rPr>
                <w:color w:val="000000"/>
                <w:sz w:val="20"/>
                <w:szCs w:val="20"/>
              </w:rPr>
              <w:t xml:space="preserve">(0.061)   </w:t>
            </w:r>
          </w:p>
        </w:tc>
      </w:tr>
      <w:tr w:rsidR="000020B9" w:rsidRPr="00E45B5B" w14:paraId="79704420" w14:textId="77777777" w:rsidTr="00EF25E1">
        <w:trPr>
          <w:trHeight w:val="300"/>
        </w:trPr>
        <w:tc>
          <w:tcPr>
            <w:tcW w:w="5516" w:type="dxa"/>
            <w:tcBorders>
              <w:top w:val="nil"/>
              <w:left w:val="nil"/>
              <w:bottom w:val="nil"/>
              <w:right w:val="nil"/>
            </w:tcBorders>
            <w:shd w:val="clear" w:color="auto" w:fill="auto"/>
            <w:noWrap/>
            <w:vAlign w:val="bottom"/>
          </w:tcPr>
          <w:p w14:paraId="7E844182" w14:textId="77777777" w:rsidR="000020B9" w:rsidRPr="00E45B5B" w:rsidRDefault="000020B9" w:rsidP="00EF25E1">
            <w:pPr>
              <w:rPr>
                <w:color w:val="000000"/>
                <w:sz w:val="20"/>
                <w:szCs w:val="20"/>
                <w:lang w:val="en-US"/>
              </w:rPr>
            </w:pPr>
            <w:r w:rsidRPr="00E45B5B">
              <w:rPr>
                <w:color w:val="000000"/>
                <w:sz w:val="20"/>
                <w:szCs w:val="20"/>
                <w:lang w:val="en-US"/>
              </w:rPr>
              <w:t>ln(cost of fixed capital)</w:t>
            </w:r>
          </w:p>
        </w:tc>
        <w:tc>
          <w:tcPr>
            <w:tcW w:w="1329" w:type="dxa"/>
            <w:tcBorders>
              <w:top w:val="nil"/>
              <w:left w:val="nil"/>
              <w:bottom w:val="nil"/>
              <w:right w:val="nil"/>
            </w:tcBorders>
            <w:shd w:val="clear" w:color="auto" w:fill="auto"/>
            <w:noWrap/>
            <w:vAlign w:val="bottom"/>
          </w:tcPr>
          <w:p w14:paraId="32D224A5" w14:textId="77777777" w:rsidR="000020B9" w:rsidRPr="00E45B5B" w:rsidRDefault="000020B9" w:rsidP="00EF25E1">
            <w:pPr>
              <w:jc w:val="center"/>
              <w:rPr>
                <w:color w:val="000000"/>
                <w:sz w:val="20"/>
                <w:szCs w:val="20"/>
              </w:rPr>
            </w:pPr>
            <w:r w:rsidRPr="00E45B5B">
              <w:rPr>
                <w:color w:val="000000"/>
                <w:sz w:val="20"/>
                <w:szCs w:val="20"/>
              </w:rPr>
              <w:t xml:space="preserve">-0.013   </w:t>
            </w:r>
          </w:p>
        </w:tc>
        <w:tc>
          <w:tcPr>
            <w:tcW w:w="1169" w:type="dxa"/>
            <w:tcBorders>
              <w:top w:val="nil"/>
              <w:left w:val="nil"/>
              <w:bottom w:val="nil"/>
              <w:right w:val="nil"/>
            </w:tcBorders>
            <w:shd w:val="clear" w:color="auto" w:fill="auto"/>
            <w:noWrap/>
            <w:vAlign w:val="bottom"/>
          </w:tcPr>
          <w:p w14:paraId="42D490B4" w14:textId="77777777" w:rsidR="000020B9" w:rsidRPr="00E45B5B" w:rsidRDefault="000020B9" w:rsidP="00EF25E1">
            <w:pPr>
              <w:jc w:val="center"/>
              <w:rPr>
                <w:color w:val="000000"/>
                <w:sz w:val="20"/>
                <w:szCs w:val="20"/>
              </w:rPr>
            </w:pPr>
            <w:r w:rsidRPr="00E45B5B">
              <w:rPr>
                <w:color w:val="000000"/>
                <w:sz w:val="20"/>
                <w:szCs w:val="20"/>
              </w:rPr>
              <w:t xml:space="preserve">-0.012   </w:t>
            </w:r>
          </w:p>
        </w:tc>
        <w:tc>
          <w:tcPr>
            <w:tcW w:w="1263" w:type="dxa"/>
            <w:tcBorders>
              <w:top w:val="nil"/>
              <w:left w:val="nil"/>
              <w:bottom w:val="nil"/>
              <w:right w:val="nil"/>
            </w:tcBorders>
            <w:shd w:val="clear" w:color="auto" w:fill="auto"/>
            <w:noWrap/>
            <w:vAlign w:val="bottom"/>
          </w:tcPr>
          <w:p w14:paraId="6FC01D28" w14:textId="77777777" w:rsidR="000020B9" w:rsidRPr="00E45B5B" w:rsidRDefault="000020B9" w:rsidP="00EF25E1">
            <w:pPr>
              <w:jc w:val="center"/>
              <w:rPr>
                <w:color w:val="000000"/>
                <w:sz w:val="20"/>
                <w:szCs w:val="20"/>
              </w:rPr>
            </w:pPr>
            <w:r w:rsidRPr="00E45B5B">
              <w:rPr>
                <w:color w:val="000000"/>
                <w:sz w:val="20"/>
                <w:szCs w:val="20"/>
              </w:rPr>
              <w:t xml:space="preserve">-0.012   </w:t>
            </w:r>
          </w:p>
        </w:tc>
        <w:tc>
          <w:tcPr>
            <w:tcW w:w="1468" w:type="dxa"/>
            <w:tcBorders>
              <w:top w:val="nil"/>
              <w:left w:val="nil"/>
              <w:bottom w:val="nil"/>
              <w:right w:val="nil"/>
            </w:tcBorders>
            <w:shd w:val="clear" w:color="auto" w:fill="auto"/>
            <w:noWrap/>
            <w:vAlign w:val="bottom"/>
          </w:tcPr>
          <w:p w14:paraId="382B8A95" w14:textId="77777777" w:rsidR="000020B9" w:rsidRPr="00E45B5B" w:rsidRDefault="000020B9" w:rsidP="00EF25E1">
            <w:pPr>
              <w:jc w:val="center"/>
              <w:rPr>
                <w:color w:val="000000"/>
                <w:sz w:val="20"/>
                <w:szCs w:val="20"/>
              </w:rPr>
            </w:pPr>
            <w:r w:rsidRPr="00E45B5B">
              <w:rPr>
                <w:color w:val="000000"/>
                <w:sz w:val="20"/>
                <w:szCs w:val="20"/>
              </w:rPr>
              <w:t xml:space="preserve">-0.012   </w:t>
            </w:r>
          </w:p>
        </w:tc>
      </w:tr>
      <w:tr w:rsidR="000020B9" w:rsidRPr="00E45B5B" w14:paraId="7DD09EED" w14:textId="77777777" w:rsidTr="00EF25E1">
        <w:trPr>
          <w:trHeight w:val="300"/>
        </w:trPr>
        <w:tc>
          <w:tcPr>
            <w:tcW w:w="5516" w:type="dxa"/>
            <w:tcBorders>
              <w:top w:val="nil"/>
              <w:left w:val="nil"/>
              <w:bottom w:val="nil"/>
              <w:right w:val="nil"/>
            </w:tcBorders>
            <w:shd w:val="clear" w:color="auto" w:fill="auto"/>
            <w:noWrap/>
          </w:tcPr>
          <w:p w14:paraId="62F28333" w14:textId="77777777" w:rsidR="000020B9" w:rsidRPr="00E45B5B" w:rsidRDefault="000020B9" w:rsidP="00EF25E1">
            <w:pPr>
              <w:rPr>
                <w:color w:val="000000"/>
                <w:sz w:val="20"/>
                <w:szCs w:val="20"/>
              </w:rPr>
            </w:pPr>
          </w:p>
        </w:tc>
        <w:tc>
          <w:tcPr>
            <w:tcW w:w="1329" w:type="dxa"/>
            <w:tcBorders>
              <w:top w:val="nil"/>
              <w:left w:val="nil"/>
              <w:bottom w:val="nil"/>
              <w:right w:val="nil"/>
            </w:tcBorders>
            <w:shd w:val="clear" w:color="auto" w:fill="auto"/>
            <w:noWrap/>
            <w:vAlign w:val="bottom"/>
          </w:tcPr>
          <w:p w14:paraId="0CA013DF" w14:textId="77777777" w:rsidR="000020B9" w:rsidRPr="00E45B5B" w:rsidRDefault="000020B9" w:rsidP="00EF25E1">
            <w:pPr>
              <w:jc w:val="center"/>
              <w:rPr>
                <w:color w:val="000000"/>
                <w:sz w:val="20"/>
                <w:szCs w:val="20"/>
              </w:rPr>
            </w:pPr>
            <w:r w:rsidRPr="00E45B5B">
              <w:rPr>
                <w:color w:val="000000"/>
                <w:sz w:val="20"/>
                <w:szCs w:val="20"/>
              </w:rPr>
              <w:t xml:space="preserve">(0.044)   </w:t>
            </w:r>
          </w:p>
        </w:tc>
        <w:tc>
          <w:tcPr>
            <w:tcW w:w="1169" w:type="dxa"/>
            <w:tcBorders>
              <w:top w:val="nil"/>
              <w:left w:val="nil"/>
              <w:bottom w:val="nil"/>
              <w:right w:val="nil"/>
            </w:tcBorders>
            <w:shd w:val="clear" w:color="auto" w:fill="auto"/>
            <w:noWrap/>
            <w:vAlign w:val="bottom"/>
          </w:tcPr>
          <w:p w14:paraId="74270B67" w14:textId="77777777" w:rsidR="000020B9" w:rsidRPr="00E45B5B" w:rsidRDefault="000020B9" w:rsidP="00EF25E1">
            <w:pPr>
              <w:jc w:val="center"/>
              <w:rPr>
                <w:color w:val="000000"/>
                <w:sz w:val="20"/>
                <w:szCs w:val="20"/>
              </w:rPr>
            </w:pPr>
            <w:r w:rsidRPr="00E45B5B">
              <w:rPr>
                <w:color w:val="000000"/>
                <w:sz w:val="20"/>
                <w:szCs w:val="20"/>
              </w:rPr>
              <w:t xml:space="preserve">(0.045)   </w:t>
            </w:r>
          </w:p>
        </w:tc>
        <w:tc>
          <w:tcPr>
            <w:tcW w:w="1263" w:type="dxa"/>
            <w:tcBorders>
              <w:top w:val="nil"/>
              <w:left w:val="nil"/>
              <w:bottom w:val="nil"/>
              <w:right w:val="nil"/>
            </w:tcBorders>
            <w:shd w:val="clear" w:color="auto" w:fill="auto"/>
            <w:noWrap/>
            <w:vAlign w:val="bottom"/>
          </w:tcPr>
          <w:p w14:paraId="18ED73DE" w14:textId="77777777" w:rsidR="000020B9" w:rsidRPr="00E45B5B" w:rsidRDefault="000020B9" w:rsidP="00EF25E1">
            <w:pPr>
              <w:jc w:val="center"/>
              <w:rPr>
                <w:color w:val="000000"/>
                <w:sz w:val="20"/>
                <w:szCs w:val="20"/>
              </w:rPr>
            </w:pPr>
            <w:r w:rsidRPr="00E45B5B">
              <w:rPr>
                <w:color w:val="000000"/>
                <w:sz w:val="20"/>
                <w:szCs w:val="20"/>
              </w:rPr>
              <w:t xml:space="preserve">(0.045)   </w:t>
            </w:r>
          </w:p>
        </w:tc>
        <w:tc>
          <w:tcPr>
            <w:tcW w:w="1468" w:type="dxa"/>
            <w:tcBorders>
              <w:top w:val="nil"/>
              <w:left w:val="nil"/>
              <w:bottom w:val="nil"/>
              <w:right w:val="nil"/>
            </w:tcBorders>
            <w:shd w:val="clear" w:color="auto" w:fill="auto"/>
            <w:noWrap/>
            <w:vAlign w:val="bottom"/>
          </w:tcPr>
          <w:p w14:paraId="6882D274" w14:textId="77777777" w:rsidR="000020B9" w:rsidRPr="00E45B5B" w:rsidRDefault="000020B9" w:rsidP="00EF25E1">
            <w:pPr>
              <w:jc w:val="center"/>
              <w:rPr>
                <w:color w:val="000000"/>
                <w:sz w:val="20"/>
                <w:szCs w:val="20"/>
              </w:rPr>
            </w:pPr>
            <w:r w:rsidRPr="00E45B5B">
              <w:rPr>
                <w:color w:val="000000"/>
                <w:sz w:val="20"/>
                <w:szCs w:val="20"/>
              </w:rPr>
              <w:t xml:space="preserve">(0.045)   </w:t>
            </w:r>
          </w:p>
        </w:tc>
      </w:tr>
      <w:tr w:rsidR="000020B9" w:rsidRPr="00E45B5B" w14:paraId="2211D890" w14:textId="77777777" w:rsidTr="00EF25E1">
        <w:trPr>
          <w:trHeight w:val="300"/>
        </w:trPr>
        <w:tc>
          <w:tcPr>
            <w:tcW w:w="5516" w:type="dxa"/>
            <w:tcBorders>
              <w:top w:val="nil"/>
              <w:left w:val="nil"/>
              <w:bottom w:val="nil"/>
              <w:right w:val="nil"/>
            </w:tcBorders>
            <w:shd w:val="clear" w:color="auto" w:fill="auto"/>
            <w:noWrap/>
            <w:vAlign w:val="bottom"/>
          </w:tcPr>
          <w:p w14:paraId="476DF4CA" w14:textId="77777777" w:rsidR="000020B9" w:rsidRPr="00E45B5B" w:rsidRDefault="000020B9" w:rsidP="00EF25E1">
            <w:pPr>
              <w:rPr>
                <w:color w:val="000000"/>
                <w:sz w:val="20"/>
                <w:szCs w:val="20"/>
                <w:lang w:val="en-US"/>
              </w:rPr>
            </w:pPr>
            <w:r w:rsidRPr="00E45B5B">
              <w:rPr>
                <w:color w:val="000000"/>
                <w:sz w:val="20"/>
                <w:szCs w:val="20"/>
                <w:lang w:val="en-US"/>
              </w:rPr>
              <w:t>ln (wage)*Dummy Banks with Classic, Financial and NonFinancial Bank Products</w:t>
            </w:r>
          </w:p>
        </w:tc>
        <w:tc>
          <w:tcPr>
            <w:tcW w:w="1329" w:type="dxa"/>
            <w:tcBorders>
              <w:top w:val="nil"/>
              <w:left w:val="nil"/>
              <w:bottom w:val="nil"/>
              <w:right w:val="nil"/>
            </w:tcBorders>
            <w:shd w:val="clear" w:color="auto" w:fill="auto"/>
            <w:noWrap/>
            <w:vAlign w:val="bottom"/>
          </w:tcPr>
          <w:p w14:paraId="6054CB9D" w14:textId="77777777" w:rsidR="000020B9" w:rsidRPr="00E45B5B" w:rsidRDefault="000020B9" w:rsidP="00EF25E1">
            <w:pPr>
              <w:jc w:val="center"/>
              <w:rPr>
                <w:color w:val="000000"/>
                <w:sz w:val="20"/>
                <w:szCs w:val="20"/>
              </w:rPr>
            </w:pPr>
            <w:r w:rsidRPr="00E45B5B">
              <w:rPr>
                <w:color w:val="000000"/>
                <w:sz w:val="20"/>
                <w:szCs w:val="20"/>
              </w:rPr>
              <w:t xml:space="preserve">-0.256   </w:t>
            </w:r>
          </w:p>
        </w:tc>
        <w:tc>
          <w:tcPr>
            <w:tcW w:w="1169" w:type="dxa"/>
            <w:tcBorders>
              <w:top w:val="nil"/>
              <w:left w:val="nil"/>
              <w:bottom w:val="nil"/>
              <w:right w:val="nil"/>
            </w:tcBorders>
            <w:shd w:val="clear" w:color="auto" w:fill="auto"/>
            <w:noWrap/>
            <w:vAlign w:val="bottom"/>
          </w:tcPr>
          <w:p w14:paraId="301424E5" w14:textId="77777777" w:rsidR="000020B9" w:rsidRPr="00E45B5B" w:rsidRDefault="000020B9" w:rsidP="00EF25E1">
            <w:pPr>
              <w:jc w:val="center"/>
              <w:rPr>
                <w:color w:val="000000"/>
                <w:sz w:val="20"/>
                <w:szCs w:val="20"/>
              </w:rPr>
            </w:pPr>
            <w:r w:rsidRPr="00E45B5B">
              <w:rPr>
                <w:color w:val="000000"/>
                <w:sz w:val="20"/>
                <w:szCs w:val="20"/>
              </w:rPr>
              <w:t xml:space="preserve">-0.185   </w:t>
            </w:r>
          </w:p>
        </w:tc>
        <w:tc>
          <w:tcPr>
            <w:tcW w:w="1263" w:type="dxa"/>
            <w:tcBorders>
              <w:top w:val="nil"/>
              <w:left w:val="nil"/>
              <w:bottom w:val="nil"/>
              <w:right w:val="nil"/>
            </w:tcBorders>
            <w:shd w:val="clear" w:color="auto" w:fill="auto"/>
            <w:noWrap/>
            <w:vAlign w:val="bottom"/>
          </w:tcPr>
          <w:p w14:paraId="0FD83D63" w14:textId="77777777" w:rsidR="000020B9" w:rsidRPr="00E45B5B" w:rsidRDefault="000020B9" w:rsidP="00EF25E1">
            <w:pPr>
              <w:jc w:val="center"/>
              <w:rPr>
                <w:color w:val="000000"/>
                <w:sz w:val="20"/>
                <w:szCs w:val="20"/>
              </w:rPr>
            </w:pPr>
            <w:r w:rsidRPr="00E45B5B">
              <w:rPr>
                <w:color w:val="000000"/>
                <w:sz w:val="20"/>
                <w:szCs w:val="20"/>
              </w:rPr>
              <w:t xml:space="preserve">-0.177   </w:t>
            </w:r>
          </w:p>
        </w:tc>
        <w:tc>
          <w:tcPr>
            <w:tcW w:w="1468" w:type="dxa"/>
            <w:tcBorders>
              <w:top w:val="nil"/>
              <w:left w:val="nil"/>
              <w:bottom w:val="nil"/>
              <w:right w:val="nil"/>
            </w:tcBorders>
            <w:shd w:val="clear" w:color="auto" w:fill="auto"/>
            <w:noWrap/>
            <w:vAlign w:val="bottom"/>
          </w:tcPr>
          <w:p w14:paraId="75B7AA6C" w14:textId="77777777" w:rsidR="000020B9" w:rsidRPr="00E45B5B" w:rsidRDefault="000020B9" w:rsidP="00EF25E1">
            <w:pPr>
              <w:jc w:val="center"/>
              <w:rPr>
                <w:color w:val="000000"/>
                <w:sz w:val="20"/>
                <w:szCs w:val="20"/>
              </w:rPr>
            </w:pPr>
            <w:r w:rsidRPr="00E45B5B">
              <w:rPr>
                <w:color w:val="000000"/>
                <w:sz w:val="20"/>
                <w:szCs w:val="20"/>
              </w:rPr>
              <w:t xml:space="preserve">-0.175   </w:t>
            </w:r>
          </w:p>
        </w:tc>
      </w:tr>
      <w:tr w:rsidR="000020B9" w:rsidRPr="00E45B5B" w14:paraId="6C6BABE2" w14:textId="77777777" w:rsidTr="00EF25E1">
        <w:trPr>
          <w:trHeight w:val="300"/>
        </w:trPr>
        <w:tc>
          <w:tcPr>
            <w:tcW w:w="5516" w:type="dxa"/>
            <w:tcBorders>
              <w:top w:val="nil"/>
              <w:left w:val="nil"/>
              <w:bottom w:val="nil"/>
              <w:right w:val="nil"/>
            </w:tcBorders>
            <w:shd w:val="clear" w:color="auto" w:fill="auto"/>
            <w:noWrap/>
          </w:tcPr>
          <w:p w14:paraId="21ADD25F" w14:textId="77777777" w:rsidR="000020B9" w:rsidRPr="00E45B5B" w:rsidRDefault="000020B9" w:rsidP="00EF25E1">
            <w:pPr>
              <w:rPr>
                <w:color w:val="000000"/>
                <w:sz w:val="20"/>
                <w:szCs w:val="20"/>
              </w:rPr>
            </w:pPr>
          </w:p>
        </w:tc>
        <w:tc>
          <w:tcPr>
            <w:tcW w:w="1329" w:type="dxa"/>
            <w:tcBorders>
              <w:top w:val="nil"/>
              <w:left w:val="nil"/>
              <w:bottom w:val="nil"/>
              <w:right w:val="nil"/>
            </w:tcBorders>
            <w:shd w:val="clear" w:color="auto" w:fill="auto"/>
            <w:noWrap/>
            <w:vAlign w:val="bottom"/>
          </w:tcPr>
          <w:p w14:paraId="246C59FC" w14:textId="77777777" w:rsidR="000020B9" w:rsidRPr="00E45B5B" w:rsidRDefault="000020B9" w:rsidP="00EF25E1">
            <w:pPr>
              <w:jc w:val="center"/>
              <w:rPr>
                <w:color w:val="000000"/>
                <w:sz w:val="20"/>
                <w:szCs w:val="20"/>
              </w:rPr>
            </w:pPr>
            <w:r w:rsidRPr="00E45B5B">
              <w:rPr>
                <w:color w:val="000000"/>
                <w:sz w:val="20"/>
                <w:szCs w:val="20"/>
              </w:rPr>
              <w:t xml:space="preserve">(0.179)   </w:t>
            </w:r>
          </w:p>
        </w:tc>
        <w:tc>
          <w:tcPr>
            <w:tcW w:w="1169" w:type="dxa"/>
            <w:tcBorders>
              <w:top w:val="nil"/>
              <w:left w:val="nil"/>
              <w:bottom w:val="nil"/>
              <w:right w:val="nil"/>
            </w:tcBorders>
            <w:shd w:val="clear" w:color="auto" w:fill="auto"/>
            <w:noWrap/>
            <w:vAlign w:val="bottom"/>
          </w:tcPr>
          <w:p w14:paraId="6BC4D95C" w14:textId="77777777" w:rsidR="000020B9" w:rsidRPr="00E45B5B" w:rsidRDefault="000020B9" w:rsidP="00EF25E1">
            <w:pPr>
              <w:jc w:val="center"/>
              <w:rPr>
                <w:color w:val="000000"/>
                <w:sz w:val="20"/>
                <w:szCs w:val="20"/>
              </w:rPr>
            </w:pPr>
            <w:r w:rsidRPr="00E45B5B">
              <w:rPr>
                <w:color w:val="000000"/>
                <w:sz w:val="20"/>
                <w:szCs w:val="20"/>
              </w:rPr>
              <w:t xml:space="preserve">(0.174)   </w:t>
            </w:r>
          </w:p>
        </w:tc>
        <w:tc>
          <w:tcPr>
            <w:tcW w:w="1263" w:type="dxa"/>
            <w:tcBorders>
              <w:top w:val="nil"/>
              <w:left w:val="nil"/>
              <w:bottom w:val="nil"/>
              <w:right w:val="nil"/>
            </w:tcBorders>
            <w:shd w:val="clear" w:color="auto" w:fill="auto"/>
            <w:noWrap/>
            <w:vAlign w:val="bottom"/>
          </w:tcPr>
          <w:p w14:paraId="79D37CD4" w14:textId="77777777" w:rsidR="000020B9" w:rsidRPr="00E45B5B" w:rsidRDefault="000020B9" w:rsidP="00EF25E1">
            <w:pPr>
              <w:jc w:val="center"/>
              <w:rPr>
                <w:color w:val="000000"/>
                <w:sz w:val="20"/>
                <w:szCs w:val="20"/>
              </w:rPr>
            </w:pPr>
            <w:r w:rsidRPr="00E45B5B">
              <w:rPr>
                <w:color w:val="000000"/>
                <w:sz w:val="20"/>
                <w:szCs w:val="20"/>
              </w:rPr>
              <w:t xml:space="preserve">(0.177)   </w:t>
            </w:r>
          </w:p>
        </w:tc>
        <w:tc>
          <w:tcPr>
            <w:tcW w:w="1468" w:type="dxa"/>
            <w:tcBorders>
              <w:top w:val="nil"/>
              <w:left w:val="nil"/>
              <w:bottom w:val="nil"/>
              <w:right w:val="nil"/>
            </w:tcBorders>
            <w:shd w:val="clear" w:color="auto" w:fill="auto"/>
            <w:noWrap/>
            <w:vAlign w:val="bottom"/>
          </w:tcPr>
          <w:p w14:paraId="4168CC20" w14:textId="77777777" w:rsidR="000020B9" w:rsidRPr="00E45B5B" w:rsidRDefault="000020B9" w:rsidP="00EF25E1">
            <w:pPr>
              <w:jc w:val="center"/>
              <w:rPr>
                <w:color w:val="000000"/>
                <w:sz w:val="20"/>
                <w:szCs w:val="20"/>
              </w:rPr>
            </w:pPr>
            <w:r w:rsidRPr="00E45B5B">
              <w:rPr>
                <w:color w:val="000000"/>
                <w:sz w:val="20"/>
                <w:szCs w:val="20"/>
              </w:rPr>
              <w:t xml:space="preserve">(0.176)   </w:t>
            </w:r>
          </w:p>
        </w:tc>
      </w:tr>
      <w:tr w:rsidR="000020B9" w:rsidRPr="00E45B5B" w14:paraId="3F982F24" w14:textId="77777777" w:rsidTr="00EF25E1">
        <w:trPr>
          <w:trHeight w:val="300"/>
        </w:trPr>
        <w:tc>
          <w:tcPr>
            <w:tcW w:w="5516" w:type="dxa"/>
            <w:tcBorders>
              <w:top w:val="nil"/>
              <w:left w:val="nil"/>
              <w:bottom w:val="nil"/>
              <w:right w:val="nil"/>
            </w:tcBorders>
            <w:shd w:val="clear" w:color="auto" w:fill="auto"/>
            <w:noWrap/>
            <w:vAlign w:val="bottom"/>
          </w:tcPr>
          <w:p w14:paraId="79ADE925" w14:textId="77777777" w:rsidR="000020B9" w:rsidRPr="00E45B5B" w:rsidRDefault="000020B9" w:rsidP="00EF25E1">
            <w:pPr>
              <w:rPr>
                <w:color w:val="000000"/>
                <w:sz w:val="20"/>
                <w:szCs w:val="20"/>
                <w:lang w:val="en-US"/>
              </w:rPr>
            </w:pPr>
            <w:r w:rsidRPr="00E45B5B">
              <w:rPr>
                <w:color w:val="000000"/>
                <w:sz w:val="20"/>
                <w:szCs w:val="20"/>
                <w:lang w:val="en-US"/>
              </w:rPr>
              <w:t>ln(cost of capital)*Dummy Banks with Classic, Financial and NonFinancial Bank Products</w:t>
            </w:r>
          </w:p>
        </w:tc>
        <w:tc>
          <w:tcPr>
            <w:tcW w:w="1329" w:type="dxa"/>
            <w:tcBorders>
              <w:top w:val="nil"/>
              <w:left w:val="nil"/>
              <w:bottom w:val="nil"/>
              <w:right w:val="nil"/>
            </w:tcBorders>
            <w:shd w:val="clear" w:color="auto" w:fill="auto"/>
            <w:noWrap/>
            <w:vAlign w:val="bottom"/>
          </w:tcPr>
          <w:p w14:paraId="1FD62DF3" w14:textId="77777777" w:rsidR="000020B9" w:rsidRPr="00E45B5B" w:rsidRDefault="000020B9" w:rsidP="00EF25E1">
            <w:pPr>
              <w:jc w:val="center"/>
              <w:rPr>
                <w:color w:val="000000"/>
                <w:sz w:val="20"/>
                <w:szCs w:val="20"/>
              </w:rPr>
            </w:pPr>
            <w:r w:rsidRPr="00E45B5B">
              <w:rPr>
                <w:color w:val="000000"/>
                <w:sz w:val="20"/>
                <w:szCs w:val="20"/>
              </w:rPr>
              <w:t xml:space="preserve">0.044   </w:t>
            </w:r>
          </w:p>
        </w:tc>
        <w:tc>
          <w:tcPr>
            <w:tcW w:w="1169" w:type="dxa"/>
            <w:tcBorders>
              <w:top w:val="nil"/>
              <w:left w:val="nil"/>
              <w:bottom w:val="nil"/>
              <w:right w:val="nil"/>
            </w:tcBorders>
            <w:shd w:val="clear" w:color="auto" w:fill="auto"/>
            <w:noWrap/>
            <w:vAlign w:val="bottom"/>
          </w:tcPr>
          <w:p w14:paraId="76AD8057" w14:textId="77777777" w:rsidR="000020B9" w:rsidRPr="00E45B5B" w:rsidRDefault="000020B9" w:rsidP="00EF25E1">
            <w:pPr>
              <w:jc w:val="center"/>
              <w:rPr>
                <w:color w:val="000000"/>
                <w:sz w:val="20"/>
                <w:szCs w:val="20"/>
              </w:rPr>
            </w:pPr>
            <w:r w:rsidRPr="00E45B5B">
              <w:rPr>
                <w:color w:val="000000"/>
                <w:sz w:val="20"/>
                <w:szCs w:val="20"/>
              </w:rPr>
              <w:t xml:space="preserve">0.029   </w:t>
            </w:r>
          </w:p>
        </w:tc>
        <w:tc>
          <w:tcPr>
            <w:tcW w:w="1263" w:type="dxa"/>
            <w:tcBorders>
              <w:top w:val="nil"/>
              <w:left w:val="nil"/>
              <w:bottom w:val="nil"/>
              <w:right w:val="nil"/>
            </w:tcBorders>
            <w:shd w:val="clear" w:color="auto" w:fill="auto"/>
            <w:noWrap/>
            <w:vAlign w:val="bottom"/>
          </w:tcPr>
          <w:p w14:paraId="79218B3A" w14:textId="77777777" w:rsidR="000020B9" w:rsidRPr="00E45B5B" w:rsidRDefault="000020B9" w:rsidP="00EF25E1">
            <w:pPr>
              <w:jc w:val="center"/>
              <w:rPr>
                <w:color w:val="000000"/>
                <w:sz w:val="20"/>
                <w:szCs w:val="20"/>
              </w:rPr>
            </w:pPr>
            <w:r w:rsidRPr="00E45B5B">
              <w:rPr>
                <w:color w:val="000000"/>
                <w:sz w:val="20"/>
                <w:szCs w:val="20"/>
              </w:rPr>
              <w:t xml:space="preserve">0.029   </w:t>
            </w:r>
          </w:p>
        </w:tc>
        <w:tc>
          <w:tcPr>
            <w:tcW w:w="1468" w:type="dxa"/>
            <w:tcBorders>
              <w:top w:val="nil"/>
              <w:left w:val="nil"/>
              <w:bottom w:val="nil"/>
              <w:right w:val="nil"/>
            </w:tcBorders>
            <w:shd w:val="clear" w:color="auto" w:fill="auto"/>
            <w:noWrap/>
            <w:vAlign w:val="bottom"/>
          </w:tcPr>
          <w:p w14:paraId="16E73991" w14:textId="77777777" w:rsidR="000020B9" w:rsidRPr="00E45B5B" w:rsidRDefault="000020B9" w:rsidP="00EF25E1">
            <w:pPr>
              <w:jc w:val="center"/>
              <w:rPr>
                <w:color w:val="000000"/>
                <w:sz w:val="20"/>
                <w:szCs w:val="20"/>
              </w:rPr>
            </w:pPr>
            <w:r w:rsidRPr="00E45B5B">
              <w:rPr>
                <w:color w:val="000000"/>
                <w:sz w:val="20"/>
                <w:szCs w:val="20"/>
              </w:rPr>
              <w:t xml:space="preserve">0.026   </w:t>
            </w:r>
          </w:p>
        </w:tc>
      </w:tr>
      <w:tr w:rsidR="000020B9" w:rsidRPr="00E45B5B" w14:paraId="42793FC4" w14:textId="77777777" w:rsidTr="00EF25E1">
        <w:trPr>
          <w:trHeight w:val="300"/>
        </w:trPr>
        <w:tc>
          <w:tcPr>
            <w:tcW w:w="5516" w:type="dxa"/>
            <w:tcBorders>
              <w:top w:val="nil"/>
              <w:left w:val="nil"/>
              <w:bottom w:val="nil"/>
              <w:right w:val="nil"/>
            </w:tcBorders>
            <w:shd w:val="clear" w:color="auto" w:fill="auto"/>
            <w:noWrap/>
          </w:tcPr>
          <w:p w14:paraId="4C554C26" w14:textId="77777777" w:rsidR="000020B9" w:rsidRPr="00E45B5B" w:rsidRDefault="000020B9" w:rsidP="00EF25E1">
            <w:pPr>
              <w:rPr>
                <w:color w:val="000000"/>
                <w:sz w:val="20"/>
                <w:szCs w:val="20"/>
              </w:rPr>
            </w:pPr>
          </w:p>
        </w:tc>
        <w:tc>
          <w:tcPr>
            <w:tcW w:w="1329" w:type="dxa"/>
            <w:tcBorders>
              <w:top w:val="nil"/>
              <w:left w:val="nil"/>
              <w:bottom w:val="nil"/>
              <w:right w:val="nil"/>
            </w:tcBorders>
            <w:shd w:val="clear" w:color="auto" w:fill="auto"/>
            <w:noWrap/>
            <w:vAlign w:val="bottom"/>
          </w:tcPr>
          <w:p w14:paraId="7F571FFF" w14:textId="77777777" w:rsidR="000020B9" w:rsidRPr="00E45B5B" w:rsidRDefault="000020B9" w:rsidP="00EF25E1">
            <w:pPr>
              <w:jc w:val="center"/>
              <w:rPr>
                <w:color w:val="000000"/>
                <w:sz w:val="20"/>
                <w:szCs w:val="20"/>
              </w:rPr>
            </w:pPr>
            <w:r w:rsidRPr="00E45B5B">
              <w:rPr>
                <w:color w:val="000000"/>
                <w:sz w:val="20"/>
                <w:szCs w:val="20"/>
              </w:rPr>
              <w:t xml:space="preserve">(0.069)   </w:t>
            </w:r>
          </w:p>
        </w:tc>
        <w:tc>
          <w:tcPr>
            <w:tcW w:w="1169" w:type="dxa"/>
            <w:tcBorders>
              <w:top w:val="nil"/>
              <w:left w:val="nil"/>
              <w:bottom w:val="nil"/>
              <w:right w:val="nil"/>
            </w:tcBorders>
            <w:shd w:val="clear" w:color="auto" w:fill="auto"/>
            <w:noWrap/>
            <w:vAlign w:val="bottom"/>
          </w:tcPr>
          <w:p w14:paraId="4C7383CE" w14:textId="77777777" w:rsidR="000020B9" w:rsidRPr="00E45B5B" w:rsidRDefault="000020B9" w:rsidP="00EF25E1">
            <w:pPr>
              <w:jc w:val="center"/>
              <w:rPr>
                <w:color w:val="000000"/>
                <w:sz w:val="20"/>
                <w:szCs w:val="20"/>
              </w:rPr>
            </w:pPr>
            <w:r w:rsidRPr="00E45B5B">
              <w:rPr>
                <w:color w:val="000000"/>
                <w:sz w:val="20"/>
                <w:szCs w:val="20"/>
              </w:rPr>
              <w:t xml:space="preserve">(0.077)   </w:t>
            </w:r>
          </w:p>
        </w:tc>
        <w:tc>
          <w:tcPr>
            <w:tcW w:w="1263" w:type="dxa"/>
            <w:tcBorders>
              <w:top w:val="nil"/>
              <w:left w:val="nil"/>
              <w:bottom w:val="nil"/>
              <w:right w:val="nil"/>
            </w:tcBorders>
            <w:shd w:val="clear" w:color="auto" w:fill="auto"/>
            <w:noWrap/>
            <w:vAlign w:val="bottom"/>
          </w:tcPr>
          <w:p w14:paraId="06944D95" w14:textId="77777777" w:rsidR="000020B9" w:rsidRPr="00E45B5B" w:rsidRDefault="000020B9" w:rsidP="00EF25E1">
            <w:pPr>
              <w:jc w:val="center"/>
              <w:rPr>
                <w:color w:val="000000"/>
                <w:sz w:val="20"/>
                <w:szCs w:val="20"/>
              </w:rPr>
            </w:pPr>
            <w:r w:rsidRPr="00E45B5B">
              <w:rPr>
                <w:color w:val="000000"/>
                <w:sz w:val="20"/>
                <w:szCs w:val="20"/>
              </w:rPr>
              <w:t xml:space="preserve">(0.077)   </w:t>
            </w:r>
          </w:p>
        </w:tc>
        <w:tc>
          <w:tcPr>
            <w:tcW w:w="1468" w:type="dxa"/>
            <w:tcBorders>
              <w:top w:val="nil"/>
              <w:left w:val="nil"/>
              <w:bottom w:val="nil"/>
              <w:right w:val="nil"/>
            </w:tcBorders>
            <w:shd w:val="clear" w:color="auto" w:fill="auto"/>
            <w:noWrap/>
            <w:vAlign w:val="bottom"/>
          </w:tcPr>
          <w:p w14:paraId="0270F525" w14:textId="77777777" w:rsidR="000020B9" w:rsidRPr="00E45B5B" w:rsidRDefault="000020B9" w:rsidP="00EF25E1">
            <w:pPr>
              <w:jc w:val="center"/>
              <w:rPr>
                <w:color w:val="000000"/>
                <w:sz w:val="20"/>
                <w:szCs w:val="20"/>
              </w:rPr>
            </w:pPr>
            <w:r w:rsidRPr="00E45B5B">
              <w:rPr>
                <w:color w:val="000000"/>
                <w:sz w:val="20"/>
                <w:szCs w:val="20"/>
              </w:rPr>
              <w:t xml:space="preserve">(0.075)   </w:t>
            </w:r>
          </w:p>
        </w:tc>
      </w:tr>
      <w:tr w:rsidR="000020B9" w:rsidRPr="00E45B5B" w14:paraId="11AF6610" w14:textId="77777777" w:rsidTr="00EF25E1">
        <w:trPr>
          <w:trHeight w:val="300"/>
        </w:trPr>
        <w:tc>
          <w:tcPr>
            <w:tcW w:w="5516" w:type="dxa"/>
            <w:tcBorders>
              <w:top w:val="nil"/>
              <w:left w:val="nil"/>
              <w:bottom w:val="nil"/>
              <w:right w:val="nil"/>
            </w:tcBorders>
            <w:shd w:val="clear" w:color="auto" w:fill="auto"/>
            <w:noWrap/>
            <w:vAlign w:val="bottom"/>
          </w:tcPr>
          <w:p w14:paraId="40902C4E" w14:textId="77777777" w:rsidR="000020B9" w:rsidRPr="00E45B5B" w:rsidRDefault="000020B9" w:rsidP="00EF25E1">
            <w:pPr>
              <w:rPr>
                <w:color w:val="000000"/>
                <w:sz w:val="20"/>
                <w:szCs w:val="20"/>
                <w:lang w:val="en-US"/>
              </w:rPr>
            </w:pPr>
            <w:r w:rsidRPr="00E45B5B">
              <w:rPr>
                <w:color w:val="000000"/>
                <w:sz w:val="20"/>
                <w:szCs w:val="20"/>
                <w:lang w:val="en-US"/>
              </w:rPr>
              <w:t>ln(cost of fixed capital)*Dummy Banks with Classic, Financial and NonFinancial Bank Products</w:t>
            </w:r>
          </w:p>
        </w:tc>
        <w:tc>
          <w:tcPr>
            <w:tcW w:w="1329" w:type="dxa"/>
            <w:tcBorders>
              <w:top w:val="nil"/>
              <w:left w:val="nil"/>
              <w:bottom w:val="nil"/>
              <w:right w:val="nil"/>
            </w:tcBorders>
            <w:shd w:val="clear" w:color="auto" w:fill="auto"/>
            <w:noWrap/>
            <w:vAlign w:val="bottom"/>
          </w:tcPr>
          <w:p w14:paraId="76007E9B" w14:textId="77777777" w:rsidR="000020B9" w:rsidRPr="00E45B5B" w:rsidRDefault="000020B9" w:rsidP="00EF25E1">
            <w:pPr>
              <w:jc w:val="center"/>
              <w:rPr>
                <w:color w:val="000000"/>
                <w:sz w:val="20"/>
                <w:szCs w:val="20"/>
              </w:rPr>
            </w:pPr>
            <w:r w:rsidRPr="00E45B5B">
              <w:rPr>
                <w:color w:val="000000"/>
                <w:sz w:val="20"/>
                <w:szCs w:val="20"/>
              </w:rPr>
              <w:t xml:space="preserve">-0.078   </w:t>
            </w:r>
          </w:p>
        </w:tc>
        <w:tc>
          <w:tcPr>
            <w:tcW w:w="1169" w:type="dxa"/>
            <w:tcBorders>
              <w:top w:val="nil"/>
              <w:left w:val="nil"/>
              <w:bottom w:val="nil"/>
              <w:right w:val="nil"/>
            </w:tcBorders>
            <w:shd w:val="clear" w:color="auto" w:fill="auto"/>
            <w:noWrap/>
            <w:vAlign w:val="bottom"/>
          </w:tcPr>
          <w:p w14:paraId="0C05EB16" w14:textId="77777777" w:rsidR="000020B9" w:rsidRPr="00E45B5B" w:rsidRDefault="000020B9" w:rsidP="00EF25E1">
            <w:pPr>
              <w:jc w:val="center"/>
              <w:rPr>
                <w:color w:val="000000"/>
                <w:sz w:val="20"/>
                <w:szCs w:val="20"/>
              </w:rPr>
            </w:pPr>
            <w:r w:rsidRPr="00E45B5B">
              <w:rPr>
                <w:color w:val="000000"/>
                <w:sz w:val="20"/>
                <w:szCs w:val="20"/>
              </w:rPr>
              <w:t xml:space="preserve">-0.094   </w:t>
            </w:r>
          </w:p>
        </w:tc>
        <w:tc>
          <w:tcPr>
            <w:tcW w:w="1263" w:type="dxa"/>
            <w:tcBorders>
              <w:top w:val="nil"/>
              <w:left w:val="nil"/>
              <w:bottom w:val="nil"/>
              <w:right w:val="nil"/>
            </w:tcBorders>
            <w:shd w:val="clear" w:color="auto" w:fill="auto"/>
            <w:noWrap/>
            <w:vAlign w:val="bottom"/>
          </w:tcPr>
          <w:p w14:paraId="5A185853" w14:textId="77777777" w:rsidR="000020B9" w:rsidRPr="00E45B5B" w:rsidRDefault="000020B9" w:rsidP="00EF25E1">
            <w:pPr>
              <w:jc w:val="center"/>
              <w:rPr>
                <w:color w:val="000000"/>
                <w:sz w:val="20"/>
                <w:szCs w:val="20"/>
              </w:rPr>
            </w:pPr>
            <w:r w:rsidRPr="00E45B5B">
              <w:rPr>
                <w:color w:val="000000"/>
                <w:sz w:val="20"/>
                <w:szCs w:val="20"/>
              </w:rPr>
              <w:t xml:space="preserve">-0.099   </w:t>
            </w:r>
          </w:p>
        </w:tc>
        <w:tc>
          <w:tcPr>
            <w:tcW w:w="1468" w:type="dxa"/>
            <w:tcBorders>
              <w:top w:val="nil"/>
              <w:left w:val="nil"/>
              <w:bottom w:val="nil"/>
              <w:right w:val="nil"/>
            </w:tcBorders>
            <w:shd w:val="clear" w:color="auto" w:fill="auto"/>
            <w:noWrap/>
            <w:vAlign w:val="bottom"/>
          </w:tcPr>
          <w:p w14:paraId="73013DDE" w14:textId="77777777" w:rsidR="000020B9" w:rsidRPr="00E45B5B" w:rsidRDefault="000020B9" w:rsidP="00EF25E1">
            <w:pPr>
              <w:jc w:val="center"/>
              <w:rPr>
                <w:color w:val="000000"/>
                <w:sz w:val="20"/>
                <w:szCs w:val="20"/>
              </w:rPr>
            </w:pPr>
            <w:r w:rsidRPr="00E45B5B">
              <w:rPr>
                <w:color w:val="000000"/>
                <w:sz w:val="20"/>
                <w:szCs w:val="20"/>
              </w:rPr>
              <w:t xml:space="preserve">-0.098   </w:t>
            </w:r>
          </w:p>
        </w:tc>
      </w:tr>
      <w:tr w:rsidR="000020B9" w:rsidRPr="00E45B5B" w14:paraId="01701562" w14:textId="77777777" w:rsidTr="00EF25E1">
        <w:trPr>
          <w:trHeight w:val="300"/>
        </w:trPr>
        <w:tc>
          <w:tcPr>
            <w:tcW w:w="5516" w:type="dxa"/>
            <w:tcBorders>
              <w:top w:val="nil"/>
              <w:left w:val="nil"/>
              <w:bottom w:val="nil"/>
              <w:right w:val="nil"/>
            </w:tcBorders>
            <w:shd w:val="clear" w:color="auto" w:fill="auto"/>
            <w:noWrap/>
            <w:vAlign w:val="bottom"/>
          </w:tcPr>
          <w:p w14:paraId="10EB2365" w14:textId="77777777" w:rsidR="000020B9" w:rsidRPr="00E45B5B" w:rsidRDefault="000020B9" w:rsidP="00EF25E1">
            <w:pPr>
              <w:rPr>
                <w:color w:val="000000"/>
                <w:sz w:val="20"/>
                <w:szCs w:val="20"/>
              </w:rPr>
            </w:pPr>
          </w:p>
        </w:tc>
        <w:tc>
          <w:tcPr>
            <w:tcW w:w="1329" w:type="dxa"/>
            <w:tcBorders>
              <w:top w:val="nil"/>
              <w:left w:val="nil"/>
              <w:bottom w:val="nil"/>
              <w:right w:val="nil"/>
            </w:tcBorders>
            <w:shd w:val="clear" w:color="auto" w:fill="auto"/>
            <w:noWrap/>
            <w:vAlign w:val="bottom"/>
          </w:tcPr>
          <w:p w14:paraId="27B99A48" w14:textId="77777777" w:rsidR="000020B9" w:rsidRPr="00E45B5B" w:rsidRDefault="000020B9" w:rsidP="00EF25E1">
            <w:pPr>
              <w:jc w:val="center"/>
              <w:rPr>
                <w:color w:val="000000"/>
                <w:sz w:val="20"/>
                <w:szCs w:val="20"/>
              </w:rPr>
            </w:pPr>
            <w:r w:rsidRPr="00E45B5B">
              <w:rPr>
                <w:color w:val="000000"/>
                <w:sz w:val="20"/>
                <w:szCs w:val="20"/>
              </w:rPr>
              <w:t xml:space="preserve">(0.054)   </w:t>
            </w:r>
          </w:p>
        </w:tc>
        <w:tc>
          <w:tcPr>
            <w:tcW w:w="1169" w:type="dxa"/>
            <w:tcBorders>
              <w:top w:val="nil"/>
              <w:left w:val="nil"/>
              <w:bottom w:val="nil"/>
              <w:right w:val="nil"/>
            </w:tcBorders>
            <w:shd w:val="clear" w:color="auto" w:fill="auto"/>
            <w:noWrap/>
            <w:vAlign w:val="bottom"/>
          </w:tcPr>
          <w:p w14:paraId="166085AA" w14:textId="77777777" w:rsidR="000020B9" w:rsidRPr="00E45B5B" w:rsidRDefault="000020B9" w:rsidP="00EF25E1">
            <w:pPr>
              <w:jc w:val="center"/>
              <w:rPr>
                <w:color w:val="000000"/>
                <w:sz w:val="20"/>
                <w:szCs w:val="20"/>
              </w:rPr>
            </w:pPr>
            <w:r w:rsidRPr="00E45B5B">
              <w:rPr>
                <w:color w:val="000000"/>
                <w:sz w:val="20"/>
                <w:szCs w:val="20"/>
              </w:rPr>
              <w:t xml:space="preserve">(0.056)   </w:t>
            </w:r>
          </w:p>
        </w:tc>
        <w:tc>
          <w:tcPr>
            <w:tcW w:w="1263" w:type="dxa"/>
            <w:tcBorders>
              <w:top w:val="nil"/>
              <w:left w:val="nil"/>
              <w:bottom w:val="nil"/>
              <w:right w:val="nil"/>
            </w:tcBorders>
            <w:shd w:val="clear" w:color="auto" w:fill="auto"/>
            <w:noWrap/>
            <w:vAlign w:val="bottom"/>
          </w:tcPr>
          <w:p w14:paraId="0FF48581" w14:textId="77777777" w:rsidR="000020B9" w:rsidRPr="00E45B5B" w:rsidRDefault="000020B9" w:rsidP="00EF25E1">
            <w:pPr>
              <w:jc w:val="center"/>
              <w:rPr>
                <w:color w:val="000000"/>
                <w:sz w:val="20"/>
                <w:szCs w:val="20"/>
              </w:rPr>
            </w:pPr>
            <w:r w:rsidRPr="00E45B5B">
              <w:rPr>
                <w:color w:val="000000"/>
                <w:sz w:val="20"/>
                <w:szCs w:val="20"/>
              </w:rPr>
              <w:t xml:space="preserve">(0.057)   </w:t>
            </w:r>
          </w:p>
        </w:tc>
        <w:tc>
          <w:tcPr>
            <w:tcW w:w="1468" w:type="dxa"/>
            <w:tcBorders>
              <w:top w:val="nil"/>
              <w:left w:val="nil"/>
              <w:bottom w:val="nil"/>
              <w:right w:val="nil"/>
            </w:tcBorders>
            <w:shd w:val="clear" w:color="auto" w:fill="auto"/>
            <w:noWrap/>
            <w:vAlign w:val="bottom"/>
          </w:tcPr>
          <w:p w14:paraId="32B268ED" w14:textId="77777777" w:rsidR="000020B9" w:rsidRPr="00E45B5B" w:rsidRDefault="000020B9" w:rsidP="00EF25E1">
            <w:pPr>
              <w:jc w:val="center"/>
              <w:rPr>
                <w:color w:val="000000"/>
                <w:sz w:val="20"/>
                <w:szCs w:val="20"/>
              </w:rPr>
            </w:pPr>
            <w:r w:rsidRPr="00E45B5B">
              <w:rPr>
                <w:color w:val="000000"/>
                <w:sz w:val="20"/>
                <w:szCs w:val="20"/>
              </w:rPr>
              <w:t xml:space="preserve">(0.058)   </w:t>
            </w:r>
          </w:p>
        </w:tc>
      </w:tr>
      <w:tr w:rsidR="000020B9" w:rsidRPr="00E45B5B" w14:paraId="0E2B1C7B" w14:textId="77777777" w:rsidTr="00EF25E1">
        <w:trPr>
          <w:trHeight w:val="300"/>
        </w:trPr>
        <w:tc>
          <w:tcPr>
            <w:tcW w:w="10745" w:type="dxa"/>
            <w:gridSpan w:val="5"/>
            <w:tcBorders>
              <w:top w:val="nil"/>
              <w:left w:val="nil"/>
              <w:bottom w:val="nil"/>
              <w:right w:val="nil"/>
            </w:tcBorders>
            <w:shd w:val="clear" w:color="auto" w:fill="auto"/>
            <w:noWrap/>
          </w:tcPr>
          <w:p w14:paraId="43F0F671" w14:textId="77777777" w:rsidR="000020B9" w:rsidRPr="00FD550E" w:rsidRDefault="000020B9" w:rsidP="00EF25E1">
            <w:pPr>
              <w:jc w:val="center"/>
              <w:rPr>
                <w:b/>
                <w:color w:val="000000"/>
                <w:sz w:val="20"/>
                <w:szCs w:val="20"/>
              </w:rPr>
            </w:pPr>
            <w:r w:rsidRPr="00FD550E">
              <w:rPr>
                <w:b/>
                <w:color w:val="000000"/>
                <w:sz w:val="20"/>
                <w:szCs w:val="20"/>
              </w:rPr>
              <w:t>Controls</w:t>
            </w:r>
          </w:p>
        </w:tc>
      </w:tr>
      <w:tr w:rsidR="000020B9" w:rsidRPr="00E45B5B" w14:paraId="4F7D8F82" w14:textId="77777777" w:rsidTr="00EF25E1">
        <w:trPr>
          <w:trHeight w:val="300"/>
        </w:trPr>
        <w:tc>
          <w:tcPr>
            <w:tcW w:w="5516" w:type="dxa"/>
            <w:tcBorders>
              <w:top w:val="nil"/>
              <w:left w:val="nil"/>
              <w:bottom w:val="nil"/>
              <w:right w:val="nil"/>
            </w:tcBorders>
            <w:shd w:val="clear" w:color="auto" w:fill="auto"/>
            <w:noWrap/>
          </w:tcPr>
          <w:p w14:paraId="26F047F1" w14:textId="77777777" w:rsidR="000020B9" w:rsidRPr="00E45B5B" w:rsidRDefault="000020B9" w:rsidP="00EF25E1">
            <w:pPr>
              <w:rPr>
                <w:color w:val="000000"/>
                <w:sz w:val="20"/>
                <w:szCs w:val="20"/>
              </w:rPr>
            </w:pPr>
          </w:p>
        </w:tc>
        <w:tc>
          <w:tcPr>
            <w:tcW w:w="1329" w:type="dxa"/>
            <w:tcBorders>
              <w:top w:val="nil"/>
              <w:left w:val="nil"/>
              <w:bottom w:val="nil"/>
              <w:right w:val="nil"/>
            </w:tcBorders>
            <w:shd w:val="clear" w:color="auto" w:fill="auto"/>
            <w:noWrap/>
            <w:vAlign w:val="bottom"/>
          </w:tcPr>
          <w:p w14:paraId="6B04B74C"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169" w:type="dxa"/>
            <w:tcBorders>
              <w:top w:val="nil"/>
              <w:left w:val="nil"/>
              <w:bottom w:val="nil"/>
              <w:right w:val="nil"/>
            </w:tcBorders>
            <w:shd w:val="clear" w:color="auto" w:fill="auto"/>
            <w:noWrap/>
            <w:vAlign w:val="bottom"/>
          </w:tcPr>
          <w:p w14:paraId="2EF8DB24" w14:textId="77777777" w:rsidR="000020B9" w:rsidRPr="00E45B5B" w:rsidRDefault="000020B9" w:rsidP="00EF25E1">
            <w:pPr>
              <w:jc w:val="center"/>
              <w:rPr>
                <w:color w:val="000000"/>
                <w:sz w:val="20"/>
                <w:szCs w:val="20"/>
              </w:rPr>
            </w:pPr>
            <w:r w:rsidRPr="00E45B5B">
              <w:rPr>
                <w:color w:val="000000"/>
                <w:sz w:val="20"/>
                <w:szCs w:val="20"/>
              </w:rPr>
              <w:t xml:space="preserve">-1.608   </w:t>
            </w:r>
          </w:p>
        </w:tc>
        <w:tc>
          <w:tcPr>
            <w:tcW w:w="1263" w:type="dxa"/>
            <w:tcBorders>
              <w:top w:val="nil"/>
              <w:left w:val="nil"/>
              <w:bottom w:val="nil"/>
              <w:right w:val="nil"/>
            </w:tcBorders>
            <w:shd w:val="clear" w:color="auto" w:fill="auto"/>
            <w:noWrap/>
            <w:vAlign w:val="bottom"/>
          </w:tcPr>
          <w:p w14:paraId="1BFBC9B9" w14:textId="77777777" w:rsidR="000020B9" w:rsidRPr="00E45B5B" w:rsidRDefault="000020B9" w:rsidP="00EF25E1">
            <w:pPr>
              <w:jc w:val="center"/>
              <w:rPr>
                <w:color w:val="000000"/>
                <w:sz w:val="20"/>
                <w:szCs w:val="20"/>
              </w:rPr>
            </w:pPr>
            <w:r w:rsidRPr="00E45B5B">
              <w:rPr>
                <w:color w:val="000000"/>
                <w:sz w:val="20"/>
                <w:szCs w:val="20"/>
              </w:rPr>
              <w:t xml:space="preserve">-1.583   </w:t>
            </w:r>
          </w:p>
        </w:tc>
        <w:tc>
          <w:tcPr>
            <w:tcW w:w="1468" w:type="dxa"/>
            <w:tcBorders>
              <w:top w:val="nil"/>
              <w:left w:val="nil"/>
              <w:bottom w:val="nil"/>
              <w:right w:val="nil"/>
            </w:tcBorders>
            <w:shd w:val="clear" w:color="auto" w:fill="auto"/>
            <w:noWrap/>
            <w:vAlign w:val="bottom"/>
          </w:tcPr>
          <w:p w14:paraId="2576894A" w14:textId="77777777" w:rsidR="000020B9" w:rsidRPr="00E45B5B" w:rsidRDefault="000020B9" w:rsidP="00EF25E1">
            <w:pPr>
              <w:jc w:val="center"/>
              <w:rPr>
                <w:color w:val="000000"/>
                <w:sz w:val="20"/>
                <w:szCs w:val="20"/>
              </w:rPr>
            </w:pPr>
            <w:r w:rsidRPr="00E45B5B">
              <w:rPr>
                <w:color w:val="000000"/>
                <w:sz w:val="20"/>
                <w:szCs w:val="20"/>
              </w:rPr>
              <w:t xml:space="preserve">-1.566   </w:t>
            </w:r>
          </w:p>
        </w:tc>
      </w:tr>
      <w:tr w:rsidR="000020B9" w:rsidRPr="00E45B5B" w14:paraId="34892869" w14:textId="77777777" w:rsidTr="00EF25E1">
        <w:trPr>
          <w:trHeight w:val="300"/>
        </w:trPr>
        <w:tc>
          <w:tcPr>
            <w:tcW w:w="5516" w:type="dxa"/>
            <w:tcBorders>
              <w:top w:val="nil"/>
              <w:left w:val="nil"/>
              <w:bottom w:val="nil"/>
              <w:right w:val="nil"/>
            </w:tcBorders>
            <w:shd w:val="clear" w:color="auto" w:fill="auto"/>
            <w:noWrap/>
            <w:vAlign w:val="bottom"/>
          </w:tcPr>
          <w:p w14:paraId="1EF74DD6" w14:textId="77777777" w:rsidR="000020B9" w:rsidRPr="00E45B5B" w:rsidRDefault="000020B9" w:rsidP="00EF25E1">
            <w:pPr>
              <w:rPr>
                <w:color w:val="000000"/>
                <w:sz w:val="20"/>
                <w:szCs w:val="20"/>
              </w:rPr>
            </w:pPr>
            <w:r w:rsidRPr="00E45B5B">
              <w:rPr>
                <w:color w:val="000000"/>
                <w:sz w:val="20"/>
                <w:szCs w:val="20"/>
              </w:rPr>
              <w:t xml:space="preserve">Provision Rate </w:t>
            </w:r>
          </w:p>
        </w:tc>
        <w:tc>
          <w:tcPr>
            <w:tcW w:w="1329" w:type="dxa"/>
            <w:tcBorders>
              <w:top w:val="nil"/>
              <w:left w:val="nil"/>
              <w:bottom w:val="nil"/>
              <w:right w:val="nil"/>
            </w:tcBorders>
            <w:shd w:val="clear" w:color="auto" w:fill="auto"/>
            <w:noWrap/>
            <w:vAlign w:val="bottom"/>
          </w:tcPr>
          <w:p w14:paraId="1071DBE5"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169" w:type="dxa"/>
            <w:tcBorders>
              <w:top w:val="nil"/>
              <w:left w:val="nil"/>
              <w:bottom w:val="nil"/>
              <w:right w:val="nil"/>
            </w:tcBorders>
            <w:shd w:val="clear" w:color="auto" w:fill="auto"/>
            <w:noWrap/>
            <w:vAlign w:val="bottom"/>
          </w:tcPr>
          <w:p w14:paraId="7B0D88CD" w14:textId="77777777" w:rsidR="000020B9" w:rsidRPr="00E45B5B" w:rsidRDefault="000020B9" w:rsidP="00EF25E1">
            <w:pPr>
              <w:jc w:val="center"/>
              <w:rPr>
                <w:color w:val="000000"/>
                <w:sz w:val="20"/>
                <w:szCs w:val="20"/>
              </w:rPr>
            </w:pPr>
            <w:r w:rsidRPr="00E45B5B">
              <w:rPr>
                <w:color w:val="000000"/>
                <w:sz w:val="20"/>
                <w:szCs w:val="20"/>
              </w:rPr>
              <w:t xml:space="preserve">(2.033)   </w:t>
            </w:r>
          </w:p>
        </w:tc>
        <w:tc>
          <w:tcPr>
            <w:tcW w:w="1263" w:type="dxa"/>
            <w:tcBorders>
              <w:top w:val="nil"/>
              <w:left w:val="nil"/>
              <w:bottom w:val="nil"/>
              <w:right w:val="nil"/>
            </w:tcBorders>
            <w:shd w:val="clear" w:color="auto" w:fill="auto"/>
            <w:noWrap/>
            <w:vAlign w:val="bottom"/>
          </w:tcPr>
          <w:p w14:paraId="51460B8B" w14:textId="77777777" w:rsidR="000020B9" w:rsidRPr="00E45B5B" w:rsidRDefault="000020B9" w:rsidP="00EF25E1">
            <w:pPr>
              <w:jc w:val="center"/>
              <w:rPr>
                <w:color w:val="000000"/>
                <w:sz w:val="20"/>
                <w:szCs w:val="20"/>
              </w:rPr>
            </w:pPr>
            <w:r w:rsidRPr="00E45B5B">
              <w:rPr>
                <w:color w:val="000000"/>
                <w:sz w:val="20"/>
                <w:szCs w:val="20"/>
              </w:rPr>
              <w:t xml:space="preserve">(2.029)   </w:t>
            </w:r>
          </w:p>
        </w:tc>
        <w:tc>
          <w:tcPr>
            <w:tcW w:w="1468" w:type="dxa"/>
            <w:tcBorders>
              <w:top w:val="nil"/>
              <w:left w:val="nil"/>
              <w:bottom w:val="nil"/>
              <w:right w:val="nil"/>
            </w:tcBorders>
            <w:shd w:val="clear" w:color="auto" w:fill="auto"/>
            <w:noWrap/>
            <w:vAlign w:val="bottom"/>
          </w:tcPr>
          <w:p w14:paraId="0735C311" w14:textId="77777777" w:rsidR="000020B9" w:rsidRPr="00E45B5B" w:rsidRDefault="000020B9" w:rsidP="00EF25E1">
            <w:pPr>
              <w:jc w:val="center"/>
              <w:rPr>
                <w:color w:val="000000"/>
                <w:sz w:val="20"/>
                <w:szCs w:val="20"/>
              </w:rPr>
            </w:pPr>
            <w:r w:rsidRPr="00E45B5B">
              <w:rPr>
                <w:color w:val="000000"/>
                <w:sz w:val="20"/>
                <w:szCs w:val="20"/>
              </w:rPr>
              <w:t xml:space="preserve">(2.039)   </w:t>
            </w:r>
          </w:p>
        </w:tc>
      </w:tr>
      <w:tr w:rsidR="000020B9" w:rsidRPr="00E45B5B" w14:paraId="7A96D328" w14:textId="77777777" w:rsidTr="00EF25E1">
        <w:trPr>
          <w:trHeight w:val="300"/>
        </w:trPr>
        <w:tc>
          <w:tcPr>
            <w:tcW w:w="5516" w:type="dxa"/>
            <w:tcBorders>
              <w:top w:val="nil"/>
              <w:left w:val="nil"/>
              <w:bottom w:val="nil"/>
              <w:right w:val="nil"/>
            </w:tcBorders>
            <w:shd w:val="clear" w:color="auto" w:fill="auto"/>
            <w:noWrap/>
          </w:tcPr>
          <w:p w14:paraId="0CE017B1" w14:textId="77777777" w:rsidR="000020B9" w:rsidRPr="00E45B5B" w:rsidRDefault="000020B9" w:rsidP="00EF25E1">
            <w:pPr>
              <w:rPr>
                <w:color w:val="000000"/>
                <w:sz w:val="20"/>
                <w:szCs w:val="20"/>
              </w:rPr>
            </w:pPr>
          </w:p>
        </w:tc>
        <w:tc>
          <w:tcPr>
            <w:tcW w:w="1329" w:type="dxa"/>
            <w:tcBorders>
              <w:top w:val="nil"/>
              <w:left w:val="nil"/>
              <w:bottom w:val="nil"/>
              <w:right w:val="nil"/>
            </w:tcBorders>
            <w:shd w:val="clear" w:color="auto" w:fill="auto"/>
            <w:noWrap/>
            <w:vAlign w:val="bottom"/>
          </w:tcPr>
          <w:p w14:paraId="0BF9A916"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169" w:type="dxa"/>
            <w:tcBorders>
              <w:top w:val="nil"/>
              <w:left w:val="nil"/>
              <w:bottom w:val="nil"/>
              <w:right w:val="nil"/>
            </w:tcBorders>
            <w:shd w:val="clear" w:color="auto" w:fill="auto"/>
            <w:noWrap/>
            <w:vAlign w:val="bottom"/>
          </w:tcPr>
          <w:p w14:paraId="03D864EC" w14:textId="77777777" w:rsidR="000020B9" w:rsidRPr="00E45B5B" w:rsidRDefault="000020B9" w:rsidP="00EF25E1">
            <w:pPr>
              <w:jc w:val="center"/>
              <w:rPr>
                <w:color w:val="000000"/>
                <w:sz w:val="20"/>
                <w:szCs w:val="20"/>
              </w:rPr>
            </w:pPr>
            <w:r w:rsidRPr="00E45B5B">
              <w:rPr>
                <w:color w:val="000000"/>
                <w:sz w:val="20"/>
                <w:szCs w:val="20"/>
              </w:rPr>
              <w:t>1.490***</w:t>
            </w:r>
          </w:p>
        </w:tc>
        <w:tc>
          <w:tcPr>
            <w:tcW w:w="1263" w:type="dxa"/>
            <w:tcBorders>
              <w:top w:val="nil"/>
              <w:left w:val="nil"/>
              <w:bottom w:val="nil"/>
              <w:right w:val="nil"/>
            </w:tcBorders>
            <w:shd w:val="clear" w:color="auto" w:fill="auto"/>
            <w:noWrap/>
            <w:vAlign w:val="bottom"/>
          </w:tcPr>
          <w:p w14:paraId="1FA4607E" w14:textId="77777777" w:rsidR="000020B9" w:rsidRPr="00E45B5B" w:rsidRDefault="000020B9" w:rsidP="00EF25E1">
            <w:pPr>
              <w:jc w:val="center"/>
              <w:rPr>
                <w:color w:val="000000"/>
                <w:sz w:val="20"/>
                <w:szCs w:val="20"/>
              </w:rPr>
            </w:pPr>
            <w:r w:rsidRPr="00E45B5B">
              <w:rPr>
                <w:color w:val="000000"/>
                <w:sz w:val="20"/>
                <w:szCs w:val="20"/>
              </w:rPr>
              <w:t>1.501***</w:t>
            </w:r>
          </w:p>
        </w:tc>
        <w:tc>
          <w:tcPr>
            <w:tcW w:w="1468" w:type="dxa"/>
            <w:tcBorders>
              <w:top w:val="nil"/>
              <w:left w:val="nil"/>
              <w:bottom w:val="nil"/>
              <w:right w:val="nil"/>
            </w:tcBorders>
            <w:shd w:val="clear" w:color="auto" w:fill="auto"/>
            <w:noWrap/>
            <w:vAlign w:val="bottom"/>
          </w:tcPr>
          <w:p w14:paraId="00168271" w14:textId="77777777" w:rsidR="000020B9" w:rsidRPr="00E45B5B" w:rsidRDefault="000020B9" w:rsidP="00EF25E1">
            <w:pPr>
              <w:jc w:val="center"/>
              <w:rPr>
                <w:color w:val="000000"/>
                <w:sz w:val="20"/>
                <w:szCs w:val="20"/>
              </w:rPr>
            </w:pPr>
            <w:r w:rsidRPr="00E45B5B">
              <w:rPr>
                <w:color w:val="000000"/>
                <w:sz w:val="20"/>
                <w:szCs w:val="20"/>
              </w:rPr>
              <w:t>1.497***</w:t>
            </w:r>
          </w:p>
        </w:tc>
      </w:tr>
      <w:tr w:rsidR="000020B9" w:rsidRPr="00E45B5B" w14:paraId="01B762A7" w14:textId="77777777" w:rsidTr="00EF25E1">
        <w:trPr>
          <w:trHeight w:val="300"/>
        </w:trPr>
        <w:tc>
          <w:tcPr>
            <w:tcW w:w="5516" w:type="dxa"/>
            <w:tcBorders>
              <w:top w:val="nil"/>
              <w:left w:val="nil"/>
              <w:bottom w:val="nil"/>
              <w:right w:val="nil"/>
            </w:tcBorders>
            <w:shd w:val="clear" w:color="auto" w:fill="auto"/>
            <w:noWrap/>
            <w:vAlign w:val="bottom"/>
          </w:tcPr>
          <w:p w14:paraId="072FA8E3" w14:textId="77777777" w:rsidR="000020B9" w:rsidRPr="00E45B5B" w:rsidRDefault="000020B9" w:rsidP="00EF25E1">
            <w:pPr>
              <w:rPr>
                <w:color w:val="000000"/>
                <w:sz w:val="20"/>
                <w:szCs w:val="20"/>
              </w:rPr>
            </w:pPr>
            <w:r w:rsidRPr="00E45B5B">
              <w:rPr>
                <w:color w:val="000000"/>
                <w:sz w:val="20"/>
                <w:szCs w:val="20"/>
              </w:rPr>
              <w:t>Profitability</w:t>
            </w:r>
          </w:p>
        </w:tc>
        <w:tc>
          <w:tcPr>
            <w:tcW w:w="1329" w:type="dxa"/>
            <w:tcBorders>
              <w:top w:val="nil"/>
              <w:left w:val="nil"/>
              <w:bottom w:val="nil"/>
              <w:right w:val="nil"/>
            </w:tcBorders>
            <w:shd w:val="clear" w:color="auto" w:fill="auto"/>
            <w:noWrap/>
            <w:vAlign w:val="bottom"/>
          </w:tcPr>
          <w:p w14:paraId="4A6EB740"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169" w:type="dxa"/>
            <w:tcBorders>
              <w:top w:val="nil"/>
              <w:left w:val="nil"/>
              <w:bottom w:val="nil"/>
              <w:right w:val="nil"/>
            </w:tcBorders>
            <w:shd w:val="clear" w:color="auto" w:fill="auto"/>
            <w:noWrap/>
            <w:vAlign w:val="bottom"/>
          </w:tcPr>
          <w:p w14:paraId="1478E13A" w14:textId="77777777" w:rsidR="000020B9" w:rsidRPr="00E45B5B" w:rsidRDefault="000020B9" w:rsidP="00EF25E1">
            <w:pPr>
              <w:jc w:val="center"/>
              <w:rPr>
                <w:color w:val="000000"/>
                <w:sz w:val="20"/>
                <w:szCs w:val="20"/>
              </w:rPr>
            </w:pPr>
            <w:r w:rsidRPr="00E45B5B">
              <w:rPr>
                <w:color w:val="000000"/>
                <w:sz w:val="20"/>
                <w:szCs w:val="20"/>
              </w:rPr>
              <w:t xml:space="preserve">(0.311)   </w:t>
            </w:r>
          </w:p>
        </w:tc>
        <w:tc>
          <w:tcPr>
            <w:tcW w:w="1263" w:type="dxa"/>
            <w:tcBorders>
              <w:top w:val="nil"/>
              <w:left w:val="nil"/>
              <w:bottom w:val="nil"/>
              <w:right w:val="nil"/>
            </w:tcBorders>
            <w:shd w:val="clear" w:color="auto" w:fill="auto"/>
            <w:noWrap/>
            <w:vAlign w:val="bottom"/>
          </w:tcPr>
          <w:p w14:paraId="7C6532C7" w14:textId="77777777" w:rsidR="000020B9" w:rsidRPr="00E45B5B" w:rsidRDefault="000020B9" w:rsidP="00EF25E1">
            <w:pPr>
              <w:jc w:val="center"/>
              <w:rPr>
                <w:color w:val="000000"/>
                <w:sz w:val="20"/>
                <w:szCs w:val="20"/>
              </w:rPr>
            </w:pPr>
            <w:r w:rsidRPr="00E45B5B">
              <w:rPr>
                <w:color w:val="000000"/>
                <w:sz w:val="20"/>
                <w:szCs w:val="20"/>
              </w:rPr>
              <w:t xml:space="preserve">(0.309)   </w:t>
            </w:r>
          </w:p>
        </w:tc>
        <w:tc>
          <w:tcPr>
            <w:tcW w:w="1468" w:type="dxa"/>
            <w:tcBorders>
              <w:top w:val="nil"/>
              <w:left w:val="nil"/>
              <w:bottom w:val="nil"/>
              <w:right w:val="nil"/>
            </w:tcBorders>
            <w:shd w:val="clear" w:color="auto" w:fill="auto"/>
            <w:noWrap/>
            <w:vAlign w:val="bottom"/>
          </w:tcPr>
          <w:p w14:paraId="5159EBC9" w14:textId="77777777" w:rsidR="000020B9" w:rsidRPr="00E45B5B" w:rsidRDefault="000020B9" w:rsidP="00EF25E1">
            <w:pPr>
              <w:jc w:val="center"/>
              <w:rPr>
                <w:color w:val="000000"/>
                <w:sz w:val="20"/>
                <w:szCs w:val="20"/>
              </w:rPr>
            </w:pPr>
            <w:r w:rsidRPr="00E45B5B">
              <w:rPr>
                <w:color w:val="000000"/>
                <w:sz w:val="20"/>
                <w:szCs w:val="20"/>
              </w:rPr>
              <w:t xml:space="preserve">(0.308)   </w:t>
            </w:r>
          </w:p>
        </w:tc>
      </w:tr>
      <w:tr w:rsidR="000020B9" w:rsidRPr="00E45B5B" w14:paraId="61E00B1C" w14:textId="77777777" w:rsidTr="00EF25E1">
        <w:trPr>
          <w:trHeight w:val="300"/>
        </w:trPr>
        <w:tc>
          <w:tcPr>
            <w:tcW w:w="5516" w:type="dxa"/>
            <w:tcBorders>
              <w:top w:val="nil"/>
              <w:left w:val="nil"/>
              <w:bottom w:val="nil"/>
              <w:right w:val="nil"/>
            </w:tcBorders>
            <w:shd w:val="clear" w:color="auto" w:fill="auto"/>
            <w:noWrap/>
          </w:tcPr>
          <w:p w14:paraId="735051F8" w14:textId="77777777" w:rsidR="000020B9" w:rsidRPr="00E45B5B" w:rsidRDefault="000020B9" w:rsidP="00EF25E1">
            <w:pPr>
              <w:rPr>
                <w:color w:val="000000"/>
                <w:sz w:val="20"/>
                <w:szCs w:val="20"/>
              </w:rPr>
            </w:pPr>
          </w:p>
        </w:tc>
        <w:tc>
          <w:tcPr>
            <w:tcW w:w="1329" w:type="dxa"/>
            <w:tcBorders>
              <w:top w:val="nil"/>
              <w:left w:val="nil"/>
              <w:bottom w:val="nil"/>
              <w:right w:val="nil"/>
            </w:tcBorders>
            <w:shd w:val="clear" w:color="auto" w:fill="auto"/>
            <w:noWrap/>
            <w:vAlign w:val="bottom"/>
          </w:tcPr>
          <w:p w14:paraId="6B6584DD"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169" w:type="dxa"/>
            <w:tcBorders>
              <w:top w:val="nil"/>
              <w:left w:val="nil"/>
              <w:bottom w:val="nil"/>
              <w:right w:val="nil"/>
            </w:tcBorders>
            <w:shd w:val="clear" w:color="auto" w:fill="auto"/>
            <w:noWrap/>
            <w:vAlign w:val="bottom"/>
          </w:tcPr>
          <w:p w14:paraId="30A7071A"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263" w:type="dxa"/>
            <w:tcBorders>
              <w:top w:val="nil"/>
              <w:left w:val="nil"/>
              <w:bottom w:val="nil"/>
              <w:right w:val="nil"/>
            </w:tcBorders>
            <w:shd w:val="clear" w:color="auto" w:fill="auto"/>
            <w:noWrap/>
            <w:vAlign w:val="bottom"/>
          </w:tcPr>
          <w:p w14:paraId="12C82AD1" w14:textId="77777777" w:rsidR="000020B9" w:rsidRPr="00E45B5B" w:rsidRDefault="000020B9" w:rsidP="00EF25E1">
            <w:pPr>
              <w:jc w:val="center"/>
              <w:rPr>
                <w:color w:val="000000"/>
                <w:sz w:val="20"/>
                <w:szCs w:val="20"/>
              </w:rPr>
            </w:pPr>
            <w:r w:rsidRPr="00E45B5B">
              <w:rPr>
                <w:color w:val="000000"/>
                <w:sz w:val="20"/>
                <w:szCs w:val="20"/>
              </w:rPr>
              <w:t xml:space="preserve">-0.413   </w:t>
            </w:r>
          </w:p>
        </w:tc>
        <w:tc>
          <w:tcPr>
            <w:tcW w:w="1468" w:type="dxa"/>
            <w:tcBorders>
              <w:top w:val="nil"/>
              <w:left w:val="nil"/>
              <w:bottom w:val="nil"/>
              <w:right w:val="nil"/>
            </w:tcBorders>
            <w:shd w:val="clear" w:color="auto" w:fill="auto"/>
            <w:noWrap/>
            <w:vAlign w:val="bottom"/>
          </w:tcPr>
          <w:p w14:paraId="241F5A83" w14:textId="77777777" w:rsidR="000020B9" w:rsidRPr="00E45B5B" w:rsidRDefault="000020B9" w:rsidP="00EF25E1">
            <w:pPr>
              <w:jc w:val="center"/>
              <w:rPr>
                <w:color w:val="000000"/>
                <w:sz w:val="20"/>
                <w:szCs w:val="20"/>
              </w:rPr>
            </w:pPr>
            <w:r w:rsidRPr="00E45B5B">
              <w:rPr>
                <w:color w:val="000000"/>
                <w:sz w:val="20"/>
                <w:szCs w:val="20"/>
              </w:rPr>
              <w:t xml:space="preserve">-0.400   </w:t>
            </w:r>
          </w:p>
        </w:tc>
      </w:tr>
      <w:tr w:rsidR="000020B9" w:rsidRPr="00E45B5B" w14:paraId="6039CB57" w14:textId="77777777" w:rsidTr="00EF25E1">
        <w:trPr>
          <w:trHeight w:val="300"/>
        </w:trPr>
        <w:tc>
          <w:tcPr>
            <w:tcW w:w="5516" w:type="dxa"/>
            <w:tcBorders>
              <w:top w:val="nil"/>
              <w:left w:val="nil"/>
              <w:bottom w:val="nil"/>
              <w:right w:val="nil"/>
            </w:tcBorders>
            <w:shd w:val="clear" w:color="auto" w:fill="auto"/>
            <w:noWrap/>
            <w:vAlign w:val="bottom"/>
          </w:tcPr>
          <w:p w14:paraId="6B1721DD" w14:textId="77777777" w:rsidR="000020B9" w:rsidRPr="00E45B5B" w:rsidRDefault="000020B9" w:rsidP="00EF25E1">
            <w:pPr>
              <w:rPr>
                <w:color w:val="000000"/>
                <w:sz w:val="20"/>
                <w:szCs w:val="20"/>
              </w:rPr>
            </w:pPr>
            <w:r w:rsidRPr="00E45B5B">
              <w:rPr>
                <w:color w:val="000000"/>
                <w:sz w:val="20"/>
                <w:szCs w:val="20"/>
              </w:rPr>
              <w:t>Market Share (assets)</w:t>
            </w:r>
          </w:p>
        </w:tc>
        <w:tc>
          <w:tcPr>
            <w:tcW w:w="1329" w:type="dxa"/>
            <w:tcBorders>
              <w:top w:val="nil"/>
              <w:left w:val="nil"/>
              <w:bottom w:val="nil"/>
              <w:right w:val="nil"/>
            </w:tcBorders>
            <w:shd w:val="clear" w:color="auto" w:fill="auto"/>
            <w:noWrap/>
            <w:vAlign w:val="bottom"/>
          </w:tcPr>
          <w:p w14:paraId="717AFC51"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169" w:type="dxa"/>
            <w:tcBorders>
              <w:top w:val="nil"/>
              <w:left w:val="nil"/>
              <w:bottom w:val="nil"/>
              <w:right w:val="nil"/>
            </w:tcBorders>
            <w:shd w:val="clear" w:color="auto" w:fill="auto"/>
            <w:noWrap/>
            <w:vAlign w:val="bottom"/>
          </w:tcPr>
          <w:p w14:paraId="162E91F6"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263" w:type="dxa"/>
            <w:tcBorders>
              <w:top w:val="nil"/>
              <w:left w:val="nil"/>
              <w:bottom w:val="nil"/>
              <w:right w:val="nil"/>
            </w:tcBorders>
            <w:shd w:val="clear" w:color="auto" w:fill="auto"/>
            <w:noWrap/>
            <w:vAlign w:val="bottom"/>
          </w:tcPr>
          <w:p w14:paraId="13A23873" w14:textId="77777777" w:rsidR="000020B9" w:rsidRPr="00E45B5B" w:rsidRDefault="000020B9" w:rsidP="00EF25E1">
            <w:pPr>
              <w:jc w:val="center"/>
              <w:rPr>
                <w:color w:val="000000"/>
                <w:sz w:val="20"/>
                <w:szCs w:val="20"/>
              </w:rPr>
            </w:pPr>
            <w:r w:rsidRPr="00E45B5B">
              <w:rPr>
                <w:color w:val="000000"/>
                <w:sz w:val="20"/>
                <w:szCs w:val="20"/>
              </w:rPr>
              <w:t xml:space="preserve">(0.433)   </w:t>
            </w:r>
          </w:p>
        </w:tc>
        <w:tc>
          <w:tcPr>
            <w:tcW w:w="1468" w:type="dxa"/>
            <w:tcBorders>
              <w:top w:val="nil"/>
              <w:left w:val="nil"/>
              <w:bottom w:val="nil"/>
              <w:right w:val="nil"/>
            </w:tcBorders>
            <w:shd w:val="clear" w:color="auto" w:fill="auto"/>
            <w:noWrap/>
            <w:vAlign w:val="bottom"/>
          </w:tcPr>
          <w:p w14:paraId="515C6274" w14:textId="77777777" w:rsidR="000020B9" w:rsidRPr="00E45B5B" w:rsidRDefault="000020B9" w:rsidP="00EF25E1">
            <w:pPr>
              <w:jc w:val="center"/>
              <w:rPr>
                <w:color w:val="000000"/>
                <w:sz w:val="20"/>
                <w:szCs w:val="20"/>
              </w:rPr>
            </w:pPr>
            <w:r w:rsidRPr="00E45B5B">
              <w:rPr>
                <w:color w:val="000000"/>
                <w:sz w:val="20"/>
                <w:szCs w:val="20"/>
              </w:rPr>
              <w:t xml:space="preserve">(0.439)   </w:t>
            </w:r>
          </w:p>
        </w:tc>
      </w:tr>
      <w:tr w:rsidR="000020B9" w:rsidRPr="00E45B5B" w14:paraId="55C61B9B" w14:textId="77777777" w:rsidTr="00EF25E1">
        <w:trPr>
          <w:trHeight w:val="300"/>
        </w:trPr>
        <w:tc>
          <w:tcPr>
            <w:tcW w:w="5516" w:type="dxa"/>
            <w:tcBorders>
              <w:top w:val="nil"/>
              <w:left w:val="nil"/>
              <w:bottom w:val="nil"/>
              <w:right w:val="nil"/>
            </w:tcBorders>
            <w:shd w:val="clear" w:color="auto" w:fill="auto"/>
            <w:noWrap/>
          </w:tcPr>
          <w:p w14:paraId="243AA239" w14:textId="77777777" w:rsidR="000020B9" w:rsidRPr="00E45B5B" w:rsidRDefault="000020B9" w:rsidP="00EF25E1">
            <w:pPr>
              <w:rPr>
                <w:color w:val="000000"/>
                <w:sz w:val="20"/>
                <w:szCs w:val="20"/>
              </w:rPr>
            </w:pPr>
          </w:p>
        </w:tc>
        <w:tc>
          <w:tcPr>
            <w:tcW w:w="1329" w:type="dxa"/>
            <w:tcBorders>
              <w:top w:val="nil"/>
              <w:left w:val="nil"/>
              <w:bottom w:val="nil"/>
              <w:right w:val="nil"/>
            </w:tcBorders>
            <w:shd w:val="clear" w:color="auto" w:fill="auto"/>
            <w:noWrap/>
            <w:vAlign w:val="bottom"/>
          </w:tcPr>
          <w:p w14:paraId="786E2179"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169" w:type="dxa"/>
            <w:tcBorders>
              <w:top w:val="nil"/>
              <w:left w:val="nil"/>
              <w:bottom w:val="nil"/>
              <w:right w:val="nil"/>
            </w:tcBorders>
            <w:shd w:val="clear" w:color="auto" w:fill="auto"/>
            <w:noWrap/>
            <w:vAlign w:val="bottom"/>
          </w:tcPr>
          <w:p w14:paraId="340704B6"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263" w:type="dxa"/>
            <w:tcBorders>
              <w:top w:val="nil"/>
              <w:left w:val="nil"/>
              <w:bottom w:val="nil"/>
              <w:right w:val="nil"/>
            </w:tcBorders>
            <w:shd w:val="clear" w:color="auto" w:fill="auto"/>
            <w:noWrap/>
            <w:vAlign w:val="bottom"/>
          </w:tcPr>
          <w:p w14:paraId="0C4C875F"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468" w:type="dxa"/>
            <w:tcBorders>
              <w:top w:val="nil"/>
              <w:left w:val="nil"/>
              <w:bottom w:val="nil"/>
              <w:right w:val="nil"/>
            </w:tcBorders>
            <w:shd w:val="clear" w:color="auto" w:fill="auto"/>
            <w:noWrap/>
            <w:vAlign w:val="bottom"/>
          </w:tcPr>
          <w:p w14:paraId="6EF20566" w14:textId="77777777" w:rsidR="000020B9" w:rsidRPr="00E45B5B" w:rsidRDefault="000020B9" w:rsidP="00EF25E1">
            <w:pPr>
              <w:jc w:val="center"/>
              <w:rPr>
                <w:color w:val="000000"/>
                <w:sz w:val="20"/>
                <w:szCs w:val="20"/>
              </w:rPr>
            </w:pPr>
            <w:r w:rsidRPr="00E45B5B">
              <w:rPr>
                <w:color w:val="000000"/>
                <w:sz w:val="20"/>
                <w:szCs w:val="20"/>
              </w:rPr>
              <w:t xml:space="preserve">-0.856   </w:t>
            </w:r>
          </w:p>
        </w:tc>
      </w:tr>
      <w:tr w:rsidR="000020B9" w:rsidRPr="00E45B5B" w14:paraId="2DA6FE74" w14:textId="77777777" w:rsidTr="00EF25E1">
        <w:trPr>
          <w:trHeight w:val="300"/>
        </w:trPr>
        <w:tc>
          <w:tcPr>
            <w:tcW w:w="5516" w:type="dxa"/>
            <w:tcBorders>
              <w:top w:val="nil"/>
              <w:left w:val="nil"/>
              <w:bottom w:val="nil"/>
              <w:right w:val="nil"/>
            </w:tcBorders>
            <w:shd w:val="clear" w:color="auto" w:fill="auto"/>
            <w:noWrap/>
            <w:vAlign w:val="bottom"/>
          </w:tcPr>
          <w:p w14:paraId="2C1DE566" w14:textId="77777777" w:rsidR="000020B9" w:rsidRPr="00E45B5B" w:rsidRDefault="000020B9" w:rsidP="00EF25E1">
            <w:pPr>
              <w:rPr>
                <w:color w:val="000000"/>
                <w:sz w:val="20"/>
                <w:szCs w:val="20"/>
              </w:rPr>
            </w:pPr>
            <w:r w:rsidRPr="00E45B5B">
              <w:rPr>
                <w:color w:val="000000"/>
                <w:sz w:val="20"/>
                <w:szCs w:val="20"/>
              </w:rPr>
              <w:t>HHI (assets)</w:t>
            </w:r>
          </w:p>
        </w:tc>
        <w:tc>
          <w:tcPr>
            <w:tcW w:w="1329" w:type="dxa"/>
            <w:tcBorders>
              <w:top w:val="nil"/>
              <w:left w:val="nil"/>
              <w:bottom w:val="nil"/>
              <w:right w:val="nil"/>
            </w:tcBorders>
            <w:shd w:val="clear" w:color="auto" w:fill="auto"/>
            <w:noWrap/>
            <w:vAlign w:val="bottom"/>
          </w:tcPr>
          <w:p w14:paraId="11F6369A"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169" w:type="dxa"/>
            <w:tcBorders>
              <w:top w:val="nil"/>
              <w:left w:val="nil"/>
              <w:bottom w:val="nil"/>
              <w:right w:val="nil"/>
            </w:tcBorders>
            <w:shd w:val="clear" w:color="auto" w:fill="auto"/>
            <w:noWrap/>
            <w:vAlign w:val="bottom"/>
          </w:tcPr>
          <w:p w14:paraId="2D995C6E"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263" w:type="dxa"/>
            <w:tcBorders>
              <w:top w:val="nil"/>
              <w:left w:val="nil"/>
              <w:bottom w:val="nil"/>
              <w:right w:val="nil"/>
            </w:tcBorders>
            <w:shd w:val="clear" w:color="auto" w:fill="auto"/>
            <w:noWrap/>
            <w:vAlign w:val="bottom"/>
          </w:tcPr>
          <w:p w14:paraId="6F7BC16C"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468" w:type="dxa"/>
            <w:tcBorders>
              <w:top w:val="nil"/>
              <w:left w:val="nil"/>
              <w:bottom w:val="nil"/>
              <w:right w:val="nil"/>
            </w:tcBorders>
            <w:shd w:val="clear" w:color="auto" w:fill="auto"/>
            <w:noWrap/>
            <w:vAlign w:val="bottom"/>
          </w:tcPr>
          <w:p w14:paraId="79B847CA" w14:textId="77777777" w:rsidR="000020B9" w:rsidRPr="00E45B5B" w:rsidRDefault="000020B9" w:rsidP="00EF25E1">
            <w:pPr>
              <w:jc w:val="center"/>
              <w:rPr>
                <w:color w:val="000000"/>
                <w:sz w:val="20"/>
                <w:szCs w:val="20"/>
              </w:rPr>
            </w:pPr>
            <w:r w:rsidRPr="00E45B5B">
              <w:rPr>
                <w:color w:val="000000"/>
                <w:sz w:val="20"/>
                <w:szCs w:val="20"/>
              </w:rPr>
              <w:t xml:space="preserve">(1.100)   </w:t>
            </w:r>
          </w:p>
        </w:tc>
      </w:tr>
      <w:tr w:rsidR="000020B9" w:rsidRPr="00E45B5B" w14:paraId="7354246B" w14:textId="77777777" w:rsidTr="00EF25E1">
        <w:trPr>
          <w:trHeight w:val="315"/>
        </w:trPr>
        <w:tc>
          <w:tcPr>
            <w:tcW w:w="5516" w:type="dxa"/>
            <w:tcBorders>
              <w:top w:val="nil"/>
              <w:left w:val="nil"/>
              <w:bottom w:val="double" w:sz="6" w:space="0" w:color="auto"/>
              <w:right w:val="nil"/>
            </w:tcBorders>
            <w:shd w:val="clear" w:color="auto" w:fill="auto"/>
            <w:noWrap/>
          </w:tcPr>
          <w:p w14:paraId="7A7C7B88" w14:textId="77777777" w:rsidR="000020B9" w:rsidRPr="00E45B5B" w:rsidRDefault="000020B9" w:rsidP="00EF25E1">
            <w:pPr>
              <w:rPr>
                <w:color w:val="000000"/>
                <w:sz w:val="20"/>
                <w:szCs w:val="20"/>
              </w:rPr>
            </w:pPr>
            <w:r w:rsidRPr="00E45B5B">
              <w:rPr>
                <w:color w:val="000000"/>
                <w:sz w:val="20"/>
                <w:szCs w:val="20"/>
              </w:rPr>
              <w:t> </w:t>
            </w:r>
          </w:p>
        </w:tc>
        <w:tc>
          <w:tcPr>
            <w:tcW w:w="1329" w:type="dxa"/>
            <w:tcBorders>
              <w:top w:val="nil"/>
              <w:left w:val="nil"/>
              <w:bottom w:val="double" w:sz="6" w:space="0" w:color="auto"/>
              <w:right w:val="nil"/>
            </w:tcBorders>
            <w:shd w:val="clear" w:color="auto" w:fill="auto"/>
            <w:noWrap/>
          </w:tcPr>
          <w:p w14:paraId="149C16FB"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169" w:type="dxa"/>
            <w:tcBorders>
              <w:top w:val="nil"/>
              <w:left w:val="nil"/>
              <w:bottom w:val="double" w:sz="6" w:space="0" w:color="auto"/>
              <w:right w:val="nil"/>
            </w:tcBorders>
            <w:shd w:val="clear" w:color="auto" w:fill="auto"/>
            <w:noWrap/>
          </w:tcPr>
          <w:p w14:paraId="432A575A"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263" w:type="dxa"/>
            <w:tcBorders>
              <w:top w:val="nil"/>
              <w:left w:val="nil"/>
              <w:bottom w:val="double" w:sz="6" w:space="0" w:color="auto"/>
              <w:right w:val="nil"/>
            </w:tcBorders>
            <w:shd w:val="clear" w:color="auto" w:fill="auto"/>
            <w:noWrap/>
          </w:tcPr>
          <w:p w14:paraId="4A65EC10" w14:textId="77777777" w:rsidR="000020B9" w:rsidRPr="00E45B5B" w:rsidRDefault="000020B9" w:rsidP="00EF25E1">
            <w:pPr>
              <w:jc w:val="center"/>
              <w:rPr>
                <w:color w:val="000000"/>
                <w:sz w:val="20"/>
                <w:szCs w:val="20"/>
              </w:rPr>
            </w:pPr>
            <w:r w:rsidRPr="00E45B5B">
              <w:rPr>
                <w:color w:val="000000"/>
                <w:sz w:val="20"/>
                <w:szCs w:val="20"/>
              </w:rPr>
              <w:t xml:space="preserve">        </w:t>
            </w:r>
          </w:p>
        </w:tc>
        <w:tc>
          <w:tcPr>
            <w:tcW w:w="1468" w:type="dxa"/>
            <w:tcBorders>
              <w:top w:val="nil"/>
              <w:left w:val="nil"/>
              <w:bottom w:val="double" w:sz="6" w:space="0" w:color="auto"/>
              <w:right w:val="nil"/>
            </w:tcBorders>
            <w:shd w:val="clear" w:color="auto" w:fill="auto"/>
            <w:noWrap/>
          </w:tcPr>
          <w:p w14:paraId="431E0FE2" w14:textId="77777777" w:rsidR="000020B9" w:rsidRPr="00E45B5B" w:rsidRDefault="000020B9" w:rsidP="00EF25E1">
            <w:pPr>
              <w:jc w:val="center"/>
              <w:rPr>
                <w:color w:val="000000"/>
                <w:sz w:val="20"/>
                <w:szCs w:val="20"/>
              </w:rPr>
            </w:pPr>
            <w:r w:rsidRPr="00E45B5B">
              <w:rPr>
                <w:color w:val="000000"/>
                <w:sz w:val="20"/>
                <w:szCs w:val="20"/>
              </w:rPr>
              <w:t> </w:t>
            </w:r>
          </w:p>
        </w:tc>
      </w:tr>
      <w:tr w:rsidR="000020B9" w:rsidRPr="00E45B5B" w14:paraId="2970AF5A" w14:textId="77777777" w:rsidTr="00EF25E1">
        <w:trPr>
          <w:trHeight w:val="315"/>
        </w:trPr>
        <w:tc>
          <w:tcPr>
            <w:tcW w:w="6845" w:type="dxa"/>
            <w:gridSpan w:val="2"/>
            <w:tcBorders>
              <w:top w:val="nil"/>
              <w:left w:val="nil"/>
              <w:bottom w:val="nil"/>
              <w:right w:val="nil"/>
            </w:tcBorders>
            <w:shd w:val="clear" w:color="auto" w:fill="auto"/>
            <w:noWrap/>
            <w:vAlign w:val="bottom"/>
          </w:tcPr>
          <w:p w14:paraId="7E061C78" w14:textId="77777777" w:rsidR="000020B9" w:rsidRPr="00E45B5B" w:rsidRDefault="000020B9" w:rsidP="00EF25E1">
            <w:pPr>
              <w:rPr>
                <w:color w:val="000000"/>
                <w:sz w:val="20"/>
                <w:szCs w:val="20"/>
                <w:lang w:val="en-US"/>
              </w:rPr>
            </w:pPr>
            <w:r w:rsidRPr="00E45B5B">
              <w:rPr>
                <w:color w:val="000000"/>
                <w:sz w:val="20"/>
                <w:szCs w:val="20"/>
                <w:lang w:val="en-US"/>
              </w:rPr>
              <w:t xml:space="preserve">H-Statistics (Panzar and </w:t>
            </w:r>
            <w:r>
              <w:rPr>
                <w:color w:val="000000"/>
                <w:sz w:val="20"/>
                <w:szCs w:val="20"/>
                <w:lang w:val="en-US"/>
              </w:rPr>
              <w:t>Rosse</w:t>
            </w:r>
            <w:r w:rsidRPr="00E45B5B">
              <w:rPr>
                <w:color w:val="000000"/>
                <w:sz w:val="20"/>
                <w:szCs w:val="20"/>
                <w:lang w:val="en-US"/>
              </w:rPr>
              <w:t>)</w:t>
            </w:r>
          </w:p>
        </w:tc>
        <w:tc>
          <w:tcPr>
            <w:tcW w:w="1169" w:type="dxa"/>
            <w:tcBorders>
              <w:top w:val="nil"/>
              <w:left w:val="nil"/>
              <w:bottom w:val="nil"/>
              <w:right w:val="nil"/>
            </w:tcBorders>
            <w:shd w:val="clear" w:color="auto" w:fill="auto"/>
            <w:noWrap/>
            <w:vAlign w:val="bottom"/>
          </w:tcPr>
          <w:p w14:paraId="4B7F34AF" w14:textId="77777777" w:rsidR="000020B9" w:rsidRPr="00E45B5B" w:rsidRDefault="000020B9" w:rsidP="00EF25E1">
            <w:pPr>
              <w:jc w:val="center"/>
              <w:rPr>
                <w:color w:val="000000"/>
                <w:sz w:val="20"/>
                <w:szCs w:val="20"/>
                <w:lang w:val="en-US"/>
              </w:rPr>
            </w:pPr>
          </w:p>
        </w:tc>
        <w:tc>
          <w:tcPr>
            <w:tcW w:w="1263" w:type="dxa"/>
            <w:tcBorders>
              <w:top w:val="nil"/>
              <w:left w:val="nil"/>
              <w:bottom w:val="nil"/>
              <w:right w:val="nil"/>
            </w:tcBorders>
            <w:shd w:val="clear" w:color="auto" w:fill="auto"/>
            <w:noWrap/>
            <w:vAlign w:val="bottom"/>
          </w:tcPr>
          <w:p w14:paraId="6A14F89C" w14:textId="77777777" w:rsidR="000020B9" w:rsidRPr="00E45B5B" w:rsidRDefault="000020B9" w:rsidP="00EF25E1">
            <w:pPr>
              <w:jc w:val="center"/>
              <w:rPr>
                <w:color w:val="000000"/>
                <w:sz w:val="20"/>
                <w:szCs w:val="20"/>
                <w:lang w:val="en-US"/>
              </w:rPr>
            </w:pPr>
          </w:p>
        </w:tc>
        <w:tc>
          <w:tcPr>
            <w:tcW w:w="1468" w:type="dxa"/>
            <w:tcBorders>
              <w:top w:val="nil"/>
              <w:left w:val="nil"/>
              <w:bottom w:val="nil"/>
              <w:right w:val="nil"/>
            </w:tcBorders>
            <w:shd w:val="clear" w:color="auto" w:fill="auto"/>
            <w:noWrap/>
            <w:vAlign w:val="bottom"/>
          </w:tcPr>
          <w:p w14:paraId="41926D1C" w14:textId="77777777" w:rsidR="000020B9" w:rsidRPr="00E45B5B" w:rsidRDefault="000020B9" w:rsidP="00EF25E1">
            <w:pPr>
              <w:jc w:val="center"/>
              <w:rPr>
                <w:color w:val="000000"/>
                <w:sz w:val="20"/>
                <w:szCs w:val="20"/>
                <w:lang w:val="en-US"/>
              </w:rPr>
            </w:pPr>
          </w:p>
        </w:tc>
      </w:tr>
      <w:tr w:rsidR="000020B9" w:rsidRPr="00E45B5B" w14:paraId="35A42ADB" w14:textId="77777777" w:rsidTr="00EF25E1">
        <w:trPr>
          <w:trHeight w:val="300"/>
        </w:trPr>
        <w:tc>
          <w:tcPr>
            <w:tcW w:w="5516" w:type="dxa"/>
            <w:tcBorders>
              <w:top w:val="nil"/>
              <w:left w:val="nil"/>
              <w:bottom w:val="nil"/>
              <w:right w:val="nil"/>
            </w:tcBorders>
            <w:shd w:val="clear" w:color="auto" w:fill="auto"/>
            <w:noWrap/>
            <w:vAlign w:val="bottom"/>
          </w:tcPr>
          <w:p w14:paraId="6303E3EA" w14:textId="77777777" w:rsidR="000020B9" w:rsidRPr="00E45B5B" w:rsidRDefault="000020B9" w:rsidP="00EF25E1">
            <w:pPr>
              <w:rPr>
                <w:color w:val="000000"/>
                <w:sz w:val="20"/>
                <w:szCs w:val="20"/>
              </w:rPr>
            </w:pPr>
            <w:r w:rsidRPr="00E45B5B">
              <w:rPr>
                <w:color w:val="000000"/>
                <w:sz w:val="20"/>
                <w:szCs w:val="20"/>
                <w:lang w:val="en-US"/>
              </w:rPr>
              <w:t xml:space="preserve">    </w:t>
            </w:r>
            <w:r w:rsidRPr="00E45B5B">
              <w:rPr>
                <w:color w:val="000000"/>
                <w:sz w:val="20"/>
                <w:szCs w:val="20"/>
              </w:rPr>
              <w:t>Standard H</w:t>
            </w:r>
          </w:p>
        </w:tc>
        <w:tc>
          <w:tcPr>
            <w:tcW w:w="1329" w:type="dxa"/>
            <w:tcBorders>
              <w:top w:val="nil"/>
              <w:left w:val="nil"/>
              <w:bottom w:val="nil"/>
              <w:right w:val="nil"/>
            </w:tcBorders>
            <w:shd w:val="clear" w:color="auto" w:fill="auto"/>
            <w:noWrap/>
          </w:tcPr>
          <w:p w14:paraId="274B6825" w14:textId="77777777" w:rsidR="000020B9" w:rsidRPr="00E45B5B" w:rsidRDefault="000020B9" w:rsidP="00EF25E1">
            <w:pPr>
              <w:jc w:val="center"/>
              <w:rPr>
                <w:color w:val="000000"/>
                <w:sz w:val="20"/>
                <w:szCs w:val="20"/>
              </w:rPr>
            </w:pPr>
            <w:r w:rsidRPr="00E45B5B">
              <w:rPr>
                <w:color w:val="000000"/>
                <w:sz w:val="20"/>
                <w:szCs w:val="20"/>
              </w:rPr>
              <w:t>0.123</w:t>
            </w:r>
          </w:p>
        </w:tc>
        <w:tc>
          <w:tcPr>
            <w:tcW w:w="1169" w:type="dxa"/>
            <w:tcBorders>
              <w:top w:val="nil"/>
              <w:left w:val="nil"/>
              <w:bottom w:val="nil"/>
              <w:right w:val="nil"/>
            </w:tcBorders>
            <w:shd w:val="clear" w:color="auto" w:fill="auto"/>
            <w:noWrap/>
          </w:tcPr>
          <w:p w14:paraId="12E708A5" w14:textId="77777777" w:rsidR="000020B9" w:rsidRPr="00E45B5B" w:rsidRDefault="000020B9" w:rsidP="00EF25E1">
            <w:pPr>
              <w:jc w:val="center"/>
              <w:rPr>
                <w:color w:val="000000"/>
                <w:sz w:val="20"/>
                <w:szCs w:val="20"/>
              </w:rPr>
            </w:pPr>
            <w:r w:rsidRPr="00E45B5B">
              <w:rPr>
                <w:color w:val="000000"/>
                <w:sz w:val="20"/>
                <w:szCs w:val="20"/>
              </w:rPr>
              <w:t>0.121</w:t>
            </w:r>
          </w:p>
        </w:tc>
        <w:tc>
          <w:tcPr>
            <w:tcW w:w="1263" w:type="dxa"/>
            <w:tcBorders>
              <w:top w:val="nil"/>
              <w:left w:val="nil"/>
              <w:bottom w:val="nil"/>
              <w:right w:val="nil"/>
            </w:tcBorders>
            <w:shd w:val="clear" w:color="auto" w:fill="auto"/>
            <w:noWrap/>
          </w:tcPr>
          <w:p w14:paraId="44435412" w14:textId="77777777" w:rsidR="000020B9" w:rsidRPr="00E45B5B" w:rsidRDefault="000020B9" w:rsidP="00EF25E1">
            <w:pPr>
              <w:jc w:val="center"/>
              <w:rPr>
                <w:color w:val="000000"/>
                <w:sz w:val="20"/>
                <w:szCs w:val="20"/>
              </w:rPr>
            </w:pPr>
            <w:r w:rsidRPr="00E45B5B">
              <w:rPr>
                <w:color w:val="000000"/>
                <w:sz w:val="20"/>
                <w:szCs w:val="20"/>
              </w:rPr>
              <w:t>0.122</w:t>
            </w:r>
          </w:p>
        </w:tc>
        <w:tc>
          <w:tcPr>
            <w:tcW w:w="1468" w:type="dxa"/>
            <w:tcBorders>
              <w:top w:val="nil"/>
              <w:left w:val="nil"/>
              <w:bottom w:val="nil"/>
              <w:right w:val="nil"/>
            </w:tcBorders>
            <w:shd w:val="clear" w:color="auto" w:fill="auto"/>
            <w:noWrap/>
          </w:tcPr>
          <w:p w14:paraId="65FCFDDE" w14:textId="77777777" w:rsidR="000020B9" w:rsidRPr="00E45B5B" w:rsidRDefault="000020B9" w:rsidP="00EF25E1">
            <w:pPr>
              <w:jc w:val="center"/>
              <w:rPr>
                <w:color w:val="000000"/>
                <w:sz w:val="20"/>
                <w:szCs w:val="20"/>
              </w:rPr>
            </w:pPr>
            <w:r w:rsidRPr="00E45B5B">
              <w:rPr>
                <w:color w:val="000000"/>
                <w:sz w:val="20"/>
                <w:szCs w:val="20"/>
              </w:rPr>
              <w:t>0.122</w:t>
            </w:r>
          </w:p>
        </w:tc>
      </w:tr>
      <w:tr w:rsidR="000020B9" w:rsidRPr="00E45B5B" w14:paraId="206CEC90" w14:textId="77777777" w:rsidTr="00EF25E1">
        <w:trPr>
          <w:trHeight w:val="315"/>
        </w:trPr>
        <w:tc>
          <w:tcPr>
            <w:tcW w:w="5516" w:type="dxa"/>
            <w:tcBorders>
              <w:top w:val="nil"/>
              <w:left w:val="nil"/>
              <w:bottom w:val="double" w:sz="6" w:space="0" w:color="auto"/>
              <w:right w:val="nil"/>
            </w:tcBorders>
            <w:shd w:val="clear" w:color="auto" w:fill="auto"/>
            <w:noWrap/>
            <w:vAlign w:val="bottom"/>
          </w:tcPr>
          <w:p w14:paraId="760CDB0A" w14:textId="77777777" w:rsidR="000020B9" w:rsidRPr="00E45B5B" w:rsidRDefault="000020B9" w:rsidP="00EF25E1">
            <w:pPr>
              <w:rPr>
                <w:color w:val="000000"/>
                <w:sz w:val="20"/>
                <w:szCs w:val="20"/>
              </w:rPr>
            </w:pPr>
            <w:r w:rsidRPr="00E45B5B">
              <w:rPr>
                <w:color w:val="000000"/>
                <w:sz w:val="20"/>
                <w:szCs w:val="20"/>
              </w:rPr>
              <w:t xml:space="preserve">    </w:t>
            </w:r>
            <w:r>
              <w:rPr>
                <w:color w:val="000000"/>
                <w:sz w:val="20"/>
                <w:szCs w:val="20"/>
              </w:rPr>
              <w:t>Δ</w:t>
            </w:r>
            <w:r w:rsidRPr="00E45B5B">
              <w:rPr>
                <w:color w:val="000000"/>
                <w:sz w:val="20"/>
                <w:szCs w:val="20"/>
              </w:rPr>
              <w:t>H</w:t>
            </w:r>
          </w:p>
        </w:tc>
        <w:tc>
          <w:tcPr>
            <w:tcW w:w="1329" w:type="dxa"/>
            <w:tcBorders>
              <w:top w:val="nil"/>
              <w:left w:val="nil"/>
              <w:bottom w:val="double" w:sz="6" w:space="0" w:color="auto"/>
              <w:right w:val="nil"/>
            </w:tcBorders>
            <w:shd w:val="clear" w:color="auto" w:fill="auto"/>
            <w:noWrap/>
          </w:tcPr>
          <w:p w14:paraId="663BF369" w14:textId="77777777" w:rsidR="000020B9" w:rsidRPr="00E45B5B" w:rsidRDefault="000020B9" w:rsidP="00EF25E1">
            <w:pPr>
              <w:jc w:val="center"/>
              <w:rPr>
                <w:color w:val="000000"/>
                <w:sz w:val="20"/>
                <w:szCs w:val="20"/>
              </w:rPr>
            </w:pPr>
            <w:r w:rsidRPr="00E45B5B">
              <w:rPr>
                <w:color w:val="000000"/>
                <w:sz w:val="20"/>
                <w:szCs w:val="20"/>
              </w:rPr>
              <w:t>-0.290</w:t>
            </w:r>
          </w:p>
        </w:tc>
        <w:tc>
          <w:tcPr>
            <w:tcW w:w="1169" w:type="dxa"/>
            <w:tcBorders>
              <w:top w:val="nil"/>
              <w:left w:val="nil"/>
              <w:bottom w:val="double" w:sz="6" w:space="0" w:color="auto"/>
              <w:right w:val="nil"/>
            </w:tcBorders>
            <w:shd w:val="clear" w:color="auto" w:fill="auto"/>
            <w:noWrap/>
          </w:tcPr>
          <w:p w14:paraId="24F5E8D3" w14:textId="77777777" w:rsidR="000020B9" w:rsidRPr="00E45B5B" w:rsidRDefault="000020B9" w:rsidP="00EF25E1">
            <w:pPr>
              <w:jc w:val="center"/>
              <w:rPr>
                <w:color w:val="000000"/>
                <w:sz w:val="20"/>
                <w:szCs w:val="20"/>
              </w:rPr>
            </w:pPr>
            <w:r w:rsidRPr="00E45B5B">
              <w:rPr>
                <w:color w:val="000000"/>
                <w:sz w:val="20"/>
                <w:szCs w:val="20"/>
              </w:rPr>
              <w:t>-0.250</w:t>
            </w:r>
          </w:p>
        </w:tc>
        <w:tc>
          <w:tcPr>
            <w:tcW w:w="1263" w:type="dxa"/>
            <w:tcBorders>
              <w:top w:val="nil"/>
              <w:left w:val="nil"/>
              <w:bottom w:val="double" w:sz="6" w:space="0" w:color="auto"/>
              <w:right w:val="nil"/>
            </w:tcBorders>
            <w:shd w:val="clear" w:color="auto" w:fill="auto"/>
            <w:noWrap/>
          </w:tcPr>
          <w:p w14:paraId="08F1ACCA" w14:textId="77777777" w:rsidR="000020B9" w:rsidRPr="00E45B5B" w:rsidRDefault="000020B9" w:rsidP="00EF25E1">
            <w:pPr>
              <w:jc w:val="center"/>
              <w:rPr>
                <w:color w:val="000000"/>
                <w:sz w:val="20"/>
                <w:szCs w:val="20"/>
              </w:rPr>
            </w:pPr>
            <w:r w:rsidRPr="00E45B5B">
              <w:rPr>
                <w:color w:val="000000"/>
                <w:sz w:val="20"/>
                <w:szCs w:val="20"/>
              </w:rPr>
              <w:t>-0.246</w:t>
            </w:r>
          </w:p>
        </w:tc>
        <w:tc>
          <w:tcPr>
            <w:tcW w:w="1468" w:type="dxa"/>
            <w:tcBorders>
              <w:top w:val="nil"/>
              <w:left w:val="nil"/>
              <w:bottom w:val="double" w:sz="6" w:space="0" w:color="auto"/>
              <w:right w:val="nil"/>
            </w:tcBorders>
            <w:shd w:val="clear" w:color="auto" w:fill="auto"/>
            <w:noWrap/>
          </w:tcPr>
          <w:p w14:paraId="3A7E7575" w14:textId="77777777" w:rsidR="000020B9" w:rsidRPr="00E45B5B" w:rsidRDefault="000020B9" w:rsidP="00EF25E1">
            <w:pPr>
              <w:jc w:val="center"/>
              <w:rPr>
                <w:color w:val="000000"/>
                <w:sz w:val="20"/>
                <w:szCs w:val="20"/>
              </w:rPr>
            </w:pPr>
            <w:r w:rsidRPr="00E45B5B">
              <w:rPr>
                <w:color w:val="000000"/>
                <w:sz w:val="20"/>
                <w:szCs w:val="20"/>
              </w:rPr>
              <w:t>-0.247</w:t>
            </w:r>
          </w:p>
        </w:tc>
      </w:tr>
      <w:tr w:rsidR="000020B9" w:rsidRPr="00E45B5B" w14:paraId="30964B1A" w14:textId="77777777" w:rsidTr="00EF25E1">
        <w:trPr>
          <w:trHeight w:val="330"/>
        </w:trPr>
        <w:tc>
          <w:tcPr>
            <w:tcW w:w="5516" w:type="dxa"/>
            <w:tcBorders>
              <w:top w:val="nil"/>
              <w:left w:val="nil"/>
              <w:bottom w:val="double" w:sz="6" w:space="0" w:color="auto"/>
              <w:right w:val="nil"/>
            </w:tcBorders>
            <w:shd w:val="clear" w:color="auto" w:fill="auto"/>
            <w:noWrap/>
          </w:tcPr>
          <w:p w14:paraId="0DBC08BD" w14:textId="77777777" w:rsidR="000020B9" w:rsidRPr="00E45B5B" w:rsidRDefault="000020B9" w:rsidP="00EF25E1">
            <w:pPr>
              <w:rPr>
                <w:color w:val="000000"/>
                <w:sz w:val="20"/>
                <w:szCs w:val="20"/>
              </w:rPr>
            </w:pPr>
            <w:r w:rsidRPr="00E45B5B">
              <w:rPr>
                <w:color w:val="000000"/>
                <w:sz w:val="20"/>
                <w:szCs w:val="20"/>
              </w:rPr>
              <w:t xml:space="preserve">    Adjusted H = StandarH +deltaH</w:t>
            </w:r>
          </w:p>
        </w:tc>
        <w:tc>
          <w:tcPr>
            <w:tcW w:w="1329" w:type="dxa"/>
            <w:tcBorders>
              <w:top w:val="nil"/>
              <w:left w:val="nil"/>
              <w:bottom w:val="double" w:sz="6" w:space="0" w:color="auto"/>
              <w:right w:val="nil"/>
            </w:tcBorders>
            <w:shd w:val="clear" w:color="auto" w:fill="auto"/>
            <w:noWrap/>
          </w:tcPr>
          <w:p w14:paraId="01A7E586" w14:textId="77777777" w:rsidR="000020B9" w:rsidRPr="00E45B5B" w:rsidRDefault="000020B9" w:rsidP="00EF25E1">
            <w:pPr>
              <w:jc w:val="center"/>
              <w:rPr>
                <w:color w:val="000000"/>
                <w:sz w:val="20"/>
                <w:szCs w:val="20"/>
              </w:rPr>
            </w:pPr>
            <w:r w:rsidRPr="00E45B5B">
              <w:rPr>
                <w:color w:val="000000"/>
                <w:sz w:val="20"/>
                <w:szCs w:val="20"/>
              </w:rPr>
              <w:t>-0.167</w:t>
            </w:r>
          </w:p>
        </w:tc>
        <w:tc>
          <w:tcPr>
            <w:tcW w:w="1169" w:type="dxa"/>
            <w:tcBorders>
              <w:top w:val="nil"/>
              <w:left w:val="nil"/>
              <w:bottom w:val="double" w:sz="6" w:space="0" w:color="auto"/>
              <w:right w:val="nil"/>
            </w:tcBorders>
            <w:shd w:val="clear" w:color="auto" w:fill="auto"/>
            <w:noWrap/>
          </w:tcPr>
          <w:p w14:paraId="211CF543" w14:textId="77777777" w:rsidR="000020B9" w:rsidRPr="00E45B5B" w:rsidRDefault="000020B9" w:rsidP="00EF25E1">
            <w:pPr>
              <w:jc w:val="center"/>
              <w:rPr>
                <w:color w:val="000000"/>
                <w:sz w:val="20"/>
                <w:szCs w:val="20"/>
              </w:rPr>
            </w:pPr>
            <w:r w:rsidRPr="00E45B5B">
              <w:rPr>
                <w:color w:val="000000"/>
                <w:sz w:val="20"/>
                <w:szCs w:val="20"/>
              </w:rPr>
              <w:t>-0.129</w:t>
            </w:r>
          </w:p>
        </w:tc>
        <w:tc>
          <w:tcPr>
            <w:tcW w:w="1263" w:type="dxa"/>
            <w:tcBorders>
              <w:top w:val="nil"/>
              <w:left w:val="nil"/>
              <w:bottom w:val="double" w:sz="6" w:space="0" w:color="auto"/>
              <w:right w:val="nil"/>
            </w:tcBorders>
            <w:shd w:val="clear" w:color="auto" w:fill="auto"/>
            <w:noWrap/>
          </w:tcPr>
          <w:p w14:paraId="6EF9CBED" w14:textId="77777777" w:rsidR="000020B9" w:rsidRPr="00E45B5B" w:rsidRDefault="000020B9" w:rsidP="00EF25E1">
            <w:pPr>
              <w:jc w:val="center"/>
              <w:rPr>
                <w:color w:val="000000"/>
                <w:sz w:val="20"/>
                <w:szCs w:val="20"/>
              </w:rPr>
            </w:pPr>
            <w:r w:rsidRPr="00E45B5B">
              <w:rPr>
                <w:color w:val="000000"/>
                <w:sz w:val="20"/>
                <w:szCs w:val="20"/>
              </w:rPr>
              <w:t>-0.124</w:t>
            </w:r>
          </w:p>
        </w:tc>
        <w:tc>
          <w:tcPr>
            <w:tcW w:w="1468" w:type="dxa"/>
            <w:tcBorders>
              <w:top w:val="nil"/>
              <w:left w:val="nil"/>
              <w:bottom w:val="double" w:sz="6" w:space="0" w:color="auto"/>
              <w:right w:val="nil"/>
            </w:tcBorders>
            <w:shd w:val="clear" w:color="auto" w:fill="auto"/>
            <w:noWrap/>
          </w:tcPr>
          <w:p w14:paraId="00113E79" w14:textId="77777777" w:rsidR="000020B9" w:rsidRPr="00E45B5B" w:rsidRDefault="000020B9" w:rsidP="00EF25E1">
            <w:pPr>
              <w:jc w:val="center"/>
              <w:rPr>
                <w:color w:val="000000"/>
                <w:sz w:val="20"/>
                <w:szCs w:val="20"/>
              </w:rPr>
            </w:pPr>
            <w:r w:rsidRPr="00E45B5B">
              <w:rPr>
                <w:color w:val="000000"/>
                <w:sz w:val="20"/>
                <w:szCs w:val="20"/>
              </w:rPr>
              <w:t>-0.125</w:t>
            </w:r>
          </w:p>
        </w:tc>
      </w:tr>
      <w:tr w:rsidR="000020B9" w:rsidRPr="00E45B5B" w14:paraId="7024A191" w14:textId="77777777" w:rsidTr="00EF25E1">
        <w:trPr>
          <w:trHeight w:val="315"/>
        </w:trPr>
        <w:tc>
          <w:tcPr>
            <w:tcW w:w="5516" w:type="dxa"/>
            <w:tcBorders>
              <w:top w:val="nil"/>
              <w:left w:val="nil"/>
              <w:bottom w:val="nil"/>
              <w:right w:val="nil"/>
            </w:tcBorders>
            <w:shd w:val="clear" w:color="auto" w:fill="auto"/>
            <w:noWrap/>
            <w:vAlign w:val="bottom"/>
          </w:tcPr>
          <w:p w14:paraId="10CBDF32" w14:textId="77777777" w:rsidR="000020B9" w:rsidRPr="00E45B5B" w:rsidRDefault="000020B9" w:rsidP="00EF25E1">
            <w:pPr>
              <w:rPr>
                <w:color w:val="000000"/>
                <w:sz w:val="20"/>
                <w:szCs w:val="20"/>
              </w:rPr>
            </w:pPr>
            <w:r>
              <w:rPr>
                <w:color w:val="000000"/>
                <w:sz w:val="20"/>
                <w:szCs w:val="20"/>
              </w:rPr>
              <w:t>Δ</w:t>
            </w:r>
            <w:r w:rsidRPr="00E45B5B">
              <w:rPr>
                <w:color w:val="000000"/>
                <w:sz w:val="20"/>
                <w:szCs w:val="20"/>
              </w:rPr>
              <w:t>H-Statistics</w:t>
            </w:r>
          </w:p>
        </w:tc>
        <w:tc>
          <w:tcPr>
            <w:tcW w:w="1329" w:type="dxa"/>
            <w:tcBorders>
              <w:top w:val="nil"/>
              <w:left w:val="nil"/>
              <w:bottom w:val="nil"/>
              <w:right w:val="nil"/>
            </w:tcBorders>
            <w:shd w:val="clear" w:color="auto" w:fill="auto"/>
            <w:noWrap/>
            <w:vAlign w:val="bottom"/>
          </w:tcPr>
          <w:p w14:paraId="783E2B7F" w14:textId="77777777" w:rsidR="000020B9" w:rsidRPr="00E45B5B" w:rsidRDefault="000020B9" w:rsidP="00EF25E1">
            <w:pPr>
              <w:jc w:val="center"/>
              <w:rPr>
                <w:color w:val="000000"/>
                <w:sz w:val="20"/>
                <w:szCs w:val="20"/>
              </w:rPr>
            </w:pPr>
          </w:p>
        </w:tc>
        <w:tc>
          <w:tcPr>
            <w:tcW w:w="1169" w:type="dxa"/>
            <w:tcBorders>
              <w:top w:val="nil"/>
              <w:left w:val="nil"/>
              <w:bottom w:val="nil"/>
              <w:right w:val="nil"/>
            </w:tcBorders>
            <w:shd w:val="clear" w:color="auto" w:fill="auto"/>
            <w:noWrap/>
            <w:vAlign w:val="bottom"/>
          </w:tcPr>
          <w:p w14:paraId="04179908" w14:textId="77777777" w:rsidR="000020B9" w:rsidRPr="00E45B5B" w:rsidRDefault="000020B9" w:rsidP="00EF25E1">
            <w:pPr>
              <w:jc w:val="center"/>
              <w:rPr>
                <w:color w:val="000000"/>
                <w:sz w:val="20"/>
                <w:szCs w:val="20"/>
              </w:rPr>
            </w:pPr>
          </w:p>
        </w:tc>
        <w:tc>
          <w:tcPr>
            <w:tcW w:w="1263" w:type="dxa"/>
            <w:tcBorders>
              <w:top w:val="nil"/>
              <w:left w:val="nil"/>
              <w:bottom w:val="nil"/>
              <w:right w:val="nil"/>
            </w:tcBorders>
            <w:shd w:val="clear" w:color="auto" w:fill="auto"/>
            <w:noWrap/>
            <w:vAlign w:val="bottom"/>
          </w:tcPr>
          <w:p w14:paraId="18567EFB" w14:textId="77777777" w:rsidR="000020B9" w:rsidRPr="00E45B5B" w:rsidRDefault="000020B9" w:rsidP="00EF25E1">
            <w:pPr>
              <w:jc w:val="center"/>
              <w:rPr>
                <w:color w:val="000000"/>
                <w:sz w:val="20"/>
                <w:szCs w:val="20"/>
              </w:rPr>
            </w:pPr>
          </w:p>
        </w:tc>
        <w:tc>
          <w:tcPr>
            <w:tcW w:w="1468" w:type="dxa"/>
            <w:tcBorders>
              <w:top w:val="nil"/>
              <w:left w:val="nil"/>
              <w:bottom w:val="nil"/>
              <w:right w:val="nil"/>
            </w:tcBorders>
            <w:shd w:val="clear" w:color="auto" w:fill="auto"/>
            <w:noWrap/>
            <w:vAlign w:val="bottom"/>
          </w:tcPr>
          <w:p w14:paraId="49522A11" w14:textId="77777777" w:rsidR="000020B9" w:rsidRPr="00E45B5B" w:rsidRDefault="000020B9" w:rsidP="00EF25E1">
            <w:pPr>
              <w:jc w:val="center"/>
              <w:rPr>
                <w:color w:val="000000"/>
                <w:sz w:val="20"/>
                <w:szCs w:val="20"/>
              </w:rPr>
            </w:pPr>
          </w:p>
        </w:tc>
      </w:tr>
      <w:tr w:rsidR="000020B9" w:rsidRPr="00E45B5B" w14:paraId="0906235B" w14:textId="77777777" w:rsidTr="00EF25E1">
        <w:trPr>
          <w:trHeight w:val="300"/>
        </w:trPr>
        <w:tc>
          <w:tcPr>
            <w:tcW w:w="5516" w:type="dxa"/>
            <w:tcBorders>
              <w:top w:val="nil"/>
              <w:left w:val="nil"/>
              <w:bottom w:val="nil"/>
              <w:right w:val="nil"/>
            </w:tcBorders>
            <w:shd w:val="clear" w:color="auto" w:fill="auto"/>
            <w:noWrap/>
            <w:vAlign w:val="bottom"/>
          </w:tcPr>
          <w:p w14:paraId="48573E3F" w14:textId="77777777" w:rsidR="000020B9" w:rsidRPr="00E45B5B" w:rsidRDefault="000020B9" w:rsidP="00EF25E1">
            <w:pPr>
              <w:rPr>
                <w:color w:val="000000"/>
                <w:sz w:val="20"/>
                <w:szCs w:val="20"/>
              </w:rPr>
            </w:pPr>
            <w:r w:rsidRPr="00E45B5B">
              <w:rPr>
                <w:color w:val="000000"/>
                <w:sz w:val="20"/>
                <w:szCs w:val="20"/>
              </w:rPr>
              <w:t xml:space="preserve">    Estimated </w:t>
            </w:r>
            <w:r>
              <w:rPr>
                <w:color w:val="000000"/>
                <w:sz w:val="20"/>
                <w:szCs w:val="20"/>
              </w:rPr>
              <w:t>Δ</w:t>
            </w:r>
            <w:r w:rsidRPr="00E45B5B">
              <w:rPr>
                <w:color w:val="000000"/>
                <w:sz w:val="20"/>
                <w:szCs w:val="20"/>
              </w:rPr>
              <w:t>H</w:t>
            </w:r>
          </w:p>
        </w:tc>
        <w:tc>
          <w:tcPr>
            <w:tcW w:w="1329" w:type="dxa"/>
            <w:tcBorders>
              <w:top w:val="nil"/>
              <w:left w:val="nil"/>
              <w:bottom w:val="nil"/>
              <w:right w:val="nil"/>
            </w:tcBorders>
            <w:shd w:val="clear" w:color="auto" w:fill="auto"/>
            <w:noWrap/>
            <w:vAlign w:val="bottom"/>
          </w:tcPr>
          <w:p w14:paraId="55FBD96B" w14:textId="77777777" w:rsidR="000020B9" w:rsidRPr="00E45B5B" w:rsidRDefault="000020B9" w:rsidP="00EF25E1">
            <w:pPr>
              <w:jc w:val="center"/>
              <w:rPr>
                <w:color w:val="000000"/>
                <w:sz w:val="20"/>
                <w:szCs w:val="20"/>
              </w:rPr>
            </w:pPr>
            <w:r w:rsidRPr="00E45B5B">
              <w:rPr>
                <w:color w:val="000000"/>
                <w:sz w:val="20"/>
                <w:szCs w:val="20"/>
              </w:rPr>
              <w:t>-0.290</w:t>
            </w:r>
          </w:p>
        </w:tc>
        <w:tc>
          <w:tcPr>
            <w:tcW w:w="1169" w:type="dxa"/>
            <w:tcBorders>
              <w:top w:val="nil"/>
              <w:left w:val="nil"/>
              <w:bottom w:val="nil"/>
              <w:right w:val="nil"/>
            </w:tcBorders>
            <w:shd w:val="clear" w:color="auto" w:fill="auto"/>
            <w:noWrap/>
            <w:vAlign w:val="bottom"/>
          </w:tcPr>
          <w:p w14:paraId="39D0B23E" w14:textId="77777777" w:rsidR="000020B9" w:rsidRPr="00E45B5B" w:rsidRDefault="000020B9" w:rsidP="00EF25E1">
            <w:pPr>
              <w:jc w:val="center"/>
              <w:rPr>
                <w:color w:val="000000"/>
                <w:sz w:val="20"/>
                <w:szCs w:val="20"/>
              </w:rPr>
            </w:pPr>
            <w:r w:rsidRPr="00E45B5B">
              <w:rPr>
                <w:color w:val="000000"/>
                <w:sz w:val="20"/>
                <w:szCs w:val="20"/>
              </w:rPr>
              <w:t>-0.250</w:t>
            </w:r>
          </w:p>
        </w:tc>
        <w:tc>
          <w:tcPr>
            <w:tcW w:w="1263" w:type="dxa"/>
            <w:tcBorders>
              <w:top w:val="nil"/>
              <w:left w:val="nil"/>
              <w:bottom w:val="nil"/>
              <w:right w:val="nil"/>
            </w:tcBorders>
            <w:shd w:val="clear" w:color="auto" w:fill="auto"/>
            <w:noWrap/>
            <w:vAlign w:val="bottom"/>
          </w:tcPr>
          <w:p w14:paraId="1652BC3C" w14:textId="77777777" w:rsidR="000020B9" w:rsidRPr="00E45B5B" w:rsidRDefault="000020B9" w:rsidP="00EF25E1">
            <w:pPr>
              <w:jc w:val="center"/>
              <w:rPr>
                <w:color w:val="000000"/>
                <w:sz w:val="20"/>
                <w:szCs w:val="20"/>
              </w:rPr>
            </w:pPr>
            <w:r w:rsidRPr="00E45B5B">
              <w:rPr>
                <w:color w:val="000000"/>
                <w:sz w:val="20"/>
                <w:szCs w:val="20"/>
              </w:rPr>
              <w:t>-0.246</w:t>
            </w:r>
          </w:p>
        </w:tc>
        <w:tc>
          <w:tcPr>
            <w:tcW w:w="1468" w:type="dxa"/>
            <w:tcBorders>
              <w:top w:val="nil"/>
              <w:left w:val="nil"/>
              <w:bottom w:val="nil"/>
              <w:right w:val="nil"/>
            </w:tcBorders>
            <w:shd w:val="clear" w:color="auto" w:fill="auto"/>
            <w:noWrap/>
            <w:vAlign w:val="bottom"/>
          </w:tcPr>
          <w:p w14:paraId="7F0BF6C0" w14:textId="77777777" w:rsidR="000020B9" w:rsidRPr="00E45B5B" w:rsidRDefault="000020B9" w:rsidP="00EF25E1">
            <w:pPr>
              <w:jc w:val="center"/>
              <w:rPr>
                <w:color w:val="000000"/>
                <w:sz w:val="20"/>
                <w:szCs w:val="20"/>
              </w:rPr>
            </w:pPr>
            <w:r w:rsidRPr="00E45B5B">
              <w:rPr>
                <w:color w:val="000000"/>
                <w:sz w:val="20"/>
                <w:szCs w:val="20"/>
              </w:rPr>
              <w:t>-0.247</w:t>
            </w:r>
          </w:p>
        </w:tc>
      </w:tr>
      <w:tr w:rsidR="000020B9" w:rsidRPr="00E45B5B" w14:paraId="18270CBF" w14:textId="77777777" w:rsidTr="00EF25E1">
        <w:trPr>
          <w:trHeight w:val="300"/>
        </w:trPr>
        <w:tc>
          <w:tcPr>
            <w:tcW w:w="5516" w:type="dxa"/>
            <w:tcBorders>
              <w:top w:val="nil"/>
              <w:left w:val="nil"/>
              <w:bottom w:val="nil"/>
              <w:right w:val="nil"/>
            </w:tcBorders>
            <w:shd w:val="clear" w:color="auto" w:fill="auto"/>
            <w:noWrap/>
            <w:vAlign w:val="bottom"/>
          </w:tcPr>
          <w:p w14:paraId="4B871A6C" w14:textId="77777777" w:rsidR="000020B9" w:rsidRPr="00E45B5B" w:rsidRDefault="000020B9" w:rsidP="00EF25E1">
            <w:pPr>
              <w:rPr>
                <w:color w:val="000000"/>
                <w:sz w:val="20"/>
                <w:szCs w:val="20"/>
              </w:rPr>
            </w:pPr>
            <w:r w:rsidRPr="00E45B5B">
              <w:rPr>
                <w:color w:val="000000"/>
                <w:sz w:val="20"/>
                <w:szCs w:val="20"/>
              </w:rPr>
              <w:t xml:space="preserve">    Standard Deviation </w:t>
            </w:r>
            <w:r>
              <w:rPr>
                <w:color w:val="000000"/>
                <w:sz w:val="20"/>
                <w:szCs w:val="20"/>
              </w:rPr>
              <w:t>Δ</w:t>
            </w:r>
            <w:r w:rsidRPr="00E45B5B">
              <w:rPr>
                <w:color w:val="000000"/>
                <w:sz w:val="20"/>
                <w:szCs w:val="20"/>
              </w:rPr>
              <w:t>H</w:t>
            </w:r>
          </w:p>
        </w:tc>
        <w:tc>
          <w:tcPr>
            <w:tcW w:w="1329" w:type="dxa"/>
            <w:tcBorders>
              <w:top w:val="nil"/>
              <w:left w:val="nil"/>
              <w:bottom w:val="nil"/>
              <w:right w:val="nil"/>
            </w:tcBorders>
            <w:shd w:val="clear" w:color="auto" w:fill="auto"/>
            <w:noWrap/>
            <w:vAlign w:val="bottom"/>
          </w:tcPr>
          <w:p w14:paraId="190D7C33" w14:textId="77777777" w:rsidR="000020B9" w:rsidRPr="00E45B5B" w:rsidRDefault="000020B9" w:rsidP="00EF25E1">
            <w:pPr>
              <w:jc w:val="center"/>
              <w:rPr>
                <w:color w:val="000000"/>
                <w:sz w:val="20"/>
                <w:szCs w:val="20"/>
              </w:rPr>
            </w:pPr>
            <w:r w:rsidRPr="00E45B5B">
              <w:rPr>
                <w:color w:val="000000"/>
                <w:sz w:val="20"/>
                <w:szCs w:val="20"/>
              </w:rPr>
              <w:t>0.157</w:t>
            </w:r>
          </w:p>
        </w:tc>
        <w:tc>
          <w:tcPr>
            <w:tcW w:w="1169" w:type="dxa"/>
            <w:tcBorders>
              <w:top w:val="nil"/>
              <w:left w:val="nil"/>
              <w:bottom w:val="nil"/>
              <w:right w:val="nil"/>
            </w:tcBorders>
            <w:shd w:val="clear" w:color="auto" w:fill="auto"/>
            <w:noWrap/>
            <w:vAlign w:val="bottom"/>
          </w:tcPr>
          <w:p w14:paraId="356277A3" w14:textId="77777777" w:rsidR="000020B9" w:rsidRPr="00E45B5B" w:rsidRDefault="000020B9" w:rsidP="00EF25E1">
            <w:pPr>
              <w:jc w:val="center"/>
              <w:rPr>
                <w:color w:val="000000"/>
                <w:sz w:val="20"/>
                <w:szCs w:val="20"/>
              </w:rPr>
            </w:pPr>
            <w:r w:rsidRPr="00E45B5B">
              <w:rPr>
                <w:color w:val="000000"/>
                <w:sz w:val="20"/>
                <w:szCs w:val="20"/>
              </w:rPr>
              <w:t>0.154</w:t>
            </w:r>
          </w:p>
        </w:tc>
        <w:tc>
          <w:tcPr>
            <w:tcW w:w="1263" w:type="dxa"/>
            <w:tcBorders>
              <w:top w:val="nil"/>
              <w:left w:val="nil"/>
              <w:bottom w:val="nil"/>
              <w:right w:val="nil"/>
            </w:tcBorders>
            <w:shd w:val="clear" w:color="auto" w:fill="auto"/>
            <w:noWrap/>
            <w:vAlign w:val="bottom"/>
          </w:tcPr>
          <w:p w14:paraId="1D946A27" w14:textId="77777777" w:rsidR="000020B9" w:rsidRPr="00E45B5B" w:rsidRDefault="000020B9" w:rsidP="00EF25E1">
            <w:pPr>
              <w:jc w:val="center"/>
              <w:rPr>
                <w:color w:val="000000"/>
                <w:sz w:val="20"/>
                <w:szCs w:val="20"/>
              </w:rPr>
            </w:pPr>
            <w:r w:rsidRPr="00E45B5B">
              <w:rPr>
                <w:color w:val="000000"/>
                <w:sz w:val="20"/>
                <w:szCs w:val="20"/>
              </w:rPr>
              <w:t>0.156</w:t>
            </w:r>
          </w:p>
        </w:tc>
        <w:tc>
          <w:tcPr>
            <w:tcW w:w="1468" w:type="dxa"/>
            <w:tcBorders>
              <w:top w:val="nil"/>
              <w:left w:val="nil"/>
              <w:bottom w:val="nil"/>
              <w:right w:val="nil"/>
            </w:tcBorders>
            <w:shd w:val="clear" w:color="auto" w:fill="auto"/>
            <w:noWrap/>
            <w:vAlign w:val="bottom"/>
          </w:tcPr>
          <w:p w14:paraId="61B92E03" w14:textId="77777777" w:rsidR="000020B9" w:rsidRPr="00E45B5B" w:rsidRDefault="000020B9" w:rsidP="00EF25E1">
            <w:pPr>
              <w:jc w:val="center"/>
              <w:rPr>
                <w:color w:val="000000"/>
                <w:sz w:val="20"/>
                <w:szCs w:val="20"/>
              </w:rPr>
            </w:pPr>
            <w:r w:rsidRPr="00E45B5B">
              <w:rPr>
                <w:color w:val="000000"/>
                <w:sz w:val="20"/>
                <w:szCs w:val="20"/>
              </w:rPr>
              <w:t>0.156</w:t>
            </w:r>
          </w:p>
        </w:tc>
      </w:tr>
      <w:tr w:rsidR="000020B9" w:rsidRPr="00E45B5B" w14:paraId="634805B8" w14:textId="77777777" w:rsidTr="00EF25E1">
        <w:trPr>
          <w:trHeight w:val="300"/>
        </w:trPr>
        <w:tc>
          <w:tcPr>
            <w:tcW w:w="5516" w:type="dxa"/>
            <w:tcBorders>
              <w:top w:val="nil"/>
              <w:left w:val="nil"/>
              <w:bottom w:val="nil"/>
              <w:right w:val="nil"/>
            </w:tcBorders>
            <w:shd w:val="clear" w:color="auto" w:fill="auto"/>
            <w:noWrap/>
            <w:vAlign w:val="bottom"/>
          </w:tcPr>
          <w:p w14:paraId="2D20C531" w14:textId="77777777" w:rsidR="000020B9" w:rsidRPr="00E45B5B" w:rsidRDefault="000020B9" w:rsidP="00EF25E1">
            <w:pPr>
              <w:rPr>
                <w:color w:val="000000"/>
                <w:sz w:val="20"/>
                <w:szCs w:val="20"/>
              </w:rPr>
            </w:pPr>
            <w:r w:rsidRPr="00E45B5B">
              <w:rPr>
                <w:color w:val="000000"/>
                <w:sz w:val="20"/>
                <w:szCs w:val="20"/>
              </w:rPr>
              <w:t xml:space="preserve">     Degrees of Freedom</w:t>
            </w:r>
          </w:p>
        </w:tc>
        <w:tc>
          <w:tcPr>
            <w:tcW w:w="1329" w:type="dxa"/>
            <w:tcBorders>
              <w:top w:val="nil"/>
              <w:left w:val="nil"/>
              <w:bottom w:val="nil"/>
              <w:right w:val="nil"/>
            </w:tcBorders>
            <w:shd w:val="clear" w:color="auto" w:fill="auto"/>
            <w:noWrap/>
            <w:vAlign w:val="bottom"/>
          </w:tcPr>
          <w:p w14:paraId="5D39BF6B" w14:textId="77777777" w:rsidR="000020B9" w:rsidRPr="00E45B5B" w:rsidRDefault="000020B9" w:rsidP="00EF25E1">
            <w:pPr>
              <w:jc w:val="center"/>
              <w:rPr>
                <w:color w:val="000000"/>
                <w:sz w:val="20"/>
                <w:szCs w:val="20"/>
              </w:rPr>
            </w:pPr>
            <w:r w:rsidRPr="00E45B5B">
              <w:rPr>
                <w:color w:val="000000"/>
                <w:sz w:val="20"/>
                <w:szCs w:val="20"/>
              </w:rPr>
              <w:t>60</w:t>
            </w:r>
          </w:p>
        </w:tc>
        <w:tc>
          <w:tcPr>
            <w:tcW w:w="1169" w:type="dxa"/>
            <w:tcBorders>
              <w:top w:val="nil"/>
              <w:left w:val="nil"/>
              <w:bottom w:val="nil"/>
              <w:right w:val="nil"/>
            </w:tcBorders>
            <w:shd w:val="clear" w:color="auto" w:fill="auto"/>
            <w:noWrap/>
            <w:vAlign w:val="bottom"/>
          </w:tcPr>
          <w:p w14:paraId="0B7144D1" w14:textId="77777777" w:rsidR="000020B9" w:rsidRPr="00E45B5B" w:rsidRDefault="000020B9" w:rsidP="00EF25E1">
            <w:pPr>
              <w:jc w:val="center"/>
              <w:rPr>
                <w:color w:val="000000"/>
                <w:sz w:val="20"/>
                <w:szCs w:val="20"/>
              </w:rPr>
            </w:pPr>
            <w:r w:rsidRPr="00E45B5B">
              <w:rPr>
                <w:color w:val="000000"/>
                <w:sz w:val="20"/>
                <w:szCs w:val="20"/>
              </w:rPr>
              <w:t>60</w:t>
            </w:r>
          </w:p>
        </w:tc>
        <w:tc>
          <w:tcPr>
            <w:tcW w:w="1263" w:type="dxa"/>
            <w:tcBorders>
              <w:top w:val="nil"/>
              <w:left w:val="nil"/>
              <w:bottom w:val="nil"/>
              <w:right w:val="nil"/>
            </w:tcBorders>
            <w:shd w:val="clear" w:color="auto" w:fill="auto"/>
            <w:noWrap/>
            <w:vAlign w:val="bottom"/>
          </w:tcPr>
          <w:p w14:paraId="1369AA58" w14:textId="77777777" w:rsidR="000020B9" w:rsidRPr="00E45B5B" w:rsidRDefault="000020B9" w:rsidP="00EF25E1">
            <w:pPr>
              <w:jc w:val="center"/>
              <w:rPr>
                <w:color w:val="000000"/>
                <w:sz w:val="20"/>
                <w:szCs w:val="20"/>
              </w:rPr>
            </w:pPr>
            <w:r w:rsidRPr="00E45B5B">
              <w:rPr>
                <w:color w:val="000000"/>
                <w:sz w:val="20"/>
                <w:szCs w:val="20"/>
              </w:rPr>
              <w:t>60</w:t>
            </w:r>
          </w:p>
        </w:tc>
        <w:tc>
          <w:tcPr>
            <w:tcW w:w="1468" w:type="dxa"/>
            <w:tcBorders>
              <w:top w:val="nil"/>
              <w:left w:val="nil"/>
              <w:bottom w:val="nil"/>
              <w:right w:val="nil"/>
            </w:tcBorders>
            <w:shd w:val="clear" w:color="auto" w:fill="auto"/>
            <w:noWrap/>
            <w:vAlign w:val="bottom"/>
          </w:tcPr>
          <w:p w14:paraId="57B8B015" w14:textId="77777777" w:rsidR="000020B9" w:rsidRPr="00E45B5B" w:rsidRDefault="000020B9" w:rsidP="00EF25E1">
            <w:pPr>
              <w:jc w:val="center"/>
              <w:rPr>
                <w:color w:val="000000"/>
                <w:sz w:val="20"/>
                <w:szCs w:val="20"/>
              </w:rPr>
            </w:pPr>
            <w:r w:rsidRPr="00E45B5B">
              <w:rPr>
                <w:color w:val="000000"/>
                <w:sz w:val="20"/>
                <w:szCs w:val="20"/>
              </w:rPr>
              <w:t>60</w:t>
            </w:r>
          </w:p>
        </w:tc>
      </w:tr>
      <w:tr w:rsidR="000020B9" w:rsidRPr="00E45B5B" w14:paraId="24D5D8D7" w14:textId="77777777" w:rsidTr="00EF25E1">
        <w:trPr>
          <w:trHeight w:val="300"/>
        </w:trPr>
        <w:tc>
          <w:tcPr>
            <w:tcW w:w="5516" w:type="dxa"/>
            <w:tcBorders>
              <w:top w:val="nil"/>
              <w:left w:val="nil"/>
              <w:bottom w:val="nil"/>
              <w:right w:val="nil"/>
            </w:tcBorders>
            <w:shd w:val="clear" w:color="auto" w:fill="auto"/>
            <w:noWrap/>
            <w:vAlign w:val="bottom"/>
          </w:tcPr>
          <w:p w14:paraId="5D1059DB" w14:textId="77777777" w:rsidR="000020B9" w:rsidRPr="00E45B5B" w:rsidRDefault="000020B9" w:rsidP="00EF25E1">
            <w:pPr>
              <w:rPr>
                <w:color w:val="000000"/>
                <w:sz w:val="20"/>
                <w:szCs w:val="20"/>
                <w:lang w:val="en-US"/>
              </w:rPr>
            </w:pPr>
            <w:r w:rsidRPr="00E45B5B">
              <w:rPr>
                <w:color w:val="000000"/>
                <w:sz w:val="20"/>
                <w:szCs w:val="20"/>
                <w:lang w:val="en-US"/>
              </w:rPr>
              <w:t xml:space="preserve">     p-value Test - Ho: </w:t>
            </w:r>
            <w:r>
              <w:rPr>
                <w:color w:val="000000"/>
                <w:sz w:val="20"/>
                <w:szCs w:val="20"/>
              </w:rPr>
              <w:t>Δ</w:t>
            </w:r>
            <w:r w:rsidRPr="0056585F">
              <w:rPr>
                <w:color w:val="000000"/>
                <w:sz w:val="20"/>
                <w:szCs w:val="20"/>
                <w:lang w:val="en-US"/>
              </w:rPr>
              <w:t>H</w:t>
            </w:r>
            <w:r w:rsidRPr="00E45B5B">
              <w:rPr>
                <w:color w:val="000000"/>
                <w:sz w:val="20"/>
                <w:szCs w:val="20"/>
                <w:lang w:val="en-US"/>
              </w:rPr>
              <w:t xml:space="preserve">≥0, Ha: </w:t>
            </w:r>
            <w:r>
              <w:rPr>
                <w:color w:val="000000"/>
                <w:sz w:val="20"/>
                <w:szCs w:val="20"/>
              </w:rPr>
              <w:t>Δ</w:t>
            </w:r>
            <w:r w:rsidRPr="0056585F">
              <w:rPr>
                <w:color w:val="000000"/>
                <w:sz w:val="20"/>
                <w:szCs w:val="20"/>
                <w:lang w:val="en-US"/>
              </w:rPr>
              <w:t>H</w:t>
            </w:r>
            <w:r w:rsidRPr="00E45B5B">
              <w:rPr>
                <w:color w:val="000000"/>
                <w:sz w:val="20"/>
                <w:szCs w:val="20"/>
                <w:lang w:val="en-US"/>
              </w:rPr>
              <w:t xml:space="preserve"> &lt;0 </w:t>
            </w:r>
          </w:p>
        </w:tc>
        <w:tc>
          <w:tcPr>
            <w:tcW w:w="1329" w:type="dxa"/>
            <w:tcBorders>
              <w:top w:val="nil"/>
              <w:left w:val="nil"/>
              <w:bottom w:val="nil"/>
              <w:right w:val="nil"/>
            </w:tcBorders>
            <w:shd w:val="clear" w:color="auto" w:fill="auto"/>
            <w:noWrap/>
            <w:vAlign w:val="bottom"/>
          </w:tcPr>
          <w:p w14:paraId="5754039E" w14:textId="77777777" w:rsidR="000020B9" w:rsidRPr="00E45B5B" w:rsidRDefault="000020B9" w:rsidP="00EF25E1">
            <w:pPr>
              <w:jc w:val="center"/>
              <w:rPr>
                <w:color w:val="000000"/>
                <w:sz w:val="20"/>
                <w:szCs w:val="20"/>
              </w:rPr>
            </w:pPr>
            <w:r w:rsidRPr="00E45B5B">
              <w:rPr>
                <w:color w:val="000000"/>
                <w:sz w:val="20"/>
                <w:szCs w:val="20"/>
              </w:rPr>
              <w:t>0.035</w:t>
            </w:r>
          </w:p>
        </w:tc>
        <w:tc>
          <w:tcPr>
            <w:tcW w:w="1169" w:type="dxa"/>
            <w:tcBorders>
              <w:top w:val="nil"/>
              <w:left w:val="nil"/>
              <w:bottom w:val="nil"/>
              <w:right w:val="nil"/>
            </w:tcBorders>
            <w:shd w:val="clear" w:color="auto" w:fill="auto"/>
            <w:noWrap/>
            <w:vAlign w:val="bottom"/>
          </w:tcPr>
          <w:p w14:paraId="4D1BB52A" w14:textId="77777777" w:rsidR="000020B9" w:rsidRPr="00E45B5B" w:rsidRDefault="000020B9" w:rsidP="00EF25E1">
            <w:pPr>
              <w:jc w:val="center"/>
              <w:rPr>
                <w:color w:val="000000"/>
                <w:sz w:val="20"/>
                <w:szCs w:val="20"/>
              </w:rPr>
            </w:pPr>
            <w:r w:rsidRPr="00E45B5B">
              <w:rPr>
                <w:color w:val="000000"/>
                <w:sz w:val="20"/>
                <w:szCs w:val="20"/>
              </w:rPr>
              <w:t>0.054</w:t>
            </w:r>
          </w:p>
        </w:tc>
        <w:tc>
          <w:tcPr>
            <w:tcW w:w="1263" w:type="dxa"/>
            <w:tcBorders>
              <w:top w:val="nil"/>
              <w:left w:val="nil"/>
              <w:bottom w:val="nil"/>
              <w:right w:val="nil"/>
            </w:tcBorders>
            <w:shd w:val="clear" w:color="auto" w:fill="auto"/>
            <w:noWrap/>
            <w:vAlign w:val="bottom"/>
          </w:tcPr>
          <w:p w14:paraId="3B01F442" w14:textId="77777777" w:rsidR="000020B9" w:rsidRPr="00E45B5B" w:rsidRDefault="000020B9" w:rsidP="00EF25E1">
            <w:pPr>
              <w:jc w:val="center"/>
              <w:rPr>
                <w:color w:val="000000"/>
                <w:sz w:val="20"/>
                <w:szCs w:val="20"/>
              </w:rPr>
            </w:pPr>
            <w:r w:rsidRPr="00E45B5B">
              <w:rPr>
                <w:color w:val="000000"/>
                <w:sz w:val="20"/>
                <w:szCs w:val="20"/>
              </w:rPr>
              <w:t>0.060</w:t>
            </w:r>
          </w:p>
        </w:tc>
        <w:tc>
          <w:tcPr>
            <w:tcW w:w="1468" w:type="dxa"/>
            <w:tcBorders>
              <w:top w:val="nil"/>
              <w:left w:val="nil"/>
              <w:bottom w:val="nil"/>
              <w:right w:val="nil"/>
            </w:tcBorders>
            <w:shd w:val="clear" w:color="auto" w:fill="auto"/>
            <w:noWrap/>
            <w:vAlign w:val="bottom"/>
          </w:tcPr>
          <w:p w14:paraId="5504664F" w14:textId="77777777" w:rsidR="000020B9" w:rsidRPr="00E45B5B" w:rsidRDefault="000020B9" w:rsidP="00EF25E1">
            <w:pPr>
              <w:jc w:val="center"/>
              <w:rPr>
                <w:color w:val="000000"/>
                <w:sz w:val="20"/>
                <w:szCs w:val="20"/>
              </w:rPr>
            </w:pPr>
            <w:r w:rsidRPr="00E45B5B">
              <w:rPr>
                <w:color w:val="000000"/>
                <w:sz w:val="20"/>
                <w:szCs w:val="20"/>
              </w:rPr>
              <w:t>0.060</w:t>
            </w:r>
          </w:p>
        </w:tc>
      </w:tr>
      <w:tr w:rsidR="000020B9" w:rsidRPr="00E45B5B" w14:paraId="26A839F0" w14:textId="77777777" w:rsidTr="00EF25E1">
        <w:trPr>
          <w:trHeight w:val="315"/>
        </w:trPr>
        <w:tc>
          <w:tcPr>
            <w:tcW w:w="5516" w:type="dxa"/>
            <w:tcBorders>
              <w:top w:val="nil"/>
              <w:left w:val="nil"/>
              <w:bottom w:val="double" w:sz="6" w:space="0" w:color="auto"/>
              <w:right w:val="nil"/>
            </w:tcBorders>
            <w:shd w:val="clear" w:color="auto" w:fill="auto"/>
            <w:noWrap/>
          </w:tcPr>
          <w:p w14:paraId="3AEC7869" w14:textId="77777777" w:rsidR="000020B9" w:rsidRPr="00E45B5B" w:rsidRDefault="000020B9" w:rsidP="00EF25E1">
            <w:pPr>
              <w:rPr>
                <w:color w:val="000000"/>
                <w:sz w:val="20"/>
                <w:szCs w:val="20"/>
              </w:rPr>
            </w:pPr>
            <w:r w:rsidRPr="00E45B5B">
              <w:rPr>
                <w:color w:val="000000"/>
                <w:sz w:val="20"/>
                <w:szCs w:val="20"/>
              </w:rPr>
              <w:t xml:space="preserve">     Confidence Interval (95%)</w:t>
            </w:r>
          </w:p>
        </w:tc>
        <w:tc>
          <w:tcPr>
            <w:tcW w:w="1329" w:type="dxa"/>
            <w:tcBorders>
              <w:top w:val="nil"/>
              <w:left w:val="nil"/>
              <w:bottom w:val="double" w:sz="6" w:space="0" w:color="auto"/>
              <w:right w:val="nil"/>
            </w:tcBorders>
            <w:shd w:val="clear" w:color="auto" w:fill="auto"/>
            <w:noWrap/>
            <w:vAlign w:val="bottom"/>
          </w:tcPr>
          <w:p w14:paraId="1CD438DA" w14:textId="77777777" w:rsidR="000020B9" w:rsidRPr="00E45B5B" w:rsidRDefault="000020B9" w:rsidP="00EF25E1">
            <w:pPr>
              <w:jc w:val="center"/>
              <w:rPr>
                <w:color w:val="000000"/>
                <w:sz w:val="20"/>
                <w:szCs w:val="20"/>
              </w:rPr>
            </w:pPr>
            <w:r w:rsidRPr="00E45B5B">
              <w:rPr>
                <w:color w:val="000000"/>
                <w:sz w:val="20"/>
                <w:szCs w:val="20"/>
              </w:rPr>
              <w:t>-0.553/-0.027</w:t>
            </w:r>
          </w:p>
        </w:tc>
        <w:tc>
          <w:tcPr>
            <w:tcW w:w="1169" w:type="dxa"/>
            <w:tcBorders>
              <w:top w:val="nil"/>
              <w:left w:val="nil"/>
              <w:bottom w:val="double" w:sz="6" w:space="0" w:color="auto"/>
              <w:right w:val="nil"/>
            </w:tcBorders>
            <w:shd w:val="clear" w:color="auto" w:fill="auto"/>
            <w:noWrap/>
            <w:vAlign w:val="bottom"/>
          </w:tcPr>
          <w:p w14:paraId="1495BB78" w14:textId="77777777" w:rsidR="000020B9" w:rsidRPr="00E45B5B" w:rsidRDefault="000020B9" w:rsidP="00EF25E1">
            <w:pPr>
              <w:jc w:val="center"/>
              <w:rPr>
                <w:color w:val="000000"/>
                <w:sz w:val="20"/>
                <w:szCs w:val="20"/>
              </w:rPr>
            </w:pPr>
            <w:r w:rsidRPr="00E45B5B">
              <w:rPr>
                <w:color w:val="000000"/>
                <w:sz w:val="20"/>
                <w:szCs w:val="20"/>
              </w:rPr>
              <w:t>-0.507/0.006</w:t>
            </w:r>
          </w:p>
        </w:tc>
        <w:tc>
          <w:tcPr>
            <w:tcW w:w="1263" w:type="dxa"/>
            <w:tcBorders>
              <w:top w:val="nil"/>
              <w:left w:val="nil"/>
              <w:bottom w:val="double" w:sz="6" w:space="0" w:color="auto"/>
              <w:right w:val="nil"/>
            </w:tcBorders>
            <w:shd w:val="clear" w:color="auto" w:fill="auto"/>
            <w:noWrap/>
            <w:vAlign w:val="bottom"/>
          </w:tcPr>
          <w:p w14:paraId="4F45ADE1" w14:textId="77777777" w:rsidR="000020B9" w:rsidRPr="00E45B5B" w:rsidRDefault="000020B9" w:rsidP="00EF25E1">
            <w:pPr>
              <w:jc w:val="center"/>
              <w:rPr>
                <w:color w:val="000000"/>
                <w:sz w:val="20"/>
                <w:szCs w:val="20"/>
              </w:rPr>
            </w:pPr>
            <w:r w:rsidRPr="00E45B5B">
              <w:rPr>
                <w:color w:val="000000"/>
                <w:sz w:val="20"/>
                <w:szCs w:val="20"/>
              </w:rPr>
              <w:t>-0.507/0.015</w:t>
            </w:r>
          </w:p>
        </w:tc>
        <w:tc>
          <w:tcPr>
            <w:tcW w:w="1468" w:type="dxa"/>
            <w:tcBorders>
              <w:top w:val="nil"/>
              <w:left w:val="nil"/>
              <w:bottom w:val="double" w:sz="6" w:space="0" w:color="auto"/>
              <w:right w:val="nil"/>
            </w:tcBorders>
            <w:shd w:val="clear" w:color="auto" w:fill="auto"/>
            <w:noWrap/>
            <w:vAlign w:val="bottom"/>
          </w:tcPr>
          <w:p w14:paraId="3F2C6EEC" w14:textId="77777777" w:rsidR="000020B9" w:rsidRPr="00E45B5B" w:rsidRDefault="000020B9" w:rsidP="00EF25E1">
            <w:pPr>
              <w:jc w:val="center"/>
              <w:rPr>
                <w:color w:val="000000"/>
                <w:sz w:val="20"/>
                <w:szCs w:val="20"/>
              </w:rPr>
            </w:pPr>
            <w:r w:rsidRPr="00E45B5B">
              <w:rPr>
                <w:color w:val="000000"/>
                <w:sz w:val="20"/>
                <w:szCs w:val="20"/>
              </w:rPr>
              <w:t>-0.507/0.015</w:t>
            </w:r>
          </w:p>
        </w:tc>
      </w:tr>
      <w:tr w:rsidR="000020B9" w:rsidRPr="00E45B5B" w14:paraId="3D05C516" w14:textId="77777777" w:rsidTr="00EF25E1">
        <w:trPr>
          <w:trHeight w:val="315"/>
        </w:trPr>
        <w:tc>
          <w:tcPr>
            <w:tcW w:w="5516" w:type="dxa"/>
            <w:tcBorders>
              <w:top w:val="double" w:sz="6" w:space="0" w:color="auto"/>
              <w:left w:val="nil"/>
              <w:bottom w:val="single" w:sz="4" w:space="0" w:color="auto"/>
              <w:right w:val="nil"/>
            </w:tcBorders>
            <w:shd w:val="clear" w:color="auto" w:fill="auto"/>
            <w:noWrap/>
            <w:vAlign w:val="bottom"/>
          </w:tcPr>
          <w:p w14:paraId="1EC37CBD" w14:textId="77777777" w:rsidR="000020B9" w:rsidRPr="00E45B5B" w:rsidRDefault="000020B9" w:rsidP="00EF25E1">
            <w:pPr>
              <w:rPr>
                <w:color w:val="000000"/>
                <w:sz w:val="20"/>
                <w:szCs w:val="20"/>
              </w:rPr>
            </w:pPr>
            <w:r w:rsidRPr="00E45B5B">
              <w:rPr>
                <w:color w:val="000000"/>
                <w:sz w:val="20"/>
                <w:szCs w:val="20"/>
              </w:rPr>
              <w:t>Observations</w:t>
            </w:r>
          </w:p>
        </w:tc>
        <w:tc>
          <w:tcPr>
            <w:tcW w:w="1329" w:type="dxa"/>
            <w:tcBorders>
              <w:top w:val="double" w:sz="6" w:space="0" w:color="auto"/>
              <w:left w:val="nil"/>
              <w:bottom w:val="single" w:sz="4" w:space="0" w:color="auto"/>
              <w:right w:val="nil"/>
            </w:tcBorders>
            <w:shd w:val="clear" w:color="auto" w:fill="auto"/>
            <w:noWrap/>
            <w:vAlign w:val="bottom"/>
          </w:tcPr>
          <w:p w14:paraId="4C951C40" w14:textId="77777777" w:rsidR="000020B9" w:rsidRPr="00E45B5B" w:rsidRDefault="000020B9" w:rsidP="00EF25E1">
            <w:pPr>
              <w:jc w:val="center"/>
              <w:rPr>
                <w:color w:val="000000"/>
                <w:sz w:val="20"/>
                <w:szCs w:val="20"/>
              </w:rPr>
            </w:pPr>
            <w:r w:rsidRPr="00E45B5B">
              <w:rPr>
                <w:color w:val="000000"/>
                <w:sz w:val="20"/>
                <w:szCs w:val="20"/>
              </w:rPr>
              <w:t>1,776</w:t>
            </w:r>
          </w:p>
        </w:tc>
        <w:tc>
          <w:tcPr>
            <w:tcW w:w="1169" w:type="dxa"/>
            <w:tcBorders>
              <w:top w:val="double" w:sz="6" w:space="0" w:color="auto"/>
              <w:left w:val="nil"/>
              <w:bottom w:val="single" w:sz="4" w:space="0" w:color="auto"/>
              <w:right w:val="nil"/>
            </w:tcBorders>
            <w:shd w:val="clear" w:color="auto" w:fill="auto"/>
            <w:noWrap/>
            <w:vAlign w:val="bottom"/>
          </w:tcPr>
          <w:p w14:paraId="0F69A8EE" w14:textId="77777777" w:rsidR="000020B9" w:rsidRPr="00E45B5B" w:rsidRDefault="000020B9" w:rsidP="00EF25E1">
            <w:pPr>
              <w:jc w:val="center"/>
              <w:rPr>
                <w:color w:val="000000"/>
                <w:sz w:val="20"/>
                <w:szCs w:val="20"/>
              </w:rPr>
            </w:pPr>
            <w:r w:rsidRPr="00E45B5B">
              <w:rPr>
                <w:color w:val="000000"/>
                <w:sz w:val="20"/>
                <w:szCs w:val="20"/>
              </w:rPr>
              <w:t>1,776</w:t>
            </w:r>
          </w:p>
        </w:tc>
        <w:tc>
          <w:tcPr>
            <w:tcW w:w="1263" w:type="dxa"/>
            <w:tcBorders>
              <w:top w:val="double" w:sz="6" w:space="0" w:color="auto"/>
              <w:left w:val="nil"/>
              <w:bottom w:val="single" w:sz="4" w:space="0" w:color="auto"/>
              <w:right w:val="nil"/>
            </w:tcBorders>
            <w:shd w:val="clear" w:color="auto" w:fill="auto"/>
            <w:noWrap/>
            <w:vAlign w:val="bottom"/>
          </w:tcPr>
          <w:p w14:paraId="63827898" w14:textId="77777777" w:rsidR="000020B9" w:rsidRPr="00E45B5B" w:rsidRDefault="000020B9" w:rsidP="00EF25E1">
            <w:pPr>
              <w:jc w:val="center"/>
              <w:rPr>
                <w:color w:val="000000"/>
                <w:sz w:val="20"/>
                <w:szCs w:val="20"/>
              </w:rPr>
            </w:pPr>
            <w:r w:rsidRPr="00E45B5B">
              <w:rPr>
                <w:color w:val="000000"/>
                <w:sz w:val="20"/>
                <w:szCs w:val="20"/>
              </w:rPr>
              <w:t>1,776</w:t>
            </w:r>
          </w:p>
        </w:tc>
        <w:tc>
          <w:tcPr>
            <w:tcW w:w="1468" w:type="dxa"/>
            <w:tcBorders>
              <w:top w:val="double" w:sz="6" w:space="0" w:color="auto"/>
              <w:left w:val="nil"/>
              <w:bottom w:val="single" w:sz="4" w:space="0" w:color="auto"/>
              <w:right w:val="nil"/>
            </w:tcBorders>
            <w:shd w:val="clear" w:color="auto" w:fill="auto"/>
            <w:noWrap/>
            <w:vAlign w:val="bottom"/>
          </w:tcPr>
          <w:p w14:paraId="1F5939A9" w14:textId="77777777" w:rsidR="000020B9" w:rsidRPr="00E45B5B" w:rsidRDefault="000020B9" w:rsidP="00EF25E1">
            <w:pPr>
              <w:jc w:val="center"/>
              <w:rPr>
                <w:color w:val="000000"/>
                <w:sz w:val="20"/>
                <w:szCs w:val="20"/>
              </w:rPr>
            </w:pPr>
            <w:r w:rsidRPr="00E45B5B">
              <w:rPr>
                <w:color w:val="000000"/>
                <w:sz w:val="20"/>
                <w:szCs w:val="20"/>
              </w:rPr>
              <w:t>1,776</w:t>
            </w:r>
          </w:p>
        </w:tc>
      </w:tr>
      <w:tr w:rsidR="000020B9" w:rsidRPr="00E45B5B" w14:paraId="2A214DEA" w14:textId="77777777" w:rsidTr="00EF25E1">
        <w:trPr>
          <w:trHeight w:val="315"/>
        </w:trPr>
        <w:tc>
          <w:tcPr>
            <w:tcW w:w="5516" w:type="dxa"/>
            <w:tcBorders>
              <w:top w:val="single" w:sz="4" w:space="0" w:color="auto"/>
              <w:left w:val="nil"/>
              <w:bottom w:val="double" w:sz="6" w:space="0" w:color="auto"/>
              <w:right w:val="nil"/>
            </w:tcBorders>
            <w:shd w:val="clear" w:color="auto" w:fill="auto"/>
            <w:noWrap/>
            <w:vAlign w:val="bottom"/>
          </w:tcPr>
          <w:p w14:paraId="2166BBC7" w14:textId="77777777" w:rsidR="000020B9" w:rsidRPr="00E45B5B" w:rsidRDefault="000020B9" w:rsidP="00EF25E1">
            <w:pPr>
              <w:rPr>
                <w:color w:val="000000"/>
                <w:sz w:val="20"/>
                <w:szCs w:val="20"/>
              </w:rPr>
            </w:pPr>
            <w:r w:rsidRPr="00E45B5B">
              <w:rPr>
                <w:color w:val="000000"/>
                <w:sz w:val="20"/>
                <w:szCs w:val="20"/>
              </w:rPr>
              <w:lastRenderedPageBreak/>
              <w:t>R-Square</w:t>
            </w:r>
          </w:p>
        </w:tc>
        <w:tc>
          <w:tcPr>
            <w:tcW w:w="1329" w:type="dxa"/>
            <w:tcBorders>
              <w:top w:val="single" w:sz="4" w:space="0" w:color="auto"/>
              <w:left w:val="nil"/>
              <w:bottom w:val="double" w:sz="6" w:space="0" w:color="auto"/>
              <w:right w:val="nil"/>
            </w:tcBorders>
            <w:shd w:val="clear" w:color="auto" w:fill="auto"/>
            <w:noWrap/>
            <w:vAlign w:val="bottom"/>
          </w:tcPr>
          <w:p w14:paraId="7D3E9283" w14:textId="77777777" w:rsidR="000020B9" w:rsidRPr="00E45B5B" w:rsidRDefault="000020B9" w:rsidP="00EF25E1">
            <w:pPr>
              <w:jc w:val="center"/>
              <w:rPr>
                <w:color w:val="000000"/>
                <w:sz w:val="20"/>
                <w:szCs w:val="20"/>
              </w:rPr>
            </w:pPr>
            <w:r w:rsidRPr="00E45B5B">
              <w:rPr>
                <w:color w:val="000000"/>
                <w:sz w:val="20"/>
                <w:szCs w:val="20"/>
              </w:rPr>
              <w:t xml:space="preserve">0.395   </w:t>
            </w:r>
          </w:p>
        </w:tc>
        <w:tc>
          <w:tcPr>
            <w:tcW w:w="1169" w:type="dxa"/>
            <w:tcBorders>
              <w:top w:val="single" w:sz="4" w:space="0" w:color="auto"/>
              <w:left w:val="nil"/>
              <w:bottom w:val="double" w:sz="6" w:space="0" w:color="auto"/>
              <w:right w:val="nil"/>
            </w:tcBorders>
            <w:shd w:val="clear" w:color="auto" w:fill="auto"/>
            <w:noWrap/>
            <w:vAlign w:val="bottom"/>
          </w:tcPr>
          <w:p w14:paraId="6487A7E5" w14:textId="77777777" w:rsidR="000020B9" w:rsidRPr="00E45B5B" w:rsidRDefault="000020B9" w:rsidP="00EF25E1">
            <w:pPr>
              <w:jc w:val="center"/>
              <w:rPr>
                <w:color w:val="000000"/>
                <w:sz w:val="20"/>
                <w:szCs w:val="20"/>
              </w:rPr>
            </w:pPr>
            <w:r w:rsidRPr="00E45B5B">
              <w:rPr>
                <w:color w:val="000000"/>
                <w:sz w:val="20"/>
                <w:szCs w:val="20"/>
              </w:rPr>
              <w:t xml:space="preserve">0.455   </w:t>
            </w:r>
          </w:p>
        </w:tc>
        <w:tc>
          <w:tcPr>
            <w:tcW w:w="1263" w:type="dxa"/>
            <w:tcBorders>
              <w:top w:val="single" w:sz="4" w:space="0" w:color="auto"/>
              <w:left w:val="nil"/>
              <w:bottom w:val="double" w:sz="6" w:space="0" w:color="auto"/>
              <w:right w:val="nil"/>
            </w:tcBorders>
            <w:shd w:val="clear" w:color="auto" w:fill="auto"/>
            <w:noWrap/>
            <w:vAlign w:val="bottom"/>
          </w:tcPr>
          <w:p w14:paraId="4340E338" w14:textId="77777777" w:rsidR="000020B9" w:rsidRPr="00E45B5B" w:rsidRDefault="000020B9" w:rsidP="00EF25E1">
            <w:pPr>
              <w:jc w:val="center"/>
              <w:rPr>
                <w:color w:val="000000"/>
                <w:sz w:val="20"/>
                <w:szCs w:val="20"/>
              </w:rPr>
            </w:pPr>
            <w:r w:rsidRPr="00E45B5B">
              <w:rPr>
                <w:color w:val="000000"/>
                <w:sz w:val="20"/>
                <w:szCs w:val="20"/>
              </w:rPr>
              <w:t xml:space="preserve">0.455   </w:t>
            </w:r>
          </w:p>
        </w:tc>
        <w:tc>
          <w:tcPr>
            <w:tcW w:w="1468" w:type="dxa"/>
            <w:tcBorders>
              <w:top w:val="single" w:sz="4" w:space="0" w:color="auto"/>
              <w:left w:val="nil"/>
              <w:bottom w:val="double" w:sz="6" w:space="0" w:color="auto"/>
              <w:right w:val="nil"/>
            </w:tcBorders>
            <w:shd w:val="clear" w:color="auto" w:fill="auto"/>
            <w:noWrap/>
            <w:vAlign w:val="bottom"/>
          </w:tcPr>
          <w:p w14:paraId="2B59ABD1" w14:textId="77777777" w:rsidR="000020B9" w:rsidRPr="00E45B5B" w:rsidRDefault="000020B9" w:rsidP="00EF25E1">
            <w:pPr>
              <w:jc w:val="center"/>
              <w:rPr>
                <w:color w:val="000000"/>
                <w:sz w:val="20"/>
                <w:szCs w:val="20"/>
              </w:rPr>
            </w:pPr>
            <w:r w:rsidRPr="00E45B5B">
              <w:rPr>
                <w:color w:val="000000"/>
                <w:sz w:val="20"/>
                <w:szCs w:val="20"/>
              </w:rPr>
              <w:t xml:space="preserve">0.456   </w:t>
            </w:r>
          </w:p>
        </w:tc>
      </w:tr>
      <w:tr w:rsidR="000020B9" w:rsidRPr="00E45B5B" w14:paraId="0F0E1BE0" w14:textId="77777777" w:rsidTr="00EF25E1">
        <w:trPr>
          <w:trHeight w:val="315"/>
        </w:trPr>
        <w:tc>
          <w:tcPr>
            <w:tcW w:w="5516" w:type="dxa"/>
            <w:tcBorders>
              <w:top w:val="nil"/>
              <w:left w:val="nil"/>
              <w:bottom w:val="double" w:sz="6" w:space="0" w:color="auto"/>
              <w:right w:val="nil"/>
            </w:tcBorders>
            <w:shd w:val="clear" w:color="auto" w:fill="auto"/>
            <w:noWrap/>
            <w:vAlign w:val="bottom"/>
          </w:tcPr>
          <w:p w14:paraId="5AB6CD71" w14:textId="77777777" w:rsidR="000020B9" w:rsidRPr="00E45B5B" w:rsidRDefault="000020B9" w:rsidP="00EF25E1">
            <w:pPr>
              <w:rPr>
                <w:color w:val="000000"/>
                <w:sz w:val="20"/>
                <w:szCs w:val="20"/>
              </w:rPr>
            </w:pPr>
            <w:r w:rsidRPr="00E45B5B">
              <w:rPr>
                <w:color w:val="000000"/>
                <w:sz w:val="20"/>
                <w:szCs w:val="20"/>
              </w:rPr>
              <w:t>Fixed Effects</w:t>
            </w:r>
          </w:p>
        </w:tc>
        <w:tc>
          <w:tcPr>
            <w:tcW w:w="1329" w:type="dxa"/>
            <w:tcBorders>
              <w:top w:val="nil"/>
              <w:left w:val="nil"/>
              <w:bottom w:val="double" w:sz="6" w:space="0" w:color="auto"/>
              <w:right w:val="nil"/>
            </w:tcBorders>
            <w:shd w:val="clear" w:color="auto" w:fill="auto"/>
            <w:noWrap/>
            <w:vAlign w:val="bottom"/>
          </w:tcPr>
          <w:p w14:paraId="31F4542C" w14:textId="77777777" w:rsidR="000020B9" w:rsidRPr="00E45B5B" w:rsidRDefault="000020B9" w:rsidP="00EF25E1">
            <w:pPr>
              <w:jc w:val="center"/>
              <w:rPr>
                <w:color w:val="000000"/>
                <w:sz w:val="20"/>
                <w:szCs w:val="20"/>
              </w:rPr>
            </w:pPr>
            <w:r w:rsidRPr="00E45B5B">
              <w:rPr>
                <w:color w:val="000000"/>
                <w:sz w:val="20"/>
                <w:szCs w:val="20"/>
              </w:rPr>
              <w:t> </w:t>
            </w:r>
          </w:p>
        </w:tc>
        <w:tc>
          <w:tcPr>
            <w:tcW w:w="1169" w:type="dxa"/>
            <w:tcBorders>
              <w:top w:val="nil"/>
              <w:left w:val="nil"/>
              <w:bottom w:val="double" w:sz="6" w:space="0" w:color="auto"/>
              <w:right w:val="nil"/>
            </w:tcBorders>
            <w:shd w:val="clear" w:color="auto" w:fill="auto"/>
            <w:noWrap/>
            <w:vAlign w:val="bottom"/>
          </w:tcPr>
          <w:p w14:paraId="054DF9F3" w14:textId="77777777" w:rsidR="000020B9" w:rsidRPr="00E45B5B" w:rsidRDefault="000020B9" w:rsidP="00EF25E1">
            <w:pPr>
              <w:jc w:val="center"/>
              <w:rPr>
                <w:color w:val="000000"/>
                <w:sz w:val="20"/>
                <w:szCs w:val="20"/>
              </w:rPr>
            </w:pPr>
            <w:r w:rsidRPr="00E45B5B">
              <w:rPr>
                <w:color w:val="000000"/>
                <w:sz w:val="20"/>
                <w:szCs w:val="20"/>
              </w:rPr>
              <w:t> </w:t>
            </w:r>
          </w:p>
        </w:tc>
        <w:tc>
          <w:tcPr>
            <w:tcW w:w="1263" w:type="dxa"/>
            <w:tcBorders>
              <w:top w:val="nil"/>
              <w:left w:val="nil"/>
              <w:bottom w:val="double" w:sz="6" w:space="0" w:color="auto"/>
              <w:right w:val="nil"/>
            </w:tcBorders>
            <w:shd w:val="clear" w:color="auto" w:fill="auto"/>
            <w:noWrap/>
            <w:vAlign w:val="bottom"/>
          </w:tcPr>
          <w:p w14:paraId="1B7A8A37" w14:textId="77777777" w:rsidR="000020B9" w:rsidRPr="00E45B5B" w:rsidRDefault="000020B9" w:rsidP="00EF25E1">
            <w:pPr>
              <w:jc w:val="center"/>
              <w:rPr>
                <w:color w:val="000000"/>
                <w:sz w:val="20"/>
                <w:szCs w:val="20"/>
              </w:rPr>
            </w:pPr>
            <w:r w:rsidRPr="00E45B5B">
              <w:rPr>
                <w:color w:val="000000"/>
                <w:sz w:val="20"/>
                <w:szCs w:val="20"/>
              </w:rPr>
              <w:t> </w:t>
            </w:r>
          </w:p>
        </w:tc>
        <w:tc>
          <w:tcPr>
            <w:tcW w:w="1468" w:type="dxa"/>
            <w:tcBorders>
              <w:top w:val="nil"/>
              <w:left w:val="nil"/>
              <w:bottom w:val="double" w:sz="6" w:space="0" w:color="auto"/>
              <w:right w:val="nil"/>
            </w:tcBorders>
            <w:shd w:val="clear" w:color="auto" w:fill="auto"/>
            <w:noWrap/>
            <w:vAlign w:val="bottom"/>
          </w:tcPr>
          <w:p w14:paraId="47151687" w14:textId="77777777" w:rsidR="000020B9" w:rsidRPr="00E45B5B" w:rsidRDefault="000020B9" w:rsidP="00EF25E1">
            <w:pPr>
              <w:jc w:val="center"/>
              <w:rPr>
                <w:color w:val="000000"/>
                <w:sz w:val="20"/>
                <w:szCs w:val="20"/>
              </w:rPr>
            </w:pPr>
            <w:r w:rsidRPr="00E45B5B">
              <w:rPr>
                <w:color w:val="000000"/>
                <w:sz w:val="20"/>
                <w:szCs w:val="20"/>
              </w:rPr>
              <w:t> </w:t>
            </w:r>
          </w:p>
        </w:tc>
      </w:tr>
      <w:tr w:rsidR="000020B9" w:rsidRPr="00E45B5B" w14:paraId="2CAE92DA" w14:textId="77777777" w:rsidTr="00EF25E1">
        <w:trPr>
          <w:trHeight w:val="315"/>
        </w:trPr>
        <w:tc>
          <w:tcPr>
            <w:tcW w:w="5516" w:type="dxa"/>
            <w:tcBorders>
              <w:top w:val="nil"/>
              <w:left w:val="nil"/>
              <w:bottom w:val="nil"/>
              <w:right w:val="nil"/>
            </w:tcBorders>
            <w:shd w:val="clear" w:color="auto" w:fill="auto"/>
            <w:noWrap/>
            <w:vAlign w:val="bottom"/>
          </w:tcPr>
          <w:p w14:paraId="2B502A42" w14:textId="77777777" w:rsidR="000020B9" w:rsidRPr="00E45B5B" w:rsidRDefault="000020B9" w:rsidP="00EF25E1">
            <w:pPr>
              <w:rPr>
                <w:color w:val="000000"/>
                <w:sz w:val="20"/>
                <w:szCs w:val="20"/>
              </w:rPr>
            </w:pPr>
            <w:r w:rsidRPr="00E45B5B">
              <w:rPr>
                <w:color w:val="000000"/>
                <w:sz w:val="20"/>
                <w:szCs w:val="20"/>
              </w:rPr>
              <w:t>BankFixed-Effect</w:t>
            </w:r>
          </w:p>
        </w:tc>
        <w:tc>
          <w:tcPr>
            <w:tcW w:w="1329" w:type="dxa"/>
            <w:tcBorders>
              <w:top w:val="nil"/>
              <w:left w:val="nil"/>
              <w:bottom w:val="nil"/>
              <w:right w:val="nil"/>
            </w:tcBorders>
            <w:shd w:val="clear" w:color="auto" w:fill="auto"/>
            <w:noWrap/>
            <w:vAlign w:val="bottom"/>
          </w:tcPr>
          <w:p w14:paraId="3D71DD33" w14:textId="77777777" w:rsidR="000020B9" w:rsidRPr="00E45B5B" w:rsidRDefault="000020B9" w:rsidP="00EF25E1">
            <w:pPr>
              <w:jc w:val="center"/>
              <w:rPr>
                <w:color w:val="000000"/>
                <w:sz w:val="20"/>
                <w:szCs w:val="20"/>
              </w:rPr>
            </w:pPr>
            <w:r w:rsidRPr="00E45B5B">
              <w:rPr>
                <w:color w:val="000000"/>
                <w:sz w:val="20"/>
                <w:szCs w:val="20"/>
              </w:rPr>
              <w:t>Yes</w:t>
            </w:r>
          </w:p>
        </w:tc>
        <w:tc>
          <w:tcPr>
            <w:tcW w:w="1169" w:type="dxa"/>
            <w:tcBorders>
              <w:top w:val="nil"/>
              <w:left w:val="nil"/>
              <w:bottom w:val="nil"/>
              <w:right w:val="nil"/>
            </w:tcBorders>
            <w:shd w:val="clear" w:color="auto" w:fill="auto"/>
            <w:noWrap/>
            <w:vAlign w:val="bottom"/>
          </w:tcPr>
          <w:p w14:paraId="543FC258" w14:textId="77777777" w:rsidR="000020B9" w:rsidRPr="00E45B5B" w:rsidRDefault="000020B9" w:rsidP="00EF25E1">
            <w:pPr>
              <w:jc w:val="center"/>
              <w:rPr>
                <w:color w:val="000000"/>
                <w:sz w:val="20"/>
                <w:szCs w:val="20"/>
              </w:rPr>
            </w:pPr>
            <w:r w:rsidRPr="00E45B5B">
              <w:rPr>
                <w:color w:val="000000"/>
                <w:sz w:val="20"/>
                <w:szCs w:val="20"/>
              </w:rPr>
              <w:t>Yes</w:t>
            </w:r>
          </w:p>
        </w:tc>
        <w:tc>
          <w:tcPr>
            <w:tcW w:w="1263" w:type="dxa"/>
            <w:tcBorders>
              <w:top w:val="nil"/>
              <w:left w:val="nil"/>
              <w:bottom w:val="nil"/>
              <w:right w:val="nil"/>
            </w:tcBorders>
            <w:shd w:val="clear" w:color="auto" w:fill="auto"/>
            <w:noWrap/>
            <w:vAlign w:val="bottom"/>
          </w:tcPr>
          <w:p w14:paraId="2D0F9B7D" w14:textId="77777777" w:rsidR="000020B9" w:rsidRPr="00E45B5B" w:rsidRDefault="000020B9" w:rsidP="00EF25E1">
            <w:pPr>
              <w:jc w:val="center"/>
              <w:rPr>
                <w:color w:val="000000"/>
                <w:sz w:val="20"/>
                <w:szCs w:val="20"/>
              </w:rPr>
            </w:pPr>
            <w:r w:rsidRPr="00E45B5B">
              <w:rPr>
                <w:color w:val="000000"/>
                <w:sz w:val="20"/>
                <w:szCs w:val="20"/>
              </w:rPr>
              <w:t>Yes</w:t>
            </w:r>
          </w:p>
        </w:tc>
        <w:tc>
          <w:tcPr>
            <w:tcW w:w="1468" w:type="dxa"/>
            <w:tcBorders>
              <w:top w:val="nil"/>
              <w:left w:val="nil"/>
              <w:bottom w:val="nil"/>
              <w:right w:val="nil"/>
            </w:tcBorders>
            <w:shd w:val="clear" w:color="auto" w:fill="auto"/>
            <w:noWrap/>
            <w:vAlign w:val="bottom"/>
          </w:tcPr>
          <w:p w14:paraId="4ACCC501" w14:textId="77777777" w:rsidR="000020B9" w:rsidRPr="00E45B5B" w:rsidRDefault="000020B9" w:rsidP="00EF25E1">
            <w:pPr>
              <w:jc w:val="center"/>
              <w:rPr>
                <w:color w:val="000000"/>
                <w:sz w:val="20"/>
                <w:szCs w:val="20"/>
              </w:rPr>
            </w:pPr>
            <w:r w:rsidRPr="00E45B5B">
              <w:rPr>
                <w:color w:val="000000"/>
                <w:sz w:val="20"/>
                <w:szCs w:val="20"/>
              </w:rPr>
              <w:t>Yes</w:t>
            </w:r>
          </w:p>
        </w:tc>
      </w:tr>
      <w:tr w:rsidR="000020B9" w:rsidRPr="00E45B5B" w14:paraId="52A8D997" w14:textId="77777777" w:rsidTr="00EF25E1">
        <w:trPr>
          <w:trHeight w:val="300"/>
        </w:trPr>
        <w:tc>
          <w:tcPr>
            <w:tcW w:w="5516" w:type="dxa"/>
            <w:tcBorders>
              <w:top w:val="nil"/>
              <w:left w:val="nil"/>
              <w:bottom w:val="nil"/>
              <w:right w:val="nil"/>
            </w:tcBorders>
            <w:shd w:val="clear" w:color="auto" w:fill="auto"/>
            <w:noWrap/>
            <w:vAlign w:val="bottom"/>
          </w:tcPr>
          <w:p w14:paraId="404486B8" w14:textId="77777777" w:rsidR="000020B9" w:rsidRPr="00E45B5B" w:rsidRDefault="000020B9" w:rsidP="00EF25E1">
            <w:pPr>
              <w:rPr>
                <w:color w:val="000000"/>
                <w:sz w:val="20"/>
                <w:szCs w:val="20"/>
              </w:rPr>
            </w:pPr>
            <w:r w:rsidRPr="00E45B5B">
              <w:rPr>
                <w:color w:val="000000"/>
                <w:sz w:val="20"/>
                <w:szCs w:val="20"/>
              </w:rPr>
              <w:t>Month Fixed-Effect</w:t>
            </w:r>
          </w:p>
        </w:tc>
        <w:tc>
          <w:tcPr>
            <w:tcW w:w="1329" w:type="dxa"/>
            <w:tcBorders>
              <w:top w:val="nil"/>
              <w:left w:val="nil"/>
              <w:bottom w:val="nil"/>
              <w:right w:val="nil"/>
            </w:tcBorders>
            <w:shd w:val="clear" w:color="auto" w:fill="auto"/>
            <w:noWrap/>
            <w:vAlign w:val="bottom"/>
          </w:tcPr>
          <w:p w14:paraId="1FF10C4C" w14:textId="77777777" w:rsidR="000020B9" w:rsidRPr="00E45B5B" w:rsidRDefault="000020B9" w:rsidP="00EF25E1">
            <w:pPr>
              <w:jc w:val="center"/>
              <w:rPr>
                <w:color w:val="000000"/>
                <w:sz w:val="20"/>
                <w:szCs w:val="20"/>
              </w:rPr>
            </w:pPr>
            <w:r w:rsidRPr="00E45B5B">
              <w:rPr>
                <w:color w:val="000000"/>
                <w:sz w:val="20"/>
                <w:szCs w:val="20"/>
              </w:rPr>
              <w:t>Yes</w:t>
            </w:r>
          </w:p>
        </w:tc>
        <w:tc>
          <w:tcPr>
            <w:tcW w:w="1169" w:type="dxa"/>
            <w:tcBorders>
              <w:top w:val="nil"/>
              <w:left w:val="nil"/>
              <w:bottom w:val="nil"/>
              <w:right w:val="nil"/>
            </w:tcBorders>
            <w:shd w:val="clear" w:color="auto" w:fill="auto"/>
            <w:noWrap/>
            <w:vAlign w:val="bottom"/>
          </w:tcPr>
          <w:p w14:paraId="7D719613" w14:textId="77777777" w:rsidR="000020B9" w:rsidRPr="00E45B5B" w:rsidRDefault="000020B9" w:rsidP="00EF25E1">
            <w:pPr>
              <w:jc w:val="center"/>
              <w:rPr>
                <w:color w:val="000000"/>
                <w:sz w:val="20"/>
                <w:szCs w:val="20"/>
              </w:rPr>
            </w:pPr>
            <w:r w:rsidRPr="00E45B5B">
              <w:rPr>
                <w:color w:val="000000"/>
                <w:sz w:val="20"/>
                <w:szCs w:val="20"/>
              </w:rPr>
              <w:t>Yes</w:t>
            </w:r>
          </w:p>
        </w:tc>
        <w:tc>
          <w:tcPr>
            <w:tcW w:w="1263" w:type="dxa"/>
            <w:tcBorders>
              <w:top w:val="nil"/>
              <w:left w:val="nil"/>
              <w:bottom w:val="nil"/>
              <w:right w:val="nil"/>
            </w:tcBorders>
            <w:shd w:val="clear" w:color="auto" w:fill="auto"/>
            <w:noWrap/>
            <w:vAlign w:val="bottom"/>
          </w:tcPr>
          <w:p w14:paraId="09974846" w14:textId="77777777" w:rsidR="000020B9" w:rsidRPr="00E45B5B" w:rsidRDefault="000020B9" w:rsidP="00EF25E1">
            <w:pPr>
              <w:jc w:val="center"/>
              <w:rPr>
                <w:color w:val="000000"/>
                <w:sz w:val="20"/>
                <w:szCs w:val="20"/>
              </w:rPr>
            </w:pPr>
            <w:r w:rsidRPr="00E45B5B">
              <w:rPr>
                <w:color w:val="000000"/>
                <w:sz w:val="20"/>
                <w:szCs w:val="20"/>
              </w:rPr>
              <w:t>Yes</w:t>
            </w:r>
          </w:p>
        </w:tc>
        <w:tc>
          <w:tcPr>
            <w:tcW w:w="1468" w:type="dxa"/>
            <w:tcBorders>
              <w:top w:val="nil"/>
              <w:left w:val="nil"/>
              <w:bottom w:val="nil"/>
              <w:right w:val="nil"/>
            </w:tcBorders>
            <w:shd w:val="clear" w:color="auto" w:fill="auto"/>
            <w:noWrap/>
            <w:vAlign w:val="bottom"/>
          </w:tcPr>
          <w:p w14:paraId="0BBC522A" w14:textId="77777777" w:rsidR="000020B9" w:rsidRPr="00E45B5B" w:rsidRDefault="000020B9" w:rsidP="00EF25E1">
            <w:pPr>
              <w:jc w:val="center"/>
              <w:rPr>
                <w:color w:val="000000"/>
                <w:sz w:val="20"/>
                <w:szCs w:val="20"/>
              </w:rPr>
            </w:pPr>
            <w:r w:rsidRPr="00E45B5B">
              <w:rPr>
                <w:color w:val="000000"/>
                <w:sz w:val="20"/>
                <w:szCs w:val="20"/>
              </w:rPr>
              <w:t>Yes</w:t>
            </w:r>
          </w:p>
        </w:tc>
      </w:tr>
      <w:tr w:rsidR="000020B9" w:rsidRPr="00E45B5B" w14:paraId="2850456F" w14:textId="77777777" w:rsidTr="00EF25E1">
        <w:trPr>
          <w:trHeight w:val="315"/>
        </w:trPr>
        <w:tc>
          <w:tcPr>
            <w:tcW w:w="5516" w:type="dxa"/>
            <w:tcBorders>
              <w:top w:val="nil"/>
              <w:left w:val="nil"/>
              <w:bottom w:val="double" w:sz="6" w:space="0" w:color="auto"/>
              <w:right w:val="nil"/>
            </w:tcBorders>
            <w:shd w:val="clear" w:color="auto" w:fill="auto"/>
            <w:noWrap/>
            <w:vAlign w:val="bottom"/>
          </w:tcPr>
          <w:p w14:paraId="32B068DF" w14:textId="77777777" w:rsidR="000020B9" w:rsidRPr="00E45B5B" w:rsidRDefault="000020B9" w:rsidP="00EF25E1">
            <w:pPr>
              <w:rPr>
                <w:color w:val="000000"/>
                <w:sz w:val="20"/>
                <w:szCs w:val="20"/>
              </w:rPr>
            </w:pPr>
            <w:r w:rsidRPr="00E45B5B">
              <w:rPr>
                <w:color w:val="000000"/>
                <w:sz w:val="20"/>
                <w:szCs w:val="20"/>
              </w:rPr>
              <w:t>Year Fixed-Effect</w:t>
            </w:r>
          </w:p>
        </w:tc>
        <w:tc>
          <w:tcPr>
            <w:tcW w:w="1329" w:type="dxa"/>
            <w:tcBorders>
              <w:top w:val="nil"/>
              <w:left w:val="nil"/>
              <w:bottom w:val="double" w:sz="6" w:space="0" w:color="auto"/>
              <w:right w:val="nil"/>
            </w:tcBorders>
            <w:shd w:val="clear" w:color="auto" w:fill="auto"/>
            <w:noWrap/>
            <w:vAlign w:val="bottom"/>
          </w:tcPr>
          <w:p w14:paraId="34B405E2" w14:textId="77777777" w:rsidR="000020B9" w:rsidRPr="00E45B5B" w:rsidRDefault="000020B9" w:rsidP="00EF25E1">
            <w:pPr>
              <w:jc w:val="center"/>
              <w:rPr>
                <w:color w:val="000000"/>
                <w:sz w:val="20"/>
                <w:szCs w:val="20"/>
              </w:rPr>
            </w:pPr>
            <w:r w:rsidRPr="00E45B5B">
              <w:rPr>
                <w:color w:val="000000"/>
                <w:sz w:val="20"/>
                <w:szCs w:val="20"/>
              </w:rPr>
              <w:t>Yes</w:t>
            </w:r>
          </w:p>
        </w:tc>
        <w:tc>
          <w:tcPr>
            <w:tcW w:w="1169" w:type="dxa"/>
            <w:tcBorders>
              <w:top w:val="nil"/>
              <w:left w:val="nil"/>
              <w:bottom w:val="double" w:sz="6" w:space="0" w:color="auto"/>
              <w:right w:val="nil"/>
            </w:tcBorders>
            <w:shd w:val="clear" w:color="auto" w:fill="auto"/>
            <w:noWrap/>
            <w:vAlign w:val="bottom"/>
          </w:tcPr>
          <w:p w14:paraId="795284E4" w14:textId="77777777" w:rsidR="000020B9" w:rsidRPr="00E45B5B" w:rsidRDefault="000020B9" w:rsidP="00EF25E1">
            <w:pPr>
              <w:jc w:val="center"/>
              <w:rPr>
                <w:color w:val="000000"/>
                <w:sz w:val="20"/>
                <w:szCs w:val="20"/>
              </w:rPr>
            </w:pPr>
            <w:r w:rsidRPr="00E45B5B">
              <w:rPr>
                <w:color w:val="000000"/>
                <w:sz w:val="20"/>
                <w:szCs w:val="20"/>
              </w:rPr>
              <w:t>Yes</w:t>
            </w:r>
          </w:p>
        </w:tc>
        <w:tc>
          <w:tcPr>
            <w:tcW w:w="1263" w:type="dxa"/>
            <w:tcBorders>
              <w:top w:val="nil"/>
              <w:left w:val="nil"/>
              <w:bottom w:val="double" w:sz="6" w:space="0" w:color="auto"/>
              <w:right w:val="nil"/>
            </w:tcBorders>
            <w:shd w:val="clear" w:color="auto" w:fill="auto"/>
            <w:noWrap/>
            <w:vAlign w:val="bottom"/>
          </w:tcPr>
          <w:p w14:paraId="6DC11E34" w14:textId="77777777" w:rsidR="000020B9" w:rsidRPr="00E45B5B" w:rsidRDefault="000020B9" w:rsidP="00EF25E1">
            <w:pPr>
              <w:jc w:val="center"/>
              <w:rPr>
                <w:color w:val="000000"/>
                <w:sz w:val="20"/>
                <w:szCs w:val="20"/>
              </w:rPr>
            </w:pPr>
            <w:r w:rsidRPr="00E45B5B">
              <w:rPr>
                <w:color w:val="000000"/>
                <w:sz w:val="20"/>
                <w:szCs w:val="20"/>
              </w:rPr>
              <w:t>Yes</w:t>
            </w:r>
          </w:p>
        </w:tc>
        <w:tc>
          <w:tcPr>
            <w:tcW w:w="1468" w:type="dxa"/>
            <w:tcBorders>
              <w:top w:val="nil"/>
              <w:left w:val="nil"/>
              <w:bottom w:val="double" w:sz="6" w:space="0" w:color="auto"/>
              <w:right w:val="nil"/>
            </w:tcBorders>
            <w:shd w:val="clear" w:color="auto" w:fill="auto"/>
            <w:noWrap/>
            <w:vAlign w:val="bottom"/>
          </w:tcPr>
          <w:p w14:paraId="24B0A901" w14:textId="77777777" w:rsidR="000020B9" w:rsidRPr="00E45B5B" w:rsidRDefault="000020B9" w:rsidP="00EF25E1">
            <w:pPr>
              <w:jc w:val="center"/>
              <w:rPr>
                <w:color w:val="000000"/>
                <w:sz w:val="20"/>
                <w:szCs w:val="20"/>
              </w:rPr>
            </w:pPr>
            <w:r w:rsidRPr="00E45B5B">
              <w:rPr>
                <w:color w:val="000000"/>
                <w:sz w:val="20"/>
                <w:szCs w:val="20"/>
              </w:rPr>
              <w:t>Yes</w:t>
            </w:r>
          </w:p>
        </w:tc>
      </w:tr>
      <w:tr w:rsidR="000020B9" w:rsidRPr="00E45B5B" w14:paraId="4E1505D0" w14:textId="77777777" w:rsidTr="00EF25E1">
        <w:trPr>
          <w:trHeight w:val="315"/>
        </w:trPr>
        <w:tc>
          <w:tcPr>
            <w:tcW w:w="6845" w:type="dxa"/>
            <w:gridSpan w:val="2"/>
            <w:tcBorders>
              <w:top w:val="nil"/>
              <w:left w:val="nil"/>
              <w:bottom w:val="nil"/>
              <w:right w:val="nil"/>
            </w:tcBorders>
            <w:shd w:val="clear" w:color="auto" w:fill="auto"/>
            <w:noWrap/>
            <w:vAlign w:val="bottom"/>
          </w:tcPr>
          <w:p w14:paraId="2A848466" w14:textId="77777777" w:rsidR="000020B9" w:rsidRPr="00E45B5B" w:rsidRDefault="000020B9" w:rsidP="00EF25E1">
            <w:pPr>
              <w:rPr>
                <w:color w:val="000000"/>
                <w:sz w:val="20"/>
                <w:szCs w:val="20"/>
                <w:lang w:val="en-US"/>
              </w:rPr>
            </w:pPr>
            <w:r w:rsidRPr="00E45B5B">
              <w:rPr>
                <w:color w:val="000000"/>
                <w:sz w:val="20"/>
                <w:szCs w:val="20"/>
                <w:lang w:val="en-US"/>
              </w:rPr>
              <w:t>Robust standard errors in parenthesis.</w:t>
            </w:r>
          </w:p>
        </w:tc>
        <w:tc>
          <w:tcPr>
            <w:tcW w:w="1169" w:type="dxa"/>
            <w:tcBorders>
              <w:top w:val="nil"/>
              <w:left w:val="nil"/>
              <w:bottom w:val="nil"/>
              <w:right w:val="nil"/>
            </w:tcBorders>
            <w:shd w:val="clear" w:color="auto" w:fill="auto"/>
            <w:noWrap/>
            <w:vAlign w:val="bottom"/>
          </w:tcPr>
          <w:p w14:paraId="38D80510" w14:textId="77777777" w:rsidR="000020B9" w:rsidRPr="00E45B5B" w:rsidRDefault="000020B9" w:rsidP="00EF25E1">
            <w:pPr>
              <w:jc w:val="center"/>
              <w:rPr>
                <w:color w:val="000000"/>
                <w:sz w:val="20"/>
                <w:szCs w:val="20"/>
                <w:lang w:val="en-US"/>
              </w:rPr>
            </w:pPr>
          </w:p>
        </w:tc>
        <w:tc>
          <w:tcPr>
            <w:tcW w:w="1263" w:type="dxa"/>
            <w:tcBorders>
              <w:top w:val="nil"/>
              <w:left w:val="nil"/>
              <w:bottom w:val="nil"/>
              <w:right w:val="nil"/>
            </w:tcBorders>
            <w:shd w:val="clear" w:color="auto" w:fill="auto"/>
            <w:noWrap/>
            <w:vAlign w:val="bottom"/>
          </w:tcPr>
          <w:p w14:paraId="5246FFA4" w14:textId="77777777" w:rsidR="000020B9" w:rsidRPr="00E45B5B" w:rsidRDefault="000020B9" w:rsidP="00EF25E1">
            <w:pPr>
              <w:jc w:val="center"/>
              <w:rPr>
                <w:color w:val="000000"/>
                <w:sz w:val="20"/>
                <w:szCs w:val="20"/>
                <w:lang w:val="en-US"/>
              </w:rPr>
            </w:pPr>
          </w:p>
        </w:tc>
        <w:tc>
          <w:tcPr>
            <w:tcW w:w="1468" w:type="dxa"/>
            <w:tcBorders>
              <w:top w:val="nil"/>
              <w:left w:val="nil"/>
              <w:bottom w:val="nil"/>
              <w:right w:val="nil"/>
            </w:tcBorders>
            <w:shd w:val="clear" w:color="auto" w:fill="auto"/>
            <w:noWrap/>
            <w:vAlign w:val="bottom"/>
          </w:tcPr>
          <w:p w14:paraId="08CA25B3" w14:textId="77777777" w:rsidR="000020B9" w:rsidRPr="00E45B5B" w:rsidRDefault="000020B9" w:rsidP="00EF25E1">
            <w:pPr>
              <w:jc w:val="center"/>
              <w:rPr>
                <w:color w:val="000000"/>
                <w:sz w:val="20"/>
                <w:szCs w:val="20"/>
                <w:lang w:val="en-US"/>
              </w:rPr>
            </w:pPr>
          </w:p>
        </w:tc>
      </w:tr>
      <w:tr w:rsidR="000020B9" w:rsidRPr="00E45B5B" w14:paraId="0B786159" w14:textId="77777777" w:rsidTr="00EF25E1">
        <w:trPr>
          <w:trHeight w:val="300"/>
        </w:trPr>
        <w:tc>
          <w:tcPr>
            <w:tcW w:w="5516" w:type="dxa"/>
            <w:tcBorders>
              <w:top w:val="nil"/>
              <w:left w:val="nil"/>
              <w:bottom w:val="nil"/>
              <w:right w:val="nil"/>
            </w:tcBorders>
            <w:shd w:val="clear" w:color="auto" w:fill="auto"/>
            <w:noWrap/>
            <w:vAlign w:val="bottom"/>
          </w:tcPr>
          <w:p w14:paraId="178CE8D6" w14:textId="77777777" w:rsidR="000020B9" w:rsidRPr="00E45B5B" w:rsidRDefault="000020B9" w:rsidP="00EF25E1">
            <w:pPr>
              <w:rPr>
                <w:color w:val="000000"/>
                <w:sz w:val="20"/>
                <w:szCs w:val="20"/>
              </w:rPr>
            </w:pPr>
            <w:r w:rsidRPr="00E45B5B">
              <w:rPr>
                <w:color w:val="000000"/>
                <w:sz w:val="20"/>
                <w:szCs w:val="20"/>
              </w:rPr>
              <w:t>*p&lt;0.05, ** p&lt; 0.01, ***p&lt;0.001</w:t>
            </w:r>
          </w:p>
        </w:tc>
        <w:tc>
          <w:tcPr>
            <w:tcW w:w="1329" w:type="dxa"/>
            <w:tcBorders>
              <w:top w:val="nil"/>
              <w:left w:val="nil"/>
              <w:bottom w:val="nil"/>
              <w:right w:val="nil"/>
            </w:tcBorders>
            <w:shd w:val="clear" w:color="auto" w:fill="auto"/>
            <w:noWrap/>
            <w:vAlign w:val="bottom"/>
          </w:tcPr>
          <w:p w14:paraId="13CD1F47" w14:textId="77777777" w:rsidR="000020B9" w:rsidRPr="00E45B5B" w:rsidRDefault="000020B9" w:rsidP="00EF25E1">
            <w:pPr>
              <w:rPr>
                <w:color w:val="000000"/>
                <w:sz w:val="20"/>
                <w:szCs w:val="20"/>
              </w:rPr>
            </w:pPr>
          </w:p>
        </w:tc>
        <w:tc>
          <w:tcPr>
            <w:tcW w:w="1169" w:type="dxa"/>
            <w:tcBorders>
              <w:top w:val="nil"/>
              <w:left w:val="nil"/>
              <w:bottom w:val="nil"/>
              <w:right w:val="nil"/>
            </w:tcBorders>
            <w:shd w:val="clear" w:color="auto" w:fill="auto"/>
            <w:noWrap/>
            <w:vAlign w:val="bottom"/>
          </w:tcPr>
          <w:p w14:paraId="3F35AFD9" w14:textId="77777777" w:rsidR="000020B9" w:rsidRPr="00E45B5B" w:rsidRDefault="000020B9" w:rsidP="00EF25E1">
            <w:pPr>
              <w:rPr>
                <w:color w:val="000000"/>
                <w:sz w:val="20"/>
                <w:szCs w:val="20"/>
              </w:rPr>
            </w:pPr>
          </w:p>
        </w:tc>
        <w:tc>
          <w:tcPr>
            <w:tcW w:w="1263" w:type="dxa"/>
            <w:tcBorders>
              <w:top w:val="nil"/>
              <w:left w:val="nil"/>
              <w:bottom w:val="nil"/>
              <w:right w:val="nil"/>
            </w:tcBorders>
            <w:shd w:val="clear" w:color="auto" w:fill="auto"/>
            <w:noWrap/>
            <w:vAlign w:val="bottom"/>
          </w:tcPr>
          <w:p w14:paraId="09A7F57F" w14:textId="77777777" w:rsidR="000020B9" w:rsidRPr="00E45B5B" w:rsidRDefault="000020B9" w:rsidP="00EF25E1">
            <w:pPr>
              <w:rPr>
                <w:color w:val="000000"/>
                <w:sz w:val="20"/>
                <w:szCs w:val="20"/>
              </w:rPr>
            </w:pPr>
          </w:p>
        </w:tc>
        <w:tc>
          <w:tcPr>
            <w:tcW w:w="1468" w:type="dxa"/>
            <w:tcBorders>
              <w:top w:val="nil"/>
              <w:left w:val="nil"/>
              <w:bottom w:val="nil"/>
              <w:right w:val="nil"/>
            </w:tcBorders>
            <w:shd w:val="clear" w:color="auto" w:fill="auto"/>
            <w:noWrap/>
            <w:vAlign w:val="bottom"/>
          </w:tcPr>
          <w:p w14:paraId="0B81BE90" w14:textId="77777777" w:rsidR="000020B9" w:rsidRPr="00E45B5B" w:rsidRDefault="000020B9" w:rsidP="00EF25E1">
            <w:pPr>
              <w:rPr>
                <w:color w:val="000000"/>
                <w:sz w:val="20"/>
                <w:szCs w:val="20"/>
              </w:rPr>
            </w:pPr>
          </w:p>
        </w:tc>
      </w:tr>
    </w:tbl>
    <w:p w14:paraId="243B4E4D" w14:textId="77777777" w:rsidR="000020B9" w:rsidRPr="00FE253A" w:rsidRDefault="000020B9" w:rsidP="000020B9">
      <w:pPr>
        <w:rPr>
          <w:lang w:val="fr-FR"/>
        </w:rPr>
      </w:pPr>
      <w:bookmarkStart w:id="0" w:name="_GoBack"/>
      <w:bookmarkEnd w:id="0"/>
    </w:p>
    <w:p w14:paraId="1237B7F1" w14:textId="77777777" w:rsidR="000020B9" w:rsidRPr="00FE253A" w:rsidRDefault="000020B9" w:rsidP="000020B9">
      <w:pPr>
        <w:jc w:val="both"/>
        <w:rPr>
          <w:b/>
          <w:lang w:val="en-US"/>
        </w:rPr>
      </w:pPr>
    </w:p>
    <w:p w14:paraId="434AB39D" w14:textId="77777777" w:rsidR="002722D8" w:rsidRDefault="006D1EC3"/>
    <w:sectPr w:rsidR="002722D8" w:rsidSect="00CC6DC9">
      <w:footerReference w:type="even" r:id="rId16"/>
      <w:footerReference w:type="default" r:id="rId17"/>
      <w:pgSz w:w="12240" w:h="15840"/>
      <w:pgMar w:top="1417" w:right="1701"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D1D4E" w14:textId="77777777" w:rsidR="006D1EC3" w:rsidRDefault="006D1EC3" w:rsidP="000020B9">
      <w:r>
        <w:separator/>
      </w:r>
    </w:p>
  </w:endnote>
  <w:endnote w:type="continuationSeparator" w:id="0">
    <w:p w14:paraId="38CFBA92" w14:textId="77777777" w:rsidR="006D1EC3" w:rsidRDefault="006D1EC3" w:rsidP="00002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ci4">
    <w:altName w:val="Symbol"/>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Revival565BT-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ABF6B" w14:textId="77777777" w:rsidR="000020B9" w:rsidRDefault="000020B9">
    <w:pPr>
      <w:pStyle w:val="Rodap"/>
      <w:jc w:val="right"/>
    </w:pPr>
    <w:r>
      <w:fldChar w:fldCharType="begin"/>
    </w:r>
    <w:r>
      <w:instrText>PAGE   \* MERGEFORMAT</w:instrText>
    </w:r>
    <w:r>
      <w:fldChar w:fldCharType="separate"/>
    </w:r>
    <w:r>
      <w:rPr>
        <w:noProof/>
      </w:rPr>
      <w:t>1</w:t>
    </w:r>
    <w:r>
      <w:fldChar w:fldCharType="end"/>
    </w:r>
  </w:p>
  <w:p w14:paraId="5FDE318E" w14:textId="77777777" w:rsidR="000020B9" w:rsidRDefault="000020B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D622F" w14:textId="77777777" w:rsidR="00D574A5" w:rsidRDefault="006D1EC3" w:rsidP="00ED7AEE">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CC819C" w14:textId="77777777" w:rsidR="00D574A5" w:rsidRDefault="006D1EC3" w:rsidP="00DC2610">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3D8AA" w14:textId="77777777" w:rsidR="00D574A5" w:rsidRDefault="006D1EC3" w:rsidP="00ED7AEE">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32</w:t>
    </w:r>
    <w:r>
      <w:rPr>
        <w:rStyle w:val="Nmerodepgina"/>
      </w:rPr>
      <w:fldChar w:fldCharType="end"/>
    </w:r>
  </w:p>
  <w:p w14:paraId="0BEBCD8C" w14:textId="77777777" w:rsidR="00D574A5" w:rsidRDefault="006D1EC3" w:rsidP="00DC2610">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A51B7" w14:textId="77777777" w:rsidR="006D1EC3" w:rsidRDefault="006D1EC3" w:rsidP="000020B9">
      <w:r>
        <w:separator/>
      </w:r>
    </w:p>
  </w:footnote>
  <w:footnote w:type="continuationSeparator" w:id="0">
    <w:p w14:paraId="53B2EEBB" w14:textId="77777777" w:rsidR="006D1EC3" w:rsidRDefault="006D1EC3" w:rsidP="000020B9">
      <w:r>
        <w:continuationSeparator/>
      </w:r>
    </w:p>
  </w:footnote>
  <w:footnote w:id="1">
    <w:p w14:paraId="7E985577" w14:textId="77777777" w:rsidR="000020B9" w:rsidRPr="003136F4" w:rsidRDefault="000020B9" w:rsidP="000020B9">
      <w:pPr>
        <w:pStyle w:val="Textodenotaderodap"/>
        <w:rPr>
          <w:lang w:val="en-US"/>
        </w:rPr>
      </w:pPr>
      <w:r w:rsidRPr="00741C88">
        <w:rPr>
          <w:rStyle w:val="Refdenotaderodap"/>
        </w:rPr>
        <w:sym w:font="tci4" w:char="F021"/>
      </w:r>
      <w:r w:rsidRPr="00741C88">
        <w:rPr>
          <w:lang w:val="en-US"/>
        </w:rPr>
        <w:t xml:space="preserve"> </w:t>
      </w:r>
      <w:r w:rsidRPr="003136F4">
        <w:rPr>
          <w:lang w:val="en-US"/>
        </w:rPr>
        <w:t>Corresponding author:</w:t>
      </w:r>
      <w:r>
        <w:rPr>
          <w:lang w:val="en-US"/>
        </w:rPr>
        <w:t xml:space="preserve"> klenio.barbosa@fgv.br</w:t>
      </w:r>
      <w:r w:rsidRPr="003136F4">
        <w:rPr>
          <w:lang w:val="en-US"/>
        </w:rPr>
        <w:t>.</w:t>
      </w:r>
    </w:p>
    <w:p w14:paraId="3513A9EC" w14:textId="77777777" w:rsidR="000020B9" w:rsidRPr="00741C88" w:rsidRDefault="000020B9" w:rsidP="000020B9">
      <w:pPr>
        <w:pStyle w:val="Textodenotaderodap"/>
        <w:rPr>
          <w:lang w:val="en-US"/>
        </w:rPr>
      </w:pPr>
    </w:p>
  </w:footnote>
  <w:footnote w:id="2">
    <w:p w14:paraId="4E6A8798" w14:textId="77777777" w:rsidR="000020B9" w:rsidRPr="001D727E" w:rsidRDefault="000020B9" w:rsidP="000020B9">
      <w:pPr>
        <w:pStyle w:val="Textodenotaderodap"/>
        <w:rPr>
          <w:lang w:val="en-US"/>
        </w:rPr>
      </w:pPr>
      <w:r>
        <w:rPr>
          <w:rStyle w:val="Refdenotaderodap"/>
        </w:rPr>
        <w:footnoteRef/>
      </w:r>
      <w:r w:rsidRPr="001D727E">
        <w:rPr>
          <w:lang w:val="en-US"/>
        </w:rPr>
        <w:t xml:space="preserve"> </w:t>
      </w:r>
      <w:r w:rsidRPr="002A1BE4">
        <w:rPr>
          <w:lang w:val="en-US"/>
        </w:rPr>
        <w:t>A more detailed discussion of</w:t>
      </w:r>
      <w:r w:rsidRPr="002A1BE4">
        <w:rPr>
          <w:vertAlign w:val="superscript"/>
          <w:lang w:val="en-US"/>
        </w:rPr>
        <w:t xml:space="preserve"> </w:t>
      </w:r>
      <w:r w:rsidRPr="002A1BE4">
        <w:rPr>
          <w:lang w:val="en-US"/>
        </w:rPr>
        <w:t>the economic justification for the development of congl</w:t>
      </w:r>
      <w:r>
        <w:rPr>
          <w:lang w:val="en-US"/>
        </w:rPr>
        <w:t>omera</w:t>
      </w:r>
      <w:r w:rsidRPr="002A1BE4">
        <w:rPr>
          <w:lang w:val="en-US"/>
        </w:rPr>
        <w:t>tes may be found in Milbourn et al. (1999)</w:t>
      </w:r>
      <w:r>
        <w:rPr>
          <w:lang w:val="en-US"/>
        </w:rPr>
        <w:t xml:space="preserve"> and </w:t>
      </w:r>
      <w:r w:rsidRPr="002A1BE4">
        <w:rPr>
          <w:lang w:val="en-US"/>
        </w:rPr>
        <w:t xml:space="preserve"> Dierick (2004).</w:t>
      </w:r>
    </w:p>
  </w:footnote>
  <w:footnote w:id="3">
    <w:p w14:paraId="67E0A949" w14:textId="77777777" w:rsidR="000020B9" w:rsidRPr="001D727E" w:rsidRDefault="000020B9" w:rsidP="000020B9">
      <w:pPr>
        <w:pStyle w:val="Textodenotaderodap"/>
        <w:jc w:val="both"/>
        <w:rPr>
          <w:lang w:val="en-US"/>
        </w:rPr>
      </w:pPr>
      <w:r>
        <w:rPr>
          <w:rStyle w:val="Refdenotaderodap"/>
        </w:rPr>
        <w:footnoteRef/>
      </w:r>
      <w:r w:rsidRPr="001D727E">
        <w:rPr>
          <w:lang w:val="en-US"/>
        </w:rPr>
        <w:t xml:space="preserve"> </w:t>
      </w:r>
      <w:r w:rsidRPr="002A1BE4">
        <w:rPr>
          <w:lang w:val="en-US"/>
        </w:rPr>
        <w:t xml:space="preserve">A list of the studies on banking competition contains many </w:t>
      </w:r>
      <w:r>
        <w:rPr>
          <w:lang w:val="en-US"/>
        </w:rPr>
        <w:t>articles</w:t>
      </w:r>
      <w:r w:rsidRPr="002A1BE4">
        <w:rPr>
          <w:lang w:val="en-US"/>
        </w:rPr>
        <w:t>. Good su</w:t>
      </w:r>
      <w:r>
        <w:rPr>
          <w:lang w:val="en-US"/>
        </w:rPr>
        <w:t>rveys</w:t>
      </w:r>
      <w:r w:rsidRPr="002A1BE4">
        <w:rPr>
          <w:lang w:val="en-US"/>
        </w:rPr>
        <w:t xml:space="preserve"> of this literature may be </w:t>
      </w:r>
      <w:r>
        <w:rPr>
          <w:lang w:val="en-US"/>
        </w:rPr>
        <w:t>found</w:t>
      </w:r>
      <w:r w:rsidRPr="002A1BE4">
        <w:rPr>
          <w:lang w:val="en-US"/>
        </w:rPr>
        <w:t xml:space="preserve"> in Cetorelli (1999), Berger et al. (2004) </w:t>
      </w:r>
      <w:r>
        <w:rPr>
          <w:lang w:val="en-US"/>
        </w:rPr>
        <w:t>and</w:t>
      </w:r>
      <w:r w:rsidRPr="002A1BE4">
        <w:rPr>
          <w:lang w:val="en-US"/>
        </w:rPr>
        <w:t xml:space="preserve"> Degryse et al. (2009).</w:t>
      </w:r>
    </w:p>
  </w:footnote>
  <w:footnote w:id="4">
    <w:p w14:paraId="30CB31E8" w14:textId="77777777" w:rsidR="000020B9" w:rsidRDefault="000020B9" w:rsidP="000020B9">
      <w:pPr>
        <w:pStyle w:val="Textodenotaderodap"/>
      </w:pPr>
      <w:r>
        <w:rPr>
          <w:rStyle w:val="Refdenotaderodap"/>
        </w:rPr>
        <w:footnoteRef/>
      </w:r>
      <w:r w:rsidRPr="001D727E">
        <w:rPr>
          <w:lang w:val="en-US"/>
        </w:rPr>
        <w:t xml:space="preserve"> </w:t>
      </w:r>
      <w:r w:rsidRPr="002A1BE4">
        <w:rPr>
          <w:lang w:val="en-US"/>
        </w:rPr>
        <w:t>For a discussion of this model see Degryse et al. (2009).</w:t>
      </w:r>
    </w:p>
  </w:footnote>
  <w:footnote w:id="5">
    <w:p w14:paraId="7E4669B1" w14:textId="77777777" w:rsidR="000020B9" w:rsidRDefault="000020B9" w:rsidP="000020B9">
      <w:pPr>
        <w:pStyle w:val="Textodenotaderodap"/>
        <w:jc w:val="both"/>
      </w:pPr>
      <w:r>
        <w:rPr>
          <w:rStyle w:val="Refdenotaderodap"/>
        </w:rPr>
        <w:footnoteRef/>
      </w:r>
      <w:r w:rsidRPr="001D727E">
        <w:rPr>
          <w:lang w:val="en-US"/>
        </w:rPr>
        <w:t xml:space="preserve"> </w:t>
      </w:r>
      <w:r w:rsidRPr="002A1BE4">
        <w:rPr>
          <w:lang w:val="en-US"/>
        </w:rPr>
        <w:t xml:space="preserve">Other pieces of research report evidence that the relation between concentration and competition is not a direct one. </w:t>
      </w:r>
      <w:r>
        <w:rPr>
          <w:lang w:val="en-US"/>
        </w:rPr>
        <w:t>See, f</w:t>
      </w:r>
      <w:r w:rsidRPr="002A1BE4">
        <w:rPr>
          <w:lang w:val="en-US"/>
        </w:rPr>
        <w:t xml:space="preserve">or example, Shaffer (2004) </w:t>
      </w:r>
      <w:r>
        <w:rPr>
          <w:lang w:val="en-US"/>
        </w:rPr>
        <w:t>and</w:t>
      </w:r>
      <w:r w:rsidRPr="002A1BE4">
        <w:rPr>
          <w:lang w:val="en-US"/>
        </w:rPr>
        <w:t xml:space="preserve"> Coccorese (2009).</w:t>
      </w:r>
    </w:p>
  </w:footnote>
  <w:footnote w:id="6">
    <w:p w14:paraId="6E51B863" w14:textId="77777777" w:rsidR="000020B9" w:rsidRPr="001D727E" w:rsidRDefault="000020B9" w:rsidP="000020B9">
      <w:pPr>
        <w:pStyle w:val="Textodenotaderodap"/>
        <w:rPr>
          <w:lang w:val="en-US"/>
        </w:rPr>
      </w:pPr>
      <w:r>
        <w:rPr>
          <w:rStyle w:val="Refdenotaderodap"/>
        </w:rPr>
        <w:footnoteRef/>
      </w:r>
      <w:r w:rsidRPr="001D727E">
        <w:rPr>
          <w:lang w:val="en-US"/>
        </w:rPr>
        <w:t xml:space="preserve"> </w:t>
      </w:r>
      <w:r w:rsidRPr="002A1BE4">
        <w:rPr>
          <w:lang w:val="en-US"/>
        </w:rPr>
        <w:t>For a recent survey of empirical work on banking competition in Brazil, see Lucinda (2010)</w:t>
      </w:r>
      <w:r>
        <w:rPr>
          <w:lang w:val="en-US"/>
        </w:rPr>
        <w:t>.</w:t>
      </w:r>
    </w:p>
  </w:footnote>
  <w:footnote w:id="7">
    <w:p w14:paraId="501BAF5E" w14:textId="77777777" w:rsidR="000020B9" w:rsidRPr="00745FDC" w:rsidRDefault="000020B9" w:rsidP="000020B9">
      <w:pPr>
        <w:pStyle w:val="Textodenotaderodap"/>
        <w:jc w:val="both"/>
        <w:rPr>
          <w:lang w:val="en-US"/>
        </w:rPr>
      </w:pPr>
      <w:r>
        <w:rPr>
          <w:rStyle w:val="Refdenotaderodap"/>
        </w:rPr>
        <w:footnoteRef/>
      </w:r>
      <w:r w:rsidRPr="001D727E">
        <w:rPr>
          <w:lang w:val="en-US"/>
        </w:rPr>
        <w:t xml:space="preserve"> </w:t>
      </w:r>
      <w:r>
        <w:rPr>
          <w:lang w:val="en-US"/>
        </w:rPr>
        <w:t>As Berger and Kim (1998)</w:t>
      </w:r>
      <w:r w:rsidRPr="002A1BE4">
        <w:rPr>
          <w:lang w:val="en-US"/>
        </w:rPr>
        <w:t xml:space="preserve"> point out, studies in this area have concentrated on questions related to product mix and the economies of scale associated with multiproduct operations. See, for example, Murray and White (1983) </w:t>
      </w:r>
      <w:r>
        <w:rPr>
          <w:lang w:val="en-US"/>
        </w:rPr>
        <w:t>and</w:t>
      </w:r>
      <w:r w:rsidRPr="002A1BE4">
        <w:rPr>
          <w:lang w:val="en-US"/>
        </w:rPr>
        <w:t xml:space="preserve"> Dierick (2004).</w:t>
      </w:r>
    </w:p>
  </w:footnote>
  <w:footnote w:id="8">
    <w:p w14:paraId="5123774C" w14:textId="77777777" w:rsidR="000020B9" w:rsidRPr="0082718B" w:rsidRDefault="000020B9" w:rsidP="000020B9">
      <w:pPr>
        <w:pStyle w:val="Textodenotaderodap"/>
        <w:jc w:val="both"/>
        <w:rPr>
          <w:lang w:val="en-US"/>
        </w:rPr>
      </w:pPr>
      <w:r>
        <w:rPr>
          <w:rStyle w:val="Refdenotaderodap"/>
        </w:rPr>
        <w:footnoteRef/>
      </w:r>
      <w:r w:rsidRPr="0082718B">
        <w:rPr>
          <w:lang w:val="en-US"/>
        </w:rPr>
        <w:t xml:space="preserve"> For a historical overview about Brazilian banks' evolution, see Baer and Nazmi (2000) and Ness Jr. (2000)</w:t>
      </w:r>
      <w:r>
        <w:rPr>
          <w:lang w:val="en-US"/>
        </w:rPr>
        <w:t>.</w:t>
      </w:r>
    </w:p>
  </w:footnote>
  <w:footnote w:id="9">
    <w:p w14:paraId="58A489C1" w14:textId="77777777" w:rsidR="000020B9" w:rsidRPr="005F6010" w:rsidRDefault="000020B9" w:rsidP="000020B9">
      <w:pPr>
        <w:pStyle w:val="Textodenotaderodap"/>
        <w:jc w:val="both"/>
        <w:rPr>
          <w:lang w:val="en-US"/>
        </w:rPr>
      </w:pPr>
      <w:r w:rsidRPr="00F50806">
        <w:rPr>
          <w:vertAlign w:val="superscript"/>
          <w:lang w:val="en-US"/>
        </w:rPr>
        <w:footnoteRef/>
      </w:r>
      <w:r>
        <w:rPr>
          <w:lang w:val="en-US"/>
        </w:rPr>
        <w:t xml:space="preserve"> F</w:t>
      </w:r>
      <w:r w:rsidRPr="005F6B79">
        <w:rPr>
          <w:lang w:val="en-US"/>
        </w:rPr>
        <w:t xml:space="preserve">loating </w:t>
      </w:r>
      <w:r>
        <w:rPr>
          <w:lang w:val="en-US"/>
        </w:rPr>
        <w:t xml:space="preserve">revenues can be defined as the financial gains originated in </w:t>
      </w:r>
      <w:r w:rsidRPr="005F6B79">
        <w:rPr>
          <w:lang w:val="en-US"/>
        </w:rPr>
        <w:t xml:space="preserve">raising </w:t>
      </w:r>
      <w:r>
        <w:rPr>
          <w:lang w:val="en-US"/>
        </w:rPr>
        <w:t xml:space="preserve">non-indexed and </w:t>
      </w:r>
      <w:r w:rsidRPr="005F6B79">
        <w:rPr>
          <w:lang w:val="en-US"/>
        </w:rPr>
        <w:t>low costs resources (</w:t>
      </w:r>
      <w:r>
        <w:rPr>
          <w:lang w:val="en-US"/>
        </w:rPr>
        <w:t xml:space="preserve">for example, </w:t>
      </w:r>
      <w:r w:rsidRPr="005F6B79">
        <w:rPr>
          <w:lang w:val="en-US"/>
        </w:rPr>
        <w:t xml:space="preserve">bills and tax collection) and investing </w:t>
      </w:r>
      <w:r>
        <w:rPr>
          <w:lang w:val="en-US"/>
        </w:rPr>
        <w:t xml:space="preserve">it interest indexed financial </w:t>
      </w:r>
      <w:r w:rsidRPr="005F6B79">
        <w:rPr>
          <w:lang w:val="en-US"/>
        </w:rPr>
        <w:t>assets.</w:t>
      </w:r>
      <w:r>
        <w:rPr>
          <w:lang w:val="en-US"/>
        </w:rPr>
        <w:t xml:space="preserve"> </w:t>
      </w:r>
      <w:r w:rsidRPr="005F6010">
        <w:rPr>
          <w:lang w:val="en-US"/>
        </w:rPr>
        <w:t xml:space="preserve">According to Baer and Nazmi (2000), inflationary revenues </w:t>
      </w:r>
      <w:r>
        <w:rPr>
          <w:lang w:val="en-US"/>
        </w:rPr>
        <w:t xml:space="preserve">with floating operations </w:t>
      </w:r>
      <w:r w:rsidRPr="005F6010">
        <w:rPr>
          <w:lang w:val="en-US"/>
        </w:rPr>
        <w:t>reached 40% of total banking revenues</w:t>
      </w:r>
      <w:r>
        <w:rPr>
          <w:lang w:val="en-US"/>
        </w:rPr>
        <w:t xml:space="preserve"> between 1990 and 1992</w:t>
      </w:r>
      <w:r w:rsidRPr="005F6010">
        <w:rPr>
          <w:lang w:val="en-US"/>
        </w:rPr>
        <w:t>.</w:t>
      </w:r>
    </w:p>
  </w:footnote>
  <w:footnote w:id="10">
    <w:p w14:paraId="3B45A793" w14:textId="77777777" w:rsidR="000020B9" w:rsidRPr="00795E1E" w:rsidRDefault="000020B9" w:rsidP="000020B9">
      <w:pPr>
        <w:pStyle w:val="Textodenotaderodap"/>
        <w:jc w:val="both"/>
        <w:rPr>
          <w:lang w:val="en-US"/>
        </w:rPr>
      </w:pPr>
      <w:r>
        <w:rPr>
          <w:rStyle w:val="Refdenotaderodap"/>
        </w:rPr>
        <w:footnoteRef/>
      </w:r>
      <w:r w:rsidRPr="00795E1E">
        <w:rPr>
          <w:lang w:val="en-US"/>
        </w:rPr>
        <w:t xml:space="preserve"> </w:t>
      </w:r>
      <w:r>
        <w:rPr>
          <w:lang w:val="en-US"/>
        </w:rPr>
        <w:t xml:space="preserve">Examples of such measures include the approval of the New Bankruptcy Law </w:t>
      </w:r>
      <w:r w:rsidRPr="00EC3141">
        <w:rPr>
          <w:iCs/>
          <w:lang w:val="en-US"/>
        </w:rPr>
        <w:t>(Law 11,105/2005)</w:t>
      </w:r>
      <w:r>
        <w:rPr>
          <w:lang w:val="en-US"/>
        </w:rPr>
        <w:t xml:space="preserve">, Law on Positive Registers (Law 12,414/2011), the stricter </w:t>
      </w:r>
      <w:r w:rsidRPr="00A07948">
        <w:rPr>
          <w:lang w:val="en-US"/>
        </w:rPr>
        <w:t>rules for risk credit operations classification and</w:t>
      </w:r>
      <w:r>
        <w:rPr>
          <w:lang w:val="en-US"/>
        </w:rPr>
        <w:t xml:space="preserve"> </w:t>
      </w:r>
      <w:r w:rsidRPr="00A07948">
        <w:rPr>
          <w:lang w:val="en-US"/>
        </w:rPr>
        <w:t>provision</w:t>
      </w:r>
      <w:r>
        <w:rPr>
          <w:lang w:val="en-US"/>
        </w:rPr>
        <w:t xml:space="preserve"> </w:t>
      </w:r>
      <w:r w:rsidRPr="00EC3141">
        <w:rPr>
          <w:lang w:val="en-US"/>
        </w:rPr>
        <w:t>(Resolution 2,682/1999)</w:t>
      </w:r>
      <w:r>
        <w:rPr>
          <w:lang w:val="en-US"/>
        </w:rPr>
        <w:t>, among others. For a further discussion on the institutional changes, see Costa and De Mello (2006).</w:t>
      </w:r>
    </w:p>
  </w:footnote>
  <w:footnote w:id="11">
    <w:p w14:paraId="7A3A92E8" w14:textId="77777777" w:rsidR="000020B9" w:rsidRPr="006732E7" w:rsidRDefault="000020B9" w:rsidP="000020B9">
      <w:pPr>
        <w:pStyle w:val="Textodenotaderodap"/>
        <w:jc w:val="both"/>
        <w:rPr>
          <w:lang w:val="en-US"/>
        </w:rPr>
      </w:pPr>
      <w:r>
        <w:rPr>
          <w:rStyle w:val="Refdenotaderodap"/>
        </w:rPr>
        <w:footnoteRef/>
      </w:r>
      <w:r w:rsidRPr="006732E7">
        <w:rPr>
          <w:lang w:val="en-US"/>
        </w:rPr>
        <w:t xml:space="preserve"> For a more detailed d</w:t>
      </w:r>
      <w:r>
        <w:rPr>
          <w:lang w:val="en-US"/>
        </w:rPr>
        <w:t>iscussion</w:t>
      </w:r>
      <w:r w:rsidRPr="006732E7">
        <w:rPr>
          <w:lang w:val="en-US"/>
        </w:rPr>
        <w:t>, see Baer and Nazmi (2000)</w:t>
      </w:r>
      <w:r>
        <w:rPr>
          <w:lang w:val="en-US"/>
        </w:rPr>
        <w:t xml:space="preserve">, Ness Jr (2000), and </w:t>
      </w:r>
      <w:r w:rsidRPr="00DB3FAF">
        <w:rPr>
          <w:lang w:val="en-US"/>
        </w:rPr>
        <w:t xml:space="preserve">Nakane </w:t>
      </w:r>
      <w:r>
        <w:rPr>
          <w:lang w:val="en-US"/>
        </w:rPr>
        <w:t>and Weintraub (2005).</w:t>
      </w:r>
    </w:p>
  </w:footnote>
  <w:footnote w:id="12">
    <w:p w14:paraId="3422CCB0" w14:textId="77777777" w:rsidR="000020B9" w:rsidRPr="00754CBC" w:rsidRDefault="000020B9" w:rsidP="000020B9">
      <w:pPr>
        <w:pStyle w:val="Textodenotaderodap"/>
        <w:jc w:val="both"/>
        <w:rPr>
          <w:lang w:val="en-US"/>
        </w:rPr>
      </w:pPr>
      <w:r>
        <w:rPr>
          <w:rStyle w:val="Refdenotaderodap"/>
        </w:rPr>
        <w:footnoteRef/>
      </w:r>
      <w:r w:rsidRPr="00754CBC">
        <w:rPr>
          <w:lang w:val="en-US"/>
        </w:rPr>
        <w:t xml:space="preserve"> Economic-Financial (CONEF – document 4050 from BCB): group of companies of any nature </w:t>
      </w:r>
      <w:r>
        <w:rPr>
          <w:lang w:val="en-US"/>
        </w:rPr>
        <w:t>that integrate the economic group, including financial and non-financial companies whose financial statements are published quarterly by BCB.</w:t>
      </w:r>
    </w:p>
  </w:footnote>
  <w:footnote w:id="13">
    <w:p w14:paraId="36133FE6" w14:textId="77777777" w:rsidR="000020B9" w:rsidRPr="00754CBC" w:rsidRDefault="000020B9" w:rsidP="000020B9">
      <w:pPr>
        <w:pStyle w:val="Textodenotaderodap"/>
        <w:jc w:val="both"/>
        <w:rPr>
          <w:lang w:val="en-US"/>
        </w:rPr>
      </w:pPr>
      <w:r>
        <w:rPr>
          <w:rStyle w:val="Refdenotaderodap"/>
        </w:rPr>
        <w:footnoteRef/>
      </w:r>
      <w:r w:rsidRPr="00754CBC">
        <w:rPr>
          <w:lang w:val="en-US"/>
        </w:rPr>
        <w:t xml:space="preserve"> Financial (document 4040 from BCB): </w:t>
      </w:r>
      <w:r>
        <w:rPr>
          <w:lang w:val="en-US"/>
        </w:rPr>
        <w:t>group of banks that integrate the economic group, whose financial statements are published quarterly by BCB.</w:t>
      </w:r>
    </w:p>
  </w:footnote>
  <w:footnote w:id="14">
    <w:p w14:paraId="1B872ABB" w14:textId="77777777" w:rsidR="000020B9" w:rsidRPr="00A06165" w:rsidRDefault="000020B9" w:rsidP="000020B9">
      <w:pPr>
        <w:pStyle w:val="Textodenotaderodap"/>
        <w:jc w:val="both"/>
        <w:rPr>
          <w:lang w:val="en-US"/>
        </w:rPr>
      </w:pPr>
      <w:r>
        <w:rPr>
          <w:rStyle w:val="Refdenotaderodap"/>
        </w:rPr>
        <w:footnoteRef/>
      </w:r>
      <w:r w:rsidRPr="00A06165">
        <w:rPr>
          <w:lang w:val="en-US"/>
        </w:rPr>
        <w:t xml:space="preserve"> Single units (document 4010 from BCB): L</w:t>
      </w:r>
      <w:r>
        <w:rPr>
          <w:lang w:val="en-US"/>
        </w:rPr>
        <w:t>egal units with National Registers of Legal Entities (CNPJ) whose financial statements are published monthly by their regulators, in this case BCB for banks and SUSEP for insurance companies.</w:t>
      </w:r>
    </w:p>
  </w:footnote>
  <w:footnote w:id="15">
    <w:p w14:paraId="2B7F090C" w14:textId="77777777" w:rsidR="000020B9" w:rsidRPr="00754CBC" w:rsidRDefault="000020B9" w:rsidP="000020B9">
      <w:pPr>
        <w:pStyle w:val="Textodenotaderodap"/>
        <w:jc w:val="both"/>
        <w:rPr>
          <w:lang w:val="en-US"/>
        </w:rPr>
      </w:pPr>
      <w:r>
        <w:rPr>
          <w:rStyle w:val="Refdenotaderodap"/>
        </w:rPr>
        <w:footnoteRef/>
      </w:r>
      <w:r w:rsidRPr="00754CBC">
        <w:rPr>
          <w:lang w:val="en-US"/>
        </w:rPr>
        <w:t xml:space="preserve"> Data available in: https://www3.bcb.gov.br/iftimagem</w:t>
      </w:r>
    </w:p>
  </w:footnote>
  <w:footnote w:id="16">
    <w:p w14:paraId="438AE547" w14:textId="77777777" w:rsidR="000020B9" w:rsidRPr="00940099" w:rsidRDefault="000020B9" w:rsidP="000020B9">
      <w:pPr>
        <w:pStyle w:val="Textodenotaderodap"/>
        <w:jc w:val="both"/>
        <w:rPr>
          <w:lang w:val="en-US"/>
        </w:rPr>
      </w:pPr>
      <w:r>
        <w:rPr>
          <w:rStyle w:val="Refdenotaderodap"/>
        </w:rPr>
        <w:footnoteRef/>
      </w:r>
      <w:r w:rsidRPr="00940099">
        <w:rPr>
          <w:lang w:val="en-US"/>
        </w:rPr>
        <w:t xml:space="preserve"> </w:t>
      </w:r>
      <w:r>
        <w:rPr>
          <w:lang w:val="en-US"/>
        </w:rPr>
        <w:t>I</w:t>
      </w:r>
      <w:r w:rsidRPr="00940099">
        <w:rPr>
          <w:lang w:val="en-US"/>
        </w:rPr>
        <w:t xml:space="preserve">ndependent </w:t>
      </w:r>
      <w:r>
        <w:rPr>
          <w:lang w:val="en-US"/>
        </w:rPr>
        <w:t xml:space="preserve">banking </w:t>
      </w:r>
      <w:r w:rsidRPr="00940099">
        <w:rPr>
          <w:lang w:val="en-US"/>
        </w:rPr>
        <w:t xml:space="preserve">institutions are </w:t>
      </w:r>
      <w:r>
        <w:rPr>
          <w:lang w:val="en-US"/>
        </w:rPr>
        <w:t>treated as a single firm</w:t>
      </w:r>
      <w:r w:rsidRPr="006B74AE">
        <w:rPr>
          <w:lang w:val="en-US"/>
        </w:rPr>
        <w:t xml:space="preserve"> </w:t>
      </w:r>
      <w:r>
        <w:rPr>
          <w:lang w:val="en-US"/>
        </w:rPr>
        <w:t xml:space="preserve">conglomerate.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33AEB"/>
    <w:multiLevelType w:val="hybridMultilevel"/>
    <w:tmpl w:val="C126689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49E00DA"/>
    <w:multiLevelType w:val="hybridMultilevel"/>
    <w:tmpl w:val="A1F4929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3F1"/>
    <w:rsid w:val="000020B9"/>
    <w:rsid w:val="0006797E"/>
    <w:rsid w:val="003039F9"/>
    <w:rsid w:val="005C7720"/>
    <w:rsid w:val="006D1EC3"/>
    <w:rsid w:val="007C05B7"/>
    <w:rsid w:val="00D96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14081-0B65-4C73-8DBC-97E031667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0B9"/>
    <w:pPr>
      <w:spacing w:after="0" w:line="240" w:lineRule="auto"/>
      <w:jc w:val="left"/>
    </w:pPr>
    <w:rPr>
      <w:rFonts w:ascii="Times New Roman" w:eastAsia="Times New Roman" w:hAnsi="Times New Roman" w:cs="Times New Roman"/>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semiHidden/>
    <w:unhideWhenUsed/>
  </w:style>
  <w:style w:type="paragraph" w:styleId="Textodenotaderodap">
    <w:name w:val="footnote text"/>
    <w:aliases w:val=" Char"/>
    <w:basedOn w:val="Normal"/>
    <w:link w:val="TextodenotaderodapChar"/>
    <w:uiPriority w:val="99"/>
    <w:semiHidden/>
    <w:rsid w:val="000020B9"/>
    <w:rPr>
      <w:sz w:val="20"/>
      <w:szCs w:val="20"/>
    </w:rPr>
  </w:style>
  <w:style w:type="character" w:customStyle="1" w:styleId="TextodenotaderodapChar">
    <w:name w:val="Texto de nota de rodapé Char"/>
    <w:aliases w:val=" Char Char"/>
    <w:basedOn w:val="Fontepargpadro"/>
    <w:link w:val="Textodenotaderodap"/>
    <w:uiPriority w:val="99"/>
    <w:semiHidden/>
    <w:rsid w:val="000020B9"/>
    <w:rPr>
      <w:rFonts w:ascii="Times New Roman" w:eastAsia="Times New Roman" w:hAnsi="Times New Roman" w:cs="Times New Roman"/>
      <w:sz w:val="20"/>
      <w:szCs w:val="20"/>
      <w:lang w:val="pt-BR" w:eastAsia="pt-BR"/>
    </w:rPr>
  </w:style>
  <w:style w:type="character" w:styleId="Refdenotaderodap">
    <w:name w:val="footnote reference"/>
    <w:uiPriority w:val="99"/>
    <w:semiHidden/>
    <w:rsid w:val="000020B9"/>
    <w:rPr>
      <w:vertAlign w:val="superscript"/>
    </w:rPr>
  </w:style>
  <w:style w:type="paragraph" w:styleId="Rodap">
    <w:name w:val="footer"/>
    <w:basedOn w:val="Normal"/>
    <w:link w:val="RodapChar"/>
    <w:uiPriority w:val="99"/>
    <w:rsid w:val="000020B9"/>
    <w:pPr>
      <w:tabs>
        <w:tab w:val="center" w:pos="4419"/>
        <w:tab w:val="right" w:pos="8838"/>
      </w:tabs>
    </w:pPr>
  </w:style>
  <w:style w:type="character" w:customStyle="1" w:styleId="RodapChar">
    <w:name w:val="Rodapé Char"/>
    <w:basedOn w:val="Fontepargpadro"/>
    <w:link w:val="Rodap"/>
    <w:uiPriority w:val="99"/>
    <w:rsid w:val="000020B9"/>
    <w:rPr>
      <w:rFonts w:ascii="Times New Roman" w:eastAsia="Times New Roman" w:hAnsi="Times New Roman" w:cs="Times New Roman"/>
      <w:lang w:val="pt-BR" w:eastAsia="pt-BR"/>
    </w:rPr>
  </w:style>
  <w:style w:type="character" w:styleId="Nmerodepgina">
    <w:name w:val="page number"/>
    <w:basedOn w:val="Fontepargpadro"/>
    <w:rsid w:val="000020B9"/>
  </w:style>
  <w:style w:type="paragraph" w:styleId="Legenda">
    <w:name w:val="caption"/>
    <w:basedOn w:val="Normal"/>
    <w:next w:val="Normal"/>
    <w:qFormat/>
    <w:rsid w:val="000020B9"/>
    <w:rPr>
      <w:b/>
      <w:bCs/>
      <w:sz w:val="20"/>
      <w:szCs w:val="20"/>
    </w:rPr>
  </w:style>
  <w:style w:type="character" w:styleId="Hyperlink">
    <w:name w:val="Hyperlink"/>
    <w:uiPriority w:val="99"/>
    <w:unhideWhenUsed/>
    <w:rsid w:val="000020B9"/>
    <w:rPr>
      <w:color w:val="0000FF"/>
      <w:u w:val="single"/>
    </w:rPr>
  </w:style>
  <w:style w:type="paragraph" w:styleId="NormalWeb">
    <w:name w:val="Normal (Web)"/>
    <w:basedOn w:val="Normal"/>
    <w:rsid w:val="000020B9"/>
    <w:pPr>
      <w:spacing w:before="100" w:beforeAutospacing="1" w:after="100" w:afterAutospacing="1"/>
    </w:pPr>
  </w:style>
  <w:style w:type="character" w:customStyle="1" w:styleId="CharChar3">
    <w:name w:val=" Char Char3"/>
    <w:semiHidden/>
    <w:rsid w:val="000020B9"/>
    <w:rPr>
      <w:lang w:val="pt-BR" w:eastAsia="pt-BR" w:bidi="ar-SA"/>
    </w:rPr>
  </w:style>
  <w:style w:type="paragraph" w:customStyle="1" w:styleId="00Texto01">
    <w:name w:val="0.0 Texto 01"/>
    <w:basedOn w:val="Normal"/>
    <w:link w:val="00Texto01CharChar"/>
    <w:qFormat/>
    <w:rsid w:val="000020B9"/>
    <w:pPr>
      <w:spacing w:line="360" w:lineRule="auto"/>
      <w:ind w:firstLine="680"/>
      <w:jc w:val="both"/>
    </w:pPr>
  </w:style>
  <w:style w:type="character" w:customStyle="1" w:styleId="00Texto01CharChar">
    <w:name w:val="0.0 Texto 01 Char Char"/>
    <w:link w:val="00Texto01"/>
    <w:rsid w:val="000020B9"/>
    <w:rPr>
      <w:rFonts w:ascii="Times New Roman" w:eastAsia="Times New Roman" w:hAnsi="Times New Roman" w:cs="Times New Roman"/>
      <w:lang w:val="pt-BR" w:eastAsia="pt-BR"/>
    </w:rPr>
  </w:style>
  <w:style w:type="paragraph" w:customStyle="1" w:styleId="Texto01">
    <w:name w:val="Texto01"/>
    <w:basedOn w:val="00Texto01"/>
    <w:link w:val="Texto01Char"/>
    <w:qFormat/>
    <w:rsid w:val="000020B9"/>
    <w:rPr>
      <w:lang w:val="en-US" w:bidi="en-US"/>
    </w:rPr>
  </w:style>
  <w:style w:type="character" w:customStyle="1" w:styleId="Texto01Char">
    <w:name w:val="Texto01 Char"/>
    <w:link w:val="Texto01"/>
    <w:rsid w:val="000020B9"/>
    <w:rPr>
      <w:rFonts w:ascii="Times New Roman" w:eastAsia="Times New Roman" w:hAnsi="Times New Roman" w:cs="Times New Roman"/>
      <w:lang w:eastAsia="pt-BR" w:bidi="en-US"/>
    </w:rPr>
  </w:style>
  <w:style w:type="table" w:styleId="Tabelaclssica2">
    <w:name w:val="Table Classic 2"/>
    <w:basedOn w:val="Tabelanormal"/>
    <w:rsid w:val="000020B9"/>
    <w:pPr>
      <w:spacing w:after="0" w:line="240" w:lineRule="auto"/>
      <w:jc w:val="left"/>
    </w:pPr>
    <w:rPr>
      <w:rFonts w:ascii="Times New Roman" w:eastAsia="Times New Roman" w:hAnsi="Times New Roman" w:cs="Times New Roman"/>
      <w:sz w:val="20"/>
      <w:szCs w:val="20"/>
      <w:lang w:val="pt-BR" w:eastAsia="pt-B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Cabealho">
    <w:name w:val="header"/>
    <w:basedOn w:val="Normal"/>
    <w:link w:val="CabealhoChar"/>
    <w:uiPriority w:val="99"/>
    <w:unhideWhenUsed/>
    <w:rsid w:val="000020B9"/>
    <w:pPr>
      <w:tabs>
        <w:tab w:val="center" w:pos="4513"/>
        <w:tab w:val="right" w:pos="9026"/>
      </w:tabs>
    </w:pPr>
  </w:style>
  <w:style w:type="character" w:customStyle="1" w:styleId="CabealhoChar">
    <w:name w:val="Cabeçalho Char"/>
    <w:basedOn w:val="Fontepargpadro"/>
    <w:link w:val="Cabealho"/>
    <w:uiPriority w:val="99"/>
    <w:rsid w:val="000020B9"/>
    <w:rPr>
      <w:rFonts w:ascii="Times New Roman" w:eastAsia="Times New Roman" w:hAnsi="Times New Roman" w:cs="Times New Roman"/>
      <w:lang w:val="pt-BR" w:eastAsia="pt-BR"/>
    </w:rPr>
  </w:style>
  <w:style w:type="paragraph" w:styleId="Textodenotadefim">
    <w:name w:val="endnote text"/>
    <w:basedOn w:val="Normal"/>
    <w:link w:val="TextodenotadefimChar"/>
    <w:uiPriority w:val="99"/>
    <w:semiHidden/>
    <w:unhideWhenUsed/>
    <w:rsid w:val="000020B9"/>
    <w:rPr>
      <w:sz w:val="20"/>
      <w:szCs w:val="20"/>
    </w:rPr>
  </w:style>
  <w:style w:type="character" w:customStyle="1" w:styleId="TextodenotadefimChar">
    <w:name w:val="Texto de nota de fim Char"/>
    <w:basedOn w:val="Fontepargpadro"/>
    <w:link w:val="Textodenotadefim"/>
    <w:uiPriority w:val="99"/>
    <w:semiHidden/>
    <w:rsid w:val="000020B9"/>
    <w:rPr>
      <w:rFonts w:ascii="Times New Roman" w:eastAsia="Times New Roman" w:hAnsi="Times New Roman" w:cs="Times New Roman"/>
      <w:sz w:val="20"/>
      <w:szCs w:val="20"/>
      <w:lang w:val="pt-BR" w:eastAsia="pt-BR"/>
    </w:rPr>
  </w:style>
  <w:style w:type="character" w:styleId="Refdenotadefim">
    <w:name w:val="endnote reference"/>
    <w:uiPriority w:val="99"/>
    <w:semiHidden/>
    <w:unhideWhenUsed/>
    <w:rsid w:val="000020B9"/>
    <w:rPr>
      <w:vertAlign w:val="superscript"/>
    </w:rPr>
  </w:style>
  <w:style w:type="character" w:customStyle="1" w:styleId="st">
    <w:name w:val="st"/>
    <w:rsid w:val="000020B9"/>
  </w:style>
  <w:style w:type="character" w:styleId="nfase">
    <w:name w:val="Emphasis"/>
    <w:uiPriority w:val="20"/>
    <w:qFormat/>
    <w:rsid w:val="000020B9"/>
    <w:rPr>
      <w:i/>
      <w:iCs/>
    </w:rPr>
  </w:style>
  <w:style w:type="paragraph" w:styleId="Textodebalo">
    <w:name w:val="Balloon Text"/>
    <w:basedOn w:val="Normal"/>
    <w:link w:val="TextodebaloChar"/>
    <w:uiPriority w:val="99"/>
    <w:semiHidden/>
    <w:unhideWhenUsed/>
    <w:rsid w:val="000020B9"/>
    <w:rPr>
      <w:rFonts w:ascii="Tahoma" w:hAnsi="Tahoma" w:cs="Tahoma"/>
      <w:sz w:val="16"/>
      <w:szCs w:val="16"/>
    </w:rPr>
  </w:style>
  <w:style w:type="character" w:customStyle="1" w:styleId="TextodebaloChar">
    <w:name w:val="Texto de balão Char"/>
    <w:basedOn w:val="Fontepargpadro"/>
    <w:link w:val="Textodebalo"/>
    <w:uiPriority w:val="99"/>
    <w:semiHidden/>
    <w:rsid w:val="000020B9"/>
    <w:rPr>
      <w:rFonts w:ascii="Tahoma" w:eastAsia="Times New Roman" w:hAnsi="Tahoma" w:cs="Tahoma"/>
      <w:sz w:val="16"/>
      <w:szCs w:val="16"/>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8641</Words>
  <Characters>46664</Characters>
  <Application>Microsoft Office Word</Application>
  <DocSecurity>0</DocSecurity>
  <Lines>388</Lines>
  <Paragraphs>110</Paragraphs>
  <ScaleCrop>false</ScaleCrop>
  <Company/>
  <LinksUpToDate>false</LinksUpToDate>
  <CharactersWithSpaces>55195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2020-11-17T20:37:00Z</dcterms:created>
  <dcterms:modified xsi:type="dcterms:W3CDTF">2020-11-17T20:38:00Z</dcterms:modified>
</cp:coreProperties>
</file>