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57F" w:rsidRDefault="0010757F" w:rsidP="0010757F">
      <w:pPr>
        <w:spacing w:line="240" w:lineRule="auto"/>
        <w:ind w:firstLine="709"/>
        <w:contextualSpacing/>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t>41º Encontro Nacional de Economia</w:t>
      </w:r>
    </w:p>
    <w:p w:rsidR="0010757F" w:rsidRDefault="0010757F" w:rsidP="0010757F">
      <w:pPr>
        <w:spacing w:line="240" w:lineRule="auto"/>
        <w:ind w:firstLine="709"/>
        <w:contextualSpacing/>
        <w:rPr>
          <w:rFonts w:ascii="Times New Roman" w:eastAsiaTheme="minorEastAsia" w:hAnsi="Times New Roman" w:cs="Times New Roman"/>
          <w:b/>
          <w:sz w:val="24"/>
          <w:szCs w:val="24"/>
          <w:lang w:eastAsia="pt-BR"/>
        </w:rPr>
      </w:pPr>
    </w:p>
    <w:p w:rsidR="0010757F" w:rsidRDefault="0010757F" w:rsidP="0010757F">
      <w:pPr>
        <w:spacing w:line="240" w:lineRule="auto"/>
        <w:ind w:firstLine="709"/>
        <w:contextualSpacing/>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t>Área 10 – Economia Regional e Urbana</w:t>
      </w:r>
    </w:p>
    <w:p w:rsidR="0010757F" w:rsidRDefault="0010757F" w:rsidP="0010757F">
      <w:pPr>
        <w:spacing w:line="240" w:lineRule="auto"/>
        <w:ind w:firstLine="709"/>
        <w:contextualSpacing/>
        <w:rPr>
          <w:rFonts w:ascii="Times New Roman" w:eastAsiaTheme="minorEastAsia" w:hAnsi="Times New Roman" w:cs="Times New Roman"/>
          <w:b/>
          <w:sz w:val="24"/>
          <w:szCs w:val="24"/>
          <w:lang w:eastAsia="pt-BR"/>
        </w:rPr>
      </w:pPr>
    </w:p>
    <w:p w:rsidR="0010757F" w:rsidRDefault="0010757F" w:rsidP="0010757F">
      <w:pPr>
        <w:spacing w:line="240" w:lineRule="auto"/>
        <w:ind w:firstLine="709"/>
        <w:contextualSpacing/>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t xml:space="preserve">Título </w:t>
      </w:r>
    </w:p>
    <w:p w:rsidR="0010757F" w:rsidRPr="007D66F9" w:rsidRDefault="0010757F" w:rsidP="0010757F">
      <w:pPr>
        <w:spacing w:line="240" w:lineRule="auto"/>
        <w:ind w:left="709"/>
        <w:contextualSpacing/>
        <w:rPr>
          <w:rFonts w:ascii="Times New Roman" w:eastAsiaTheme="minorEastAsia" w:hAnsi="Times New Roman" w:cs="Times New Roman"/>
          <w:b/>
          <w:i/>
          <w:sz w:val="24"/>
          <w:szCs w:val="24"/>
          <w:lang w:eastAsia="pt-BR"/>
        </w:rPr>
      </w:pPr>
      <w:r>
        <w:rPr>
          <w:rFonts w:ascii="Times New Roman" w:eastAsiaTheme="minorEastAsia" w:hAnsi="Times New Roman" w:cs="Times New Roman"/>
          <w:b/>
          <w:sz w:val="24"/>
          <w:szCs w:val="24"/>
          <w:lang w:eastAsia="pt-BR"/>
        </w:rPr>
        <w:t xml:space="preserve">Avaliação de Impacto de Reconhecimento de Direito de Propriedade </w:t>
      </w:r>
      <w:r>
        <w:rPr>
          <w:rFonts w:ascii="Times New Roman" w:eastAsiaTheme="minorEastAsia" w:hAnsi="Times New Roman" w:cs="Times New Roman"/>
          <w:b/>
          <w:i/>
          <w:sz w:val="24"/>
          <w:szCs w:val="24"/>
          <w:lang w:eastAsia="pt-BR"/>
        </w:rPr>
        <w:t>de facto</w:t>
      </w:r>
      <w:r>
        <w:rPr>
          <w:rFonts w:ascii="Times New Roman" w:eastAsiaTheme="minorEastAsia" w:hAnsi="Times New Roman" w:cs="Times New Roman"/>
          <w:b/>
          <w:sz w:val="24"/>
          <w:szCs w:val="24"/>
          <w:lang w:eastAsia="pt-BR"/>
        </w:rPr>
        <w:t xml:space="preserve">: uma análise de </w:t>
      </w:r>
      <w:proofErr w:type="spellStart"/>
      <w:r>
        <w:rPr>
          <w:rFonts w:ascii="Times New Roman" w:eastAsiaTheme="minorEastAsia" w:hAnsi="Times New Roman" w:cs="Times New Roman"/>
          <w:b/>
          <w:i/>
          <w:sz w:val="24"/>
          <w:szCs w:val="24"/>
          <w:lang w:eastAsia="pt-BR"/>
        </w:rPr>
        <w:t>propensity</w:t>
      </w:r>
      <w:proofErr w:type="spellEnd"/>
      <w:r>
        <w:rPr>
          <w:rFonts w:ascii="Times New Roman" w:eastAsiaTheme="minorEastAsia" w:hAnsi="Times New Roman" w:cs="Times New Roman"/>
          <w:b/>
          <w:i/>
          <w:sz w:val="24"/>
          <w:szCs w:val="24"/>
          <w:lang w:eastAsia="pt-BR"/>
        </w:rPr>
        <w:t xml:space="preserve"> score </w:t>
      </w:r>
      <w:proofErr w:type="spellStart"/>
      <w:r>
        <w:rPr>
          <w:rFonts w:ascii="Times New Roman" w:eastAsiaTheme="minorEastAsia" w:hAnsi="Times New Roman" w:cs="Times New Roman"/>
          <w:b/>
          <w:i/>
          <w:sz w:val="24"/>
          <w:szCs w:val="24"/>
          <w:lang w:eastAsia="pt-BR"/>
        </w:rPr>
        <w:t>matching</w:t>
      </w:r>
      <w:proofErr w:type="spellEnd"/>
    </w:p>
    <w:p w:rsidR="0010757F" w:rsidRDefault="0010757F" w:rsidP="0010757F">
      <w:pPr>
        <w:spacing w:line="240" w:lineRule="auto"/>
        <w:ind w:firstLine="709"/>
        <w:contextualSpacing/>
        <w:rPr>
          <w:rFonts w:ascii="Times New Roman" w:eastAsiaTheme="minorEastAsia" w:hAnsi="Times New Roman" w:cs="Times New Roman"/>
          <w:b/>
          <w:i/>
          <w:sz w:val="24"/>
          <w:szCs w:val="24"/>
          <w:lang w:eastAsia="pt-BR"/>
        </w:rPr>
      </w:pPr>
    </w:p>
    <w:p w:rsidR="0010757F" w:rsidRDefault="0010757F" w:rsidP="0010757F">
      <w:pPr>
        <w:spacing w:line="240" w:lineRule="auto"/>
        <w:ind w:firstLine="709"/>
        <w:contextualSpacing/>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t>Autores</w:t>
      </w:r>
    </w:p>
    <w:p w:rsidR="0010757F" w:rsidRPr="00020EE2" w:rsidRDefault="0010757F" w:rsidP="0010757F">
      <w:pPr>
        <w:spacing w:line="240" w:lineRule="auto"/>
        <w:ind w:firstLine="709"/>
        <w:contextualSpacing/>
        <w:rPr>
          <w:rFonts w:ascii="Times New Roman" w:eastAsiaTheme="minorEastAsia" w:hAnsi="Times New Roman" w:cs="Times New Roman"/>
          <w:b/>
          <w:sz w:val="24"/>
          <w:szCs w:val="24"/>
          <w:lang w:eastAsia="pt-BR"/>
        </w:rPr>
      </w:pPr>
      <w:r w:rsidRPr="00020EE2">
        <w:rPr>
          <w:rFonts w:ascii="Times New Roman" w:eastAsiaTheme="minorEastAsia" w:hAnsi="Times New Roman" w:cs="Times New Roman"/>
          <w:b/>
          <w:sz w:val="24"/>
          <w:szCs w:val="24"/>
          <w:lang w:eastAsia="pt-BR"/>
        </w:rPr>
        <w:t>1 – Rafael Santos Dantas</w:t>
      </w:r>
    </w:p>
    <w:p w:rsidR="0010757F" w:rsidRDefault="0010757F" w:rsidP="0010757F">
      <w:pPr>
        <w:spacing w:line="240" w:lineRule="auto"/>
        <w:ind w:firstLine="709"/>
        <w:contextualSpacing/>
        <w:rPr>
          <w:rFonts w:ascii="Times New Roman" w:eastAsiaTheme="minorEastAsia" w:hAnsi="Times New Roman" w:cs="Times New Roman"/>
          <w:sz w:val="24"/>
          <w:szCs w:val="24"/>
          <w:lang w:eastAsia="pt-BR"/>
        </w:rPr>
      </w:pPr>
      <w:r w:rsidRPr="00020EE2">
        <w:rPr>
          <w:rFonts w:ascii="Times New Roman" w:eastAsiaTheme="minorEastAsia" w:hAnsi="Times New Roman" w:cs="Times New Roman"/>
          <w:sz w:val="24"/>
          <w:szCs w:val="24"/>
          <w:lang w:eastAsia="pt-BR"/>
        </w:rPr>
        <w:t>Mestre em Economia pela UnB</w:t>
      </w:r>
    </w:p>
    <w:p w:rsidR="0010757F" w:rsidRPr="00020EE2" w:rsidRDefault="00865A14" w:rsidP="0010757F">
      <w:pPr>
        <w:spacing w:line="240" w:lineRule="auto"/>
        <w:ind w:firstLine="709"/>
        <w:contextualSpacing/>
        <w:rPr>
          <w:rFonts w:ascii="Times New Roman" w:eastAsiaTheme="minorEastAsia" w:hAnsi="Times New Roman" w:cs="Times New Roman"/>
          <w:sz w:val="24"/>
          <w:szCs w:val="24"/>
          <w:lang w:eastAsia="pt-BR"/>
        </w:rPr>
      </w:pPr>
      <w:hyperlink r:id="rId9" w:history="1">
        <w:r w:rsidR="0010757F" w:rsidRPr="000B435B">
          <w:rPr>
            <w:rStyle w:val="Hyperlink"/>
            <w:rFonts w:ascii="Times New Roman" w:eastAsiaTheme="minorEastAsia" w:hAnsi="Times New Roman" w:cs="Times New Roman"/>
            <w:sz w:val="24"/>
            <w:szCs w:val="24"/>
            <w:lang w:eastAsia="pt-BR"/>
          </w:rPr>
          <w:t>rafdantas@gmail.com</w:t>
        </w:r>
      </w:hyperlink>
    </w:p>
    <w:p w:rsidR="0010757F" w:rsidRPr="00020EE2" w:rsidRDefault="0010757F" w:rsidP="0010757F">
      <w:pPr>
        <w:spacing w:line="240" w:lineRule="auto"/>
        <w:ind w:firstLine="709"/>
        <w:contextualSpacing/>
        <w:rPr>
          <w:rFonts w:ascii="Times New Roman" w:eastAsiaTheme="minorEastAsia" w:hAnsi="Times New Roman" w:cs="Times New Roman"/>
          <w:b/>
          <w:sz w:val="24"/>
          <w:szCs w:val="24"/>
          <w:lang w:eastAsia="pt-BR"/>
        </w:rPr>
      </w:pPr>
      <w:proofErr w:type="gramStart"/>
      <w:r w:rsidRPr="00020EE2">
        <w:rPr>
          <w:rFonts w:ascii="Times New Roman" w:eastAsiaTheme="minorEastAsia" w:hAnsi="Times New Roman" w:cs="Times New Roman"/>
          <w:b/>
          <w:sz w:val="24"/>
          <w:szCs w:val="24"/>
          <w:lang w:eastAsia="pt-BR"/>
        </w:rPr>
        <w:t xml:space="preserve">2 – Maria Eduarda </w:t>
      </w:r>
      <w:proofErr w:type="spellStart"/>
      <w:r w:rsidRPr="00020EE2">
        <w:rPr>
          <w:rFonts w:ascii="Times New Roman" w:eastAsiaTheme="minorEastAsia" w:hAnsi="Times New Roman" w:cs="Times New Roman"/>
          <w:b/>
          <w:sz w:val="24"/>
          <w:szCs w:val="24"/>
          <w:lang w:eastAsia="pt-BR"/>
        </w:rPr>
        <w:t>Tannuri</w:t>
      </w:r>
      <w:proofErr w:type="gramEnd"/>
      <w:r w:rsidRPr="00020EE2">
        <w:rPr>
          <w:rFonts w:ascii="Times New Roman" w:eastAsiaTheme="minorEastAsia" w:hAnsi="Times New Roman" w:cs="Times New Roman"/>
          <w:b/>
          <w:sz w:val="24"/>
          <w:szCs w:val="24"/>
          <w:lang w:eastAsia="pt-BR"/>
        </w:rPr>
        <w:t>-Pianto</w:t>
      </w:r>
      <w:proofErr w:type="spellEnd"/>
    </w:p>
    <w:p w:rsidR="0010757F" w:rsidRDefault="0010757F" w:rsidP="0010757F">
      <w:pPr>
        <w:spacing w:line="240" w:lineRule="auto"/>
        <w:ind w:firstLine="709"/>
        <w:contextualSpacing/>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Professora </w:t>
      </w:r>
      <w:r w:rsidR="009209C5">
        <w:rPr>
          <w:rFonts w:ascii="Times New Roman" w:eastAsiaTheme="minorEastAsia" w:hAnsi="Times New Roman" w:cs="Times New Roman"/>
          <w:sz w:val="24"/>
          <w:szCs w:val="24"/>
          <w:lang w:eastAsia="pt-BR"/>
        </w:rPr>
        <w:t>Associada do Departamento de E</w:t>
      </w:r>
      <w:r w:rsidR="00EF4553">
        <w:rPr>
          <w:rFonts w:ascii="Times New Roman" w:eastAsiaTheme="minorEastAsia" w:hAnsi="Times New Roman" w:cs="Times New Roman"/>
          <w:sz w:val="24"/>
          <w:szCs w:val="24"/>
          <w:lang w:eastAsia="pt-BR"/>
        </w:rPr>
        <w:t>c</w:t>
      </w:r>
      <w:r w:rsidR="009209C5">
        <w:rPr>
          <w:rFonts w:ascii="Times New Roman" w:eastAsiaTheme="minorEastAsia" w:hAnsi="Times New Roman" w:cs="Times New Roman"/>
          <w:sz w:val="24"/>
          <w:szCs w:val="24"/>
          <w:lang w:eastAsia="pt-BR"/>
        </w:rPr>
        <w:t>onomia da UnB</w:t>
      </w:r>
    </w:p>
    <w:p w:rsidR="0010757F" w:rsidRDefault="00865A14" w:rsidP="0010757F">
      <w:pPr>
        <w:spacing w:line="240" w:lineRule="auto"/>
        <w:ind w:firstLine="709"/>
        <w:contextualSpacing/>
        <w:rPr>
          <w:rFonts w:ascii="Times New Roman" w:eastAsiaTheme="minorEastAsia" w:hAnsi="Times New Roman" w:cs="Times New Roman"/>
          <w:sz w:val="24"/>
          <w:szCs w:val="24"/>
          <w:lang w:eastAsia="pt-BR"/>
        </w:rPr>
      </w:pPr>
      <w:hyperlink r:id="rId10" w:history="1">
        <w:r w:rsidR="0010757F" w:rsidRPr="000B435B">
          <w:rPr>
            <w:rStyle w:val="Hyperlink"/>
            <w:rFonts w:ascii="Times New Roman" w:eastAsiaTheme="minorEastAsia" w:hAnsi="Times New Roman" w:cs="Times New Roman"/>
            <w:sz w:val="24"/>
            <w:szCs w:val="24"/>
            <w:lang w:eastAsia="pt-BR"/>
          </w:rPr>
          <w:t>tannuri@unb.br</w:t>
        </w:r>
      </w:hyperlink>
    </w:p>
    <w:p w:rsidR="0010757F" w:rsidRDefault="0010757F" w:rsidP="0010757F">
      <w:pPr>
        <w:spacing w:line="240" w:lineRule="auto"/>
        <w:ind w:firstLine="709"/>
        <w:contextualSpacing/>
        <w:rPr>
          <w:rFonts w:ascii="Times New Roman" w:eastAsiaTheme="minorEastAsia" w:hAnsi="Times New Roman" w:cs="Times New Roman"/>
          <w:sz w:val="24"/>
          <w:szCs w:val="24"/>
          <w:lang w:eastAsia="pt-BR"/>
        </w:rPr>
      </w:pPr>
    </w:p>
    <w:p w:rsidR="0010757F" w:rsidRDefault="0010757F" w:rsidP="0010757F">
      <w:pPr>
        <w:spacing w:line="240" w:lineRule="auto"/>
        <w:ind w:firstLine="709"/>
        <w:contextualSpacing/>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t>RESUMO</w:t>
      </w:r>
    </w:p>
    <w:p w:rsidR="0010757F" w:rsidRPr="00CB46CF" w:rsidRDefault="0010757F" w:rsidP="0010757F">
      <w:pPr>
        <w:spacing w:after="0" w:line="240" w:lineRule="auto"/>
        <w:ind w:left="709"/>
        <w:contextualSpacing/>
        <w:jc w:val="both"/>
      </w:pPr>
      <w:r>
        <w:rPr>
          <w:rFonts w:ascii="Times New Roman" w:eastAsiaTheme="minorEastAsia" w:hAnsi="Times New Roman" w:cs="Times New Roman"/>
          <w:sz w:val="24"/>
          <w:szCs w:val="24"/>
          <w:lang w:eastAsia="pt-BR"/>
        </w:rPr>
        <w:t xml:space="preserve">Este artigo tem o objetivo de analisar o impacto do programa de regularização fundiária urbana do Distrito Federal na oferta de trabalho, no rendimento do trabalho e no investimento domiciliar das famílias beneficiárias de baixa renda através do método de </w:t>
      </w:r>
      <w:proofErr w:type="spellStart"/>
      <w:r>
        <w:rPr>
          <w:rFonts w:ascii="Times New Roman" w:eastAsiaTheme="minorEastAsia" w:hAnsi="Times New Roman" w:cs="Times New Roman"/>
          <w:i/>
          <w:sz w:val="24"/>
          <w:szCs w:val="24"/>
          <w:lang w:eastAsia="pt-BR"/>
        </w:rPr>
        <w:t>propensity</w:t>
      </w:r>
      <w:proofErr w:type="spellEnd"/>
      <w:r>
        <w:rPr>
          <w:rFonts w:ascii="Times New Roman" w:eastAsiaTheme="minorEastAsia" w:hAnsi="Times New Roman" w:cs="Times New Roman"/>
          <w:i/>
          <w:sz w:val="24"/>
          <w:szCs w:val="24"/>
          <w:lang w:eastAsia="pt-BR"/>
        </w:rPr>
        <w:t xml:space="preserve"> score </w:t>
      </w:r>
      <w:proofErr w:type="spellStart"/>
      <w:r>
        <w:rPr>
          <w:rFonts w:ascii="Times New Roman" w:eastAsiaTheme="minorEastAsia" w:hAnsi="Times New Roman" w:cs="Times New Roman"/>
          <w:i/>
          <w:sz w:val="24"/>
          <w:szCs w:val="24"/>
          <w:lang w:eastAsia="pt-BR"/>
        </w:rPr>
        <w:t>matching</w:t>
      </w:r>
      <w:proofErr w:type="spellEnd"/>
      <w:r>
        <w:rPr>
          <w:rFonts w:ascii="Times New Roman" w:eastAsiaTheme="minorEastAsia" w:hAnsi="Times New Roman" w:cs="Times New Roman"/>
          <w:sz w:val="24"/>
          <w:szCs w:val="24"/>
          <w:lang w:eastAsia="pt-BR"/>
        </w:rPr>
        <w:t xml:space="preserve">. O programa é instituído em 2009 no Plano Diretor de Ordenamento Territorial – PDOT que define as áreas de interesse social passíveis de regularização. Essa definição é considerada como um reconhecimento do direito de propriedade </w:t>
      </w:r>
      <w:r>
        <w:rPr>
          <w:rFonts w:ascii="Times New Roman" w:eastAsiaTheme="minorEastAsia" w:hAnsi="Times New Roman" w:cs="Times New Roman"/>
          <w:i/>
          <w:sz w:val="24"/>
          <w:szCs w:val="24"/>
          <w:lang w:eastAsia="pt-BR"/>
        </w:rPr>
        <w:t>de facto</w:t>
      </w:r>
      <w:r>
        <w:rPr>
          <w:rFonts w:ascii="Times New Roman" w:eastAsiaTheme="minorEastAsia" w:hAnsi="Times New Roman" w:cs="Times New Roman"/>
          <w:sz w:val="24"/>
          <w:szCs w:val="24"/>
          <w:lang w:eastAsia="pt-BR"/>
        </w:rPr>
        <w:t xml:space="preserve"> em contraposição à concessão do direito de propriedade </w:t>
      </w:r>
      <w:r>
        <w:rPr>
          <w:rFonts w:ascii="Times New Roman" w:eastAsiaTheme="minorEastAsia" w:hAnsi="Times New Roman" w:cs="Times New Roman"/>
          <w:i/>
          <w:sz w:val="24"/>
          <w:szCs w:val="24"/>
          <w:lang w:eastAsia="pt-BR"/>
        </w:rPr>
        <w:t xml:space="preserve">de jure </w:t>
      </w:r>
      <w:r>
        <w:rPr>
          <w:rFonts w:ascii="Times New Roman" w:eastAsiaTheme="minorEastAsia" w:hAnsi="Times New Roman" w:cs="Times New Roman"/>
          <w:sz w:val="24"/>
          <w:szCs w:val="24"/>
          <w:lang w:eastAsia="pt-BR"/>
        </w:rPr>
        <w:t>– a entrega da escritura definitiva</w:t>
      </w:r>
      <w:proofErr w:type="gramStart"/>
      <w:r>
        <w:rPr>
          <w:rFonts w:ascii="Times New Roman" w:eastAsiaTheme="minorEastAsia" w:hAnsi="Times New Roman" w:cs="Times New Roman"/>
          <w:sz w:val="24"/>
          <w:szCs w:val="24"/>
          <w:lang w:eastAsia="pt-BR"/>
        </w:rPr>
        <w:softHyphen/>
        <w:t xml:space="preserve"> ,</w:t>
      </w:r>
      <w:proofErr w:type="gramEnd"/>
      <w:r>
        <w:rPr>
          <w:rFonts w:ascii="Times New Roman" w:eastAsiaTheme="minorEastAsia" w:hAnsi="Times New Roman" w:cs="Times New Roman"/>
          <w:sz w:val="24"/>
          <w:szCs w:val="24"/>
          <w:lang w:eastAsia="pt-BR"/>
        </w:rPr>
        <w:t xml:space="preserve"> que, quando da aplicação dos questionários da base de dados utilizada, ainda não havia sido efetivada. Essa base é proveniente da </w:t>
      </w:r>
      <w:r w:rsidRPr="00CE31A5">
        <w:rPr>
          <w:rFonts w:ascii="Times New Roman" w:eastAsiaTheme="minorEastAsia" w:hAnsi="Times New Roman" w:cs="Times New Roman"/>
          <w:sz w:val="24"/>
          <w:szCs w:val="24"/>
          <w:lang w:eastAsia="pt-BR"/>
        </w:rPr>
        <w:t>Pesquisa Socioeconômica em Territórios de Vulnerabilidade Social no Distrito Federal</w:t>
      </w:r>
      <w:r>
        <w:rPr>
          <w:rFonts w:ascii="Times New Roman" w:eastAsiaTheme="minorEastAsia" w:hAnsi="Times New Roman" w:cs="Times New Roman"/>
          <w:sz w:val="24"/>
          <w:szCs w:val="24"/>
          <w:lang w:eastAsia="pt-BR"/>
        </w:rPr>
        <w:t xml:space="preserve"> realizada pelo DIESSE em 2010. Os resultados são consistentes com a literatura empírica e apontam uma maior oferta de trabalho dos homens dos domicílios tratados, maiores rendimentos e maior propensão a investir quando comparados ao grupo de controle. </w:t>
      </w:r>
    </w:p>
    <w:p w:rsidR="0010757F" w:rsidRDefault="0010757F" w:rsidP="0010757F">
      <w:pPr>
        <w:spacing w:after="0" w:line="240" w:lineRule="auto"/>
        <w:ind w:left="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Palavras-chave: Direito de Propriedade, Regularização Fundiária, </w:t>
      </w:r>
      <w:proofErr w:type="spellStart"/>
      <w:r>
        <w:rPr>
          <w:rFonts w:ascii="Times New Roman" w:eastAsiaTheme="minorEastAsia" w:hAnsi="Times New Roman" w:cs="Times New Roman"/>
          <w:sz w:val="24"/>
          <w:szCs w:val="24"/>
          <w:lang w:eastAsia="pt-BR"/>
        </w:rPr>
        <w:t>Propensity</w:t>
      </w:r>
      <w:proofErr w:type="spellEnd"/>
      <w:r>
        <w:rPr>
          <w:rFonts w:ascii="Times New Roman" w:eastAsiaTheme="minorEastAsia" w:hAnsi="Times New Roman" w:cs="Times New Roman"/>
          <w:sz w:val="24"/>
          <w:szCs w:val="24"/>
          <w:lang w:eastAsia="pt-BR"/>
        </w:rPr>
        <w:t xml:space="preserve"> Score </w:t>
      </w:r>
      <w:proofErr w:type="spellStart"/>
      <w:proofErr w:type="gramStart"/>
      <w:r>
        <w:rPr>
          <w:rFonts w:ascii="Times New Roman" w:eastAsiaTheme="minorEastAsia" w:hAnsi="Times New Roman" w:cs="Times New Roman"/>
          <w:sz w:val="24"/>
          <w:szCs w:val="24"/>
          <w:lang w:eastAsia="pt-BR"/>
        </w:rPr>
        <w:t>Matching</w:t>
      </w:r>
      <w:proofErr w:type="spellEnd"/>
      <w:proofErr w:type="gramEnd"/>
    </w:p>
    <w:p w:rsidR="0010757F" w:rsidRDefault="0010757F" w:rsidP="0010757F">
      <w:pPr>
        <w:spacing w:after="0" w:line="240" w:lineRule="auto"/>
        <w:ind w:left="709"/>
        <w:contextualSpacing/>
        <w:jc w:val="both"/>
        <w:rPr>
          <w:rFonts w:ascii="Times New Roman" w:eastAsiaTheme="minorEastAsia" w:hAnsi="Times New Roman" w:cs="Times New Roman"/>
          <w:sz w:val="24"/>
          <w:szCs w:val="24"/>
          <w:lang w:eastAsia="pt-BR"/>
        </w:rPr>
      </w:pPr>
    </w:p>
    <w:p w:rsidR="0010757F" w:rsidRDefault="0010757F" w:rsidP="0010757F">
      <w:pPr>
        <w:spacing w:after="0" w:line="240" w:lineRule="auto"/>
        <w:ind w:left="709"/>
        <w:contextualSpacing/>
        <w:jc w:val="both"/>
        <w:rPr>
          <w:rFonts w:ascii="Times New Roman" w:eastAsiaTheme="minorEastAsia" w:hAnsi="Times New Roman" w:cs="Times New Roman"/>
          <w:sz w:val="24"/>
          <w:szCs w:val="24"/>
          <w:lang w:eastAsia="pt-BR"/>
        </w:rPr>
      </w:pPr>
    </w:p>
    <w:p w:rsidR="0010757F" w:rsidRPr="000C1E9C" w:rsidRDefault="0010757F" w:rsidP="0010757F">
      <w:pPr>
        <w:spacing w:after="0" w:line="240" w:lineRule="auto"/>
        <w:ind w:left="709"/>
        <w:contextualSpacing/>
        <w:jc w:val="both"/>
        <w:rPr>
          <w:rFonts w:ascii="Times New Roman" w:eastAsiaTheme="minorEastAsia" w:hAnsi="Times New Roman" w:cs="Times New Roman"/>
          <w:b/>
          <w:sz w:val="24"/>
          <w:szCs w:val="24"/>
          <w:lang w:val="en-US" w:eastAsia="pt-BR"/>
        </w:rPr>
      </w:pPr>
      <w:r w:rsidRPr="000C1E9C">
        <w:rPr>
          <w:rFonts w:ascii="Times New Roman" w:eastAsiaTheme="minorEastAsia" w:hAnsi="Times New Roman" w:cs="Times New Roman"/>
          <w:b/>
          <w:sz w:val="24"/>
          <w:szCs w:val="24"/>
          <w:lang w:val="en-US" w:eastAsia="pt-BR"/>
        </w:rPr>
        <w:t>ABSTRACT</w:t>
      </w:r>
    </w:p>
    <w:p w:rsidR="0010757F" w:rsidRPr="000C1E9C" w:rsidRDefault="0010757F" w:rsidP="0010757F">
      <w:pPr>
        <w:spacing w:after="0" w:line="240" w:lineRule="auto"/>
        <w:ind w:left="709"/>
        <w:contextualSpacing/>
        <w:jc w:val="both"/>
        <w:rPr>
          <w:rFonts w:ascii="Times New Roman" w:eastAsiaTheme="minorEastAsia" w:hAnsi="Times New Roman" w:cs="Times New Roman"/>
          <w:sz w:val="24"/>
          <w:szCs w:val="24"/>
          <w:lang w:val="en-US" w:eastAsia="pt-BR"/>
        </w:rPr>
      </w:pPr>
      <w:r w:rsidRPr="000C1E9C">
        <w:rPr>
          <w:rFonts w:ascii="Times New Roman" w:eastAsiaTheme="minorEastAsia" w:hAnsi="Times New Roman" w:cs="Times New Roman"/>
          <w:sz w:val="24"/>
          <w:szCs w:val="24"/>
          <w:lang w:val="en-US" w:eastAsia="pt-BR"/>
        </w:rPr>
        <w:t>This article aims to a</w:t>
      </w:r>
      <w:r>
        <w:rPr>
          <w:rFonts w:ascii="Times New Roman" w:eastAsiaTheme="minorEastAsia" w:hAnsi="Times New Roman" w:cs="Times New Roman"/>
          <w:sz w:val="24"/>
          <w:szCs w:val="24"/>
          <w:lang w:val="en-US" w:eastAsia="pt-BR"/>
        </w:rPr>
        <w:t>nalyze the impact of urban land-titling</w:t>
      </w:r>
      <w:r w:rsidRPr="000C1E9C">
        <w:rPr>
          <w:rFonts w:ascii="Times New Roman" w:eastAsiaTheme="minorEastAsia" w:hAnsi="Times New Roman" w:cs="Times New Roman"/>
          <w:sz w:val="24"/>
          <w:szCs w:val="24"/>
          <w:lang w:val="en-US" w:eastAsia="pt-BR"/>
        </w:rPr>
        <w:t xml:space="preserve"> program </w:t>
      </w:r>
      <w:r>
        <w:rPr>
          <w:rFonts w:ascii="Times New Roman" w:eastAsiaTheme="minorEastAsia" w:hAnsi="Times New Roman" w:cs="Times New Roman"/>
          <w:sz w:val="24"/>
          <w:szCs w:val="24"/>
          <w:lang w:val="en-US" w:eastAsia="pt-BR"/>
        </w:rPr>
        <w:t>in Distrito Federal o</w:t>
      </w:r>
      <w:r w:rsidRPr="000C1E9C">
        <w:rPr>
          <w:rFonts w:ascii="Times New Roman" w:eastAsiaTheme="minorEastAsia" w:hAnsi="Times New Roman" w:cs="Times New Roman"/>
          <w:sz w:val="24"/>
          <w:szCs w:val="24"/>
          <w:lang w:val="en-US" w:eastAsia="pt-BR"/>
        </w:rPr>
        <w:t xml:space="preserve">n the labor supply, </w:t>
      </w:r>
      <w:r>
        <w:rPr>
          <w:rFonts w:ascii="Times New Roman" w:eastAsiaTheme="minorEastAsia" w:hAnsi="Times New Roman" w:cs="Times New Roman"/>
          <w:sz w:val="24"/>
          <w:szCs w:val="24"/>
          <w:lang w:val="en-US" w:eastAsia="pt-BR"/>
        </w:rPr>
        <w:t>on</w:t>
      </w:r>
      <w:r w:rsidRPr="000C1E9C">
        <w:rPr>
          <w:rFonts w:ascii="Times New Roman" w:eastAsiaTheme="minorEastAsia" w:hAnsi="Times New Roman" w:cs="Times New Roman"/>
          <w:sz w:val="24"/>
          <w:szCs w:val="24"/>
          <w:lang w:val="en-US" w:eastAsia="pt-BR"/>
        </w:rPr>
        <w:t xml:space="preserve"> labor income and</w:t>
      </w:r>
      <w:r>
        <w:rPr>
          <w:rFonts w:ascii="Times New Roman" w:eastAsiaTheme="minorEastAsia" w:hAnsi="Times New Roman" w:cs="Times New Roman"/>
          <w:sz w:val="24"/>
          <w:szCs w:val="24"/>
          <w:lang w:val="en-US" w:eastAsia="pt-BR"/>
        </w:rPr>
        <w:t xml:space="preserve"> on home investment</w:t>
      </w:r>
      <w:r w:rsidRPr="000C1E9C">
        <w:rPr>
          <w:rFonts w:ascii="Times New Roman" w:eastAsiaTheme="minorEastAsia" w:hAnsi="Times New Roman" w:cs="Times New Roman"/>
          <w:sz w:val="24"/>
          <w:szCs w:val="24"/>
          <w:lang w:val="en-US" w:eastAsia="pt-BR"/>
        </w:rPr>
        <w:t xml:space="preserve"> </w:t>
      </w:r>
      <w:r>
        <w:rPr>
          <w:rFonts w:ascii="Times New Roman" w:eastAsiaTheme="minorEastAsia" w:hAnsi="Times New Roman" w:cs="Times New Roman"/>
          <w:sz w:val="24"/>
          <w:szCs w:val="24"/>
          <w:lang w:val="en-US" w:eastAsia="pt-BR"/>
        </w:rPr>
        <w:t>of low-income families using</w:t>
      </w:r>
      <w:r w:rsidRPr="000C1E9C">
        <w:rPr>
          <w:rFonts w:ascii="Times New Roman" w:eastAsiaTheme="minorEastAsia" w:hAnsi="Times New Roman" w:cs="Times New Roman"/>
          <w:sz w:val="24"/>
          <w:szCs w:val="24"/>
          <w:lang w:val="en-US" w:eastAsia="pt-BR"/>
        </w:rPr>
        <w:t xml:space="preserve"> the method of propensity score matching. The program </w:t>
      </w:r>
      <w:r>
        <w:rPr>
          <w:rFonts w:ascii="Times New Roman" w:eastAsiaTheme="minorEastAsia" w:hAnsi="Times New Roman" w:cs="Times New Roman"/>
          <w:sz w:val="24"/>
          <w:szCs w:val="24"/>
          <w:lang w:val="en-US" w:eastAsia="pt-BR"/>
        </w:rPr>
        <w:t>was</w:t>
      </w:r>
      <w:r w:rsidRPr="000C1E9C">
        <w:rPr>
          <w:rFonts w:ascii="Times New Roman" w:eastAsiaTheme="minorEastAsia" w:hAnsi="Times New Roman" w:cs="Times New Roman"/>
          <w:sz w:val="24"/>
          <w:szCs w:val="24"/>
          <w:lang w:val="en-US" w:eastAsia="pt-BR"/>
        </w:rPr>
        <w:t xml:space="preserve"> established </w:t>
      </w:r>
      <w:r>
        <w:rPr>
          <w:rFonts w:ascii="Times New Roman" w:eastAsiaTheme="minorEastAsia" w:hAnsi="Times New Roman" w:cs="Times New Roman"/>
          <w:sz w:val="24"/>
          <w:szCs w:val="24"/>
          <w:lang w:val="en-US" w:eastAsia="pt-BR"/>
        </w:rPr>
        <w:t xml:space="preserve">by the </w:t>
      </w:r>
      <w:r w:rsidRPr="00D67156">
        <w:rPr>
          <w:rFonts w:ascii="Times New Roman" w:eastAsiaTheme="minorEastAsia" w:hAnsi="Times New Roman" w:cs="Times New Roman"/>
          <w:sz w:val="24"/>
          <w:szCs w:val="24"/>
          <w:lang w:val="en-US" w:eastAsia="pt-BR"/>
        </w:rPr>
        <w:t xml:space="preserve">Plano </w:t>
      </w:r>
      <w:proofErr w:type="spellStart"/>
      <w:r w:rsidRPr="00D67156">
        <w:rPr>
          <w:rFonts w:ascii="Times New Roman" w:eastAsiaTheme="minorEastAsia" w:hAnsi="Times New Roman" w:cs="Times New Roman"/>
          <w:sz w:val="24"/>
          <w:szCs w:val="24"/>
          <w:lang w:val="en-US" w:eastAsia="pt-BR"/>
        </w:rPr>
        <w:t>Diretor</w:t>
      </w:r>
      <w:proofErr w:type="spellEnd"/>
      <w:r w:rsidRPr="00D67156">
        <w:rPr>
          <w:rFonts w:ascii="Times New Roman" w:eastAsiaTheme="minorEastAsia" w:hAnsi="Times New Roman" w:cs="Times New Roman"/>
          <w:sz w:val="24"/>
          <w:szCs w:val="24"/>
          <w:lang w:val="en-US" w:eastAsia="pt-BR"/>
        </w:rPr>
        <w:t xml:space="preserve"> de </w:t>
      </w:r>
      <w:proofErr w:type="spellStart"/>
      <w:r w:rsidRPr="00D67156">
        <w:rPr>
          <w:rFonts w:ascii="Times New Roman" w:eastAsiaTheme="minorEastAsia" w:hAnsi="Times New Roman" w:cs="Times New Roman"/>
          <w:sz w:val="24"/>
          <w:szCs w:val="24"/>
          <w:lang w:val="en-US" w:eastAsia="pt-BR"/>
        </w:rPr>
        <w:t>Ordenamento</w:t>
      </w:r>
      <w:proofErr w:type="spellEnd"/>
      <w:r w:rsidRPr="00D67156">
        <w:rPr>
          <w:rFonts w:ascii="Times New Roman" w:eastAsiaTheme="minorEastAsia" w:hAnsi="Times New Roman" w:cs="Times New Roman"/>
          <w:sz w:val="24"/>
          <w:szCs w:val="24"/>
          <w:lang w:val="en-US" w:eastAsia="pt-BR"/>
        </w:rPr>
        <w:t xml:space="preserve"> Territorial </w:t>
      </w:r>
      <w:r w:rsidRPr="000C1E9C">
        <w:rPr>
          <w:rFonts w:ascii="Times New Roman" w:eastAsiaTheme="minorEastAsia" w:hAnsi="Times New Roman" w:cs="Times New Roman"/>
          <w:sz w:val="24"/>
          <w:szCs w:val="24"/>
          <w:lang w:val="en-US" w:eastAsia="pt-BR"/>
        </w:rPr>
        <w:t xml:space="preserve">- PDOT </w:t>
      </w:r>
      <w:r>
        <w:rPr>
          <w:rFonts w:ascii="Times New Roman" w:eastAsiaTheme="minorEastAsia" w:hAnsi="Times New Roman" w:cs="Times New Roman"/>
          <w:sz w:val="24"/>
          <w:szCs w:val="24"/>
          <w:lang w:val="en-US" w:eastAsia="pt-BR"/>
        </w:rPr>
        <w:t>which</w:t>
      </w:r>
      <w:r w:rsidRPr="000C1E9C">
        <w:rPr>
          <w:rFonts w:ascii="Times New Roman" w:eastAsiaTheme="minorEastAsia" w:hAnsi="Times New Roman" w:cs="Times New Roman"/>
          <w:sz w:val="24"/>
          <w:szCs w:val="24"/>
          <w:lang w:val="en-US" w:eastAsia="pt-BR"/>
        </w:rPr>
        <w:t xml:space="preserve"> defines the areas of social interest subject to regularization. This definition is regarded as a recognition of </w:t>
      </w:r>
      <w:r>
        <w:rPr>
          <w:rFonts w:ascii="Times New Roman" w:eastAsiaTheme="minorEastAsia" w:hAnsi="Times New Roman" w:cs="Times New Roman"/>
          <w:i/>
          <w:sz w:val="24"/>
          <w:szCs w:val="24"/>
          <w:lang w:val="en-US" w:eastAsia="pt-BR"/>
        </w:rPr>
        <w:t>de facto</w:t>
      </w:r>
      <w:r>
        <w:rPr>
          <w:rFonts w:ascii="Times New Roman" w:eastAsiaTheme="minorEastAsia" w:hAnsi="Times New Roman" w:cs="Times New Roman"/>
          <w:sz w:val="24"/>
          <w:szCs w:val="24"/>
          <w:lang w:val="en-US" w:eastAsia="pt-BR"/>
        </w:rPr>
        <w:t xml:space="preserve"> property rights</w:t>
      </w:r>
      <w:r w:rsidRPr="000C1E9C">
        <w:rPr>
          <w:rFonts w:ascii="Times New Roman" w:eastAsiaTheme="minorEastAsia" w:hAnsi="Times New Roman" w:cs="Times New Roman"/>
          <w:sz w:val="24"/>
          <w:szCs w:val="24"/>
          <w:lang w:val="en-US" w:eastAsia="pt-BR"/>
        </w:rPr>
        <w:t xml:space="preserve"> in opposition to </w:t>
      </w:r>
      <w:r>
        <w:rPr>
          <w:rFonts w:ascii="Times New Roman" w:eastAsiaTheme="minorEastAsia" w:hAnsi="Times New Roman" w:cs="Times New Roman"/>
          <w:sz w:val="24"/>
          <w:szCs w:val="24"/>
          <w:lang w:val="en-US" w:eastAsia="pt-BR"/>
        </w:rPr>
        <w:t xml:space="preserve">the granting </w:t>
      </w:r>
      <w:proofErr w:type="gramStart"/>
      <w:r>
        <w:rPr>
          <w:rFonts w:ascii="Times New Roman" w:eastAsiaTheme="minorEastAsia" w:hAnsi="Times New Roman" w:cs="Times New Roman"/>
          <w:sz w:val="24"/>
          <w:szCs w:val="24"/>
          <w:lang w:val="en-US" w:eastAsia="pt-BR"/>
        </w:rPr>
        <w:t xml:space="preserve">of </w:t>
      </w:r>
      <w:r>
        <w:rPr>
          <w:rFonts w:ascii="Times New Roman" w:eastAsiaTheme="minorEastAsia" w:hAnsi="Times New Roman" w:cs="Times New Roman"/>
          <w:i/>
          <w:sz w:val="24"/>
          <w:szCs w:val="24"/>
          <w:lang w:val="en-US" w:eastAsia="pt-BR"/>
        </w:rPr>
        <w:t xml:space="preserve"> de</w:t>
      </w:r>
      <w:proofErr w:type="gramEnd"/>
      <w:r>
        <w:rPr>
          <w:rFonts w:ascii="Times New Roman" w:eastAsiaTheme="minorEastAsia" w:hAnsi="Times New Roman" w:cs="Times New Roman"/>
          <w:i/>
          <w:sz w:val="24"/>
          <w:szCs w:val="24"/>
          <w:lang w:val="en-US" w:eastAsia="pt-BR"/>
        </w:rPr>
        <w:t xml:space="preserve"> jure </w:t>
      </w:r>
      <w:r>
        <w:rPr>
          <w:rFonts w:ascii="Times New Roman" w:eastAsiaTheme="minorEastAsia" w:hAnsi="Times New Roman" w:cs="Times New Roman"/>
          <w:sz w:val="24"/>
          <w:szCs w:val="24"/>
          <w:lang w:val="en-US" w:eastAsia="pt-BR"/>
        </w:rPr>
        <w:t xml:space="preserve">property rights – </w:t>
      </w:r>
      <w:r w:rsidRPr="000C1E9C">
        <w:rPr>
          <w:rFonts w:ascii="Times New Roman" w:eastAsiaTheme="minorEastAsia" w:hAnsi="Times New Roman" w:cs="Times New Roman"/>
          <w:sz w:val="24"/>
          <w:szCs w:val="24"/>
          <w:lang w:val="en-US" w:eastAsia="pt-BR"/>
        </w:rPr>
        <w:t>the delivery of the</w:t>
      </w:r>
      <w:r>
        <w:rPr>
          <w:rFonts w:ascii="Times New Roman" w:eastAsiaTheme="minorEastAsia" w:hAnsi="Times New Roman" w:cs="Times New Roman"/>
          <w:sz w:val="24"/>
          <w:szCs w:val="24"/>
          <w:lang w:val="en-US" w:eastAsia="pt-BR"/>
        </w:rPr>
        <w:t xml:space="preserve"> title itself –,</w:t>
      </w:r>
      <w:r w:rsidRPr="000C1E9C">
        <w:rPr>
          <w:rFonts w:ascii="Times New Roman" w:eastAsiaTheme="minorEastAsia" w:hAnsi="Times New Roman" w:cs="Times New Roman"/>
          <w:sz w:val="24"/>
          <w:szCs w:val="24"/>
          <w:lang w:val="en-US" w:eastAsia="pt-BR"/>
        </w:rPr>
        <w:t xml:space="preserve"> that </w:t>
      </w:r>
      <w:r>
        <w:rPr>
          <w:rFonts w:ascii="Times New Roman" w:eastAsiaTheme="minorEastAsia" w:hAnsi="Times New Roman" w:cs="Times New Roman"/>
          <w:sz w:val="24"/>
          <w:szCs w:val="24"/>
          <w:lang w:val="en-US" w:eastAsia="pt-BR"/>
        </w:rPr>
        <w:t>by the time</w:t>
      </w:r>
      <w:r w:rsidRPr="000C1E9C">
        <w:rPr>
          <w:rFonts w:ascii="Times New Roman" w:eastAsiaTheme="minorEastAsia" w:hAnsi="Times New Roman" w:cs="Times New Roman"/>
          <w:sz w:val="24"/>
          <w:szCs w:val="24"/>
          <w:lang w:val="en-US" w:eastAsia="pt-BR"/>
        </w:rPr>
        <w:t xml:space="preserve"> the questionnaires of the database used</w:t>
      </w:r>
      <w:r>
        <w:rPr>
          <w:rFonts w:ascii="Times New Roman" w:eastAsiaTheme="minorEastAsia" w:hAnsi="Times New Roman" w:cs="Times New Roman"/>
          <w:sz w:val="24"/>
          <w:szCs w:val="24"/>
          <w:lang w:val="en-US" w:eastAsia="pt-BR"/>
        </w:rPr>
        <w:t xml:space="preserve"> were applied, wasn’t yet granted. The</w:t>
      </w:r>
      <w:r w:rsidRPr="000C1E9C">
        <w:rPr>
          <w:rFonts w:ascii="Times New Roman" w:eastAsiaTheme="minorEastAsia" w:hAnsi="Times New Roman" w:cs="Times New Roman"/>
          <w:sz w:val="24"/>
          <w:szCs w:val="24"/>
          <w:lang w:val="en-US" w:eastAsia="pt-BR"/>
        </w:rPr>
        <w:t xml:space="preserve"> </w:t>
      </w:r>
      <w:r>
        <w:rPr>
          <w:rFonts w:ascii="Times New Roman" w:eastAsiaTheme="minorEastAsia" w:hAnsi="Times New Roman" w:cs="Times New Roman"/>
          <w:sz w:val="24"/>
          <w:szCs w:val="24"/>
          <w:lang w:val="en-US" w:eastAsia="pt-BR"/>
        </w:rPr>
        <w:t xml:space="preserve">dataset used comes </w:t>
      </w:r>
      <w:r w:rsidRPr="000C1E9C">
        <w:rPr>
          <w:rFonts w:ascii="Times New Roman" w:eastAsiaTheme="minorEastAsia" w:hAnsi="Times New Roman" w:cs="Times New Roman"/>
          <w:sz w:val="24"/>
          <w:szCs w:val="24"/>
          <w:lang w:val="en-US" w:eastAsia="pt-BR"/>
        </w:rPr>
        <w:t xml:space="preserve">from the Socioeconomic </w:t>
      </w:r>
      <w:r>
        <w:rPr>
          <w:rFonts w:ascii="Times New Roman" w:eastAsiaTheme="minorEastAsia" w:hAnsi="Times New Roman" w:cs="Times New Roman"/>
          <w:sz w:val="24"/>
          <w:szCs w:val="24"/>
          <w:lang w:val="en-US" w:eastAsia="pt-BR"/>
        </w:rPr>
        <w:t>Research</w:t>
      </w:r>
      <w:r w:rsidRPr="000C1E9C">
        <w:rPr>
          <w:rFonts w:ascii="Times New Roman" w:eastAsiaTheme="minorEastAsia" w:hAnsi="Times New Roman" w:cs="Times New Roman"/>
          <w:sz w:val="24"/>
          <w:szCs w:val="24"/>
          <w:lang w:val="en-US" w:eastAsia="pt-BR"/>
        </w:rPr>
        <w:t xml:space="preserve"> on Social Vulnerability</w:t>
      </w:r>
      <w:r>
        <w:rPr>
          <w:rFonts w:ascii="Times New Roman" w:eastAsiaTheme="minorEastAsia" w:hAnsi="Times New Roman" w:cs="Times New Roman"/>
          <w:sz w:val="24"/>
          <w:szCs w:val="24"/>
          <w:lang w:val="en-US" w:eastAsia="pt-BR"/>
        </w:rPr>
        <w:t xml:space="preserve"> Territories</w:t>
      </w:r>
      <w:r w:rsidRPr="000C1E9C">
        <w:rPr>
          <w:rFonts w:ascii="Times New Roman" w:eastAsiaTheme="minorEastAsia" w:hAnsi="Times New Roman" w:cs="Times New Roman"/>
          <w:sz w:val="24"/>
          <w:szCs w:val="24"/>
          <w:lang w:val="en-US" w:eastAsia="pt-BR"/>
        </w:rPr>
        <w:t xml:space="preserve"> in </w:t>
      </w:r>
      <w:r>
        <w:rPr>
          <w:rFonts w:ascii="Times New Roman" w:eastAsiaTheme="minorEastAsia" w:hAnsi="Times New Roman" w:cs="Times New Roman"/>
          <w:sz w:val="24"/>
          <w:szCs w:val="24"/>
          <w:lang w:val="en-US" w:eastAsia="pt-BR"/>
        </w:rPr>
        <w:t>Distrito Federal</w:t>
      </w:r>
      <w:r w:rsidRPr="000C1E9C">
        <w:rPr>
          <w:rFonts w:ascii="Times New Roman" w:eastAsiaTheme="minorEastAsia" w:hAnsi="Times New Roman" w:cs="Times New Roman"/>
          <w:sz w:val="24"/>
          <w:szCs w:val="24"/>
          <w:lang w:val="en-US" w:eastAsia="pt-BR"/>
        </w:rPr>
        <w:t xml:space="preserve"> held by DIESSE in 2010. The results</w:t>
      </w:r>
      <w:r>
        <w:rPr>
          <w:rFonts w:ascii="Times New Roman" w:eastAsiaTheme="minorEastAsia" w:hAnsi="Times New Roman" w:cs="Times New Roman"/>
          <w:sz w:val="24"/>
          <w:szCs w:val="24"/>
          <w:lang w:val="en-US" w:eastAsia="pt-BR"/>
        </w:rPr>
        <w:t xml:space="preserve"> are consistent with the empirical literature and</w:t>
      </w:r>
      <w:r w:rsidRPr="000C1E9C">
        <w:rPr>
          <w:rFonts w:ascii="Times New Roman" w:eastAsiaTheme="minorEastAsia" w:hAnsi="Times New Roman" w:cs="Times New Roman"/>
          <w:sz w:val="24"/>
          <w:szCs w:val="24"/>
          <w:lang w:val="en-US" w:eastAsia="pt-BR"/>
        </w:rPr>
        <w:t xml:space="preserve"> show a higher labor supply of men</w:t>
      </w:r>
      <w:r>
        <w:rPr>
          <w:rFonts w:ascii="Times New Roman" w:eastAsiaTheme="minorEastAsia" w:hAnsi="Times New Roman" w:cs="Times New Roman"/>
          <w:sz w:val="24"/>
          <w:szCs w:val="24"/>
          <w:lang w:val="en-US" w:eastAsia="pt-BR"/>
        </w:rPr>
        <w:t xml:space="preserve"> in</w:t>
      </w:r>
      <w:r w:rsidRPr="000C1E9C">
        <w:rPr>
          <w:rFonts w:ascii="Times New Roman" w:eastAsiaTheme="minorEastAsia" w:hAnsi="Times New Roman" w:cs="Times New Roman"/>
          <w:sz w:val="24"/>
          <w:szCs w:val="24"/>
          <w:lang w:val="en-US" w:eastAsia="pt-BR"/>
        </w:rPr>
        <w:t xml:space="preserve"> treated households, higher income and greater propensity to invest when compared to the control group.</w:t>
      </w:r>
    </w:p>
    <w:p w:rsidR="0010757F" w:rsidRDefault="0010757F" w:rsidP="0010757F">
      <w:pPr>
        <w:spacing w:after="0" w:line="240" w:lineRule="auto"/>
        <w:ind w:left="709"/>
        <w:contextualSpacing/>
        <w:jc w:val="both"/>
        <w:rPr>
          <w:rFonts w:ascii="Times New Roman" w:eastAsiaTheme="minorEastAsia" w:hAnsi="Times New Roman" w:cs="Times New Roman"/>
          <w:sz w:val="24"/>
          <w:szCs w:val="24"/>
          <w:lang w:val="en-US" w:eastAsia="pt-BR"/>
        </w:rPr>
      </w:pPr>
      <w:r>
        <w:rPr>
          <w:rFonts w:ascii="Times New Roman" w:eastAsiaTheme="minorEastAsia" w:hAnsi="Times New Roman" w:cs="Times New Roman"/>
          <w:sz w:val="24"/>
          <w:szCs w:val="24"/>
          <w:lang w:val="en-US" w:eastAsia="pt-BR"/>
        </w:rPr>
        <w:t>Keyword: Property Rights, Land Use Regulation, Propensity Score Matching</w:t>
      </w:r>
    </w:p>
    <w:p w:rsidR="0010757F" w:rsidRDefault="0010757F" w:rsidP="0010757F">
      <w:pPr>
        <w:spacing w:after="0" w:line="240" w:lineRule="auto"/>
        <w:ind w:left="709"/>
        <w:contextualSpacing/>
        <w:jc w:val="both"/>
        <w:rPr>
          <w:rFonts w:ascii="Times New Roman" w:eastAsiaTheme="minorEastAsia" w:hAnsi="Times New Roman" w:cs="Times New Roman"/>
          <w:sz w:val="24"/>
          <w:szCs w:val="24"/>
          <w:lang w:val="en-US" w:eastAsia="pt-BR"/>
        </w:rPr>
      </w:pPr>
    </w:p>
    <w:p w:rsidR="0010757F" w:rsidRPr="00305515" w:rsidRDefault="0010757F" w:rsidP="0010757F">
      <w:pPr>
        <w:spacing w:after="0" w:line="240" w:lineRule="auto"/>
        <w:ind w:left="709"/>
        <w:contextualSpacing/>
        <w:jc w:val="both"/>
        <w:rPr>
          <w:rFonts w:ascii="Times New Roman" w:eastAsiaTheme="minorEastAsia" w:hAnsi="Times New Roman" w:cs="Times New Roman"/>
          <w:b/>
          <w:sz w:val="24"/>
          <w:szCs w:val="24"/>
          <w:lang w:eastAsia="pt-BR"/>
        </w:rPr>
      </w:pPr>
      <w:r w:rsidRPr="00305515">
        <w:rPr>
          <w:rFonts w:ascii="Times New Roman" w:eastAsiaTheme="minorEastAsia" w:hAnsi="Times New Roman" w:cs="Times New Roman"/>
          <w:b/>
          <w:i/>
          <w:sz w:val="24"/>
          <w:szCs w:val="24"/>
          <w:lang w:eastAsia="pt-BR"/>
        </w:rPr>
        <w:t xml:space="preserve">JEL </w:t>
      </w:r>
      <w:proofErr w:type="spellStart"/>
      <w:r w:rsidRPr="00305515">
        <w:rPr>
          <w:rFonts w:ascii="Times New Roman" w:eastAsiaTheme="minorEastAsia" w:hAnsi="Times New Roman" w:cs="Times New Roman"/>
          <w:b/>
          <w:i/>
          <w:sz w:val="24"/>
          <w:szCs w:val="24"/>
          <w:lang w:eastAsia="pt-BR"/>
        </w:rPr>
        <w:t>Classification</w:t>
      </w:r>
      <w:proofErr w:type="spellEnd"/>
      <w:r w:rsidRPr="00305515">
        <w:rPr>
          <w:rFonts w:ascii="Times New Roman" w:eastAsiaTheme="minorEastAsia" w:hAnsi="Times New Roman" w:cs="Times New Roman"/>
          <w:b/>
          <w:i/>
          <w:sz w:val="24"/>
          <w:szCs w:val="24"/>
          <w:lang w:eastAsia="pt-BR"/>
        </w:rPr>
        <w:t xml:space="preserve">: </w:t>
      </w:r>
      <w:r w:rsidRPr="00305515">
        <w:rPr>
          <w:rFonts w:ascii="Times New Roman" w:eastAsiaTheme="minorEastAsia" w:hAnsi="Times New Roman" w:cs="Times New Roman"/>
          <w:b/>
          <w:sz w:val="24"/>
          <w:szCs w:val="24"/>
          <w:lang w:eastAsia="pt-BR"/>
        </w:rPr>
        <w:t>D23, R52, C40</w:t>
      </w:r>
    </w:p>
    <w:p w:rsidR="0010757F" w:rsidRDefault="0010757F" w:rsidP="00250932">
      <w:pPr>
        <w:tabs>
          <w:tab w:val="left" w:pos="1515"/>
        </w:tabs>
        <w:spacing w:line="240" w:lineRule="auto"/>
        <w:contextualSpacing/>
        <w:rPr>
          <w:rFonts w:ascii="Times New Roman" w:eastAsiaTheme="minorEastAsia" w:hAnsi="Times New Roman" w:cs="Times New Roman"/>
          <w:b/>
          <w:sz w:val="24"/>
          <w:szCs w:val="24"/>
          <w:lang w:eastAsia="pt-BR"/>
        </w:rPr>
      </w:pPr>
    </w:p>
    <w:p w:rsidR="0010757F" w:rsidRDefault="0010757F" w:rsidP="00250932">
      <w:pPr>
        <w:tabs>
          <w:tab w:val="left" w:pos="1515"/>
        </w:tabs>
        <w:spacing w:line="240" w:lineRule="auto"/>
        <w:contextualSpacing/>
        <w:rPr>
          <w:rFonts w:ascii="Times New Roman" w:eastAsiaTheme="minorEastAsia" w:hAnsi="Times New Roman" w:cs="Times New Roman"/>
          <w:b/>
          <w:sz w:val="24"/>
          <w:szCs w:val="24"/>
          <w:lang w:eastAsia="pt-BR"/>
        </w:rPr>
      </w:pPr>
    </w:p>
    <w:p w:rsidR="0010757F" w:rsidRDefault="0010757F" w:rsidP="00250932">
      <w:pPr>
        <w:tabs>
          <w:tab w:val="left" w:pos="1515"/>
        </w:tabs>
        <w:spacing w:line="240" w:lineRule="auto"/>
        <w:contextualSpacing/>
        <w:rPr>
          <w:rFonts w:ascii="Times New Roman" w:eastAsiaTheme="minorEastAsia" w:hAnsi="Times New Roman" w:cs="Times New Roman"/>
          <w:b/>
          <w:sz w:val="24"/>
          <w:szCs w:val="24"/>
          <w:lang w:eastAsia="pt-BR"/>
        </w:rPr>
      </w:pPr>
    </w:p>
    <w:p w:rsidR="0010757F" w:rsidRDefault="0010757F" w:rsidP="00250932">
      <w:pPr>
        <w:tabs>
          <w:tab w:val="left" w:pos="1515"/>
        </w:tabs>
        <w:spacing w:line="240" w:lineRule="auto"/>
        <w:contextualSpacing/>
        <w:rPr>
          <w:rFonts w:ascii="Times New Roman" w:eastAsiaTheme="minorEastAsia" w:hAnsi="Times New Roman" w:cs="Times New Roman"/>
          <w:b/>
          <w:sz w:val="24"/>
          <w:szCs w:val="24"/>
          <w:lang w:eastAsia="pt-BR"/>
        </w:rPr>
      </w:pPr>
    </w:p>
    <w:p w:rsidR="0010757F" w:rsidRDefault="0010757F" w:rsidP="00250932">
      <w:pPr>
        <w:tabs>
          <w:tab w:val="left" w:pos="1515"/>
        </w:tabs>
        <w:spacing w:line="240" w:lineRule="auto"/>
        <w:contextualSpacing/>
        <w:rPr>
          <w:rFonts w:ascii="Times New Roman" w:eastAsiaTheme="minorEastAsia" w:hAnsi="Times New Roman" w:cs="Times New Roman"/>
          <w:b/>
          <w:sz w:val="24"/>
          <w:szCs w:val="24"/>
          <w:lang w:eastAsia="pt-BR"/>
        </w:rPr>
      </w:pPr>
    </w:p>
    <w:p w:rsidR="0010757F" w:rsidRDefault="0010757F" w:rsidP="00250932">
      <w:pPr>
        <w:tabs>
          <w:tab w:val="left" w:pos="1515"/>
        </w:tabs>
        <w:spacing w:line="240" w:lineRule="auto"/>
        <w:contextualSpacing/>
        <w:rPr>
          <w:rFonts w:ascii="Times New Roman" w:eastAsiaTheme="minorEastAsia" w:hAnsi="Times New Roman" w:cs="Times New Roman"/>
          <w:b/>
          <w:sz w:val="24"/>
          <w:szCs w:val="24"/>
          <w:lang w:eastAsia="pt-BR"/>
        </w:rPr>
      </w:pPr>
    </w:p>
    <w:p w:rsidR="00CB46CF" w:rsidRPr="007D66F9" w:rsidRDefault="00CB46CF" w:rsidP="00250932">
      <w:pPr>
        <w:tabs>
          <w:tab w:val="left" w:pos="1515"/>
        </w:tabs>
        <w:spacing w:line="240" w:lineRule="auto"/>
        <w:contextualSpacing/>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lastRenderedPageBreak/>
        <w:t xml:space="preserve">Avaliação de Impacto de Reconhecimento de Direito de Propriedade </w:t>
      </w:r>
      <w:r>
        <w:rPr>
          <w:rFonts w:ascii="Times New Roman" w:eastAsiaTheme="minorEastAsia" w:hAnsi="Times New Roman" w:cs="Times New Roman"/>
          <w:b/>
          <w:i/>
          <w:sz w:val="24"/>
          <w:szCs w:val="24"/>
          <w:lang w:eastAsia="pt-BR"/>
        </w:rPr>
        <w:t>de facto</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keepNext/>
        <w:keepLines/>
        <w:spacing w:before="480" w:after="0" w:line="240" w:lineRule="auto"/>
        <w:ind w:firstLine="709"/>
        <w:contextualSpacing/>
        <w:outlineLvl w:val="0"/>
        <w:rPr>
          <w:rFonts w:ascii="Times New Roman" w:eastAsiaTheme="majorEastAsia" w:hAnsi="Times New Roman" w:cs="Times New Roman"/>
          <w:b/>
          <w:bCs/>
          <w:sz w:val="24"/>
          <w:szCs w:val="24"/>
          <w:lang w:eastAsia="pt-BR"/>
        </w:rPr>
      </w:pPr>
      <w:bookmarkStart w:id="0" w:name="_Toc350977028"/>
      <w:bookmarkStart w:id="1" w:name="_Toc362259553"/>
      <w:r w:rsidRPr="00CE31A5">
        <w:rPr>
          <w:rFonts w:ascii="Times New Roman" w:eastAsiaTheme="majorEastAsia" w:hAnsi="Times New Roman" w:cs="Times New Roman"/>
          <w:b/>
          <w:bCs/>
          <w:sz w:val="24"/>
          <w:szCs w:val="24"/>
          <w:lang w:eastAsia="pt-BR"/>
        </w:rPr>
        <w:t>I</w:t>
      </w:r>
      <w:bookmarkEnd w:id="0"/>
      <w:bookmarkEnd w:id="1"/>
      <w:r w:rsidR="00F630F7">
        <w:rPr>
          <w:rFonts w:ascii="Times New Roman" w:eastAsiaTheme="majorEastAsia" w:hAnsi="Times New Roman" w:cs="Times New Roman"/>
          <w:b/>
          <w:bCs/>
          <w:sz w:val="24"/>
          <w:szCs w:val="24"/>
          <w:lang w:eastAsia="pt-BR"/>
        </w:rPr>
        <w:t>NTRODUÇÂO</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O crescente processo de urbanização, observado na maioria dos países, aliado à dificuldade de se lidar com as necessidades habitacionais da população contribuíram para o estabelecimento de assentamentos informais e favelas nas cidades. Segundo dados do World</w:t>
      </w:r>
      <w:r w:rsidRPr="00CE31A5">
        <w:rPr>
          <w:rFonts w:ascii="Times New Roman" w:eastAsiaTheme="minorEastAsia" w:hAnsi="Times New Roman" w:cs="Times New Roman"/>
          <w:i/>
          <w:sz w:val="24"/>
          <w:szCs w:val="24"/>
          <w:lang w:eastAsia="pt-BR"/>
        </w:rPr>
        <w:t xml:space="preserve"> Urbanization Prospects – United Nations Population Division</w:t>
      </w:r>
      <w:r w:rsidRPr="00CE31A5">
        <w:rPr>
          <w:rFonts w:ascii="Times New Roman" w:eastAsiaTheme="minorEastAsia" w:hAnsi="Times New Roman" w:cs="Times New Roman"/>
          <w:sz w:val="24"/>
          <w:szCs w:val="24"/>
          <w:lang w:eastAsia="pt-BR"/>
        </w:rPr>
        <w:t xml:space="preserve"> de 2005, 36,5% da população urbana de países em desenvolvimento vive</w:t>
      </w:r>
      <w:r w:rsidR="00351C9E">
        <w:rPr>
          <w:rFonts w:ascii="Times New Roman" w:eastAsiaTheme="minorEastAsia" w:hAnsi="Times New Roman" w:cs="Times New Roman"/>
          <w:sz w:val="24"/>
          <w:szCs w:val="24"/>
          <w:lang w:eastAsia="pt-BR"/>
        </w:rPr>
        <w:t xml:space="preserve"> em favelas. Como observado por Fernandes (2011), </w:t>
      </w:r>
      <w:r w:rsidRPr="00CE31A5">
        <w:rPr>
          <w:rFonts w:ascii="Times New Roman" w:eastAsiaTheme="minorEastAsia" w:hAnsi="Times New Roman" w:cs="Times New Roman"/>
          <w:sz w:val="24"/>
          <w:szCs w:val="24"/>
          <w:lang w:eastAsia="pt-BR"/>
        </w:rPr>
        <w:t>apesar do processo informal de obtenção d</w:t>
      </w:r>
      <w:r w:rsidR="00351C9E">
        <w:rPr>
          <w:rFonts w:ascii="Times New Roman" w:eastAsiaTheme="minorEastAsia" w:hAnsi="Times New Roman" w:cs="Times New Roman"/>
          <w:sz w:val="24"/>
          <w:szCs w:val="24"/>
          <w:lang w:eastAsia="pt-BR"/>
        </w:rPr>
        <w:t>e terras ter garantido moradia à</w:t>
      </w:r>
      <w:r w:rsidRPr="00CE31A5">
        <w:rPr>
          <w:rFonts w:ascii="Times New Roman" w:eastAsiaTheme="minorEastAsia" w:hAnsi="Times New Roman" w:cs="Times New Roman"/>
          <w:sz w:val="24"/>
          <w:szCs w:val="24"/>
          <w:lang w:eastAsia="pt-BR"/>
        </w:rPr>
        <w:t xml:space="preserve"> maioria da popu</w:t>
      </w:r>
      <w:r w:rsidR="00351C9E">
        <w:rPr>
          <w:rFonts w:ascii="Times New Roman" w:eastAsiaTheme="minorEastAsia" w:hAnsi="Times New Roman" w:cs="Times New Roman"/>
          <w:sz w:val="24"/>
          <w:szCs w:val="24"/>
          <w:lang w:eastAsia="pt-BR"/>
        </w:rPr>
        <w:t>lação urbana de baixa renda, est</w:t>
      </w:r>
      <w:r w:rsidRPr="00CE31A5">
        <w:rPr>
          <w:rFonts w:ascii="Times New Roman" w:eastAsiaTheme="minorEastAsia" w:hAnsi="Times New Roman" w:cs="Times New Roman"/>
          <w:sz w:val="24"/>
          <w:szCs w:val="24"/>
          <w:lang w:eastAsia="pt-BR"/>
        </w:rPr>
        <w:t>e é um processo inadequado e ineficiente para garantir o desenvolvimento sustentável das cidades.</w:t>
      </w:r>
    </w:p>
    <w:p w:rsidR="00AA0DD1" w:rsidRDefault="00D00345"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Impulsionados pelo trabalho de Hernando de Soto (2000), vários estudiosos enxergam a formalização dos direitos de propriedade com</w:t>
      </w:r>
      <w:r w:rsidR="00826F87">
        <w:rPr>
          <w:rFonts w:ascii="Times New Roman" w:eastAsiaTheme="minorEastAsia" w:hAnsi="Times New Roman" w:cs="Times New Roman"/>
          <w:sz w:val="24"/>
          <w:szCs w:val="24"/>
          <w:lang w:eastAsia="pt-BR"/>
        </w:rPr>
        <w:t>o</w:t>
      </w:r>
      <w:r>
        <w:rPr>
          <w:rFonts w:ascii="Times New Roman" w:eastAsiaTheme="minorEastAsia" w:hAnsi="Times New Roman" w:cs="Times New Roman"/>
          <w:sz w:val="24"/>
          <w:szCs w:val="24"/>
          <w:lang w:eastAsia="pt-BR"/>
        </w:rPr>
        <w:t xml:space="preserve"> uma ferramenta de política pública voltada ao combate à pobreza. </w:t>
      </w:r>
      <w:r w:rsidR="00AA0DD1">
        <w:rPr>
          <w:rFonts w:ascii="Times New Roman" w:eastAsiaTheme="minorEastAsia" w:hAnsi="Times New Roman" w:cs="Times New Roman"/>
          <w:sz w:val="24"/>
          <w:szCs w:val="24"/>
          <w:lang w:eastAsia="pt-BR"/>
        </w:rPr>
        <w:t xml:space="preserve">O </w:t>
      </w:r>
      <w:r w:rsidR="00AA0DD1" w:rsidRPr="00CE31A5">
        <w:rPr>
          <w:rFonts w:ascii="Times New Roman" w:eastAsiaTheme="minorEastAsia" w:hAnsi="Times New Roman" w:cs="Times New Roman"/>
          <w:sz w:val="24"/>
          <w:szCs w:val="24"/>
          <w:lang w:eastAsia="pt-BR"/>
        </w:rPr>
        <w:t xml:space="preserve">argumento central de </w:t>
      </w:r>
      <w:proofErr w:type="spellStart"/>
      <w:r w:rsidR="00AA0DD1" w:rsidRPr="00CE31A5">
        <w:rPr>
          <w:rFonts w:ascii="Times New Roman" w:eastAsiaTheme="minorEastAsia" w:hAnsi="Times New Roman" w:cs="Times New Roman"/>
          <w:sz w:val="24"/>
          <w:szCs w:val="24"/>
          <w:lang w:eastAsia="pt-BR"/>
        </w:rPr>
        <w:t>De</w:t>
      </w:r>
      <w:proofErr w:type="spellEnd"/>
      <w:r w:rsidR="00AA0DD1" w:rsidRPr="00CE31A5">
        <w:rPr>
          <w:rFonts w:ascii="Times New Roman" w:eastAsiaTheme="minorEastAsia" w:hAnsi="Times New Roman" w:cs="Times New Roman"/>
          <w:sz w:val="24"/>
          <w:szCs w:val="24"/>
          <w:lang w:eastAsia="pt-BR"/>
        </w:rPr>
        <w:t xml:space="preserve"> Soto (2000) é que a população pobre em países em desenvolvimento possuem recursos e ativos, principalmente suas residências, aos quais não é atribuído valor, tor</w:t>
      </w:r>
      <w:r w:rsidR="00AA0DD1">
        <w:rPr>
          <w:rFonts w:ascii="Times New Roman" w:eastAsiaTheme="minorEastAsia" w:hAnsi="Times New Roman" w:cs="Times New Roman"/>
          <w:sz w:val="24"/>
          <w:szCs w:val="24"/>
          <w:lang w:eastAsia="pt-BR"/>
        </w:rPr>
        <w:t>nando-os assim “capital morto”.</w:t>
      </w:r>
      <w:r w:rsidR="00AA0DD1" w:rsidRPr="00CE31A5">
        <w:rPr>
          <w:rFonts w:ascii="Times New Roman" w:eastAsiaTheme="minorEastAsia" w:hAnsi="Times New Roman" w:cs="Times New Roman"/>
          <w:sz w:val="24"/>
          <w:szCs w:val="24"/>
          <w:lang w:eastAsia="pt-BR"/>
        </w:rPr>
        <w:t xml:space="preserve"> Segundo ele, pelo fato dos direitos de propriedade sobre esses recursos não estarem bem documentados, esses ativos não podem ser transformados em capital, não podem ser transacionados em círculos mais amplos e não podem ser utilizados como garantias para empréstimos. Dessa forma, essa parcela da população se encontra à margem do sistema </w:t>
      </w:r>
      <w:r w:rsidR="00AA0DD1">
        <w:rPr>
          <w:rFonts w:ascii="Times New Roman" w:eastAsiaTheme="minorEastAsia" w:hAnsi="Times New Roman" w:cs="Times New Roman"/>
          <w:sz w:val="24"/>
          <w:szCs w:val="24"/>
          <w:lang w:eastAsia="pt-BR"/>
        </w:rPr>
        <w:t xml:space="preserve">econômico e conferir direitos </w:t>
      </w:r>
      <w:r w:rsidR="00AA0DD1" w:rsidRPr="00CE31A5">
        <w:rPr>
          <w:rFonts w:ascii="Times New Roman" w:eastAsiaTheme="minorEastAsia" w:hAnsi="Times New Roman" w:cs="Times New Roman"/>
          <w:sz w:val="24"/>
          <w:szCs w:val="24"/>
          <w:lang w:eastAsia="pt-BR"/>
        </w:rPr>
        <w:t>às suas propriedades representaria uma inserção econômica que abriria possibilidades de maiores ganhos</w:t>
      </w:r>
      <w:r w:rsidR="00AA0DD1">
        <w:rPr>
          <w:rFonts w:ascii="Times New Roman" w:eastAsiaTheme="minorEastAsia" w:hAnsi="Times New Roman" w:cs="Times New Roman"/>
          <w:sz w:val="24"/>
          <w:szCs w:val="24"/>
          <w:lang w:eastAsia="pt-BR"/>
        </w:rPr>
        <w:t>.</w:t>
      </w:r>
    </w:p>
    <w:p w:rsidR="00CB1C09" w:rsidRDefault="00AA0DD1"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Além disso, é identificado que conferir direitos de propriedade pode gerar benefícios ao investimento domiciliar, ao valor da propriedade e ao mercado imobiliário, à oferta de trabalho e, quase </w:t>
      </w:r>
      <w:r w:rsidR="00D36B25">
        <w:rPr>
          <w:rFonts w:ascii="Times New Roman" w:eastAsiaTheme="minorEastAsia" w:hAnsi="Times New Roman" w:cs="Times New Roman"/>
          <w:sz w:val="24"/>
          <w:szCs w:val="24"/>
          <w:lang w:eastAsia="pt-BR"/>
        </w:rPr>
        <w:t xml:space="preserve">que </w:t>
      </w:r>
      <w:r>
        <w:rPr>
          <w:rFonts w:ascii="Times New Roman" w:eastAsiaTheme="minorEastAsia" w:hAnsi="Times New Roman" w:cs="Times New Roman"/>
          <w:sz w:val="24"/>
          <w:szCs w:val="24"/>
          <w:lang w:eastAsia="pt-BR"/>
        </w:rPr>
        <w:t>como consequ</w:t>
      </w:r>
      <w:r w:rsidR="004635E0">
        <w:rPr>
          <w:rFonts w:ascii="Times New Roman" w:eastAsiaTheme="minorEastAsia" w:hAnsi="Times New Roman" w:cs="Times New Roman"/>
          <w:sz w:val="24"/>
          <w:szCs w:val="24"/>
          <w:lang w:eastAsia="pt-BR"/>
        </w:rPr>
        <w:t>ência d</w:t>
      </w:r>
      <w:r>
        <w:rPr>
          <w:rFonts w:ascii="Times New Roman" w:eastAsiaTheme="minorEastAsia" w:hAnsi="Times New Roman" w:cs="Times New Roman"/>
          <w:sz w:val="24"/>
          <w:szCs w:val="24"/>
          <w:lang w:eastAsia="pt-BR"/>
        </w:rPr>
        <w:t>os benefícios anteriores, à renda dos moradores dessas comunidades informais.</w:t>
      </w:r>
      <w:r w:rsidR="00CB1C09">
        <w:rPr>
          <w:rFonts w:ascii="Times New Roman" w:eastAsiaTheme="minorEastAsia" w:hAnsi="Times New Roman" w:cs="Times New Roman"/>
          <w:sz w:val="24"/>
          <w:szCs w:val="24"/>
          <w:lang w:eastAsia="pt-BR"/>
        </w:rPr>
        <w:t xml:space="preserve"> </w:t>
      </w:r>
    </w:p>
    <w:p w:rsidR="004B124B" w:rsidRDefault="00D36B25" w:rsidP="009A588E">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Essas relações foram avaliadas empiricamente por vários autores a fim de demonstrar se </w:t>
      </w:r>
      <w:r w:rsidR="009A588E">
        <w:rPr>
          <w:rFonts w:ascii="Times New Roman" w:eastAsiaTheme="minorEastAsia" w:hAnsi="Times New Roman" w:cs="Times New Roman"/>
          <w:sz w:val="24"/>
          <w:szCs w:val="24"/>
          <w:lang w:eastAsia="pt-BR"/>
        </w:rPr>
        <w:t>é poss</w:t>
      </w:r>
      <w:r w:rsidR="004B124B">
        <w:rPr>
          <w:rFonts w:ascii="Times New Roman" w:eastAsiaTheme="minorEastAsia" w:hAnsi="Times New Roman" w:cs="Times New Roman"/>
          <w:sz w:val="24"/>
          <w:szCs w:val="24"/>
          <w:lang w:eastAsia="pt-BR"/>
        </w:rPr>
        <w:t>ível</w:t>
      </w:r>
      <w:r>
        <w:rPr>
          <w:rFonts w:ascii="Times New Roman" w:eastAsiaTheme="minorEastAsia" w:hAnsi="Times New Roman" w:cs="Times New Roman"/>
          <w:sz w:val="24"/>
          <w:szCs w:val="24"/>
          <w:lang w:eastAsia="pt-BR"/>
        </w:rPr>
        <w:t xml:space="preserve"> atribuir causalidade entre os direitos de propriedade e as métricas citadas. </w:t>
      </w:r>
      <w:proofErr w:type="gramStart"/>
      <w:r w:rsidR="009A588E" w:rsidRPr="009A588E">
        <w:rPr>
          <w:rFonts w:ascii="Times New Roman" w:eastAsiaTheme="minorEastAsia" w:hAnsi="Times New Roman" w:cs="Times New Roman"/>
          <w:sz w:val="24"/>
          <w:szCs w:val="24"/>
          <w:lang w:val="en-US" w:eastAsia="pt-BR"/>
        </w:rPr>
        <w:t>Field &amp;</w:t>
      </w:r>
      <w:r w:rsidRPr="009A588E">
        <w:rPr>
          <w:rFonts w:ascii="Times New Roman" w:eastAsiaTheme="minorEastAsia" w:hAnsi="Times New Roman" w:cs="Times New Roman"/>
          <w:sz w:val="24"/>
          <w:szCs w:val="24"/>
          <w:lang w:val="en-US" w:eastAsia="pt-BR"/>
        </w:rPr>
        <w:t xml:space="preserve"> Torero (2006)</w:t>
      </w:r>
      <w:r w:rsidR="009A588E" w:rsidRPr="009A588E">
        <w:rPr>
          <w:rFonts w:ascii="Times New Roman" w:eastAsiaTheme="minorEastAsia" w:hAnsi="Times New Roman" w:cs="Times New Roman"/>
          <w:sz w:val="24"/>
          <w:szCs w:val="24"/>
          <w:lang w:val="en-US" w:eastAsia="pt-BR"/>
        </w:rPr>
        <w:t>,</w:t>
      </w:r>
      <w:r w:rsidRPr="009A588E">
        <w:rPr>
          <w:rFonts w:ascii="Times New Roman" w:eastAsiaTheme="minorEastAsia" w:hAnsi="Times New Roman" w:cs="Times New Roman"/>
          <w:sz w:val="24"/>
          <w:szCs w:val="24"/>
          <w:lang w:val="en-US" w:eastAsia="pt-BR"/>
        </w:rPr>
        <w:t xml:space="preserve"> </w:t>
      </w:r>
      <w:proofErr w:type="spellStart"/>
      <w:r w:rsidR="009A588E" w:rsidRPr="009A588E">
        <w:rPr>
          <w:rFonts w:ascii="Times New Roman" w:eastAsiaTheme="minorEastAsia" w:hAnsi="Times New Roman" w:cs="Times New Roman"/>
          <w:sz w:val="24"/>
          <w:szCs w:val="24"/>
          <w:lang w:val="en-US" w:eastAsia="pt-BR"/>
        </w:rPr>
        <w:t>Moura</w:t>
      </w:r>
      <w:proofErr w:type="spellEnd"/>
      <w:r w:rsidR="009A588E" w:rsidRPr="009A588E">
        <w:rPr>
          <w:rFonts w:ascii="Times New Roman" w:eastAsiaTheme="minorEastAsia" w:hAnsi="Times New Roman" w:cs="Times New Roman"/>
          <w:sz w:val="24"/>
          <w:szCs w:val="24"/>
          <w:lang w:val="en-US" w:eastAsia="pt-BR"/>
        </w:rPr>
        <w:t xml:space="preserve"> &amp; </w:t>
      </w:r>
      <w:proofErr w:type="spellStart"/>
      <w:r w:rsidR="009A588E" w:rsidRPr="009A588E">
        <w:rPr>
          <w:rFonts w:ascii="Times New Roman" w:eastAsiaTheme="minorEastAsia" w:hAnsi="Times New Roman" w:cs="Times New Roman"/>
          <w:sz w:val="24"/>
          <w:szCs w:val="24"/>
          <w:lang w:val="en-US" w:eastAsia="pt-BR"/>
        </w:rPr>
        <w:t>Piza</w:t>
      </w:r>
      <w:proofErr w:type="spellEnd"/>
      <w:r w:rsidR="009A588E" w:rsidRPr="009A588E">
        <w:rPr>
          <w:rFonts w:ascii="Times New Roman" w:eastAsiaTheme="minorEastAsia" w:hAnsi="Times New Roman" w:cs="Times New Roman"/>
          <w:sz w:val="24"/>
          <w:szCs w:val="24"/>
          <w:lang w:val="en-US" w:eastAsia="pt-BR"/>
        </w:rPr>
        <w:t xml:space="preserve"> (2011),</w:t>
      </w:r>
      <w:r w:rsidR="003D18F0" w:rsidRPr="009A588E">
        <w:rPr>
          <w:rFonts w:ascii="Times New Roman" w:eastAsiaTheme="minorEastAsia" w:hAnsi="Times New Roman" w:cs="Times New Roman"/>
          <w:sz w:val="24"/>
          <w:szCs w:val="24"/>
          <w:lang w:val="en-US" w:eastAsia="pt-BR"/>
        </w:rPr>
        <w:t xml:space="preserve"> </w:t>
      </w:r>
      <w:proofErr w:type="spellStart"/>
      <w:r w:rsidR="009A588E" w:rsidRPr="009A588E">
        <w:rPr>
          <w:rFonts w:ascii="Times New Roman" w:eastAsiaTheme="minorEastAsia" w:hAnsi="Times New Roman" w:cs="Times New Roman"/>
          <w:sz w:val="24"/>
          <w:szCs w:val="24"/>
          <w:lang w:val="en-US" w:eastAsia="pt-BR"/>
        </w:rPr>
        <w:t>Galiani</w:t>
      </w:r>
      <w:proofErr w:type="spellEnd"/>
      <w:r w:rsidR="009A588E" w:rsidRPr="009A588E">
        <w:rPr>
          <w:rFonts w:ascii="Times New Roman" w:eastAsiaTheme="minorEastAsia" w:hAnsi="Times New Roman" w:cs="Times New Roman"/>
          <w:sz w:val="24"/>
          <w:szCs w:val="24"/>
          <w:lang w:val="en-US" w:eastAsia="pt-BR"/>
        </w:rPr>
        <w:t xml:space="preserve"> &amp;</w:t>
      </w:r>
      <w:r w:rsidR="003D18F0" w:rsidRPr="009A588E">
        <w:rPr>
          <w:rFonts w:ascii="Times New Roman" w:eastAsiaTheme="minorEastAsia" w:hAnsi="Times New Roman" w:cs="Times New Roman"/>
          <w:sz w:val="24"/>
          <w:szCs w:val="24"/>
          <w:lang w:val="en-US" w:eastAsia="pt-BR"/>
        </w:rPr>
        <w:t xml:space="preserve"> </w:t>
      </w:r>
      <w:proofErr w:type="spellStart"/>
      <w:r w:rsidR="003D18F0" w:rsidRPr="009A588E">
        <w:rPr>
          <w:rFonts w:ascii="Times New Roman" w:eastAsiaTheme="minorEastAsia" w:hAnsi="Times New Roman" w:cs="Times New Roman"/>
          <w:sz w:val="24"/>
          <w:szCs w:val="24"/>
          <w:lang w:val="en-US" w:eastAsia="pt-BR"/>
        </w:rPr>
        <w:t>Schargrodsky</w:t>
      </w:r>
      <w:proofErr w:type="spellEnd"/>
      <w:r w:rsidR="003D18F0" w:rsidRPr="009A588E">
        <w:rPr>
          <w:rFonts w:ascii="Times New Roman" w:eastAsiaTheme="minorEastAsia" w:hAnsi="Times New Roman" w:cs="Times New Roman"/>
          <w:sz w:val="24"/>
          <w:szCs w:val="24"/>
          <w:lang w:val="en-US" w:eastAsia="pt-BR"/>
        </w:rPr>
        <w:t xml:space="preserve"> (2010) </w:t>
      </w:r>
      <w:r w:rsidR="009A588E" w:rsidRPr="009A588E">
        <w:rPr>
          <w:rFonts w:ascii="Times New Roman" w:eastAsiaTheme="minorEastAsia" w:hAnsi="Times New Roman" w:cs="Times New Roman"/>
          <w:sz w:val="24"/>
          <w:szCs w:val="24"/>
          <w:lang w:val="en-US" w:eastAsia="pt-BR"/>
        </w:rPr>
        <w:t xml:space="preserve">e </w:t>
      </w:r>
      <w:proofErr w:type="spellStart"/>
      <w:r w:rsidR="004B124B" w:rsidRPr="009A588E">
        <w:rPr>
          <w:rFonts w:ascii="Times New Roman" w:eastAsiaTheme="minorEastAsia" w:hAnsi="Times New Roman" w:cs="Times New Roman"/>
          <w:sz w:val="24"/>
          <w:szCs w:val="24"/>
          <w:lang w:val="en-US" w:eastAsia="pt-BR"/>
        </w:rPr>
        <w:t>Belsey</w:t>
      </w:r>
      <w:proofErr w:type="spellEnd"/>
      <w:r w:rsidR="009A588E" w:rsidRPr="009A588E">
        <w:rPr>
          <w:rFonts w:ascii="Times New Roman" w:eastAsiaTheme="minorEastAsia" w:hAnsi="Times New Roman" w:cs="Times New Roman"/>
          <w:sz w:val="24"/>
          <w:szCs w:val="24"/>
          <w:lang w:val="en-US" w:eastAsia="pt-BR"/>
        </w:rPr>
        <w:t xml:space="preserve"> </w:t>
      </w:r>
      <w:r w:rsidR="009A588E" w:rsidRPr="009A588E">
        <w:rPr>
          <w:rFonts w:ascii="Times New Roman" w:eastAsiaTheme="minorEastAsia" w:hAnsi="Times New Roman" w:cs="Times New Roman"/>
          <w:i/>
          <w:sz w:val="24"/>
          <w:szCs w:val="24"/>
          <w:lang w:val="en-US" w:eastAsia="pt-BR"/>
        </w:rPr>
        <w:t>et al</w:t>
      </w:r>
      <w:r w:rsidR="009A588E" w:rsidRPr="009A588E">
        <w:rPr>
          <w:rFonts w:ascii="Times New Roman" w:eastAsiaTheme="minorEastAsia" w:hAnsi="Times New Roman" w:cs="Times New Roman"/>
          <w:sz w:val="24"/>
          <w:szCs w:val="24"/>
          <w:lang w:val="en-US" w:eastAsia="pt-BR"/>
        </w:rPr>
        <w:t>.</w:t>
      </w:r>
      <w:proofErr w:type="gramEnd"/>
      <w:r w:rsidR="009A588E" w:rsidRPr="009A588E">
        <w:rPr>
          <w:rFonts w:ascii="Times New Roman" w:eastAsiaTheme="minorEastAsia" w:hAnsi="Times New Roman" w:cs="Times New Roman"/>
          <w:sz w:val="24"/>
          <w:szCs w:val="24"/>
          <w:lang w:val="en-US" w:eastAsia="pt-BR"/>
        </w:rPr>
        <w:t xml:space="preserve"> </w:t>
      </w:r>
      <w:r w:rsidR="004B124B" w:rsidRPr="009A588E">
        <w:rPr>
          <w:rFonts w:ascii="Times New Roman" w:eastAsiaTheme="minorEastAsia" w:hAnsi="Times New Roman" w:cs="Times New Roman"/>
          <w:sz w:val="24"/>
          <w:szCs w:val="24"/>
          <w:lang w:val="en-US" w:eastAsia="pt-BR"/>
        </w:rPr>
        <w:t xml:space="preserve"> </w:t>
      </w:r>
      <w:r w:rsidR="004B124B" w:rsidRPr="00CA5846">
        <w:rPr>
          <w:rFonts w:ascii="Times New Roman" w:eastAsiaTheme="minorEastAsia" w:hAnsi="Times New Roman" w:cs="Times New Roman"/>
          <w:sz w:val="24"/>
          <w:szCs w:val="24"/>
          <w:lang w:eastAsia="pt-BR"/>
        </w:rPr>
        <w:t xml:space="preserve">(2012) </w:t>
      </w:r>
      <w:r w:rsidR="009A588E">
        <w:rPr>
          <w:rFonts w:ascii="Times New Roman" w:eastAsiaTheme="minorEastAsia" w:hAnsi="Times New Roman" w:cs="Times New Roman"/>
          <w:sz w:val="24"/>
          <w:szCs w:val="24"/>
          <w:lang w:eastAsia="pt-BR"/>
        </w:rPr>
        <w:t xml:space="preserve">analisam o efeito da titulação no mercado de crédito. Assim como </w:t>
      </w:r>
      <w:proofErr w:type="spellStart"/>
      <w:r w:rsidR="009A588E" w:rsidRPr="009A588E">
        <w:rPr>
          <w:rFonts w:ascii="Times New Roman" w:eastAsiaTheme="minorEastAsia" w:hAnsi="Times New Roman" w:cs="Times New Roman"/>
          <w:sz w:val="24"/>
          <w:szCs w:val="24"/>
          <w:lang w:eastAsia="pt-BR"/>
        </w:rPr>
        <w:t>Besley</w:t>
      </w:r>
      <w:proofErr w:type="spellEnd"/>
      <w:r w:rsidR="009A588E" w:rsidRPr="009A588E">
        <w:rPr>
          <w:rFonts w:ascii="Times New Roman" w:eastAsiaTheme="minorEastAsia" w:hAnsi="Times New Roman" w:cs="Times New Roman"/>
          <w:sz w:val="24"/>
          <w:szCs w:val="24"/>
          <w:lang w:eastAsia="pt-BR"/>
        </w:rPr>
        <w:t xml:space="preserve"> (1995), </w:t>
      </w:r>
      <w:proofErr w:type="spellStart"/>
      <w:r w:rsidR="009A588E" w:rsidRPr="009A588E">
        <w:rPr>
          <w:rFonts w:ascii="Times New Roman" w:eastAsiaTheme="minorEastAsia" w:hAnsi="Times New Roman" w:cs="Times New Roman"/>
          <w:sz w:val="24"/>
          <w:szCs w:val="24"/>
          <w:lang w:eastAsia="pt-BR"/>
        </w:rPr>
        <w:t>Alston</w:t>
      </w:r>
      <w:proofErr w:type="spellEnd"/>
      <w:r w:rsidR="009A588E" w:rsidRPr="009A588E">
        <w:rPr>
          <w:rFonts w:ascii="Times New Roman" w:eastAsiaTheme="minorEastAsia" w:hAnsi="Times New Roman" w:cs="Times New Roman"/>
          <w:sz w:val="24"/>
          <w:szCs w:val="24"/>
          <w:lang w:eastAsia="pt-BR"/>
        </w:rPr>
        <w:t xml:space="preserve"> </w:t>
      </w:r>
      <w:proofErr w:type="gramStart"/>
      <w:r w:rsidR="009A588E" w:rsidRPr="009A588E">
        <w:rPr>
          <w:rFonts w:ascii="Times New Roman" w:eastAsiaTheme="minorEastAsia" w:hAnsi="Times New Roman" w:cs="Times New Roman"/>
          <w:i/>
          <w:sz w:val="24"/>
          <w:szCs w:val="24"/>
          <w:lang w:eastAsia="pt-BR"/>
        </w:rPr>
        <w:t>et</w:t>
      </w:r>
      <w:proofErr w:type="gramEnd"/>
      <w:r w:rsidR="009A588E" w:rsidRPr="009A588E">
        <w:rPr>
          <w:rFonts w:ascii="Times New Roman" w:eastAsiaTheme="minorEastAsia" w:hAnsi="Times New Roman" w:cs="Times New Roman"/>
          <w:i/>
          <w:sz w:val="24"/>
          <w:szCs w:val="24"/>
          <w:lang w:eastAsia="pt-BR"/>
        </w:rPr>
        <w:t xml:space="preserve"> al.</w:t>
      </w:r>
      <w:r w:rsidR="009A588E" w:rsidRPr="009A588E">
        <w:rPr>
          <w:rFonts w:ascii="Times New Roman" w:eastAsiaTheme="minorEastAsia" w:hAnsi="Times New Roman" w:cs="Times New Roman"/>
          <w:sz w:val="24"/>
          <w:szCs w:val="24"/>
          <w:lang w:eastAsia="pt-BR"/>
        </w:rPr>
        <w:t xml:space="preserve"> (1996), </w:t>
      </w:r>
      <w:proofErr w:type="spellStart"/>
      <w:r w:rsidR="009A588E" w:rsidRPr="009A588E">
        <w:rPr>
          <w:rFonts w:ascii="Times New Roman" w:eastAsiaTheme="minorEastAsia" w:hAnsi="Times New Roman" w:cs="Times New Roman"/>
          <w:sz w:val="24"/>
          <w:szCs w:val="24"/>
          <w:lang w:eastAsia="pt-BR"/>
        </w:rPr>
        <w:t>Jacoby</w:t>
      </w:r>
      <w:proofErr w:type="spellEnd"/>
      <w:r w:rsidR="009A588E" w:rsidRPr="009A588E">
        <w:rPr>
          <w:rFonts w:ascii="Times New Roman" w:eastAsiaTheme="minorEastAsia" w:hAnsi="Times New Roman" w:cs="Times New Roman"/>
          <w:sz w:val="24"/>
          <w:szCs w:val="24"/>
          <w:lang w:eastAsia="pt-BR"/>
        </w:rPr>
        <w:t xml:space="preserve">, Li </w:t>
      </w:r>
      <w:r w:rsidR="008B1363">
        <w:rPr>
          <w:rFonts w:ascii="Times New Roman" w:eastAsiaTheme="minorEastAsia" w:hAnsi="Times New Roman" w:cs="Times New Roman"/>
          <w:sz w:val="24"/>
          <w:szCs w:val="24"/>
          <w:lang w:eastAsia="pt-BR"/>
        </w:rPr>
        <w:t>&amp;</w:t>
      </w:r>
      <w:r w:rsidR="009A588E" w:rsidRPr="009A588E">
        <w:rPr>
          <w:rFonts w:ascii="Times New Roman" w:eastAsiaTheme="minorEastAsia" w:hAnsi="Times New Roman" w:cs="Times New Roman"/>
          <w:sz w:val="24"/>
          <w:szCs w:val="24"/>
          <w:lang w:eastAsia="pt-BR"/>
        </w:rPr>
        <w:t xml:space="preserve"> Rozelle (2002), Field (2005) e </w:t>
      </w:r>
      <w:proofErr w:type="spellStart"/>
      <w:r w:rsidR="008B1363">
        <w:rPr>
          <w:rFonts w:ascii="Times New Roman" w:eastAsiaTheme="minorEastAsia" w:hAnsi="Times New Roman" w:cs="Times New Roman"/>
          <w:sz w:val="24"/>
          <w:szCs w:val="24"/>
          <w:lang w:eastAsia="pt-BR"/>
        </w:rPr>
        <w:t>Galiani</w:t>
      </w:r>
      <w:proofErr w:type="spellEnd"/>
      <w:r w:rsidR="008B1363">
        <w:rPr>
          <w:rFonts w:ascii="Times New Roman" w:eastAsiaTheme="minorEastAsia" w:hAnsi="Times New Roman" w:cs="Times New Roman"/>
          <w:sz w:val="24"/>
          <w:szCs w:val="24"/>
          <w:lang w:eastAsia="pt-BR"/>
        </w:rPr>
        <w:t xml:space="preserve"> &amp;</w:t>
      </w:r>
      <w:r w:rsidR="009A588E" w:rsidRPr="009A588E">
        <w:rPr>
          <w:rFonts w:ascii="Times New Roman" w:eastAsiaTheme="minorEastAsia" w:hAnsi="Times New Roman" w:cs="Times New Roman"/>
          <w:sz w:val="24"/>
          <w:szCs w:val="24"/>
          <w:lang w:eastAsia="pt-BR"/>
        </w:rPr>
        <w:t xml:space="preserve"> </w:t>
      </w:r>
      <w:proofErr w:type="spellStart"/>
      <w:r w:rsidR="009A588E" w:rsidRPr="009A588E">
        <w:rPr>
          <w:rFonts w:ascii="Times New Roman" w:eastAsiaTheme="minorEastAsia" w:hAnsi="Times New Roman" w:cs="Times New Roman"/>
          <w:sz w:val="24"/>
          <w:szCs w:val="24"/>
          <w:lang w:eastAsia="pt-BR"/>
        </w:rPr>
        <w:t>Schargrodsky</w:t>
      </w:r>
      <w:proofErr w:type="spellEnd"/>
      <w:r w:rsidR="009A588E" w:rsidRPr="009A588E">
        <w:rPr>
          <w:rFonts w:ascii="Times New Roman" w:eastAsiaTheme="minorEastAsia" w:hAnsi="Times New Roman" w:cs="Times New Roman"/>
          <w:sz w:val="24"/>
          <w:szCs w:val="24"/>
          <w:lang w:eastAsia="pt-BR"/>
        </w:rPr>
        <w:t xml:space="preserve"> (2010) </w:t>
      </w:r>
      <w:r w:rsidR="009A588E">
        <w:rPr>
          <w:rFonts w:ascii="Times New Roman" w:eastAsiaTheme="minorEastAsia" w:hAnsi="Times New Roman" w:cs="Times New Roman"/>
          <w:sz w:val="24"/>
          <w:szCs w:val="24"/>
          <w:lang w:eastAsia="pt-BR"/>
        </w:rPr>
        <w:t xml:space="preserve">verificam o impacto no investimento na propriedade. </w:t>
      </w:r>
      <w:r w:rsidR="008B1363">
        <w:rPr>
          <w:rFonts w:ascii="Times New Roman" w:eastAsiaTheme="minorEastAsia" w:hAnsi="Times New Roman" w:cs="Times New Roman"/>
          <w:sz w:val="24"/>
          <w:szCs w:val="24"/>
          <w:lang w:eastAsia="pt-BR"/>
        </w:rPr>
        <w:t xml:space="preserve">Em relação ao valor da propriedade e o mercado imobiliário, o impacto nessas variáveis foi também estudado por </w:t>
      </w:r>
      <w:proofErr w:type="spellStart"/>
      <w:r w:rsidR="008B1363" w:rsidRPr="009A588E">
        <w:rPr>
          <w:rFonts w:ascii="Times New Roman" w:eastAsiaTheme="minorEastAsia" w:hAnsi="Times New Roman" w:cs="Times New Roman"/>
          <w:sz w:val="24"/>
          <w:szCs w:val="24"/>
          <w:lang w:eastAsia="pt-BR"/>
        </w:rPr>
        <w:t>Alston</w:t>
      </w:r>
      <w:proofErr w:type="spellEnd"/>
      <w:r w:rsidR="008B1363" w:rsidRPr="009A588E">
        <w:rPr>
          <w:rFonts w:ascii="Times New Roman" w:eastAsiaTheme="minorEastAsia" w:hAnsi="Times New Roman" w:cs="Times New Roman"/>
          <w:sz w:val="24"/>
          <w:szCs w:val="24"/>
          <w:lang w:eastAsia="pt-BR"/>
        </w:rPr>
        <w:t xml:space="preserve"> </w:t>
      </w:r>
      <w:proofErr w:type="gramStart"/>
      <w:r w:rsidR="008B1363" w:rsidRPr="009A588E">
        <w:rPr>
          <w:rFonts w:ascii="Times New Roman" w:eastAsiaTheme="minorEastAsia" w:hAnsi="Times New Roman" w:cs="Times New Roman"/>
          <w:i/>
          <w:sz w:val="24"/>
          <w:szCs w:val="24"/>
          <w:lang w:eastAsia="pt-BR"/>
        </w:rPr>
        <w:t>et</w:t>
      </w:r>
      <w:proofErr w:type="gramEnd"/>
      <w:r w:rsidR="008B1363" w:rsidRPr="009A588E">
        <w:rPr>
          <w:rFonts w:ascii="Times New Roman" w:eastAsiaTheme="minorEastAsia" w:hAnsi="Times New Roman" w:cs="Times New Roman"/>
          <w:i/>
          <w:sz w:val="24"/>
          <w:szCs w:val="24"/>
          <w:lang w:eastAsia="pt-BR"/>
        </w:rPr>
        <w:t xml:space="preserve"> al.</w:t>
      </w:r>
      <w:r w:rsidR="008B1363" w:rsidRPr="009A588E">
        <w:rPr>
          <w:rFonts w:ascii="Times New Roman" w:eastAsiaTheme="minorEastAsia" w:hAnsi="Times New Roman" w:cs="Times New Roman"/>
          <w:sz w:val="24"/>
          <w:szCs w:val="24"/>
          <w:lang w:eastAsia="pt-BR"/>
        </w:rPr>
        <w:t xml:space="preserve"> </w:t>
      </w:r>
      <w:r w:rsidR="008B1363" w:rsidRPr="00826F87">
        <w:rPr>
          <w:rFonts w:ascii="Times New Roman" w:eastAsiaTheme="minorEastAsia" w:hAnsi="Times New Roman" w:cs="Times New Roman"/>
          <w:sz w:val="24"/>
          <w:szCs w:val="24"/>
          <w:lang w:val="en-US" w:eastAsia="pt-BR"/>
        </w:rPr>
        <w:t xml:space="preserve">(1996), </w:t>
      </w:r>
      <w:proofErr w:type="spellStart"/>
      <w:r w:rsidR="008B1363" w:rsidRPr="00826F87">
        <w:rPr>
          <w:rFonts w:ascii="Times New Roman" w:eastAsiaTheme="minorEastAsia" w:hAnsi="Times New Roman" w:cs="Times New Roman"/>
          <w:sz w:val="24"/>
          <w:szCs w:val="24"/>
          <w:lang w:val="en-US" w:eastAsia="pt-BR"/>
        </w:rPr>
        <w:t>Lanjouw</w:t>
      </w:r>
      <w:proofErr w:type="spellEnd"/>
      <w:r w:rsidR="008B1363" w:rsidRPr="00826F87">
        <w:rPr>
          <w:rFonts w:ascii="Times New Roman" w:eastAsiaTheme="minorEastAsia" w:hAnsi="Times New Roman" w:cs="Times New Roman"/>
          <w:sz w:val="24"/>
          <w:szCs w:val="24"/>
          <w:lang w:val="en-US" w:eastAsia="pt-BR"/>
        </w:rPr>
        <w:t xml:space="preserve"> &amp; Levy (2002) e </w:t>
      </w:r>
      <w:proofErr w:type="spellStart"/>
      <w:r w:rsidR="008B1363" w:rsidRPr="00826F87">
        <w:rPr>
          <w:rFonts w:ascii="Times New Roman" w:eastAsiaTheme="minorEastAsia" w:hAnsi="Times New Roman" w:cs="Times New Roman"/>
          <w:sz w:val="24"/>
          <w:szCs w:val="24"/>
          <w:lang w:val="en-US" w:eastAsia="pt-BR"/>
        </w:rPr>
        <w:t>por</w:t>
      </w:r>
      <w:proofErr w:type="spellEnd"/>
      <w:r w:rsidR="008B1363" w:rsidRPr="00826F87">
        <w:rPr>
          <w:rFonts w:ascii="Times New Roman" w:eastAsiaTheme="minorEastAsia" w:hAnsi="Times New Roman" w:cs="Times New Roman"/>
          <w:sz w:val="24"/>
          <w:szCs w:val="24"/>
          <w:lang w:val="en-US" w:eastAsia="pt-BR"/>
        </w:rPr>
        <w:t xml:space="preserve"> Alston &amp; Mueller (2010). Field (2007), </w:t>
      </w:r>
      <w:proofErr w:type="spellStart"/>
      <w:r w:rsidR="008B1363" w:rsidRPr="00826F87">
        <w:rPr>
          <w:rFonts w:ascii="Times New Roman" w:eastAsiaTheme="minorEastAsia" w:hAnsi="Times New Roman" w:cs="Times New Roman"/>
          <w:sz w:val="24"/>
          <w:szCs w:val="24"/>
          <w:lang w:val="en-US" w:eastAsia="pt-BR"/>
        </w:rPr>
        <w:t>Moura</w:t>
      </w:r>
      <w:proofErr w:type="spellEnd"/>
      <w:r w:rsidR="008B1363" w:rsidRPr="00826F87">
        <w:rPr>
          <w:rFonts w:ascii="Times New Roman" w:eastAsiaTheme="minorEastAsia" w:hAnsi="Times New Roman" w:cs="Times New Roman"/>
          <w:sz w:val="24"/>
          <w:szCs w:val="24"/>
          <w:lang w:val="en-US" w:eastAsia="pt-BR"/>
        </w:rPr>
        <w:t xml:space="preserve"> </w:t>
      </w:r>
      <w:r w:rsidR="008B1363" w:rsidRPr="00826F87">
        <w:rPr>
          <w:rFonts w:ascii="Times New Roman" w:eastAsiaTheme="minorEastAsia" w:hAnsi="Times New Roman" w:cs="Times New Roman"/>
          <w:i/>
          <w:sz w:val="24"/>
          <w:szCs w:val="24"/>
          <w:lang w:val="en-US" w:eastAsia="pt-BR"/>
        </w:rPr>
        <w:t>et al.</w:t>
      </w:r>
      <w:r w:rsidR="008B1363" w:rsidRPr="00826F87">
        <w:rPr>
          <w:rFonts w:ascii="Times New Roman" w:eastAsiaTheme="minorEastAsia" w:hAnsi="Times New Roman" w:cs="Times New Roman"/>
          <w:sz w:val="24"/>
          <w:szCs w:val="24"/>
          <w:lang w:val="en-US" w:eastAsia="pt-BR"/>
        </w:rPr>
        <w:t xml:space="preserve"> </w:t>
      </w:r>
      <w:r w:rsidR="008B1363" w:rsidRPr="00CA5846">
        <w:rPr>
          <w:rFonts w:ascii="Times New Roman" w:eastAsiaTheme="minorEastAsia" w:hAnsi="Times New Roman" w:cs="Times New Roman"/>
          <w:sz w:val="24"/>
          <w:szCs w:val="24"/>
          <w:lang w:eastAsia="pt-BR"/>
        </w:rPr>
        <w:t xml:space="preserve">(2011) </w:t>
      </w:r>
      <w:r w:rsidR="008B1363">
        <w:rPr>
          <w:rFonts w:ascii="Times New Roman" w:eastAsiaTheme="minorEastAsia" w:hAnsi="Times New Roman" w:cs="Times New Roman"/>
          <w:sz w:val="24"/>
          <w:szCs w:val="24"/>
          <w:lang w:eastAsia="pt-BR"/>
        </w:rPr>
        <w:t>estudam o impacto no mercado de trabalho e, por fim, Andrade (2004) e Moura &amp; Bueno (2009) verificam o impacto de programas de regularização fundiária em regiões do Brasil (Rio de Janeiro e Osasco, respectiv</w:t>
      </w:r>
      <w:r w:rsidR="00F62DD4">
        <w:rPr>
          <w:rFonts w:ascii="Times New Roman" w:eastAsiaTheme="minorEastAsia" w:hAnsi="Times New Roman" w:cs="Times New Roman"/>
          <w:sz w:val="24"/>
          <w:szCs w:val="24"/>
          <w:lang w:eastAsia="pt-BR"/>
        </w:rPr>
        <w:t>amente) na renda domiciliar.</w:t>
      </w:r>
    </w:p>
    <w:p w:rsidR="00F62DD4" w:rsidRDefault="000B44ED" w:rsidP="009A588E">
      <w:pPr>
        <w:spacing w:line="240" w:lineRule="auto"/>
        <w:ind w:firstLine="709"/>
        <w:contextualSpacing/>
        <w:jc w:val="both"/>
        <w:rPr>
          <w:rFonts w:ascii="Times New Roman" w:eastAsiaTheme="minorEastAsia" w:hAnsi="Times New Roman" w:cs="Times New Roman"/>
          <w:sz w:val="24"/>
          <w:szCs w:val="24"/>
          <w:lang w:eastAsia="pt-BR"/>
        </w:rPr>
      </w:pPr>
      <w:r w:rsidRPr="000B44ED">
        <w:rPr>
          <w:rFonts w:ascii="Times New Roman" w:eastAsiaTheme="minorEastAsia" w:hAnsi="Times New Roman" w:cs="Times New Roman"/>
          <w:sz w:val="24"/>
          <w:szCs w:val="24"/>
          <w:lang w:eastAsia="pt-BR"/>
        </w:rPr>
        <w:t xml:space="preserve">Os estudos de avaliação de impacto de programas de regularização fundiária tomam como base os mecanismos de transmissão que relaciona os direitos de propriedade às variáveis de resultado. </w:t>
      </w:r>
      <w:proofErr w:type="spellStart"/>
      <w:r w:rsidRPr="000B44ED">
        <w:rPr>
          <w:rFonts w:ascii="Times New Roman" w:eastAsiaTheme="minorEastAsia" w:hAnsi="Times New Roman" w:cs="Times New Roman"/>
          <w:sz w:val="24"/>
          <w:szCs w:val="24"/>
          <w:lang w:eastAsia="pt-BR"/>
        </w:rPr>
        <w:t>Besley</w:t>
      </w:r>
      <w:proofErr w:type="spellEnd"/>
      <w:proofErr w:type="gramStart"/>
      <w:r w:rsidRPr="000B44ED">
        <w:rPr>
          <w:rFonts w:ascii="Times New Roman" w:eastAsiaTheme="minorEastAsia" w:hAnsi="Times New Roman" w:cs="Times New Roman"/>
          <w:sz w:val="24"/>
          <w:szCs w:val="24"/>
          <w:lang w:eastAsia="pt-BR"/>
        </w:rPr>
        <w:t xml:space="preserve">  </w:t>
      </w:r>
      <w:proofErr w:type="gramEnd"/>
      <w:r w:rsidRPr="000B44ED">
        <w:rPr>
          <w:rFonts w:ascii="Times New Roman" w:eastAsiaTheme="minorEastAsia" w:hAnsi="Times New Roman" w:cs="Times New Roman"/>
          <w:sz w:val="24"/>
          <w:szCs w:val="24"/>
          <w:lang w:eastAsia="pt-BR"/>
        </w:rPr>
        <w:t xml:space="preserve">(1995) identificou, na literatura, três possíveis mecanismos: 1) direitos de propriedade inseguros podem desencorajar o investimento, pois, como notado por </w:t>
      </w:r>
      <w:proofErr w:type="spellStart"/>
      <w:r w:rsidRPr="000B44ED">
        <w:rPr>
          <w:rFonts w:ascii="Times New Roman" w:eastAsiaTheme="minorEastAsia" w:hAnsi="Times New Roman" w:cs="Times New Roman"/>
          <w:sz w:val="24"/>
          <w:szCs w:val="24"/>
          <w:lang w:eastAsia="pt-BR"/>
        </w:rPr>
        <w:t>Alchian</w:t>
      </w:r>
      <w:proofErr w:type="spellEnd"/>
      <w:r w:rsidRPr="000B44ED">
        <w:rPr>
          <w:rFonts w:ascii="Times New Roman" w:eastAsiaTheme="minorEastAsia" w:hAnsi="Times New Roman" w:cs="Times New Roman"/>
          <w:sz w:val="24"/>
          <w:szCs w:val="24"/>
          <w:lang w:eastAsia="pt-BR"/>
        </w:rPr>
        <w:t xml:space="preserve"> e </w:t>
      </w:r>
      <w:proofErr w:type="spellStart"/>
      <w:r w:rsidRPr="000B44ED">
        <w:rPr>
          <w:rFonts w:ascii="Times New Roman" w:eastAsiaTheme="minorEastAsia" w:hAnsi="Times New Roman" w:cs="Times New Roman"/>
          <w:sz w:val="24"/>
          <w:szCs w:val="24"/>
          <w:lang w:eastAsia="pt-BR"/>
        </w:rPr>
        <w:t>Demsetz</w:t>
      </w:r>
      <w:proofErr w:type="spellEnd"/>
      <w:r w:rsidRPr="000B44ED">
        <w:rPr>
          <w:rFonts w:ascii="Times New Roman" w:eastAsiaTheme="minorEastAsia" w:hAnsi="Times New Roman" w:cs="Times New Roman"/>
          <w:sz w:val="24"/>
          <w:szCs w:val="24"/>
          <w:lang w:eastAsia="pt-BR"/>
        </w:rPr>
        <w:t xml:space="preserve"> (1973) indivíduos não investem se os frutos de seus investimentos puderem ser capturados por outros; 2) melhores direitos de propriedade facilitam o uso da propriedade como caução ou garantia, tornando o mercado de crédito menos restrito e; 3) melhores direitos de propriedade ampliam as possibilidades de ganho com o comércio</w:t>
      </w:r>
      <w:r>
        <w:rPr>
          <w:rFonts w:ascii="Times New Roman" w:eastAsiaTheme="minorEastAsia" w:hAnsi="Times New Roman" w:cs="Times New Roman"/>
          <w:sz w:val="24"/>
          <w:szCs w:val="24"/>
          <w:lang w:eastAsia="pt-BR"/>
        </w:rPr>
        <w:t xml:space="preserve">. </w:t>
      </w:r>
      <w:r w:rsidR="009F3AF7">
        <w:rPr>
          <w:rFonts w:ascii="Times New Roman" w:eastAsiaTheme="minorEastAsia" w:hAnsi="Times New Roman" w:cs="Times New Roman"/>
          <w:sz w:val="24"/>
          <w:szCs w:val="24"/>
          <w:lang w:eastAsia="pt-BR"/>
        </w:rPr>
        <w:t>No entanto</w:t>
      </w:r>
      <w:r>
        <w:rPr>
          <w:rFonts w:ascii="Times New Roman" w:eastAsiaTheme="minorEastAsia" w:hAnsi="Times New Roman" w:cs="Times New Roman"/>
          <w:sz w:val="24"/>
          <w:szCs w:val="24"/>
          <w:lang w:eastAsia="pt-BR"/>
        </w:rPr>
        <w:t xml:space="preserve">, </w:t>
      </w:r>
      <w:r w:rsidR="009F3AF7">
        <w:rPr>
          <w:rFonts w:ascii="Times New Roman" w:eastAsiaTheme="minorEastAsia" w:hAnsi="Times New Roman" w:cs="Times New Roman"/>
          <w:sz w:val="24"/>
          <w:szCs w:val="24"/>
          <w:lang w:eastAsia="pt-BR"/>
        </w:rPr>
        <w:t>o arranjo institucional em que a política está inserida é capaz de afetar alguns dos mecanismos envolvidos e, por conseguinte, a própria mensuração dos efeitos.</w:t>
      </w:r>
    </w:p>
    <w:p w:rsidR="00193588" w:rsidRDefault="00F62DD4" w:rsidP="00A254A4">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Um importante arranjo institucional que afeta a mensuração do impacto dos programas de regularização fundiária é a distinção entre direito de propriedade </w:t>
      </w:r>
      <w:r w:rsidRPr="00CE31A5">
        <w:rPr>
          <w:rFonts w:ascii="Times New Roman" w:eastAsiaTheme="minorEastAsia" w:hAnsi="Times New Roman" w:cs="Times New Roman"/>
          <w:i/>
          <w:sz w:val="24"/>
          <w:szCs w:val="24"/>
          <w:lang w:eastAsia="pt-BR"/>
        </w:rPr>
        <w:t xml:space="preserve">de facto </w:t>
      </w:r>
      <w:r w:rsidRPr="00CE31A5">
        <w:rPr>
          <w:rFonts w:ascii="Times New Roman" w:eastAsiaTheme="minorEastAsia" w:hAnsi="Times New Roman" w:cs="Times New Roman"/>
          <w:sz w:val="24"/>
          <w:szCs w:val="24"/>
          <w:lang w:eastAsia="pt-BR"/>
        </w:rPr>
        <w:t xml:space="preserve">e direito de propriedade </w:t>
      </w:r>
      <w:r w:rsidRPr="00CE31A5">
        <w:rPr>
          <w:rFonts w:ascii="Times New Roman" w:eastAsiaTheme="minorEastAsia" w:hAnsi="Times New Roman" w:cs="Times New Roman"/>
          <w:i/>
          <w:sz w:val="24"/>
          <w:szCs w:val="24"/>
          <w:lang w:eastAsia="pt-BR"/>
        </w:rPr>
        <w:t>de jure</w:t>
      </w:r>
      <w:r w:rsidRPr="00CE31A5">
        <w:rPr>
          <w:rFonts w:ascii="Times New Roman" w:eastAsiaTheme="minorEastAsia" w:hAnsi="Times New Roman" w:cs="Times New Roman"/>
          <w:sz w:val="24"/>
          <w:szCs w:val="24"/>
          <w:lang w:eastAsia="pt-BR"/>
        </w:rPr>
        <w:t xml:space="preserve">. </w:t>
      </w:r>
      <w:r w:rsidR="00F630F7">
        <w:rPr>
          <w:rFonts w:ascii="Times New Roman" w:eastAsiaTheme="minorEastAsia" w:hAnsi="Times New Roman" w:cs="Times New Roman"/>
          <w:sz w:val="24"/>
          <w:szCs w:val="24"/>
          <w:lang w:eastAsia="pt-BR"/>
        </w:rPr>
        <w:t xml:space="preserve"> Enquanto que pelo segundo todos os direitos que circundam a propriedade (vender, hipotecar, alugar, deixar como herança, etc.) são assegurados, o direito de propriedade </w:t>
      </w:r>
      <w:r w:rsidR="00F630F7">
        <w:rPr>
          <w:rFonts w:ascii="Times New Roman" w:eastAsiaTheme="minorEastAsia" w:hAnsi="Times New Roman" w:cs="Times New Roman"/>
          <w:i/>
          <w:sz w:val="24"/>
          <w:szCs w:val="24"/>
          <w:lang w:eastAsia="pt-BR"/>
        </w:rPr>
        <w:t>de facto</w:t>
      </w:r>
      <w:r w:rsidR="00F630F7">
        <w:rPr>
          <w:rFonts w:ascii="Times New Roman" w:eastAsiaTheme="minorEastAsia" w:hAnsi="Times New Roman" w:cs="Times New Roman"/>
          <w:sz w:val="24"/>
          <w:szCs w:val="24"/>
          <w:lang w:eastAsia="pt-BR"/>
        </w:rPr>
        <w:t>, apesar de prover alguma segurança fundiária em relação a despejos e desocupações, não garante todos os direitos, como deixar como herança ou utilizar a propriedade como garantia no mercado de crédito. Dessa forma, a magnitude dos mecanismos de transmissão e, consequentemente, dos impactos avaliados irão depender dessa distinç</w:t>
      </w:r>
      <w:r w:rsidR="00193588">
        <w:rPr>
          <w:rFonts w:ascii="Times New Roman" w:eastAsiaTheme="minorEastAsia" w:hAnsi="Times New Roman" w:cs="Times New Roman"/>
          <w:sz w:val="24"/>
          <w:szCs w:val="24"/>
          <w:lang w:eastAsia="pt-BR"/>
        </w:rPr>
        <w:t xml:space="preserve">ão, que tem origem nas instituições em que se insere a política de regularização e que determinam seu escopo. </w:t>
      </w:r>
    </w:p>
    <w:p w:rsidR="00F75BE8" w:rsidRDefault="00F75BE8"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Diante essa</w:t>
      </w:r>
      <w:r w:rsidRPr="00CA5846">
        <w:rPr>
          <w:rFonts w:ascii="Times New Roman" w:eastAsiaTheme="minorEastAsia" w:hAnsi="Times New Roman" w:cs="Times New Roman"/>
          <w:sz w:val="24"/>
          <w:szCs w:val="24"/>
          <w:lang w:eastAsia="pt-BR"/>
        </w:rPr>
        <w:t xml:space="preserve"> perspectiva de melhora do bem-estar da população pobre de países em desenvolvimento, várias instituições e governos têm patrocinado programas de titulação de propriedades e </w:t>
      </w:r>
      <w:r w:rsidRPr="00CA5846">
        <w:rPr>
          <w:rFonts w:ascii="Times New Roman" w:eastAsiaTheme="minorEastAsia" w:hAnsi="Times New Roman" w:cs="Times New Roman"/>
          <w:sz w:val="24"/>
          <w:szCs w:val="24"/>
          <w:lang w:eastAsia="pt-BR"/>
        </w:rPr>
        <w:lastRenderedPageBreak/>
        <w:t>de regularização fundiária</w:t>
      </w:r>
      <w:r>
        <w:rPr>
          <w:rFonts w:ascii="Times New Roman" w:eastAsiaTheme="minorEastAsia" w:hAnsi="Times New Roman" w:cs="Times New Roman"/>
          <w:sz w:val="24"/>
          <w:szCs w:val="24"/>
          <w:lang w:eastAsia="pt-BR"/>
        </w:rPr>
        <w:t>. A</w:t>
      </w:r>
      <w:r w:rsidRPr="00CA5846">
        <w:rPr>
          <w:rFonts w:ascii="Times New Roman" w:eastAsiaTheme="minorEastAsia" w:hAnsi="Times New Roman" w:cs="Times New Roman"/>
          <w:sz w:val="24"/>
          <w:lang w:eastAsia="pt-BR"/>
        </w:rPr>
        <w:t xml:space="preserve"> Organização das Nações Unidas (ONU)</w:t>
      </w:r>
      <w:r>
        <w:rPr>
          <w:rFonts w:ascii="Times New Roman" w:eastAsiaTheme="minorEastAsia" w:hAnsi="Times New Roman" w:cs="Times New Roman"/>
          <w:sz w:val="24"/>
          <w:lang w:eastAsia="pt-BR"/>
        </w:rPr>
        <w:t>, por exemplo,</w:t>
      </w:r>
      <w:r w:rsidRPr="00CA5846">
        <w:rPr>
          <w:rFonts w:ascii="Times New Roman" w:eastAsiaTheme="minorEastAsia" w:hAnsi="Times New Roman" w:cs="Times New Roman"/>
          <w:sz w:val="24"/>
          <w:lang w:eastAsia="pt-BR"/>
        </w:rPr>
        <w:t xml:space="preserve"> instituiu sob o Objetivo do Milênio nº 7, a meta de melhorar significantemente a vida de 100 milhões de moradores de favelas e assentamentos informais ao redor do mundo</w:t>
      </w:r>
      <w:r>
        <w:rPr>
          <w:rFonts w:ascii="Times New Roman" w:eastAsiaTheme="minorEastAsia" w:hAnsi="Times New Roman" w:cs="Times New Roman"/>
          <w:sz w:val="24"/>
          <w:lang w:eastAsia="pt-BR"/>
        </w:rPr>
        <w:t xml:space="preserve">. No Brasil, essas políticas são de competência dos municípios e do Distrito Federal, mas este movimento também encontra eco na esfera federal, como, por exemplo, com a promulgação do Estatuto da Cidade, </w:t>
      </w:r>
      <w:r w:rsidRPr="00CA5846">
        <w:rPr>
          <w:rFonts w:ascii="Times New Roman" w:eastAsiaTheme="minorEastAsia" w:hAnsi="Times New Roman" w:cs="Times New Roman"/>
          <w:sz w:val="24"/>
          <w:shd w:val="clear" w:color="auto" w:fill="FFFFFF"/>
          <w:lang w:eastAsia="pt-BR"/>
        </w:rPr>
        <w:t>Lei Federal 10.257 de 2001</w:t>
      </w:r>
      <w:r>
        <w:rPr>
          <w:rFonts w:ascii="Times New Roman" w:eastAsiaTheme="minorEastAsia" w:hAnsi="Times New Roman" w:cs="Times New Roman"/>
          <w:sz w:val="24"/>
          <w:shd w:val="clear" w:color="auto" w:fill="FFFFFF"/>
          <w:lang w:eastAsia="pt-BR"/>
        </w:rPr>
        <w:t>.</w:t>
      </w:r>
    </w:p>
    <w:p w:rsidR="009C3717"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Neste trabalho, será avaliado o impacto do progr</w:t>
      </w:r>
      <w:r w:rsidR="00F75BE8">
        <w:rPr>
          <w:rFonts w:ascii="Times New Roman" w:eastAsiaTheme="minorEastAsia" w:hAnsi="Times New Roman" w:cs="Times New Roman"/>
          <w:sz w:val="24"/>
          <w:szCs w:val="24"/>
          <w:lang w:eastAsia="pt-BR"/>
        </w:rPr>
        <w:t>ama de regularização fundiária do Distrito Federal</w:t>
      </w:r>
      <w:r w:rsidR="009C3717">
        <w:rPr>
          <w:rFonts w:ascii="Times New Roman" w:eastAsiaTheme="minorEastAsia" w:hAnsi="Times New Roman" w:cs="Times New Roman"/>
          <w:sz w:val="24"/>
          <w:szCs w:val="24"/>
          <w:lang w:eastAsia="pt-BR"/>
        </w:rPr>
        <w:t xml:space="preserve">, cuja estrutura fundiária tem sido marcada pela invasão e ocupação como forma de obtenção de moradia. </w:t>
      </w:r>
      <w:r w:rsidR="009C3717" w:rsidRPr="00CE31A5">
        <w:rPr>
          <w:rFonts w:ascii="Times New Roman" w:eastAsiaTheme="minorEastAsia" w:hAnsi="Times New Roman" w:cs="Times New Roman"/>
          <w:sz w:val="24"/>
          <w:szCs w:val="24"/>
          <w:lang w:eastAsia="pt-BR"/>
        </w:rPr>
        <w:t xml:space="preserve">Em um estudo realizado em 2006 pela Secretaria de Estado de Desenvolvimento Urbano e Habitação do Distrito Federal foi estimado que cerca de 545.000 pessoas </w:t>
      </w:r>
      <w:proofErr w:type="gramStart"/>
      <w:r w:rsidR="009C3717" w:rsidRPr="00CE31A5">
        <w:rPr>
          <w:rFonts w:ascii="Times New Roman" w:eastAsiaTheme="minorEastAsia" w:hAnsi="Times New Roman" w:cs="Times New Roman"/>
          <w:sz w:val="24"/>
          <w:szCs w:val="24"/>
          <w:lang w:eastAsia="pt-BR"/>
        </w:rPr>
        <w:t>habitavam</w:t>
      </w:r>
      <w:proofErr w:type="gramEnd"/>
      <w:r w:rsidR="009C3717" w:rsidRPr="00CE31A5">
        <w:rPr>
          <w:rFonts w:ascii="Times New Roman" w:eastAsiaTheme="minorEastAsia" w:hAnsi="Times New Roman" w:cs="Times New Roman"/>
          <w:sz w:val="24"/>
          <w:szCs w:val="24"/>
          <w:lang w:eastAsia="pt-BR"/>
        </w:rPr>
        <w:t xml:space="preserve"> em parcelamentos urbanos informais, quase um quarto da população da época. Além disso, como informou uma reportagem do Correio Braziliense, “das 31 Regiões Administrativas que compõem o DF, 17 têm parte do território irregular. Em alguns casos a situação é ainda mais grave, com toda a área fora da lei”</w:t>
      </w:r>
      <w:r w:rsidR="004A2BFD">
        <w:rPr>
          <w:rFonts w:ascii="Times New Roman" w:eastAsiaTheme="minorEastAsia" w:hAnsi="Times New Roman" w:cs="Times New Roman"/>
          <w:sz w:val="24"/>
          <w:szCs w:val="24"/>
          <w:lang w:eastAsia="pt-BR"/>
        </w:rPr>
        <w:t xml:space="preserve">. </w:t>
      </w:r>
      <w:r w:rsidR="003B36B8">
        <w:rPr>
          <w:rFonts w:ascii="Times New Roman" w:eastAsiaTheme="minorEastAsia" w:hAnsi="Times New Roman" w:cs="Times New Roman"/>
          <w:sz w:val="24"/>
          <w:szCs w:val="24"/>
          <w:lang w:eastAsia="pt-BR"/>
        </w:rPr>
        <w:t xml:space="preserve">Além disso, esse é um processo que ocorre independente da renda dos ocupantes; no DF, grande parte dos condomínios de luxo foi estabelecida de forma irregular. </w:t>
      </w:r>
      <w:r w:rsidR="003B36B8" w:rsidRPr="003B36B8">
        <w:rPr>
          <w:rFonts w:ascii="Times New Roman" w:eastAsiaTheme="minorEastAsia" w:hAnsi="Times New Roman" w:cs="Times New Roman"/>
          <w:sz w:val="24"/>
          <w:szCs w:val="24"/>
          <w:lang w:eastAsia="pt-BR"/>
        </w:rPr>
        <w:t xml:space="preserve">Quanto às comunidades de baixa renda estabelecidas por invasão, o caso da Estrutural pode ser considerado representativo para esse processo.  A Estrutural foi formada por catadores que se utilizavam do lixo como fonte de renda. Ao redor do aterro sanitário que ali se encontrava começaram a ser erguidos barracos para abrigar cerca de 500 catadores no início da ocupação e hoje a </w:t>
      </w:r>
      <w:r w:rsidR="003B36B8">
        <w:rPr>
          <w:rFonts w:ascii="Times New Roman" w:eastAsiaTheme="minorEastAsia" w:hAnsi="Times New Roman" w:cs="Times New Roman"/>
          <w:sz w:val="24"/>
          <w:szCs w:val="24"/>
          <w:lang w:eastAsia="pt-BR"/>
        </w:rPr>
        <w:t>região</w:t>
      </w:r>
      <w:r w:rsidR="003B36B8" w:rsidRPr="003B36B8">
        <w:rPr>
          <w:rFonts w:ascii="Times New Roman" w:eastAsiaTheme="minorEastAsia" w:hAnsi="Times New Roman" w:cs="Times New Roman"/>
          <w:sz w:val="24"/>
          <w:szCs w:val="24"/>
          <w:lang w:eastAsia="pt-BR"/>
        </w:rPr>
        <w:t xml:space="preserve"> conta com cerca de 56.000 habitantes.</w:t>
      </w:r>
      <w:r w:rsidR="003B36B8">
        <w:rPr>
          <w:rFonts w:ascii="Times New Roman" w:eastAsiaTheme="minorEastAsia" w:hAnsi="Times New Roman" w:cs="Times New Roman"/>
          <w:sz w:val="24"/>
          <w:szCs w:val="24"/>
          <w:lang w:eastAsia="pt-BR"/>
        </w:rPr>
        <w:t xml:space="preserve"> </w:t>
      </w:r>
    </w:p>
    <w:p w:rsidR="003B36B8" w:rsidRDefault="003B36B8"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O fato é que desde o início da construção de Brasília estiveram presentes tanto as invasões quanto as desocupações por parte do Governo. </w:t>
      </w:r>
      <w:r w:rsidRPr="003B36B8">
        <w:rPr>
          <w:rFonts w:ascii="Times New Roman" w:eastAsiaTheme="minorEastAsia" w:hAnsi="Times New Roman" w:cs="Times New Roman"/>
          <w:sz w:val="24"/>
          <w:szCs w:val="24"/>
          <w:lang w:eastAsia="pt-BR"/>
        </w:rPr>
        <w:t>Apesar de Lúcio Costa ter planejado as quadras 400 no Plano Piloto para a população mais humilde, esta nunca teve as condições</w:t>
      </w:r>
      <w:r>
        <w:rPr>
          <w:rFonts w:ascii="Times New Roman" w:eastAsiaTheme="minorEastAsia" w:hAnsi="Times New Roman" w:cs="Times New Roman"/>
          <w:sz w:val="24"/>
          <w:szCs w:val="24"/>
          <w:lang w:eastAsia="pt-BR"/>
        </w:rPr>
        <w:t xml:space="preserve"> financeiras</w:t>
      </w:r>
      <w:r w:rsidRPr="003B36B8">
        <w:rPr>
          <w:rFonts w:ascii="Times New Roman" w:eastAsiaTheme="minorEastAsia" w:hAnsi="Times New Roman" w:cs="Times New Roman"/>
          <w:sz w:val="24"/>
          <w:szCs w:val="24"/>
          <w:lang w:eastAsia="pt-BR"/>
        </w:rPr>
        <w:t xml:space="preserve"> de ali residir e já em 1958 </w:t>
      </w:r>
      <w:proofErr w:type="gramStart"/>
      <w:r w:rsidRPr="003B36B8">
        <w:rPr>
          <w:rFonts w:ascii="Times New Roman" w:eastAsiaTheme="minorEastAsia" w:hAnsi="Times New Roman" w:cs="Times New Roman"/>
          <w:sz w:val="24"/>
          <w:szCs w:val="24"/>
          <w:lang w:eastAsia="pt-BR"/>
        </w:rPr>
        <w:t>a</w:t>
      </w:r>
      <w:proofErr w:type="gramEnd"/>
      <w:r w:rsidRPr="003B36B8">
        <w:rPr>
          <w:rFonts w:ascii="Times New Roman" w:eastAsiaTheme="minorEastAsia" w:hAnsi="Times New Roman" w:cs="Times New Roman"/>
          <w:sz w:val="24"/>
          <w:szCs w:val="24"/>
          <w:lang w:eastAsia="pt-BR"/>
        </w:rPr>
        <w:t xml:space="preserve"> população mais carente ocupava as imediações da Cidade Livre, hoje Núcleo Bandeirante. A alternativa encontrada pelos governantes foi </w:t>
      </w:r>
      <w:proofErr w:type="gramStart"/>
      <w:r w:rsidRPr="003B36B8">
        <w:rPr>
          <w:rFonts w:ascii="Times New Roman" w:eastAsiaTheme="minorEastAsia" w:hAnsi="Times New Roman" w:cs="Times New Roman"/>
          <w:sz w:val="24"/>
          <w:szCs w:val="24"/>
          <w:lang w:eastAsia="pt-BR"/>
        </w:rPr>
        <w:t>a</w:t>
      </w:r>
      <w:proofErr w:type="gramEnd"/>
      <w:r w:rsidRPr="003B36B8">
        <w:rPr>
          <w:rFonts w:ascii="Times New Roman" w:eastAsiaTheme="minorEastAsia" w:hAnsi="Times New Roman" w:cs="Times New Roman"/>
          <w:sz w:val="24"/>
          <w:szCs w:val="24"/>
          <w:lang w:eastAsia="pt-BR"/>
        </w:rPr>
        <w:t xml:space="preserve"> antecipação da criação de Taguatinga para atender essa demanda. Em 1971, Ceilândia foi criada como solução para o problema das invasões, assentando de cerca de 80 mil pessoas que residiam em favelas também situadas nas proximidades do Núcleo Bandeirante. Seu próprio nome surge das iniciais do programa: CEI – Campanha de Erradicação de Invasões.</w:t>
      </w:r>
    </w:p>
    <w:p w:rsidR="003B36B8" w:rsidRDefault="00716F6E"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Apesar de existirem </w:t>
      </w:r>
      <w:r w:rsidRPr="00CE31A5">
        <w:rPr>
          <w:rFonts w:ascii="Times New Roman" w:eastAsiaTheme="minorEastAsia" w:hAnsi="Times New Roman" w:cs="Times New Roman"/>
          <w:sz w:val="24"/>
          <w:szCs w:val="24"/>
          <w:lang w:eastAsia="pt-BR"/>
        </w:rPr>
        <w:t>Plano</w:t>
      </w:r>
      <w:r>
        <w:rPr>
          <w:rFonts w:ascii="Times New Roman" w:eastAsiaTheme="minorEastAsia" w:hAnsi="Times New Roman" w:cs="Times New Roman"/>
          <w:sz w:val="24"/>
          <w:szCs w:val="24"/>
          <w:lang w:eastAsia="pt-BR"/>
        </w:rPr>
        <w:t>s</w:t>
      </w:r>
      <w:r w:rsidRPr="00CE31A5">
        <w:rPr>
          <w:rFonts w:ascii="Times New Roman" w:eastAsiaTheme="minorEastAsia" w:hAnsi="Times New Roman" w:cs="Times New Roman"/>
          <w:sz w:val="24"/>
          <w:szCs w:val="24"/>
          <w:lang w:eastAsia="pt-BR"/>
        </w:rPr>
        <w:t xml:space="preserve"> Diretor</w:t>
      </w:r>
      <w:r>
        <w:rPr>
          <w:rFonts w:ascii="Times New Roman" w:eastAsiaTheme="minorEastAsia" w:hAnsi="Times New Roman" w:cs="Times New Roman"/>
          <w:sz w:val="24"/>
          <w:szCs w:val="24"/>
          <w:lang w:eastAsia="pt-BR"/>
        </w:rPr>
        <w:t>es</w:t>
      </w:r>
      <w:r w:rsidRPr="00CE31A5">
        <w:rPr>
          <w:rFonts w:ascii="Times New Roman" w:eastAsiaTheme="minorEastAsia" w:hAnsi="Times New Roman" w:cs="Times New Roman"/>
          <w:sz w:val="24"/>
          <w:szCs w:val="24"/>
          <w:lang w:eastAsia="pt-BR"/>
        </w:rPr>
        <w:t xml:space="preserve"> de Ordenamento Territorial</w:t>
      </w:r>
      <w:r>
        <w:rPr>
          <w:rFonts w:ascii="Times New Roman" w:eastAsiaTheme="minorEastAsia" w:hAnsi="Times New Roman" w:cs="Times New Roman"/>
          <w:sz w:val="24"/>
          <w:szCs w:val="24"/>
          <w:lang w:eastAsia="pt-BR"/>
        </w:rPr>
        <w:t xml:space="preserve"> – PDOT anteriores, o PDOT de 2009 foi o primeiro que, em seu capítulo de estratégia de regularização fundiária, definiu as áreas passíveis de regularização, distinguindo entre aquelas ocupadas por </w:t>
      </w:r>
      <w:proofErr w:type="gramStart"/>
      <w:r>
        <w:rPr>
          <w:rFonts w:ascii="Times New Roman" w:eastAsiaTheme="minorEastAsia" w:hAnsi="Times New Roman" w:cs="Times New Roman"/>
          <w:sz w:val="24"/>
          <w:szCs w:val="24"/>
          <w:lang w:eastAsia="pt-BR"/>
        </w:rPr>
        <w:t xml:space="preserve">população de baixa renda denominadas de </w:t>
      </w:r>
      <w:r w:rsidRPr="00CE31A5">
        <w:rPr>
          <w:rFonts w:ascii="Times New Roman" w:eastAsiaTheme="minorEastAsia" w:hAnsi="Times New Roman" w:cs="Times New Roman"/>
          <w:sz w:val="24"/>
          <w:szCs w:val="24"/>
          <w:lang w:eastAsia="pt-BR"/>
        </w:rPr>
        <w:t>ARIS</w:t>
      </w:r>
      <w:proofErr w:type="gramEnd"/>
      <w:r w:rsidRPr="00CE31A5">
        <w:rPr>
          <w:rFonts w:ascii="Times New Roman" w:eastAsiaTheme="minorEastAsia" w:hAnsi="Times New Roman" w:cs="Times New Roman"/>
          <w:sz w:val="24"/>
          <w:szCs w:val="24"/>
          <w:lang w:eastAsia="pt-BR"/>
        </w:rPr>
        <w:t xml:space="preserve"> – Áreas de Regularização de Interesse Social</w:t>
      </w:r>
      <w:r>
        <w:rPr>
          <w:rFonts w:ascii="Times New Roman" w:eastAsiaTheme="minorEastAsia" w:hAnsi="Times New Roman" w:cs="Times New Roman"/>
          <w:sz w:val="24"/>
          <w:szCs w:val="24"/>
          <w:lang w:eastAsia="pt-BR"/>
        </w:rPr>
        <w:t xml:space="preserve"> e as ocupados pelas classes média e alta, as ARINE – Áreas de Regularização de Interesse Específico. </w:t>
      </w:r>
    </w:p>
    <w:p w:rsidR="00CA5846" w:rsidRPr="00CE31A5" w:rsidRDefault="00756E0E"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O argumento central do presente trabalho é considerar a definição das áreas de regularização como um reconhecimento de direito de propriedade </w:t>
      </w:r>
      <w:r>
        <w:rPr>
          <w:rFonts w:ascii="Times New Roman" w:eastAsiaTheme="minorEastAsia" w:hAnsi="Times New Roman" w:cs="Times New Roman"/>
          <w:i/>
          <w:sz w:val="24"/>
          <w:szCs w:val="24"/>
          <w:lang w:eastAsia="pt-BR"/>
        </w:rPr>
        <w:t>de facto</w:t>
      </w:r>
      <w:r>
        <w:rPr>
          <w:rFonts w:ascii="Times New Roman" w:eastAsiaTheme="minorEastAsia" w:hAnsi="Times New Roman" w:cs="Times New Roman"/>
          <w:sz w:val="24"/>
          <w:szCs w:val="24"/>
          <w:lang w:eastAsia="pt-BR"/>
        </w:rPr>
        <w:t xml:space="preserve">. Já que o processo da concessão do direito de propriedade </w:t>
      </w:r>
      <w:r>
        <w:rPr>
          <w:rFonts w:ascii="Times New Roman" w:eastAsiaTheme="minorEastAsia" w:hAnsi="Times New Roman" w:cs="Times New Roman"/>
          <w:i/>
          <w:sz w:val="24"/>
          <w:szCs w:val="24"/>
          <w:lang w:eastAsia="pt-BR"/>
        </w:rPr>
        <w:t>de jure</w:t>
      </w:r>
      <w:r>
        <w:rPr>
          <w:rFonts w:ascii="Times New Roman" w:eastAsiaTheme="minorEastAsia" w:hAnsi="Times New Roman" w:cs="Times New Roman"/>
          <w:sz w:val="24"/>
          <w:szCs w:val="24"/>
          <w:lang w:eastAsia="pt-BR"/>
        </w:rPr>
        <w:t xml:space="preserve">, ou seja, a entrega da escritura, ainda está em curso. Ainda, </w:t>
      </w:r>
      <w:proofErr w:type="gramStart"/>
      <w:r>
        <w:rPr>
          <w:rFonts w:ascii="Times New Roman" w:eastAsiaTheme="minorEastAsia" w:hAnsi="Times New Roman" w:cs="Times New Roman"/>
          <w:sz w:val="24"/>
          <w:szCs w:val="24"/>
          <w:lang w:eastAsia="pt-BR"/>
        </w:rPr>
        <w:t>pode-se</w:t>
      </w:r>
      <w:proofErr w:type="gramEnd"/>
      <w:r>
        <w:rPr>
          <w:rFonts w:ascii="Times New Roman" w:eastAsiaTheme="minorEastAsia" w:hAnsi="Times New Roman" w:cs="Times New Roman"/>
          <w:sz w:val="24"/>
          <w:szCs w:val="24"/>
          <w:lang w:eastAsia="pt-BR"/>
        </w:rPr>
        <w:t xml:space="preserve"> considerar os impactos aqui encontrados como uma estimativa do viés de antecipação ao programa em si, de novo, a entrega das escrituras. Apesar da delimitação da área não ser</w:t>
      </w:r>
      <w:r w:rsidR="00CA5846" w:rsidRPr="00CE31A5">
        <w:rPr>
          <w:rFonts w:ascii="Times New Roman" w:eastAsiaTheme="minorEastAsia" w:hAnsi="Times New Roman" w:cs="Times New Roman"/>
          <w:sz w:val="24"/>
          <w:szCs w:val="24"/>
          <w:lang w:eastAsia="pt-BR"/>
        </w:rPr>
        <w:t xml:space="preserve"> em si uma garantia de obtenção da escritura</w:t>
      </w:r>
      <w:r>
        <w:rPr>
          <w:rFonts w:ascii="Times New Roman" w:eastAsiaTheme="minorEastAsia" w:hAnsi="Times New Roman" w:cs="Times New Roman"/>
          <w:sz w:val="24"/>
          <w:szCs w:val="24"/>
          <w:lang w:eastAsia="pt-BR"/>
        </w:rPr>
        <w:t xml:space="preserve"> – </w:t>
      </w:r>
      <w:r w:rsidR="00CA5846" w:rsidRPr="00CE31A5">
        <w:rPr>
          <w:rFonts w:ascii="Times New Roman" w:eastAsiaTheme="minorEastAsia" w:hAnsi="Times New Roman" w:cs="Times New Roman"/>
          <w:sz w:val="24"/>
          <w:szCs w:val="24"/>
          <w:lang w:eastAsia="pt-BR"/>
        </w:rPr>
        <w:t>outros critérios devem ser cumpridos para garantir a elegibilidade do domicí</w:t>
      </w:r>
      <w:r>
        <w:rPr>
          <w:rFonts w:ascii="Times New Roman" w:eastAsiaTheme="minorEastAsia" w:hAnsi="Times New Roman" w:cs="Times New Roman"/>
          <w:sz w:val="24"/>
          <w:szCs w:val="24"/>
          <w:lang w:eastAsia="pt-BR"/>
        </w:rPr>
        <w:t xml:space="preserve">lio ao programa – essa </w:t>
      </w:r>
      <w:r w:rsidR="00CA5846" w:rsidRPr="00CE31A5">
        <w:rPr>
          <w:rFonts w:ascii="Times New Roman" w:eastAsiaTheme="minorEastAsia" w:hAnsi="Times New Roman" w:cs="Times New Roman"/>
          <w:sz w:val="24"/>
          <w:szCs w:val="24"/>
          <w:lang w:eastAsia="pt-BR"/>
        </w:rPr>
        <w:t xml:space="preserve">própria definição da área de regularização é capaz de provocar mudanças no </w:t>
      </w:r>
      <w:r>
        <w:rPr>
          <w:rFonts w:ascii="Times New Roman" w:eastAsiaTheme="minorEastAsia" w:hAnsi="Times New Roman" w:cs="Times New Roman"/>
          <w:sz w:val="24"/>
          <w:szCs w:val="24"/>
          <w:lang w:eastAsia="pt-BR"/>
        </w:rPr>
        <w:t>comportamento</w:t>
      </w:r>
      <w:r w:rsidR="00CA5846" w:rsidRPr="00CE31A5">
        <w:rPr>
          <w:rFonts w:ascii="Times New Roman" w:eastAsiaTheme="minorEastAsia" w:hAnsi="Times New Roman" w:cs="Times New Roman"/>
          <w:sz w:val="24"/>
          <w:szCs w:val="24"/>
          <w:lang w:eastAsia="pt-BR"/>
        </w:rPr>
        <w:t xml:space="preserve"> dos moradores.</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 estimação será realizada pelo modelo de </w:t>
      </w:r>
      <w:r w:rsidRPr="00CE31A5">
        <w:rPr>
          <w:rFonts w:ascii="Times New Roman" w:eastAsiaTheme="minorEastAsia" w:hAnsi="Times New Roman" w:cs="Times New Roman"/>
          <w:i/>
          <w:sz w:val="24"/>
          <w:szCs w:val="24"/>
          <w:lang w:eastAsia="pt-BR"/>
        </w:rPr>
        <w:t>propensity score matching</w:t>
      </w:r>
      <w:r w:rsidRPr="00CE31A5">
        <w:rPr>
          <w:rFonts w:ascii="Times New Roman" w:eastAsiaTheme="minorEastAsia" w:hAnsi="Times New Roman" w:cs="Times New Roman"/>
          <w:sz w:val="24"/>
          <w:szCs w:val="24"/>
          <w:lang w:eastAsia="pt-BR"/>
        </w:rPr>
        <w:t xml:space="preserve"> em que, de posse de um grupo de tratamento composto por domicílios beneficiários do programa e de um grupo de controle composto por domicílios </w:t>
      </w:r>
      <w:proofErr w:type="gramStart"/>
      <w:r w:rsidRPr="00CE31A5">
        <w:rPr>
          <w:rFonts w:ascii="Times New Roman" w:eastAsiaTheme="minorEastAsia" w:hAnsi="Times New Roman" w:cs="Times New Roman"/>
          <w:sz w:val="24"/>
          <w:szCs w:val="24"/>
          <w:lang w:eastAsia="pt-BR"/>
        </w:rPr>
        <w:t>não-beneficiários</w:t>
      </w:r>
      <w:proofErr w:type="gramEnd"/>
      <w:r w:rsidRPr="00CE31A5">
        <w:rPr>
          <w:rFonts w:ascii="Times New Roman" w:eastAsiaTheme="minorEastAsia" w:hAnsi="Times New Roman" w:cs="Times New Roman"/>
          <w:sz w:val="24"/>
          <w:szCs w:val="24"/>
          <w:lang w:eastAsia="pt-BR"/>
        </w:rPr>
        <w:t>, os impactos são mensurados a partir da diferença observada entre os grupos, após o controle em variáveis observáveis para garantir que ambos os grupos sejam comparáveis. O grupo de tratamento será definido pelos domicílios pertencentes a uma ARIS que possuem algum docume</w:t>
      </w:r>
      <w:r w:rsidR="00D61EF6">
        <w:rPr>
          <w:rFonts w:ascii="Times New Roman" w:eastAsiaTheme="minorEastAsia" w:hAnsi="Times New Roman" w:cs="Times New Roman"/>
          <w:sz w:val="24"/>
          <w:szCs w:val="24"/>
          <w:lang w:eastAsia="pt-BR"/>
        </w:rPr>
        <w:t>nto do imóvel (termo de compra</w:t>
      </w:r>
      <w:r w:rsidRPr="00CE31A5">
        <w:rPr>
          <w:rFonts w:ascii="Times New Roman" w:eastAsiaTheme="minorEastAsia" w:hAnsi="Times New Roman" w:cs="Times New Roman"/>
          <w:sz w:val="24"/>
          <w:szCs w:val="24"/>
          <w:lang w:eastAsia="pt-BR"/>
        </w:rPr>
        <w:t>, etc.)</w:t>
      </w:r>
      <w:r w:rsidR="005F2EFD">
        <w:rPr>
          <w:rFonts w:ascii="Times New Roman" w:eastAsiaTheme="minorEastAsia" w:hAnsi="Times New Roman" w:cs="Times New Roman"/>
          <w:sz w:val="24"/>
          <w:szCs w:val="24"/>
          <w:lang w:eastAsia="pt-BR"/>
        </w:rPr>
        <w:t xml:space="preserve"> – evidentemente este não é a escritura –</w:t>
      </w:r>
      <w:r w:rsidRPr="00CE31A5">
        <w:rPr>
          <w:rFonts w:ascii="Times New Roman" w:eastAsiaTheme="minorEastAsia" w:hAnsi="Times New Roman" w:cs="Times New Roman"/>
          <w:sz w:val="24"/>
          <w:szCs w:val="24"/>
          <w:lang w:eastAsia="pt-BR"/>
        </w:rPr>
        <w:t xml:space="preserve"> e cujos chefes identificam o terreno onde está localizado o domicílio como regularizado. O grupo de controle será composto pelos domicílios localizados em uma ARIS não possuidores de documento e em terrenos identificados como não sendo regularizado</w:t>
      </w:r>
      <w:r w:rsidR="005F2EFD">
        <w:rPr>
          <w:rFonts w:ascii="Times New Roman" w:eastAsiaTheme="minorEastAsia" w:hAnsi="Times New Roman" w:cs="Times New Roman"/>
          <w:sz w:val="24"/>
          <w:szCs w:val="24"/>
          <w:lang w:eastAsia="pt-BR"/>
        </w:rPr>
        <w:t>s</w:t>
      </w:r>
      <w:r w:rsidRPr="00CE31A5">
        <w:rPr>
          <w:rFonts w:ascii="Times New Roman" w:eastAsiaTheme="minorEastAsia" w:hAnsi="Times New Roman" w:cs="Times New Roman"/>
          <w:sz w:val="24"/>
          <w:szCs w:val="24"/>
          <w:lang w:eastAsia="pt-BR"/>
        </w:rPr>
        <w:t>.</w:t>
      </w:r>
    </w:p>
    <w:p w:rsidR="005F2EFD" w:rsidRPr="00CE31A5" w:rsidRDefault="00CA5846" w:rsidP="00C7544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Essa distinção é possível devido ao fato de o questionário ter sido aplicado alguns meses após a promulgação do PDOT. Assume-se que devido ao pouco tempo entre a promulgação e a aplicação do questionário, alguns chefes de domicílios pertencentes a áreas de regularização não tiveram conhecimento da demarcação das áreas.</w:t>
      </w:r>
      <w:r w:rsidR="005F2EFD">
        <w:rPr>
          <w:rFonts w:ascii="Times New Roman" w:eastAsiaTheme="minorEastAsia" w:hAnsi="Times New Roman" w:cs="Times New Roman"/>
          <w:sz w:val="24"/>
          <w:szCs w:val="24"/>
          <w:lang w:eastAsia="pt-BR"/>
        </w:rPr>
        <w:t xml:space="preserve"> Além disso, a identificação do terreno como sendo regularizando ou não pode </w:t>
      </w:r>
      <w:r w:rsidR="005F2EFD">
        <w:rPr>
          <w:rFonts w:ascii="Times New Roman" w:eastAsiaTheme="minorEastAsia" w:hAnsi="Times New Roman" w:cs="Times New Roman"/>
          <w:sz w:val="24"/>
          <w:szCs w:val="24"/>
          <w:lang w:eastAsia="pt-BR"/>
        </w:rPr>
        <w:lastRenderedPageBreak/>
        <w:t xml:space="preserve">ser considerada uma estimativa subjetiva da segurança fundiária percebida, já que, pertencendo a uma ARIS o terreno ainda não é regularizado. </w:t>
      </w:r>
      <w:r w:rsidRPr="00CE31A5">
        <w:rPr>
          <w:rFonts w:ascii="Times New Roman" w:eastAsiaTheme="minorEastAsia" w:hAnsi="Times New Roman" w:cs="Times New Roman"/>
          <w:sz w:val="24"/>
          <w:szCs w:val="24"/>
          <w:lang w:eastAsia="pt-BR"/>
        </w:rPr>
        <w:t xml:space="preserve"> Assim é possível construir um grupo de controle válido para estim</w:t>
      </w:r>
      <w:r w:rsidR="005F2EFD">
        <w:rPr>
          <w:rFonts w:ascii="Times New Roman" w:eastAsiaTheme="minorEastAsia" w:hAnsi="Times New Roman" w:cs="Times New Roman"/>
          <w:sz w:val="24"/>
          <w:szCs w:val="24"/>
          <w:lang w:eastAsia="pt-BR"/>
        </w:rPr>
        <w:t>ação dos efeitos de tratamento.</w:t>
      </w:r>
      <w:r w:rsidR="00C75448">
        <w:rPr>
          <w:rFonts w:ascii="Times New Roman" w:eastAsiaTheme="minorEastAsia" w:hAnsi="Times New Roman" w:cs="Times New Roman"/>
          <w:sz w:val="24"/>
          <w:szCs w:val="24"/>
          <w:lang w:eastAsia="pt-BR"/>
        </w:rPr>
        <w:t xml:space="preserve"> </w:t>
      </w:r>
      <w:r w:rsidR="005F2EFD">
        <w:rPr>
          <w:rFonts w:ascii="Times New Roman" w:eastAsiaTheme="minorEastAsia" w:hAnsi="Times New Roman" w:cs="Times New Roman"/>
          <w:sz w:val="24"/>
          <w:szCs w:val="24"/>
          <w:lang w:eastAsia="pt-BR"/>
        </w:rPr>
        <w:t>O impacto será mensurado na oferta de trabalho, no rendimento do trabalho e no investimento domiciliar.</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numPr>
          <w:ilvl w:val="0"/>
          <w:numId w:val="8"/>
        </w:numPr>
        <w:spacing w:line="240" w:lineRule="auto"/>
        <w:ind w:left="0" w:firstLine="709"/>
        <w:contextualSpacing/>
        <w:jc w:val="both"/>
        <w:outlineLvl w:val="2"/>
        <w:rPr>
          <w:rFonts w:ascii="Times New Roman" w:eastAsiaTheme="minorEastAsia" w:hAnsi="Times New Roman" w:cs="Times New Roman"/>
          <w:vanish/>
          <w:sz w:val="24"/>
          <w:szCs w:val="24"/>
          <w:lang w:eastAsia="pt-BR"/>
        </w:rPr>
      </w:pPr>
      <w:bookmarkStart w:id="2" w:name="_Toc328658106"/>
      <w:bookmarkStart w:id="3" w:name="_Toc330478165"/>
      <w:bookmarkStart w:id="4" w:name="_Toc331086013"/>
      <w:bookmarkStart w:id="5" w:name="_Toc331756931"/>
      <w:bookmarkStart w:id="6" w:name="_Toc331757008"/>
      <w:bookmarkStart w:id="7" w:name="_Toc333675646"/>
      <w:bookmarkStart w:id="8" w:name="_Toc343354176"/>
      <w:bookmarkStart w:id="9" w:name="_Toc347147701"/>
      <w:bookmarkStart w:id="10" w:name="_Toc347233058"/>
      <w:bookmarkStart w:id="11" w:name="_Toc347233114"/>
      <w:bookmarkStart w:id="12" w:name="_Toc347414177"/>
      <w:bookmarkStart w:id="13" w:name="_Toc347494974"/>
      <w:bookmarkStart w:id="14" w:name="_Toc347495038"/>
      <w:bookmarkStart w:id="15" w:name="_Toc348726073"/>
      <w:bookmarkStart w:id="16" w:name="_Toc348793386"/>
      <w:bookmarkStart w:id="17" w:name="_Toc349127274"/>
      <w:bookmarkStart w:id="18" w:name="_Toc349129052"/>
      <w:bookmarkStart w:id="19" w:name="_Toc349228931"/>
      <w:bookmarkStart w:id="20" w:name="_Toc349228994"/>
      <w:bookmarkStart w:id="21" w:name="_Toc349229035"/>
      <w:bookmarkStart w:id="22" w:name="_Toc349229342"/>
      <w:bookmarkStart w:id="23" w:name="_Toc349229375"/>
      <w:bookmarkStart w:id="24" w:name="_Toc349229413"/>
      <w:bookmarkStart w:id="25" w:name="_Toc349316179"/>
      <w:bookmarkStart w:id="26" w:name="_Toc349914945"/>
      <w:bookmarkStart w:id="27" w:name="_Toc350714925"/>
      <w:bookmarkStart w:id="28" w:name="_Toc350715493"/>
      <w:bookmarkStart w:id="29" w:name="_Toc350858564"/>
      <w:bookmarkStart w:id="30" w:name="_Toc350977031"/>
      <w:bookmarkStart w:id="31" w:name="_Toc351401376"/>
      <w:bookmarkStart w:id="32" w:name="_Toc353462544"/>
      <w:bookmarkStart w:id="33" w:name="_Toc353474774"/>
      <w:bookmarkStart w:id="34" w:name="_Toc353475112"/>
      <w:bookmarkStart w:id="35" w:name="_Toc355768919"/>
      <w:bookmarkStart w:id="36" w:name="_Toc356400272"/>
      <w:bookmarkStart w:id="37" w:name="_Toc357175777"/>
      <w:bookmarkStart w:id="38" w:name="_Toc358988344"/>
      <w:bookmarkStart w:id="39" w:name="_Toc359856500"/>
      <w:bookmarkStart w:id="40" w:name="_Toc360553119"/>
      <w:bookmarkStart w:id="41" w:name="_Toc360625946"/>
      <w:bookmarkStart w:id="42" w:name="_Toc360715316"/>
      <w:bookmarkStart w:id="43" w:name="_Toc361325023"/>
      <w:bookmarkStart w:id="44" w:name="_Toc36225955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54FB3" w:rsidRPr="00CE31A5" w:rsidRDefault="00954FB3" w:rsidP="00A254A4">
      <w:pPr>
        <w:spacing w:after="0"/>
        <w:contextualSpacing/>
        <w:rPr>
          <w:rFonts w:ascii="Times New Roman" w:eastAsiaTheme="minorEastAsia" w:hAnsi="Times New Roman" w:cs="Times New Roman"/>
          <w:b/>
          <w:sz w:val="24"/>
          <w:szCs w:val="24"/>
          <w:lang w:eastAsia="pt-BR"/>
        </w:rPr>
      </w:pPr>
      <w:r w:rsidRPr="00CE31A5">
        <w:rPr>
          <w:rFonts w:ascii="Times New Roman" w:eastAsiaTheme="minorEastAsia" w:hAnsi="Times New Roman" w:cs="Times New Roman"/>
          <w:b/>
          <w:sz w:val="24"/>
          <w:szCs w:val="24"/>
          <w:lang w:eastAsia="pt-BR"/>
        </w:rPr>
        <w:t>O Programa de Regularização Fundiária no Distrito Federal</w:t>
      </w:r>
    </w:p>
    <w:p w:rsidR="00954FB3" w:rsidRPr="00CE31A5" w:rsidRDefault="00954FB3" w:rsidP="00A254A4">
      <w:pPr>
        <w:spacing w:after="0" w:line="240" w:lineRule="auto"/>
        <w:ind w:firstLine="709"/>
        <w:contextualSpacing/>
        <w:jc w:val="both"/>
        <w:rPr>
          <w:rFonts w:ascii="Times New Roman" w:eastAsiaTheme="minorEastAsia" w:hAnsi="Times New Roman" w:cs="Times New Roman"/>
          <w:color w:val="000000"/>
          <w:sz w:val="24"/>
          <w:szCs w:val="24"/>
          <w:shd w:val="clear" w:color="auto" w:fill="FFFFFF"/>
          <w:lang w:eastAsia="pt-BR"/>
        </w:rPr>
      </w:pPr>
      <w:r w:rsidRPr="00CE31A5">
        <w:rPr>
          <w:rFonts w:ascii="Times New Roman" w:eastAsiaTheme="minorEastAsia" w:hAnsi="Times New Roman" w:cs="Times New Roman"/>
          <w:sz w:val="24"/>
          <w:szCs w:val="24"/>
          <w:lang w:eastAsia="pt-BR"/>
        </w:rPr>
        <w:t>A Constituição Federal de 1988 define que é de competência dos municípios (e do Distrito Federal) “</w:t>
      </w:r>
      <w:r w:rsidRPr="00CE31A5">
        <w:rPr>
          <w:rFonts w:ascii="Times New Roman" w:eastAsiaTheme="minorEastAsia" w:hAnsi="Times New Roman" w:cs="Times New Roman"/>
          <w:color w:val="000000"/>
          <w:sz w:val="24"/>
          <w:szCs w:val="24"/>
          <w:shd w:val="clear" w:color="auto" w:fill="FFFFFF"/>
          <w:lang w:eastAsia="pt-BR"/>
        </w:rPr>
        <w:t>promover, no que couber, adequado ordenamento territorial, mediante planejamento e controle do uso, do parcelamento e da ocupação do solo urbano” (Art. 30, VII). Ainda, a Constituição, nos artigos 182 e 183, define as diretrizes da política urbana adotadas pelo</w:t>
      </w:r>
      <w:r w:rsidR="00FB0D2F">
        <w:rPr>
          <w:rFonts w:ascii="Times New Roman" w:eastAsiaTheme="minorEastAsia" w:hAnsi="Times New Roman" w:cs="Times New Roman"/>
          <w:color w:val="000000"/>
          <w:sz w:val="24"/>
          <w:szCs w:val="24"/>
          <w:shd w:val="clear" w:color="auto" w:fill="FFFFFF"/>
          <w:lang w:eastAsia="pt-BR"/>
        </w:rPr>
        <w:t>s</w:t>
      </w:r>
      <w:r w:rsidRPr="00CE31A5">
        <w:rPr>
          <w:rFonts w:ascii="Times New Roman" w:eastAsiaTheme="minorEastAsia" w:hAnsi="Times New Roman" w:cs="Times New Roman"/>
          <w:color w:val="000000"/>
          <w:sz w:val="24"/>
          <w:szCs w:val="24"/>
          <w:shd w:val="clear" w:color="auto" w:fill="FFFFFF"/>
          <w:lang w:eastAsia="pt-BR"/>
        </w:rPr>
        <w:t xml:space="preserve"> municípios. Destaca-se:</w:t>
      </w:r>
    </w:p>
    <w:p w:rsidR="00AD3CD9" w:rsidRDefault="00AD3CD9" w:rsidP="00AD3CD9">
      <w:pPr>
        <w:shd w:val="clear" w:color="auto" w:fill="FFFFFF"/>
        <w:spacing w:before="100" w:beforeAutospacing="1" w:after="100" w:afterAutospacing="1" w:line="240" w:lineRule="auto"/>
        <w:ind w:left="2268"/>
        <w:contextualSpacing/>
        <w:jc w:val="both"/>
        <w:rPr>
          <w:rFonts w:ascii="Times New Roman" w:eastAsia="Times New Roman" w:hAnsi="Times New Roman" w:cs="Times New Roman"/>
          <w:color w:val="000000"/>
          <w:sz w:val="24"/>
          <w:szCs w:val="24"/>
          <w:lang w:eastAsia="pt-BR"/>
        </w:rPr>
      </w:pPr>
    </w:p>
    <w:p w:rsidR="00954FB3" w:rsidRPr="00CE31A5" w:rsidRDefault="00954FB3" w:rsidP="00FF32B1">
      <w:pPr>
        <w:shd w:val="clear" w:color="auto" w:fill="FFFFFF"/>
        <w:spacing w:before="100" w:beforeAutospacing="1" w:after="100" w:afterAutospacing="1" w:line="240" w:lineRule="auto"/>
        <w:ind w:left="1701"/>
        <w:contextualSpacing/>
        <w:jc w:val="both"/>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Art. 182. A política de desenvolvimento urbano, executada pelo Poder Público municipal, conforme diretrizes gerais fixadas em lei</w:t>
      </w:r>
      <w:proofErr w:type="gramStart"/>
      <w:r w:rsidRPr="00CE31A5">
        <w:rPr>
          <w:rFonts w:ascii="Times New Roman" w:eastAsia="Times New Roman" w:hAnsi="Times New Roman" w:cs="Times New Roman"/>
          <w:color w:val="000000"/>
          <w:sz w:val="24"/>
          <w:szCs w:val="24"/>
          <w:lang w:eastAsia="pt-BR"/>
        </w:rPr>
        <w:t>, tem</w:t>
      </w:r>
      <w:proofErr w:type="gramEnd"/>
      <w:r w:rsidRPr="00CE31A5">
        <w:rPr>
          <w:rFonts w:ascii="Times New Roman" w:eastAsia="Times New Roman" w:hAnsi="Times New Roman" w:cs="Times New Roman"/>
          <w:color w:val="000000"/>
          <w:sz w:val="24"/>
          <w:szCs w:val="24"/>
          <w:lang w:eastAsia="pt-BR"/>
        </w:rPr>
        <w:t xml:space="preserve"> por objetivo ordenar o pleno desenvolvimento das funções sociais da cidade e garantir o bem- estar de seus habitantes.</w:t>
      </w:r>
    </w:p>
    <w:p w:rsidR="00954FB3" w:rsidRPr="00CE31A5" w:rsidRDefault="00954FB3" w:rsidP="00FF32B1">
      <w:pPr>
        <w:shd w:val="clear" w:color="auto" w:fill="FFFFFF"/>
        <w:spacing w:before="100" w:beforeAutospacing="1" w:after="100" w:afterAutospacing="1" w:line="240" w:lineRule="auto"/>
        <w:ind w:left="1701"/>
        <w:contextualSpacing/>
        <w:jc w:val="both"/>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w:t>
      </w:r>
      <w:r w:rsidRPr="00CE31A5">
        <w:rPr>
          <w:rFonts w:ascii="Times New Roman" w:eastAsiaTheme="majorEastAsia" w:hAnsi="Times New Roman" w:cs="Times New Roman"/>
          <w:color w:val="000000"/>
          <w:sz w:val="24"/>
          <w:szCs w:val="24"/>
          <w:lang w:eastAsia="pt-BR"/>
        </w:rPr>
        <w:t> </w:t>
      </w:r>
      <w:r w:rsidRPr="00CE31A5">
        <w:rPr>
          <w:rFonts w:ascii="Times New Roman" w:eastAsia="Times New Roman" w:hAnsi="Times New Roman" w:cs="Times New Roman"/>
          <w:color w:val="000000"/>
          <w:sz w:val="24"/>
          <w:szCs w:val="24"/>
          <w:lang w:eastAsia="pt-BR"/>
        </w:rPr>
        <w:t>§ 1º - O plano diretor, aprovado pela Câmara Municipal, obrigatório para cidades com mais de vinte mil habitantes, é o instrumento básico da política de desenvolvimento e de expansão urbana.</w:t>
      </w:r>
    </w:p>
    <w:p w:rsidR="00954FB3" w:rsidRPr="00CE31A5" w:rsidRDefault="00954FB3" w:rsidP="00FF32B1">
      <w:pPr>
        <w:shd w:val="clear" w:color="auto" w:fill="FFFFFF"/>
        <w:spacing w:before="100" w:beforeAutospacing="1" w:after="100" w:afterAutospacing="1" w:line="240" w:lineRule="auto"/>
        <w:ind w:left="1701"/>
        <w:contextualSpacing/>
        <w:jc w:val="both"/>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 2º - A propriedade urbana cumpre sua função social quando atende às exigências fundamentais de ordenação da cidade expressas no plano diretor.</w:t>
      </w:r>
    </w:p>
    <w:p w:rsidR="00954FB3" w:rsidRDefault="00954FB3" w:rsidP="00FF32B1">
      <w:pPr>
        <w:shd w:val="clear" w:color="auto" w:fill="FFFFFF"/>
        <w:spacing w:before="100" w:beforeAutospacing="1" w:after="100" w:afterAutospacing="1" w:line="240" w:lineRule="auto"/>
        <w:ind w:left="1701"/>
        <w:contextualSpacing/>
        <w:jc w:val="both"/>
        <w:rPr>
          <w:rFonts w:ascii="Times New Roman" w:eastAsia="Times New Roman" w:hAnsi="Times New Roman" w:cs="Times New Roman"/>
          <w:color w:val="000000"/>
          <w:sz w:val="24"/>
          <w:szCs w:val="24"/>
          <w:lang w:eastAsia="pt-BR"/>
        </w:rPr>
      </w:pPr>
      <w:r w:rsidRPr="00CE31A5">
        <w:rPr>
          <w:rFonts w:ascii="Times New Roman" w:eastAsiaTheme="majorEastAsia" w:hAnsi="Times New Roman" w:cs="Times New Roman"/>
          <w:color w:val="000000"/>
          <w:sz w:val="24"/>
          <w:szCs w:val="24"/>
          <w:lang w:eastAsia="pt-BR"/>
        </w:rPr>
        <w:t> </w:t>
      </w:r>
      <w:r w:rsidRPr="00CE31A5">
        <w:rPr>
          <w:rFonts w:ascii="Times New Roman" w:eastAsia="Times New Roman" w:hAnsi="Times New Roman" w:cs="Times New Roman"/>
          <w:color w:val="000000"/>
          <w:sz w:val="24"/>
          <w:szCs w:val="24"/>
          <w:lang w:eastAsia="pt-BR"/>
        </w:rPr>
        <w:t>Art. 183. Aquele que possuir como sua área urbana de até duzentos e cinquenta metros quadrados, por cinco anos, ininterruptamente e sem oposição, utilizando-a para sua moradia ou de sua família, adquirir-lhe-á o domínio, desde que não seja proprietário de outro imóvel urbano ou rural.</w:t>
      </w:r>
    </w:p>
    <w:p w:rsidR="00865A14" w:rsidRPr="00CE31A5" w:rsidRDefault="00865A14" w:rsidP="00FF32B1">
      <w:pPr>
        <w:shd w:val="clear" w:color="auto" w:fill="FFFFFF"/>
        <w:spacing w:before="100" w:beforeAutospacing="1" w:after="100" w:afterAutospacing="1" w:line="240" w:lineRule="auto"/>
        <w:ind w:left="1701"/>
        <w:contextualSpacing/>
        <w:jc w:val="both"/>
        <w:rPr>
          <w:rFonts w:ascii="Times New Roman" w:eastAsia="Times New Roman" w:hAnsi="Times New Roman" w:cs="Times New Roman"/>
          <w:color w:val="000000"/>
          <w:sz w:val="24"/>
          <w:szCs w:val="24"/>
          <w:lang w:eastAsia="pt-BR"/>
        </w:rPr>
      </w:pP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Para os fins da política urbana e da promoção da regularização fundiária, em particular, o Estatuto da Cidade, no artigo 4º, define como instrumentos, dentre outros: o planejamento municipal, em especial o plano diretor; a instituição de zonas especiais de interesse social (ZEIS); a concessão de direito real de uso; </w:t>
      </w:r>
      <w:proofErr w:type="gramStart"/>
      <w:r w:rsidRPr="00CE31A5">
        <w:rPr>
          <w:rFonts w:ascii="Times New Roman" w:eastAsiaTheme="minorEastAsia" w:hAnsi="Times New Roman" w:cs="Times New Roman"/>
          <w:sz w:val="24"/>
          <w:szCs w:val="24"/>
          <w:lang w:eastAsia="pt-BR"/>
        </w:rPr>
        <w:t>o usucapião</w:t>
      </w:r>
      <w:proofErr w:type="gramEnd"/>
      <w:r w:rsidRPr="00CE31A5">
        <w:rPr>
          <w:rFonts w:ascii="Times New Roman" w:eastAsiaTheme="minorEastAsia" w:hAnsi="Times New Roman" w:cs="Times New Roman"/>
          <w:sz w:val="24"/>
          <w:szCs w:val="24"/>
          <w:lang w:eastAsia="pt-BR"/>
        </w:rPr>
        <w:t xml:space="preserve"> especial de imóvel urbano.  </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As ZEIS, segundo Santos (2009), autoriza o município a “dar um tratamento diferente para situações já consolidadas, e que carecem de regularização, dispensando-se o rigor urbanístico em determinadas áreas, com o objetivo primeiro de garantia à moradia”. As ZEIS representavam um avanço jurídico na implantação de políticas de regularização fundiária que levam em consideração o ordenamento urbanístico próprio de cada área de regularização. Segundo </w:t>
      </w:r>
      <w:proofErr w:type="spellStart"/>
      <w:r w:rsidRPr="00CE31A5">
        <w:rPr>
          <w:rFonts w:ascii="Times New Roman" w:eastAsiaTheme="minorEastAsia" w:hAnsi="Times New Roman" w:cs="Times New Roman"/>
          <w:sz w:val="24"/>
          <w:szCs w:val="24"/>
          <w:lang w:eastAsia="pt-BR"/>
        </w:rPr>
        <w:t>Rolnik</w:t>
      </w:r>
      <w:proofErr w:type="spellEnd"/>
      <w:r w:rsidRPr="00CE31A5">
        <w:rPr>
          <w:rFonts w:ascii="Times New Roman" w:eastAsiaTheme="minorEastAsia" w:hAnsi="Times New Roman" w:cs="Times New Roman"/>
          <w:sz w:val="24"/>
          <w:szCs w:val="24"/>
          <w:lang w:eastAsia="pt-BR"/>
        </w:rPr>
        <w:t xml:space="preserve"> (2001), “a possibilidade legal de se</w:t>
      </w:r>
      <w:r w:rsidR="000A5FB9">
        <w:rPr>
          <w:rFonts w:ascii="Times New Roman" w:eastAsiaTheme="minorEastAsia" w:hAnsi="Times New Roman" w:cs="Times New Roman"/>
          <w:sz w:val="24"/>
          <w:szCs w:val="24"/>
          <w:lang w:eastAsia="pt-BR"/>
        </w:rPr>
        <w:t xml:space="preserve"> </w:t>
      </w:r>
      <w:r w:rsidRPr="00CE31A5">
        <w:rPr>
          <w:rFonts w:ascii="Times New Roman" w:eastAsiaTheme="minorEastAsia" w:hAnsi="Times New Roman" w:cs="Times New Roman"/>
          <w:sz w:val="24"/>
          <w:szCs w:val="24"/>
          <w:lang w:eastAsia="pt-BR"/>
        </w:rPr>
        <w:t xml:space="preserve">estabelecer um plano próprio, adequado às especificidades locais, reforça a ideia de que as ZEIS compõem um universo diversificado de assentamentos urbanos, passíveis de tratamentos diferenciados”. </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 concessão de direito real de uso (CDRU) é um instrumento previsto desde o Decreto-Lei nº 271/1967, mas modificado pelo Estatuto das Cidades. Esse é um instrumento utilizado principalmente em áreas de regularização de propriedade pública. Uma das características principais da CDRU é a não transferência da titularidade, ou seja, o Poder público concede, mas não transfere o título do domicílio. Já a Usucapião urbana é o instrumento previsto para a regularização fundiária de áreas urbanas particulares ocupadas para fins de moradia.</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No caso do Distrito Federal, esses instrumentos estão previstos no Plano Diretor de Ordenamento Territorial do Distrito Federal – PDOT aprovado pela Lei Complementar nº803, de 25 de abril de 2009. Seguindo as diretrizes do Estatuto da Cidade, o Plano Diretor é o “instrumento básico da política de desenvolvimento e expansão urbana” (art. 40). Ainda segundo o Estatuto das Cidades, o plano diretor deve conter as “diretrizes para a regularização fundiária de assentamentos urbanos irregulares (...) e previsão de áreas para habitação de interesse social por meio de demarcação de zonas especiais de interesse social e de outros instrumentos de política urbana” (art. 42-A, inciso V). </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Em consonância com o Estatuto das Cidades, está incluso no PDOT do Distrito Federal uma seção contendo a Estratégia de Regularização Fundiária. O artigo 117 indica que “a estratégia de regularização fundiária visa à adequação de assentamentos informais preexistentes às conformações legais (...) de modo </w:t>
      </w:r>
      <w:r w:rsidRPr="00CE31A5">
        <w:rPr>
          <w:rFonts w:ascii="Times New Roman" w:eastAsiaTheme="minorEastAsia" w:hAnsi="Times New Roman" w:cs="Times New Roman"/>
          <w:sz w:val="24"/>
          <w:szCs w:val="24"/>
          <w:lang w:eastAsia="pt-BR"/>
        </w:rPr>
        <w:lastRenderedPageBreak/>
        <w:t xml:space="preserve">a garantir o direito à moradia, o pleno desenvolvimento das funções sociais da propriedade urbana e o direito ao meio ambiente ecologicamente equilibrado”. </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Além disso, o PDOT define três categorias de assentamentos para fins de regularização: Parcelamento Urbano Isolado, aquele com características </w:t>
      </w:r>
      <w:proofErr w:type="gramStart"/>
      <w:r w:rsidRPr="00CE31A5">
        <w:rPr>
          <w:rFonts w:ascii="Times New Roman" w:eastAsiaTheme="minorEastAsia" w:hAnsi="Times New Roman" w:cs="Times New Roman"/>
          <w:sz w:val="24"/>
          <w:szCs w:val="24"/>
          <w:lang w:eastAsia="pt-BR"/>
        </w:rPr>
        <w:t>urbanas implantado originalmente em zona rural</w:t>
      </w:r>
      <w:proofErr w:type="gramEnd"/>
      <w:r w:rsidRPr="00CE31A5">
        <w:rPr>
          <w:rFonts w:ascii="Times New Roman" w:eastAsiaTheme="minorEastAsia" w:hAnsi="Times New Roman" w:cs="Times New Roman"/>
          <w:sz w:val="24"/>
          <w:szCs w:val="24"/>
          <w:lang w:eastAsia="pt-BR"/>
        </w:rPr>
        <w:t>; Áreas de  Regularização, correspondem a unidades territoriais que reúnem assentamentos informais a partir de critérios como proximidade, faixa de renda dos moradores e similaridade das características urbanas e ambientais; e Setores Habitacionais de Regularização, correspondem à agregação de Áreas de Regularização e áreas não parceladas.</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Em relação às Áreas de Regularização, distinguem-se as Áreas de Regularização de Interesse Social (ARIS) também consideradas como Zonas Especiais de Interesse Social (ZEIS) e são voltadas às comunidades de baixa renda; e as Áreas de Regularização de Interesse Específico (ARINE), voltadas </w:t>
      </w:r>
      <w:proofErr w:type="gramStart"/>
      <w:r w:rsidRPr="00CE31A5">
        <w:rPr>
          <w:rFonts w:ascii="Times New Roman" w:eastAsiaTheme="minorEastAsia" w:hAnsi="Times New Roman" w:cs="Times New Roman"/>
          <w:sz w:val="24"/>
          <w:szCs w:val="24"/>
          <w:lang w:eastAsia="pt-BR"/>
        </w:rPr>
        <w:t>à</w:t>
      </w:r>
      <w:proofErr w:type="gramEnd"/>
      <w:r w:rsidRPr="00CE31A5">
        <w:rPr>
          <w:rFonts w:ascii="Times New Roman" w:eastAsiaTheme="minorEastAsia" w:hAnsi="Times New Roman" w:cs="Times New Roman"/>
          <w:sz w:val="24"/>
          <w:szCs w:val="24"/>
          <w:lang w:eastAsia="pt-BR"/>
        </w:rPr>
        <w:t xml:space="preserve"> parcelamentos de renda média ou alta, como os condomínios. </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Para os objetivos do presente estudo, a avaliação de impacto do programa tem como foco as áreas de baixa renda, ARIS. Além disso, o PDOT define como ação para a regularização fundiária “priorizar a regularização fundiária de assentamentos informai</w:t>
      </w:r>
      <w:r w:rsidR="002108C3">
        <w:rPr>
          <w:rFonts w:ascii="Times New Roman" w:eastAsiaTheme="minorEastAsia" w:hAnsi="Times New Roman" w:cs="Times New Roman"/>
          <w:sz w:val="24"/>
          <w:szCs w:val="24"/>
          <w:lang w:eastAsia="pt-BR"/>
        </w:rPr>
        <w:t>s de baixa renda consolidados”.</w:t>
      </w:r>
    </w:p>
    <w:p w:rsidR="00954FB3" w:rsidRPr="00CE31A5" w:rsidRDefault="00954FB3" w:rsidP="002108C3">
      <w:pPr>
        <w:spacing w:line="240" w:lineRule="auto"/>
        <w:ind w:firstLine="708"/>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Outro documento importante para a implantação de programa de regularização fundiária no Distrito Federal é o Decreto nº 23.592, de 10 de fevereiro de 2003, anterior ao PDOT, portanto. O Decreto “dispõe sobre os critérios para regularização de situação de ocupação em zona urbana”. Desse Decreto é importante destacar, com objetivo de montar uma estratégia de identificação econométrica:</w:t>
      </w:r>
    </w:p>
    <w:p w:rsidR="00954FB3" w:rsidRPr="00CE31A5" w:rsidRDefault="00954FB3" w:rsidP="00954FB3">
      <w:pPr>
        <w:spacing w:line="240" w:lineRule="auto"/>
        <w:ind w:firstLine="709"/>
        <w:contextualSpacing/>
        <w:jc w:val="both"/>
        <w:rPr>
          <w:rFonts w:ascii="Times New Roman" w:eastAsiaTheme="minorEastAsia" w:hAnsi="Times New Roman" w:cs="Times New Roman"/>
          <w:sz w:val="24"/>
          <w:szCs w:val="24"/>
          <w:lang w:eastAsia="pt-BR"/>
        </w:rPr>
      </w:pPr>
    </w:p>
    <w:p w:rsidR="00954FB3" w:rsidRPr="00CE31A5" w:rsidRDefault="00954FB3" w:rsidP="00FF32B1">
      <w:pPr>
        <w:spacing w:line="240" w:lineRule="auto"/>
        <w:ind w:left="1701"/>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Art. 2º São pré-requisitos para a habilitação de ocupante irregular:</w:t>
      </w:r>
    </w:p>
    <w:p w:rsidR="00954FB3" w:rsidRPr="00CE31A5" w:rsidRDefault="00954FB3" w:rsidP="00FF32B1">
      <w:pPr>
        <w:spacing w:line="240" w:lineRule="auto"/>
        <w:ind w:left="1701"/>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I – ser maior de 18 (dezoito) anos ou emancipado na forma da lei;</w:t>
      </w:r>
    </w:p>
    <w:p w:rsidR="00954FB3" w:rsidRPr="00CE31A5" w:rsidRDefault="00954FB3" w:rsidP="00FF32B1">
      <w:pPr>
        <w:spacing w:line="240" w:lineRule="auto"/>
        <w:ind w:left="1701"/>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II- ter residência e domicílio no Distrito Federal, nos últimos </w:t>
      </w:r>
      <w:proofErr w:type="gramStart"/>
      <w:r w:rsidRPr="00CE31A5">
        <w:rPr>
          <w:rFonts w:ascii="Times New Roman" w:eastAsiaTheme="minorEastAsia" w:hAnsi="Times New Roman" w:cs="Times New Roman"/>
          <w:sz w:val="24"/>
          <w:szCs w:val="24"/>
          <w:lang w:eastAsia="pt-BR"/>
        </w:rPr>
        <w:t>5</w:t>
      </w:r>
      <w:proofErr w:type="gramEnd"/>
      <w:r w:rsidRPr="00CE31A5">
        <w:rPr>
          <w:rFonts w:ascii="Times New Roman" w:eastAsiaTheme="minorEastAsia" w:hAnsi="Times New Roman" w:cs="Times New Roman"/>
          <w:sz w:val="24"/>
          <w:szCs w:val="24"/>
          <w:lang w:eastAsia="pt-BR"/>
        </w:rPr>
        <w:t xml:space="preserve"> (cinco) anos, comprovados ano a ano;</w:t>
      </w:r>
    </w:p>
    <w:p w:rsidR="00954FB3" w:rsidRPr="00CE31A5" w:rsidRDefault="00954FB3" w:rsidP="00FF32B1">
      <w:pPr>
        <w:spacing w:line="240" w:lineRule="auto"/>
        <w:ind w:left="1701"/>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III – não ser e nem ter sido proprietário, promitente comprador, cessionário, concessionário ou usufrutuário de imóvel residencial no Distrito Federal;</w:t>
      </w:r>
    </w:p>
    <w:p w:rsidR="00954FB3" w:rsidRDefault="00954FB3" w:rsidP="00FF32B1">
      <w:pPr>
        <w:spacing w:line="240" w:lineRule="auto"/>
        <w:ind w:left="1701"/>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IV – ter dependente ou idade superior a 55 (cinquenta e cinco) anos</w:t>
      </w:r>
    </w:p>
    <w:p w:rsidR="00FF32B1" w:rsidRPr="00CE31A5" w:rsidRDefault="00FF32B1" w:rsidP="00FF32B1">
      <w:pPr>
        <w:spacing w:line="240" w:lineRule="auto"/>
        <w:ind w:left="1701"/>
        <w:contextualSpacing/>
        <w:jc w:val="both"/>
        <w:rPr>
          <w:rFonts w:ascii="Times New Roman" w:eastAsiaTheme="minorEastAsia" w:hAnsi="Times New Roman" w:cs="Times New Roman"/>
          <w:sz w:val="24"/>
          <w:szCs w:val="24"/>
          <w:lang w:eastAsia="pt-BR"/>
        </w:rPr>
      </w:pPr>
    </w:p>
    <w:p w:rsidR="00CA5846" w:rsidRPr="00840172" w:rsidRDefault="00CA5846" w:rsidP="00840172">
      <w:pPr>
        <w:spacing w:line="240" w:lineRule="auto"/>
        <w:ind w:left="709"/>
        <w:contextualSpacing/>
        <w:outlineLvl w:val="1"/>
        <w:rPr>
          <w:rFonts w:ascii="Times New Roman" w:eastAsiaTheme="minorEastAsia" w:hAnsi="Times New Roman" w:cs="Times New Roman"/>
          <w:b/>
          <w:sz w:val="24"/>
          <w:szCs w:val="24"/>
          <w:lang w:eastAsia="pt-BR"/>
        </w:rPr>
      </w:pPr>
      <w:bookmarkStart w:id="45" w:name="_Toc350977039"/>
      <w:bookmarkStart w:id="46" w:name="_Toc362259565"/>
      <w:r w:rsidRPr="00840172">
        <w:rPr>
          <w:rFonts w:ascii="Times New Roman" w:eastAsiaTheme="minorEastAsia" w:hAnsi="Times New Roman" w:cs="Times New Roman"/>
          <w:b/>
          <w:sz w:val="24"/>
          <w:szCs w:val="24"/>
          <w:lang w:eastAsia="pt-BR"/>
        </w:rPr>
        <w:t>Métodos de Análise de Causalidade</w:t>
      </w:r>
      <w:bookmarkEnd w:id="45"/>
      <w:bookmarkEnd w:id="46"/>
    </w:p>
    <w:p w:rsidR="00CA5846" w:rsidRPr="00CE31A5"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As metodologias de avaliação de impacto de políticas públicas apoiam-se na tentativa de se estabelecer uma relação causal entre o programa e os benefícios aos </w:t>
      </w:r>
      <w:proofErr w:type="gramStart"/>
      <w:r w:rsidRPr="00CE31A5">
        <w:rPr>
          <w:rFonts w:ascii="Times New Roman" w:eastAsiaTheme="minorEastAsia" w:hAnsi="Times New Roman" w:cs="Times New Roman"/>
          <w:sz w:val="24"/>
          <w:szCs w:val="24"/>
          <w:lang w:eastAsia="pt-BR"/>
        </w:rPr>
        <w:t>quais a</w:t>
      </w:r>
      <w:proofErr w:type="gramEnd"/>
      <w:r w:rsidRPr="00CE31A5">
        <w:rPr>
          <w:rFonts w:ascii="Times New Roman" w:eastAsiaTheme="minorEastAsia" w:hAnsi="Times New Roman" w:cs="Times New Roman"/>
          <w:sz w:val="24"/>
          <w:szCs w:val="24"/>
          <w:lang w:eastAsia="pt-BR"/>
        </w:rPr>
        <w:t xml:space="preserve"> política foi desenhada visando atingir. No entanto, diversos outros fatores podem influenciar e/ou confundir a relação causal em estudo. Dessa forma, o objetivo do trabalho empírico é isolar tal relação desses outros fatores.</w:t>
      </w:r>
    </w:p>
    <w:p w:rsidR="00CA5846" w:rsidRPr="00CE31A5"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Pela Teoria do Contrafactual, ao avaliar uma política pública, o ideal seria observar um mesmo indivíduo em dois contextos semelhantes, mas diferindo em apenas uma circunstância, a própria política. Como não é possível observar um indivíduo com e sem o programa simultaneamente, a causalidade e a magnitude do impacto podem ser identificadas ao se comparar dois grupos estatisticamente idênticos, sendo que um está sob a intervenção do programa e o outro não. Caso houvesse alguma diferença na métrica utilizada para medir o impacto do programa entre os dois grupos, seria possível inferir que ela foi causada pela po</w:t>
      </w:r>
      <w:r w:rsidR="00221E46">
        <w:rPr>
          <w:rFonts w:ascii="Times New Roman" w:eastAsiaTheme="minorEastAsia" w:hAnsi="Times New Roman" w:cs="Times New Roman"/>
          <w:sz w:val="24"/>
          <w:szCs w:val="24"/>
          <w:lang w:eastAsia="pt-BR"/>
        </w:rPr>
        <w:t>lítica em questão, já que essa seria</w:t>
      </w:r>
      <w:r w:rsidRPr="00CE31A5">
        <w:rPr>
          <w:rFonts w:ascii="Times New Roman" w:eastAsiaTheme="minorEastAsia" w:hAnsi="Times New Roman" w:cs="Times New Roman"/>
          <w:sz w:val="24"/>
          <w:szCs w:val="24"/>
          <w:lang w:eastAsia="pt-BR"/>
        </w:rPr>
        <w:t xml:space="preserve"> a única variável que diferencia os dois grupos. </w:t>
      </w:r>
    </w:p>
    <w:p w:rsidR="00CA5846" w:rsidRPr="00CE31A5"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Dessa forma, o ponto crucial dessa teoria é construir os dois grupos estatisticamente idênticos. Uma forma de construção é feita através da randomização dos indivíduos</w:t>
      </w:r>
      <w:r w:rsidR="00221E46">
        <w:rPr>
          <w:rFonts w:ascii="Times New Roman" w:eastAsiaTheme="minorEastAsia" w:hAnsi="Times New Roman" w:cs="Times New Roman"/>
          <w:sz w:val="24"/>
          <w:szCs w:val="24"/>
          <w:lang w:eastAsia="pt-BR"/>
        </w:rPr>
        <w:t xml:space="preserve"> </w:t>
      </w:r>
      <w:r w:rsidRPr="00CE31A5">
        <w:rPr>
          <w:rFonts w:ascii="Times New Roman" w:eastAsiaTheme="minorEastAsia" w:hAnsi="Times New Roman" w:cs="Times New Roman"/>
          <w:sz w:val="24"/>
          <w:szCs w:val="24"/>
          <w:lang w:eastAsia="pt-BR"/>
        </w:rPr>
        <w:t xml:space="preserve">entre o grupo que receberá a política (grupo de tratamento) e o grupo que não a receberá (grupo de controle). Esse é o procedimento adotado pelo </w:t>
      </w:r>
      <w:r w:rsidRPr="00CE31A5">
        <w:rPr>
          <w:rFonts w:ascii="Times New Roman" w:eastAsiaTheme="minorEastAsia" w:hAnsi="Times New Roman" w:cs="Times New Roman"/>
          <w:i/>
          <w:sz w:val="24"/>
          <w:szCs w:val="24"/>
          <w:lang w:eastAsia="pt-BR"/>
        </w:rPr>
        <w:t xml:space="preserve">Rubin Causal Model </w:t>
      </w:r>
      <w:r w:rsidRPr="00CE31A5">
        <w:rPr>
          <w:rFonts w:ascii="Times New Roman" w:eastAsiaTheme="minorEastAsia" w:hAnsi="Times New Roman" w:cs="Times New Roman"/>
          <w:sz w:val="24"/>
          <w:szCs w:val="24"/>
          <w:lang w:eastAsia="pt-BR"/>
        </w:rPr>
        <w:t xml:space="preserve">(RCM), devido ao estudo de Rubin (1974), ou </w:t>
      </w:r>
      <w:r w:rsidRPr="00CE31A5">
        <w:rPr>
          <w:rFonts w:ascii="Times New Roman" w:eastAsiaTheme="minorEastAsia" w:hAnsi="Times New Roman" w:cs="Times New Roman"/>
          <w:i/>
          <w:sz w:val="24"/>
          <w:szCs w:val="24"/>
          <w:lang w:eastAsia="pt-BR"/>
        </w:rPr>
        <w:t xml:space="preserve">Randomized Controlled Trial </w:t>
      </w:r>
      <w:r w:rsidRPr="00CE31A5">
        <w:rPr>
          <w:rFonts w:ascii="Times New Roman" w:eastAsiaTheme="minorEastAsia" w:hAnsi="Times New Roman" w:cs="Times New Roman"/>
          <w:sz w:val="24"/>
          <w:szCs w:val="24"/>
          <w:lang w:eastAsia="pt-BR"/>
        </w:rPr>
        <w:t>(RCT).</w:t>
      </w:r>
    </w:p>
    <w:p w:rsidR="00CA5846" w:rsidRPr="00CE31A5" w:rsidRDefault="00B2118C"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w:t>
      </w:r>
      <w:r w:rsidR="00CA5846" w:rsidRPr="00CE31A5">
        <w:rPr>
          <w:rFonts w:ascii="Times New Roman" w:eastAsiaTheme="minorEastAsia" w:hAnsi="Times New Roman" w:cs="Times New Roman"/>
          <w:sz w:val="24"/>
          <w:szCs w:val="24"/>
          <w:lang w:eastAsia="pt-BR"/>
        </w:rPr>
        <w:t xml:space="preserve"> possibilidade de obter resultados causais válidos para observações específicas conferiu ao método de RCT um alto poder explicativo. Assim, mesmo em situações em que não é possível a randomização, outros métodos da Teoria do Contrafactual constroem os grupos de controle e de tratamento a como uma imitação do RCT. No entanto esses métodos têm que se preocupar com uma fonte de viés significativa na estimação da relação causal. Se a definição dos dois grupos não foi feita de forma aleatória, então devem existir outras características das unidades que determinaram a designação destas para o grupo de tratamento ou para o grupo de controle. Assim, os dois grupos se difeririam não só </w:t>
      </w:r>
      <w:r w:rsidR="00CA5846" w:rsidRPr="00CE31A5">
        <w:rPr>
          <w:rFonts w:ascii="Times New Roman" w:eastAsiaTheme="minorEastAsia" w:hAnsi="Times New Roman" w:cs="Times New Roman"/>
          <w:sz w:val="24"/>
          <w:szCs w:val="24"/>
          <w:lang w:eastAsia="pt-BR"/>
        </w:rPr>
        <w:lastRenderedPageBreak/>
        <w:t xml:space="preserve">quanto ao recebimento do tratamento, mas também na distribuição dessas características Logo, métodos que pretendem mimetizar o RCT devem buscar minimizar esse viés de seleção. </w:t>
      </w:r>
    </w:p>
    <w:p w:rsidR="00CA5846" w:rsidRPr="00CE31A5"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Formalmente, considerando a política pública, ou tratamento, como uma variável binária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d</m:t>
            </m:r>
          </m:e>
          <m:sub>
            <m:r>
              <m:rPr>
                <m:sty m:val="p"/>
              </m:rP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d>
          <m:dPr>
            <m:begChr m:val="{"/>
            <m:endChr m:val="}"/>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0,1</m:t>
            </m:r>
          </m:e>
        </m:d>
      </m:oMath>
      <w:r w:rsidRPr="00CE31A5">
        <w:rPr>
          <w:rFonts w:ascii="Times New Roman" w:eastAsiaTheme="minorEastAsia" w:hAnsi="Times New Roman" w:cs="Times New Roman"/>
          <w:sz w:val="24"/>
          <w:szCs w:val="24"/>
          <w:lang w:eastAsia="pt-BR"/>
        </w:rPr>
        <w:t xml:space="preserve">, em que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d</m:t>
            </m:r>
          </m:e>
          <m:sub>
            <m:r>
              <m:rPr>
                <m:sty m:val="p"/>
              </m:rPr>
              <w:rPr>
                <w:rFonts w:ascii="Cambria Math" w:eastAsiaTheme="minorEastAsia" w:hAnsi="Cambria Math" w:cs="Times New Roman"/>
                <w:sz w:val="24"/>
                <w:szCs w:val="24"/>
                <w:lang w:eastAsia="pt-BR"/>
              </w:rPr>
              <m:t>i</m:t>
            </m:r>
          </m:sub>
        </m:sSub>
        <m:r>
          <m:rPr>
            <m:sty m:val="p"/>
          </m:rPr>
          <w:rPr>
            <w:rFonts w:ascii="Cambria Math" w:eastAsiaTheme="minorEastAsia" w:hAnsi="Cambria Math" w:cs="Times New Roman"/>
            <w:sz w:val="24"/>
            <w:szCs w:val="24"/>
            <w:lang w:eastAsia="pt-BR"/>
          </w:rPr>
          <m:t>=1</m:t>
        </m:r>
      </m:oMath>
      <w:r w:rsidRPr="00CE31A5">
        <w:rPr>
          <w:rFonts w:ascii="Times New Roman" w:eastAsiaTheme="minorEastAsia" w:hAnsi="Times New Roman" w:cs="Times New Roman"/>
          <w:sz w:val="24"/>
          <w:szCs w:val="24"/>
          <w:lang w:eastAsia="pt-BR"/>
        </w:rPr>
        <w:t xml:space="preserve"> indica que o indivíduo i recebeu o tratamento, então para qualquer indivíduo existe apenas dois resultados possíveis:</w:t>
      </w:r>
    </w:p>
    <w:p w:rsidR="00CA5846" w:rsidRPr="00CE31A5"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m:oMathPara>
        <m:oMath>
          <m:r>
            <w:rPr>
              <w:rFonts w:ascii="Cambria Math" w:eastAsiaTheme="minorEastAsia" w:hAnsi="Cambria Math" w:cs="Times New Roman"/>
              <w:sz w:val="24"/>
              <w:szCs w:val="24"/>
              <w:lang w:eastAsia="pt-BR"/>
            </w:rPr>
            <m:t xml:space="preserve">Resultado potencial= </m:t>
          </m:r>
          <m:d>
            <m:dPr>
              <m:begChr m:val="{"/>
              <m:endChr m:val=""/>
              <m:ctrlPr>
                <w:rPr>
                  <w:rFonts w:ascii="Cambria Math" w:eastAsiaTheme="minorEastAsia" w:hAnsi="Cambria Math" w:cs="Times New Roman"/>
                  <w:i/>
                  <w:sz w:val="24"/>
                  <w:szCs w:val="24"/>
                  <w:lang w:eastAsia="pt-BR"/>
                </w:rPr>
              </m:ctrlPr>
            </m:dPr>
            <m:e>
              <m:eqArr>
                <m:eqArrPr>
                  <m:ctrlPr>
                    <w:rPr>
                      <w:rFonts w:ascii="Cambria Math" w:eastAsiaTheme="minorEastAsia" w:hAnsi="Cambria Math" w:cs="Times New Roman"/>
                      <w:i/>
                      <w:sz w:val="24"/>
                      <w:szCs w:val="24"/>
                      <w:lang w:eastAsia="pt-BR"/>
                    </w:rPr>
                  </m:ctrlPr>
                </m:eqArr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 xml:space="preserve"> se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 xml:space="preserve"> se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eqArr>
            </m:e>
          </m:d>
        </m:oMath>
      </m:oMathPara>
    </w:p>
    <w:p w:rsidR="00CA5846"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 resultado observado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Y</m:t>
            </m:r>
          </m:e>
          <m:sub>
            <m:r>
              <m:rPr>
                <m:sty m:val="p"/>
              </m:rP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xml:space="preserve"> pode ser escrito como:</w:t>
      </w:r>
    </w:p>
    <w:p w:rsidR="002705D6" w:rsidRPr="00CE31A5" w:rsidRDefault="002705D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p>
    <w:p w:rsidR="00CA5846" w:rsidRPr="00865A14"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m:oMathPara>
        <m:oMath>
          <m:r>
            <w:rPr>
              <w:rFonts w:ascii="Cambria Math" w:eastAsiaTheme="minorEastAsia" w:hAnsi="Cambria Math" w:cs="Times New Roman"/>
              <w:sz w:val="24"/>
              <w:szCs w:val="24"/>
              <w:lang w:eastAsia="pt-BR"/>
            </w:rPr>
            <m:t xml:space="preserve"> </m:t>
          </m:r>
          <m:f>
            <m:fPr>
              <m:type m:val="noBar"/>
              <m:ctrlPr>
                <w:rPr>
                  <w:rFonts w:ascii="Cambria Math" w:eastAsiaTheme="minorEastAsia" w:hAnsi="Cambria Math" w:cs="Times New Roman"/>
                  <w:i/>
                  <w:sz w:val="24"/>
                  <w:szCs w:val="24"/>
                  <w:lang w:eastAsia="pt-BR"/>
                </w:rPr>
              </m:ctrlPr>
            </m:fPr>
            <m:num>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d>
                <m:dPr>
                  <m:begChr m:val="{"/>
                  <m:endChr m:val=""/>
                  <m:ctrlPr>
                    <w:rPr>
                      <w:rFonts w:ascii="Cambria Math" w:eastAsiaTheme="minorEastAsia" w:hAnsi="Cambria Math" w:cs="Times New Roman"/>
                      <w:i/>
                      <w:sz w:val="24"/>
                      <w:szCs w:val="24"/>
                      <w:lang w:eastAsia="pt-BR"/>
                    </w:rPr>
                  </m:ctrlPr>
                </m:dPr>
                <m:e>
                  <m:eqArr>
                    <m:eqArrPr>
                      <m:ctrlPr>
                        <w:rPr>
                          <w:rFonts w:ascii="Cambria Math" w:eastAsiaTheme="minorEastAsia" w:hAnsi="Cambria Math" w:cs="Times New Roman"/>
                          <w:i/>
                          <w:sz w:val="24"/>
                          <w:szCs w:val="24"/>
                          <w:lang w:eastAsia="pt-BR"/>
                        </w:rPr>
                      </m:ctrlPr>
                    </m:eqArr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 xml:space="preserve"> se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 xml:space="preserve"> se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eqArr>
                </m:e>
              </m:d>
              <m:r>
                <w:rPr>
                  <w:rFonts w:ascii="Cambria Math" w:eastAsiaTheme="minorEastAsia" w:hAnsi="Cambria Math" w:cs="Times New Roman"/>
                  <w:sz w:val="24"/>
                  <w:szCs w:val="24"/>
                  <w:lang w:eastAsia="pt-BR"/>
                </w:rPr>
                <m:t xml:space="preserve">                   </m:t>
              </m:r>
            </m:num>
            <m:den>
              <m: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 xml:space="preserve">+  </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e>
              </m:d>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den>
          </m:f>
        </m:oMath>
      </m:oMathPara>
    </w:p>
    <w:p w:rsidR="002705D6" w:rsidRPr="002705D6" w:rsidRDefault="002705D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p>
    <w:p w:rsidR="00CA5846"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Queremos encontrar o resultado de </w:t>
      </w:r>
      <m:oMath>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e>
        </m:d>
      </m:oMath>
      <w:r w:rsidRPr="00CE31A5">
        <w:rPr>
          <w:rFonts w:ascii="Times New Roman" w:eastAsiaTheme="minorEastAsia" w:hAnsi="Times New Roman" w:cs="Times New Roman"/>
          <w:sz w:val="24"/>
          <w:szCs w:val="24"/>
          <w:lang w:eastAsia="pt-BR"/>
        </w:rPr>
        <w:t xml:space="preserve">, que em uma amostra grande pode ser reescrito como </w:t>
      </w:r>
      <m:oMath>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w:rPr>
            <w:rFonts w:ascii="Cambria Math" w:eastAsiaTheme="minorEastAsia" w:hAnsi="Cambria Math" w:cs="Times New Roman"/>
            <w:sz w:val="24"/>
            <w:szCs w:val="24"/>
            <w:lang w:eastAsia="pt-BR"/>
          </w:rPr>
          <m:t>- 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d>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m:rPr>
            <m:sty m:val="p"/>
          </m:rPr>
          <w:rPr>
            <w:rFonts w:ascii="Cambria Math" w:eastAsiaTheme="minorEastAsia" w:hAnsi="Cambria Math" w:cs="Times New Roman"/>
            <w:sz w:val="24"/>
            <w:szCs w:val="24"/>
            <w:lang w:eastAsia="pt-BR"/>
          </w:rPr>
          <m:t>-</m:t>
        </m:r>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d>
      </m:oMath>
      <w:r w:rsidRPr="00CE31A5">
        <w:rPr>
          <w:rFonts w:ascii="Times New Roman" w:eastAsiaTheme="minorEastAsia" w:hAnsi="Times New Roman" w:cs="Times New Roman"/>
          <w:sz w:val="24"/>
          <w:szCs w:val="24"/>
          <w:lang w:eastAsia="pt-BR"/>
        </w:rPr>
        <w:t xml:space="preserve">. Somando e subtraindo </w:t>
      </w:r>
      <m:oMath>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oMath>
      <w:r w:rsidRPr="00CE31A5">
        <w:rPr>
          <w:rFonts w:ascii="Times New Roman" w:eastAsiaTheme="minorEastAsia" w:hAnsi="Times New Roman" w:cs="Times New Roman"/>
          <w:sz w:val="24"/>
          <w:szCs w:val="24"/>
          <w:lang w:eastAsia="pt-BR"/>
        </w:rPr>
        <w:t>, isto é, o resultado esperado para o indivíduo i que recebeu o tratamento caso não o tivesse, tem-se:</w:t>
      </w:r>
    </w:p>
    <w:p w:rsidR="002705D6" w:rsidRPr="00CE31A5" w:rsidRDefault="002705D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p>
    <w:p w:rsidR="00CA5846" w:rsidRPr="002705D6" w:rsidRDefault="00865A14"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m:oMathPara>
        <m:oMath>
          <m:limLow>
            <m:limLowPr>
              <m:ctrlPr>
                <w:rPr>
                  <w:rFonts w:ascii="Cambria Math" w:eastAsiaTheme="minorEastAsia" w:hAnsi="Cambria Math" w:cs="Times New Roman"/>
                  <w:i/>
                  <w:sz w:val="24"/>
                  <w:szCs w:val="24"/>
                  <w:lang w:eastAsia="pt-BR"/>
                </w:rPr>
              </m:ctrlPr>
            </m:limLowPr>
            <m:e>
              <m:groupChr>
                <m:groupChrPr>
                  <m:ctrlPr>
                    <w:rPr>
                      <w:rFonts w:ascii="Cambria Math" w:eastAsiaTheme="minorEastAsia" w:hAnsi="Cambria Math" w:cs="Times New Roman"/>
                      <w:i/>
                      <w:sz w:val="24"/>
                      <w:szCs w:val="24"/>
                      <w:lang w:eastAsia="pt-BR"/>
                    </w:rPr>
                  </m:ctrlPr>
                </m:groupChrPr>
                <m:e>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w:rPr>
                      <w:rFonts w:ascii="Cambria Math" w:eastAsiaTheme="minorEastAsia" w:hAnsi="Cambria Math" w:cs="Times New Roman"/>
                      <w:sz w:val="24"/>
                      <w:szCs w:val="24"/>
                      <w:lang w:eastAsia="pt-BR"/>
                    </w:rPr>
                    <m:t>- 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d>
                </m:e>
              </m:groupChr>
            </m:e>
            <m:lim>
              <m:r>
                <w:rPr>
                  <w:rFonts w:ascii="Cambria Math" w:eastAsiaTheme="minorEastAsia" w:hAnsi="Cambria Math" w:cs="Times New Roman"/>
                  <w:sz w:val="24"/>
                  <w:szCs w:val="24"/>
                  <w:lang w:eastAsia="pt-BR"/>
                </w:rPr>
                <m:t>Diferença Observada</m:t>
              </m:r>
            </m:lim>
          </m:limLow>
          <m:r>
            <w:rPr>
              <w:rFonts w:ascii="Cambria Math" w:eastAsiaTheme="minorEastAsia" w:hAnsi="Cambria Math" w:cs="Times New Roman"/>
              <w:sz w:val="24"/>
              <w:szCs w:val="24"/>
              <w:lang w:eastAsia="pt-BR"/>
            </w:rPr>
            <m:t>=</m:t>
          </m:r>
          <m:limLow>
            <m:limLowPr>
              <m:ctrlPr>
                <w:rPr>
                  <w:rFonts w:ascii="Cambria Math" w:eastAsiaTheme="minorEastAsia" w:hAnsi="Cambria Math" w:cs="Times New Roman"/>
                  <w:i/>
                  <w:sz w:val="24"/>
                  <w:szCs w:val="24"/>
                  <w:lang w:eastAsia="pt-BR"/>
                </w:rPr>
              </m:ctrlPr>
            </m:limLowPr>
            <m:e>
              <m:groupChr>
                <m:groupChrPr>
                  <m:ctrlPr>
                    <w:rPr>
                      <w:rFonts w:ascii="Cambria Math" w:eastAsiaTheme="minorEastAsia" w:hAnsi="Cambria Math" w:cs="Times New Roman"/>
                      <w:i/>
                      <w:sz w:val="24"/>
                      <w:szCs w:val="24"/>
                      <w:lang w:eastAsia="pt-BR"/>
                    </w:rPr>
                  </m:ctrlPr>
                </m:groupChrPr>
                <m:e>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m:rPr>
                      <m:sty m:val="p"/>
                    </m:rPr>
                    <w:rPr>
                      <w:rFonts w:ascii="Cambria Math" w:eastAsiaTheme="minorEastAsia" w:hAnsi="Cambria Math" w:cs="Times New Roman"/>
                      <w:sz w:val="24"/>
                      <w:szCs w:val="24"/>
                      <w:lang w:eastAsia="pt-BR"/>
                    </w:rPr>
                    <m:t>-</m:t>
                  </m:r>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e>
              </m:groupChr>
            </m:e>
            <m:lim>
              <m:eqArr>
                <m:eqArrPr>
                  <m:ctrlPr>
                    <w:rPr>
                      <w:rFonts w:ascii="Cambria Math" w:eastAsiaTheme="minorEastAsia" w:hAnsi="Cambria Math" w:cs="Times New Roman"/>
                      <w:i/>
                      <w:sz w:val="24"/>
                      <w:szCs w:val="24"/>
                      <w:lang w:eastAsia="pt-BR"/>
                    </w:rPr>
                  </m:ctrlPr>
                </m:eqArrPr>
                <m:e>
                  <m:r>
                    <w:rPr>
                      <w:rFonts w:ascii="Cambria Math" w:eastAsiaTheme="minorEastAsia" w:hAnsi="Cambria Math" w:cs="Times New Roman"/>
                      <w:sz w:val="24"/>
                      <w:szCs w:val="24"/>
                      <w:lang w:eastAsia="pt-BR"/>
                    </w:rPr>
                    <m:t xml:space="preserve">Efeito médio do Tratamento </m:t>
                  </m:r>
                </m:e>
                <m:e>
                  <m:r>
                    <w:rPr>
                      <w:rFonts w:ascii="Cambria Math" w:eastAsiaTheme="minorEastAsia" w:hAnsi="Cambria Math" w:cs="Times New Roman"/>
                      <w:sz w:val="24"/>
                      <w:szCs w:val="24"/>
                      <w:lang w:eastAsia="pt-BR"/>
                    </w:rPr>
                    <m:t xml:space="preserve">nos tratados </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ATT</m:t>
                      </m:r>
                    </m:e>
                  </m:d>
                </m:e>
              </m:eqArr>
            </m:lim>
          </m:limLow>
          <m:r>
            <w:rPr>
              <w:rFonts w:ascii="Cambria Math" w:eastAsiaTheme="minorEastAsia" w:hAnsi="Cambria Math" w:cs="Times New Roman"/>
              <w:sz w:val="24"/>
              <w:szCs w:val="24"/>
              <w:lang w:eastAsia="pt-BR"/>
            </w:rPr>
            <m:t>+</m:t>
          </m:r>
          <m:limLow>
            <m:limLowPr>
              <m:ctrlPr>
                <w:rPr>
                  <w:rFonts w:ascii="Cambria Math" w:eastAsiaTheme="minorEastAsia" w:hAnsi="Cambria Math" w:cs="Times New Roman"/>
                  <w:i/>
                  <w:sz w:val="24"/>
                  <w:szCs w:val="24"/>
                  <w:lang w:eastAsia="pt-BR"/>
                </w:rPr>
              </m:ctrlPr>
            </m:limLowPr>
            <m:e>
              <m:groupChr>
                <m:groupChrPr>
                  <m:ctrlPr>
                    <w:rPr>
                      <w:rFonts w:ascii="Cambria Math" w:eastAsiaTheme="minorEastAsia" w:hAnsi="Cambria Math" w:cs="Times New Roman"/>
                      <w:i/>
                      <w:sz w:val="24"/>
                      <w:szCs w:val="24"/>
                      <w:lang w:eastAsia="pt-BR"/>
                    </w:rPr>
                  </m:ctrlPr>
                </m:groupChrPr>
                <m:e>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m:rPr>
                      <m:sty m:val="p"/>
                    </m:rPr>
                    <w:rPr>
                      <w:rFonts w:ascii="Cambria Math" w:eastAsiaTheme="minorEastAsia" w:hAnsi="Cambria Math" w:cs="Times New Roman"/>
                      <w:sz w:val="24"/>
                      <w:szCs w:val="24"/>
                      <w:lang w:eastAsia="pt-BR"/>
                    </w:rPr>
                    <m:t>-</m:t>
                  </m:r>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d>
                </m:e>
              </m:groupChr>
            </m:e>
            <m:lim>
              <m:r>
                <w:rPr>
                  <w:rFonts w:ascii="Cambria Math" w:eastAsiaTheme="minorEastAsia" w:hAnsi="Cambria Math" w:cs="Times New Roman"/>
                  <w:sz w:val="24"/>
                  <w:szCs w:val="24"/>
                  <w:lang w:eastAsia="pt-BR"/>
                </w:rPr>
                <m:t>Viés de Seleção</m:t>
              </m:r>
            </m:lim>
          </m:limLow>
        </m:oMath>
      </m:oMathPara>
    </w:p>
    <w:p w:rsidR="002705D6" w:rsidRPr="00CE31A5" w:rsidRDefault="002705D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p>
    <w:p w:rsidR="00CA5846" w:rsidRDefault="00CA5846" w:rsidP="00E263F8">
      <w:pPr>
        <w:tabs>
          <w:tab w:val="left" w:pos="709"/>
        </w:tabs>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val="en-US" w:eastAsia="pt-BR"/>
        </w:rPr>
        <w:tab/>
      </w:r>
      <w:r w:rsidRPr="00CE31A5">
        <w:rPr>
          <w:rFonts w:ascii="Times New Roman" w:eastAsiaTheme="minorEastAsia" w:hAnsi="Times New Roman" w:cs="Times New Roman"/>
          <w:sz w:val="24"/>
          <w:szCs w:val="24"/>
          <w:lang w:eastAsia="pt-BR"/>
        </w:rPr>
        <w:t xml:space="preserve">Modelos em que a designação ao tratamento não é randomizada são também chamados de modelos </w:t>
      </w:r>
      <w:proofErr w:type="gramStart"/>
      <w:r w:rsidRPr="00CE31A5">
        <w:rPr>
          <w:rFonts w:ascii="Times New Roman" w:eastAsiaTheme="minorEastAsia" w:hAnsi="Times New Roman" w:cs="Times New Roman"/>
          <w:sz w:val="24"/>
          <w:szCs w:val="24"/>
          <w:lang w:eastAsia="pt-BR"/>
        </w:rPr>
        <w:t>não-experimentais</w:t>
      </w:r>
      <w:proofErr w:type="gramEnd"/>
      <w:r w:rsidRPr="00CE31A5">
        <w:rPr>
          <w:rFonts w:ascii="Times New Roman" w:eastAsiaTheme="minorEastAsia" w:hAnsi="Times New Roman" w:cs="Times New Roman"/>
          <w:sz w:val="24"/>
          <w:szCs w:val="24"/>
          <w:lang w:eastAsia="pt-BR"/>
        </w:rPr>
        <w:t>. Para essa classe de modelos, outras hipóteses auxiliares, além da hipótese SUTVA</w:t>
      </w:r>
      <w:r w:rsidR="002705D6">
        <w:rPr>
          <w:rFonts w:ascii="Times New Roman" w:eastAsiaTheme="minorEastAsia" w:hAnsi="Times New Roman" w:cs="Times New Roman"/>
          <w:sz w:val="24"/>
          <w:szCs w:val="24"/>
          <w:lang w:eastAsia="pt-BR"/>
        </w:rPr>
        <w:t xml:space="preserve"> (</w:t>
      </w:r>
      <w:proofErr w:type="spellStart"/>
      <w:r w:rsidR="00421AE7" w:rsidRPr="00865A14">
        <w:rPr>
          <w:rFonts w:ascii="Georgia" w:hAnsi="Georgia"/>
          <w:i/>
          <w:color w:val="000000"/>
          <w:shd w:val="clear" w:color="auto" w:fill="FFFFFF"/>
        </w:rPr>
        <w:t>Stable</w:t>
      </w:r>
      <w:proofErr w:type="spellEnd"/>
      <w:r w:rsidR="00421AE7" w:rsidRPr="00865A14">
        <w:rPr>
          <w:rFonts w:ascii="Georgia" w:hAnsi="Georgia"/>
          <w:i/>
          <w:color w:val="000000"/>
          <w:shd w:val="clear" w:color="auto" w:fill="FFFFFF"/>
        </w:rPr>
        <w:t xml:space="preserve"> Unit </w:t>
      </w:r>
      <w:proofErr w:type="spellStart"/>
      <w:r w:rsidR="00421AE7" w:rsidRPr="00865A14">
        <w:rPr>
          <w:rFonts w:ascii="Georgia" w:hAnsi="Georgia"/>
          <w:i/>
          <w:color w:val="000000"/>
          <w:shd w:val="clear" w:color="auto" w:fill="FFFFFF"/>
        </w:rPr>
        <w:t>Treatment</w:t>
      </w:r>
      <w:proofErr w:type="spellEnd"/>
      <w:r w:rsidR="00421AE7" w:rsidRPr="00865A14">
        <w:rPr>
          <w:rFonts w:ascii="Georgia" w:hAnsi="Georgia"/>
          <w:i/>
          <w:color w:val="000000"/>
          <w:shd w:val="clear" w:color="auto" w:fill="FFFFFF"/>
        </w:rPr>
        <w:t xml:space="preserve"> </w:t>
      </w:r>
      <w:proofErr w:type="spellStart"/>
      <w:r w:rsidR="00421AE7" w:rsidRPr="00865A14">
        <w:rPr>
          <w:rFonts w:ascii="Georgia" w:hAnsi="Georgia"/>
          <w:i/>
          <w:color w:val="000000"/>
          <w:shd w:val="clear" w:color="auto" w:fill="FFFFFF"/>
        </w:rPr>
        <w:t>Value</w:t>
      </w:r>
      <w:proofErr w:type="spellEnd"/>
      <w:r w:rsidR="00421AE7" w:rsidRPr="00865A14">
        <w:rPr>
          <w:rFonts w:ascii="Georgia" w:hAnsi="Georgia"/>
          <w:i/>
          <w:color w:val="000000"/>
          <w:shd w:val="clear" w:color="auto" w:fill="FFFFFF"/>
        </w:rPr>
        <w:t xml:space="preserve"> </w:t>
      </w:r>
      <w:proofErr w:type="spellStart"/>
      <w:r w:rsidR="00421AE7" w:rsidRPr="00865A14">
        <w:rPr>
          <w:rFonts w:ascii="Georgia" w:hAnsi="Georgia"/>
          <w:i/>
          <w:color w:val="000000"/>
          <w:shd w:val="clear" w:color="auto" w:fill="FFFFFF"/>
        </w:rPr>
        <w:t>Assumption</w:t>
      </w:r>
      <w:proofErr w:type="spellEnd"/>
      <w:r w:rsidR="00421AE7">
        <w:rPr>
          <w:rFonts w:ascii="Georgia" w:hAnsi="Georgia"/>
          <w:color w:val="000000"/>
          <w:shd w:val="clear" w:color="auto" w:fill="FFFFFF"/>
        </w:rPr>
        <w:t>)</w:t>
      </w:r>
      <w:r w:rsidRPr="00CE31A5">
        <w:rPr>
          <w:rFonts w:ascii="Times New Roman" w:eastAsiaTheme="minorEastAsia" w:hAnsi="Times New Roman" w:cs="Times New Roman"/>
          <w:sz w:val="24"/>
          <w:szCs w:val="24"/>
          <w:lang w:eastAsia="pt-BR"/>
        </w:rPr>
        <w:t xml:space="preserve">, são necessárias para garantir a estimação da relação causal. Em particular, modelos que utilizam seleção de variáveis conhecidas e observáveis para a construção de grupos contrafactuais se fundamentam na Hipótese de Independência Condicional (HIC). </w:t>
      </w:r>
      <w:proofErr w:type="gramStart"/>
      <w:r w:rsidRPr="00CE31A5">
        <w:rPr>
          <w:rFonts w:ascii="Times New Roman" w:eastAsiaTheme="minorEastAsia" w:hAnsi="Times New Roman" w:cs="Times New Roman"/>
          <w:sz w:val="24"/>
          <w:szCs w:val="24"/>
          <w:lang w:eastAsia="pt-BR"/>
        </w:rPr>
        <w:t>A HIC</w:t>
      </w:r>
      <w:proofErr w:type="gramEnd"/>
      <w:r w:rsidRPr="00CE31A5">
        <w:rPr>
          <w:rFonts w:ascii="Times New Roman" w:eastAsiaTheme="minorEastAsia" w:hAnsi="Times New Roman" w:cs="Times New Roman"/>
          <w:sz w:val="24"/>
          <w:szCs w:val="24"/>
          <w:lang w:eastAsia="pt-BR"/>
        </w:rPr>
        <w:t xml:space="preserve"> assume que os resultados potenciais são independentes da variável binária de tratamento ao se condicionar às variáveis observáveis,</w:t>
      </w:r>
      <m:oMath>
        <m: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xml:space="preserve">. Além disso, assume-se que fatores não observáveis não são fontes de viés. Dessa forma, segundo Angrist e Pischke (2009), condicionando para o vetor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xml:space="preserve">, o viés de seleção some. Formalmente, </w:t>
      </w:r>
    </w:p>
    <w:p w:rsidR="002705D6" w:rsidRPr="00CE31A5" w:rsidRDefault="002705D6" w:rsidP="00E263F8">
      <w:pPr>
        <w:tabs>
          <w:tab w:val="left" w:pos="709"/>
        </w:tabs>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p>
    <w:p w:rsidR="00CA5846" w:rsidRPr="00865A14" w:rsidRDefault="00865A14" w:rsidP="00E263F8">
      <w:pPr>
        <w:tabs>
          <w:tab w:val="left" w:pos="709"/>
        </w:tabs>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m:oMathPara>
        <m:oMath>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e>
          </m:d>
          <m:r>
            <w:rPr>
              <w:rFonts w:ascii="Cambria Math" w:eastAsiaTheme="minorEastAsia" w:hAnsi="Cambria Math" w:cs="Times New Roman"/>
              <w:sz w:val="24"/>
              <w:szCs w:val="24"/>
              <w:lang w:eastAsia="pt-BR"/>
            </w:rPr>
            <m:t>⊥</m:t>
          </m:r>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e>
          </m:d>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m:oMathPara>
    </w:p>
    <w:p w:rsidR="002705D6" w:rsidRPr="002705D6" w:rsidRDefault="002705D6" w:rsidP="00E263F8">
      <w:pPr>
        <w:tabs>
          <w:tab w:val="left" w:pos="709"/>
        </w:tabs>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p>
    <w:p w:rsidR="00CA5846" w:rsidRDefault="00CA5846" w:rsidP="00E263F8">
      <w:pPr>
        <w:tabs>
          <w:tab w:val="left" w:pos="709"/>
        </w:tabs>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b/>
        <w:t xml:space="preserve">Dessa forma, condicionando às variáveis observáveis,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e assumindo HIC, tem-se que:</w:t>
      </w:r>
    </w:p>
    <w:p w:rsidR="00306D23" w:rsidRPr="00CE31A5" w:rsidRDefault="00306D23" w:rsidP="00E263F8">
      <w:pPr>
        <w:tabs>
          <w:tab w:val="left" w:pos="709"/>
        </w:tabs>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865A14"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m:oMathPara>
        <m:oMath>
          <m:limLow>
            <m:limLowPr>
              <m:ctrlPr>
                <w:rPr>
                  <w:rFonts w:ascii="Cambria Math" w:eastAsiaTheme="minorEastAsia" w:hAnsi="Cambria Math" w:cs="Times New Roman"/>
                  <w:i/>
                  <w:sz w:val="24"/>
                  <w:szCs w:val="24"/>
                  <w:lang w:eastAsia="pt-BR"/>
                </w:rPr>
              </m:ctrlPr>
            </m:limLowPr>
            <m:e>
              <m:groupChr>
                <m:groupChrPr>
                  <m:ctrlPr>
                    <w:rPr>
                      <w:rFonts w:ascii="Cambria Math" w:eastAsiaTheme="minorEastAsia" w:hAnsi="Cambria Math" w:cs="Times New Roman"/>
                      <w:i/>
                      <w:sz w:val="24"/>
                      <w:szCs w:val="24"/>
                      <w:lang w:eastAsia="pt-BR"/>
                    </w:rPr>
                  </m:ctrlPr>
                </m:groupChrPr>
                <m:e>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w:rPr>
                      <w:rFonts w:ascii="Cambria Math" w:eastAsiaTheme="minorEastAsia" w:hAnsi="Cambria Math" w:cs="Times New Roman"/>
                      <w:sz w:val="24"/>
                      <w:szCs w:val="24"/>
                      <w:lang w:eastAsia="pt-BR"/>
                    </w:rPr>
                    <m:t>- 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d>
                </m:e>
              </m:groupChr>
            </m:e>
            <m:lim>
              <m:r>
                <w:rPr>
                  <w:rFonts w:ascii="Cambria Math" w:eastAsiaTheme="minorEastAsia" w:hAnsi="Cambria Math" w:cs="Times New Roman"/>
                  <w:sz w:val="24"/>
                  <w:szCs w:val="24"/>
                  <w:lang w:eastAsia="pt-BR"/>
                </w:rPr>
                <m:t>Diferença Observada</m:t>
              </m:r>
            </m:lim>
          </m:limLow>
          <m:r>
            <w:rPr>
              <w:rFonts w:ascii="Cambria Math" w:eastAsiaTheme="minorEastAsia" w:hAnsi="Cambria Math" w:cs="Times New Roman"/>
              <w:sz w:val="24"/>
              <w:szCs w:val="24"/>
              <w:lang w:eastAsia="pt-BR"/>
            </w:rPr>
            <m:t>=</m:t>
          </m:r>
          <m:limLow>
            <m:limLowPr>
              <m:ctrlPr>
                <w:rPr>
                  <w:rFonts w:ascii="Cambria Math" w:eastAsiaTheme="minorEastAsia" w:hAnsi="Cambria Math" w:cs="Times New Roman"/>
                  <w:i/>
                  <w:sz w:val="24"/>
                  <w:szCs w:val="24"/>
                  <w:lang w:eastAsia="pt-BR"/>
                </w:rPr>
              </m:ctrlPr>
            </m:limLowPr>
            <m:e>
              <m:groupChr>
                <m:groupChrPr>
                  <m:ctrlPr>
                    <w:rPr>
                      <w:rFonts w:ascii="Cambria Math" w:eastAsiaTheme="minorEastAsia" w:hAnsi="Cambria Math" w:cs="Times New Roman"/>
                      <w:i/>
                      <w:sz w:val="24"/>
                      <w:szCs w:val="24"/>
                      <w:lang w:eastAsia="pt-BR"/>
                    </w:rPr>
                  </m:ctrlPr>
                </m:groupChrPr>
                <m:e>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r>
                    <m:rPr>
                      <m:sty m:val="p"/>
                    </m:rPr>
                    <w:rPr>
                      <w:rFonts w:ascii="Cambria Math" w:eastAsiaTheme="minorEastAsia" w:hAnsi="Cambria Math" w:cs="Times New Roman"/>
                      <w:sz w:val="24"/>
                      <w:szCs w:val="24"/>
                      <w:lang w:eastAsia="pt-BR"/>
                    </w:rPr>
                    <m:t>-</m:t>
                  </m:r>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e>
              </m:groupChr>
            </m:e>
            <m:lim>
              <m:eqArr>
                <m:eqArrPr>
                  <m:ctrlPr>
                    <w:rPr>
                      <w:rFonts w:ascii="Cambria Math" w:eastAsiaTheme="minorEastAsia" w:hAnsi="Cambria Math" w:cs="Times New Roman"/>
                      <w:i/>
                      <w:sz w:val="24"/>
                      <w:szCs w:val="24"/>
                      <w:lang w:eastAsia="pt-BR"/>
                    </w:rPr>
                  </m:ctrlPr>
                </m:eqArrPr>
                <m:e>
                  <m:r>
                    <w:rPr>
                      <w:rFonts w:ascii="Cambria Math" w:eastAsiaTheme="minorEastAsia" w:hAnsi="Cambria Math" w:cs="Times New Roman"/>
                      <w:sz w:val="24"/>
                      <w:szCs w:val="24"/>
                      <w:lang w:eastAsia="pt-BR"/>
                    </w:rPr>
                    <m:t xml:space="preserve">Efeito médio do Tratamento </m:t>
                  </m:r>
                </m:e>
                <m:e>
                  <m:r>
                    <w:rPr>
                      <w:rFonts w:ascii="Cambria Math" w:eastAsiaTheme="minorEastAsia" w:hAnsi="Cambria Math" w:cs="Times New Roman"/>
                      <w:sz w:val="24"/>
                      <w:szCs w:val="24"/>
                      <w:lang w:eastAsia="pt-BR"/>
                    </w:rPr>
                    <m:t xml:space="preserve">nos tratados </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ATT</m:t>
                      </m:r>
                    </m:e>
                  </m:d>
                </m:e>
              </m:eqArr>
            </m:lim>
          </m:limLow>
          <m:r>
            <w:rPr>
              <w:rFonts w:ascii="Cambria Math" w:eastAsiaTheme="minorEastAsia" w:hAnsi="Cambria Math" w:cs="Times New Roman"/>
              <w:sz w:val="24"/>
              <w:szCs w:val="24"/>
              <w:lang w:eastAsia="pt-BR"/>
            </w:rPr>
            <m:t xml:space="preserve">+ </m:t>
          </m:r>
          <m:limLow>
            <m:limLowPr>
              <m:ctrlPr>
                <w:rPr>
                  <w:rFonts w:ascii="Cambria Math" w:eastAsiaTheme="minorEastAsia" w:hAnsi="Cambria Math" w:cs="Times New Roman"/>
                  <w:i/>
                  <w:sz w:val="24"/>
                  <w:szCs w:val="24"/>
                  <w:lang w:eastAsia="pt-BR"/>
                </w:rPr>
              </m:ctrlPr>
            </m:limLowPr>
            <m:e>
              <m:groupChr>
                <m:groupChrPr>
                  <m:ctrlPr>
                    <w:rPr>
                      <w:rFonts w:ascii="Cambria Math" w:eastAsiaTheme="minorEastAsia" w:hAnsi="Cambria Math" w:cs="Times New Roman"/>
                      <w:i/>
                      <w:sz w:val="24"/>
                      <w:szCs w:val="24"/>
                      <w:lang w:eastAsia="pt-BR"/>
                    </w:rPr>
                  </m:ctrlPr>
                </m:groupChrPr>
                <m:e>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r>
                    <m:rPr>
                      <m:sty m:val="p"/>
                    </m:rPr>
                    <w:rPr>
                      <w:rFonts w:ascii="Cambria Math" w:eastAsiaTheme="minorEastAsia" w:hAnsi="Cambria Math" w:cs="Times New Roman"/>
                      <w:sz w:val="24"/>
                      <w:szCs w:val="24"/>
                      <w:lang w:eastAsia="pt-BR"/>
                    </w:rPr>
                    <m:t>-</m:t>
                  </m:r>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e>
              </m:groupChr>
            </m:e>
            <m:lim>
              <m:r>
                <w:rPr>
                  <w:rFonts w:ascii="Cambria Math" w:eastAsiaTheme="minorEastAsia" w:hAnsi="Cambria Math" w:cs="Times New Roman"/>
                  <w:sz w:val="24"/>
                  <w:szCs w:val="24"/>
                  <w:lang w:eastAsia="pt-BR"/>
                </w:rPr>
                <m:t>Viés de Seleção</m:t>
              </m:r>
            </m:lim>
          </m:limLow>
          <m:r>
            <w:rPr>
              <w:rFonts w:ascii="Cambria Math" w:eastAsiaTheme="minorEastAsia" w:hAnsi="Cambria Math" w:cs="Times New Roman"/>
              <w:sz w:val="24"/>
              <w:szCs w:val="24"/>
              <w:lang w:eastAsia="pt-BR"/>
            </w:rPr>
            <m:t xml:space="preserve"> = 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oMath>
      </m:oMathPara>
    </w:p>
    <w:p w:rsidR="00CA5846" w:rsidRPr="00CE31A5" w:rsidRDefault="00CA5846" w:rsidP="00E263F8">
      <w:pPr>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b/>
      </w:r>
    </w:p>
    <w:p w:rsidR="00CA5846" w:rsidRPr="00840172" w:rsidRDefault="00CA5846" w:rsidP="00840172">
      <w:pPr>
        <w:spacing w:line="240" w:lineRule="auto"/>
        <w:contextualSpacing/>
        <w:outlineLvl w:val="2"/>
        <w:rPr>
          <w:rFonts w:ascii="Times New Roman" w:eastAsiaTheme="minorEastAsia" w:hAnsi="Times New Roman" w:cs="Times New Roman"/>
          <w:b/>
          <w:sz w:val="24"/>
          <w:szCs w:val="24"/>
          <w:lang w:eastAsia="pt-BR"/>
        </w:rPr>
      </w:pPr>
      <w:bookmarkStart w:id="47" w:name="_Toc350977040"/>
      <w:bookmarkStart w:id="48" w:name="_Toc362259566"/>
      <w:proofErr w:type="spellStart"/>
      <w:r w:rsidRPr="00840172">
        <w:rPr>
          <w:rFonts w:ascii="Times New Roman" w:eastAsiaTheme="minorEastAsia" w:hAnsi="Times New Roman" w:cs="Times New Roman"/>
          <w:b/>
          <w:sz w:val="24"/>
          <w:szCs w:val="24"/>
          <w:lang w:eastAsia="pt-BR"/>
        </w:rPr>
        <w:t>Propensity</w:t>
      </w:r>
      <w:proofErr w:type="spellEnd"/>
      <w:r w:rsidRPr="00840172">
        <w:rPr>
          <w:rFonts w:ascii="Times New Roman" w:eastAsiaTheme="minorEastAsia" w:hAnsi="Times New Roman" w:cs="Times New Roman"/>
          <w:b/>
          <w:sz w:val="24"/>
          <w:szCs w:val="24"/>
          <w:lang w:eastAsia="pt-BR"/>
        </w:rPr>
        <w:t xml:space="preserve"> Score </w:t>
      </w:r>
      <w:proofErr w:type="spellStart"/>
      <w:r w:rsidRPr="00840172">
        <w:rPr>
          <w:rFonts w:ascii="Times New Roman" w:eastAsiaTheme="minorEastAsia" w:hAnsi="Times New Roman" w:cs="Times New Roman"/>
          <w:b/>
          <w:sz w:val="24"/>
          <w:szCs w:val="24"/>
          <w:lang w:eastAsia="pt-BR"/>
        </w:rPr>
        <w:t>Matching</w:t>
      </w:r>
      <w:bookmarkEnd w:id="47"/>
      <w:bookmarkEnd w:id="48"/>
      <w:proofErr w:type="spellEnd"/>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 método de </w:t>
      </w:r>
      <w:proofErr w:type="spellStart"/>
      <w:r w:rsidRPr="00CE31A5">
        <w:rPr>
          <w:rFonts w:ascii="Times New Roman" w:eastAsiaTheme="minorEastAsia" w:hAnsi="Times New Roman" w:cs="Times New Roman"/>
          <w:sz w:val="24"/>
          <w:szCs w:val="24"/>
          <w:lang w:eastAsia="pt-BR"/>
        </w:rPr>
        <w:t>Propensity</w:t>
      </w:r>
      <w:proofErr w:type="spellEnd"/>
      <w:r w:rsidRPr="00CE31A5">
        <w:rPr>
          <w:rFonts w:ascii="Times New Roman" w:eastAsiaTheme="minorEastAsia" w:hAnsi="Times New Roman" w:cs="Times New Roman"/>
          <w:sz w:val="24"/>
          <w:szCs w:val="24"/>
          <w:lang w:eastAsia="pt-BR"/>
        </w:rPr>
        <w:t xml:space="preserve"> Score </w:t>
      </w:r>
      <w:proofErr w:type="spellStart"/>
      <w:r w:rsidRPr="00CE31A5">
        <w:rPr>
          <w:rFonts w:ascii="Times New Roman" w:eastAsiaTheme="minorEastAsia" w:hAnsi="Times New Roman" w:cs="Times New Roman"/>
          <w:sz w:val="24"/>
          <w:szCs w:val="24"/>
          <w:lang w:eastAsia="pt-BR"/>
        </w:rPr>
        <w:t>Matching</w:t>
      </w:r>
      <w:proofErr w:type="spellEnd"/>
      <w:r w:rsidRPr="00CE31A5">
        <w:rPr>
          <w:rFonts w:ascii="Times New Roman" w:eastAsiaTheme="minorEastAsia" w:hAnsi="Times New Roman" w:cs="Times New Roman"/>
          <w:sz w:val="24"/>
          <w:szCs w:val="24"/>
          <w:lang w:eastAsia="pt-BR"/>
        </w:rPr>
        <w:t xml:space="preserve"> (PSM), ou pareamento por escore de propensão, é uma tentativa de se imitar as características da estimação da relação causal de um experimento aleatório. Esse método requer que seja satisfeita a hipótese de independência condicional (HIC), descrita anteriormente, para que os estimadores do pareamento apresentem uma interpretação causal. Colocando em outros termos, ao utilizar o método PSM supõe-se que a designação do tratamento às unidades de estudo depende apenas das variáveis observáveis,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De forma geral, o pareamento é um método em que é construído um grupo de controle similar ao grupo de tratamento tomando como base a distribuição de variáveis observadas. Angrist e Pischke (2009) chamam a atenção para a similaridade entre os estimandos do método de pareamento por observáveis e os estimandos obtidos por regressão. Segundo os autores, a diferença entre os dois estimandos se dá apenas quanto aos pesos que são utilizados para combinar os efeitos específicos das variáveis observadas em um </w:t>
      </w:r>
      <w:r w:rsidRPr="00CE31A5">
        <w:rPr>
          <w:rFonts w:ascii="Times New Roman" w:eastAsiaTheme="minorEastAsia" w:hAnsi="Times New Roman" w:cs="Times New Roman"/>
          <w:sz w:val="24"/>
          <w:szCs w:val="24"/>
          <w:lang w:eastAsia="pt-BR"/>
        </w:rPr>
        <w:lastRenderedPageBreak/>
        <w:t xml:space="preserve">único efeito médio de tratamento. Enquanto que o pareamento coloca mais peso nas células em que são mais prováveis de serem tratadas, a regressão coloca mais peso nas células em que a variância condicional da variável de tratamento é maior. Além disso, os autores observam que nenhum dos dois métodos, regressão e pareamento, coloca qualquer peso nas células em que não são contidas tanto observações de unidades do grupo de controle quanto observações de unidades do grupo de tratamento. Essa é a segunda hipótese auxiliar que permite a estimação da relação causal do método de pareamento: </w:t>
      </w:r>
      <w:r w:rsidRPr="00CE31A5">
        <w:rPr>
          <w:rFonts w:ascii="Times New Roman" w:eastAsiaTheme="minorEastAsia" w:hAnsi="Times New Roman" w:cs="Times New Roman"/>
          <w:i/>
          <w:sz w:val="24"/>
          <w:szCs w:val="24"/>
          <w:lang w:eastAsia="pt-BR"/>
        </w:rPr>
        <w:t>condição de suporte comum</w:t>
      </w:r>
      <w:r w:rsidRPr="00CE31A5">
        <w:rPr>
          <w:rFonts w:ascii="Times New Roman" w:eastAsiaTheme="minorEastAsia" w:hAnsi="Times New Roman" w:cs="Times New Roman"/>
          <w:sz w:val="24"/>
          <w:szCs w:val="24"/>
          <w:lang w:eastAsia="pt-BR"/>
        </w:rPr>
        <w:t>. Formalmente,</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m:oMathPara>
        <m:oMath>
          <m:r>
            <w:rPr>
              <w:rFonts w:ascii="Cambria Math" w:eastAsiaTheme="minorEastAsia" w:hAnsi="Cambria Math" w:cs="Times New Roman"/>
              <w:sz w:val="24"/>
              <w:szCs w:val="24"/>
              <w:lang w:eastAsia="pt-BR"/>
            </w:rPr>
            <m:t>0&lt;P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r>
            <w:rPr>
              <w:rFonts w:ascii="Cambria Math" w:eastAsiaTheme="minorEastAsia" w:hAnsi="Cambria Math" w:cs="Times New Roman"/>
              <w:sz w:val="24"/>
              <w:szCs w:val="24"/>
              <w:lang w:eastAsia="pt-BR"/>
            </w:rPr>
            <m:t>&lt;1</m:t>
          </m:r>
        </m:oMath>
      </m:oMathPara>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Essa condição assegura que as observações do grupo de tratamento tenham observações comparáveis do grupo de controle quanto às características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xml:space="preserve">. Como é apenas na área em que existe suporte comum que é possível realizar inferências causais, em contextos em que essa condição é fracamente satisfeita pode ser necessário eliminar as observações que não pertencem a esse conjunto. De uma forma geral, o pareamento se torna inviável quando são muitas as variáveis que devem ser correspondidas entre o grupo de tratamento e o grupo de controle. O Teorema do Escore de Propensão, proposto por Rosenbaum e Rubin (1983), torna prático o pareamento ao reduzir o número de variáveis do vetor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xml:space="preserve"> a um único escalar, a probabilidade de recebimento do tratamento, dado as características observadas. Como mostra Angrist e Pischke (2009), o teorema do escore de propensão pode ser enunciado da seguinte forma:</w:t>
      </w:r>
    </w:p>
    <w:p w:rsidR="00CA5846" w:rsidRPr="00CE31A5" w:rsidRDefault="00CA5846" w:rsidP="00E263F8">
      <w:pPr>
        <w:tabs>
          <w:tab w:val="left" w:pos="709"/>
        </w:tabs>
        <w:spacing w:before="100" w:beforeAutospacing="1" w:after="100" w:afterAutospacing="1"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b/>
          <w:sz w:val="24"/>
          <w:szCs w:val="24"/>
          <w:lang w:eastAsia="pt-BR"/>
        </w:rPr>
        <w:t>Teorema do Escore de Propensão</w:t>
      </w:r>
      <w:r w:rsidRPr="00CE31A5">
        <w:rPr>
          <w:rFonts w:ascii="Times New Roman" w:eastAsiaTheme="minorEastAsia" w:hAnsi="Times New Roman" w:cs="Times New Roman"/>
          <w:sz w:val="24"/>
          <w:szCs w:val="24"/>
          <w:lang w:eastAsia="pt-BR"/>
        </w:rPr>
        <w:t xml:space="preserve">: Suponha que a Hipótese de Independência Condicional (HIC) é satisfeita tal que </w:t>
      </w:r>
      <m:oMath>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e>
        </m:d>
        <m:r>
          <w:rPr>
            <w:rFonts w:ascii="Cambria Math" w:eastAsiaTheme="minorEastAsia" w:hAnsi="Cambria Math" w:cs="Times New Roman"/>
            <w:sz w:val="24"/>
            <w:szCs w:val="24"/>
            <w:lang w:eastAsia="pt-BR"/>
          </w:rPr>
          <m:t>⊥</m:t>
        </m:r>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e>
        </m:d>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xml:space="preserve"> então </w:t>
      </w:r>
      <m:oMath>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e>
        </m:d>
        <m:r>
          <w:rPr>
            <w:rFonts w:ascii="Cambria Math" w:eastAsiaTheme="minorEastAsia" w:hAnsi="Cambria Math" w:cs="Times New Roman"/>
            <w:sz w:val="24"/>
            <w:szCs w:val="24"/>
            <w:lang w:eastAsia="pt-BR"/>
          </w:rPr>
          <m:t>⊥</m:t>
        </m:r>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e>
        </m:d>
        <m:r>
          <w:rPr>
            <w:rFonts w:ascii="Cambria Math" w:eastAsiaTheme="minorEastAsia" w:hAnsi="Cambria Math" w:cs="Times New Roman"/>
            <w:sz w:val="24"/>
            <w:szCs w:val="24"/>
            <w:lang w:eastAsia="pt-BR"/>
          </w:rPr>
          <m:t>P(</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w:proofErr w:type="gramStart"/>
        <m:r>
          <w:rPr>
            <w:rFonts w:ascii="Cambria Math" w:eastAsiaTheme="minorEastAsia" w:hAnsi="Cambria Math" w:cs="Times New Roman"/>
            <w:sz w:val="24"/>
            <w:szCs w:val="24"/>
            <w:lang w:eastAsia="pt-BR"/>
          </w:rPr>
          <m:t>)</m:t>
        </m:r>
      </m:oMath>
      <w:proofErr w:type="gramEnd"/>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 Esse teorema afirma que se os resultados potenciais são independentes da variável de tratamento condicionada a um vetor multivariado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xml:space="preserve">, então os resultados potenciais são independentes da variável de tratamento condicionada a uma função escalar desse mesmo vetor, que é o escore de propensão, definido como </w:t>
      </w:r>
      <m:oMath>
        <m:r>
          <w:rPr>
            <w:rFonts w:ascii="Cambria Math" w:eastAsiaTheme="minorEastAsia" w:hAnsi="Cambria Math" w:cs="Times New Roman"/>
            <w:sz w:val="24"/>
            <w:szCs w:val="24"/>
            <w:lang w:eastAsia="pt-BR"/>
          </w:rPr>
          <m:t>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i/>
                <w:sz w:val="24"/>
                <w:szCs w:val="24"/>
                <w:lang w:eastAsia="pt-BR"/>
              </w:rPr>
            </m:ctrlPr>
          </m:dPr>
          <m:e>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e>
            </m:d>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r>
          <w:rPr>
            <w:rFonts w:ascii="Cambria Math" w:eastAsiaTheme="minorEastAsia" w:hAnsi="Cambria Math" w:cs="Times New Roman"/>
            <w:sz w:val="24"/>
            <w:szCs w:val="24"/>
            <w:lang w:eastAsia="pt-BR"/>
          </w:rPr>
          <m:t>=P[</m:t>
        </m:r>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oMath>
      <w:r w:rsidRPr="00CE31A5">
        <w:rPr>
          <w:rFonts w:ascii="Times New Roman" w:eastAsiaTheme="minorEastAsia" w:hAnsi="Times New Roman" w:cs="Times New Roman"/>
          <w:sz w:val="24"/>
          <w:szCs w:val="24"/>
          <w:lang w:eastAsia="pt-BR"/>
        </w:rPr>
        <w:t>.</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Outra hipótese necessária para a estimação dos efeitos de tratamento utilizando métodos de pareamento é o </w:t>
      </w:r>
      <w:r w:rsidRPr="00CE31A5">
        <w:rPr>
          <w:rFonts w:ascii="Times New Roman" w:eastAsiaTheme="minorEastAsia" w:hAnsi="Times New Roman" w:cs="Times New Roman"/>
          <w:i/>
          <w:sz w:val="24"/>
          <w:szCs w:val="24"/>
          <w:lang w:eastAsia="pt-BR"/>
        </w:rPr>
        <w:t>critério de balanceamento</w:t>
      </w:r>
      <w:r w:rsidRPr="00CE31A5">
        <w:rPr>
          <w:rFonts w:ascii="Times New Roman" w:eastAsiaTheme="minorEastAsia" w:hAnsi="Times New Roman" w:cs="Times New Roman"/>
          <w:sz w:val="24"/>
          <w:szCs w:val="24"/>
          <w:lang w:eastAsia="pt-BR"/>
        </w:rPr>
        <w:t xml:space="preserve">. Lee (2006) afirma que o critério de balanceamento é satisfeito quando para cada valor do escore de propensão, </w:t>
      </w:r>
      <m:oMath>
        <m:r>
          <w:rPr>
            <w:rFonts w:ascii="Cambria Math" w:eastAsiaTheme="minorEastAsia" w:hAnsi="Cambria Math" w:cs="Times New Roman"/>
            <w:sz w:val="24"/>
            <w:szCs w:val="24"/>
            <w:lang w:eastAsia="pt-BR"/>
          </w:rPr>
          <m:t>X</m:t>
        </m:r>
      </m:oMath>
      <w:r w:rsidRPr="00CE31A5">
        <w:rPr>
          <w:rFonts w:ascii="Times New Roman" w:eastAsiaTheme="minorEastAsia" w:hAnsi="Times New Roman" w:cs="Times New Roman"/>
          <w:sz w:val="24"/>
          <w:szCs w:val="24"/>
          <w:lang w:eastAsia="pt-BR"/>
        </w:rPr>
        <w:t xml:space="preserve"> tem a distribuição similar para os grupos de tratamento e controle. Formalmente, </w:t>
      </w:r>
      <m:oMath>
        <m:r>
          <w:rPr>
            <w:rFonts w:ascii="Cambria Math" w:eastAsiaTheme="minorEastAsia" w:hAnsi="Cambria Math" w:cs="Times New Roman"/>
            <w:sz w:val="24"/>
            <w:szCs w:val="24"/>
            <w:lang w:eastAsia="pt-BR"/>
          </w:rPr>
          <m:t>D⊥X|P(X)</m:t>
        </m:r>
      </m:oMath>
      <w:r w:rsidR="00A254A4">
        <w:rPr>
          <w:rFonts w:ascii="Times New Roman" w:eastAsiaTheme="minorEastAsia" w:hAnsi="Times New Roman" w:cs="Times New Roman"/>
          <w:sz w:val="24"/>
          <w:szCs w:val="24"/>
          <w:lang w:eastAsia="pt-BR"/>
        </w:rPr>
        <w:t>.</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Como alerta Lee (2006), a hipótese de independência condicional é distinta da hipótese de balanceamento. Uma não implica na outra. Por exemplo, “mesmo que a HIC seja satisfeita, a propriedade de balanceamento pode não ser válida porque </w:t>
      </w:r>
      <m:oMath>
        <m:r>
          <w:rPr>
            <w:rFonts w:ascii="Cambria Math" w:eastAsiaTheme="minorEastAsia" w:hAnsi="Cambria Math" w:cs="Times New Roman"/>
            <w:sz w:val="24"/>
            <w:szCs w:val="24"/>
            <w:lang w:eastAsia="pt-BR"/>
          </w:rPr>
          <m:t>P(X)</m:t>
        </m:r>
      </m:oMath>
      <w:r w:rsidRPr="00CE31A5">
        <w:rPr>
          <w:rFonts w:ascii="Times New Roman" w:eastAsiaTheme="minorEastAsia" w:hAnsi="Times New Roman" w:cs="Times New Roman"/>
          <w:sz w:val="24"/>
          <w:szCs w:val="24"/>
          <w:lang w:eastAsia="pt-BR"/>
        </w:rPr>
        <w:t xml:space="preserve"> pode ser um escore inadequado, talvez pelo fato de a forma funcional de </w:t>
      </w:r>
      <m:oMath>
        <m:r>
          <w:rPr>
            <w:rFonts w:ascii="Cambria Math" w:eastAsiaTheme="minorEastAsia" w:hAnsi="Cambria Math" w:cs="Times New Roman"/>
            <w:sz w:val="24"/>
            <w:szCs w:val="24"/>
            <w:lang w:eastAsia="pt-BR"/>
          </w:rPr>
          <m:t>X</m:t>
        </m:r>
      </m:oMath>
      <w:r w:rsidRPr="00CE31A5">
        <w:rPr>
          <w:rFonts w:ascii="Times New Roman" w:eastAsiaTheme="minorEastAsia" w:hAnsi="Times New Roman" w:cs="Times New Roman"/>
          <w:sz w:val="24"/>
          <w:szCs w:val="24"/>
          <w:lang w:eastAsia="pt-BR"/>
        </w:rPr>
        <w:t xml:space="preserve"> não estar representada corretamente ao se estimar </w:t>
      </w:r>
      <m:oMath>
        <m:r>
          <w:rPr>
            <w:rFonts w:ascii="Cambria Math" w:eastAsiaTheme="minorEastAsia" w:hAnsi="Cambria Math" w:cs="Times New Roman"/>
            <w:sz w:val="24"/>
            <w:szCs w:val="24"/>
            <w:lang w:eastAsia="pt-BR"/>
          </w:rPr>
          <m:t>P(X)</m:t>
        </m:r>
      </m:oMath>
      <w:r w:rsidRPr="00CE31A5">
        <w:rPr>
          <w:rFonts w:ascii="Times New Roman" w:eastAsiaTheme="minorEastAsia" w:hAnsi="Times New Roman" w:cs="Times New Roman"/>
          <w:sz w:val="24"/>
          <w:szCs w:val="24"/>
          <w:lang w:eastAsia="pt-BR"/>
        </w:rPr>
        <w:t>”.</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Sendo válidas todas as hipóteses apresentadas, para a estimação do efeito causal da política em estudo é necessário apenas comparar as unidades do grupo de controle e do grupo de tratamento que apresentam a mesma probabilidade de recebimento do tratamento. Angrist e Pischke (2009) apontam que a estimação por escore de propensão se dá em dois passos: “primeiro estima-se </w:t>
      </w:r>
      <m:oMath>
        <m:r>
          <w:rPr>
            <w:rFonts w:ascii="Cambria Math" w:eastAsiaTheme="minorEastAsia" w:hAnsi="Cambria Math" w:cs="Times New Roman"/>
            <w:sz w:val="24"/>
            <w:szCs w:val="24"/>
            <w:lang w:eastAsia="pt-BR"/>
          </w:rPr>
          <m:t>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oMath>
      <w:r w:rsidRPr="00CE31A5">
        <w:rPr>
          <w:rFonts w:ascii="Times New Roman" w:eastAsiaTheme="minorEastAsia" w:hAnsi="Times New Roman" w:cs="Times New Roman"/>
          <w:sz w:val="24"/>
          <w:szCs w:val="24"/>
          <w:lang w:eastAsia="pt-BR"/>
        </w:rPr>
        <w:t xml:space="preserve"> com algum modelo paramétrico, como probit ou logit. Em seguida, a estimação do efeito do tratamento pode ser computada ou pelo pareamento do valor encontrado no primeiro passo ou utilizando algum esquema de pesos”.</w:t>
      </w:r>
    </w:p>
    <w:p w:rsidR="00CA5846"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Anteriormente foi visto que o efeito médio de tratamento nos tratados (ATT), quando se supõe a hipótese da independência condicional (HIC), é </w:t>
      </w:r>
      <m:oMath>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oMath>
      <w:r w:rsidRPr="00CE31A5">
        <w:rPr>
          <w:rFonts w:ascii="Times New Roman" w:eastAsiaTheme="minorEastAsia" w:hAnsi="Times New Roman" w:cs="Times New Roman"/>
          <w:sz w:val="24"/>
          <w:szCs w:val="24"/>
          <w:lang w:eastAsia="pt-BR"/>
        </w:rPr>
        <w:t xml:space="preserve">. Pelo teorema do escore de propensão e supondo a HIC, o ATT resultante do pareamento direto dos valores de propensão entre tratados e não tratados, aplicando a lei de expectativas iteradas sobre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oMath>
      <w:r w:rsidRPr="00CE31A5">
        <w:rPr>
          <w:rFonts w:ascii="Times New Roman" w:eastAsiaTheme="minorEastAsia" w:hAnsi="Times New Roman" w:cs="Times New Roman"/>
          <w:sz w:val="24"/>
          <w:szCs w:val="24"/>
          <w:lang w:eastAsia="pt-BR"/>
        </w:rPr>
        <w:t>, é:</w:t>
      </w:r>
    </w:p>
    <w:p w:rsidR="00421AE7" w:rsidRPr="00CE31A5" w:rsidRDefault="00421AE7"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421AE7"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m:oMathPara>
        <m:oMath>
          <m:r>
            <m:rPr>
              <m:sty m:val="p"/>
            </m:rPr>
            <w:rPr>
              <w:rFonts w:ascii="Cambria Math" w:eastAsiaTheme="minorEastAsia" w:hAnsi="Cambria Math" w:cs="Times New Roman"/>
              <w:sz w:val="24"/>
              <w:szCs w:val="24"/>
              <w:lang w:eastAsia="pt-BR"/>
            </w:rPr>
            <m:t xml:space="preserve"> ATT=</m:t>
          </m:r>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0i</m:t>
                  </m:r>
                </m:sub>
              </m:sSub>
              <m: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w:rPr>
              <w:rFonts w:ascii="Cambria Math" w:eastAsiaTheme="minorEastAsia" w:hAnsi="Cambria Math" w:cs="Times New Roman"/>
              <w:sz w:val="24"/>
              <w:szCs w:val="24"/>
              <w:lang w:eastAsia="pt-BR"/>
            </w:rPr>
            <m:t>=E{E[</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d>
            <m:dPr>
              <m:begChr m:val="|"/>
              <m:endChr m:val="|"/>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P</m:t>
              </m:r>
              <m:d>
                <m:dPr>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e>
              </m:d>
              <m:r>
                <w:rPr>
                  <w:rFonts w:ascii="Cambria Math" w:eastAsiaTheme="minorEastAsia" w:hAnsi="Cambria Math" w:cs="Times New Roman"/>
                  <w:sz w:val="24"/>
                  <w:szCs w:val="24"/>
                  <w:lang w:eastAsia="pt-BR"/>
                </w:rPr>
                <m:t>-E</m:t>
              </m:r>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i</m:t>
                      </m:r>
                    </m:sub>
                  </m:sSub>
                </m:e>
                <m:e>
                  <m:r>
                    <w:rPr>
                      <w:rFonts w:ascii="Cambria Math" w:eastAsiaTheme="minorEastAsia" w:hAnsi="Cambria Math" w:cs="Times New Roman"/>
                      <w:sz w:val="24"/>
                      <w:szCs w:val="24"/>
                      <w:lang w:eastAsia="pt-BR"/>
                    </w:rPr>
                    <m:t>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=0</m:t>
                  </m:r>
                </m:e>
              </m:d>
            </m:e>
          </m:d>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D</m:t>
              </m:r>
            </m:e>
            <m:sub>
              <m:r>
                <w:rPr>
                  <w:rFonts w:ascii="Cambria Math" w:eastAsiaTheme="minorEastAsia" w:hAnsi="Cambria Math" w:cs="Times New Roman"/>
                  <w:sz w:val="24"/>
                  <w:szCs w:val="24"/>
                  <w:lang w:eastAsia="pt-BR"/>
                </w:rPr>
                <m:t>i</m:t>
              </m:r>
            </m:sub>
          </m:sSub>
          <m:r>
            <w:rPr>
              <w:rFonts w:ascii="Cambria Math" w:eastAsiaTheme="minorEastAsia" w:hAnsi="Cambria Math" w:cs="Times New Roman"/>
              <w:sz w:val="24"/>
              <w:szCs w:val="24"/>
              <w:lang w:eastAsia="pt-BR"/>
            </w:rPr>
            <m:t>=1}</m:t>
          </m:r>
        </m:oMath>
      </m:oMathPara>
    </w:p>
    <w:p w:rsidR="00421AE7" w:rsidRPr="00CE31A5" w:rsidRDefault="00421AE7"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Smith e Todd (2005) apontam que o estimador típico do pareamento por escore de propensão tem a seguinte forma:</w:t>
      </w:r>
    </w:p>
    <w:p w:rsidR="00CA5846" w:rsidRPr="00CE31A5" w:rsidRDefault="00865A14" w:rsidP="00E263F8">
      <w:pPr>
        <w:spacing w:line="240" w:lineRule="auto"/>
        <w:ind w:firstLine="709"/>
        <w:contextualSpacing/>
        <w:jc w:val="both"/>
        <w:rPr>
          <w:rFonts w:ascii="Times New Roman" w:eastAsiaTheme="minorEastAsia" w:hAnsi="Times New Roman" w:cs="Times New Roman"/>
          <w:sz w:val="24"/>
          <w:szCs w:val="24"/>
          <w:lang w:eastAsia="pt-BR"/>
        </w:rPr>
      </w:pPr>
      <m:oMathPara>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ATT</m:t>
              </m:r>
            </m:e>
            <m:sub>
              <m:r>
                <w:rPr>
                  <w:rFonts w:ascii="Cambria Math" w:eastAsiaTheme="minorEastAsia" w:hAnsi="Cambria Math" w:cs="Times New Roman"/>
                  <w:sz w:val="24"/>
                  <w:szCs w:val="24"/>
                  <w:lang w:eastAsia="pt-BR"/>
                </w:rPr>
                <m:t>PSM</m:t>
              </m:r>
            </m:sub>
          </m:sSub>
          <m:r>
            <w:rPr>
              <w:rFonts w:ascii="Cambria Math" w:eastAsiaTheme="minorEastAsia" w:hAnsi="Cambria Math" w:cs="Times New Roman"/>
              <w:sz w:val="24"/>
              <w:szCs w:val="24"/>
              <w:lang w:eastAsia="pt-BR"/>
            </w:rPr>
            <m:t>=</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1</m:t>
              </m:r>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N</m:t>
                  </m:r>
                </m:e>
                <m:sub>
                  <m:r>
                    <w:rPr>
                      <w:rFonts w:ascii="Cambria Math" w:eastAsiaTheme="minorEastAsia" w:hAnsi="Cambria Math" w:cs="Times New Roman"/>
                      <w:sz w:val="24"/>
                      <w:szCs w:val="24"/>
                      <w:lang w:eastAsia="pt-BR"/>
                    </w:rPr>
                    <m:t>T</m:t>
                  </m:r>
                </m:sub>
              </m:sSub>
            </m:den>
          </m:f>
          <m:d>
            <m:dPr>
              <m:begChr m:val="["/>
              <m:endChr m:val="]"/>
              <m:ctrlPr>
                <w:rPr>
                  <w:rFonts w:ascii="Cambria Math" w:eastAsiaTheme="minorEastAsia" w:hAnsi="Cambria Math" w:cs="Times New Roman"/>
                  <w:i/>
                  <w:sz w:val="24"/>
                  <w:szCs w:val="24"/>
                  <w:lang w:eastAsia="pt-BR"/>
                </w:rPr>
              </m:ctrlPr>
            </m:dPr>
            <m:e>
              <m:nary>
                <m:naryPr>
                  <m:chr m:val="∑"/>
                  <m:limLoc m:val="undOvr"/>
                  <m:supHide m:val="1"/>
                  <m:ctrlPr>
                    <w:rPr>
                      <w:rFonts w:ascii="Cambria Math" w:eastAsiaTheme="minorEastAsia" w:hAnsi="Cambria Math" w:cs="Times New Roman"/>
                      <w:i/>
                      <w:sz w:val="24"/>
                      <w:szCs w:val="24"/>
                      <w:lang w:eastAsia="pt-BR"/>
                    </w:rPr>
                  </m:ctrlPr>
                </m:naryPr>
                <m:sub>
                  <m:r>
                    <w:rPr>
                      <w:rFonts w:ascii="Cambria Math" w:eastAsiaTheme="minorEastAsia" w:hAnsi="Cambria Math" w:cs="Times New Roman"/>
                      <w:sz w:val="24"/>
                      <w:szCs w:val="24"/>
                      <w:lang w:eastAsia="pt-BR"/>
                    </w:rPr>
                    <m:t>i∈T</m:t>
                  </m:r>
                </m:sub>
                <m:sup/>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1,i</m:t>
                      </m:r>
                    </m:sub>
                  </m:sSub>
                </m:e>
              </m:nary>
              <m:r>
                <w:rPr>
                  <w:rFonts w:ascii="Cambria Math" w:eastAsiaTheme="minorEastAsia" w:hAnsi="Cambria Math" w:cs="Times New Roman"/>
                  <w:sz w:val="24"/>
                  <w:szCs w:val="24"/>
                  <w:lang w:eastAsia="pt-BR"/>
                </w:rPr>
                <m:t>-</m:t>
              </m:r>
              <m:nary>
                <m:naryPr>
                  <m:chr m:val="∑"/>
                  <m:limLoc m:val="undOvr"/>
                  <m:supHide m:val="1"/>
                  <m:ctrlPr>
                    <w:rPr>
                      <w:rFonts w:ascii="Cambria Math" w:eastAsiaTheme="minorEastAsia" w:hAnsi="Cambria Math" w:cs="Times New Roman"/>
                      <w:i/>
                      <w:sz w:val="24"/>
                      <w:szCs w:val="24"/>
                      <w:lang w:eastAsia="pt-BR"/>
                    </w:rPr>
                  </m:ctrlPr>
                </m:naryPr>
                <m:sub>
                  <m:r>
                    <w:rPr>
                      <w:rFonts w:ascii="Cambria Math" w:eastAsiaTheme="minorEastAsia" w:hAnsi="Cambria Math" w:cs="Times New Roman"/>
                      <w:sz w:val="24"/>
                      <w:szCs w:val="24"/>
                      <w:lang w:eastAsia="pt-BR"/>
                    </w:rPr>
                    <m:t>j∈C</m:t>
                  </m:r>
                </m:sub>
                <m:sup/>
                <m:e>
                  <m:r>
                    <w:rPr>
                      <w:rFonts w:ascii="Cambria Math" w:eastAsiaTheme="minorEastAsia" w:hAnsi="Cambria Math" w:cs="Times New Roman"/>
                      <w:sz w:val="24"/>
                      <w:szCs w:val="24"/>
                      <w:lang w:eastAsia="pt-BR"/>
                    </w:rPr>
                    <m:t>ω(i,j)</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Y</m:t>
                      </m:r>
                    </m:e>
                    <m:sub>
                      <m:r>
                        <w:rPr>
                          <w:rFonts w:ascii="Cambria Math" w:eastAsiaTheme="minorEastAsia" w:hAnsi="Cambria Math" w:cs="Times New Roman"/>
                          <w:sz w:val="24"/>
                          <w:szCs w:val="24"/>
                          <w:lang w:eastAsia="pt-BR"/>
                        </w:rPr>
                        <m:t>0,j</m:t>
                      </m:r>
                    </m:sub>
                  </m:sSub>
                </m:e>
              </m:nary>
            </m:e>
          </m:d>
        </m:oMath>
      </m:oMathPara>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lastRenderedPageBreak/>
        <w:t xml:space="preserve">Onde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N</m:t>
            </m:r>
          </m:e>
          <m:sub>
            <m:r>
              <w:rPr>
                <w:rFonts w:ascii="Cambria Math" w:eastAsiaTheme="minorEastAsia" w:hAnsi="Cambria Math" w:cs="Times New Roman"/>
                <w:sz w:val="24"/>
                <w:szCs w:val="24"/>
                <w:lang w:eastAsia="pt-BR"/>
              </w:rPr>
              <m:t>T</m:t>
            </m:r>
          </m:sub>
        </m:sSub>
      </m:oMath>
      <w:r w:rsidRPr="00CE31A5">
        <w:rPr>
          <w:rFonts w:ascii="Times New Roman" w:eastAsiaTheme="minorEastAsia" w:hAnsi="Times New Roman" w:cs="Times New Roman"/>
          <w:sz w:val="24"/>
          <w:szCs w:val="24"/>
          <w:lang w:eastAsia="pt-BR"/>
        </w:rPr>
        <w:t xml:space="preserve"> é o número de indivíduos tratados pertencentes à região de suporte comum e </w:t>
      </w:r>
      <m:oMath>
        <m:r>
          <w:rPr>
            <w:rFonts w:ascii="Cambria Math" w:eastAsiaTheme="minorEastAsia" w:hAnsi="Cambria Math" w:cs="Times New Roman"/>
            <w:sz w:val="24"/>
            <w:szCs w:val="24"/>
            <w:lang w:eastAsia="pt-BR"/>
          </w:rPr>
          <m:t>ω(i</m:t>
        </m:r>
        <w:proofErr w:type="gramStart"/>
        <m:r>
          <w:rPr>
            <w:rFonts w:ascii="Cambria Math" w:eastAsiaTheme="minorEastAsia" w:hAnsi="Cambria Math" w:cs="Times New Roman"/>
            <w:sz w:val="24"/>
            <w:szCs w:val="24"/>
            <w:lang w:eastAsia="pt-BR"/>
          </w:rPr>
          <m:t>,</m:t>
        </m:r>
        <w:proofErr w:type="gramEnd"/>
        <m:r>
          <w:rPr>
            <w:rFonts w:ascii="Cambria Math" w:eastAsiaTheme="minorEastAsia" w:hAnsi="Cambria Math" w:cs="Times New Roman"/>
            <w:sz w:val="24"/>
            <w:szCs w:val="24"/>
            <w:lang w:eastAsia="pt-BR"/>
          </w:rPr>
          <m:t>j)</m:t>
        </m:r>
      </m:oMath>
      <w:r w:rsidRPr="00CE31A5">
        <w:rPr>
          <w:rFonts w:ascii="Times New Roman" w:eastAsiaTheme="minorEastAsia" w:hAnsi="Times New Roman" w:cs="Times New Roman"/>
          <w:sz w:val="24"/>
          <w:szCs w:val="24"/>
          <w:lang w:eastAsia="pt-BR"/>
        </w:rPr>
        <w:t xml:space="preserve"> é o esquema de pesos utilizado para agregar o resultado potencial dos indivíduos do grupo de controle e depende do escore de propensão do participante i,</w:t>
      </w:r>
      <m:oMath>
        <m:r>
          <w:rPr>
            <w:rFonts w:ascii="Cambria Math" w:eastAsiaTheme="minorEastAsia" w:hAnsi="Cambria Math" w:cs="Times New Roman"/>
            <w:sz w:val="24"/>
            <w:szCs w:val="24"/>
            <w:lang w:eastAsia="pt-BR"/>
          </w:rPr>
          <m:t xml:space="preserve"> 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oMath>
      <w:r w:rsidRPr="00CE31A5">
        <w:rPr>
          <w:rFonts w:ascii="Times New Roman" w:eastAsiaTheme="minorEastAsia" w:hAnsi="Times New Roman" w:cs="Times New Roman"/>
          <w:sz w:val="24"/>
          <w:szCs w:val="24"/>
          <w:lang w:eastAsia="pt-BR"/>
        </w:rPr>
        <w:t xml:space="preserve">, e do escore de propensão do não-participante j, </w:t>
      </w:r>
      <m:oMath>
        <m:r>
          <w:rPr>
            <w:rFonts w:ascii="Cambria Math" w:eastAsiaTheme="minorEastAsia" w:hAnsi="Cambria Math" w:cs="Times New Roman"/>
            <w:sz w:val="24"/>
            <w:szCs w:val="24"/>
            <w:lang w:eastAsia="pt-BR"/>
          </w:rPr>
          <m:t>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j</m:t>
                </m:r>
              </m:sub>
            </m:sSub>
          </m:e>
        </m:d>
      </m:oMath>
      <w:r w:rsidRPr="00CE31A5">
        <w:rPr>
          <w:rFonts w:ascii="Times New Roman" w:eastAsiaTheme="minorEastAsia" w:hAnsi="Times New Roman" w:cs="Times New Roman"/>
          <w:sz w:val="24"/>
          <w:szCs w:val="24"/>
          <w:lang w:eastAsia="pt-BR"/>
        </w:rPr>
        <w:t>.</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Quanto às abordagens que utilizam esquemas de pesos, Ravaillon (2008) indica que os grupos de comparação são formados ao selecionar os “vizinhos mais próximos” de cada unidade do grupo de tratamento. Esses “vizinhos” são aquelas unidades do grupo de controle que minimizam a expressão </w:t>
      </w:r>
      <m:oMath>
        <m:r>
          <w:rPr>
            <w:rFonts w:ascii="Cambria Math" w:eastAsiaTheme="minorEastAsia" w:hAnsi="Cambria Math" w:cs="Times New Roman"/>
            <w:sz w:val="24"/>
            <w:szCs w:val="24"/>
            <w:lang w:eastAsia="pt-BR"/>
          </w:rPr>
          <m:t>|P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i</m:t>
                </m:r>
              </m:sub>
            </m:sSub>
          </m:e>
        </m:d>
        <m:r>
          <w:rPr>
            <w:rFonts w:ascii="Cambria Math" w:eastAsiaTheme="minorEastAsia" w:hAnsi="Cambria Math" w:cs="Times New Roman"/>
            <w:sz w:val="24"/>
            <w:szCs w:val="24"/>
            <w:lang w:eastAsia="pt-BR"/>
          </w:rPr>
          <m:t>-P</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j</m:t>
                </m:r>
              </m:sub>
            </m:sSub>
          </m:e>
        </m:d>
        <m:r>
          <w:rPr>
            <w:rFonts w:ascii="Cambria Math" w:eastAsiaTheme="minorEastAsia" w:hAnsi="Cambria Math" w:cs="Times New Roman"/>
            <w:sz w:val="24"/>
            <w:szCs w:val="24"/>
            <w:lang w:eastAsia="pt-BR"/>
          </w:rPr>
          <m:t>|</m:t>
        </m:r>
      </m:oMath>
      <w:r w:rsidRPr="00CE31A5">
        <w:rPr>
          <w:rFonts w:ascii="Times New Roman" w:eastAsiaTheme="minorEastAsia" w:hAnsi="Times New Roman" w:cs="Times New Roman"/>
          <w:sz w:val="24"/>
          <w:szCs w:val="24"/>
          <w:lang w:eastAsia="pt-BR"/>
        </w:rPr>
        <w:t xml:space="preserve">. Na literatura foram identificadas diversas metodologias de pesos para a estimação do ATT utilizando propensity score matching: </w:t>
      </w:r>
      <w:r w:rsidRPr="00CE31A5">
        <w:rPr>
          <w:rFonts w:ascii="Times New Roman" w:eastAsiaTheme="minorEastAsia" w:hAnsi="Times New Roman" w:cs="Times New Roman"/>
          <w:i/>
          <w:sz w:val="24"/>
          <w:szCs w:val="24"/>
          <w:lang w:eastAsia="pt-BR"/>
        </w:rPr>
        <w:t xml:space="preserve">nearest-neighbor, radius, stratification, kernel </w:t>
      </w:r>
      <w:r w:rsidRPr="00CE31A5">
        <w:rPr>
          <w:rFonts w:ascii="Times New Roman" w:eastAsiaTheme="minorEastAsia" w:hAnsi="Times New Roman" w:cs="Times New Roman"/>
          <w:sz w:val="24"/>
          <w:szCs w:val="24"/>
          <w:lang w:eastAsia="pt-BR"/>
        </w:rPr>
        <w:t xml:space="preserve">e </w:t>
      </w:r>
      <w:r w:rsidRPr="00CE31A5">
        <w:rPr>
          <w:rFonts w:ascii="Times New Roman" w:eastAsiaTheme="minorEastAsia" w:hAnsi="Times New Roman" w:cs="Times New Roman"/>
          <w:i/>
          <w:sz w:val="24"/>
          <w:szCs w:val="24"/>
          <w:lang w:eastAsia="pt-BR"/>
        </w:rPr>
        <w:t>local linear matching</w:t>
      </w:r>
      <w:r w:rsidRPr="00CE31A5">
        <w:rPr>
          <w:rFonts w:ascii="Times New Roman" w:eastAsiaTheme="minorEastAsia" w:hAnsi="Times New Roman" w:cs="Times New Roman"/>
          <w:sz w:val="24"/>
          <w:szCs w:val="24"/>
          <w:lang w:eastAsia="pt-BR"/>
        </w:rPr>
        <w:t>. Becker e Ichino (2002) apresentam uma visão geral dos métodos focando no trade-</w:t>
      </w:r>
      <w:proofErr w:type="gramStart"/>
      <w:r w:rsidRPr="00CE31A5">
        <w:rPr>
          <w:rFonts w:ascii="Times New Roman" w:eastAsiaTheme="minorEastAsia" w:hAnsi="Times New Roman" w:cs="Times New Roman"/>
          <w:sz w:val="24"/>
          <w:szCs w:val="24"/>
          <w:lang w:eastAsia="pt-BR"/>
        </w:rPr>
        <w:t>off</w:t>
      </w:r>
      <w:proofErr w:type="gramEnd"/>
      <w:r w:rsidRPr="00CE31A5">
        <w:rPr>
          <w:rFonts w:ascii="Times New Roman" w:eastAsiaTheme="minorEastAsia" w:hAnsi="Times New Roman" w:cs="Times New Roman"/>
          <w:sz w:val="24"/>
          <w:szCs w:val="24"/>
          <w:lang w:eastAsia="pt-BR"/>
        </w:rPr>
        <w:t xml:space="preserve"> entre a qualidade e a quantidade de pareamentos:</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 método de estratificação consiste em dividir a distribuição de escore de propensão estimada em intervalos tal que em cada bloco unidades de tratamento e unidades de controle tenham em média o mesmo escore de propensão. Em seguida, dentro de cada intervalo, é computada a diferença das médias das variáveis de efeito de tratados e </w:t>
      </w:r>
      <w:proofErr w:type="gramStart"/>
      <w:r w:rsidRPr="00CE31A5">
        <w:rPr>
          <w:rFonts w:ascii="Times New Roman" w:eastAsiaTheme="minorEastAsia" w:hAnsi="Times New Roman" w:cs="Times New Roman"/>
          <w:sz w:val="24"/>
          <w:szCs w:val="24"/>
          <w:lang w:eastAsia="pt-BR"/>
        </w:rPr>
        <w:t>não-tratados</w:t>
      </w:r>
      <w:proofErr w:type="gramEnd"/>
      <w:r w:rsidRPr="00CE31A5">
        <w:rPr>
          <w:rFonts w:ascii="Times New Roman" w:eastAsiaTheme="minorEastAsia" w:hAnsi="Times New Roman" w:cs="Times New Roman"/>
          <w:sz w:val="24"/>
          <w:szCs w:val="24"/>
          <w:lang w:eastAsia="pt-BR"/>
        </w:rPr>
        <w:t xml:space="preserve">. O ATT do tratamento é obtido como uma média dos ATTs de cada bloco ponderada pelos pesos dados pela distribuição dos tratados em cada bloco. Pelo método de estratificação, caso haja blocos que não contenha observações de tratados e de </w:t>
      </w:r>
      <w:proofErr w:type="gramStart"/>
      <w:r w:rsidRPr="00CE31A5">
        <w:rPr>
          <w:rFonts w:ascii="Times New Roman" w:eastAsiaTheme="minorEastAsia" w:hAnsi="Times New Roman" w:cs="Times New Roman"/>
          <w:sz w:val="24"/>
          <w:szCs w:val="24"/>
          <w:lang w:eastAsia="pt-BR"/>
        </w:rPr>
        <w:t>não-tratados</w:t>
      </w:r>
      <w:proofErr w:type="gramEnd"/>
      <w:r w:rsidRPr="00CE31A5">
        <w:rPr>
          <w:rFonts w:ascii="Times New Roman" w:eastAsiaTheme="minorEastAsia" w:hAnsi="Times New Roman" w:cs="Times New Roman"/>
          <w:sz w:val="24"/>
          <w:szCs w:val="24"/>
          <w:lang w:eastAsia="pt-BR"/>
        </w:rPr>
        <w:t xml:space="preserve">, ou seja, caso contenha observações de apenas um dos grupos, esse bloco é descartado.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Esse problema é, em parte, resolvido pelo método de </w:t>
      </w:r>
      <w:r w:rsidRPr="00CE31A5">
        <w:rPr>
          <w:rFonts w:ascii="Times New Roman" w:eastAsiaTheme="minorEastAsia" w:hAnsi="Times New Roman" w:cs="Times New Roman"/>
          <w:i/>
          <w:sz w:val="24"/>
          <w:szCs w:val="24"/>
          <w:lang w:eastAsia="pt-BR"/>
        </w:rPr>
        <w:t>nearest-neighbor</w:t>
      </w:r>
      <w:r w:rsidRPr="00CE31A5">
        <w:rPr>
          <w:rFonts w:ascii="Times New Roman" w:eastAsiaTheme="minorEastAsia" w:hAnsi="Times New Roman" w:cs="Times New Roman"/>
          <w:sz w:val="24"/>
          <w:szCs w:val="24"/>
          <w:lang w:eastAsia="pt-BR"/>
        </w:rPr>
        <w:t>, vizinho mais próximo, que consiste em comparar cada unidade de tratamento com a unidade de controle com o escore de propensão mais próxim</w:t>
      </w:r>
      <w:r w:rsidR="00B94B91">
        <w:rPr>
          <w:rFonts w:ascii="Times New Roman" w:eastAsiaTheme="minorEastAsia" w:hAnsi="Times New Roman" w:cs="Times New Roman"/>
          <w:sz w:val="24"/>
          <w:szCs w:val="24"/>
          <w:lang w:eastAsia="pt-BR"/>
        </w:rPr>
        <w:t>o</w:t>
      </w:r>
      <w:r w:rsidRPr="00CE31A5">
        <w:rPr>
          <w:rFonts w:ascii="Times New Roman" w:eastAsiaTheme="minorEastAsia" w:hAnsi="Times New Roman" w:cs="Times New Roman"/>
          <w:sz w:val="24"/>
          <w:szCs w:val="24"/>
          <w:lang w:eastAsia="pt-BR"/>
        </w:rPr>
        <w:t xml:space="preserve">. Assim que cada unidade de tratamento é pareada com uma unidade de controle, o ATT é obtido pela média das diferenças nas variáveis de interesse entre tratados e </w:t>
      </w:r>
      <w:proofErr w:type="gramStart"/>
      <w:r w:rsidRPr="00CE31A5">
        <w:rPr>
          <w:rFonts w:ascii="Times New Roman" w:eastAsiaTheme="minorEastAsia" w:hAnsi="Times New Roman" w:cs="Times New Roman"/>
          <w:sz w:val="24"/>
          <w:szCs w:val="24"/>
          <w:lang w:eastAsia="pt-BR"/>
        </w:rPr>
        <w:t>não-</w:t>
      </w:r>
      <w:r w:rsidR="00840172">
        <w:rPr>
          <w:rFonts w:ascii="Times New Roman" w:eastAsiaTheme="minorEastAsia" w:hAnsi="Times New Roman" w:cs="Times New Roman"/>
          <w:sz w:val="24"/>
          <w:szCs w:val="24"/>
          <w:lang w:eastAsia="pt-BR"/>
        </w:rPr>
        <w:t>tratados</w:t>
      </w:r>
      <w:proofErr w:type="gramEnd"/>
      <w:r w:rsidR="00840172">
        <w:rPr>
          <w:rFonts w:ascii="Times New Roman" w:eastAsiaTheme="minorEastAsia" w:hAnsi="Times New Roman" w:cs="Times New Roman"/>
          <w:sz w:val="24"/>
          <w:szCs w:val="24"/>
          <w:lang w:eastAsia="pt-BR"/>
        </w:rPr>
        <w:t>. Por esse método, toda</w:t>
      </w:r>
      <w:r w:rsidRPr="00CE31A5">
        <w:rPr>
          <w:rFonts w:ascii="Times New Roman" w:eastAsiaTheme="minorEastAsia" w:hAnsi="Times New Roman" w:cs="Times New Roman"/>
          <w:sz w:val="24"/>
          <w:szCs w:val="24"/>
          <w:lang w:eastAsia="pt-BR"/>
        </w:rPr>
        <w:t xml:space="preserve"> unidade de tratamento é pareada com uma unidade de controle, mas esse pareamento pode acabar ocorrendo entre valores muito distantes de escore de propensão, não representando um contrafactual bem construído. Esse é um problema solucionado pelos métodos de pareamento </w:t>
      </w:r>
      <w:r w:rsidRPr="00CE31A5">
        <w:rPr>
          <w:rFonts w:ascii="Times New Roman" w:eastAsiaTheme="minorEastAsia" w:hAnsi="Times New Roman" w:cs="Times New Roman"/>
          <w:i/>
          <w:sz w:val="24"/>
          <w:szCs w:val="24"/>
          <w:lang w:eastAsia="pt-BR"/>
        </w:rPr>
        <w:t xml:space="preserve">radius </w:t>
      </w:r>
      <w:r w:rsidRPr="00CE31A5">
        <w:rPr>
          <w:rFonts w:ascii="Times New Roman" w:eastAsiaTheme="minorEastAsia" w:hAnsi="Times New Roman" w:cs="Times New Roman"/>
          <w:sz w:val="24"/>
          <w:szCs w:val="24"/>
          <w:lang w:eastAsia="pt-BR"/>
        </w:rPr>
        <w:t xml:space="preserve">e </w:t>
      </w:r>
      <w:r w:rsidRPr="00CE31A5">
        <w:rPr>
          <w:rFonts w:ascii="Times New Roman" w:eastAsiaTheme="minorEastAsia" w:hAnsi="Times New Roman" w:cs="Times New Roman"/>
          <w:i/>
          <w:sz w:val="24"/>
          <w:szCs w:val="24"/>
          <w:lang w:eastAsia="pt-BR"/>
        </w:rPr>
        <w:t>kernel.</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 método </w:t>
      </w:r>
      <w:r w:rsidRPr="00CE31A5">
        <w:rPr>
          <w:rFonts w:ascii="Times New Roman" w:eastAsiaTheme="minorEastAsia" w:hAnsi="Times New Roman" w:cs="Times New Roman"/>
          <w:i/>
          <w:sz w:val="24"/>
          <w:szCs w:val="24"/>
          <w:lang w:eastAsia="pt-BR"/>
        </w:rPr>
        <w:t>radius</w:t>
      </w:r>
      <w:r w:rsidRPr="00CE31A5">
        <w:rPr>
          <w:rFonts w:ascii="Times New Roman" w:eastAsiaTheme="minorEastAsia" w:hAnsi="Times New Roman" w:cs="Times New Roman"/>
          <w:sz w:val="24"/>
          <w:szCs w:val="24"/>
          <w:lang w:eastAsia="pt-BR"/>
        </w:rPr>
        <w:t xml:space="preserve"> consiste em determinar uma vizinhança do escore de propensão de cada unidade de tratamento e parear com unidades de controle que pertençam a essa vizinhança. Quanto menor o raio da vizinhança, o pareamento é feito com melhor qualidade. No entanto, com o raio menor, mais provável que algumas unidades de tratamento não sejam pareadas, já que pode não haver nenhuma unidade de controle pertencente à vizinhança determinada.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Pelo método </w:t>
      </w:r>
      <w:r w:rsidRPr="00CE31A5">
        <w:rPr>
          <w:rFonts w:ascii="Times New Roman" w:eastAsiaTheme="minorEastAsia" w:hAnsi="Times New Roman" w:cs="Times New Roman"/>
          <w:i/>
          <w:sz w:val="24"/>
          <w:szCs w:val="24"/>
          <w:lang w:eastAsia="pt-BR"/>
        </w:rPr>
        <w:t>kernel</w:t>
      </w:r>
      <w:r w:rsidRPr="00CE31A5">
        <w:rPr>
          <w:rFonts w:ascii="Times New Roman" w:eastAsiaTheme="minorEastAsia" w:hAnsi="Times New Roman" w:cs="Times New Roman"/>
          <w:sz w:val="24"/>
          <w:szCs w:val="24"/>
          <w:lang w:eastAsia="pt-BR"/>
        </w:rPr>
        <w:t xml:space="preserve">, todas as unidades de tratamento são pareadas com uma média ponderada de todas as unidades de controle, em que os pesos utilizados são inversamente proporcionais à distância entre os valores do escore de propensão dos tratados e dos </w:t>
      </w:r>
      <w:proofErr w:type="gramStart"/>
      <w:r w:rsidRPr="00CE31A5">
        <w:rPr>
          <w:rFonts w:ascii="Times New Roman" w:eastAsiaTheme="minorEastAsia" w:hAnsi="Times New Roman" w:cs="Times New Roman"/>
          <w:sz w:val="24"/>
          <w:szCs w:val="24"/>
          <w:lang w:eastAsia="pt-BR"/>
        </w:rPr>
        <w:t>não-tratados</w:t>
      </w:r>
      <w:proofErr w:type="gramEnd"/>
      <w:r w:rsidRPr="00CE31A5">
        <w:rPr>
          <w:rFonts w:ascii="Times New Roman" w:eastAsiaTheme="minorEastAsia" w:hAnsi="Times New Roman" w:cs="Times New Roman"/>
          <w:sz w:val="24"/>
          <w:szCs w:val="24"/>
          <w:lang w:eastAsia="pt-BR"/>
        </w:rPr>
        <w:t xml:space="preserve">: </w:t>
      </w:r>
    </w:p>
    <w:p w:rsidR="00CA5846" w:rsidRPr="00CE31A5" w:rsidRDefault="00865A14" w:rsidP="00E263F8">
      <w:pPr>
        <w:spacing w:line="240" w:lineRule="auto"/>
        <w:ind w:firstLine="709"/>
        <w:contextualSpacing/>
        <w:jc w:val="both"/>
        <w:rPr>
          <w:rFonts w:ascii="Times New Roman" w:eastAsiaTheme="minorEastAsia" w:hAnsi="Times New Roman" w:cs="Times New Roman"/>
          <w:sz w:val="24"/>
          <w:szCs w:val="24"/>
          <w:lang w:eastAsia="pt-BR"/>
        </w:rPr>
      </w:pPr>
      <m:oMathPara>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ω(i,j)</m:t>
              </m:r>
            </m:e>
            <m:sub>
              <m:r>
                <w:rPr>
                  <w:rFonts w:ascii="Cambria Math" w:eastAsiaTheme="minorEastAsia" w:hAnsi="Cambria Math" w:cs="Times New Roman"/>
                  <w:sz w:val="24"/>
                  <w:szCs w:val="24"/>
                  <w:lang w:eastAsia="pt-BR"/>
                </w:rPr>
                <m:t>Kernel</m:t>
              </m:r>
            </m:sub>
          </m:sSub>
          <m:r>
            <w:rPr>
              <w:rFonts w:ascii="Cambria Math" w:eastAsiaTheme="minorEastAsia" w:hAnsi="Cambria Math" w:cs="Times New Roman"/>
              <w:sz w:val="24"/>
              <w:szCs w:val="24"/>
              <w:lang w:eastAsia="pt-BR"/>
            </w:rPr>
            <m:t>=</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K</m:t>
              </m:r>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j</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i</m:t>
                          </m:r>
                        </m:sub>
                      </m:sSub>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α</m:t>
                          </m:r>
                        </m:e>
                        <m:sub>
                          <m:r>
                            <w:rPr>
                              <w:rFonts w:ascii="Cambria Math" w:eastAsiaTheme="minorEastAsia" w:hAnsi="Cambria Math" w:cs="Times New Roman"/>
                              <w:sz w:val="24"/>
                              <w:szCs w:val="24"/>
                              <w:lang w:eastAsia="pt-BR"/>
                            </w:rPr>
                            <m:t>n</m:t>
                          </m:r>
                        </m:sub>
                      </m:sSub>
                    </m:den>
                  </m:f>
                </m:e>
              </m:d>
            </m:num>
            <m:den>
              <m:nary>
                <m:naryPr>
                  <m:chr m:val="∑"/>
                  <m:limLoc m:val="undOvr"/>
                  <m:supHide m:val="1"/>
                  <m:ctrlPr>
                    <w:rPr>
                      <w:rFonts w:ascii="Cambria Math" w:eastAsiaTheme="minorEastAsia" w:hAnsi="Cambria Math" w:cs="Times New Roman"/>
                      <w:i/>
                      <w:sz w:val="24"/>
                      <w:szCs w:val="24"/>
                      <w:lang w:eastAsia="pt-BR"/>
                    </w:rPr>
                  </m:ctrlPr>
                </m:naryPr>
                <m:sub>
                  <m:r>
                    <w:rPr>
                      <w:rFonts w:ascii="Cambria Math" w:eastAsiaTheme="minorEastAsia" w:hAnsi="Cambria Math" w:cs="Times New Roman"/>
                      <w:sz w:val="24"/>
                      <w:szCs w:val="24"/>
                      <w:lang w:eastAsia="pt-BR"/>
                    </w:rPr>
                    <m:t>k∈C</m:t>
                  </m:r>
                </m:sub>
                <m:sup/>
                <m:e>
                  <m:r>
                    <w:rPr>
                      <w:rFonts w:ascii="Cambria Math" w:eastAsiaTheme="minorEastAsia" w:hAnsi="Cambria Math" w:cs="Times New Roman"/>
                      <w:sz w:val="24"/>
                      <w:szCs w:val="24"/>
                      <w:lang w:eastAsia="pt-BR"/>
                    </w:rPr>
                    <m:t>K</m:t>
                  </m:r>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k</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i</m:t>
                              </m:r>
                            </m:sub>
                          </m:sSub>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α</m:t>
                              </m:r>
                            </m:e>
                            <m:sub>
                              <m:r>
                                <w:rPr>
                                  <w:rFonts w:ascii="Cambria Math" w:eastAsiaTheme="minorEastAsia" w:hAnsi="Cambria Math" w:cs="Times New Roman"/>
                                  <w:sz w:val="24"/>
                                  <w:szCs w:val="24"/>
                                  <w:lang w:eastAsia="pt-BR"/>
                                </w:rPr>
                                <m:t>n</m:t>
                              </m:r>
                            </m:sub>
                          </m:sSub>
                        </m:den>
                      </m:f>
                    </m:e>
                  </m:d>
                </m:e>
              </m:nary>
            </m:den>
          </m:f>
        </m:oMath>
      </m:oMathPara>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Onde </w:t>
      </w:r>
      <m:oMath>
        <m:r>
          <w:rPr>
            <w:rFonts w:ascii="Cambria Math" w:eastAsiaTheme="minorEastAsia" w:hAnsi="Cambria Math" w:cs="Times New Roman"/>
            <w:sz w:val="24"/>
            <w:szCs w:val="24"/>
            <w:lang w:eastAsia="pt-BR"/>
          </w:rPr>
          <m:t>K(∙)</m:t>
        </m:r>
      </m:oMath>
      <w:r w:rsidRPr="00CE31A5">
        <w:rPr>
          <w:rFonts w:ascii="Times New Roman" w:eastAsiaTheme="minorEastAsia" w:hAnsi="Times New Roman" w:cs="Times New Roman"/>
          <w:sz w:val="24"/>
          <w:szCs w:val="24"/>
          <w:lang w:eastAsia="pt-BR"/>
        </w:rPr>
        <w:t xml:space="preserve"> representa uma função kernel 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α</m:t>
            </m:r>
          </m:e>
          <m:sub>
            <m:r>
              <w:rPr>
                <w:rFonts w:ascii="Cambria Math" w:eastAsiaTheme="minorEastAsia" w:hAnsi="Cambria Math" w:cs="Times New Roman"/>
                <w:sz w:val="24"/>
                <w:szCs w:val="24"/>
                <w:lang w:eastAsia="pt-BR"/>
              </w:rPr>
              <m:t>n</m:t>
            </m:r>
          </m:sub>
        </m:sSub>
      </m:oMath>
      <w:r w:rsidRPr="00CE31A5">
        <w:rPr>
          <w:rFonts w:ascii="Times New Roman" w:eastAsiaTheme="minorEastAsia" w:hAnsi="Times New Roman" w:cs="Times New Roman"/>
          <w:sz w:val="24"/>
          <w:szCs w:val="24"/>
          <w:lang w:eastAsia="pt-BR"/>
        </w:rPr>
        <w:t xml:space="preserve"> é o um parâmetro denominado </w:t>
      </w:r>
      <w:r w:rsidRPr="00CE31A5">
        <w:rPr>
          <w:rFonts w:ascii="Times New Roman" w:eastAsiaTheme="minorEastAsia" w:hAnsi="Times New Roman" w:cs="Times New Roman"/>
          <w:i/>
          <w:sz w:val="24"/>
          <w:szCs w:val="24"/>
          <w:lang w:eastAsia="pt-BR"/>
        </w:rPr>
        <w:t>janela</w:t>
      </w:r>
      <w:r w:rsidRPr="00CE31A5">
        <w:rPr>
          <w:rFonts w:ascii="Times New Roman" w:eastAsiaTheme="minorEastAsia" w:hAnsi="Times New Roman" w:cs="Times New Roman"/>
          <w:sz w:val="24"/>
          <w:szCs w:val="24"/>
          <w:lang w:eastAsia="pt-BR"/>
        </w:rPr>
        <w:t>.</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Outro ponto importante a ser analisado é quanto às quais variáveis incluir no vetor de controle, </w:t>
      </w:r>
      <m:oMath>
        <m:r>
          <w:rPr>
            <w:rFonts w:ascii="Cambria Math" w:eastAsiaTheme="minorEastAsia" w:hAnsi="Cambria Math" w:cs="Times New Roman"/>
            <w:sz w:val="24"/>
            <w:szCs w:val="24"/>
            <w:lang w:eastAsia="pt-BR"/>
          </w:rPr>
          <m:t>X</m:t>
        </m:r>
      </m:oMath>
      <w:r w:rsidRPr="00CE31A5">
        <w:rPr>
          <w:rFonts w:ascii="Times New Roman" w:eastAsiaTheme="minorEastAsia" w:hAnsi="Times New Roman" w:cs="Times New Roman"/>
          <w:sz w:val="24"/>
          <w:szCs w:val="24"/>
          <w:lang w:eastAsia="pt-BR"/>
        </w:rPr>
        <w:t xml:space="preserve">. Segundo Ravaillon (2008), elas devem ser </w:t>
      </w:r>
      <w:r w:rsidR="00865A14">
        <w:rPr>
          <w:rFonts w:ascii="Times New Roman" w:eastAsiaTheme="minorEastAsia" w:hAnsi="Times New Roman" w:cs="Times New Roman"/>
          <w:sz w:val="24"/>
          <w:szCs w:val="24"/>
          <w:lang w:eastAsia="pt-BR"/>
        </w:rPr>
        <w:t xml:space="preserve">tanto </w:t>
      </w:r>
      <w:r w:rsidRPr="00CE31A5">
        <w:rPr>
          <w:rFonts w:ascii="Times New Roman" w:eastAsiaTheme="minorEastAsia" w:hAnsi="Times New Roman" w:cs="Times New Roman"/>
          <w:sz w:val="24"/>
          <w:szCs w:val="24"/>
          <w:lang w:eastAsia="pt-BR"/>
        </w:rPr>
        <w:t>relevantes para a designação e participação no tratamento, levando em consideração os fatores econômicos, sociais e políticos do programa e do contexto</w:t>
      </w:r>
      <w:r w:rsidR="00865A14">
        <w:rPr>
          <w:rFonts w:ascii="Times New Roman" w:eastAsiaTheme="minorEastAsia" w:hAnsi="Times New Roman" w:cs="Times New Roman"/>
          <w:sz w:val="24"/>
          <w:szCs w:val="24"/>
          <w:lang w:eastAsia="pt-BR"/>
        </w:rPr>
        <w:t xml:space="preserve"> em que ela está inserida</w:t>
      </w:r>
      <w:r w:rsidRPr="00865A14">
        <w:rPr>
          <w:rFonts w:ascii="Times New Roman" w:eastAsiaTheme="minorEastAsia" w:hAnsi="Times New Roman" w:cs="Times New Roman"/>
          <w:sz w:val="24"/>
          <w:szCs w:val="24"/>
          <w:lang w:eastAsia="pt-BR"/>
        </w:rPr>
        <w:t xml:space="preserve">, </w:t>
      </w:r>
      <w:r w:rsidR="00865A14" w:rsidRPr="00865A14">
        <w:rPr>
          <w:rFonts w:ascii="Times New Roman" w:eastAsiaTheme="minorEastAsia" w:hAnsi="Times New Roman" w:cs="Times New Roman"/>
          <w:sz w:val="24"/>
          <w:szCs w:val="24"/>
          <w:lang w:eastAsia="pt-BR"/>
        </w:rPr>
        <w:t>quanto</w:t>
      </w:r>
      <w:r w:rsidRPr="00865A14">
        <w:rPr>
          <w:rFonts w:ascii="Times New Roman" w:eastAsiaTheme="minorEastAsia" w:hAnsi="Times New Roman" w:cs="Times New Roman"/>
          <w:sz w:val="24"/>
          <w:szCs w:val="24"/>
          <w:lang w:eastAsia="pt-BR"/>
        </w:rPr>
        <w:t xml:space="preserve"> devem ser relacionadas</w:t>
      </w:r>
      <w:r w:rsidR="00865A14">
        <w:rPr>
          <w:rFonts w:ascii="Times New Roman" w:eastAsiaTheme="minorEastAsia" w:hAnsi="Times New Roman" w:cs="Times New Roman"/>
          <w:sz w:val="24"/>
          <w:szCs w:val="24"/>
          <w:lang w:eastAsia="pt-BR"/>
        </w:rPr>
        <w:t>, também,</w:t>
      </w:r>
      <w:r w:rsidRPr="00865A14">
        <w:rPr>
          <w:rFonts w:ascii="Times New Roman" w:eastAsiaTheme="minorEastAsia" w:hAnsi="Times New Roman" w:cs="Times New Roman"/>
          <w:sz w:val="24"/>
          <w:szCs w:val="24"/>
          <w:lang w:eastAsia="pt-BR"/>
        </w:rPr>
        <w:t xml:space="preserve"> </w:t>
      </w:r>
      <w:r w:rsidR="00865A14" w:rsidRPr="00865A14">
        <w:rPr>
          <w:rFonts w:ascii="Times New Roman" w:eastAsiaTheme="minorEastAsia" w:hAnsi="Times New Roman" w:cs="Times New Roman"/>
          <w:sz w:val="24"/>
          <w:szCs w:val="24"/>
          <w:lang w:eastAsia="pt-BR"/>
        </w:rPr>
        <w:t>às variáveis de</w:t>
      </w:r>
      <w:r w:rsidRPr="00865A14">
        <w:rPr>
          <w:rFonts w:ascii="Times New Roman" w:eastAsiaTheme="minorEastAsia" w:hAnsi="Times New Roman" w:cs="Times New Roman"/>
          <w:sz w:val="24"/>
          <w:szCs w:val="24"/>
          <w:lang w:eastAsia="pt-BR"/>
        </w:rPr>
        <w:t xml:space="preserve"> resultado</w:t>
      </w:r>
      <w:r w:rsidR="00865A14" w:rsidRPr="00865A14">
        <w:rPr>
          <w:rFonts w:ascii="Times New Roman" w:eastAsiaTheme="minorEastAsia" w:hAnsi="Times New Roman" w:cs="Times New Roman"/>
          <w:sz w:val="24"/>
          <w:szCs w:val="24"/>
          <w:lang w:eastAsia="pt-BR"/>
        </w:rPr>
        <w:t>, cujos impactos se desejam mensurar.</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Dessa forma, o método de pareamento por escore de propensão depende do grau em que as características observadas explicam a participação no programa. Esse método pode fornecer uma boa estimação do efeito causal do tratamento se puder considerar insignificante o viés gerado pelas características </w:t>
      </w:r>
      <w:proofErr w:type="gramStart"/>
      <w:r w:rsidRPr="00CE31A5">
        <w:rPr>
          <w:rFonts w:ascii="Times New Roman" w:eastAsiaTheme="minorEastAsia" w:hAnsi="Times New Roman" w:cs="Times New Roman"/>
          <w:sz w:val="24"/>
          <w:szCs w:val="24"/>
          <w:lang w:eastAsia="pt-BR"/>
        </w:rPr>
        <w:t>não-observáveis</w:t>
      </w:r>
      <w:proofErr w:type="gramEnd"/>
      <w:r w:rsidRPr="00CE31A5">
        <w:rPr>
          <w:rFonts w:ascii="Times New Roman" w:eastAsiaTheme="minorEastAsia" w:hAnsi="Times New Roman" w:cs="Times New Roman"/>
          <w:sz w:val="24"/>
          <w:szCs w:val="24"/>
          <w:lang w:eastAsia="pt-BR"/>
        </w:rPr>
        <w:t xml:space="preserve">. </w:t>
      </w:r>
    </w:p>
    <w:p w:rsidR="000A5FB9" w:rsidRDefault="000A5FB9" w:rsidP="00A254A4">
      <w:pPr>
        <w:spacing w:after="0" w:line="240" w:lineRule="auto"/>
        <w:rPr>
          <w:rFonts w:ascii="Times New Roman" w:eastAsiaTheme="minorEastAsia" w:hAnsi="Times New Roman" w:cs="Times New Roman"/>
          <w:b/>
          <w:sz w:val="24"/>
          <w:szCs w:val="24"/>
          <w:lang w:eastAsia="pt-BR"/>
        </w:rPr>
      </w:pPr>
      <w:bookmarkStart w:id="49" w:name="_Toc350977046"/>
      <w:bookmarkStart w:id="50" w:name="_Toc362259571"/>
    </w:p>
    <w:p w:rsidR="00CE31A5" w:rsidRPr="00840172" w:rsidRDefault="00CA5846" w:rsidP="00A254A4">
      <w:pPr>
        <w:spacing w:after="0" w:line="240" w:lineRule="auto"/>
        <w:rPr>
          <w:rFonts w:ascii="Times New Roman" w:eastAsiaTheme="minorEastAsia" w:hAnsi="Times New Roman" w:cs="Times New Roman"/>
          <w:b/>
          <w:sz w:val="24"/>
          <w:szCs w:val="24"/>
          <w:lang w:eastAsia="pt-BR"/>
        </w:rPr>
      </w:pPr>
      <w:r w:rsidRPr="00CE31A5">
        <w:rPr>
          <w:rFonts w:ascii="Times New Roman" w:eastAsiaTheme="minorEastAsia" w:hAnsi="Times New Roman" w:cs="Times New Roman"/>
          <w:b/>
          <w:sz w:val="24"/>
          <w:szCs w:val="24"/>
          <w:lang w:eastAsia="pt-BR"/>
        </w:rPr>
        <w:t>Investigação Empírica</w:t>
      </w:r>
      <w:bookmarkEnd w:id="49"/>
      <w:bookmarkEnd w:id="50"/>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 base de dados utilizada neste trabalho é proveniente da Pesquisa Socioeconômica em Territórios de Vulnerabilidade Social no Distrito Federal realizada pelo Departamento Intersindical de Estatística e </w:t>
      </w:r>
      <w:r w:rsidRPr="00CE31A5">
        <w:rPr>
          <w:rFonts w:ascii="Times New Roman" w:eastAsiaTheme="minorEastAsia" w:hAnsi="Times New Roman" w:cs="Times New Roman"/>
          <w:sz w:val="24"/>
          <w:szCs w:val="24"/>
          <w:lang w:eastAsia="pt-BR"/>
        </w:rPr>
        <w:lastRenderedPageBreak/>
        <w:t xml:space="preserve">Estudos Socioeconômicos – DIEESE – entre agosto e dezembro de 2010. A pesquisa, contratada pela Secretaria de Desenvolvimento Social e Transferência de Renda do Distrito Federal (SEDEST) tem como objetivo “identificar os Territórios de Vulnerabilidade Social existentes no Distrito Federal e, em cada um deles, quantificar e caracterizar os perfis demográficos, educacional, de ocupação e de rendimento de suas respectivas populações”.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 pesquisa teve como universo-alvo os “domicílios pertencentes às Regiões Administrativas do DF que apresentam percentagens elevadas de incidência de beneficiários do Programa Bolsa-Família” conjuntamente com os domicílios relacionados pela SEDEST como pertencentes às Áreas de Vulnerabilidade Social que não tenham sido considerados pela delimitação anterio</w:t>
      </w:r>
      <w:r w:rsidR="00ED2C5F">
        <w:rPr>
          <w:rFonts w:ascii="Times New Roman" w:eastAsiaTheme="minorEastAsia" w:hAnsi="Times New Roman" w:cs="Times New Roman"/>
          <w:sz w:val="24"/>
          <w:szCs w:val="24"/>
          <w:lang w:eastAsia="pt-BR"/>
        </w:rPr>
        <w:t>r. Por serem consideradas áreas</w:t>
      </w:r>
      <w:r w:rsidRPr="00CE31A5">
        <w:rPr>
          <w:rFonts w:ascii="Times New Roman" w:eastAsiaTheme="minorEastAsia" w:hAnsi="Times New Roman" w:cs="Times New Roman"/>
          <w:sz w:val="24"/>
          <w:szCs w:val="24"/>
          <w:lang w:eastAsia="pt-BR"/>
        </w:rPr>
        <w:t xml:space="preserve"> nobres, algumas localidades foram descartadas: Plano Piloto, Lago Sul, Lago Norte, Cruzeiro, Sudoeste, Octogonal, Park Way, Jardim Botânico e Águas Claras. Com essas delimitações, foi obtido um universo da ordem de 500 mil domicílios. Realizando uma amostragem estratificada sem repetição, foram escolhidos 19.700 domicílios, dos quais 8.395 responderam ao questionário.</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840172" w:rsidRDefault="00CA5846" w:rsidP="00A254A4">
      <w:pPr>
        <w:spacing w:after="0"/>
        <w:rPr>
          <w:rFonts w:ascii="Times New Roman" w:eastAsiaTheme="minorEastAsia" w:hAnsi="Times New Roman" w:cs="Times New Roman"/>
          <w:b/>
          <w:sz w:val="24"/>
          <w:szCs w:val="24"/>
          <w:lang w:eastAsia="pt-BR"/>
        </w:rPr>
      </w:pPr>
      <w:bookmarkStart w:id="51" w:name="_Toc350977048"/>
      <w:bookmarkStart w:id="52" w:name="_Toc362259573"/>
      <w:r w:rsidRPr="00840172">
        <w:rPr>
          <w:rFonts w:ascii="Times New Roman" w:eastAsiaTheme="minorEastAsia" w:hAnsi="Times New Roman" w:cs="Times New Roman"/>
          <w:b/>
          <w:sz w:val="24"/>
          <w:szCs w:val="24"/>
          <w:lang w:eastAsia="pt-BR"/>
        </w:rPr>
        <w:t>Grupos de Tratamento e de Controle</w:t>
      </w:r>
      <w:bookmarkEnd w:id="51"/>
      <w:bookmarkEnd w:id="52"/>
    </w:p>
    <w:p w:rsidR="00CA5846" w:rsidRPr="00CE31A5" w:rsidRDefault="00CA5846" w:rsidP="00A254A4">
      <w:pPr>
        <w:spacing w:after="0" w:line="240" w:lineRule="auto"/>
        <w:ind w:firstLine="709"/>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 primeira etapa para a defini</w:t>
      </w:r>
      <w:r w:rsidR="00ED2C5F">
        <w:rPr>
          <w:rFonts w:ascii="Times New Roman" w:eastAsiaTheme="minorEastAsia" w:hAnsi="Times New Roman" w:cs="Times New Roman"/>
          <w:sz w:val="24"/>
          <w:szCs w:val="24"/>
          <w:lang w:eastAsia="pt-BR"/>
        </w:rPr>
        <w:t xml:space="preserve">ção dos grupos de tratamento e </w:t>
      </w:r>
      <w:r w:rsidRPr="00CE31A5">
        <w:rPr>
          <w:rFonts w:ascii="Times New Roman" w:eastAsiaTheme="minorEastAsia" w:hAnsi="Times New Roman" w:cs="Times New Roman"/>
          <w:sz w:val="24"/>
          <w:szCs w:val="24"/>
          <w:lang w:eastAsia="pt-BR"/>
        </w:rPr>
        <w:t>de controle é identificar quais domicílios pertencem a uma ARIS. De posse dos códigos dos setores censitários selecionados para a amostragem e do m</w:t>
      </w:r>
      <w:r w:rsidR="00B2118C">
        <w:rPr>
          <w:rFonts w:ascii="Times New Roman" w:eastAsiaTheme="minorEastAsia" w:hAnsi="Times New Roman" w:cs="Times New Roman"/>
          <w:sz w:val="24"/>
          <w:szCs w:val="24"/>
          <w:lang w:eastAsia="pt-BR"/>
        </w:rPr>
        <w:t xml:space="preserve">apa das áreas de regularização </w:t>
      </w:r>
      <w:r w:rsidRPr="00CE31A5">
        <w:rPr>
          <w:rFonts w:ascii="Times New Roman" w:eastAsiaTheme="minorEastAsia" w:hAnsi="Times New Roman" w:cs="Times New Roman"/>
          <w:sz w:val="24"/>
          <w:szCs w:val="24"/>
          <w:lang w:eastAsia="pt-BR"/>
        </w:rPr>
        <w:t>do Distrito Federal presente no PDOT/2010, foram identificados 14</w:t>
      </w:r>
      <w:r w:rsidR="00B2118C">
        <w:rPr>
          <w:rFonts w:ascii="Times New Roman" w:eastAsiaTheme="minorEastAsia" w:hAnsi="Times New Roman" w:cs="Times New Roman"/>
          <w:sz w:val="24"/>
          <w:szCs w:val="24"/>
          <w:lang w:eastAsia="pt-BR"/>
        </w:rPr>
        <w:t>98 domicílios do banco de dados</w:t>
      </w:r>
      <w:r w:rsidRPr="00CE31A5">
        <w:rPr>
          <w:rFonts w:ascii="Times New Roman" w:eastAsiaTheme="minorEastAsia" w:hAnsi="Times New Roman" w:cs="Times New Roman"/>
          <w:sz w:val="24"/>
          <w:szCs w:val="24"/>
          <w:lang w:eastAsia="pt-BR"/>
        </w:rPr>
        <w:t xml:space="preserve"> em ARIS – em regiões como Estrutural, Varjão, Itapoã, Brazlândia, Planaltina e outras.</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Como o escopo da pesquisa está centrado na posse dos direitos de propriedade, não foram considerados os domicílios que não são próprios, como os alugados e os cedidos. Além disso, sendo o tempo de residência no Distrito Federal um dos critérios de elegibilidade do programa, foram selecionados os domicílios cujo chefe já residia no Distrito Federal há pelo menos cinco anos.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 construção da variável que define os grupos de tratamento e de controle foi feita utilizando-se duas perguntas do questionário. Uma questionava se o chefe de domicílio tinha o documento do imóvel com a possibilidade de três respostas: que não tinha; que tinha, mas não registrado em cartório; ou que tinha o documento registrado no cartório. Outra questionava se o terreno onde </w:t>
      </w:r>
      <w:r w:rsidR="00F710FB">
        <w:rPr>
          <w:rFonts w:ascii="Times New Roman" w:eastAsiaTheme="minorEastAsia" w:hAnsi="Times New Roman" w:cs="Times New Roman"/>
          <w:sz w:val="24"/>
          <w:szCs w:val="24"/>
          <w:lang w:eastAsia="pt-BR"/>
        </w:rPr>
        <w:t xml:space="preserve">se </w:t>
      </w:r>
      <w:r w:rsidRPr="00CE31A5">
        <w:rPr>
          <w:rFonts w:ascii="Times New Roman" w:eastAsiaTheme="minorEastAsia" w:hAnsi="Times New Roman" w:cs="Times New Roman"/>
          <w:sz w:val="24"/>
          <w:szCs w:val="24"/>
          <w:lang w:eastAsia="pt-BR"/>
        </w:rPr>
        <w:t xml:space="preserve">localizava o domicílio estava regularizado. No caso de domicílios localizados em Áreas de Regularização, o documento do imóvel pode ser um termo de compra e </w:t>
      </w:r>
      <w:proofErr w:type="gramStart"/>
      <w:r w:rsidRPr="00CE31A5">
        <w:rPr>
          <w:rFonts w:ascii="Times New Roman" w:eastAsiaTheme="minorEastAsia" w:hAnsi="Times New Roman" w:cs="Times New Roman"/>
          <w:sz w:val="24"/>
          <w:szCs w:val="24"/>
          <w:lang w:eastAsia="pt-BR"/>
        </w:rPr>
        <w:t>venda,</w:t>
      </w:r>
      <w:proofErr w:type="gramEnd"/>
      <w:r w:rsidRPr="00CE31A5">
        <w:rPr>
          <w:rFonts w:ascii="Times New Roman" w:eastAsiaTheme="minorEastAsia" w:hAnsi="Times New Roman" w:cs="Times New Roman"/>
          <w:sz w:val="24"/>
          <w:szCs w:val="24"/>
          <w:lang w:eastAsia="pt-BR"/>
        </w:rPr>
        <w:t xml:space="preserve"> uma concessão de uso para fins de moradia ou outro documento que ajude na prova de que a propriedade está no nome do morador, como uma conta de água ou de energia, mas este não é a escritura definitiva que determina o direito </w:t>
      </w:r>
      <w:r w:rsidRPr="00CE31A5">
        <w:rPr>
          <w:rFonts w:ascii="Times New Roman" w:eastAsiaTheme="minorEastAsia" w:hAnsi="Times New Roman" w:cs="Times New Roman"/>
          <w:i/>
          <w:sz w:val="24"/>
          <w:szCs w:val="24"/>
          <w:lang w:eastAsia="pt-BR"/>
        </w:rPr>
        <w:t>de jure</w:t>
      </w:r>
      <w:r w:rsidRPr="00CE31A5">
        <w:rPr>
          <w:rFonts w:ascii="Times New Roman" w:eastAsiaTheme="minorEastAsia" w:hAnsi="Times New Roman" w:cs="Times New Roman"/>
          <w:sz w:val="24"/>
          <w:szCs w:val="24"/>
          <w:lang w:eastAsia="pt-BR"/>
        </w:rPr>
        <w:t xml:space="preserve"> da propriedade. A segunda pergunta pode estar relacionada à percepção dos moradores quanto à segurança da posse. Existem moradores que, apesar de terem respondido que possuem algum documento do imóvel, responderam não morar em um terreno regularizado. Isso indica que o documento que tais moradores possuem é precário e não promovem segurança fundiária aos seus domicílios. Por outro lado, existem domicílios sem documento do imóvel, mas que </w:t>
      </w:r>
      <w:proofErr w:type="gramStart"/>
      <w:r w:rsidRPr="00CE31A5">
        <w:rPr>
          <w:rFonts w:ascii="Times New Roman" w:eastAsiaTheme="minorEastAsia" w:hAnsi="Times New Roman" w:cs="Times New Roman"/>
          <w:sz w:val="24"/>
          <w:szCs w:val="24"/>
          <w:lang w:eastAsia="pt-BR"/>
        </w:rPr>
        <w:t>responderam</w:t>
      </w:r>
      <w:proofErr w:type="gramEnd"/>
      <w:r w:rsidRPr="00CE31A5">
        <w:rPr>
          <w:rFonts w:ascii="Times New Roman" w:eastAsiaTheme="minorEastAsia" w:hAnsi="Times New Roman" w:cs="Times New Roman"/>
          <w:sz w:val="24"/>
          <w:szCs w:val="24"/>
          <w:lang w:eastAsia="pt-BR"/>
        </w:rPr>
        <w:t xml:space="preserve"> que o terreno é regularizado, situação em que os moradores têm segurança informal quanto a posse da propriedade não provida pela documentação do imóvel. Além disso, a segunda pergunta pode estar relacionada com o conhecimento do chefe do domicílio quanto à promulgação do PDOT que definiu as ARIS. Responder que o terreno está regularizado, sendo que o domicílio pertence a uma ARIS e, portanto, ainda não escriturado, pode significar que o chefe do domicílio está ciente de que o domicílio está em uma área de regularização. Dado o curto período de tempo entre a promulgação do PDOT e a aplicação do questionário, existe a possibilidade de que alguns moradores não tinham conhecimento da definição das áreas do programa e por essa razão não identificaram o terreno como sendo regularizado.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Nota-se que a interpretação dada à segunda pergunta recorre à subjetividade dos moradores quanto à percepção de segurança. Dessa forma, sua utilização na construção dos grupos de tratamento e de controle pode implicar em erros de medidas e outros vieses se comparada com a observação real de segurança fundiária. No entanto, como observado por Lanjouw e Levy (2002), “não é óbvio que questões subjetivas devam ser consideradas fracas neste contexto. Ao considerar os efeitos de direitos [de propriedade] na segurança, por exemplo, se a segurança percebida difere sistematicamente da segurança efetiva, é a percepção que nos fornece a melhor variável para entender a utilidade”. Além disso, quanto à </w:t>
      </w:r>
      <w:r w:rsidRPr="00CE31A5">
        <w:rPr>
          <w:rFonts w:ascii="Times New Roman" w:eastAsiaTheme="minorEastAsia" w:hAnsi="Times New Roman" w:cs="Times New Roman"/>
          <w:sz w:val="24"/>
          <w:szCs w:val="24"/>
          <w:lang w:eastAsia="pt-BR"/>
        </w:rPr>
        <w:lastRenderedPageBreak/>
        <w:t xml:space="preserve">primeira pergunta, não é possível identificar que tipo de documento os moradores reportam possuir e, consequentemente, qual grau de segurança a documentação fornece. Dessa forma, para a construção dos grupos de tratamento e dos grupos de controle, optou-se selecionar os dois extremos da interação entre as duas variáveis descritas acima. Para o grupo de tratamento foram considerados aqueles domicílios que responderam que possuem algum tipo de documento do imóvel, registrado no cartório ou não, e que também responderam que o terreno está regularizado. O grupo de controle é composto por aqueles domicílios que não possuem qualquer documento do imóvel e responderam que o terreno onde está o imóvel não está regularizado. Ambos os grupos são formados por domicílios pertencentes a áreas de regularização de interesse social.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Ressalta-se que a definição dos grupos não se baseia se um domicílio possui ou não direito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Tantos os domicílios pertencentes ao grupo de tratamento quanto ao de controle possui características e direitos informais que fornecem algum grau de segurança em relação à posse do imóvel. O tempo de moradia, número de moradores que permanecem na residência, o pagamento de IPTU; esses são alguns dos fatores capazes de influenciar a percepção de segurança e proteção do domicílio. Assim, essas são variáveis importantes que devem ser controladas na investigação econométrica de modo que a posse de documentos e a percepção subjetiva da regularização sejam os únicos fatores que diferenciam a segurança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da posse.</w:t>
      </w:r>
    </w:p>
    <w:p w:rsidR="00B04F5E" w:rsidRPr="00CE31A5" w:rsidRDefault="00CA5846" w:rsidP="00B04F5E">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 Em relação às regiões administrativas, os grupos de tratamento e controle estão distribuídos</w:t>
      </w:r>
      <w:proofErr w:type="gramStart"/>
      <w:r w:rsidRPr="00CE31A5">
        <w:rPr>
          <w:rFonts w:ascii="Times New Roman" w:eastAsiaTheme="minorEastAsia" w:hAnsi="Times New Roman" w:cs="Times New Roman"/>
          <w:sz w:val="24"/>
          <w:szCs w:val="24"/>
          <w:lang w:eastAsia="pt-BR"/>
        </w:rPr>
        <w:t xml:space="preserve"> </w:t>
      </w:r>
      <w:r w:rsidR="00221B65">
        <w:rPr>
          <w:rFonts w:ascii="Times New Roman" w:eastAsiaTheme="minorEastAsia" w:hAnsi="Times New Roman" w:cs="Times New Roman"/>
          <w:sz w:val="24"/>
          <w:szCs w:val="24"/>
          <w:lang w:eastAsia="pt-BR"/>
        </w:rPr>
        <w:t xml:space="preserve"> </w:t>
      </w:r>
      <w:proofErr w:type="gramEnd"/>
      <w:r w:rsidR="00221B65">
        <w:rPr>
          <w:rFonts w:ascii="Times New Roman" w:eastAsiaTheme="minorEastAsia" w:hAnsi="Times New Roman" w:cs="Times New Roman"/>
          <w:sz w:val="24"/>
          <w:szCs w:val="24"/>
          <w:lang w:eastAsia="pt-BR"/>
        </w:rPr>
        <w:t>de acordo com a t</w:t>
      </w:r>
      <w:r w:rsidR="00B04F5E">
        <w:rPr>
          <w:rFonts w:ascii="Times New Roman" w:eastAsiaTheme="minorEastAsia" w:hAnsi="Times New Roman" w:cs="Times New Roman"/>
          <w:sz w:val="24"/>
          <w:szCs w:val="24"/>
          <w:lang w:eastAsia="pt-BR"/>
        </w:rPr>
        <w:t xml:space="preserve">abela 1. </w:t>
      </w:r>
      <w:r w:rsidR="00B04F5E" w:rsidRPr="00CE31A5">
        <w:rPr>
          <w:rFonts w:ascii="Times New Roman" w:eastAsiaTheme="minorEastAsia" w:hAnsi="Times New Roman" w:cs="Times New Roman"/>
          <w:sz w:val="24"/>
          <w:szCs w:val="24"/>
          <w:lang w:eastAsia="pt-BR"/>
        </w:rPr>
        <w:t xml:space="preserve">Vale ressaltar que o grupo de controle não foi definido aleatoriamente, o que pode torná-lo estatisticamente diferente quanto a variáveis observáveis e </w:t>
      </w:r>
      <w:proofErr w:type="gramStart"/>
      <w:r w:rsidR="00B04F5E" w:rsidRPr="00CE31A5">
        <w:rPr>
          <w:rFonts w:ascii="Times New Roman" w:eastAsiaTheme="minorEastAsia" w:hAnsi="Times New Roman" w:cs="Times New Roman"/>
          <w:sz w:val="24"/>
          <w:szCs w:val="24"/>
          <w:lang w:eastAsia="pt-BR"/>
        </w:rPr>
        <w:t>não-observáveis</w:t>
      </w:r>
      <w:proofErr w:type="gramEnd"/>
      <w:r w:rsidR="00B04F5E" w:rsidRPr="00CE31A5">
        <w:rPr>
          <w:rFonts w:ascii="Times New Roman" w:eastAsiaTheme="minorEastAsia" w:hAnsi="Times New Roman" w:cs="Times New Roman"/>
          <w:sz w:val="24"/>
          <w:szCs w:val="24"/>
          <w:lang w:eastAsia="pt-BR"/>
        </w:rPr>
        <w:t xml:space="preserve"> do grupo de tratamento. É possível que um domicílio tenha respondido que o terreno está regularizado por estar mais atento às transformações da comunidade do que um domicílio do grupo de controle – e essa é uma característica que pode influenciar as variáveis de interesse, como horas trabalhadas. Uma forma de atestar a validade do grupo de controle é realizar um teste de diferença de médias de variáveis observáveis entre os grupos para observar se estes são estatisticamente semelhantes.</w:t>
      </w:r>
    </w:p>
    <w:p w:rsidR="00E263F8" w:rsidRPr="00CE31A5" w:rsidRDefault="00E263F8"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840172" w:rsidP="000A5FB9">
      <w:pPr>
        <w:keepNext/>
        <w:spacing w:after="0" w:line="240" w:lineRule="auto"/>
        <w:ind w:left="1416" w:right="707"/>
        <w:contextualSpacing/>
        <w:jc w:val="both"/>
        <w:rPr>
          <w:rFonts w:ascii="Times New Roman" w:eastAsiaTheme="minorEastAsia" w:hAnsi="Times New Roman" w:cs="Times New Roman"/>
          <w:b/>
          <w:sz w:val="24"/>
          <w:szCs w:val="24"/>
          <w:lang w:eastAsia="pt-BR"/>
        </w:rPr>
      </w:pPr>
      <w:r w:rsidRPr="000A5FB9">
        <w:rPr>
          <w:rFonts w:ascii="Times New Roman" w:eastAsiaTheme="minorEastAsia" w:hAnsi="Times New Roman" w:cs="Times New Roman"/>
          <w:b/>
          <w:sz w:val="24"/>
          <w:szCs w:val="24"/>
          <w:lang w:eastAsia="pt-BR"/>
        </w:rPr>
        <w:t>Tabela 1</w:t>
      </w:r>
      <w:r w:rsidR="00CA5846" w:rsidRPr="000A5FB9">
        <w:rPr>
          <w:rFonts w:ascii="Times New Roman" w:eastAsiaTheme="minorEastAsia" w:hAnsi="Times New Roman" w:cs="Times New Roman"/>
          <w:b/>
          <w:sz w:val="24"/>
          <w:szCs w:val="24"/>
          <w:lang w:eastAsia="pt-BR"/>
        </w:rPr>
        <w:t xml:space="preserve"> – Distribuição </w:t>
      </w:r>
      <w:r w:rsidR="00545404" w:rsidRPr="000A5FB9">
        <w:rPr>
          <w:rFonts w:ascii="Times New Roman" w:eastAsiaTheme="minorEastAsia" w:hAnsi="Times New Roman" w:cs="Times New Roman"/>
          <w:b/>
          <w:sz w:val="24"/>
          <w:szCs w:val="24"/>
          <w:lang w:eastAsia="pt-BR"/>
        </w:rPr>
        <w:t xml:space="preserve">por RA </w:t>
      </w:r>
      <w:r w:rsidR="00CA5846" w:rsidRPr="000A5FB9">
        <w:rPr>
          <w:rFonts w:ascii="Times New Roman" w:eastAsiaTheme="minorEastAsia" w:hAnsi="Times New Roman" w:cs="Times New Roman"/>
          <w:b/>
          <w:sz w:val="24"/>
          <w:szCs w:val="24"/>
          <w:lang w:eastAsia="pt-BR"/>
        </w:rPr>
        <w:t xml:space="preserve">das observações da amostra final </w:t>
      </w:r>
      <w:r w:rsidR="00545404" w:rsidRPr="000A5FB9">
        <w:rPr>
          <w:rFonts w:ascii="Times New Roman" w:eastAsiaTheme="minorEastAsia" w:hAnsi="Times New Roman" w:cs="Times New Roman"/>
          <w:b/>
          <w:sz w:val="24"/>
          <w:szCs w:val="24"/>
          <w:lang w:eastAsia="pt-BR"/>
        </w:rPr>
        <w:t>entre Controle e Tratamento</w:t>
      </w:r>
    </w:p>
    <w:tbl>
      <w:tblPr>
        <w:tblW w:w="6960" w:type="dxa"/>
        <w:jc w:val="center"/>
        <w:tblInd w:w="55" w:type="dxa"/>
        <w:tblCellMar>
          <w:left w:w="70" w:type="dxa"/>
          <w:right w:w="70" w:type="dxa"/>
        </w:tblCellMar>
        <w:tblLook w:val="04A0" w:firstRow="1" w:lastRow="0" w:firstColumn="1" w:lastColumn="0" w:noHBand="0" w:noVBand="1"/>
      </w:tblPr>
      <w:tblGrid>
        <w:gridCol w:w="2320"/>
        <w:gridCol w:w="2320"/>
        <w:gridCol w:w="2320"/>
      </w:tblGrid>
      <w:tr w:rsidR="00F70ABA" w:rsidRPr="00CA5846" w:rsidTr="00F70ABA">
        <w:trPr>
          <w:trHeight w:val="315"/>
          <w:jc w:val="center"/>
        </w:trPr>
        <w:tc>
          <w:tcPr>
            <w:tcW w:w="2320" w:type="dxa"/>
            <w:tcBorders>
              <w:top w:val="single" w:sz="8" w:space="0" w:color="auto"/>
              <w:bottom w:val="single" w:sz="8" w:space="0" w:color="auto"/>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b/>
                <w:bCs/>
                <w:color w:val="000000"/>
                <w:lang w:eastAsia="pt-BR"/>
              </w:rPr>
            </w:pPr>
            <w:r w:rsidRPr="00CA5846">
              <w:rPr>
                <w:rFonts w:ascii="Calibri" w:eastAsia="Times New Roman" w:hAnsi="Calibri" w:cs="Times New Roman"/>
                <w:b/>
                <w:bCs/>
                <w:color w:val="000000"/>
                <w:lang w:eastAsia="pt-BR"/>
              </w:rPr>
              <w:t>Região Administrativa</w:t>
            </w:r>
          </w:p>
        </w:tc>
        <w:tc>
          <w:tcPr>
            <w:tcW w:w="2320" w:type="dxa"/>
            <w:tcBorders>
              <w:top w:val="single" w:sz="8" w:space="0" w:color="auto"/>
              <w:left w:val="nil"/>
              <w:bottom w:val="single" w:sz="8" w:space="0" w:color="auto"/>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b/>
                <w:bCs/>
                <w:color w:val="000000"/>
                <w:lang w:eastAsia="pt-BR"/>
              </w:rPr>
            </w:pPr>
            <w:r w:rsidRPr="00CA5846">
              <w:rPr>
                <w:rFonts w:ascii="Calibri" w:eastAsia="Times New Roman" w:hAnsi="Calibri" w:cs="Times New Roman"/>
                <w:b/>
                <w:bCs/>
                <w:color w:val="000000"/>
                <w:lang w:eastAsia="pt-BR"/>
              </w:rPr>
              <w:t xml:space="preserve">Controle </w:t>
            </w:r>
          </w:p>
        </w:tc>
        <w:tc>
          <w:tcPr>
            <w:tcW w:w="2320" w:type="dxa"/>
            <w:tcBorders>
              <w:top w:val="single" w:sz="8" w:space="0" w:color="auto"/>
              <w:left w:val="nil"/>
              <w:bottom w:val="single" w:sz="8" w:space="0" w:color="auto"/>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b/>
                <w:bCs/>
                <w:color w:val="000000"/>
                <w:lang w:eastAsia="pt-BR"/>
              </w:rPr>
            </w:pPr>
            <w:r w:rsidRPr="00CA5846">
              <w:rPr>
                <w:rFonts w:ascii="Calibri" w:eastAsia="Times New Roman" w:hAnsi="Calibri" w:cs="Times New Roman"/>
                <w:b/>
                <w:bCs/>
                <w:color w:val="000000"/>
                <w:lang w:eastAsia="pt-BR"/>
              </w:rPr>
              <w:t>Tratamento</w:t>
            </w:r>
          </w:p>
        </w:tc>
      </w:tr>
      <w:tr w:rsidR="00F70ABA" w:rsidRPr="00CA5846" w:rsidTr="005F2EFD">
        <w:trPr>
          <w:trHeight w:val="300"/>
          <w:jc w:val="center"/>
        </w:trPr>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proofErr w:type="spellStart"/>
            <w:r w:rsidRPr="00CA5846">
              <w:rPr>
                <w:rFonts w:ascii="Calibri" w:eastAsia="Times New Roman" w:hAnsi="Calibri" w:cs="Times New Roman"/>
                <w:color w:val="000000"/>
                <w:lang w:eastAsia="pt-BR"/>
              </w:rPr>
              <w:t>Brazlândia</w:t>
            </w:r>
            <w:proofErr w:type="spellEnd"/>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16</w:t>
            </w:r>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40</w:t>
            </w:r>
          </w:p>
        </w:tc>
      </w:tr>
      <w:tr w:rsidR="00F70ABA" w:rsidRPr="00CA5846" w:rsidTr="005F2EFD">
        <w:trPr>
          <w:trHeight w:val="300"/>
          <w:jc w:val="center"/>
        </w:trPr>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Planaltina</w:t>
            </w:r>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69</w:t>
            </w:r>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13</w:t>
            </w:r>
          </w:p>
        </w:tc>
      </w:tr>
      <w:tr w:rsidR="00F70ABA" w:rsidRPr="00CA5846" w:rsidTr="005F2EFD">
        <w:trPr>
          <w:trHeight w:val="300"/>
          <w:jc w:val="center"/>
        </w:trPr>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Varjão</w:t>
            </w:r>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proofErr w:type="gramStart"/>
            <w:r w:rsidRPr="00CA5846">
              <w:rPr>
                <w:rFonts w:ascii="Calibri" w:eastAsia="Times New Roman" w:hAnsi="Calibri" w:cs="Times New Roman"/>
                <w:color w:val="000000"/>
                <w:lang w:eastAsia="pt-BR"/>
              </w:rPr>
              <w:t>9</w:t>
            </w:r>
            <w:proofErr w:type="gramEnd"/>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51</w:t>
            </w:r>
          </w:p>
        </w:tc>
      </w:tr>
      <w:tr w:rsidR="00F70ABA" w:rsidRPr="00CA5846" w:rsidTr="005F2EFD">
        <w:trPr>
          <w:trHeight w:val="300"/>
          <w:jc w:val="center"/>
        </w:trPr>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Estrutural</w:t>
            </w:r>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77</w:t>
            </w:r>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11</w:t>
            </w:r>
          </w:p>
        </w:tc>
      </w:tr>
      <w:tr w:rsidR="00F70ABA" w:rsidRPr="00CA5846" w:rsidTr="005F2EFD">
        <w:trPr>
          <w:trHeight w:val="315"/>
          <w:jc w:val="center"/>
        </w:trPr>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proofErr w:type="spellStart"/>
            <w:r w:rsidRPr="00CA5846">
              <w:rPr>
                <w:rFonts w:ascii="Calibri" w:eastAsia="Times New Roman" w:hAnsi="Calibri" w:cs="Times New Roman"/>
                <w:color w:val="000000"/>
                <w:lang w:eastAsia="pt-BR"/>
              </w:rPr>
              <w:t>Itapoã</w:t>
            </w:r>
            <w:proofErr w:type="spellEnd"/>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106</w:t>
            </w:r>
          </w:p>
        </w:tc>
        <w:tc>
          <w:tcPr>
            <w:tcW w:w="2320" w:type="dxa"/>
            <w:tcBorders>
              <w:top w:val="nil"/>
              <w:left w:val="nil"/>
              <w:bottom w:val="nil"/>
              <w:right w:val="nil"/>
            </w:tcBorders>
            <w:shd w:val="clear" w:color="auto" w:fill="auto"/>
            <w:noWrap/>
            <w:vAlign w:val="center"/>
            <w:hideMark/>
          </w:tcPr>
          <w:p w:rsidR="00F70ABA" w:rsidRPr="00CA5846" w:rsidRDefault="00F70ABA" w:rsidP="00454790">
            <w:pPr>
              <w:keepNext/>
              <w:spacing w:after="0" w:line="240" w:lineRule="auto"/>
              <w:jc w:val="center"/>
              <w:rPr>
                <w:rFonts w:ascii="Calibri" w:eastAsia="Times New Roman" w:hAnsi="Calibri" w:cs="Times New Roman"/>
                <w:color w:val="000000"/>
                <w:lang w:eastAsia="pt-BR"/>
              </w:rPr>
            </w:pPr>
            <w:r w:rsidRPr="00CA5846">
              <w:rPr>
                <w:rFonts w:ascii="Calibri" w:eastAsia="Times New Roman" w:hAnsi="Calibri" w:cs="Times New Roman"/>
                <w:color w:val="000000"/>
                <w:lang w:eastAsia="pt-BR"/>
              </w:rPr>
              <w:t>124</w:t>
            </w:r>
          </w:p>
        </w:tc>
      </w:tr>
      <w:tr w:rsidR="00F70ABA" w:rsidRPr="00CA5846" w:rsidTr="005F2EFD">
        <w:trPr>
          <w:trHeight w:val="315"/>
          <w:jc w:val="center"/>
        </w:trPr>
        <w:tc>
          <w:tcPr>
            <w:tcW w:w="2320" w:type="dxa"/>
            <w:tcBorders>
              <w:top w:val="single" w:sz="8" w:space="0" w:color="auto"/>
              <w:left w:val="nil"/>
              <w:bottom w:val="single" w:sz="8" w:space="0" w:color="auto"/>
              <w:right w:val="nil"/>
            </w:tcBorders>
            <w:shd w:val="clear" w:color="auto" w:fill="auto"/>
            <w:noWrap/>
            <w:vAlign w:val="bottom"/>
            <w:hideMark/>
          </w:tcPr>
          <w:p w:rsidR="00F70ABA" w:rsidRPr="00CA5846" w:rsidRDefault="00F70ABA" w:rsidP="00454790">
            <w:pPr>
              <w:keepNext/>
              <w:spacing w:after="0" w:line="240" w:lineRule="auto"/>
              <w:jc w:val="center"/>
              <w:rPr>
                <w:rFonts w:ascii="Calibri" w:eastAsia="Times New Roman" w:hAnsi="Calibri" w:cs="Times New Roman"/>
                <w:b/>
                <w:bCs/>
                <w:color w:val="000000"/>
                <w:lang w:eastAsia="pt-BR"/>
              </w:rPr>
            </w:pPr>
            <w:r w:rsidRPr="00CA5846">
              <w:rPr>
                <w:rFonts w:ascii="Calibri" w:eastAsia="Times New Roman" w:hAnsi="Calibri" w:cs="Times New Roman"/>
                <w:b/>
                <w:bCs/>
                <w:color w:val="000000"/>
                <w:lang w:eastAsia="pt-BR"/>
              </w:rPr>
              <w:t>Total</w:t>
            </w:r>
          </w:p>
        </w:tc>
        <w:tc>
          <w:tcPr>
            <w:tcW w:w="2320" w:type="dxa"/>
            <w:tcBorders>
              <w:top w:val="single" w:sz="8" w:space="0" w:color="auto"/>
              <w:left w:val="nil"/>
              <w:bottom w:val="single" w:sz="8" w:space="0" w:color="auto"/>
              <w:right w:val="nil"/>
            </w:tcBorders>
            <w:shd w:val="clear" w:color="auto" w:fill="auto"/>
            <w:noWrap/>
            <w:vAlign w:val="bottom"/>
            <w:hideMark/>
          </w:tcPr>
          <w:p w:rsidR="00F70ABA" w:rsidRPr="00CA5846" w:rsidRDefault="00F70ABA" w:rsidP="00454790">
            <w:pPr>
              <w:keepNext/>
              <w:spacing w:after="0" w:line="240" w:lineRule="auto"/>
              <w:jc w:val="center"/>
              <w:rPr>
                <w:rFonts w:ascii="Calibri" w:eastAsia="Times New Roman" w:hAnsi="Calibri" w:cs="Times New Roman"/>
                <w:b/>
                <w:bCs/>
                <w:color w:val="000000"/>
                <w:lang w:eastAsia="pt-BR"/>
              </w:rPr>
            </w:pPr>
            <w:r w:rsidRPr="00CA5846">
              <w:rPr>
                <w:rFonts w:ascii="Calibri" w:eastAsia="Times New Roman" w:hAnsi="Calibri" w:cs="Times New Roman"/>
                <w:b/>
                <w:bCs/>
                <w:color w:val="000000"/>
                <w:lang w:eastAsia="pt-BR"/>
              </w:rPr>
              <w:t>277</w:t>
            </w:r>
          </w:p>
        </w:tc>
        <w:tc>
          <w:tcPr>
            <w:tcW w:w="2320" w:type="dxa"/>
            <w:tcBorders>
              <w:top w:val="single" w:sz="8" w:space="0" w:color="auto"/>
              <w:left w:val="nil"/>
              <w:bottom w:val="single" w:sz="8" w:space="0" w:color="auto"/>
              <w:right w:val="nil"/>
            </w:tcBorders>
            <w:shd w:val="clear" w:color="auto" w:fill="auto"/>
            <w:noWrap/>
            <w:vAlign w:val="bottom"/>
            <w:hideMark/>
          </w:tcPr>
          <w:p w:rsidR="00F70ABA" w:rsidRPr="00CA5846" w:rsidRDefault="00F70ABA" w:rsidP="00454790">
            <w:pPr>
              <w:keepNext/>
              <w:spacing w:after="0" w:line="240" w:lineRule="auto"/>
              <w:jc w:val="center"/>
              <w:rPr>
                <w:rFonts w:ascii="Calibri" w:eastAsia="Times New Roman" w:hAnsi="Calibri" w:cs="Times New Roman"/>
                <w:b/>
                <w:bCs/>
                <w:color w:val="000000"/>
                <w:lang w:eastAsia="pt-BR"/>
              </w:rPr>
            </w:pPr>
            <w:r w:rsidRPr="00CA5846">
              <w:rPr>
                <w:rFonts w:ascii="Calibri" w:eastAsia="Times New Roman" w:hAnsi="Calibri" w:cs="Times New Roman"/>
                <w:b/>
                <w:bCs/>
                <w:color w:val="000000"/>
                <w:lang w:eastAsia="pt-BR"/>
              </w:rPr>
              <w:t>239</w:t>
            </w:r>
          </w:p>
        </w:tc>
      </w:tr>
    </w:tbl>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840172" w:rsidRDefault="00CA5846" w:rsidP="00A254A4">
      <w:pPr>
        <w:spacing w:after="0"/>
        <w:rPr>
          <w:rFonts w:ascii="Times New Roman" w:eastAsiaTheme="minorEastAsia" w:hAnsi="Times New Roman" w:cs="Times New Roman"/>
          <w:b/>
          <w:sz w:val="24"/>
          <w:szCs w:val="24"/>
          <w:lang w:eastAsia="pt-BR"/>
        </w:rPr>
      </w:pPr>
      <w:bookmarkStart w:id="53" w:name="_Toc350977049"/>
      <w:bookmarkStart w:id="54" w:name="_Toc362259574"/>
      <w:r w:rsidRPr="00840172">
        <w:rPr>
          <w:rFonts w:ascii="Times New Roman" w:eastAsiaTheme="minorEastAsia" w:hAnsi="Times New Roman" w:cs="Times New Roman"/>
          <w:b/>
          <w:sz w:val="24"/>
          <w:szCs w:val="24"/>
          <w:lang w:eastAsia="pt-BR"/>
        </w:rPr>
        <w:t>Testes de Diferenças de Média</w:t>
      </w:r>
      <w:bookmarkEnd w:id="53"/>
      <w:bookmarkEnd w:id="54"/>
      <w:r w:rsidRPr="00CE31A5">
        <w:rPr>
          <w:rFonts w:ascii="Times New Roman" w:eastAsiaTheme="minorEastAsia" w:hAnsi="Times New Roman" w:cs="Times New Roman"/>
          <w:sz w:val="24"/>
          <w:szCs w:val="24"/>
          <w:lang w:eastAsia="pt-BR"/>
        </w:rPr>
        <w:t xml:space="preserve"> </w:t>
      </w:r>
    </w:p>
    <w:p w:rsidR="00CA5846" w:rsidRDefault="00CA5846" w:rsidP="00A254A4">
      <w:pPr>
        <w:spacing w:after="0"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As variáveis observáveis selecionadas para descrever os domicílios do grupo de tratamento ou do grupo de controle serão as mesmas utilizadas para estimar o </w:t>
      </w:r>
      <w:r w:rsidRPr="00CE31A5">
        <w:rPr>
          <w:rFonts w:ascii="Times New Roman" w:eastAsiaTheme="minorEastAsia" w:hAnsi="Times New Roman" w:cs="Times New Roman"/>
          <w:i/>
          <w:sz w:val="24"/>
          <w:szCs w:val="24"/>
          <w:lang w:eastAsia="pt-BR"/>
        </w:rPr>
        <w:t>propensity score</w:t>
      </w:r>
      <w:r w:rsidRPr="00CE31A5">
        <w:rPr>
          <w:rFonts w:ascii="Times New Roman" w:eastAsiaTheme="minorEastAsia" w:hAnsi="Times New Roman" w:cs="Times New Roman"/>
          <w:sz w:val="24"/>
          <w:szCs w:val="24"/>
          <w:lang w:eastAsia="pt-BR"/>
        </w:rPr>
        <w:t>. Elas estão divididas em quatro grupos: características do chefe do domicílio, características do cônjuge, composição do domicílio e, por fim, características do domicílio. O primeiro grupo é composto por:</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SEXO: variável binária que indica o sexo do chefe do domicílio e assume valor </w:t>
      </w:r>
      <w:proofErr w:type="gramStart"/>
      <w:r w:rsidRPr="00CE31A5">
        <w:rPr>
          <w:rFonts w:ascii="Times New Roman" w:eastAsiaTheme="minorEastAsia" w:hAnsi="Times New Roman" w:cs="Times New Roman"/>
          <w:sz w:val="24"/>
          <w:szCs w:val="24"/>
          <w:lang w:eastAsia="pt-BR"/>
        </w:rPr>
        <w:t>1</w:t>
      </w:r>
      <w:proofErr w:type="gramEnd"/>
      <w:r w:rsidRPr="00CE31A5">
        <w:rPr>
          <w:rFonts w:ascii="Times New Roman" w:eastAsiaTheme="minorEastAsia" w:hAnsi="Times New Roman" w:cs="Times New Roman"/>
          <w:sz w:val="24"/>
          <w:szCs w:val="24"/>
          <w:lang w:eastAsia="pt-BR"/>
        </w:rPr>
        <w:t xml:space="preserve"> para sexo feminino,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IDADE: idade do chefe,</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OCUP: variável binária que indica se o chefe do domicílio está ocupado no mercado de trabalho,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EDUC: variável que indica os anos de escolaridade do chefe de domicílio,</w:t>
      </w:r>
    </w:p>
    <w:p w:rsidR="00CA5846"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RAÇA: variável binária que assume valor </w:t>
      </w:r>
      <w:proofErr w:type="gramStart"/>
      <w:r w:rsidRPr="00CE31A5">
        <w:rPr>
          <w:rFonts w:ascii="Times New Roman" w:eastAsiaTheme="minorEastAsia" w:hAnsi="Times New Roman" w:cs="Times New Roman"/>
          <w:sz w:val="24"/>
          <w:szCs w:val="24"/>
          <w:lang w:eastAsia="pt-BR"/>
        </w:rPr>
        <w:t>1</w:t>
      </w:r>
      <w:proofErr w:type="gramEnd"/>
      <w:r w:rsidRPr="00CE31A5">
        <w:rPr>
          <w:rFonts w:ascii="Times New Roman" w:eastAsiaTheme="minorEastAsia" w:hAnsi="Times New Roman" w:cs="Times New Roman"/>
          <w:sz w:val="24"/>
          <w:szCs w:val="24"/>
          <w:lang w:eastAsia="pt-BR"/>
        </w:rPr>
        <w:t xml:space="preserve"> para chefes do domicílio que são </w:t>
      </w:r>
      <w:r w:rsidR="00F710FB">
        <w:rPr>
          <w:rFonts w:ascii="Times New Roman" w:eastAsiaTheme="minorEastAsia" w:hAnsi="Times New Roman" w:cs="Times New Roman"/>
          <w:sz w:val="24"/>
          <w:szCs w:val="24"/>
          <w:lang w:eastAsia="pt-BR"/>
        </w:rPr>
        <w:t>pretos</w:t>
      </w:r>
      <w:r w:rsidR="00F710FB" w:rsidRPr="00CE31A5">
        <w:rPr>
          <w:rFonts w:ascii="Times New Roman" w:eastAsiaTheme="minorEastAsia" w:hAnsi="Times New Roman" w:cs="Times New Roman"/>
          <w:sz w:val="24"/>
          <w:szCs w:val="24"/>
          <w:lang w:eastAsia="pt-BR"/>
        </w:rPr>
        <w:t xml:space="preserve"> </w:t>
      </w:r>
      <w:r w:rsidRPr="00CE31A5">
        <w:rPr>
          <w:rFonts w:ascii="Times New Roman" w:eastAsiaTheme="minorEastAsia" w:hAnsi="Times New Roman" w:cs="Times New Roman"/>
          <w:sz w:val="24"/>
          <w:szCs w:val="24"/>
          <w:lang w:eastAsia="pt-BR"/>
        </w:rPr>
        <w:t xml:space="preserve">ou pardos, sendo essa uma característica autodeclarada. </w:t>
      </w:r>
    </w:p>
    <w:p w:rsidR="00CA5846" w:rsidRPr="00ED2C5F" w:rsidRDefault="00CA5846" w:rsidP="00A254A4">
      <w:pPr>
        <w:spacing w:after="0" w:line="240" w:lineRule="auto"/>
        <w:contextualSpacing/>
        <w:jc w:val="both"/>
        <w:rPr>
          <w:rFonts w:ascii="Times New Roman" w:hAnsi="Times New Roman" w:cs="Times New Roman"/>
          <w:sz w:val="24"/>
          <w:szCs w:val="24"/>
        </w:rPr>
      </w:pPr>
      <w:r w:rsidRPr="00ED2C5F">
        <w:rPr>
          <w:rFonts w:ascii="Times New Roman" w:hAnsi="Times New Roman" w:cs="Times New Roman"/>
          <w:sz w:val="24"/>
          <w:szCs w:val="24"/>
        </w:rPr>
        <w:t>O segundo grupo é composto por variáveis referentes à característica do cônjuge do chefe do domicílio: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lastRenderedPageBreak/>
        <w:t>CONJUGE: variável binária que indica a presença do cônjuge no domicílio,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EDUC2: variável que indica os anos de escolaridade do cônjuge e assume valor zero quando este não tem instrução ou quando não há cônjuge no domicílio,</w:t>
      </w:r>
    </w:p>
    <w:p w:rsidR="00CA5846"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OCUP2: variável que indica se o cônjuge está ocupado no mercado de trabalho.</w:t>
      </w:r>
    </w:p>
    <w:p w:rsidR="00CA5846" w:rsidRPr="00ED2C5F" w:rsidRDefault="00CA5846" w:rsidP="00A254A4">
      <w:pPr>
        <w:spacing w:after="0" w:line="240" w:lineRule="auto"/>
        <w:contextualSpacing/>
        <w:jc w:val="both"/>
        <w:rPr>
          <w:rFonts w:ascii="Times New Roman" w:hAnsi="Times New Roman" w:cs="Times New Roman"/>
          <w:sz w:val="24"/>
          <w:szCs w:val="24"/>
        </w:rPr>
      </w:pPr>
      <w:r w:rsidRPr="00ED2C5F">
        <w:rPr>
          <w:rFonts w:ascii="Times New Roman" w:hAnsi="Times New Roman" w:cs="Times New Roman"/>
          <w:sz w:val="24"/>
          <w:szCs w:val="24"/>
        </w:rPr>
        <w:t>O terceiro grupo se refere às características dos demais membros do domicílio: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OUTROS: número de membros adultos no domicílio além do chefe e do cônjuge,</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EDUC3: escolaridade média dos demais membros adultos do domicílio,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PROPOCUP: proporção dos demais membros adultos ocupados no mercado de trabalho,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INATIVOS: número dos demais membros do domicílio que não estão ocupados e que não frequentam escola,</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CRIANCA: número de crianças e adolescentes no domicílio,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IDOSO: variável binária que indica a presença de idosos no domicílio.</w:t>
      </w:r>
    </w:p>
    <w:p w:rsidR="00CA5846" w:rsidRPr="00ED2C5F" w:rsidRDefault="00CA5846" w:rsidP="00A254A4">
      <w:pPr>
        <w:spacing w:after="0" w:line="240" w:lineRule="auto"/>
        <w:contextualSpacing/>
        <w:jc w:val="both"/>
        <w:rPr>
          <w:rFonts w:ascii="Times New Roman" w:hAnsi="Times New Roman" w:cs="Times New Roman"/>
          <w:sz w:val="24"/>
          <w:szCs w:val="24"/>
        </w:rPr>
      </w:pPr>
      <w:r w:rsidRPr="00ED2C5F">
        <w:rPr>
          <w:rFonts w:ascii="Times New Roman" w:hAnsi="Times New Roman" w:cs="Times New Roman"/>
          <w:sz w:val="24"/>
          <w:szCs w:val="24"/>
        </w:rPr>
        <w:t>Por último, o quarto grupo é composto de variáveis referentes à característica do domicílio: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IPTU: variável binária indicando se o domicílio recebe IPTU,</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TENURE: variável que indica o tempo de moradia do domicílio,</w:t>
      </w:r>
    </w:p>
    <w:p w:rsidR="00CA5846" w:rsidRPr="00CE31A5" w:rsidRDefault="00CA5846" w:rsidP="00A254A4">
      <w:pPr>
        <w:numPr>
          <w:ilvl w:val="0"/>
          <w:numId w:val="19"/>
        </w:num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RIQUEZA: indicador construído por meio de análise de componente principal de variáveis que indicam a acumulação de riqueza do domicílio.</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Além de caracterizar o domicílio e seus ocupantes, a inclusão de algumas dessas variáveis é justificada por controlar alguns aspectos que podem fornecer segurança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à posse afora os aspectos empregados na construção dos grupos de tratamento e controle.</w:t>
      </w:r>
    </w:p>
    <w:p w:rsidR="00CA5846" w:rsidRDefault="00305515"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 tabela 2</w:t>
      </w:r>
      <w:r w:rsidR="00CA5846" w:rsidRPr="00CE31A5">
        <w:rPr>
          <w:rFonts w:ascii="Times New Roman" w:eastAsiaTheme="minorEastAsia" w:hAnsi="Times New Roman" w:cs="Times New Roman"/>
          <w:sz w:val="24"/>
          <w:szCs w:val="24"/>
          <w:lang w:eastAsia="pt-BR"/>
        </w:rPr>
        <w:t xml:space="preserve"> a seguir mostra os </w:t>
      </w:r>
      <w:r w:rsidR="00F710FB">
        <w:rPr>
          <w:rFonts w:ascii="Times New Roman" w:eastAsiaTheme="minorEastAsia" w:hAnsi="Times New Roman" w:cs="Times New Roman"/>
          <w:sz w:val="24"/>
          <w:szCs w:val="24"/>
          <w:lang w:eastAsia="pt-BR"/>
        </w:rPr>
        <w:t>valores</w:t>
      </w:r>
      <w:r w:rsidR="00F710FB" w:rsidRPr="00CE31A5">
        <w:rPr>
          <w:rFonts w:ascii="Times New Roman" w:eastAsiaTheme="minorEastAsia" w:hAnsi="Times New Roman" w:cs="Times New Roman"/>
          <w:sz w:val="24"/>
          <w:szCs w:val="24"/>
          <w:lang w:eastAsia="pt-BR"/>
        </w:rPr>
        <w:t xml:space="preserve"> </w:t>
      </w:r>
      <w:r w:rsidR="00CA5846" w:rsidRPr="00CE31A5">
        <w:rPr>
          <w:rFonts w:ascii="Times New Roman" w:eastAsiaTheme="minorEastAsia" w:hAnsi="Times New Roman" w:cs="Times New Roman"/>
          <w:sz w:val="24"/>
          <w:szCs w:val="24"/>
          <w:lang w:eastAsia="pt-BR"/>
        </w:rPr>
        <w:t xml:space="preserve">médios de cada variável dos domicílios do grupo de tratamento e do grupo de controle e, pelo teste t, mostra se a diferença entre esses </w:t>
      </w:r>
      <w:r w:rsidR="00F710FB">
        <w:rPr>
          <w:rFonts w:ascii="Times New Roman" w:eastAsiaTheme="minorEastAsia" w:hAnsi="Times New Roman" w:cs="Times New Roman"/>
          <w:sz w:val="24"/>
          <w:szCs w:val="24"/>
          <w:lang w:eastAsia="pt-BR"/>
        </w:rPr>
        <w:t>valores</w:t>
      </w:r>
      <w:r w:rsidR="00F710FB" w:rsidRPr="00CE31A5">
        <w:rPr>
          <w:rFonts w:ascii="Times New Roman" w:eastAsiaTheme="minorEastAsia" w:hAnsi="Times New Roman" w:cs="Times New Roman"/>
          <w:sz w:val="24"/>
          <w:szCs w:val="24"/>
          <w:lang w:eastAsia="pt-BR"/>
        </w:rPr>
        <w:t xml:space="preserve"> </w:t>
      </w:r>
      <w:r w:rsidR="00CA5846" w:rsidRPr="00CE31A5">
        <w:rPr>
          <w:rFonts w:ascii="Times New Roman" w:eastAsiaTheme="minorEastAsia" w:hAnsi="Times New Roman" w:cs="Times New Roman"/>
          <w:sz w:val="24"/>
          <w:szCs w:val="24"/>
          <w:lang w:eastAsia="pt-BR"/>
        </w:rPr>
        <w:t>é significativa.</w:t>
      </w:r>
    </w:p>
    <w:p w:rsidR="000A5FB9" w:rsidRPr="00CE31A5" w:rsidRDefault="000A5FB9"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305515" w:rsidP="000A5FB9">
      <w:pPr>
        <w:keepNext/>
        <w:spacing w:after="0" w:line="240" w:lineRule="auto"/>
        <w:contextualSpacing/>
        <w:rPr>
          <w:rFonts w:ascii="Times New Roman" w:eastAsiaTheme="minorEastAsia" w:hAnsi="Times New Roman" w:cs="Times New Roman"/>
          <w:b/>
          <w:sz w:val="24"/>
          <w:szCs w:val="24"/>
          <w:lang w:eastAsia="pt-BR"/>
        </w:rPr>
      </w:pPr>
      <w:r w:rsidRPr="000A5FB9">
        <w:rPr>
          <w:rFonts w:ascii="Times New Roman" w:eastAsiaTheme="minorEastAsia" w:hAnsi="Times New Roman" w:cs="Times New Roman"/>
          <w:b/>
          <w:sz w:val="24"/>
          <w:szCs w:val="24"/>
          <w:lang w:eastAsia="pt-BR"/>
        </w:rPr>
        <w:t>Tabela 2</w:t>
      </w:r>
      <w:r w:rsidR="00CA5846" w:rsidRPr="000A5FB9">
        <w:rPr>
          <w:rFonts w:ascii="Times New Roman" w:eastAsiaTheme="minorEastAsia" w:hAnsi="Times New Roman" w:cs="Times New Roman"/>
          <w:b/>
          <w:sz w:val="24"/>
          <w:szCs w:val="24"/>
          <w:lang w:eastAsia="pt-BR"/>
        </w:rPr>
        <w:t xml:space="preserve"> – Testes de Diferenças de Média</w:t>
      </w:r>
    </w:p>
    <w:tbl>
      <w:tblPr>
        <w:tblW w:w="10199" w:type="dxa"/>
        <w:jc w:val="center"/>
        <w:tblInd w:w="375" w:type="dxa"/>
        <w:tblCellMar>
          <w:left w:w="70" w:type="dxa"/>
          <w:right w:w="70" w:type="dxa"/>
        </w:tblCellMar>
        <w:tblLook w:val="04A0" w:firstRow="1" w:lastRow="0" w:firstColumn="1" w:lastColumn="0" w:noHBand="0" w:noVBand="1"/>
      </w:tblPr>
      <w:tblGrid>
        <w:gridCol w:w="4815"/>
        <w:gridCol w:w="1701"/>
        <w:gridCol w:w="1417"/>
        <w:gridCol w:w="1140"/>
        <w:gridCol w:w="1126"/>
      </w:tblGrid>
      <w:tr w:rsidR="00CA5846" w:rsidRPr="00CE31A5" w:rsidTr="00454790">
        <w:trPr>
          <w:trHeight w:val="300"/>
          <w:jc w:val="center"/>
        </w:trPr>
        <w:tc>
          <w:tcPr>
            <w:tcW w:w="4815"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Variáveis de Controle</w:t>
            </w:r>
          </w:p>
        </w:tc>
        <w:tc>
          <w:tcPr>
            <w:tcW w:w="1701" w:type="dxa"/>
            <w:tcBorders>
              <w:top w:val="single" w:sz="4" w:space="0" w:color="auto"/>
              <w:left w:val="nil"/>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Grupo de Tratamento</w:t>
            </w:r>
          </w:p>
        </w:tc>
        <w:tc>
          <w:tcPr>
            <w:tcW w:w="1417" w:type="dxa"/>
            <w:tcBorders>
              <w:top w:val="single" w:sz="4" w:space="0" w:color="auto"/>
              <w:left w:val="nil"/>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Grupo de Controle</w:t>
            </w:r>
          </w:p>
        </w:tc>
        <w:tc>
          <w:tcPr>
            <w:tcW w:w="1140" w:type="dxa"/>
            <w:tcBorders>
              <w:top w:val="single" w:sz="4" w:space="0" w:color="auto"/>
              <w:left w:val="nil"/>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Diferença</w:t>
            </w:r>
          </w:p>
        </w:tc>
        <w:tc>
          <w:tcPr>
            <w:tcW w:w="1126" w:type="dxa"/>
            <w:tcBorders>
              <w:top w:val="single" w:sz="4" w:space="0" w:color="auto"/>
              <w:left w:val="nil"/>
              <w:bottom w:val="single" w:sz="4" w:space="0" w:color="auto"/>
              <w:right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bCs/>
                <w:color w:val="000000"/>
                <w:sz w:val="24"/>
                <w:szCs w:val="24"/>
                <w:lang w:eastAsia="pt-BR"/>
              </w:rPr>
            </w:pPr>
            <w:proofErr w:type="gramStart"/>
            <w:r w:rsidRPr="00CE31A5">
              <w:rPr>
                <w:rFonts w:ascii="Times New Roman" w:eastAsia="Times New Roman" w:hAnsi="Times New Roman" w:cs="Times New Roman"/>
                <w:b/>
                <w:bCs/>
                <w:color w:val="000000"/>
                <w:sz w:val="24"/>
                <w:szCs w:val="24"/>
                <w:lang w:eastAsia="pt-BR"/>
              </w:rPr>
              <w:t>p</w:t>
            </w:r>
            <w:proofErr w:type="gramEnd"/>
            <w:r w:rsidRPr="00CE31A5">
              <w:rPr>
                <w:rFonts w:ascii="Times New Roman" w:eastAsia="Times New Roman" w:hAnsi="Times New Roman" w:cs="Times New Roman"/>
                <w:b/>
                <w:bCs/>
                <w:color w:val="000000"/>
                <w:sz w:val="24"/>
                <w:szCs w:val="24"/>
                <w:lang w:eastAsia="pt-BR"/>
              </w:rPr>
              <w:t>-valor</w:t>
            </w:r>
          </w:p>
        </w:tc>
      </w:tr>
      <w:tr w:rsidR="00CA5846" w:rsidRPr="00CE31A5" w:rsidTr="00454790">
        <w:trPr>
          <w:trHeight w:val="300"/>
          <w:jc w:val="center"/>
        </w:trPr>
        <w:tc>
          <w:tcPr>
            <w:tcW w:w="4815" w:type="dxa"/>
            <w:tcBorders>
              <w:top w:val="single" w:sz="4" w:space="0" w:color="auto"/>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Dummy para sexo </w:t>
            </w:r>
            <w:proofErr w:type="gramStart"/>
            <w:r w:rsidRPr="00CE31A5">
              <w:rPr>
                <w:rFonts w:ascii="Times New Roman" w:eastAsia="Times New Roman" w:hAnsi="Times New Roman" w:cs="Times New Roman"/>
                <w:color w:val="000000"/>
                <w:sz w:val="24"/>
                <w:szCs w:val="24"/>
                <w:lang w:eastAsia="pt-BR"/>
              </w:rPr>
              <w:t>da(</w:t>
            </w:r>
            <w:proofErr w:type="gramEnd"/>
            <w:r w:rsidRPr="00CE31A5">
              <w:rPr>
                <w:rFonts w:ascii="Times New Roman" w:eastAsia="Times New Roman" w:hAnsi="Times New Roman" w:cs="Times New Roman"/>
                <w:color w:val="000000"/>
                <w:sz w:val="24"/>
                <w:szCs w:val="24"/>
                <w:lang w:eastAsia="pt-BR"/>
              </w:rPr>
              <w:t>o) chefe (feminino)</w:t>
            </w:r>
          </w:p>
        </w:tc>
        <w:tc>
          <w:tcPr>
            <w:tcW w:w="1701" w:type="dxa"/>
            <w:tcBorders>
              <w:top w:val="single" w:sz="4" w:space="0" w:color="auto"/>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0,2795</w:t>
            </w:r>
          </w:p>
        </w:tc>
        <w:tc>
          <w:tcPr>
            <w:tcW w:w="1417" w:type="dxa"/>
            <w:tcBorders>
              <w:top w:val="single" w:sz="4" w:space="0" w:color="auto"/>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0,3369</w:t>
            </w:r>
          </w:p>
        </w:tc>
        <w:tc>
          <w:tcPr>
            <w:tcW w:w="1140" w:type="dxa"/>
            <w:tcBorders>
              <w:top w:val="single" w:sz="4" w:space="0" w:color="auto"/>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-0,0575</w:t>
            </w:r>
          </w:p>
        </w:tc>
        <w:tc>
          <w:tcPr>
            <w:tcW w:w="1126" w:type="dxa"/>
            <w:tcBorders>
              <w:top w:val="single" w:sz="4" w:space="0" w:color="auto"/>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0,32</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Idade </w:t>
            </w:r>
            <w:proofErr w:type="gramStart"/>
            <w:r w:rsidRPr="00CE31A5">
              <w:rPr>
                <w:rFonts w:ascii="Times New Roman" w:eastAsia="Times New Roman" w:hAnsi="Times New Roman" w:cs="Times New Roman"/>
                <w:color w:val="000000"/>
                <w:sz w:val="24"/>
                <w:szCs w:val="24"/>
                <w:lang w:eastAsia="pt-BR"/>
              </w:rPr>
              <w:t>da(</w:t>
            </w:r>
            <w:proofErr w:type="gramEnd"/>
            <w:r w:rsidRPr="00CE31A5">
              <w:rPr>
                <w:rFonts w:ascii="Times New Roman" w:eastAsia="Times New Roman" w:hAnsi="Times New Roman" w:cs="Times New Roman"/>
                <w:color w:val="000000"/>
                <w:sz w:val="24"/>
                <w:szCs w:val="24"/>
                <w:lang w:eastAsia="pt-BR"/>
              </w:rPr>
              <w:t>o) chefe</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43,7128</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43,1130</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0,5998</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0,77</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Dummy para chefa </w:t>
            </w:r>
            <w:proofErr w:type="gramStart"/>
            <w:r w:rsidRPr="00CE31A5">
              <w:rPr>
                <w:rFonts w:ascii="Times New Roman" w:eastAsia="Times New Roman" w:hAnsi="Times New Roman" w:cs="Times New Roman"/>
                <w:color w:val="000000"/>
                <w:sz w:val="24"/>
                <w:szCs w:val="24"/>
                <w:lang w:eastAsia="pt-BR"/>
              </w:rPr>
              <w:t>ocupada(</w:t>
            </w:r>
            <w:proofErr w:type="gramEnd"/>
            <w:r w:rsidRPr="00CE31A5">
              <w:rPr>
                <w:rFonts w:ascii="Times New Roman" w:eastAsia="Times New Roman" w:hAnsi="Times New Roman" w:cs="Times New Roman"/>
                <w:color w:val="000000"/>
                <w:sz w:val="24"/>
                <w:szCs w:val="24"/>
                <w:lang w:eastAsia="pt-BR"/>
              </w:rPr>
              <w:t>o)</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0,6466</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0,7097</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-0,0631</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0,31</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Dummy para chefa </w:t>
            </w:r>
            <w:proofErr w:type="gramStart"/>
            <w:r w:rsidRPr="00CE31A5">
              <w:rPr>
                <w:rFonts w:ascii="Times New Roman" w:eastAsia="Times New Roman" w:hAnsi="Times New Roman" w:cs="Times New Roman"/>
                <w:color w:val="000000"/>
                <w:sz w:val="24"/>
                <w:szCs w:val="24"/>
                <w:lang w:eastAsia="pt-BR"/>
              </w:rPr>
              <w:t>negra(</w:t>
            </w:r>
            <w:proofErr w:type="gramEnd"/>
            <w:r w:rsidRPr="00CE31A5">
              <w:rPr>
                <w:rFonts w:ascii="Times New Roman" w:eastAsia="Times New Roman" w:hAnsi="Times New Roman" w:cs="Times New Roman"/>
                <w:color w:val="000000"/>
                <w:sz w:val="24"/>
                <w:szCs w:val="24"/>
                <w:lang w:eastAsia="pt-BR"/>
              </w:rPr>
              <w:t>o)/parda(o)</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0,6485</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0,7323</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-0,0838</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0,20</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Escolaridade </w:t>
            </w:r>
            <w:proofErr w:type="gramStart"/>
            <w:r w:rsidRPr="00CE31A5">
              <w:rPr>
                <w:rFonts w:ascii="Times New Roman" w:eastAsia="Times New Roman" w:hAnsi="Times New Roman" w:cs="Times New Roman"/>
                <w:color w:val="000000"/>
                <w:sz w:val="24"/>
                <w:szCs w:val="24"/>
                <w:lang w:eastAsia="pt-BR"/>
              </w:rPr>
              <w:t>da(</w:t>
            </w:r>
            <w:proofErr w:type="gramEnd"/>
            <w:r w:rsidRPr="00CE31A5">
              <w:rPr>
                <w:rFonts w:ascii="Times New Roman" w:eastAsia="Times New Roman" w:hAnsi="Times New Roman" w:cs="Times New Roman"/>
                <w:color w:val="000000"/>
                <w:sz w:val="24"/>
                <w:szCs w:val="24"/>
                <w:lang w:eastAsia="pt-BR"/>
              </w:rPr>
              <w:t>o) chefe</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6,2186</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6,0250</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0,1936</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0,73</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Dummy para presença </w:t>
            </w:r>
            <w:proofErr w:type="gramStart"/>
            <w:r w:rsidRPr="00CE31A5">
              <w:rPr>
                <w:rFonts w:ascii="Times New Roman" w:eastAsia="Times New Roman" w:hAnsi="Times New Roman" w:cs="Times New Roman"/>
                <w:color w:val="000000"/>
                <w:sz w:val="24"/>
                <w:szCs w:val="24"/>
                <w:lang w:eastAsia="pt-BR"/>
              </w:rPr>
              <w:t>do(</w:t>
            </w:r>
            <w:proofErr w:type="gramEnd"/>
            <w:r w:rsidRPr="00CE31A5">
              <w:rPr>
                <w:rFonts w:ascii="Times New Roman" w:eastAsia="Times New Roman" w:hAnsi="Times New Roman" w:cs="Times New Roman"/>
                <w:color w:val="000000"/>
                <w:sz w:val="24"/>
                <w:szCs w:val="24"/>
                <w:lang w:eastAsia="pt-BR"/>
              </w:rPr>
              <w:t>a) cônjuge</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0,7195</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0,7086</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0,0109</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0,84</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Dummy para cônjuge </w:t>
            </w:r>
            <w:proofErr w:type="gramStart"/>
            <w:r w:rsidRPr="00CE31A5">
              <w:rPr>
                <w:rFonts w:ascii="Times New Roman" w:eastAsia="Times New Roman" w:hAnsi="Times New Roman" w:cs="Times New Roman"/>
                <w:color w:val="000000"/>
                <w:sz w:val="24"/>
                <w:szCs w:val="24"/>
                <w:lang w:eastAsia="pt-BR"/>
              </w:rPr>
              <w:t>ocupado(</w:t>
            </w:r>
            <w:proofErr w:type="gramEnd"/>
            <w:r w:rsidRPr="00CE31A5">
              <w:rPr>
                <w:rFonts w:ascii="Times New Roman" w:eastAsia="Times New Roman" w:hAnsi="Times New Roman" w:cs="Times New Roman"/>
                <w:color w:val="000000"/>
                <w:sz w:val="24"/>
                <w:szCs w:val="24"/>
                <w:lang w:eastAsia="pt-BR"/>
              </w:rPr>
              <w:t>a)</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0,3346</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0,3962</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-0,0616</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0,23</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Escolaridade </w:t>
            </w:r>
            <w:proofErr w:type="gramStart"/>
            <w:r w:rsidRPr="00CE31A5">
              <w:rPr>
                <w:rFonts w:ascii="Times New Roman" w:eastAsia="Times New Roman" w:hAnsi="Times New Roman" w:cs="Times New Roman"/>
                <w:color w:val="000000"/>
                <w:sz w:val="24"/>
                <w:szCs w:val="24"/>
                <w:lang w:eastAsia="pt-BR"/>
              </w:rPr>
              <w:t>do(</w:t>
            </w:r>
            <w:proofErr w:type="gramEnd"/>
            <w:r w:rsidRPr="00CE31A5">
              <w:rPr>
                <w:rFonts w:ascii="Times New Roman" w:eastAsia="Times New Roman" w:hAnsi="Times New Roman" w:cs="Times New Roman"/>
                <w:color w:val="000000"/>
                <w:sz w:val="24"/>
                <w:szCs w:val="24"/>
                <w:lang w:eastAsia="pt-BR"/>
              </w:rPr>
              <w:t>a) Cônjuge</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5,6518</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4,6980</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0,9538</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bCs/>
                <w:color w:val="000000"/>
                <w:sz w:val="24"/>
                <w:szCs w:val="24"/>
                <w:lang w:eastAsia="pt-BR"/>
              </w:rPr>
            </w:pPr>
            <w:r w:rsidRPr="00F70ABA">
              <w:rPr>
                <w:rFonts w:ascii="Times New Roman" w:eastAsia="Times New Roman" w:hAnsi="Times New Roman" w:cs="Times New Roman"/>
                <w:bCs/>
                <w:color w:val="000000"/>
                <w:sz w:val="24"/>
                <w:szCs w:val="24"/>
                <w:lang w:eastAsia="pt-BR"/>
              </w:rPr>
              <w:t>0,10</w:t>
            </w:r>
            <w:r w:rsidR="00F70ABA">
              <w:rPr>
                <w:rFonts w:ascii="Times New Roman" w:eastAsia="Times New Roman" w:hAnsi="Times New Roman" w:cs="Times New Roman"/>
                <w:b/>
                <w:bCs/>
                <w:color w:val="000000"/>
                <w:sz w:val="24"/>
                <w:szCs w:val="24"/>
                <w:lang w:eastAsia="pt-BR"/>
              </w:rPr>
              <w:t>*</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Número de membros adultos além do chefe e cônjuge</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2,0764</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2,0926</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-0,0162</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0,92</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Escolaridade média dos outros membros adultos</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4,1454</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4,8861</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-0,7407</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0,33</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Proporção dos outros membros adultos que estão ocupados</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0,2040</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0,2496</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-0,0457</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0,22</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Número de crianças no domicílio</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0,7898</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0,6656</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0,1242</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0,30</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Dummy para presença de Idoso no domicílio</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0,1001</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0,0998</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0,0002</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0,99</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Número de adultos inativos que não frequentam a escola</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0,2000</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0,2400</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-0,0400</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0,43</w:t>
            </w:r>
          </w:p>
        </w:tc>
      </w:tr>
      <w:tr w:rsidR="00CA5846" w:rsidRPr="00CE31A5" w:rsidTr="00454790">
        <w:trPr>
          <w:trHeight w:val="300"/>
          <w:jc w:val="center"/>
        </w:trPr>
        <w:tc>
          <w:tcPr>
            <w:tcW w:w="4815" w:type="dxa"/>
            <w:tcBorders>
              <w:top w:val="nil"/>
              <w:left w:val="nil"/>
              <w:bottom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Tempo de moradia</w:t>
            </w:r>
          </w:p>
        </w:tc>
        <w:tc>
          <w:tcPr>
            <w:tcW w:w="1701"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9,6809</w:t>
            </w:r>
          </w:p>
        </w:tc>
        <w:tc>
          <w:tcPr>
            <w:tcW w:w="1417"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9,2437</w:t>
            </w:r>
          </w:p>
        </w:tc>
        <w:tc>
          <w:tcPr>
            <w:tcW w:w="1140"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0,4372</w:t>
            </w:r>
          </w:p>
        </w:tc>
        <w:tc>
          <w:tcPr>
            <w:tcW w:w="1126" w:type="dxa"/>
            <w:tcBorders>
              <w:top w:val="nil"/>
              <w:left w:val="nil"/>
              <w:bottom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0,62</w:t>
            </w:r>
          </w:p>
        </w:tc>
      </w:tr>
      <w:tr w:rsidR="00CA5846" w:rsidRPr="00CE31A5" w:rsidTr="00454790">
        <w:trPr>
          <w:trHeight w:val="300"/>
          <w:jc w:val="center"/>
        </w:trPr>
        <w:tc>
          <w:tcPr>
            <w:tcW w:w="4815" w:type="dxa"/>
            <w:tcBorders>
              <w:top w:val="nil"/>
              <w:left w:val="nil"/>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i/>
                <w:iCs/>
                <w:color w:val="000000"/>
                <w:sz w:val="24"/>
                <w:szCs w:val="24"/>
                <w:lang w:eastAsia="pt-BR"/>
              </w:rPr>
            </w:pPr>
            <w:r w:rsidRPr="00CE31A5">
              <w:rPr>
                <w:rFonts w:ascii="Times New Roman" w:eastAsia="Times New Roman" w:hAnsi="Times New Roman" w:cs="Times New Roman"/>
                <w:i/>
                <w:iCs/>
                <w:color w:val="000000"/>
                <w:sz w:val="24"/>
                <w:szCs w:val="24"/>
                <w:lang w:eastAsia="pt-BR"/>
              </w:rPr>
              <w:t>Proxy</w:t>
            </w:r>
            <w:r w:rsidRPr="00CE31A5">
              <w:rPr>
                <w:rFonts w:ascii="Times New Roman" w:eastAsia="Times New Roman" w:hAnsi="Times New Roman" w:cs="Times New Roman"/>
                <w:color w:val="000000"/>
                <w:sz w:val="24"/>
                <w:szCs w:val="24"/>
                <w:lang w:eastAsia="pt-BR"/>
              </w:rPr>
              <w:t xml:space="preserve"> para Riqueza do Domicílio</w:t>
            </w:r>
          </w:p>
        </w:tc>
        <w:tc>
          <w:tcPr>
            <w:tcW w:w="1701" w:type="dxa"/>
            <w:tcBorders>
              <w:top w:val="nil"/>
              <w:left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12,7210</w:t>
            </w:r>
          </w:p>
        </w:tc>
        <w:tc>
          <w:tcPr>
            <w:tcW w:w="1417" w:type="dxa"/>
            <w:tcBorders>
              <w:top w:val="nil"/>
              <w:left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13,8400</w:t>
            </w:r>
          </w:p>
        </w:tc>
        <w:tc>
          <w:tcPr>
            <w:tcW w:w="1140" w:type="dxa"/>
            <w:tcBorders>
              <w:top w:val="nil"/>
              <w:left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-1,1190</w:t>
            </w:r>
          </w:p>
        </w:tc>
        <w:tc>
          <w:tcPr>
            <w:tcW w:w="1126" w:type="dxa"/>
            <w:tcBorders>
              <w:top w:val="nil"/>
              <w:left w:val="nil"/>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0,12</w:t>
            </w:r>
          </w:p>
        </w:tc>
      </w:tr>
      <w:tr w:rsidR="00CA5846" w:rsidRPr="00CE31A5" w:rsidTr="00454790">
        <w:trPr>
          <w:trHeight w:val="300"/>
          <w:jc w:val="center"/>
        </w:trPr>
        <w:tc>
          <w:tcPr>
            <w:tcW w:w="4815" w:type="dxa"/>
            <w:tcBorders>
              <w:top w:val="nil"/>
              <w:left w:val="nil"/>
              <w:bottom w:val="single" w:sz="4" w:space="0" w:color="auto"/>
              <w:right w:val="nil"/>
            </w:tcBorders>
            <w:shd w:val="clear" w:color="auto" w:fill="auto"/>
            <w:noWrap/>
            <w:vAlign w:val="center"/>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Dummy para domicílio que recebe IPTU</w:t>
            </w:r>
          </w:p>
        </w:tc>
        <w:tc>
          <w:tcPr>
            <w:tcW w:w="1701" w:type="dxa"/>
            <w:tcBorders>
              <w:top w:val="nil"/>
              <w:left w:val="nil"/>
              <w:bottom w:val="single" w:sz="4" w:space="0" w:color="auto"/>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0,9478</w:t>
            </w:r>
          </w:p>
        </w:tc>
        <w:tc>
          <w:tcPr>
            <w:tcW w:w="1417" w:type="dxa"/>
            <w:tcBorders>
              <w:top w:val="nil"/>
              <w:left w:val="nil"/>
              <w:bottom w:val="single" w:sz="4" w:space="0" w:color="auto"/>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0,9529</w:t>
            </w:r>
          </w:p>
        </w:tc>
        <w:tc>
          <w:tcPr>
            <w:tcW w:w="1140" w:type="dxa"/>
            <w:tcBorders>
              <w:top w:val="nil"/>
              <w:left w:val="nil"/>
              <w:bottom w:val="single" w:sz="4" w:space="0" w:color="auto"/>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-0,0051</w:t>
            </w:r>
          </w:p>
        </w:tc>
        <w:tc>
          <w:tcPr>
            <w:tcW w:w="1126" w:type="dxa"/>
            <w:tcBorders>
              <w:top w:val="nil"/>
              <w:left w:val="nil"/>
              <w:bottom w:val="single" w:sz="4" w:space="0" w:color="auto"/>
              <w:right w:val="nil"/>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0,84</w:t>
            </w:r>
          </w:p>
        </w:tc>
      </w:tr>
    </w:tbl>
    <w:p w:rsidR="00454790" w:rsidRPr="00CE31A5" w:rsidRDefault="00454790" w:rsidP="00454790">
      <w:pPr>
        <w:keepNext/>
        <w:spacing w:after="0"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significante a 10%; ** significante a 5%; *** significante a 1%*.</w:t>
      </w:r>
    </w:p>
    <w:p w:rsidR="007C4B9B" w:rsidRDefault="007C4B9B" w:rsidP="007C4B9B">
      <w:pPr>
        <w:keepNext/>
        <w:spacing w:after="0" w:line="240" w:lineRule="auto"/>
        <w:rPr>
          <w:rFonts w:ascii="Times New Roman" w:eastAsiaTheme="minorEastAsia" w:hAnsi="Times New Roman" w:cs="Times New Roman"/>
          <w:b/>
          <w:sz w:val="24"/>
          <w:szCs w:val="24"/>
          <w:lang w:eastAsia="pt-BR"/>
        </w:rPr>
      </w:pPr>
      <w:bookmarkStart w:id="55" w:name="_Toc350977050"/>
      <w:bookmarkStart w:id="56" w:name="_Toc362259575"/>
    </w:p>
    <w:p w:rsidR="007C4B9B" w:rsidRPr="00840172" w:rsidRDefault="007C4B9B" w:rsidP="007C4B9B">
      <w:pPr>
        <w:keepNext/>
        <w:spacing w:after="0" w:line="240" w:lineRule="auto"/>
        <w:rPr>
          <w:rFonts w:ascii="Times New Roman" w:eastAsiaTheme="minorEastAsia" w:hAnsi="Times New Roman" w:cs="Times New Roman"/>
          <w:b/>
          <w:sz w:val="24"/>
          <w:szCs w:val="24"/>
          <w:lang w:eastAsia="pt-BR"/>
        </w:rPr>
      </w:pPr>
      <w:r w:rsidRPr="00840172">
        <w:rPr>
          <w:rFonts w:ascii="Times New Roman" w:eastAsiaTheme="minorEastAsia" w:hAnsi="Times New Roman" w:cs="Times New Roman"/>
          <w:b/>
          <w:sz w:val="24"/>
          <w:szCs w:val="24"/>
          <w:lang w:eastAsia="pt-BR"/>
        </w:rPr>
        <w:t>Estimação do Escore de Propensão</w:t>
      </w:r>
    </w:p>
    <w:p w:rsidR="0033071B" w:rsidRDefault="007C4B9B" w:rsidP="0033071B">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O primeiro passo para identificar o impacto do programa de regularização fundiária é estimar a probabilidade de recebimento do tratamento tanto para os participantes quanto para os</w:t>
      </w:r>
      <w:r>
        <w:rPr>
          <w:rFonts w:ascii="Times New Roman" w:eastAsiaTheme="minorEastAsia" w:hAnsi="Times New Roman" w:cs="Times New Roman"/>
          <w:sz w:val="24"/>
          <w:szCs w:val="24"/>
          <w:lang w:eastAsia="pt-BR"/>
        </w:rPr>
        <w:t xml:space="preserve"> </w:t>
      </w:r>
      <w:proofErr w:type="gramStart"/>
      <w:r>
        <w:rPr>
          <w:rFonts w:ascii="Times New Roman" w:eastAsiaTheme="minorEastAsia" w:hAnsi="Times New Roman" w:cs="Times New Roman"/>
          <w:sz w:val="24"/>
          <w:szCs w:val="24"/>
          <w:lang w:eastAsia="pt-BR"/>
        </w:rPr>
        <w:t>não-participantes</w:t>
      </w:r>
      <w:proofErr w:type="gramEnd"/>
      <w:r>
        <w:rPr>
          <w:rFonts w:ascii="Times New Roman" w:eastAsiaTheme="minorEastAsia" w:hAnsi="Times New Roman" w:cs="Times New Roman"/>
          <w:sz w:val="24"/>
          <w:szCs w:val="24"/>
          <w:lang w:eastAsia="pt-BR"/>
        </w:rPr>
        <w:t xml:space="preserve"> </w:t>
      </w:r>
      <w:r>
        <w:rPr>
          <w:rFonts w:ascii="Times New Roman" w:eastAsiaTheme="minorEastAsia" w:hAnsi="Times New Roman" w:cs="Times New Roman"/>
          <w:sz w:val="24"/>
          <w:szCs w:val="24"/>
          <w:lang w:eastAsia="pt-BR"/>
        </w:rPr>
        <w:lastRenderedPageBreak/>
        <w:t xml:space="preserve">do programa. </w:t>
      </w:r>
      <w:r w:rsidRPr="00CE31A5">
        <w:rPr>
          <w:rFonts w:ascii="Times New Roman" w:eastAsiaTheme="minorEastAsia" w:hAnsi="Times New Roman" w:cs="Times New Roman"/>
          <w:sz w:val="24"/>
          <w:szCs w:val="24"/>
          <w:lang w:eastAsia="pt-BR"/>
        </w:rPr>
        <w:t xml:space="preserve">As variáveis de controle selecionadas para estimar o </w:t>
      </w:r>
      <w:proofErr w:type="spellStart"/>
      <w:r w:rsidRPr="00CE31A5">
        <w:rPr>
          <w:rFonts w:ascii="Times New Roman" w:eastAsiaTheme="minorEastAsia" w:hAnsi="Times New Roman" w:cs="Times New Roman"/>
          <w:i/>
          <w:sz w:val="24"/>
          <w:szCs w:val="24"/>
          <w:lang w:eastAsia="pt-BR"/>
        </w:rPr>
        <w:t>propensity</w:t>
      </w:r>
      <w:proofErr w:type="spellEnd"/>
      <w:r w:rsidRPr="00CE31A5">
        <w:rPr>
          <w:rFonts w:ascii="Times New Roman" w:eastAsiaTheme="minorEastAsia" w:hAnsi="Times New Roman" w:cs="Times New Roman"/>
          <w:i/>
          <w:sz w:val="24"/>
          <w:szCs w:val="24"/>
          <w:lang w:eastAsia="pt-BR"/>
        </w:rPr>
        <w:t xml:space="preserve"> score</w:t>
      </w:r>
      <w:r w:rsidRPr="00CE31A5">
        <w:rPr>
          <w:rFonts w:ascii="Times New Roman" w:eastAsiaTheme="minorEastAsia" w:hAnsi="Times New Roman" w:cs="Times New Roman"/>
          <w:sz w:val="24"/>
          <w:szCs w:val="24"/>
          <w:lang w:eastAsia="pt-BR"/>
        </w:rPr>
        <w:t xml:space="preserve"> são as mesmas utilizadas para descrever os grupos de tratamento e controle além de quatro variáveis binárias que indicam o local onde o domicílio está situado: </w:t>
      </w:r>
      <w:proofErr w:type="spellStart"/>
      <w:r w:rsidRPr="00CE31A5">
        <w:rPr>
          <w:rFonts w:ascii="Times New Roman" w:eastAsiaTheme="minorEastAsia" w:hAnsi="Times New Roman" w:cs="Times New Roman"/>
          <w:sz w:val="24"/>
          <w:szCs w:val="24"/>
          <w:lang w:eastAsia="pt-BR"/>
        </w:rPr>
        <w:t>Brazlândia</w:t>
      </w:r>
      <w:proofErr w:type="spellEnd"/>
      <w:r w:rsidRPr="00CE31A5">
        <w:rPr>
          <w:rFonts w:ascii="Times New Roman" w:eastAsiaTheme="minorEastAsia" w:hAnsi="Times New Roman" w:cs="Times New Roman"/>
          <w:sz w:val="24"/>
          <w:szCs w:val="24"/>
          <w:lang w:eastAsia="pt-BR"/>
        </w:rPr>
        <w:t xml:space="preserve">, Varjão, Planaltina e Estrutural. Os domicílios localizados em </w:t>
      </w:r>
      <w:proofErr w:type="spellStart"/>
      <w:r w:rsidRPr="00CE31A5">
        <w:rPr>
          <w:rFonts w:ascii="Times New Roman" w:eastAsiaTheme="minorEastAsia" w:hAnsi="Times New Roman" w:cs="Times New Roman"/>
          <w:sz w:val="24"/>
          <w:szCs w:val="24"/>
          <w:lang w:eastAsia="pt-BR"/>
        </w:rPr>
        <w:t>Itapoã</w:t>
      </w:r>
      <w:proofErr w:type="spellEnd"/>
      <w:r w:rsidRPr="00CE31A5">
        <w:rPr>
          <w:rFonts w:ascii="Times New Roman" w:eastAsiaTheme="minorEastAsia" w:hAnsi="Times New Roman" w:cs="Times New Roman"/>
          <w:sz w:val="24"/>
          <w:szCs w:val="24"/>
          <w:lang w:eastAsia="pt-BR"/>
        </w:rPr>
        <w:t xml:space="preserve"> são utilizados como base. </w:t>
      </w:r>
      <w:bookmarkEnd w:id="55"/>
      <w:bookmarkEnd w:id="56"/>
      <w:r w:rsidR="00167AD0">
        <w:rPr>
          <w:rFonts w:ascii="Times New Roman" w:eastAsiaTheme="minorEastAsia" w:hAnsi="Times New Roman" w:cs="Times New Roman"/>
          <w:sz w:val="24"/>
          <w:szCs w:val="24"/>
          <w:lang w:eastAsia="pt-BR"/>
        </w:rPr>
        <w:t xml:space="preserve">Os resultados do modelo que explicam a participação no programa encontram-se na tabela 3. </w:t>
      </w:r>
    </w:p>
    <w:p w:rsidR="005F0001" w:rsidRPr="00CE31A5" w:rsidRDefault="005F0001"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CA5846" w:rsidP="000A5FB9">
      <w:pPr>
        <w:keepNext/>
        <w:spacing w:after="0" w:line="240" w:lineRule="auto"/>
        <w:contextualSpacing/>
        <w:jc w:val="both"/>
        <w:rPr>
          <w:rFonts w:ascii="Times New Roman" w:eastAsiaTheme="minorEastAsia" w:hAnsi="Times New Roman" w:cs="Times New Roman"/>
          <w:b/>
          <w:sz w:val="24"/>
          <w:szCs w:val="24"/>
          <w:lang w:eastAsia="pt-BR"/>
        </w:rPr>
      </w:pPr>
      <w:r w:rsidRPr="000A5FB9">
        <w:rPr>
          <w:rFonts w:ascii="Times New Roman" w:eastAsiaTheme="minorEastAsia" w:hAnsi="Times New Roman" w:cs="Times New Roman"/>
          <w:b/>
          <w:sz w:val="24"/>
          <w:szCs w:val="24"/>
          <w:lang w:eastAsia="pt-BR"/>
        </w:rPr>
        <w:t>Tabela</w:t>
      </w:r>
      <w:r w:rsidR="00305515" w:rsidRPr="000A5FB9">
        <w:rPr>
          <w:rFonts w:ascii="Times New Roman" w:eastAsiaTheme="minorEastAsia" w:hAnsi="Times New Roman" w:cs="Times New Roman"/>
          <w:b/>
          <w:sz w:val="24"/>
          <w:szCs w:val="24"/>
          <w:lang w:eastAsia="pt-BR"/>
        </w:rPr>
        <w:t xml:space="preserve"> 3</w:t>
      </w:r>
      <w:r w:rsidRPr="000A5FB9">
        <w:rPr>
          <w:rFonts w:ascii="Times New Roman" w:eastAsiaTheme="minorEastAsia" w:hAnsi="Times New Roman" w:cs="Times New Roman"/>
          <w:b/>
          <w:sz w:val="24"/>
          <w:szCs w:val="24"/>
          <w:lang w:eastAsia="pt-BR"/>
        </w:rPr>
        <w:t xml:space="preserve"> – </w:t>
      </w:r>
      <w:r w:rsidR="00B8122E" w:rsidRPr="000A5FB9">
        <w:rPr>
          <w:rFonts w:ascii="Times New Roman" w:eastAsiaTheme="minorEastAsia" w:hAnsi="Times New Roman" w:cs="Times New Roman"/>
          <w:b/>
          <w:sz w:val="24"/>
          <w:szCs w:val="24"/>
          <w:lang w:eastAsia="pt-BR"/>
        </w:rPr>
        <w:t>Resultado</w:t>
      </w:r>
      <w:r w:rsidRPr="000A5FB9">
        <w:rPr>
          <w:rFonts w:ascii="Times New Roman" w:eastAsiaTheme="minorEastAsia" w:hAnsi="Times New Roman" w:cs="Times New Roman"/>
          <w:b/>
          <w:sz w:val="24"/>
          <w:szCs w:val="24"/>
          <w:lang w:eastAsia="pt-BR"/>
        </w:rPr>
        <w:t xml:space="preserve"> do </w:t>
      </w:r>
      <w:proofErr w:type="spellStart"/>
      <w:r w:rsidRPr="000A5FB9">
        <w:rPr>
          <w:rFonts w:ascii="Times New Roman" w:eastAsiaTheme="minorEastAsia" w:hAnsi="Times New Roman" w:cs="Times New Roman"/>
          <w:b/>
          <w:sz w:val="24"/>
          <w:szCs w:val="24"/>
          <w:lang w:eastAsia="pt-BR"/>
        </w:rPr>
        <w:t>Logit</w:t>
      </w:r>
      <w:proofErr w:type="spellEnd"/>
      <w:r w:rsidRPr="000A5FB9">
        <w:rPr>
          <w:rFonts w:ascii="Times New Roman" w:eastAsiaTheme="minorEastAsia" w:hAnsi="Times New Roman" w:cs="Times New Roman"/>
          <w:b/>
          <w:sz w:val="24"/>
          <w:szCs w:val="24"/>
          <w:lang w:eastAsia="pt-BR"/>
        </w:rPr>
        <w:t xml:space="preserve">: </w:t>
      </w:r>
      <w:r w:rsidR="00B8122E" w:rsidRPr="000A5FB9">
        <w:rPr>
          <w:rFonts w:ascii="Times New Roman" w:eastAsiaTheme="minorEastAsia" w:hAnsi="Times New Roman" w:cs="Times New Roman"/>
          <w:b/>
          <w:sz w:val="24"/>
          <w:szCs w:val="24"/>
          <w:lang w:eastAsia="pt-BR"/>
        </w:rPr>
        <w:t xml:space="preserve">Escore de Propensão a </w:t>
      </w:r>
      <w:r w:rsidRPr="000A5FB9">
        <w:rPr>
          <w:rFonts w:ascii="Times New Roman" w:eastAsiaTheme="minorEastAsia" w:hAnsi="Times New Roman" w:cs="Times New Roman"/>
          <w:b/>
          <w:sz w:val="24"/>
          <w:szCs w:val="24"/>
          <w:lang w:eastAsia="pt-BR"/>
        </w:rPr>
        <w:t>Participação no Programa</w:t>
      </w:r>
    </w:p>
    <w:tbl>
      <w:tblPr>
        <w:tblW w:w="10520" w:type="dxa"/>
        <w:jc w:val="center"/>
        <w:tblInd w:w="10557" w:type="dxa"/>
        <w:tblCellMar>
          <w:left w:w="70" w:type="dxa"/>
          <w:right w:w="70" w:type="dxa"/>
        </w:tblCellMar>
        <w:tblLook w:val="04A0" w:firstRow="1" w:lastRow="0" w:firstColumn="1" w:lastColumn="0" w:noHBand="0" w:noVBand="1"/>
      </w:tblPr>
      <w:tblGrid>
        <w:gridCol w:w="5883"/>
        <w:gridCol w:w="1559"/>
        <w:gridCol w:w="1701"/>
        <w:gridCol w:w="1377"/>
      </w:tblGrid>
      <w:tr w:rsidR="00F70ABA" w:rsidRPr="00CE31A5" w:rsidTr="00F70ABA">
        <w:trPr>
          <w:trHeight w:val="300"/>
          <w:jc w:val="center"/>
        </w:trPr>
        <w:tc>
          <w:tcPr>
            <w:tcW w:w="5883"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Variáveis</w:t>
            </w:r>
          </w:p>
        </w:tc>
        <w:tc>
          <w:tcPr>
            <w:tcW w:w="1559"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Coeficiente</w:t>
            </w:r>
          </w:p>
        </w:tc>
        <w:tc>
          <w:tcPr>
            <w:tcW w:w="1701"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Desvio-Padrão</w:t>
            </w:r>
          </w:p>
        </w:tc>
        <w:tc>
          <w:tcPr>
            <w:tcW w:w="1377"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Estatística t</w:t>
            </w:r>
          </w:p>
        </w:tc>
      </w:tr>
      <w:tr w:rsidR="00F70ABA" w:rsidRPr="00CE31A5" w:rsidTr="00F70ABA">
        <w:trPr>
          <w:trHeight w:val="300"/>
          <w:jc w:val="center"/>
        </w:trPr>
        <w:tc>
          <w:tcPr>
            <w:tcW w:w="5883"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sexo </w:t>
            </w:r>
            <w:proofErr w:type="gramStart"/>
            <w:r w:rsidRPr="00CE31A5">
              <w:rPr>
                <w:rFonts w:ascii="Times New Roman" w:eastAsia="Times New Roman" w:hAnsi="Times New Roman" w:cs="Times New Roman"/>
                <w:color w:val="000000"/>
                <w:sz w:val="24"/>
                <w:szCs w:val="24"/>
                <w:lang w:eastAsia="pt-BR"/>
              </w:rPr>
              <w:t>da(</w:t>
            </w:r>
            <w:proofErr w:type="gramEnd"/>
            <w:r w:rsidRPr="00CE31A5">
              <w:rPr>
                <w:rFonts w:ascii="Times New Roman" w:eastAsia="Times New Roman" w:hAnsi="Times New Roman" w:cs="Times New Roman"/>
                <w:color w:val="000000"/>
                <w:sz w:val="24"/>
                <w:szCs w:val="24"/>
                <w:lang w:eastAsia="pt-BR"/>
              </w:rPr>
              <w:t>o) chefe (feminino)</w:t>
            </w:r>
          </w:p>
        </w:tc>
        <w:tc>
          <w:tcPr>
            <w:tcW w:w="1559"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-0,0287</w:t>
            </w:r>
          </w:p>
        </w:tc>
        <w:tc>
          <w:tcPr>
            <w:tcW w:w="1701"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0,4285</w:t>
            </w:r>
          </w:p>
        </w:tc>
        <w:tc>
          <w:tcPr>
            <w:tcW w:w="1377" w:type="dxa"/>
            <w:tcBorders>
              <w:top w:val="single" w:sz="4" w:space="0" w:color="auto"/>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-0,07</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Idade </w:t>
            </w:r>
            <w:proofErr w:type="gramStart"/>
            <w:r w:rsidRPr="00CE31A5">
              <w:rPr>
                <w:rFonts w:ascii="Times New Roman" w:eastAsia="Times New Roman" w:hAnsi="Times New Roman" w:cs="Times New Roman"/>
                <w:color w:val="000000"/>
                <w:sz w:val="24"/>
                <w:szCs w:val="24"/>
                <w:lang w:eastAsia="pt-BR"/>
              </w:rPr>
              <w:t>da(</w:t>
            </w:r>
            <w:proofErr w:type="gramEnd"/>
            <w:r w:rsidRPr="00CE31A5">
              <w:rPr>
                <w:rFonts w:ascii="Times New Roman" w:eastAsia="Times New Roman" w:hAnsi="Times New Roman" w:cs="Times New Roman"/>
                <w:color w:val="000000"/>
                <w:sz w:val="24"/>
                <w:szCs w:val="24"/>
                <w:lang w:eastAsia="pt-BR"/>
              </w:rPr>
              <w:t>o) chefe</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0,0114</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0,0170</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0,67</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chefa </w:t>
            </w:r>
            <w:proofErr w:type="gramStart"/>
            <w:r w:rsidRPr="00CE31A5">
              <w:rPr>
                <w:rFonts w:ascii="Times New Roman" w:eastAsia="Times New Roman" w:hAnsi="Times New Roman" w:cs="Times New Roman"/>
                <w:color w:val="000000"/>
                <w:sz w:val="24"/>
                <w:szCs w:val="24"/>
                <w:lang w:eastAsia="pt-BR"/>
              </w:rPr>
              <w:t>ocupada(</w:t>
            </w:r>
            <w:proofErr w:type="gramEnd"/>
            <w:r w:rsidRPr="00CE31A5">
              <w:rPr>
                <w:rFonts w:ascii="Times New Roman" w:eastAsia="Times New Roman" w:hAnsi="Times New Roman" w:cs="Times New Roman"/>
                <w:color w:val="000000"/>
                <w:sz w:val="24"/>
                <w:szCs w:val="24"/>
                <w:lang w:eastAsia="pt-BR"/>
              </w:rPr>
              <w:t>o)</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-0,1791</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0,3426</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-0,52</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chefa </w:t>
            </w:r>
            <w:proofErr w:type="gramStart"/>
            <w:r w:rsidRPr="00CE31A5">
              <w:rPr>
                <w:rFonts w:ascii="Times New Roman" w:eastAsia="Times New Roman" w:hAnsi="Times New Roman" w:cs="Times New Roman"/>
                <w:color w:val="000000"/>
                <w:sz w:val="24"/>
                <w:szCs w:val="24"/>
                <w:lang w:eastAsia="pt-BR"/>
              </w:rPr>
              <w:t>negra(</w:t>
            </w:r>
            <w:proofErr w:type="gramEnd"/>
            <w:r w:rsidRPr="00CE31A5">
              <w:rPr>
                <w:rFonts w:ascii="Times New Roman" w:eastAsia="Times New Roman" w:hAnsi="Times New Roman" w:cs="Times New Roman"/>
                <w:color w:val="000000"/>
                <w:sz w:val="24"/>
                <w:szCs w:val="24"/>
                <w:lang w:eastAsia="pt-BR"/>
              </w:rPr>
              <w:t>o)/parda(o)</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-0,4161</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0,2731</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-1,52</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Escolaridade </w:t>
            </w:r>
            <w:proofErr w:type="gramStart"/>
            <w:r w:rsidRPr="00CE31A5">
              <w:rPr>
                <w:rFonts w:ascii="Times New Roman" w:eastAsia="Times New Roman" w:hAnsi="Times New Roman" w:cs="Times New Roman"/>
                <w:color w:val="000000"/>
                <w:sz w:val="24"/>
                <w:szCs w:val="24"/>
                <w:lang w:eastAsia="pt-BR"/>
              </w:rPr>
              <w:t>da(</w:t>
            </w:r>
            <w:proofErr w:type="gramEnd"/>
            <w:r w:rsidRPr="00CE31A5">
              <w:rPr>
                <w:rFonts w:ascii="Times New Roman" w:eastAsia="Times New Roman" w:hAnsi="Times New Roman" w:cs="Times New Roman"/>
                <w:color w:val="000000"/>
                <w:sz w:val="24"/>
                <w:szCs w:val="24"/>
                <w:lang w:eastAsia="pt-BR"/>
              </w:rPr>
              <w:t>o) chefe</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0,0305</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0,3469</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0,09</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presença </w:t>
            </w:r>
            <w:proofErr w:type="gramStart"/>
            <w:r w:rsidRPr="00CE31A5">
              <w:rPr>
                <w:rFonts w:ascii="Times New Roman" w:eastAsia="Times New Roman" w:hAnsi="Times New Roman" w:cs="Times New Roman"/>
                <w:color w:val="000000"/>
                <w:sz w:val="24"/>
                <w:szCs w:val="24"/>
                <w:lang w:eastAsia="pt-BR"/>
              </w:rPr>
              <w:t>do(</w:t>
            </w:r>
            <w:proofErr w:type="gramEnd"/>
            <w:r w:rsidRPr="00CE31A5">
              <w:rPr>
                <w:rFonts w:ascii="Times New Roman" w:eastAsia="Times New Roman" w:hAnsi="Times New Roman" w:cs="Times New Roman"/>
                <w:color w:val="000000"/>
                <w:sz w:val="24"/>
                <w:szCs w:val="24"/>
                <w:lang w:eastAsia="pt-BR"/>
              </w:rPr>
              <w:t>a) cônjuge</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-0,1809</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0,4884</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-0,37</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cônjuge </w:t>
            </w:r>
            <w:proofErr w:type="gramStart"/>
            <w:r w:rsidRPr="00CE31A5">
              <w:rPr>
                <w:rFonts w:ascii="Times New Roman" w:eastAsia="Times New Roman" w:hAnsi="Times New Roman" w:cs="Times New Roman"/>
                <w:color w:val="000000"/>
                <w:sz w:val="24"/>
                <w:szCs w:val="24"/>
                <w:lang w:eastAsia="pt-BR"/>
              </w:rPr>
              <w:t>ocupado(</w:t>
            </w:r>
            <w:proofErr w:type="gramEnd"/>
            <w:r w:rsidRPr="00CE31A5">
              <w:rPr>
                <w:rFonts w:ascii="Times New Roman" w:eastAsia="Times New Roman" w:hAnsi="Times New Roman" w:cs="Times New Roman"/>
                <w:color w:val="000000"/>
                <w:sz w:val="24"/>
                <w:szCs w:val="24"/>
                <w:lang w:eastAsia="pt-BR"/>
              </w:rPr>
              <w:t>a)</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-0,1487</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0,2980</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-0,50</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 xml:space="preserve">Escolaridade </w:t>
            </w:r>
            <w:proofErr w:type="gramStart"/>
            <w:r w:rsidRPr="00CE31A5">
              <w:rPr>
                <w:rFonts w:ascii="Times New Roman" w:eastAsia="Times New Roman" w:hAnsi="Times New Roman" w:cs="Times New Roman"/>
                <w:color w:val="000000"/>
                <w:sz w:val="24"/>
                <w:szCs w:val="24"/>
                <w:lang w:eastAsia="pt-BR"/>
              </w:rPr>
              <w:t>do(</w:t>
            </w:r>
            <w:proofErr w:type="gramEnd"/>
            <w:r w:rsidRPr="00CE31A5">
              <w:rPr>
                <w:rFonts w:ascii="Times New Roman" w:eastAsia="Times New Roman" w:hAnsi="Times New Roman" w:cs="Times New Roman"/>
                <w:color w:val="000000"/>
                <w:sz w:val="24"/>
                <w:szCs w:val="24"/>
                <w:lang w:eastAsia="pt-BR"/>
              </w:rPr>
              <w:t>a) Cônjuge</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0,0656</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0,0357</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1,84</w:t>
            </w:r>
            <w:r w:rsidR="00826F87">
              <w:rPr>
                <w:rFonts w:ascii="Times New Roman" w:eastAsia="Times New Roman" w:hAnsi="Times New Roman" w:cs="Times New Roman"/>
                <w:color w:val="000000"/>
                <w:sz w:val="24"/>
                <w:szCs w:val="24"/>
                <w:lang w:eastAsia="pt-BR"/>
              </w:rPr>
              <w:t>*</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Número de membros adultos do domicílio além do chefe e cônjuge</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0,1392</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0,1334</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1,04</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Escolaridade média dos outros membros adultos</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-0,0280</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0,0376</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-0,75</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Proporção dos outros membros adultos que estão ocupados</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-0,1103</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0,4543</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-0,24</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Número de crianças no domicílio</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0,1983</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0,2321</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0,85</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presença de Idoso no domicílio</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0,4423</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0,5569</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0,79</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Número de adultos inativos que não frequentam a escola</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-0,4190</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0,3771</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-1,11</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Tempo de moradia</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0,0549</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0,0291</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1,88</w:t>
            </w:r>
            <w:r w:rsidR="00826F87">
              <w:rPr>
                <w:rFonts w:ascii="Times New Roman" w:eastAsia="Times New Roman" w:hAnsi="Times New Roman" w:cs="Times New Roman"/>
                <w:color w:val="000000"/>
                <w:sz w:val="24"/>
                <w:szCs w:val="24"/>
                <w:lang w:eastAsia="pt-BR"/>
              </w:rPr>
              <w:t>*</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i/>
                <w:iCs/>
                <w:color w:val="000000"/>
                <w:sz w:val="24"/>
                <w:szCs w:val="24"/>
                <w:lang w:eastAsia="pt-BR"/>
              </w:rPr>
              <w:t>Proxy</w:t>
            </w:r>
            <w:r w:rsidRPr="00CE31A5">
              <w:rPr>
                <w:rFonts w:ascii="Times New Roman" w:eastAsia="Times New Roman" w:hAnsi="Times New Roman" w:cs="Times New Roman"/>
                <w:color w:val="000000"/>
                <w:sz w:val="24"/>
                <w:szCs w:val="24"/>
                <w:lang w:eastAsia="pt-BR"/>
              </w:rPr>
              <w:t xml:space="preserve"> para Riqueza do Domicílio</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-0,0502</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0,0327</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-1,54</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domicílio que recebe IPTU</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1,5031</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0,7869</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1,91</w:t>
            </w:r>
            <w:r w:rsidR="00826F87">
              <w:rPr>
                <w:rFonts w:ascii="Times New Roman" w:eastAsia="Times New Roman" w:hAnsi="Times New Roman" w:cs="Times New Roman"/>
                <w:color w:val="000000"/>
                <w:sz w:val="24"/>
                <w:szCs w:val="24"/>
                <w:lang w:eastAsia="pt-BR"/>
              </w:rPr>
              <w:t>*</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domicílio localizado em Brazlândia</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1,2214</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0,7070</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1,73</w:t>
            </w:r>
            <w:r w:rsidR="00826F87">
              <w:rPr>
                <w:rFonts w:ascii="Times New Roman" w:eastAsia="Times New Roman" w:hAnsi="Times New Roman" w:cs="Times New Roman"/>
                <w:color w:val="000000"/>
                <w:sz w:val="24"/>
                <w:szCs w:val="24"/>
                <w:lang w:eastAsia="pt-BR"/>
              </w:rPr>
              <w:t>*</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domicílio localizado em Planaltina</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-2,0422</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0,4116</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-4,96</w:t>
            </w:r>
            <w:r w:rsidR="00826F87">
              <w:rPr>
                <w:rFonts w:ascii="Times New Roman" w:eastAsia="Times New Roman" w:hAnsi="Times New Roman" w:cs="Times New Roman"/>
                <w:color w:val="000000"/>
                <w:sz w:val="24"/>
                <w:szCs w:val="24"/>
                <w:lang w:eastAsia="pt-BR"/>
              </w:rPr>
              <w:t>***</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domicílio localizado no Varjão</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1,1125</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0,4710</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2,36</w:t>
            </w:r>
            <w:r w:rsidR="00826F87">
              <w:rPr>
                <w:rFonts w:ascii="Times New Roman" w:eastAsia="Times New Roman" w:hAnsi="Times New Roman" w:cs="Times New Roman"/>
                <w:color w:val="000000"/>
                <w:sz w:val="24"/>
                <w:szCs w:val="24"/>
                <w:lang w:eastAsia="pt-BR"/>
              </w:rPr>
              <w:t>**</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Dummy</w:t>
            </w:r>
            <w:proofErr w:type="spellEnd"/>
            <w:r w:rsidRPr="00CE31A5">
              <w:rPr>
                <w:rFonts w:ascii="Times New Roman" w:eastAsia="Times New Roman" w:hAnsi="Times New Roman" w:cs="Times New Roman"/>
                <w:color w:val="000000"/>
                <w:sz w:val="24"/>
                <w:szCs w:val="24"/>
                <w:lang w:eastAsia="pt-BR"/>
              </w:rPr>
              <w:t xml:space="preserve"> para domicílio localizado na Estrutural</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-2,9383</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0,4407</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-6,67</w:t>
            </w:r>
            <w:r w:rsidR="00826F87">
              <w:rPr>
                <w:rFonts w:ascii="Times New Roman" w:eastAsia="Times New Roman" w:hAnsi="Times New Roman" w:cs="Times New Roman"/>
                <w:color w:val="000000"/>
                <w:sz w:val="24"/>
                <w:szCs w:val="24"/>
                <w:lang w:eastAsia="pt-BR"/>
              </w:rPr>
              <w:t>***</w:t>
            </w:r>
          </w:p>
        </w:tc>
      </w:tr>
      <w:tr w:rsidR="00F70ABA" w:rsidRPr="00CE31A5" w:rsidTr="00F70ABA">
        <w:trPr>
          <w:trHeight w:val="300"/>
          <w:jc w:val="center"/>
        </w:trPr>
        <w:tc>
          <w:tcPr>
            <w:tcW w:w="5883"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Constante</w:t>
            </w:r>
          </w:p>
        </w:tc>
        <w:tc>
          <w:tcPr>
            <w:tcW w:w="1559"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-1,8680</w:t>
            </w:r>
          </w:p>
        </w:tc>
        <w:tc>
          <w:tcPr>
            <w:tcW w:w="1701"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1,3654</w:t>
            </w:r>
          </w:p>
        </w:tc>
        <w:tc>
          <w:tcPr>
            <w:tcW w:w="1377" w:type="dxa"/>
            <w:tcBorders>
              <w:top w:val="nil"/>
              <w:left w:val="nil"/>
              <w:bottom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-1,47</w:t>
            </w:r>
          </w:p>
        </w:tc>
      </w:tr>
      <w:tr w:rsidR="00F70ABA" w:rsidRPr="00CE31A5" w:rsidTr="00F70ABA">
        <w:trPr>
          <w:trHeight w:val="300"/>
          <w:jc w:val="center"/>
        </w:trPr>
        <w:tc>
          <w:tcPr>
            <w:tcW w:w="5883" w:type="dxa"/>
            <w:tcBorders>
              <w:top w:val="nil"/>
              <w:left w:val="nil"/>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proofErr w:type="spellStart"/>
            <w:r w:rsidRPr="00CE31A5">
              <w:rPr>
                <w:rFonts w:ascii="Times New Roman" w:eastAsia="Times New Roman" w:hAnsi="Times New Roman" w:cs="Times New Roman"/>
                <w:color w:val="000000"/>
                <w:sz w:val="24"/>
                <w:szCs w:val="24"/>
                <w:lang w:eastAsia="pt-BR"/>
              </w:rPr>
              <w:t>Pseudo</w:t>
            </w:r>
            <w:proofErr w:type="spellEnd"/>
            <w:r w:rsidRPr="00CE31A5">
              <w:rPr>
                <w:rFonts w:ascii="Times New Roman" w:eastAsia="Times New Roman" w:hAnsi="Times New Roman" w:cs="Times New Roman"/>
                <w:color w:val="000000"/>
                <w:sz w:val="24"/>
                <w:szCs w:val="24"/>
                <w:lang w:eastAsia="pt-BR"/>
              </w:rPr>
              <w:t xml:space="preserve"> R2</w:t>
            </w:r>
          </w:p>
        </w:tc>
        <w:tc>
          <w:tcPr>
            <w:tcW w:w="1559" w:type="dxa"/>
            <w:tcBorders>
              <w:top w:val="nil"/>
              <w:left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0,2534</w:t>
            </w:r>
          </w:p>
        </w:tc>
        <w:tc>
          <w:tcPr>
            <w:tcW w:w="1701" w:type="dxa"/>
            <w:tcBorders>
              <w:top w:val="nil"/>
              <w:left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p>
        </w:tc>
        <w:tc>
          <w:tcPr>
            <w:tcW w:w="1377" w:type="dxa"/>
            <w:tcBorders>
              <w:top w:val="nil"/>
              <w:left w:val="nil"/>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p>
        </w:tc>
      </w:tr>
      <w:tr w:rsidR="00F70ABA" w:rsidRPr="00CE31A5" w:rsidTr="00F70ABA">
        <w:trPr>
          <w:trHeight w:val="300"/>
          <w:jc w:val="center"/>
        </w:trPr>
        <w:tc>
          <w:tcPr>
            <w:tcW w:w="5883" w:type="dxa"/>
            <w:tcBorders>
              <w:top w:val="nil"/>
              <w:left w:val="nil"/>
              <w:bottom w:val="single" w:sz="4" w:space="0" w:color="auto"/>
              <w:right w:val="nil"/>
            </w:tcBorders>
            <w:shd w:val="clear" w:color="auto" w:fill="auto"/>
            <w:noWrap/>
            <w:vAlign w:val="bottom"/>
            <w:hideMark/>
          </w:tcPr>
          <w:p w:rsidR="00F70ABA" w:rsidRPr="00CE31A5" w:rsidRDefault="00F70ABA"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Número de Observações</w:t>
            </w:r>
          </w:p>
        </w:tc>
        <w:tc>
          <w:tcPr>
            <w:tcW w:w="1559" w:type="dxa"/>
            <w:tcBorders>
              <w:top w:val="nil"/>
              <w:left w:val="nil"/>
              <w:bottom w:val="single" w:sz="4" w:space="0" w:color="auto"/>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490</w:t>
            </w:r>
          </w:p>
        </w:tc>
        <w:tc>
          <w:tcPr>
            <w:tcW w:w="1701" w:type="dxa"/>
            <w:tcBorders>
              <w:top w:val="nil"/>
              <w:left w:val="nil"/>
              <w:bottom w:val="single" w:sz="4" w:space="0" w:color="auto"/>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p>
        </w:tc>
        <w:tc>
          <w:tcPr>
            <w:tcW w:w="1377" w:type="dxa"/>
            <w:tcBorders>
              <w:top w:val="nil"/>
              <w:left w:val="nil"/>
              <w:bottom w:val="single" w:sz="4" w:space="0" w:color="auto"/>
              <w:right w:val="nil"/>
            </w:tcBorders>
            <w:shd w:val="clear" w:color="auto" w:fill="auto"/>
            <w:noWrap/>
            <w:vAlign w:val="bottom"/>
            <w:hideMark/>
          </w:tcPr>
          <w:p w:rsidR="00F70ABA" w:rsidRPr="00CE31A5" w:rsidRDefault="00F70ABA" w:rsidP="00454790">
            <w:pPr>
              <w:keepNext/>
              <w:spacing w:after="0" w:line="240" w:lineRule="auto"/>
              <w:contextualSpacing/>
              <w:jc w:val="center"/>
              <w:rPr>
                <w:rFonts w:ascii="Times New Roman" w:eastAsia="Times New Roman" w:hAnsi="Times New Roman" w:cs="Times New Roman"/>
                <w:color w:val="000000"/>
                <w:sz w:val="24"/>
                <w:szCs w:val="24"/>
                <w:lang w:eastAsia="pt-BR"/>
              </w:rPr>
            </w:pPr>
          </w:p>
        </w:tc>
      </w:tr>
    </w:tbl>
    <w:p w:rsidR="00CA5846" w:rsidRPr="00CE31A5" w:rsidRDefault="00CA5846" w:rsidP="00454790">
      <w:pPr>
        <w:keepNext/>
        <w:spacing w:after="0"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significante a 10%; ** significante a 5%; *** significante a 1%*.</w:t>
      </w:r>
    </w:p>
    <w:p w:rsidR="00CA5846" w:rsidRPr="00CE31A5" w:rsidRDefault="00CA5846" w:rsidP="00454790">
      <w:pPr>
        <w:keepNext/>
        <w:spacing w:after="0"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Nota: O grupo de referência para as variáveis binárias de localização é o dos domicílios localizados em Itapoã.</w:t>
      </w:r>
    </w:p>
    <w:p w:rsidR="00CA5846" w:rsidRPr="00CE31A5" w:rsidRDefault="00CA5846" w:rsidP="00E263F8">
      <w:pPr>
        <w:spacing w:after="0" w:line="240" w:lineRule="auto"/>
        <w:ind w:firstLine="709"/>
        <w:contextualSpacing/>
        <w:jc w:val="both"/>
        <w:rPr>
          <w:rFonts w:ascii="Times New Roman" w:eastAsiaTheme="minorEastAsia" w:hAnsi="Times New Roman" w:cs="Times New Roman"/>
          <w:sz w:val="24"/>
          <w:szCs w:val="24"/>
          <w:lang w:eastAsia="pt-BR"/>
        </w:rPr>
      </w:pPr>
    </w:p>
    <w:p w:rsidR="0033071B" w:rsidRPr="00CE31A5" w:rsidRDefault="0033071B" w:rsidP="0033071B">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As variáveis de características do chefe do domicílio, do cônjuge e dos outros membros foram incluídas no modelo para especificar a composição do domicílio e para captar o processo de tomada de decisão do domicílio como um todo. Quanto mais membros no domicílio, menos restrita é a decisão de um indivíduo em ofertar trabalho condicional à defesa da propriedade, por exemplo. Além disso, as variáveis de escolaridade afetam tanto as variáveis de resultado – como renda e oferta de trabalho – quanto à própria designação ao programa, levando em consideração que se assumiu que o conhecimento da promulgação do PDOT é um dos fatores que levaram os domicílios do grupo de tratamento a responderem que o imóvel estava localizado em um terreno regularizado.</w:t>
      </w:r>
    </w:p>
    <w:p w:rsidR="0033071B" w:rsidRPr="00CE31A5" w:rsidRDefault="0033071B" w:rsidP="0033071B">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As variáveis “número de crianças no domicílio”, “</w:t>
      </w:r>
      <w:proofErr w:type="spellStart"/>
      <w:r w:rsidRPr="00CE31A5">
        <w:rPr>
          <w:rFonts w:ascii="Times New Roman" w:eastAsiaTheme="minorEastAsia" w:hAnsi="Times New Roman" w:cs="Times New Roman"/>
          <w:sz w:val="24"/>
          <w:szCs w:val="24"/>
          <w:lang w:eastAsia="pt-BR"/>
        </w:rPr>
        <w:t>dummy</w:t>
      </w:r>
      <w:proofErr w:type="spellEnd"/>
      <w:r w:rsidRPr="00CE31A5">
        <w:rPr>
          <w:rFonts w:ascii="Times New Roman" w:eastAsiaTheme="minorEastAsia" w:hAnsi="Times New Roman" w:cs="Times New Roman"/>
          <w:sz w:val="24"/>
          <w:szCs w:val="24"/>
          <w:lang w:eastAsia="pt-BR"/>
        </w:rPr>
        <w:t xml:space="preserve"> para presença de idoso no domicílio” e “número de adultos inativos e que não frequentam escola” foram incluídas na tentativa de captar a segurança fornecida pelos membros que ficam no domicílio, diminuindo o custo de oportunidade do trabalho dos demais membros. No caso das crianças, estas demandam os cuidados de adultos, que por sua vez garantem alguma segurança à propriedade.</w:t>
      </w:r>
    </w:p>
    <w:p w:rsidR="0033071B" w:rsidRPr="00CE31A5" w:rsidRDefault="0033071B" w:rsidP="0033071B">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lastRenderedPageBreak/>
        <w:t xml:space="preserve">A variável de tempo de moradia também está ligada a percepção de segurança do domicílio, mas esta relação pode se configurar em duas direções. De um lado, quanto maior o tempo de moradia, mais consolidado está o direito de propriedade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(sendo definida em lei a possibilidade de usucapião). Por outro, quanto maior a percepção de segurança quanto à posse do domicílio maior é a probabilidade de os moradores </w:t>
      </w:r>
      <w:proofErr w:type="gramStart"/>
      <w:r w:rsidRPr="00CE31A5">
        <w:rPr>
          <w:rFonts w:ascii="Times New Roman" w:eastAsiaTheme="minorEastAsia" w:hAnsi="Times New Roman" w:cs="Times New Roman"/>
          <w:sz w:val="24"/>
          <w:szCs w:val="24"/>
          <w:lang w:eastAsia="pt-BR"/>
        </w:rPr>
        <w:t>permanecer</w:t>
      </w:r>
      <w:r>
        <w:rPr>
          <w:rFonts w:ascii="Times New Roman" w:eastAsiaTheme="minorEastAsia" w:hAnsi="Times New Roman" w:cs="Times New Roman"/>
          <w:sz w:val="24"/>
          <w:szCs w:val="24"/>
          <w:lang w:eastAsia="pt-BR"/>
        </w:rPr>
        <w:t>em</w:t>
      </w:r>
      <w:proofErr w:type="gramEnd"/>
      <w:r w:rsidRPr="00CE31A5">
        <w:rPr>
          <w:rFonts w:ascii="Times New Roman" w:eastAsiaTheme="minorEastAsia" w:hAnsi="Times New Roman" w:cs="Times New Roman"/>
          <w:sz w:val="24"/>
          <w:szCs w:val="24"/>
          <w:lang w:eastAsia="pt-BR"/>
        </w:rPr>
        <w:t xml:space="preserve"> mais tempo no imóvel. Como as áreas passíveis de regularização foram definidas conforme a existência de ocupações já consolidadas optou-se por incluir a variável de tempo de moradia como uma variável explicativa para a participação no programa.</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As variáveis binárias que indicam a localização do domicílio captam algumas particularidades locais, como distância ao centro, oferta de transporte público, mercado de trabalho local, padrão </w:t>
      </w:r>
      <w:proofErr w:type="gramStart"/>
      <w:r w:rsidRPr="00CE31A5">
        <w:rPr>
          <w:rFonts w:ascii="Times New Roman" w:eastAsiaTheme="minorEastAsia" w:hAnsi="Times New Roman" w:cs="Times New Roman"/>
          <w:sz w:val="24"/>
          <w:szCs w:val="24"/>
          <w:lang w:eastAsia="pt-BR"/>
        </w:rPr>
        <w:t>e</w:t>
      </w:r>
      <w:proofErr w:type="gramEnd"/>
      <w:r w:rsidRPr="00CE31A5">
        <w:rPr>
          <w:rFonts w:ascii="Times New Roman" w:eastAsiaTheme="minorEastAsia" w:hAnsi="Times New Roman" w:cs="Times New Roman"/>
          <w:sz w:val="24"/>
          <w:szCs w:val="24"/>
          <w:lang w:eastAsia="pt-BR"/>
        </w:rPr>
        <w:t xml:space="preserve"> </w:t>
      </w:r>
      <w:proofErr w:type="gramStart"/>
      <w:r w:rsidRPr="00CE31A5">
        <w:rPr>
          <w:rFonts w:ascii="Times New Roman" w:eastAsiaTheme="minorEastAsia" w:hAnsi="Times New Roman" w:cs="Times New Roman"/>
          <w:sz w:val="24"/>
          <w:szCs w:val="24"/>
          <w:lang w:eastAsia="pt-BR"/>
        </w:rPr>
        <w:t>determinantes</w:t>
      </w:r>
      <w:proofErr w:type="gramEnd"/>
      <w:r w:rsidRPr="00CE31A5">
        <w:rPr>
          <w:rFonts w:ascii="Times New Roman" w:eastAsiaTheme="minorEastAsia" w:hAnsi="Times New Roman" w:cs="Times New Roman"/>
          <w:sz w:val="24"/>
          <w:szCs w:val="24"/>
          <w:lang w:eastAsia="pt-BR"/>
        </w:rPr>
        <w:t xml:space="preserve"> das ocupações.</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Como foi visto, não é necessário que o imóvel esteja escriturado para que seja cobrado o IPTU dos moradores e 95% dos domicílios, tanto do grupo de tratamento quanto do grupo de controle, de fato são cobrados. A inclusão dessa variável é justificada pelo fato de a cobrança indicar aos moradores uma sinalização por parte do Governo que esses receberão a escritura do imóvel. Ou seja, pode indicar um reconhecimento do direito de propriedade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w:t>
      </w:r>
    </w:p>
    <w:p w:rsidR="00CA5846" w:rsidRPr="00CE31A5" w:rsidRDefault="00CA5846" w:rsidP="00960D47">
      <w:pPr>
        <w:spacing w:after="0" w:line="240" w:lineRule="auto"/>
        <w:ind w:firstLine="709"/>
        <w:contextualSpacing/>
        <w:rPr>
          <w:rFonts w:ascii="Times New Roman" w:eastAsiaTheme="minorEastAsia" w:hAnsi="Times New Roman" w:cs="Times New Roman"/>
          <w:b/>
          <w:sz w:val="24"/>
          <w:szCs w:val="24"/>
          <w:lang w:eastAsia="pt-BR"/>
        </w:rPr>
      </w:pPr>
    </w:p>
    <w:p w:rsidR="001C2215" w:rsidRDefault="00CA5846" w:rsidP="00960D47">
      <w:pPr>
        <w:keepNext/>
        <w:spacing w:after="0"/>
        <w:contextualSpacing/>
        <w:rPr>
          <w:rFonts w:ascii="Times New Roman" w:eastAsiaTheme="minorEastAsia" w:hAnsi="Times New Roman" w:cs="Times New Roman"/>
          <w:b/>
          <w:sz w:val="24"/>
          <w:szCs w:val="24"/>
          <w:lang w:eastAsia="pt-BR"/>
        </w:rPr>
      </w:pPr>
      <w:bookmarkStart w:id="57" w:name="_Toc350977051"/>
      <w:bookmarkStart w:id="58" w:name="_Toc362259576"/>
      <w:r w:rsidRPr="00CE31A5">
        <w:rPr>
          <w:rFonts w:ascii="Times New Roman" w:eastAsiaTheme="minorEastAsia" w:hAnsi="Times New Roman" w:cs="Times New Roman"/>
          <w:b/>
          <w:sz w:val="24"/>
          <w:szCs w:val="24"/>
          <w:lang w:eastAsia="pt-BR"/>
        </w:rPr>
        <w:t>Resultados</w:t>
      </w:r>
      <w:bookmarkEnd w:id="57"/>
      <w:bookmarkEnd w:id="58"/>
      <w:r w:rsidR="005412CD">
        <w:rPr>
          <w:rFonts w:ascii="Times New Roman" w:eastAsiaTheme="minorEastAsia" w:hAnsi="Times New Roman" w:cs="Times New Roman"/>
          <w:b/>
          <w:sz w:val="24"/>
          <w:szCs w:val="24"/>
          <w:lang w:eastAsia="pt-BR"/>
        </w:rPr>
        <w:t xml:space="preserve"> </w:t>
      </w:r>
      <w:bookmarkStart w:id="59" w:name="_Toc350977052"/>
      <w:bookmarkStart w:id="60" w:name="_Toc362259577"/>
    </w:p>
    <w:p w:rsidR="00960D47" w:rsidRDefault="00960D47" w:rsidP="00960D47">
      <w:pPr>
        <w:keepNext/>
        <w:spacing w:after="0"/>
        <w:contextualSpacing/>
        <w:rPr>
          <w:rFonts w:ascii="Times New Roman" w:eastAsiaTheme="minorEastAsia" w:hAnsi="Times New Roman" w:cs="Times New Roman"/>
          <w:b/>
          <w:sz w:val="24"/>
          <w:szCs w:val="24"/>
          <w:lang w:eastAsia="pt-BR"/>
        </w:rPr>
      </w:pPr>
    </w:p>
    <w:p w:rsidR="00CA5846" w:rsidRPr="00840172" w:rsidRDefault="005412CD" w:rsidP="00960D47">
      <w:pPr>
        <w:keepNext/>
        <w:spacing w:after="0"/>
        <w:contextualSpacing/>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t xml:space="preserve"> </w:t>
      </w:r>
      <w:r w:rsidR="00CA5846" w:rsidRPr="00840172">
        <w:rPr>
          <w:rFonts w:ascii="Times New Roman" w:eastAsiaTheme="minorEastAsia" w:hAnsi="Times New Roman" w:cs="Times New Roman"/>
          <w:b/>
          <w:sz w:val="24"/>
          <w:szCs w:val="24"/>
          <w:lang w:eastAsia="pt-BR"/>
        </w:rPr>
        <w:t>Oferta de Trabalho</w:t>
      </w:r>
      <w:bookmarkEnd w:id="59"/>
      <w:bookmarkEnd w:id="60"/>
    </w:p>
    <w:p w:rsidR="00EF4553" w:rsidRDefault="00EF4553" w:rsidP="00960D47">
      <w:pPr>
        <w:spacing w:after="0" w:line="240" w:lineRule="auto"/>
        <w:ind w:firstLine="709"/>
        <w:contextualSpacing/>
        <w:jc w:val="both"/>
        <w:rPr>
          <w:rFonts w:ascii="Times New Roman" w:eastAsiaTheme="minorEastAsia" w:hAnsi="Times New Roman" w:cs="Times New Roman"/>
          <w:sz w:val="24"/>
          <w:szCs w:val="24"/>
          <w:lang w:eastAsia="pt-BR"/>
        </w:rPr>
      </w:pPr>
      <w:r w:rsidRPr="002D69EA">
        <w:rPr>
          <w:rFonts w:ascii="Times New Roman" w:eastAsiaTheme="minorEastAsia" w:hAnsi="Times New Roman" w:cs="Times New Roman"/>
          <w:sz w:val="24"/>
          <w:szCs w:val="24"/>
          <w:lang w:eastAsia="pt-BR"/>
        </w:rPr>
        <w:t>Field (2003) identifica três mecanismos em que direitos de propriedade inseguros podem alterar a oferta de horas trabalhadas dos residentes. Primeiro, os indivíduos são impelidos a eles mesmos proverem a segurança da propriedade através da permanência física no domicílio, sinalizando que este se encontra ocupado. Segundo, os esforços para consolidar a área de ocupação podem ocorrer em um nível comunitário, assim a defesa da área pode ser considerada um bem público e as normas sociais da comunidade podem evoluir de tal forma que os moradores que não dispuserem de tempo para a proteção desta podem ser punidos por outros membros da comunidade. Por fim, os moradores podem tentar adquirir o direito de propriedade por meios formais tendo que cumprir algumas etapas</w:t>
      </w:r>
      <w:r>
        <w:rPr>
          <w:rFonts w:ascii="Times New Roman" w:eastAsiaTheme="minorEastAsia" w:hAnsi="Times New Roman" w:cs="Times New Roman"/>
          <w:sz w:val="24"/>
          <w:szCs w:val="24"/>
          <w:lang w:eastAsia="pt-BR"/>
        </w:rPr>
        <w:t xml:space="preserve"> administrativas e burocráticas que demandem tempo. Aqui, não está claro qual mecanismo pode estar atuando, mas</w:t>
      </w:r>
      <w:r>
        <w:rPr>
          <w:rFonts w:ascii="Times New Roman" w:eastAsiaTheme="minorEastAsia" w:hAnsi="Times New Roman" w:cs="Times New Roman"/>
          <w:sz w:val="24"/>
          <w:szCs w:val="24"/>
          <w:lang w:eastAsia="pt-BR"/>
        </w:rPr>
        <w:t>,</w:t>
      </w:r>
      <w:r>
        <w:rPr>
          <w:rFonts w:ascii="Times New Roman" w:eastAsiaTheme="minorEastAsia" w:hAnsi="Times New Roman" w:cs="Times New Roman"/>
          <w:sz w:val="24"/>
          <w:szCs w:val="24"/>
          <w:lang w:eastAsia="pt-BR"/>
        </w:rPr>
        <w:t xml:space="preserve"> ainda assim</w:t>
      </w:r>
      <w:r>
        <w:rPr>
          <w:rFonts w:ascii="Times New Roman" w:eastAsiaTheme="minorEastAsia" w:hAnsi="Times New Roman" w:cs="Times New Roman"/>
          <w:sz w:val="24"/>
          <w:szCs w:val="24"/>
          <w:lang w:eastAsia="pt-BR"/>
        </w:rPr>
        <w:t>,</w:t>
      </w:r>
      <w:r>
        <w:rPr>
          <w:rFonts w:ascii="Times New Roman" w:eastAsiaTheme="minorEastAsia" w:hAnsi="Times New Roman" w:cs="Times New Roman"/>
          <w:sz w:val="24"/>
          <w:szCs w:val="24"/>
          <w:lang w:eastAsia="pt-BR"/>
        </w:rPr>
        <w:t xml:space="preserve"> é encontrada uma correlação entre essas variáveis.</w:t>
      </w:r>
    </w:p>
    <w:p w:rsidR="00CA5846" w:rsidRPr="00CE31A5" w:rsidRDefault="00305515" w:rsidP="00FF32B1">
      <w:pPr>
        <w:spacing w:after="0"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 tabela 4</w:t>
      </w:r>
      <w:r w:rsidR="00CA5846" w:rsidRPr="00CE31A5">
        <w:rPr>
          <w:rFonts w:ascii="Times New Roman" w:eastAsiaTheme="minorEastAsia" w:hAnsi="Times New Roman" w:cs="Times New Roman"/>
          <w:sz w:val="24"/>
          <w:szCs w:val="24"/>
          <w:lang w:eastAsia="pt-BR"/>
        </w:rPr>
        <w:t xml:space="preserve"> identifica o efeito médio do tratamento para os tratados (ATT) e o efeito médio do tratamento (ATE) nas horas trabalhadas semanais de todos os membros ocupados de cada domicílio.</w:t>
      </w:r>
    </w:p>
    <w:p w:rsidR="000A5FB9" w:rsidRPr="00CE31A5" w:rsidRDefault="000A5FB9" w:rsidP="000A5FB9">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Economicamente, a magnitude do efeito de tratamento é bastante significativa. Na média, um domicílio pertencente ao grupo de tratamento oferta entre 18% a 24% a mais de horas trabalhadas semanais do que um domicílio do grupo de controle. Observa-se, também, que o impacto estimado é estatisticamente significativo em todos os métodos; em particular, o método </w:t>
      </w:r>
      <w:proofErr w:type="spellStart"/>
      <w:r w:rsidRPr="00CE31A5">
        <w:rPr>
          <w:rFonts w:ascii="Times New Roman" w:eastAsiaTheme="minorEastAsia" w:hAnsi="Times New Roman" w:cs="Times New Roman"/>
          <w:i/>
          <w:sz w:val="24"/>
          <w:szCs w:val="24"/>
          <w:lang w:eastAsia="pt-BR"/>
        </w:rPr>
        <w:t>radius</w:t>
      </w:r>
      <w:proofErr w:type="spellEnd"/>
      <w:r w:rsidRPr="00CE31A5">
        <w:rPr>
          <w:rFonts w:ascii="Times New Roman" w:eastAsiaTheme="minorEastAsia" w:hAnsi="Times New Roman" w:cs="Times New Roman"/>
          <w:sz w:val="24"/>
          <w:szCs w:val="24"/>
          <w:lang w:eastAsia="pt-BR"/>
        </w:rPr>
        <w:t xml:space="preserve"> com distância 0,01 e 0,005 e o método </w:t>
      </w:r>
      <w:proofErr w:type="spellStart"/>
      <w:r w:rsidRPr="00CE31A5">
        <w:rPr>
          <w:rFonts w:ascii="Times New Roman" w:eastAsiaTheme="minorEastAsia" w:hAnsi="Times New Roman" w:cs="Times New Roman"/>
          <w:i/>
          <w:sz w:val="24"/>
          <w:szCs w:val="24"/>
          <w:lang w:eastAsia="pt-BR"/>
        </w:rPr>
        <w:t>kernel</w:t>
      </w:r>
      <w:proofErr w:type="spellEnd"/>
      <w:r w:rsidRPr="00CE31A5">
        <w:rPr>
          <w:rFonts w:ascii="Times New Roman" w:eastAsiaTheme="minorEastAsia" w:hAnsi="Times New Roman" w:cs="Times New Roman"/>
          <w:sz w:val="24"/>
          <w:szCs w:val="24"/>
          <w:lang w:eastAsia="pt-BR"/>
        </w:rPr>
        <w:t xml:space="preserve"> com janela 0,01 apresentaram coeficientes significativos a 5%. Esse resultado pode indicar que, devido à necessidade de proteger o imóvel, os domicílios com direitos de propriedade inseguros têm custo de oportunidade do trabalho maior que os domicílios com direito de propriedade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reconhecido pelo governo.</w:t>
      </w:r>
    </w:p>
    <w:p w:rsidR="00CA5846" w:rsidRPr="00CE31A5" w:rsidRDefault="00CA5846" w:rsidP="000A5FB9">
      <w:pPr>
        <w:keepNext/>
        <w:spacing w:after="0" w:line="240" w:lineRule="auto"/>
        <w:ind w:firstLine="709"/>
        <w:contextualSpacing/>
        <w:rPr>
          <w:rFonts w:ascii="Times New Roman" w:eastAsiaTheme="minorEastAsia" w:hAnsi="Times New Roman" w:cs="Times New Roman"/>
          <w:b/>
          <w:sz w:val="24"/>
          <w:szCs w:val="24"/>
          <w:lang w:eastAsia="pt-BR"/>
        </w:rPr>
      </w:pPr>
      <w:proofErr w:type="gramStart"/>
      <w:r w:rsidRPr="00CE31A5">
        <w:rPr>
          <w:rFonts w:ascii="Times New Roman" w:eastAsiaTheme="minorEastAsia" w:hAnsi="Times New Roman" w:cs="Times New Roman"/>
          <w:b/>
          <w:sz w:val="24"/>
          <w:szCs w:val="24"/>
          <w:lang w:eastAsia="pt-BR"/>
        </w:rPr>
        <w:t>T</w:t>
      </w:r>
      <w:r w:rsidR="00305515">
        <w:rPr>
          <w:rFonts w:ascii="Times New Roman" w:eastAsia="Times New Roman" w:hAnsi="Times New Roman" w:cs="Times New Roman"/>
          <w:b/>
          <w:iCs/>
          <w:color w:val="000000"/>
          <w:sz w:val="24"/>
          <w:szCs w:val="24"/>
          <w:lang w:eastAsia="pt-BR"/>
        </w:rPr>
        <w:t>abela 4</w:t>
      </w:r>
      <w:r w:rsidRPr="00CE31A5">
        <w:rPr>
          <w:rFonts w:ascii="Times New Roman" w:eastAsia="Times New Roman" w:hAnsi="Times New Roman" w:cs="Times New Roman"/>
          <w:b/>
          <w:iCs/>
          <w:color w:val="000000"/>
          <w:sz w:val="24"/>
          <w:szCs w:val="24"/>
          <w:lang w:eastAsia="pt-BR"/>
        </w:rPr>
        <w:t>– Impacto do Programa nas Horas Trabalhadas do Domicílio</w:t>
      </w:r>
      <w:proofErr w:type="gramEnd"/>
    </w:p>
    <w:tbl>
      <w:tblPr>
        <w:tblW w:w="7302" w:type="dxa"/>
        <w:jc w:val="center"/>
        <w:tblInd w:w="55" w:type="dxa"/>
        <w:tblCellMar>
          <w:left w:w="70" w:type="dxa"/>
          <w:right w:w="70" w:type="dxa"/>
        </w:tblCellMar>
        <w:tblLook w:val="04A0" w:firstRow="1" w:lastRow="0" w:firstColumn="1" w:lastColumn="0" w:noHBand="0" w:noVBand="1"/>
      </w:tblPr>
      <w:tblGrid>
        <w:gridCol w:w="2514"/>
        <w:gridCol w:w="1441"/>
        <w:gridCol w:w="1561"/>
        <w:gridCol w:w="1427"/>
        <w:gridCol w:w="1427"/>
      </w:tblGrid>
      <w:tr w:rsidR="00CA5846" w:rsidRPr="00CE31A5" w:rsidTr="00545404">
        <w:trPr>
          <w:trHeight w:val="300"/>
          <w:jc w:val="center"/>
        </w:trPr>
        <w:tc>
          <w:tcPr>
            <w:tcW w:w="1933"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HORASTRABDOMIC</w:t>
            </w:r>
          </w:p>
        </w:tc>
        <w:tc>
          <w:tcPr>
            <w:tcW w:w="1429"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1933" w:type="dxa"/>
            <w:tcBorders>
              <w:top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61,95567</w:t>
            </w:r>
          </w:p>
        </w:tc>
        <w:tc>
          <w:tcPr>
            <w:tcW w:w="1418" w:type="dxa"/>
            <w:tcBorders>
              <w:top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61,21687</w:t>
            </w:r>
          </w:p>
        </w:tc>
        <w:tc>
          <w:tcPr>
            <w:tcW w:w="1261" w:type="dxa"/>
            <w:tcBorders>
              <w:top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60,81333</w:t>
            </w:r>
          </w:p>
        </w:tc>
        <w:tc>
          <w:tcPr>
            <w:tcW w:w="1261" w:type="dxa"/>
            <w:tcBorders>
              <w:top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61,95567</w:t>
            </w:r>
          </w:p>
        </w:tc>
      </w:tr>
      <w:tr w:rsidR="00CA5846" w:rsidRPr="00CE31A5" w:rsidTr="00545404">
        <w:trPr>
          <w:trHeight w:val="300"/>
          <w:jc w:val="center"/>
        </w:trPr>
        <w:tc>
          <w:tcPr>
            <w:tcW w:w="1933"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49,96729</w:t>
            </w:r>
          </w:p>
        </w:tc>
        <w:tc>
          <w:tcPr>
            <w:tcW w:w="1418"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50,38259</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51,18076</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49,70243</w:t>
            </w:r>
          </w:p>
        </w:tc>
      </w:tr>
      <w:tr w:rsidR="00CA5846" w:rsidRPr="00CE31A5" w:rsidTr="00545404">
        <w:trPr>
          <w:trHeight w:val="300"/>
          <w:jc w:val="center"/>
        </w:trPr>
        <w:tc>
          <w:tcPr>
            <w:tcW w:w="1933"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11,98837</w:t>
            </w:r>
          </w:p>
        </w:tc>
        <w:tc>
          <w:tcPr>
            <w:tcW w:w="1418"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10,83428</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9,63257</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12,25324</w:t>
            </w:r>
          </w:p>
        </w:tc>
      </w:tr>
      <w:tr w:rsidR="00CA5846" w:rsidRPr="00CE31A5" w:rsidTr="00545404">
        <w:trPr>
          <w:trHeight w:val="300"/>
          <w:jc w:val="center"/>
        </w:trPr>
        <w:tc>
          <w:tcPr>
            <w:tcW w:w="1933"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2,14**</w:t>
            </w:r>
          </w:p>
        </w:tc>
        <w:tc>
          <w:tcPr>
            <w:tcW w:w="1418"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1,97**</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1,81*</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2,17**</w:t>
            </w:r>
          </w:p>
        </w:tc>
      </w:tr>
      <w:tr w:rsidR="00CA5846" w:rsidRPr="00CE31A5" w:rsidTr="00545404">
        <w:trPr>
          <w:trHeight w:val="300"/>
          <w:jc w:val="center"/>
        </w:trPr>
        <w:tc>
          <w:tcPr>
            <w:tcW w:w="1933"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10,67428</w:t>
            </w:r>
          </w:p>
        </w:tc>
        <w:tc>
          <w:tcPr>
            <w:tcW w:w="1418"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9,38546</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8,54985</w:t>
            </w:r>
          </w:p>
        </w:tc>
        <w:tc>
          <w:tcPr>
            <w:tcW w:w="1261" w:type="dxa"/>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10,47978</w:t>
            </w:r>
          </w:p>
        </w:tc>
      </w:tr>
      <w:tr w:rsidR="00CA5846" w:rsidRPr="00CE31A5" w:rsidTr="00545404">
        <w:trPr>
          <w:trHeight w:val="300"/>
          <w:jc w:val="center"/>
        </w:trPr>
        <w:tc>
          <w:tcPr>
            <w:tcW w:w="1933" w:type="dxa"/>
            <w:tcBorders>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c>
          <w:tcPr>
            <w:tcW w:w="1418" w:type="dxa"/>
            <w:tcBorders>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166/182</w:t>
            </w:r>
          </w:p>
        </w:tc>
        <w:tc>
          <w:tcPr>
            <w:tcW w:w="1261" w:type="dxa"/>
            <w:tcBorders>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225/240</w:t>
            </w:r>
          </w:p>
        </w:tc>
        <w:tc>
          <w:tcPr>
            <w:tcW w:w="1261" w:type="dxa"/>
            <w:tcBorders>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r>
    </w:tbl>
    <w:p w:rsidR="00CA5846" w:rsidRPr="00CE31A5" w:rsidRDefault="00CA5846" w:rsidP="00454790">
      <w:pPr>
        <w:keepNext/>
        <w:spacing w:after="0" w:line="240" w:lineRule="auto"/>
        <w:ind w:right="566"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CA5846" w:rsidRPr="00CE31A5" w:rsidRDefault="00CA5846" w:rsidP="00454790">
      <w:pPr>
        <w:keepNext/>
        <w:spacing w:line="240" w:lineRule="auto"/>
        <w:ind w:right="566"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xml:space="preserve">Nota: A variável HORASTRABDOMIC foi construída somando-se as horas trabalhadas de todos os membros do domicílio. Aos membros </w:t>
      </w:r>
      <w:proofErr w:type="gramStart"/>
      <w:r w:rsidRPr="00CE31A5">
        <w:rPr>
          <w:rFonts w:ascii="Times New Roman" w:eastAsiaTheme="minorEastAsia" w:hAnsi="Times New Roman" w:cs="Times New Roman"/>
          <w:sz w:val="18"/>
          <w:szCs w:val="24"/>
          <w:lang w:eastAsia="pt-BR"/>
        </w:rPr>
        <w:t>não-ocupados</w:t>
      </w:r>
      <w:proofErr w:type="gramEnd"/>
      <w:r w:rsidRPr="00CE31A5">
        <w:rPr>
          <w:rFonts w:ascii="Times New Roman" w:eastAsiaTheme="minorEastAsia" w:hAnsi="Times New Roman" w:cs="Times New Roman"/>
          <w:sz w:val="18"/>
          <w:szCs w:val="24"/>
          <w:lang w:eastAsia="pt-BR"/>
        </w:rPr>
        <w:t xml:space="preserve"> foi designado o valor zero.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lastRenderedPageBreak/>
        <w:t xml:space="preserve">Um ponto a ser analisado é </w:t>
      </w:r>
      <w:r w:rsidR="005B5646">
        <w:rPr>
          <w:rFonts w:ascii="Times New Roman" w:eastAsiaTheme="minorEastAsia" w:hAnsi="Times New Roman" w:cs="Times New Roman"/>
          <w:sz w:val="24"/>
          <w:szCs w:val="24"/>
          <w:lang w:eastAsia="pt-BR"/>
        </w:rPr>
        <w:t xml:space="preserve">a </w:t>
      </w:r>
      <w:r w:rsidRPr="00CE31A5">
        <w:rPr>
          <w:rFonts w:ascii="Times New Roman" w:eastAsiaTheme="minorEastAsia" w:hAnsi="Times New Roman" w:cs="Times New Roman"/>
          <w:sz w:val="24"/>
          <w:szCs w:val="24"/>
          <w:lang w:eastAsia="pt-BR"/>
        </w:rPr>
        <w:t>identifica</w:t>
      </w:r>
      <w:r w:rsidR="005B5646">
        <w:rPr>
          <w:rFonts w:ascii="Times New Roman" w:eastAsiaTheme="minorEastAsia" w:hAnsi="Times New Roman" w:cs="Times New Roman"/>
          <w:sz w:val="24"/>
          <w:szCs w:val="24"/>
          <w:lang w:eastAsia="pt-BR"/>
        </w:rPr>
        <w:t>ção de que</w:t>
      </w:r>
      <w:r w:rsidRPr="00CE31A5">
        <w:rPr>
          <w:rFonts w:ascii="Times New Roman" w:eastAsiaTheme="minorEastAsia" w:hAnsi="Times New Roman" w:cs="Times New Roman"/>
          <w:sz w:val="24"/>
          <w:szCs w:val="24"/>
          <w:lang w:eastAsia="pt-BR"/>
        </w:rPr>
        <w:t xml:space="preserve"> membro do domicílio é mais prejudicado com essa situação, no sentido que sua escolha e seu comportamento em relação ao mercado de trabalho são restringidos devido à insegurança fundiária. Assim, se faz necessário decompor o resultado do agregado das horas trabalhadas entre homens </w:t>
      </w:r>
      <w:r w:rsidR="00305515">
        <w:rPr>
          <w:rFonts w:ascii="Times New Roman" w:eastAsiaTheme="minorEastAsia" w:hAnsi="Times New Roman" w:cs="Times New Roman"/>
          <w:sz w:val="24"/>
          <w:szCs w:val="24"/>
          <w:lang w:eastAsia="pt-BR"/>
        </w:rPr>
        <w:t>e mulheres adult</w:t>
      </w:r>
      <w:r w:rsidR="005B5646">
        <w:rPr>
          <w:rFonts w:ascii="Times New Roman" w:eastAsiaTheme="minorEastAsia" w:hAnsi="Times New Roman" w:cs="Times New Roman"/>
          <w:sz w:val="24"/>
          <w:szCs w:val="24"/>
          <w:lang w:eastAsia="pt-BR"/>
        </w:rPr>
        <w:t>o</w:t>
      </w:r>
      <w:r w:rsidR="00305515">
        <w:rPr>
          <w:rFonts w:ascii="Times New Roman" w:eastAsiaTheme="minorEastAsia" w:hAnsi="Times New Roman" w:cs="Times New Roman"/>
          <w:sz w:val="24"/>
          <w:szCs w:val="24"/>
          <w:lang w:eastAsia="pt-BR"/>
        </w:rPr>
        <w:t>s. As tabelas 5 e 6</w:t>
      </w:r>
      <w:r w:rsidRPr="00CE31A5">
        <w:rPr>
          <w:rFonts w:ascii="Times New Roman" w:eastAsiaTheme="minorEastAsia" w:hAnsi="Times New Roman" w:cs="Times New Roman"/>
          <w:sz w:val="24"/>
          <w:szCs w:val="24"/>
          <w:lang w:eastAsia="pt-BR"/>
        </w:rPr>
        <w:t xml:space="preserve"> apresentam o efeito do programa de regularização fundiária na média de horas trabalhadas desses membros.</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305515" w:rsidP="00454790">
      <w:pPr>
        <w:keepNext/>
        <w:spacing w:after="0" w:line="240" w:lineRule="auto"/>
        <w:ind w:firstLine="709"/>
        <w:contextualSpacing/>
        <w:jc w:val="both"/>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t>Tabela 5</w:t>
      </w:r>
      <w:r w:rsidR="00CA5846" w:rsidRPr="000A5FB9">
        <w:rPr>
          <w:rFonts w:ascii="Times New Roman" w:eastAsiaTheme="minorEastAsia" w:hAnsi="Times New Roman" w:cs="Times New Roman"/>
          <w:b/>
          <w:sz w:val="24"/>
          <w:szCs w:val="24"/>
          <w:lang w:eastAsia="pt-BR"/>
        </w:rPr>
        <w:t xml:space="preserve"> – Impacto do Programa na Oferta de Trabalho das Mulheres</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3034"/>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HORASTRABMULHERES</w:t>
            </w:r>
          </w:p>
        </w:tc>
        <w:tc>
          <w:tcPr>
            <w:tcW w:w="1429"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20,42036</w:t>
            </w:r>
          </w:p>
        </w:tc>
        <w:tc>
          <w:tcPr>
            <w:tcW w:w="1418"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20,23092</w:t>
            </w:r>
          </w:p>
        </w:tc>
        <w:tc>
          <w:tcPr>
            <w:tcW w:w="1261"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20,12148</w:t>
            </w:r>
          </w:p>
        </w:tc>
        <w:tc>
          <w:tcPr>
            <w:tcW w:w="1261"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20,42036</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18,49923</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18,49219</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18,07289</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18,68868</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1,92114</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1,73873</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2,04859</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1,73168</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0,66</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0,60</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0,74</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2,64988</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2,38711</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2,74359</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2,29938</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c>
          <w:tcPr>
            <w:tcW w:w="1418"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166/182</w:t>
            </w:r>
          </w:p>
        </w:tc>
        <w:tc>
          <w:tcPr>
            <w:tcW w:w="1261"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225/240</w:t>
            </w:r>
          </w:p>
        </w:tc>
        <w:tc>
          <w:tcPr>
            <w:tcW w:w="1261"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r>
    </w:tbl>
    <w:p w:rsidR="00CA5846" w:rsidRPr="00CE31A5" w:rsidRDefault="00CA5846" w:rsidP="00454790">
      <w:pPr>
        <w:keepNext/>
        <w:spacing w:after="0" w:line="240" w:lineRule="auto"/>
        <w:ind w:right="566"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CA5846" w:rsidRPr="00CE31A5" w:rsidRDefault="00CA5846" w:rsidP="00454790">
      <w:pPr>
        <w:keepNext/>
        <w:spacing w:line="240" w:lineRule="auto"/>
        <w:ind w:right="424"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xml:space="preserve">Nota: Variável construída da razão entre a soma das horas trabalhadas das mulheres maiores de 15 anos e o número de mulheres ocupadas no mercado de trabalho, por domicílio. Às mulheres não ocupadas é designado o valor zero. </w:t>
      </w:r>
    </w:p>
    <w:p w:rsidR="00CA5846" w:rsidRPr="00CE31A5" w:rsidRDefault="00CA5846" w:rsidP="00E263F8">
      <w:pPr>
        <w:spacing w:after="0" w:line="240" w:lineRule="auto"/>
        <w:ind w:firstLine="709"/>
        <w:contextualSpacing/>
        <w:rPr>
          <w:rFonts w:ascii="Times New Roman" w:eastAsiaTheme="minorEastAsia" w:hAnsi="Times New Roman" w:cs="Times New Roman"/>
          <w:sz w:val="24"/>
          <w:szCs w:val="24"/>
          <w:lang w:eastAsia="pt-BR"/>
        </w:rPr>
      </w:pPr>
    </w:p>
    <w:p w:rsidR="00CA5846" w:rsidRPr="000A5FB9" w:rsidRDefault="00305515" w:rsidP="000A5FB9">
      <w:pPr>
        <w:keepNext/>
        <w:spacing w:after="0" w:line="240" w:lineRule="auto"/>
        <w:ind w:firstLine="709"/>
        <w:contextualSpacing/>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t>Tabela 6</w:t>
      </w:r>
      <w:r w:rsidR="00CA5846" w:rsidRPr="000A5FB9">
        <w:rPr>
          <w:rFonts w:ascii="Times New Roman" w:eastAsiaTheme="minorEastAsia" w:hAnsi="Times New Roman" w:cs="Times New Roman"/>
          <w:b/>
          <w:sz w:val="24"/>
          <w:szCs w:val="24"/>
          <w:lang w:eastAsia="pt-BR"/>
        </w:rPr>
        <w:t xml:space="preserve"> – Impacto do Programa na Oferta de Trabalho dos Homens</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728"/>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HORASTRABHOMENS</w:t>
            </w:r>
          </w:p>
        </w:tc>
        <w:tc>
          <w:tcPr>
            <w:tcW w:w="1429"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31,28325</w:t>
            </w:r>
          </w:p>
        </w:tc>
        <w:tc>
          <w:tcPr>
            <w:tcW w:w="1418"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31,73494</w:t>
            </w:r>
          </w:p>
        </w:tc>
        <w:tc>
          <w:tcPr>
            <w:tcW w:w="1261"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30,96222</w:t>
            </w:r>
          </w:p>
        </w:tc>
        <w:tc>
          <w:tcPr>
            <w:tcW w:w="1261" w:type="dxa"/>
            <w:tcBorders>
              <w:top w:val="single" w:sz="4" w:space="0" w:color="auto"/>
            </w:tcBorders>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31,28325</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25,23452</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26,11479</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26,83680</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25,03516</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6,04873</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5,62015</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4,12542</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6,24809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2,08**</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1,95*</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1,50</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2,14**</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4,72680</w:t>
            </w:r>
          </w:p>
        </w:tc>
        <w:tc>
          <w:tcPr>
            <w:tcW w:w="1418"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4,00330</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22,84689</w:t>
            </w:r>
          </w:p>
        </w:tc>
        <w:tc>
          <w:tcPr>
            <w:tcW w:w="1261" w:type="dxa"/>
            <w:shd w:val="clear" w:color="auto" w:fill="auto"/>
            <w:noWrap/>
            <w:vAlign w:val="center"/>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4,88659</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454790">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c>
          <w:tcPr>
            <w:tcW w:w="1418"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166/182</w:t>
            </w:r>
          </w:p>
        </w:tc>
        <w:tc>
          <w:tcPr>
            <w:tcW w:w="1261"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225/240</w:t>
            </w:r>
          </w:p>
        </w:tc>
        <w:tc>
          <w:tcPr>
            <w:tcW w:w="1261" w:type="dxa"/>
            <w:tcBorders>
              <w:bottom w:val="single" w:sz="4" w:space="0" w:color="auto"/>
            </w:tcBorders>
            <w:shd w:val="clear" w:color="auto" w:fill="auto"/>
            <w:noWrap/>
            <w:vAlign w:val="bottom"/>
          </w:tcPr>
          <w:p w:rsidR="00CA5846" w:rsidRPr="00CE31A5" w:rsidRDefault="00CA5846" w:rsidP="00454790">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r>
    </w:tbl>
    <w:p w:rsidR="00CA5846" w:rsidRPr="00CE31A5" w:rsidRDefault="00CA5846" w:rsidP="00454790">
      <w:pPr>
        <w:keepNext/>
        <w:spacing w:after="0" w:line="240" w:lineRule="auto"/>
        <w:ind w:right="424"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CA5846" w:rsidRPr="00CE31A5" w:rsidRDefault="00CA5846" w:rsidP="00454790">
      <w:pPr>
        <w:keepNext/>
        <w:spacing w:after="0" w:line="240" w:lineRule="auto"/>
        <w:ind w:right="424"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xml:space="preserve">Nota: Variável construída pela razão entre a soma das horas trabalhadas dos homens maiores de 15 anos e o número de homens ocupados no mercado de trabalho, por domicílio. Aos homens não ocupados é designado o valor zero. </w:t>
      </w:r>
    </w:p>
    <w:p w:rsidR="00CA5846" w:rsidRPr="00CE31A5" w:rsidRDefault="00CA5846" w:rsidP="00E263F8">
      <w:pPr>
        <w:spacing w:line="240" w:lineRule="auto"/>
        <w:ind w:firstLine="709"/>
        <w:contextualSpacing/>
        <w:rPr>
          <w:rFonts w:ascii="Times New Roman" w:eastAsiaTheme="minorEastAsia" w:hAnsi="Times New Roman" w:cs="Times New Roman"/>
          <w:sz w:val="24"/>
          <w:szCs w:val="24"/>
          <w:lang w:eastAsia="pt-BR"/>
        </w:rPr>
      </w:pP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O</w:t>
      </w:r>
      <w:r w:rsidR="00305515">
        <w:rPr>
          <w:rFonts w:ascii="Times New Roman" w:eastAsiaTheme="minorEastAsia" w:hAnsi="Times New Roman" w:cs="Times New Roman"/>
          <w:sz w:val="24"/>
          <w:szCs w:val="24"/>
          <w:lang w:eastAsia="pt-BR"/>
        </w:rPr>
        <w:t>s dados apresentados na tabela 5</w:t>
      </w:r>
      <w:r w:rsidRPr="00CE31A5">
        <w:rPr>
          <w:rFonts w:ascii="Times New Roman" w:eastAsiaTheme="minorEastAsia" w:hAnsi="Times New Roman" w:cs="Times New Roman"/>
          <w:sz w:val="24"/>
          <w:szCs w:val="24"/>
          <w:lang w:eastAsia="pt-BR"/>
        </w:rPr>
        <w:t xml:space="preserve"> mostram um coeficiente positivo na média das horas trabalhadas pelas mulheres residentes de domicílios tratados de aproximadamente duas horas em relação às mulheres ocupadas dos domicílios do grupo de controle. Isso poderia indicar que o custo de proteção da propriedade também é imposto às mulheres; as estimativas, porém, não se mostraram estatisticamente significantes, ao ponto de que não é possível afirmar que esse efeito observado seja uma consequência do reconhecimento do direito de propriedade.</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Por outro lado, os homens ocupados residentes de domicílios tratados alocam ao mercado de trabalho entre 4 a 6 horas a mais do que os residentes em domicílios do grupo de controle, uma diferença significativa de aproximadamente 20% da oferta de trabalho dos domicílios </w:t>
      </w:r>
      <w:proofErr w:type="gramStart"/>
      <w:r w:rsidRPr="00CE31A5">
        <w:rPr>
          <w:rFonts w:ascii="Times New Roman" w:eastAsiaTheme="minorEastAsia" w:hAnsi="Times New Roman" w:cs="Times New Roman"/>
          <w:sz w:val="24"/>
          <w:szCs w:val="24"/>
          <w:lang w:eastAsia="pt-BR"/>
        </w:rPr>
        <w:t>não-tratados</w:t>
      </w:r>
      <w:proofErr w:type="gramEnd"/>
      <w:r w:rsidR="005B5646">
        <w:rPr>
          <w:rFonts w:ascii="Times New Roman" w:eastAsiaTheme="minorEastAsia" w:hAnsi="Times New Roman" w:cs="Times New Roman"/>
          <w:sz w:val="24"/>
          <w:szCs w:val="24"/>
          <w:lang w:eastAsia="pt-BR"/>
        </w:rPr>
        <w:t xml:space="preserve"> (ver tabela 6)</w:t>
      </w:r>
      <w:r w:rsidRPr="00CE31A5">
        <w:rPr>
          <w:rFonts w:ascii="Times New Roman" w:eastAsiaTheme="minorEastAsia" w:hAnsi="Times New Roman" w:cs="Times New Roman"/>
          <w:sz w:val="24"/>
          <w:szCs w:val="24"/>
          <w:lang w:eastAsia="pt-BR"/>
        </w:rPr>
        <w:t xml:space="preserve">. </w:t>
      </w:r>
    </w:p>
    <w:p w:rsidR="00CA5846"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De certa forma, essa diferença sugere que o custo de proteção do domicílio afeta mais fortemente a decisão dos homens adultos quanto à suas escolhas em relação a quanto do seu tempo alocar ao mercado de trabalho. Além disso, nota-se que as mulheres trabalham menos que os homens tanto em domicílios com direito de propriedade </w:t>
      </w:r>
      <w:r w:rsidRPr="00CE31A5">
        <w:rPr>
          <w:rFonts w:ascii="Times New Roman" w:eastAsiaTheme="minorEastAsia" w:hAnsi="Times New Roman" w:cs="Times New Roman"/>
          <w:i/>
          <w:sz w:val="24"/>
          <w:szCs w:val="24"/>
          <w:lang w:eastAsia="pt-BR"/>
        </w:rPr>
        <w:t xml:space="preserve">de facto </w:t>
      </w:r>
      <w:r w:rsidRPr="00CE31A5">
        <w:rPr>
          <w:rFonts w:ascii="Times New Roman" w:eastAsiaTheme="minorEastAsia" w:hAnsi="Times New Roman" w:cs="Times New Roman"/>
          <w:sz w:val="24"/>
          <w:szCs w:val="24"/>
          <w:lang w:eastAsia="pt-BR"/>
        </w:rPr>
        <w:t>reconhecido pelo Governo quanto em domicílios do grupo de controle. Esse resultado reflete a complexidade da tomada de decisão das mulheres, que é cercada de restrições, como o cuidado do lar e dos filhos, e que socialmente não afeta, em magnitude semelhante, a</w:t>
      </w:r>
      <w:r w:rsidR="00F0732F">
        <w:rPr>
          <w:rFonts w:ascii="Times New Roman" w:eastAsiaTheme="minorEastAsia" w:hAnsi="Times New Roman" w:cs="Times New Roman"/>
          <w:sz w:val="24"/>
          <w:szCs w:val="24"/>
          <w:lang w:eastAsia="pt-BR"/>
        </w:rPr>
        <w:t xml:space="preserve"> tomada de decisão dos homens.</w:t>
      </w:r>
    </w:p>
    <w:p w:rsidR="00CA5846" w:rsidRPr="00840172" w:rsidRDefault="00CA5846" w:rsidP="00840172">
      <w:pPr>
        <w:spacing w:line="240" w:lineRule="auto"/>
        <w:contextualSpacing/>
        <w:jc w:val="both"/>
        <w:rPr>
          <w:rFonts w:ascii="Times New Roman" w:eastAsiaTheme="minorEastAsia" w:hAnsi="Times New Roman" w:cs="Times New Roman"/>
          <w:b/>
          <w:sz w:val="24"/>
          <w:szCs w:val="24"/>
          <w:lang w:eastAsia="pt-BR"/>
        </w:rPr>
      </w:pPr>
    </w:p>
    <w:p w:rsidR="00CA5846" w:rsidRPr="00840172" w:rsidRDefault="00CA5846" w:rsidP="00FF32B1">
      <w:pPr>
        <w:spacing w:after="0"/>
        <w:rPr>
          <w:rFonts w:ascii="Times New Roman" w:eastAsiaTheme="minorEastAsia" w:hAnsi="Times New Roman" w:cs="Times New Roman"/>
          <w:b/>
          <w:sz w:val="24"/>
          <w:szCs w:val="24"/>
          <w:lang w:eastAsia="pt-BR"/>
        </w:rPr>
      </w:pPr>
      <w:bookmarkStart w:id="61" w:name="_Toc350977055"/>
      <w:bookmarkStart w:id="62" w:name="_Toc362259579"/>
      <w:r w:rsidRPr="00840172">
        <w:rPr>
          <w:rFonts w:ascii="Times New Roman" w:eastAsiaTheme="minorEastAsia" w:hAnsi="Times New Roman" w:cs="Times New Roman"/>
          <w:b/>
          <w:sz w:val="24"/>
          <w:szCs w:val="24"/>
          <w:lang w:eastAsia="pt-BR"/>
        </w:rPr>
        <w:t>Rendimento Domiciliar</w:t>
      </w:r>
      <w:bookmarkEnd w:id="61"/>
      <w:bookmarkEnd w:id="62"/>
    </w:p>
    <w:p w:rsidR="00CA5846" w:rsidRPr="00CE31A5" w:rsidRDefault="00CA5846" w:rsidP="00FF32B1">
      <w:pPr>
        <w:tabs>
          <w:tab w:val="left" w:pos="2745"/>
        </w:tabs>
        <w:spacing w:after="0"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Essa seção analisa se o programa de regularização fundiária está associado a um aumento da renda do trabalho domiciliar e dos homens adultos em resposta a um aumento das horas trabalhadas – efeito encontrado na seção ante</w:t>
      </w:r>
      <w:r w:rsidR="00305515">
        <w:rPr>
          <w:rFonts w:ascii="Times New Roman" w:eastAsiaTheme="minorEastAsia" w:hAnsi="Times New Roman" w:cs="Times New Roman"/>
          <w:sz w:val="24"/>
          <w:szCs w:val="24"/>
          <w:lang w:eastAsia="pt-BR"/>
        </w:rPr>
        <w:t>rior</w:t>
      </w:r>
      <w:r w:rsidR="005455B7">
        <w:rPr>
          <w:rFonts w:ascii="Times New Roman" w:eastAsiaTheme="minorEastAsia" w:hAnsi="Times New Roman" w:cs="Times New Roman"/>
          <w:sz w:val="24"/>
          <w:szCs w:val="24"/>
          <w:lang w:eastAsia="pt-BR"/>
        </w:rPr>
        <w:t>.</w:t>
      </w:r>
      <w:r w:rsidRPr="00CE31A5">
        <w:rPr>
          <w:rFonts w:ascii="Times New Roman" w:eastAsiaTheme="minorEastAsia" w:hAnsi="Times New Roman" w:cs="Times New Roman"/>
          <w:sz w:val="24"/>
          <w:szCs w:val="24"/>
          <w:lang w:eastAsia="pt-BR"/>
        </w:rPr>
        <w:t xml:space="preserve"> </w:t>
      </w:r>
    </w:p>
    <w:p w:rsidR="00200497" w:rsidRDefault="00200497" w:rsidP="00E263F8">
      <w:pPr>
        <w:tabs>
          <w:tab w:val="left" w:pos="6112"/>
        </w:tabs>
        <w:spacing w:after="0" w:line="240" w:lineRule="auto"/>
        <w:ind w:firstLine="709"/>
        <w:contextualSpacing/>
        <w:jc w:val="center"/>
        <w:rPr>
          <w:rFonts w:ascii="Times New Roman" w:eastAsiaTheme="minorEastAsia" w:hAnsi="Times New Roman" w:cs="Times New Roman"/>
          <w:b/>
          <w:sz w:val="24"/>
          <w:szCs w:val="24"/>
          <w:lang w:eastAsia="pt-BR"/>
        </w:rPr>
      </w:pPr>
    </w:p>
    <w:p w:rsidR="00CA5846" w:rsidRPr="00CE31A5" w:rsidRDefault="00305515" w:rsidP="000A5FB9">
      <w:pPr>
        <w:keepNext/>
        <w:tabs>
          <w:tab w:val="left" w:pos="6112"/>
        </w:tabs>
        <w:spacing w:after="0" w:line="240" w:lineRule="auto"/>
        <w:ind w:firstLine="709"/>
        <w:contextualSpacing/>
        <w:rPr>
          <w:rFonts w:ascii="Times New Roman" w:eastAsiaTheme="minorEastAsia" w:hAnsi="Times New Roman" w:cs="Times New Roman"/>
          <w:b/>
          <w:sz w:val="24"/>
          <w:szCs w:val="24"/>
          <w:lang w:eastAsia="pt-BR"/>
        </w:rPr>
      </w:pPr>
      <w:proofErr w:type="gramStart"/>
      <w:r>
        <w:rPr>
          <w:rFonts w:ascii="Times New Roman" w:eastAsiaTheme="minorEastAsia" w:hAnsi="Times New Roman" w:cs="Times New Roman"/>
          <w:b/>
          <w:sz w:val="24"/>
          <w:szCs w:val="24"/>
          <w:lang w:eastAsia="pt-BR"/>
        </w:rPr>
        <w:lastRenderedPageBreak/>
        <w:t>Tabela 7</w:t>
      </w:r>
      <w:r w:rsidR="00CA5846" w:rsidRPr="00CE31A5">
        <w:rPr>
          <w:rFonts w:ascii="Times New Roman" w:eastAsiaTheme="minorEastAsia" w:hAnsi="Times New Roman" w:cs="Times New Roman"/>
          <w:b/>
          <w:sz w:val="24"/>
          <w:szCs w:val="24"/>
          <w:lang w:eastAsia="pt-BR"/>
        </w:rPr>
        <w:t xml:space="preserve"> – Impacto do programa na renda do domicílio</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Renda do Trabalho – Domicílio</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1044,68</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1026,9</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1077,73</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1044,68</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705,8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751,83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746,24</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708,61</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338,88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275,07</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331,49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336,07</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2,67***</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2,63***</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282,98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254,31</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258,06</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272,29</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166/182</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225/240</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r>
    </w:tbl>
    <w:p w:rsidR="00CA5846" w:rsidRPr="00CE31A5" w:rsidRDefault="00CA5846" w:rsidP="00621A24">
      <w:pPr>
        <w:keepNext/>
        <w:tabs>
          <w:tab w:val="left" w:pos="2745"/>
        </w:tabs>
        <w:spacing w:after="0" w:line="240" w:lineRule="auto"/>
        <w:ind w:right="424"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CA5846" w:rsidRPr="00CE31A5" w:rsidRDefault="00CA5846" w:rsidP="00621A24">
      <w:pPr>
        <w:keepNext/>
        <w:tabs>
          <w:tab w:val="left" w:pos="2745"/>
        </w:tabs>
        <w:spacing w:after="0" w:line="240" w:lineRule="auto"/>
        <w:ind w:right="424"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18"/>
          <w:szCs w:val="24"/>
          <w:lang w:eastAsia="pt-BR"/>
        </w:rPr>
        <w:t>Nota: Agregado da renda proveniente do trabalho de todos os membros ocupados no domicílio. Não estão inclusas as rendas provenientes de pensões e aposentadorias e transferências de programas sociais</w:t>
      </w:r>
      <w:r w:rsidRPr="00CE31A5">
        <w:rPr>
          <w:rFonts w:ascii="Times New Roman" w:eastAsiaTheme="minorEastAsia" w:hAnsi="Times New Roman" w:cs="Times New Roman"/>
          <w:sz w:val="24"/>
          <w:szCs w:val="24"/>
          <w:lang w:eastAsia="pt-BR"/>
        </w:rPr>
        <w:t>.</w:t>
      </w:r>
    </w:p>
    <w:p w:rsidR="00CA5846" w:rsidRPr="00CE31A5" w:rsidRDefault="00CA5846"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p>
    <w:p w:rsidR="00EF4553" w:rsidRDefault="00EF4553" w:rsidP="00EF4553">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Pela tabela 7</w:t>
      </w:r>
      <w:r w:rsidRPr="00CE31A5">
        <w:rPr>
          <w:rFonts w:ascii="Times New Roman" w:eastAsiaTheme="minorEastAsia" w:hAnsi="Times New Roman" w:cs="Times New Roman"/>
          <w:sz w:val="24"/>
          <w:szCs w:val="24"/>
          <w:lang w:eastAsia="pt-BR"/>
        </w:rPr>
        <w:t xml:space="preserve"> percebe-se que o programa de regularização fundiária está associado a um aumento da remuneração do trabalho total do domicílio.</w:t>
      </w:r>
      <w:r>
        <w:rPr>
          <w:rFonts w:ascii="Times New Roman" w:eastAsiaTheme="minorEastAsia" w:hAnsi="Times New Roman" w:cs="Times New Roman"/>
          <w:sz w:val="24"/>
          <w:szCs w:val="24"/>
          <w:lang w:eastAsia="pt-BR"/>
        </w:rPr>
        <w:t xml:space="preserve"> Economicamente, a magnitude dos coeficientes estimados é significativa, em que os domicílios tratados possuem uma renda de 35% a 48% mais elevada em relação aos domicílios do grupo de controle.</w:t>
      </w:r>
      <w:r w:rsidRPr="00CE31A5">
        <w:rPr>
          <w:rFonts w:ascii="Times New Roman" w:eastAsiaTheme="minorEastAsia" w:hAnsi="Times New Roman" w:cs="Times New Roman"/>
          <w:sz w:val="24"/>
          <w:szCs w:val="24"/>
          <w:lang w:eastAsia="pt-BR"/>
        </w:rPr>
        <w:t xml:space="preserve"> </w:t>
      </w:r>
      <w:r>
        <w:rPr>
          <w:rFonts w:ascii="Times New Roman" w:eastAsiaTheme="minorEastAsia" w:hAnsi="Times New Roman" w:cs="Times New Roman"/>
          <w:sz w:val="24"/>
          <w:szCs w:val="24"/>
          <w:lang w:eastAsia="pt-BR"/>
        </w:rPr>
        <w:t>Além disso, e</w:t>
      </w:r>
      <w:r w:rsidRPr="00CE31A5">
        <w:rPr>
          <w:rFonts w:ascii="Times New Roman" w:eastAsiaTheme="minorEastAsia" w:hAnsi="Times New Roman" w:cs="Times New Roman"/>
          <w:sz w:val="24"/>
          <w:szCs w:val="24"/>
          <w:lang w:eastAsia="pt-BR"/>
        </w:rPr>
        <w:t xml:space="preserve">m todos os métodos os coeficientes são significativos ao menos a 5%. Pelo método </w:t>
      </w:r>
      <w:proofErr w:type="spellStart"/>
      <w:r w:rsidRPr="00CE31A5">
        <w:rPr>
          <w:rFonts w:ascii="Times New Roman" w:eastAsiaTheme="minorEastAsia" w:hAnsi="Times New Roman" w:cs="Times New Roman"/>
          <w:i/>
          <w:sz w:val="24"/>
          <w:szCs w:val="24"/>
          <w:lang w:eastAsia="pt-BR"/>
        </w:rPr>
        <w:t>kernel</w:t>
      </w:r>
      <w:proofErr w:type="spellEnd"/>
      <w:r w:rsidRPr="00CE31A5">
        <w:rPr>
          <w:rFonts w:ascii="Times New Roman" w:eastAsiaTheme="minorEastAsia" w:hAnsi="Times New Roman" w:cs="Times New Roman"/>
          <w:sz w:val="24"/>
          <w:szCs w:val="24"/>
          <w:lang w:eastAsia="pt-BR"/>
        </w:rPr>
        <w:t xml:space="preserve">, em todas as janelas utilizadas, o impacto é significativo a 1%. </w:t>
      </w:r>
    </w:p>
    <w:p w:rsidR="00EF4553" w:rsidRPr="00CE31A5" w:rsidRDefault="00EF4553" w:rsidP="00EF4553">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Visando obter uma estimativa mais aproximada do impacto do programa no bem-estar das famílias tratadas, a estimação seguinte se dará na renda do trabalho em termos per capita, de modo que se capture a distribuição dos recursos dentro dos domicílios. </w:t>
      </w:r>
    </w:p>
    <w:p w:rsidR="00EF4553" w:rsidRDefault="00EF4553" w:rsidP="00EF4553">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 tabela 8, seguinte,</w:t>
      </w:r>
      <w:r w:rsidRPr="00CE31A5">
        <w:rPr>
          <w:rFonts w:ascii="Times New Roman" w:eastAsiaTheme="minorEastAsia" w:hAnsi="Times New Roman" w:cs="Times New Roman"/>
          <w:sz w:val="24"/>
          <w:szCs w:val="24"/>
          <w:lang w:eastAsia="pt-BR"/>
        </w:rPr>
        <w:t xml:space="preserve"> revela o efeito do programa na renda do trabalho </w:t>
      </w:r>
      <w:r>
        <w:rPr>
          <w:rFonts w:ascii="Times New Roman" w:eastAsiaTheme="minorEastAsia" w:hAnsi="Times New Roman" w:cs="Times New Roman"/>
          <w:sz w:val="24"/>
          <w:szCs w:val="24"/>
          <w:lang w:eastAsia="pt-BR"/>
        </w:rPr>
        <w:t>per capita. Pode-se observar que, a</w:t>
      </w:r>
      <w:r w:rsidRPr="00CE31A5">
        <w:rPr>
          <w:rFonts w:ascii="Times New Roman" w:eastAsiaTheme="minorEastAsia" w:hAnsi="Times New Roman" w:cs="Times New Roman"/>
          <w:sz w:val="24"/>
          <w:szCs w:val="24"/>
          <w:lang w:eastAsia="pt-BR"/>
        </w:rPr>
        <w:t xml:space="preserve">ssim como na remuneração agregada do domicílio, </w:t>
      </w:r>
      <w:r>
        <w:rPr>
          <w:rFonts w:ascii="Times New Roman" w:eastAsiaTheme="minorEastAsia" w:hAnsi="Times New Roman" w:cs="Times New Roman"/>
          <w:sz w:val="24"/>
          <w:szCs w:val="24"/>
          <w:lang w:eastAsia="pt-BR"/>
        </w:rPr>
        <w:t xml:space="preserve">o impacto é </w:t>
      </w:r>
      <w:r w:rsidRPr="00CE31A5">
        <w:rPr>
          <w:rFonts w:ascii="Times New Roman" w:eastAsiaTheme="minorEastAsia" w:hAnsi="Times New Roman" w:cs="Times New Roman"/>
          <w:sz w:val="24"/>
          <w:szCs w:val="24"/>
          <w:lang w:eastAsia="pt-BR"/>
        </w:rPr>
        <w:t>significativo</w:t>
      </w:r>
      <w:r>
        <w:rPr>
          <w:rFonts w:ascii="Times New Roman" w:eastAsiaTheme="minorEastAsia" w:hAnsi="Times New Roman" w:cs="Times New Roman"/>
          <w:sz w:val="24"/>
          <w:szCs w:val="24"/>
          <w:lang w:eastAsia="pt-BR"/>
        </w:rPr>
        <w:t xml:space="preserve"> tanto economicamente quanto estatisticamente</w:t>
      </w:r>
      <w:r w:rsidRPr="00CE31A5">
        <w:rPr>
          <w:rFonts w:ascii="Times New Roman" w:eastAsiaTheme="minorEastAsia" w:hAnsi="Times New Roman" w:cs="Times New Roman"/>
          <w:sz w:val="24"/>
          <w:szCs w:val="24"/>
          <w:lang w:eastAsia="pt-BR"/>
        </w:rPr>
        <w:t>. Os residentes de domicílios beneficiários recebem em torno de 30% a mais que os de domicílios do grupo de controle</w:t>
      </w:r>
      <w:r>
        <w:rPr>
          <w:rFonts w:ascii="Times New Roman" w:eastAsiaTheme="minorEastAsia" w:hAnsi="Times New Roman" w:cs="Times New Roman"/>
          <w:sz w:val="24"/>
          <w:szCs w:val="24"/>
          <w:lang w:eastAsia="pt-BR"/>
        </w:rPr>
        <w:t>; uma magnitude menor, em termos relativos, do que a primeira estimativa, portanto. Est</w:t>
      </w:r>
      <w:r w:rsidRPr="00CE31A5">
        <w:rPr>
          <w:rFonts w:ascii="Times New Roman" w:eastAsiaTheme="minorEastAsia" w:hAnsi="Times New Roman" w:cs="Times New Roman"/>
          <w:sz w:val="24"/>
          <w:szCs w:val="24"/>
          <w:lang w:eastAsia="pt-BR"/>
        </w:rPr>
        <w:t>as esti</w:t>
      </w:r>
      <w:r>
        <w:rPr>
          <w:rFonts w:ascii="Times New Roman" w:eastAsiaTheme="minorEastAsia" w:hAnsi="Times New Roman" w:cs="Times New Roman"/>
          <w:sz w:val="24"/>
          <w:szCs w:val="24"/>
          <w:lang w:eastAsia="pt-BR"/>
        </w:rPr>
        <w:t xml:space="preserve">mativas são significativas a 5%; no entanto, pelo método </w:t>
      </w:r>
      <w:proofErr w:type="spellStart"/>
      <w:r>
        <w:rPr>
          <w:rFonts w:ascii="Times New Roman" w:eastAsiaTheme="minorEastAsia" w:hAnsi="Times New Roman" w:cs="Times New Roman"/>
          <w:i/>
          <w:sz w:val="24"/>
          <w:szCs w:val="24"/>
          <w:lang w:eastAsia="pt-BR"/>
        </w:rPr>
        <w:t>radius</w:t>
      </w:r>
      <w:proofErr w:type="spellEnd"/>
      <w:r>
        <w:rPr>
          <w:rFonts w:ascii="Times New Roman" w:eastAsiaTheme="minorEastAsia" w:hAnsi="Times New Roman" w:cs="Times New Roman"/>
          <w:i/>
          <w:sz w:val="24"/>
          <w:szCs w:val="24"/>
          <w:lang w:eastAsia="pt-BR"/>
        </w:rPr>
        <w:t xml:space="preserve"> </w:t>
      </w:r>
      <w:r>
        <w:rPr>
          <w:rFonts w:ascii="Times New Roman" w:eastAsiaTheme="minorEastAsia" w:hAnsi="Times New Roman" w:cs="Times New Roman"/>
          <w:sz w:val="24"/>
          <w:szCs w:val="24"/>
          <w:lang w:eastAsia="pt-BR"/>
        </w:rPr>
        <w:t>com raio 0,005 foi obtido significância a 10%.</w:t>
      </w:r>
    </w:p>
    <w:p w:rsidR="00960D47" w:rsidRPr="002D69EA" w:rsidRDefault="00960D47" w:rsidP="00EF4553">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305515" w:rsidP="000A5FB9">
      <w:pPr>
        <w:keepNext/>
        <w:tabs>
          <w:tab w:val="left" w:pos="2745"/>
        </w:tabs>
        <w:spacing w:after="0" w:line="240" w:lineRule="auto"/>
        <w:ind w:firstLine="709"/>
        <w:contextualSpacing/>
        <w:rPr>
          <w:rFonts w:ascii="Times New Roman" w:eastAsiaTheme="minorEastAsia" w:hAnsi="Times New Roman" w:cs="Times New Roman"/>
          <w:b/>
          <w:sz w:val="24"/>
          <w:szCs w:val="24"/>
          <w:lang w:eastAsia="pt-BR"/>
        </w:rPr>
      </w:pPr>
      <w:proofErr w:type="gramStart"/>
      <w:r>
        <w:rPr>
          <w:rFonts w:ascii="Times New Roman" w:eastAsiaTheme="minorEastAsia" w:hAnsi="Times New Roman" w:cs="Times New Roman"/>
          <w:b/>
          <w:sz w:val="24"/>
          <w:szCs w:val="24"/>
          <w:lang w:eastAsia="pt-BR"/>
        </w:rPr>
        <w:t>Tabela 8</w:t>
      </w:r>
      <w:r w:rsidR="00CA5846" w:rsidRPr="00CE31A5">
        <w:rPr>
          <w:rFonts w:ascii="Times New Roman" w:eastAsiaTheme="minorEastAsia" w:hAnsi="Times New Roman" w:cs="Times New Roman"/>
          <w:b/>
          <w:sz w:val="24"/>
          <w:szCs w:val="24"/>
          <w:lang w:eastAsia="pt-BR"/>
        </w:rPr>
        <w:t xml:space="preserve"> – Impacto na renda do trabalho</w:t>
      </w:r>
      <w:proofErr w:type="gramEnd"/>
      <w:r w:rsidR="00CA5846" w:rsidRPr="00CE31A5">
        <w:rPr>
          <w:rFonts w:ascii="Times New Roman" w:eastAsiaTheme="minorEastAsia" w:hAnsi="Times New Roman" w:cs="Times New Roman"/>
          <w:b/>
          <w:sz w:val="24"/>
          <w:szCs w:val="24"/>
          <w:lang w:eastAsia="pt-BR"/>
        </w:rPr>
        <w:t xml:space="preserve"> per capita</w:t>
      </w:r>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 xml:space="preserve">Renda </w:t>
            </w:r>
            <w:proofErr w:type="gramStart"/>
            <w:r w:rsidRPr="00CE31A5">
              <w:rPr>
                <w:rFonts w:ascii="Times New Roman" w:eastAsia="Times New Roman" w:hAnsi="Times New Roman" w:cs="Times New Roman"/>
                <w:b/>
                <w:color w:val="000000"/>
                <w:sz w:val="24"/>
                <w:szCs w:val="24"/>
                <w:lang w:eastAsia="pt-BR"/>
              </w:rPr>
              <w:t>do Trabalho Domiciliar</w:t>
            </w:r>
            <w:proofErr w:type="gramEnd"/>
            <w:r w:rsidRPr="00CE31A5">
              <w:rPr>
                <w:rFonts w:ascii="Times New Roman" w:eastAsia="Times New Roman" w:hAnsi="Times New Roman" w:cs="Times New Roman"/>
                <w:b/>
                <w:color w:val="000000"/>
                <w:sz w:val="24"/>
                <w:szCs w:val="24"/>
                <w:lang w:eastAsia="pt-BR"/>
              </w:rPr>
              <w:t xml:space="preserve"> Per Capita</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289,40</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287,45</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293,10</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289,40</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215,98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224,18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218,57</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217,62</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73,42</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63,27</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74,53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71,78</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2,02**</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61,31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55,63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54,3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58,04</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166/182</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225/240</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r>
    </w:tbl>
    <w:p w:rsidR="00CA5846" w:rsidRPr="00CE31A5" w:rsidRDefault="00CA5846" w:rsidP="00621A24">
      <w:pPr>
        <w:keepNext/>
        <w:tabs>
          <w:tab w:val="left" w:pos="2745"/>
        </w:tabs>
        <w:spacing w:after="0"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CA5846" w:rsidRPr="00CE31A5" w:rsidRDefault="00CA5846" w:rsidP="00621A24">
      <w:pPr>
        <w:keepNext/>
        <w:tabs>
          <w:tab w:val="left" w:pos="2745"/>
        </w:tabs>
        <w:spacing w:after="0"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Nota: Variável construída pela razão da renda domiciliar proveniente do trabalho pelo número de moradores do domicílio, ocupados ou não.</w:t>
      </w:r>
    </w:p>
    <w:p w:rsidR="00CE31A5" w:rsidRDefault="00CE31A5"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Como já foi </w:t>
      </w:r>
      <w:proofErr w:type="gramStart"/>
      <w:r w:rsidRPr="00CE31A5">
        <w:rPr>
          <w:rFonts w:ascii="Times New Roman" w:eastAsiaTheme="minorEastAsia" w:hAnsi="Times New Roman" w:cs="Times New Roman"/>
          <w:sz w:val="24"/>
          <w:szCs w:val="24"/>
          <w:lang w:eastAsia="pt-BR"/>
        </w:rPr>
        <w:t>visto</w:t>
      </w:r>
      <w:proofErr w:type="gramEnd"/>
      <w:r w:rsidRPr="00CE31A5">
        <w:rPr>
          <w:rFonts w:ascii="Times New Roman" w:eastAsiaTheme="minorEastAsia" w:hAnsi="Times New Roman" w:cs="Times New Roman"/>
          <w:sz w:val="24"/>
          <w:szCs w:val="24"/>
          <w:lang w:eastAsia="pt-BR"/>
        </w:rPr>
        <w:t>, o impacto do programa de regularização fundiária é mais acentuado para os homens adultos ocupados. Dessa forma, é razoável supor que seus rendimentos serão os mais afe</w:t>
      </w:r>
      <w:r w:rsidR="00305515">
        <w:rPr>
          <w:rFonts w:ascii="Times New Roman" w:eastAsiaTheme="minorEastAsia" w:hAnsi="Times New Roman" w:cs="Times New Roman"/>
          <w:sz w:val="24"/>
          <w:szCs w:val="24"/>
          <w:lang w:eastAsia="pt-BR"/>
        </w:rPr>
        <w:t>tados pela política. A tabela 9</w:t>
      </w:r>
      <w:r w:rsidRPr="00CE31A5">
        <w:rPr>
          <w:rFonts w:ascii="Times New Roman" w:eastAsiaTheme="minorEastAsia" w:hAnsi="Times New Roman" w:cs="Times New Roman"/>
          <w:sz w:val="24"/>
          <w:szCs w:val="24"/>
          <w:lang w:eastAsia="pt-BR"/>
        </w:rPr>
        <w:t xml:space="preserve"> seguinte informa os resultados do impacto do programa nos rendimentos do trabalho desse subgrupo. </w:t>
      </w:r>
    </w:p>
    <w:p w:rsidR="00200497" w:rsidRDefault="00200497" w:rsidP="00E263F8">
      <w:pPr>
        <w:tabs>
          <w:tab w:val="left" w:pos="2745"/>
        </w:tabs>
        <w:spacing w:after="0" w:line="240" w:lineRule="auto"/>
        <w:ind w:firstLine="709"/>
        <w:contextualSpacing/>
        <w:jc w:val="center"/>
        <w:rPr>
          <w:rFonts w:ascii="Times New Roman" w:eastAsiaTheme="minorEastAsia" w:hAnsi="Times New Roman" w:cs="Times New Roman"/>
          <w:b/>
          <w:sz w:val="24"/>
          <w:szCs w:val="24"/>
          <w:lang w:eastAsia="pt-BR"/>
        </w:rPr>
      </w:pPr>
    </w:p>
    <w:p w:rsidR="00CA5846" w:rsidRPr="00CE31A5" w:rsidRDefault="00305515" w:rsidP="000A5FB9">
      <w:pPr>
        <w:keepNext/>
        <w:tabs>
          <w:tab w:val="left" w:pos="2745"/>
        </w:tabs>
        <w:spacing w:after="0" w:line="240" w:lineRule="auto"/>
        <w:ind w:firstLine="709"/>
        <w:contextualSpacing/>
        <w:rPr>
          <w:rFonts w:ascii="Times New Roman" w:eastAsiaTheme="minorEastAsia" w:hAnsi="Times New Roman" w:cs="Times New Roman"/>
          <w:b/>
          <w:sz w:val="24"/>
          <w:szCs w:val="24"/>
          <w:lang w:eastAsia="pt-BR"/>
        </w:rPr>
      </w:pPr>
      <w:proofErr w:type="gramStart"/>
      <w:r>
        <w:rPr>
          <w:rFonts w:ascii="Times New Roman" w:eastAsiaTheme="minorEastAsia" w:hAnsi="Times New Roman" w:cs="Times New Roman"/>
          <w:b/>
          <w:sz w:val="24"/>
          <w:szCs w:val="24"/>
          <w:lang w:eastAsia="pt-BR"/>
        </w:rPr>
        <w:lastRenderedPageBreak/>
        <w:t>Tabela 9</w:t>
      </w:r>
      <w:r w:rsidR="00CA5846" w:rsidRPr="00CE31A5">
        <w:rPr>
          <w:rFonts w:ascii="Times New Roman" w:eastAsiaTheme="minorEastAsia" w:hAnsi="Times New Roman" w:cs="Times New Roman"/>
          <w:b/>
          <w:sz w:val="24"/>
          <w:szCs w:val="24"/>
          <w:lang w:eastAsia="pt-BR"/>
        </w:rPr>
        <w:t xml:space="preserve"> – Impacto na renda do trabalho dos homens adultos ocupados</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Renda do Trabalho – Homens Ocupados</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546,65</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536,11</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559,16</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546,65</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329,68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363,07</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361,82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321,26</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216,97</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173,04</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197,34</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225,39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183,49</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162,38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145,43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184,49</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166/182</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225/240</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r>
    </w:tbl>
    <w:p w:rsidR="00CA5846" w:rsidRPr="00200497" w:rsidRDefault="00CA5846" w:rsidP="00621A24">
      <w:pPr>
        <w:keepNext/>
        <w:tabs>
          <w:tab w:val="left" w:pos="2745"/>
        </w:tabs>
        <w:spacing w:after="0" w:line="240" w:lineRule="auto"/>
        <w:ind w:firstLine="709"/>
        <w:contextualSpacing/>
        <w:jc w:val="both"/>
        <w:rPr>
          <w:rFonts w:ascii="Times New Roman" w:eastAsiaTheme="minorEastAsia" w:hAnsi="Times New Roman" w:cs="Times New Roman"/>
          <w:sz w:val="18"/>
          <w:szCs w:val="24"/>
          <w:lang w:eastAsia="pt-BR"/>
        </w:rPr>
      </w:pPr>
      <w:r w:rsidRPr="00200497">
        <w:rPr>
          <w:rFonts w:ascii="Times New Roman" w:eastAsiaTheme="minorEastAsia" w:hAnsi="Times New Roman" w:cs="Times New Roman"/>
          <w:sz w:val="18"/>
          <w:szCs w:val="24"/>
          <w:lang w:eastAsia="pt-BR"/>
        </w:rPr>
        <w:t>*Significante a 10%; **Significante a 5%; ***Significante a 1%.</w:t>
      </w:r>
    </w:p>
    <w:p w:rsidR="00CA5846" w:rsidRPr="00200497" w:rsidRDefault="00CA5846" w:rsidP="00621A24">
      <w:pPr>
        <w:keepNext/>
        <w:tabs>
          <w:tab w:val="left" w:pos="2745"/>
        </w:tabs>
        <w:spacing w:line="240" w:lineRule="auto"/>
        <w:ind w:firstLine="709"/>
        <w:contextualSpacing/>
        <w:jc w:val="both"/>
        <w:rPr>
          <w:rFonts w:ascii="Times New Roman" w:eastAsiaTheme="minorEastAsia" w:hAnsi="Times New Roman" w:cs="Times New Roman"/>
          <w:sz w:val="18"/>
          <w:szCs w:val="24"/>
          <w:lang w:eastAsia="pt-BR"/>
        </w:rPr>
      </w:pPr>
      <w:r w:rsidRPr="00200497">
        <w:rPr>
          <w:rFonts w:ascii="Times New Roman" w:eastAsiaTheme="minorEastAsia" w:hAnsi="Times New Roman" w:cs="Times New Roman"/>
          <w:sz w:val="18"/>
          <w:szCs w:val="24"/>
          <w:lang w:eastAsia="pt-BR"/>
        </w:rPr>
        <w:t xml:space="preserve">Nota: Soma das rendas provenientes do trabalho dos homens ocupados por domicílio. </w:t>
      </w:r>
    </w:p>
    <w:p w:rsidR="00200497" w:rsidRDefault="00200497"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Nessa análise, são observados coeficientes com magnitudes mais significativas. Os adultos ocupados no mercado de trabalho residentes em domicílios pertencentes ao grupo de tratamento recebem em torno de 55% a mais do que os que residem em domicílios do grupo de controle. Em particular, pelo método </w:t>
      </w:r>
      <w:r w:rsidRPr="00CE31A5">
        <w:rPr>
          <w:rFonts w:ascii="Times New Roman" w:eastAsiaTheme="minorEastAsia" w:hAnsi="Times New Roman" w:cs="Times New Roman"/>
          <w:i/>
          <w:sz w:val="24"/>
          <w:szCs w:val="24"/>
          <w:lang w:eastAsia="pt-BR"/>
        </w:rPr>
        <w:t>kernel</w:t>
      </w:r>
      <w:r w:rsidRPr="00CE31A5">
        <w:rPr>
          <w:rFonts w:ascii="Times New Roman" w:eastAsiaTheme="minorEastAsia" w:hAnsi="Times New Roman" w:cs="Times New Roman"/>
          <w:sz w:val="24"/>
          <w:szCs w:val="24"/>
          <w:lang w:eastAsia="pt-BR"/>
        </w:rPr>
        <w:t xml:space="preserve"> com janela de 0,01, estima-se que os homens ocupados do grupo de tratamento recebem 70% a mais que os do grupo de controle, sendo que essa estimativa é significativa a 1%. </w:t>
      </w:r>
    </w:p>
    <w:p w:rsidR="00CA5846" w:rsidRPr="00CE31A5" w:rsidRDefault="00CA5846"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Ainda não está claro se essa diferença é consequência apenas do aumento de número de horas trabalhadas ou se também existe uma influência da qualidade dos empregos, no sentido de que os homens pertencentes a domicílios do grupo de tratamento conseguem empregos q</w:t>
      </w:r>
      <w:r w:rsidR="00305515">
        <w:rPr>
          <w:rFonts w:ascii="Times New Roman" w:eastAsiaTheme="minorEastAsia" w:hAnsi="Times New Roman" w:cs="Times New Roman"/>
          <w:sz w:val="24"/>
          <w:szCs w:val="24"/>
          <w:lang w:eastAsia="pt-BR"/>
        </w:rPr>
        <w:t>ue remuneram melhor. A tabela 10</w:t>
      </w:r>
      <w:r w:rsidRPr="00CE31A5">
        <w:rPr>
          <w:rFonts w:ascii="Times New Roman" w:eastAsiaTheme="minorEastAsia" w:hAnsi="Times New Roman" w:cs="Times New Roman"/>
          <w:sz w:val="24"/>
          <w:szCs w:val="24"/>
          <w:lang w:eastAsia="pt-BR"/>
        </w:rPr>
        <w:t xml:space="preserve"> a seguir mostra o efeito do programa de regularização fundiária no salário-hora dos homens ocupados.</w:t>
      </w:r>
    </w:p>
    <w:p w:rsidR="00302908" w:rsidRPr="00CE31A5" w:rsidRDefault="00302908" w:rsidP="0030290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De fato, o impacto do programa de regularização na renda </w:t>
      </w:r>
      <w:r>
        <w:rPr>
          <w:rFonts w:ascii="Times New Roman" w:eastAsiaTheme="minorEastAsia" w:hAnsi="Times New Roman" w:cs="Times New Roman"/>
          <w:sz w:val="24"/>
          <w:szCs w:val="24"/>
          <w:lang w:eastAsia="pt-BR"/>
        </w:rPr>
        <w:t xml:space="preserve">encontrado </w:t>
      </w:r>
      <w:r w:rsidRPr="00CE31A5">
        <w:rPr>
          <w:rFonts w:ascii="Times New Roman" w:eastAsiaTheme="minorEastAsia" w:hAnsi="Times New Roman" w:cs="Times New Roman"/>
          <w:sz w:val="24"/>
          <w:szCs w:val="24"/>
          <w:lang w:eastAsia="pt-BR"/>
        </w:rPr>
        <w:t xml:space="preserve">é uma consequência tanto do aumento das horas trabalhadas quanto de salários melhores. Por hora, a remuneração dos homens do grupo de tratamento é 50% maior que a dos homens ocupados pertencentes ao grupo de controle. </w:t>
      </w:r>
    </w:p>
    <w:p w:rsidR="00CA5846" w:rsidRPr="00CE31A5" w:rsidRDefault="00CA5846"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305515" w:rsidP="00621A24">
      <w:pPr>
        <w:keepNext/>
        <w:tabs>
          <w:tab w:val="left" w:pos="2745"/>
        </w:tabs>
        <w:spacing w:after="0" w:line="240" w:lineRule="auto"/>
        <w:ind w:firstLine="709"/>
        <w:contextualSpacing/>
        <w:jc w:val="both"/>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t>Tabela 10</w:t>
      </w:r>
      <w:r w:rsidR="00CA5846" w:rsidRPr="000A5FB9">
        <w:rPr>
          <w:rFonts w:ascii="Times New Roman" w:eastAsiaTheme="minorEastAsia" w:hAnsi="Times New Roman" w:cs="Times New Roman"/>
          <w:b/>
          <w:sz w:val="24"/>
          <w:szCs w:val="24"/>
          <w:lang w:eastAsia="pt-BR"/>
        </w:rPr>
        <w:t xml:space="preserve"> – Impacto no salário por hora de homens adultos</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Salário-Hora</w:t>
            </w:r>
          </w:p>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 xml:space="preserve"> – Homens Ocupados</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4,53</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4,41</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4,64</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4,53</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3,05</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3,29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2,88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3,05</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1,48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1,12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1,76</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1,48</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2,49**</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1,75*</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3,05***</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2,44**</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1,53</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1,21</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1,48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1,51</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115/154</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96/117</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158/175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115/154</w:t>
            </w:r>
          </w:p>
        </w:tc>
      </w:tr>
    </w:tbl>
    <w:p w:rsidR="00CA5846" w:rsidRPr="00CE31A5" w:rsidRDefault="00CA5846" w:rsidP="00621A24">
      <w:pPr>
        <w:keepNext/>
        <w:tabs>
          <w:tab w:val="left" w:pos="2745"/>
        </w:tabs>
        <w:spacing w:after="0"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CA5846" w:rsidRPr="00CE31A5" w:rsidRDefault="00CA5846" w:rsidP="00621A24">
      <w:pPr>
        <w:keepNext/>
        <w:tabs>
          <w:tab w:val="left" w:pos="2745"/>
        </w:tabs>
        <w:spacing w:after="0" w:line="240" w:lineRule="auto"/>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 xml:space="preserve">Nota: Variável construída da razão entre os rendimentos mensais dos homens e o quádruplo das horas semanais trabalhadas por eles. </w:t>
      </w:r>
    </w:p>
    <w:p w:rsidR="00CA5846" w:rsidRPr="00CE31A5" w:rsidRDefault="00CA5846"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A254A4"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Não podemos afirmar que mecanismo de transmissão relaciona o p</w:t>
      </w:r>
      <w:r w:rsidR="00CA5846" w:rsidRPr="00CE31A5">
        <w:rPr>
          <w:rFonts w:ascii="Times New Roman" w:eastAsiaTheme="minorEastAsia" w:hAnsi="Times New Roman" w:cs="Times New Roman"/>
          <w:sz w:val="24"/>
          <w:szCs w:val="24"/>
          <w:lang w:eastAsia="pt-BR"/>
        </w:rPr>
        <w:t xml:space="preserve">rograma de regularização fundiária </w:t>
      </w:r>
      <w:r>
        <w:rPr>
          <w:rFonts w:ascii="Times New Roman" w:eastAsiaTheme="minorEastAsia" w:hAnsi="Times New Roman" w:cs="Times New Roman"/>
          <w:sz w:val="24"/>
          <w:szCs w:val="24"/>
          <w:lang w:eastAsia="pt-BR"/>
        </w:rPr>
        <w:t>a</w:t>
      </w:r>
      <w:r w:rsidR="00CA5846" w:rsidRPr="00CE31A5">
        <w:rPr>
          <w:rFonts w:ascii="Times New Roman" w:eastAsiaTheme="minorEastAsia" w:hAnsi="Times New Roman" w:cs="Times New Roman"/>
          <w:sz w:val="24"/>
          <w:szCs w:val="24"/>
          <w:lang w:eastAsia="pt-BR"/>
        </w:rPr>
        <w:t xml:space="preserve"> melhores empregos</w:t>
      </w:r>
      <w:r>
        <w:rPr>
          <w:rFonts w:ascii="Times New Roman" w:eastAsiaTheme="minorEastAsia" w:hAnsi="Times New Roman" w:cs="Times New Roman"/>
          <w:sz w:val="24"/>
          <w:szCs w:val="24"/>
          <w:lang w:eastAsia="pt-BR"/>
        </w:rPr>
        <w:t>. Uma explicação seria</w:t>
      </w:r>
      <w:r w:rsidR="00CA5846" w:rsidRPr="00CE31A5">
        <w:rPr>
          <w:rFonts w:ascii="Times New Roman" w:eastAsiaTheme="minorEastAsia" w:hAnsi="Times New Roman" w:cs="Times New Roman"/>
          <w:sz w:val="24"/>
          <w:szCs w:val="24"/>
          <w:lang w:eastAsia="pt-BR"/>
        </w:rPr>
        <w:t xml:space="preserve"> que a segurança gerada pelos direitos de propriedade possibilita que os círculos de troca sejam ampliados para fora da comunidade e o mercado de trabalho também seria beneficiado por essa expansão, consequentemente. Com o mercado ampliado, torna-se mais provável o aumento dos ganhos de troca. No caso do Distrito Federal, as oportunidades de trabalho são bastante concentradas no centro da cidade e a segurança dos direitos de propriedade pode garantir que o residente busque essas oportunidades.</w:t>
      </w:r>
      <w:r>
        <w:rPr>
          <w:rFonts w:ascii="Times New Roman" w:eastAsiaTheme="minorEastAsia" w:hAnsi="Times New Roman" w:cs="Times New Roman"/>
          <w:sz w:val="24"/>
          <w:szCs w:val="24"/>
          <w:lang w:eastAsia="pt-BR"/>
        </w:rPr>
        <w:t xml:space="preserve"> No entanto, não temos como provar </w:t>
      </w:r>
      <w:r w:rsidR="00EF4553">
        <w:rPr>
          <w:rFonts w:ascii="Times New Roman" w:eastAsiaTheme="minorEastAsia" w:hAnsi="Times New Roman" w:cs="Times New Roman"/>
          <w:sz w:val="24"/>
          <w:szCs w:val="24"/>
          <w:lang w:eastAsia="pt-BR"/>
        </w:rPr>
        <w:t xml:space="preserve">se </w:t>
      </w:r>
      <w:r>
        <w:rPr>
          <w:rFonts w:ascii="Times New Roman" w:eastAsiaTheme="minorEastAsia" w:hAnsi="Times New Roman" w:cs="Times New Roman"/>
          <w:sz w:val="24"/>
          <w:szCs w:val="24"/>
          <w:lang w:eastAsia="pt-BR"/>
        </w:rPr>
        <w:t>esse mecanismo</w:t>
      </w:r>
      <w:r w:rsidR="00EF4553">
        <w:rPr>
          <w:rFonts w:ascii="Times New Roman" w:eastAsiaTheme="minorEastAsia" w:hAnsi="Times New Roman" w:cs="Times New Roman"/>
          <w:sz w:val="24"/>
          <w:szCs w:val="24"/>
          <w:lang w:eastAsia="pt-BR"/>
        </w:rPr>
        <w:t xml:space="preserve"> está, de fato, ocorrendo;</w:t>
      </w:r>
      <w:r>
        <w:rPr>
          <w:rFonts w:ascii="Times New Roman" w:eastAsiaTheme="minorEastAsia" w:hAnsi="Times New Roman" w:cs="Times New Roman"/>
          <w:sz w:val="24"/>
          <w:szCs w:val="24"/>
          <w:lang w:eastAsia="pt-BR"/>
        </w:rPr>
        <w:t xml:space="preserve"> outras explicações podem surgir. Para testar esse mecanismo, a</w:t>
      </w:r>
      <w:r w:rsidR="00CA5846" w:rsidRPr="00CE31A5">
        <w:rPr>
          <w:rFonts w:ascii="Times New Roman" w:eastAsiaTheme="minorEastAsia" w:hAnsi="Times New Roman" w:cs="Times New Roman"/>
          <w:sz w:val="24"/>
          <w:szCs w:val="24"/>
          <w:lang w:eastAsia="pt-BR"/>
        </w:rPr>
        <w:t xml:space="preserve"> tabela abaixo mostra o efeito do programa na probabilidade de um domicílio ter ao menos um homem adulto que demore mais de uma hora e meia para se deslocar ao trabalho.</w:t>
      </w:r>
    </w:p>
    <w:p w:rsidR="00200497" w:rsidRDefault="00200497" w:rsidP="00E263F8">
      <w:pPr>
        <w:tabs>
          <w:tab w:val="left" w:pos="2745"/>
        </w:tabs>
        <w:spacing w:after="0" w:line="240" w:lineRule="auto"/>
        <w:ind w:firstLine="709"/>
        <w:contextualSpacing/>
        <w:jc w:val="center"/>
        <w:rPr>
          <w:rFonts w:ascii="Times New Roman" w:eastAsiaTheme="minorEastAsia" w:hAnsi="Times New Roman" w:cs="Times New Roman"/>
          <w:sz w:val="24"/>
          <w:szCs w:val="24"/>
          <w:lang w:eastAsia="pt-BR"/>
        </w:rPr>
      </w:pPr>
    </w:p>
    <w:p w:rsidR="00CA5846" w:rsidRPr="000A5FB9" w:rsidRDefault="00305515" w:rsidP="000A5FB9">
      <w:pPr>
        <w:keepNext/>
        <w:tabs>
          <w:tab w:val="left" w:pos="2745"/>
        </w:tabs>
        <w:spacing w:after="0" w:line="240" w:lineRule="auto"/>
        <w:ind w:firstLine="709"/>
        <w:contextualSpacing/>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lastRenderedPageBreak/>
        <w:t>Tabela 11</w:t>
      </w:r>
      <w:r w:rsidR="00CA5846" w:rsidRPr="000A5FB9">
        <w:rPr>
          <w:rFonts w:ascii="Times New Roman" w:eastAsiaTheme="minorEastAsia" w:hAnsi="Times New Roman" w:cs="Times New Roman"/>
          <w:b/>
          <w:sz w:val="24"/>
          <w:szCs w:val="24"/>
          <w:lang w:eastAsia="pt-BR"/>
        </w:rPr>
        <w:t xml:space="preserve"> – Impacto no deslocamento de homens adultos para o trabalho</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Se o domicílio tem pelo menos um membro deslocamento &gt; 1h30</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0,44</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0,45</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0,44</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0,44</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0,29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0,14</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0,15</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2,23**</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1,92*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2,32**</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0,15</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0,17</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166/182</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225/240</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203/220</w:t>
            </w:r>
          </w:p>
        </w:tc>
      </w:tr>
    </w:tbl>
    <w:p w:rsidR="00CA5846" w:rsidRPr="00CE31A5" w:rsidRDefault="00CA5846" w:rsidP="00621A24">
      <w:pPr>
        <w:keepNext/>
        <w:tabs>
          <w:tab w:val="left" w:pos="2745"/>
        </w:tabs>
        <w:spacing w:after="0" w:line="240" w:lineRule="auto"/>
        <w:ind w:right="283"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CA5846" w:rsidRPr="00CE31A5" w:rsidRDefault="00CA5846" w:rsidP="00621A24">
      <w:pPr>
        <w:keepNext/>
        <w:tabs>
          <w:tab w:val="left" w:pos="2745"/>
        </w:tabs>
        <w:spacing w:after="0" w:line="240" w:lineRule="auto"/>
        <w:ind w:right="283"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Nota: Variável binária indicando se no domicílio existe pelo menos um homem adulto que leva mais de 1h30m em deslocamento (ida e volta) para o trabalho.</w:t>
      </w:r>
    </w:p>
    <w:p w:rsidR="00CE31A5" w:rsidRDefault="00CE31A5"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tabs>
          <w:tab w:val="left" w:pos="2745"/>
        </w:tabs>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Em média, a probabilidade de um domicílio tratado ter ao menos um homem adulto ocupado que leva mais de 1h30 para se deslocar ao trabalho é de 44% enquanto que essa probabilidade para domicílios do grupo de controle é de 33%. A diferença de 11 pontos percentuais é significativa para todos os métodos utilizados. </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840172" w:rsidRDefault="00CA5846" w:rsidP="00FF32B1">
      <w:pPr>
        <w:spacing w:after="0"/>
        <w:rPr>
          <w:rFonts w:ascii="Times New Roman" w:eastAsiaTheme="minorEastAsia" w:hAnsi="Times New Roman" w:cs="Times New Roman"/>
          <w:b/>
          <w:sz w:val="24"/>
          <w:szCs w:val="24"/>
          <w:lang w:eastAsia="pt-BR"/>
        </w:rPr>
      </w:pPr>
      <w:bookmarkStart w:id="63" w:name="_Toc362259580"/>
      <w:r w:rsidRPr="00840172">
        <w:rPr>
          <w:rFonts w:ascii="Times New Roman" w:eastAsiaTheme="minorEastAsia" w:hAnsi="Times New Roman" w:cs="Times New Roman"/>
          <w:b/>
          <w:sz w:val="24"/>
          <w:szCs w:val="24"/>
          <w:lang w:eastAsia="pt-BR"/>
        </w:rPr>
        <w:t>Investimento Domiciliar</w:t>
      </w:r>
      <w:bookmarkEnd w:id="63"/>
    </w:p>
    <w:p w:rsidR="00CA5846" w:rsidRPr="00CE31A5" w:rsidRDefault="00CA5846" w:rsidP="00FF32B1">
      <w:pPr>
        <w:spacing w:after="0"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Existem dois mecanismos pelos quais o reconhecimento dos direitos de propriedade pode afetar o investimento no domicílio. </w:t>
      </w:r>
      <w:r w:rsidR="005412CD">
        <w:rPr>
          <w:rFonts w:ascii="Times New Roman" w:eastAsiaTheme="minorEastAsia" w:hAnsi="Times New Roman" w:cs="Times New Roman"/>
          <w:sz w:val="24"/>
          <w:szCs w:val="24"/>
          <w:lang w:eastAsia="pt-BR"/>
        </w:rPr>
        <w:t>Primeiro</w:t>
      </w:r>
      <w:r w:rsidRPr="00CE31A5">
        <w:rPr>
          <w:rFonts w:ascii="Times New Roman" w:eastAsiaTheme="minorEastAsia" w:hAnsi="Times New Roman" w:cs="Times New Roman"/>
          <w:sz w:val="24"/>
          <w:szCs w:val="24"/>
          <w:lang w:eastAsia="pt-BR"/>
        </w:rPr>
        <w:t>, a segurança quanto à posse do imóvel aumenta os incentivos ao investimento, pois impede que os frutos deste sejam capturados por outras partes. Além disso, o aumento de renda causado pelo aumento das horas trabalhadas – que por sua vez é resultante de direitos de propriedades mais seguros – estimula a realização de benfeitorias no imóvel. Dessa forma, são dois efeitos que devem ser levados em consideração na avaliação de impacto: efeito-segurança e o efeito-renda.</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Deve-se atentar, também, para a possível endogeneidade existente na relação entre direitos de propriedade mais seguros e a propensão a investir. Além dos dois efeitos já descritos, o inverso também pode ocorrer. Moradores de áreas ocupadas irregularmente podem realizar investimentos em seus domicílios para sinalizar que aquela área está consolidada, passível de regularização. Além disso, Governos podem se sentir impedidos de remover moradias já estabelecidas, já que estes respondem a incentivos eleitorais. </w:t>
      </w:r>
    </w:p>
    <w:p w:rsidR="00826F87"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Para a estimação do impacto do programa no investimento domiciliar, foi utilizada uma especificação do modelo diferente. Retirou-se do conjunto de variáveis utilizado para a construção do indicador de riqueza aquelas que indicam benfeitorias realizadas no domicílio: número de cômodos, número de dormitórios e número de banheiros. Assim, o novo indicador de riqueza é composto por variáveis que indicam apenas a posse de bens</w:t>
      </w:r>
      <w:r w:rsidR="00D57F75">
        <w:rPr>
          <w:rFonts w:ascii="Times New Roman" w:eastAsiaTheme="minorEastAsia" w:hAnsi="Times New Roman" w:cs="Times New Roman"/>
          <w:sz w:val="24"/>
          <w:szCs w:val="24"/>
          <w:lang w:eastAsia="pt-BR"/>
        </w:rPr>
        <w:t xml:space="preserve"> (</w:t>
      </w:r>
      <w:r w:rsidR="00EF4553">
        <w:rPr>
          <w:rFonts w:ascii="Times New Roman" w:eastAsiaTheme="minorEastAsia" w:hAnsi="Times New Roman" w:cs="Times New Roman"/>
          <w:sz w:val="24"/>
          <w:szCs w:val="24"/>
          <w:lang w:eastAsia="pt-BR"/>
        </w:rPr>
        <w:t>fogão, máquina de lavar, televisão, DVD, TV a Cabo ou por satélite, geladeira, freezer, celulares, computador e automóveis</w:t>
      </w:r>
      <w:r w:rsidR="00D57F75">
        <w:rPr>
          <w:rFonts w:ascii="Times New Roman" w:eastAsiaTheme="minorEastAsia" w:hAnsi="Times New Roman" w:cs="Times New Roman"/>
          <w:sz w:val="24"/>
          <w:szCs w:val="24"/>
          <w:lang w:eastAsia="pt-BR"/>
        </w:rPr>
        <w:t>)</w:t>
      </w:r>
      <w:r w:rsidRPr="00CE31A5">
        <w:rPr>
          <w:rFonts w:ascii="Times New Roman" w:eastAsiaTheme="minorEastAsia" w:hAnsi="Times New Roman" w:cs="Times New Roman"/>
          <w:sz w:val="24"/>
          <w:szCs w:val="24"/>
          <w:lang w:eastAsia="pt-BR"/>
        </w:rPr>
        <w:t xml:space="preserve">. Para a estimação do escore de propensão </w:t>
      </w:r>
      <w:r w:rsidR="00621A24">
        <w:rPr>
          <w:rFonts w:ascii="Times New Roman" w:eastAsiaTheme="minorEastAsia" w:hAnsi="Times New Roman" w:cs="Times New Roman"/>
          <w:sz w:val="24"/>
          <w:szCs w:val="24"/>
          <w:lang w:eastAsia="pt-BR"/>
        </w:rPr>
        <w:t>utilizou-se</w:t>
      </w:r>
      <w:r w:rsidRPr="00CE31A5">
        <w:rPr>
          <w:rFonts w:ascii="Times New Roman" w:eastAsiaTheme="minorEastAsia" w:hAnsi="Times New Roman" w:cs="Times New Roman"/>
          <w:sz w:val="24"/>
          <w:szCs w:val="24"/>
          <w:lang w:eastAsia="pt-BR"/>
        </w:rPr>
        <w:t xml:space="preserve">, além da variável de posse de bens, as outras variáveis já apresentadas </w:t>
      </w:r>
      <w:r w:rsidR="00621A24">
        <w:rPr>
          <w:rFonts w:ascii="Times New Roman" w:eastAsiaTheme="minorEastAsia" w:hAnsi="Times New Roman" w:cs="Times New Roman"/>
          <w:sz w:val="24"/>
          <w:szCs w:val="24"/>
          <w:lang w:eastAsia="pt-BR"/>
        </w:rPr>
        <w:t>na especificação anterior</w:t>
      </w:r>
      <w:r w:rsidRPr="00CE31A5">
        <w:rPr>
          <w:rFonts w:ascii="Times New Roman" w:eastAsiaTheme="minorEastAsia" w:hAnsi="Times New Roman" w:cs="Times New Roman"/>
          <w:sz w:val="24"/>
          <w:szCs w:val="24"/>
          <w:lang w:eastAsia="pt-BR"/>
        </w:rPr>
        <w:t xml:space="preserve">. </w:t>
      </w:r>
    </w:p>
    <w:p w:rsidR="00CA5846" w:rsidRPr="00CE31A5" w:rsidRDefault="00621A24"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As tabelas 12, 13 e 14</w:t>
      </w:r>
      <w:r w:rsidR="00CA5846" w:rsidRPr="00CE31A5">
        <w:rPr>
          <w:rFonts w:ascii="Times New Roman" w:eastAsiaTheme="minorEastAsia" w:hAnsi="Times New Roman" w:cs="Times New Roman"/>
          <w:sz w:val="24"/>
          <w:szCs w:val="24"/>
          <w:lang w:eastAsia="pt-BR"/>
        </w:rPr>
        <w:t xml:space="preserve"> que seguem mostram o efeito do programa nas benfeitorias já realizadas nos domicílios, como a qualidade da parede, do telhado e o número de cômodos. A variável utilizada para estimar a qualidade da parede externa é binária que assume o valor 1 se o domicílio for feito de alvenaria e toma o valor nulo caso for de madeira aparelhada, taipa não revestida ou madeira reaproveitada. </w:t>
      </w:r>
    </w:p>
    <w:p w:rsidR="00E263F8" w:rsidRDefault="00E263F8" w:rsidP="00E263F8">
      <w:pPr>
        <w:spacing w:after="0"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621A24" w:rsidP="00621A24">
      <w:pPr>
        <w:keepNext/>
        <w:spacing w:after="0" w:line="240" w:lineRule="auto"/>
        <w:ind w:firstLine="709"/>
        <w:contextualSpacing/>
        <w:jc w:val="both"/>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lastRenderedPageBreak/>
        <w:t>Tabela 12</w:t>
      </w:r>
      <w:r w:rsidR="00CA5846" w:rsidRPr="000A5FB9">
        <w:rPr>
          <w:rFonts w:ascii="Times New Roman" w:eastAsiaTheme="minorEastAsia" w:hAnsi="Times New Roman" w:cs="Times New Roman"/>
          <w:b/>
          <w:sz w:val="24"/>
          <w:szCs w:val="24"/>
          <w:lang w:eastAsia="pt-BR"/>
        </w:rPr>
        <w:t xml:space="preserve"> – Impacto do programa na qualidade da parede externa do domicílio</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Parede Externa – Alvenaria</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0,9812</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0,9838</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0,978</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0,9812</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0,9281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0,9399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0,9078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0,9291</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0,0531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0,0439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0,0702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0,0521</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2,42**</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1,99**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3,28***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2,35**</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0,041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0,037</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0,049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0,17</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186/195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228/245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r>
    </w:tbl>
    <w:p w:rsidR="00CA5846" w:rsidRPr="00CE31A5" w:rsidRDefault="00CA5846" w:rsidP="00621A24">
      <w:pPr>
        <w:keepNext/>
        <w:spacing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 Significante a 1</w:t>
      </w:r>
      <w:proofErr w:type="gramStart"/>
      <w:r w:rsidRPr="00CE31A5">
        <w:rPr>
          <w:rFonts w:ascii="Times New Roman" w:eastAsiaTheme="minorEastAsia" w:hAnsi="Times New Roman" w:cs="Times New Roman"/>
          <w:sz w:val="18"/>
          <w:szCs w:val="24"/>
          <w:lang w:eastAsia="pt-BR"/>
        </w:rPr>
        <w:t>%</w:t>
      </w:r>
      <w:proofErr w:type="gramEnd"/>
    </w:p>
    <w:p w:rsidR="00200497" w:rsidRDefault="00200497"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Há uma diferença estatisticamente significante entre os dois grupos, no entanto sua magnitude não parece ser tão relevante </w:t>
      </w:r>
      <w:r w:rsidR="005412CD">
        <w:rPr>
          <w:rFonts w:ascii="Times New Roman" w:eastAsiaTheme="minorEastAsia" w:hAnsi="Times New Roman" w:cs="Times New Roman"/>
          <w:sz w:val="24"/>
          <w:szCs w:val="24"/>
          <w:lang w:eastAsia="pt-BR"/>
        </w:rPr>
        <w:t>economicamente. Os coeficientes</w:t>
      </w:r>
      <w:r w:rsidRPr="00CE31A5">
        <w:rPr>
          <w:rFonts w:ascii="Times New Roman" w:eastAsiaTheme="minorEastAsia" w:hAnsi="Times New Roman" w:cs="Times New Roman"/>
          <w:sz w:val="24"/>
          <w:szCs w:val="24"/>
          <w:lang w:eastAsia="pt-BR"/>
        </w:rPr>
        <w:t xml:space="preserve"> estimados para ambos os grupos indicam que a probabilidade de um domicílio qualquer possuir parede externa feita de alvenaria ultrapassa os 90%. A diferença de </w:t>
      </w:r>
      <w:proofErr w:type="gramStart"/>
      <w:r w:rsidRPr="00CE31A5">
        <w:rPr>
          <w:rFonts w:ascii="Times New Roman" w:eastAsiaTheme="minorEastAsia" w:hAnsi="Times New Roman" w:cs="Times New Roman"/>
          <w:sz w:val="24"/>
          <w:szCs w:val="24"/>
          <w:lang w:eastAsia="pt-BR"/>
        </w:rPr>
        <w:t>6</w:t>
      </w:r>
      <w:proofErr w:type="gramEnd"/>
      <w:r w:rsidRPr="00CE31A5">
        <w:rPr>
          <w:rFonts w:ascii="Times New Roman" w:eastAsiaTheme="minorEastAsia" w:hAnsi="Times New Roman" w:cs="Times New Roman"/>
          <w:sz w:val="24"/>
          <w:szCs w:val="24"/>
          <w:lang w:eastAsia="pt-BR"/>
        </w:rPr>
        <w:t xml:space="preserve"> pontos percentuais, aproximadamente, entre os grupos não parece ser suficiente para afirmar que existe uma relação efetiva entre o reconhecimento do direito de propriedade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e melhor qualidade das paredes dos domicílios. Além disso, esse resultado pode ser fragilizado ao se levar em consideração a endogeneidade entre o investimento domiciliar e o reconhecimento de direito de propriedade: os moradores podem ter decidido realizar investimentos na propriedade visando justamente à regularização. É mais custoso, do ponto de vista eleitoral, ao governo desocupar terrenos que contenham uma estrutura residencial mais consolidada.</w:t>
      </w: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Essa mesma relação também é vista na estimativa do impacto do programa na qualidade da cobertura do do</w:t>
      </w:r>
      <w:r w:rsidR="00621A24">
        <w:rPr>
          <w:rFonts w:ascii="Times New Roman" w:eastAsiaTheme="minorEastAsia" w:hAnsi="Times New Roman" w:cs="Times New Roman"/>
          <w:sz w:val="24"/>
          <w:szCs w:val="24"/>
          <w:lang w:eastAsia="pt-BR"/>
        </w:rPr>
        <w:t>micílio apresentada na tabela 13</w:t>
      </w:r>
      <w:r w:rsidRPr="00CE31A5">
        <w:rPr>
          <w:rFonts w:ascii="Times New Roman" w:eastAsiaTheme="minorEastAsia" w:hAnsi="Times New Roman" w:cs="Times New Roman"/>
          <w:sz w:val="24"/>
          <w:szCs w:val="24"/>
          <w:lang w:eastAsia="pt-BR"/>
        </w:rPr>
        <w:t xml:space="preserve">. Utilizou-se uma variável binária indicando se o domicílio tinha telha como cobertura em oposição ao uso de laje de concreto, madeira, zinco ou outro material. </w:t>
      </w:r>
      <w:r w:rsidR="00C35BA0">
        <w:rPr>
          <w:rFonts w:ascii="Times New Roman" w:eastAsiaTheme="minorEastAsia" w:hAnsi="Times New Roman" w:cs="Times New Roman"/>
          <w:sz w:val="24"/>
          <w:szCs w:val="24"/>
          <w:lang w:eastAsia="pt-BR"/>
        </w:rPr>
        <w:t xml:space="preserve">As diferenças não são estatisticamente significantes. </w:t>
      </w:r>
    </w:p>
    <w:p w:rsidR="001C2215" w:rsidRPr="00CE31A5" w:rsidRDefault="001C2215" w:rsidP="001C2215">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 tabela 14</w:t>
      </w:r>
      <w:r w:rsidRPr="00CE31A5">
        <w:rPr>
          <w:rFonts w:ascii="Times New Roman" w:eastAsiaTheme="minorEastAsia" w:hAnsi="Times New Roman" w:cs="Times New Roman"/>
          <w:sz w:val="24"/>
          <w:szCs w:val="24"/>
          <w:lang w:eastAsia="pt-BR"/>
        </w:rPr>
        <w:t xml:space="preserve"> apresenta os resultados do impacto do programa no tamanho da propriedade. A variável utilizada como </w:t>
      </w:r>
      <w:proofErr w:type="gramStart"/>
      <w:r w:rsidRPr="00CE31A5">
        <w:rPr>
          <w:rFonts w:ascii="Times New Roman" w:eastAsiaTheme="minorEastAsia" w:hAnsi="Times New Roman" w:cs="Times New Roman"/>
          <w:sz w:val="24"/>
          <w:szCs w:val="24"/>
          <w:lang w:eastAsia="pt-BR"/>
        </w:rPr>
        <w:t>proxy</w:t>
      </w:r>
      <w:proofErr w:type="gramEnd"/>
      <w:r w:rsidRPr="00CE31A5">
        <w:rPr>
          <w:rFonts w:ascii="Times New Roman" w:eastAsiaTheme="minorEastAsia" w:hAnsi="Times New Roman" w:cs="Times New Roman"/>
          <w:sz w:val="24"/>
          <w:szCs w:val="24"/>
          <w:lang w:eastAsia="pt-BR"/>
        </w:rPr>
        <w:t xml:space="preserve"> é o número de cômodos utilizados como dormitórios. Apesar de a diferença ser significativa a 10%, </w:t>
      </w:r>
      <w:r>
        <w:rPr>
          <w:rFonts w:ascii="Times New Roman" w:eastAsiaTheme="minorEastAsia" w:hAnsi="Times New Roman" w:cs="Times New Roman"/>
          <w:sz w:val="24"/>
          <w:szCs w:val="24"/>
          <w:lang w:eastAsia="pt-BR"/>
        </w:rPr>
        <w:t>sua magnitude</w:t>
      </w:r>
      <w:r w:rsidRPr="00CE31A5">
        <w:rPr>
          <w:rFonts w:ascii="Times New Roman" w:eastAsiaTheme="minorEastAsia" w:hAnsi="Times New Roman" w:cs="Times New Roman"/>
          <w:sz w:val="24"/>
          <w:szCs w:val="24"/>
          <w:lang w:eastAsia="pt-BR"/>
        </w:rPr>
        <w:t xml:space="preserve"> é pequena para caracterizar uma propriedade maior, em números de cômodos utilizados como dormitório,</w:t>
      </w:r>
      <w:r w:rsidR="002D2BB8" w:rsidRPr="002D2BB8">
        <w:rPr>
          <w:rFonts w:ascii="Times New Roman" w:eastAsiaTheme="minorEastAsia" w:hAnsi="Times New Roman" w:cs="Times New Roman"/>
          <w:sz w:val="24"/>
          <w:szCs w:val="24"/>
          <w:lang w:eastAsia="pt-BR"/>
        </w:rPr>
        <w:t xml:space="preserve"> </w:t>
      </w:r>
      <w:r w:rsidR="002D2BB8" w:rsidRPr="00CE31A5">
        <w:rPr>
          <w:rFonts w:ascii="Times New Roman" w:eastAsiaTheme="minorEastAsia" w:hAnsi="Times New Roman" w:cs="Times New Roman"/>
          <w:sz w:val="24"/>
          <w:szCs w:val="24"/>
          <w:lang w:eastAsia="pt-BR"/>
        </w:rPr>
        <w:t>do grupo de tratamento</w:t>
      </w:r>
      <w:r w:rsidR="002D2BB8">
        <w:rPr>
          <w:rFonts w:ascii="Times New Roman" w:eastAsiaTheme="minorEastAsia" w:hAnsi="Times New Roman" w:cs="Times New Roman"/>
          <w:sz w:val="24"/>
          <w:szCs w:val="24"/>
          <w:lang w:eastAsia="pt-BR"/>
        </w:rPr>
        <w:t xml:space="preserve"> do </w:t>
      </w:r>
      <w:r w:rsidRPr="00CE31A5">
        <w:rPr>
          <w:rFonts w:ascii="Times New Roman" w:eastAsiaTheme="minorEastAsia" w:hAnsi="Times New Roman" w:cs="Times New Roman"/>
          <w:sz w:val="24"/>
          <w:szCs w:val="24"/>
          <w:lang w:eastAsia="pt-BR"/>
        </w:rPr>
        <w:t>que</w:t>
      </w:r>
      <w:proofErr w:type="gramStart"/>
      <w:r w:rsidRPr="00CE31A5">
        <w:rPr>
          <w:rFonts w:ascii="Times New Roman" w:eastAsiaTheme="minorEastAsia" w:hAnsi="Times New Roman" w:cs="Times New Roman"/>
          <w:sz w:val="24"/>
          <w:szCs w:val="24"/>
          <w:lang w:eastAsia="pt-BR"/>
        </w:rPr>
        <w:t xml:space="preserve">  </w:t>
      </w:r>
      <w:proofErr w:type="gramEnd"/>
      <w:r w:rsidRPr="00CE31A5">
        <w:rPr>
          <w:rFonts w:ascii="Times New Roman" w:eastAsiaTheme="minorEastAsia" w:hAnsi="Times New Roman" w:cs="Times New Roman"/>
          <w:sz w:val="24"/>
          <w:szCs w:val="24"/>
          <w:lang w:eastAsia="pt-BR"/>
        </w:rPr>
        <w:t>do grupo de controle.</w:t>
      </w:r>
    </w:p>
    <w:p w:rsidR="00200497" w:rsidRDefault="00200497" w:rsidP="00E263F8">
      <w:pPr>
        <w:spacing w:after="0"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621A24" w:rsidP="00621A24">
      <w:pPr>
        <w:keepNext/>
        <w:spacing w:after="0" w:line="240" w:lineRule="auto"/>
        <w:ind w:firstLine="709"/>
        <w:contextualSpacing/>
        <w:jc w:val="both"/>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t>Tabela 13</w:t>
      </w:r>
      <w:r w:rsidR="00CA5846" w:rsidRPr="000A5FB9">
        <w:rPr>
          <w:rFonts w:ascii="Times New Roman" w:eastAsiaTheme="minorEastAsia" w:hAnsi="Times New Roman" w:cs="Times New Roman"/>
          <w:b/>
          <w:sz w:val="24"/>
          <w:szCs w:val="24"/>
          <w:lang w:eastAsia="pt-BR"/>
        </w:rPr>
        <w:t xml:space="preserve"> – Impacto do programa na qualidade da cobertura do domicílio</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Cobertura - Telha</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0,9718</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0,9785</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0,9736</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0,9718</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0,9329</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0,9449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0,9205</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0,9321</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0,0389</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0,0336</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0,0531</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0,0397</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1,27</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1,29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0,026</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0,025</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0,013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0,03</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186/195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228/245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r>
    </w:tbl>
    <w:p w:rsidR="00CA5846" w:rsidRPr="00CE31A5" w:rsidRDefault="00CA5846" w:rsidP="00621A24">
      <w:pPr>
        <w:keepNext/>
        <w:spacing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E263F8" w:rsidRDefault="00E263F8"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621A24" w:rsidP="00621A24">
      <w:pPr>
        <w:keepNext/>
        <w:spacing w:after="0" w:line="240" w:lineRule="auto"/>
        <w:ind w:firstLine="709"/>
        <w:contextualSpacing/>
        <w:jc w:val="both"/>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t>Tabela 14</w:t>
      </w:r>
      <w:r w:rsidR="00CA5846" w:rsidRPr="000A5FB9">
        <w:rPr>
          <w:rFonts w:ascii="Times New Roman" w:eastAsiaTheme="minorEastAsia" w:hAnsi="Times New Roman" w:cs="Times New Roman"/>
          <w:b/>
          <w:sz w:val="24"/>
          <w:szCs w:val="24"/>
          <w:lang w:eastAsia="pt-BR"/>
        </w:rPr>
        <w:t xml:space="preserve"> – Impacto do programa no número de dormitórios</w:t>
      </w:r>
      <w:proofErr w:type="gramEnd"/>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Cobertura - Telha</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2,289</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2,309</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2,309</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2,101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2,111</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2,127</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2,099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0,188</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0,198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0,182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0,19</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1,65*</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0,106</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0,128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0,11</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186/195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228/245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r>
    </w:tbl>
    <w:p w:rsidR="00CA5846" w:rsidRPr="00CE31A5" w:rsidRDefault="00CA5846" w:rsidP="00621A24">
      <w:pPr>
        <w:keepNext/>
        <w:spacing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E263F8" w:rsidRDefault="00E263F8" w:rsidP="00E263F8">
      <w:pPr>
        <w:spacing w:line="240" w:lineRule="auto"/>
        <w:ind w:firstLine="709"/>
        <w:contextualSpacing/>
        <w:jc w:val="both"/>
        <w:rPr>
          <w:rFonts w:ascii="Times New Roman" w:eastAsiaTheme="minorEastAsia" w:hAnsi="Times New Roman" w:cs="Times New Roman"/>
          <w:sz w:val="24"/>
          <w:szCs w:val="24"/>
          <w:lang w:eastAsia="pt-BR"/>
        </w:rPr>
      </w:pPr>
      <w:bookmarkStart w:id="64" w:name="_GoBack"/>
      <w:bookmarkEnd w:id="64"/>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lastRenderedPageBreak/>
        <w:t xml:space="preserve">Se não existe uma diferença relevante entre o grupo de tratamento e o grupo de controle quanto às benfeitorias já realizadas no domicílio, pode-se questionar se o reconhecimento do direito de propriedade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alteraria a propensão dos moradores a investir no imóvel futuramente, levando em consideração que a segurança da posse é um fator restritivo na tomada de decisão dessa natureza. Foi perguntado aos chefes do domicílio se eles pretendiam realizar alguma obra ou reforma na residência dentro de 12 meses. Essa variável será utilizada para tentar captar o efeito do programa no investimento futuro. Apesar de não ser possível observar a realização deste, essa variável, ao captar a intenção dos chefes de domicílios, pode fornecer algumas informações sobre as escolhas em relação ao investimento domiciliar e sobre o quão restritiva é a insegurança dos direitos de prop</w:t>
      </w:r>
      <w:r w:rsidR="00621A24">
        <w:rPr>
          <w:rFonts w:ascii="Times New Roman" w:eastAsiaTheme="minorEastAsia" w:hAnsi="Times New Roman" w:cs="Times New Roman"/>
          <w:sz w:val="24"/>
          <w:szCs w:val="24"/>
          <w:lang w:eastAsia="pt-BR"/>
        </w:rPr>
        <w:t>riedade ao tomá-las. A tabela 15</w:t>
      </w:r>
      <w:r w:rsidRPr="00CE31A5">
        <w:rPr>
          <w:rFonts w:ascii="Times New Roman" w:eastAsiaTheme="minorEastAsia" w:hAnsi="Times New Roman" w:cs="Times New Roman"/>
          <w:sz w:val="24"/>
          <w:szCs w:val="24"/>
          <w:lang w:eastAsia="pt-BR"/>
        </w:rPr>
        <w:t xml:space="preserve"> apresenta os resultados da estimação do impacto do programa na propensão a investir dos chefes de domicílio,</w:t>
      </w:r>
    </w:p>
    <w:p w:rsidR="00826F87" w:rsidRDefault="00826F87" w:rsidP="00E263F8">
      <w:pPr>
        <w:spacing w:after="0"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621A24" w:rsidP="00621A24">
      <w:pPr>
        <w:keepNext/>
        <w:spacing w:after="0" w:line="240" w:lineRule="auto"/>
        <w:ind w:firstLine="709"/>
        <w:contextualSpacing/>
        <w:jc w:val="both"/>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t>Tabela 15</w:t>
      </w:r>
      <w:r w:rsidR="00CA5846" w:rsidRPr="000A5FB9">
        <w:rPr>
          <w:rFonts w:ascii="Times New Roman" w:eastAsiaTheme="minorEastAsia" w:hAnsi="Times New Roman" w:cs="Times New Roman"/>
          <w:b/>
          <w:sz w:val="24"/>
          <w:szCs w:val="24"/>
          <w:lang w:eastAsia="pt-BR"/>
        </w:rPr>
        <w:t xml:space="preserve"> – Impacto do programa na propensão</w:t>
      </w:r>
      <w:proofErr w:type="gramEnd"/>
      <w:r w:rsidR="00CA5846" w:rsidRPr="000A5FB9">
        <w:rPr>
          <w:rFonts w:ascii="Times New Roman" w:eastAsiaTheme="minorEastAsia" w:hAnsi="Times New Roman" w:cs="Times New Roman"/>
          <w:b/>
          <w:sz w:val="24"/>
          <w:szCs w:val="24"/>
          <w:lang w:eastAsia="pt-BR"/>
        </w:rPr>
        <w:t xml:space="preserve"> a investir</w:t>
      </w:r>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Propensão a Investir</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0,516</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0,532</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0,500</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0,516</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0,376</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0,363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0,399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0,371</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0,14</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0,169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0,101</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0,145</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2,19**</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2,63***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1,59</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2,24**</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0,111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0,173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0,064</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0,123</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186/195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228/245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r>
    </w:tbl>
    <w:p w:rsidR="00CA5846" w:rsidRPr="00CE31A5" w:rsidRDefault="00CA5846" w:rsidP="00621A24">
      <w:pPr>
        <w:keepNext/>
        <w:spacing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E263F8" w:rsidRDefault="00E263F8" w:rsidP="00E263F8">
      <w:pPr>
        <w:spacing w:line="240" w:lineRule="auto"/>
        <w:ind w:firstLine="709"/>
        <w:contextualSpacing/>
        <w:jc w:val="both"/>
        <w:rPr>
          <w:rFonts w:ascii="Times New Roman" w:eastAsiaTheme="minorEastAsia" w:hAnsi="Times New Roman" w:cs="Times New Roman"/>
          <w:sz w:val="24"/>
          <w:szCs w:val="24"/>
          <w:lang w:eastAsia="pt-BR"/>
        </w:rPr>
      </w:pPr>
    </w:p>
    <w:p w:rsidR="00CA5846" w:rsidRPr="00CE31A5" w:rsidRDefault="00CA5846" w:rsidP="00E263F8">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 xml:space="preserve">Os resultados apontam que o reconhecimento do direito de propriedade </w:t>
      </w:r>
      <w:r w:rsidRPr="00CE31A5">
        <w:rPr>
          <w:rFonts w:ascii="Times New Roman" w:eastAsiaTheme="minorEastAsia" w:hAnsi="Times New Roman" w:cs="Times New Roman"/>
          <w:i/>
          <w:sz w:val="24"/>
          <w:szCs w:val="24"/>
          <w:lang w:eastAsia="pt-BR"/>
        </w:rPr>
        <w:t>de facto</w:t>
      </w:r>
      <w:r w:rsidRPr="00CE31A5">
        <w:rPr>
          <w:rFonts w:ascii="Times New Roman" w:eastAsiaTheme="minorEastAsia" w:hAnsi="Times New Roman" w:cs="Times New Roman"/>
          <w:sz w:val="24"/>
          <w:szCs w:val="24"/>
          <w:lang w:eastAsia="pt-BR"/>
        </w:rPr>
        <w:t xml:space="preserve"> pode estar relacionado com o aumento da propensão a investir na residência. Dos métodos de pareamento utilizados, em três foi encontrada diferença </w:t>
      </w:r>
      <w:r w:rsidR="0036034C" w:rsidRPr="00CE31A5">
        <w:rPr>
          <w:rFonts w:ascii="Times New Roman" w:eastAsiaTheme="minorEastAsia" w:hAnsi="Times New Roman" w:cs="Times New Roman"/>
          <w:sz w:val="24"/>
          <w:szCs w:val="24"/>
          <w:lang w:eastAsia="pt-BR"/>
        </w:rPr>
        <w:t xml:space="preserve">estatisticamente significante </w:t>
      </w:r>
      <w:r w:rsidRPr="00CE31A5">
        <w:rPr>
          <w:rFonts w:ascii="Times New Roman" w:eastAsiaTheme="minorEastAsia" w:hAnsi="Times New Roman" w:cs="Times New Roman"/>
          <w:sz w:val="24"/>
          <w:szCs w:val="24"/>
          <w:lang w:eastAsia="pt-BR"/>
        </w:rPr>
        <w:t>entre os grupos. Ainda, a diferença de 14 pontos percentuais entre a propensão a investir do grupo de tratamento e a do grupo de controle pode ser considerada economicamente relevante, ainda mais considerando que o valor estimado para os domicílios de controle está em torno de 38%</w:t>
      </w:r>
      <w:r w:rsidR="00454790">
        <w:rPr>
          <w:rFonts w:ascii="Times New Roman" w:eastAsiaTheme="minorEastAsia" w:hAnsi="Times New Roman" w:cs="Times New Roman"/>
          <w:sz w:val="24"/>
          <w:szCs w:val="24"/>
          <w:lang w:eastAsia="pt-BR"/>
        </w:rPr>
        <w:t>.</w:t>
      </w:r>
    </w:p>
    <w:p w:rsidR="00CA5846" w:rsidRPr="00CE31A5" w:rsidRDefault="00CA5846" w:rsidP="005412CD">
      <w:pPr>
        <w:spacing w:line="240" w:lineRule="auto"/>
        <w:ind w:firstLine="709"/>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t>Contudo, ainda não se pode afirmar por qual mecanismo de transmissão este efeito ocorre: pelo aumento da percepção de segurança ou pelo aumento da renda domiciliar. Dessa forma, se faz necessário incluir como variável de controle a renda domiciliar. Espera-se que com essa nova especificação do modelo seja possível separar do impacto estimado na propensão a invest</w:t>
      </w:r>
      <w:r w:rsidR="005412CD">
        <w:rPr>
          <w:rFonts w:ascii="Times New Roman" w:eastAsiaTheme="minorEastAsia" w:hAnsi="Times New Roman" w:cs="Times New Roman"/>
          <w:sz w:val="24"/>
          <w:szCs w:val="24"/>
          <w:lang w:eastAsia="pt-BR"/>
        </w:rPr>
        <w:t>ir os dois mecanismos citados</w:t>
      </w:r>
    </w:p>
    <w:p w:rsidR="00CA5846" w:rsidRPr="00CE31A5" w:rsidRDefault="00CA5846" w:rsidP="00E263F8">
      <w:pPr>
        <w:spacing w:after="0" w:line="240" w:lineRule="auto"/>
        <w:ind w:firstLine="709"/>
        <w:contextualSpacing/>
        <w:jc w:val="both"/>
        <w:rPr>
          <w:rFonts w:ascii="Times New Roman" w:eastAsiaTheme="minorEastAsia" w:hAnsi="Times New Roman" w:cs="Times New Roman"/>
          <w:sz w:val="24"/>
          <w:szCs w:val="24"/>
          <w:lang w:eastAsia="pt-BR"/>
        </w:rPr>
      </w:pPr>
    </w:p>
    <w:p w:rsidR="00CA5846" w:rsidRPr="000A5FB9" w:rsidRDefault="00621A24" w:rsidP="00621A24">
      <w:pPr>
        <w:keepNext/>
        <w:spacing w:after="0" w:line="240" w:lineRule="auto"/>
        <w:ind w:firstLine="709"/>
        <w:contextualSpacing/>
        <w:jc w:val="both"/>
        <w:rPr>
          <w:rFonts w:ascii="Times New Roman" w:eastAsiaTheme="minorEastAsia" w:hAnsi="Times New Roman" w:cs="Times New Roman"/>
          <w:b/>
          <w:sz w:val="24"/>
          <w:szCs w:val="24"/>
          <w:lang w:eastAsia="pt-BR"/>
        </w:rPr>
      </w:pPr>
      <w:proofErr w:type="gramStart"/>
      <w:r w:rsidRPr="000A5FB9">
        <w:rPr>
          <w:rFonts w:ascii="Times New Roman" w:eastAsiaTheme="minorEastAsia" w:hAnsi="Times New Roman" w:cs="Times New Roman"/>
          <w:b/>
          <w:sz w:val="24"/>
          <w:szCs w:val="24"/>
          <w:lang w:eastAsia="pt-BR"/>
        </w:rPr>
        <w:t>Tabela 16</w:t>
      </w:r>
      <w:r w:rsidR="00CA5846" w:rsidRPr="000A5FB9">
        <w:rPr>
          <w:rFonts w:ascii="Times New Roman" w:eastAsiaTheme="minorEastAsia" w:hAnsi="Times New Roman" w:cs="Times New Roman"/>
          <w:b/>
          <w:sz w:val="24"/>
          <w:szCs w:val="24"/>
          <w:lang w:eastAsia="pt-BR"/>
        </w:rPr>
        <w:t xml:space="preserve"> – Impacto na propensão</w:t>
      </w:r>
      <w:proofErr w:type="gramEnd"/>
      <w:r w:rsidR="00CA5846" w:rsidRPr="000A5FB9">
        <w:rPr>
          <w:rFonts w:ascii="Times New Roman" w:eastAsiaTheme="minorEastAsia" w:hAnsi="Times New Roman" w:cs="Times New Roman"/>
          <w:b/>
          <w:sz w:val="24"/>
          <w:szCs w:val="24"/>
          <w:lang w:eastAsia="pt-BR"/>
        </w:rPr>
        <w:t xml:space="preserve"> a investir controlando pela renda domiciliar</w:t>
      </w:r>
    </w:p>
    <w:tbl>
      <w:tblPr>
        <w:tblW w:w="7658" w:type="dxa"/>
        <w:jc w:val="center"/>
        <w:tblInd w:w="55" w:type="dxa"/>
        <w:tblCellMar>
          <w:left w:w="70" w:type="dxa"/>
          <w:right w:w="70" w:type="dxa"/>
        </w:tblCellMar>
        <w:tblLook w:val="04A0" w:firstRow="1" w:lastRow="0" w:firstColumn="1" w:lastColumn="0" w:noHBand="0" w:noVBand="1"/>
      </w:tblPr>
      <w:tblGrid>
        <w:gridCol w:w="2289"/>
        <w:gridCol w:w="1441"/>
        <w:gridCol w:w="1561"/>
        <w:gridCol w:w="1427"/>
        <w:gridCol w:w="1427"/>
      </w:tblGrid>
      <w:tr w:rsidR="00CA5846" w:rsidRPr="00CE31A5" w:rsidTr="00545404">
        <w:trPr>
          <w:trHeight w:val="300"/>
          <w:jc w:val="center"/>
        </w:trPr>
        <w:tc>
          <w:tcPr>
            <w:tcW w:w="228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r w:rsidRPr="00CE31A5">
              <w:rPr>
                <w:rFonts w:ascii="Times New Roman" w:eastAsia="Times New Roman" w:hAnsi="Times New Roman" w:cs="Times New Roman"/>
                <w:b/>
                <w:color w:val="000000"/>
                <w:sz w:val="24"/>
                <w:szCs w:val="24"/>
                <w:lang w:eastAsia="pt-BR"/>
              </w:rPr>
              <w:t>Propensão a Investir</w:t>
            </w:r>
          </w:p>
        </w:tc>
        <w:tc>
          <w:tcPr>
            <w:tcW w:w="1429"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0,01)</w:t>
            </w:r>
          </w:p>
        </w:tc>
        <w:tc>
          <w:tcPr>
            <w:tcW w:w="1418"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Radius(</w:t>
            </w:r>
            <w:proofErr w:type="gramEnd"/>
            <w:r w:rsidRPr="00CE31A5">
              <w:rPr>
                <w:rFonts w:ascii="Times New Roman" w:eastAsia="Times New Roman" w:hAnsi="Times New Roman" w:cs="Times New Roman"/>
                <w:b/>
                <w:color w:val="000000"/>
                <w:sz w:val="24"/>
                <w:szCs w:val="24"/>
                <w:lang w:eastAsia="pt-BR"/>
              </w:rPr>
              <w:t>0,005)</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0,06)</w:t>
            </w:r>
          </w:p>
        </w:tc>
        <w:tc>
          <w:tcPr>
            <w:tcW w:w="1261" w:type="dxa"/>
            <w:tcBorders>
              <w:top w:val="single" w:sz="4" w:space="0" w:color="auto"/>
              <w:bottom w:val="single" w:sz="4" w:space="0" w:color="auto"/>
            </w:tcBorders>
            <w:shd w:val="clear" w:color="auto" w:fill="auto"/>
            <w:noWrap/>
            <w:vAlign w:val="center"/>
            <w:hideMark/>
          </w:tcPr>
          <w:p w:rsidR="00CA5846" w:rsidRPr="00CE31A5" w:rsidRDefault="00CA5846" w:rsidP="00621A24">
            <w:pPr>
              <w:keepNext/>
              <w:spacing w:after="0" w:line="240" w:lineRule="auto"/>
              <w:contextualSpacing/>
              <w:jc w:val="center"/>
              <w:rPr>
                <w:rFonts w:ascii="Times New Roman" w:eastAsia="Times New Roman" w:hAnsi="Times New Roman" w:cs="Times New Roman"/>
                <w:b/>
                <w:color w:val="000000"/>
                <w:sz w:val="24"/>
                <w:szCs w:val="24"/>
                <w:lang w:eastAsia="pt-BR"/>
              </w:rPr>
            </w:pPr>
            <w:proofErr w:type="gramStart"/>
            <w:r w:rsidRPr="00CE31A5">
              <w:rPr>
                <w:rFonts w:ascii="Times New Roman" w:eastAsia="Times New Roman" w:hAnsi="Times New Roman" w:cs="Times New Roman"/>
                <w:b/>
                <w:color w:val="000000"/>
                <w:sz w:val="24"/>
                <w:szCs w:val="24"/>
                <w:lang w:eastAsia="pt-BR"/>
              </w:rPr>
              <w:t>Kernel(</w:t>
            </w:r>
            <w:proofErr w:type="gramEnd"/>
            <w:r w:rsidRPr="00CE31A5">
              <w:rPr>
                <w:rFonts w:ascii="Times New Roman" w:eastAsia="Times New Roman" w:hAnsi="Times New Roman" w:cs="Times New Roman"/>
                <w:b/>
                <w:color w:val="000000"/>
                <w:sz w:val="24"/>
                <w:szCs w:val="24"/>
                <w:lang w:eastAsia="pt-BR"/>
              </w:rPr>
              <w:t>0,01)</w:t>
            </w:r>
          </w:p>
        </w:tc>
      </w:tr>
      <w:tr w:rsidR="00CA5846" w:rsidRPr="00CE31A5" w:rsidTr="00545404">
        <w:trPr>
          <w:trHeight w:val="300"/>
          <w:jc w:val="center"/>
        </w:trPr>
        <w:tc>
          <w:tcPr>
            <w:tcW w:w="2289" w:type="dxa"/>
            <w:tcBorders>
              <w:top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Tratamento</w:t>
            </w:r>
          </w:p>
        </w:tc>
        <w:tc>
          <w:tcPr>
            <w:tcW w:w="1429"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0,515</w:t>
            </w:r>
          </w:p>
        </w:tc>
        <w:tc>
          <w:tcPr>
            <w:tcW w:w="1418"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0,511</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0,509</w:t>
            </w:r>
          </w:p>
        </w:tc>
        <w:tc>
          <w:tcPr>
            <w:tcW w:w="1261" w:type="dxa"/>
            <w:tcBorders>
              <w:top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0,515</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Controle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0,41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0,42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0,398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0,412</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0,105</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0,091</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0,111</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0,103</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T-stat</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1,71*</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1,43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1,82*</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1,66*</w:t>
            </w:r>
          </w:p>
        </w:tc>
      </w:tr>
      <w:tr w:rsidR="00CA5846" w:rsidRPr="00CE31A5" w:rsidTr="00545404">
        <w:trPr>
          <w:trHeight w:val="300"/>
          <w:jc w:val="center"/>
        </w:trPr>
        <w:tc>
          <w:tcPr>
            <w:tcW w:w="2289" w:type="dxa"/>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b/>
                <w:bCs/>
                <w:color w:val="000000"/>
                <w:sz w:val="24"/>
                <w:szCs w:val="24"/>
                <w:lang w:eastAsia="pt-BR"/>
              </w:rPr>
            </w:pPr>
            <w:r w:rsidRPr="00CE31A5">
              <w:rPr>
                <w:rFonts w:ascii="Times New Roman" w:eastAsia="Times New Roman" w:hAnsi="Times New Roman" w:cs="Times New Roman"/>
                <w:b/>
                <w:bCs/>
                <w:color w:val="000000"/>
                <w:sz w:val="24"/>
                <w:szCs w:val="24"/>
                <w:lang w:eastAsia="pt-BR"/>
              </w:rPr>
              <w:t>ATE</w:t>
            </w:r>
          </w:p>
        </w:tc>
        <w:tc>
          <w:tcPr>
            <w:tcW w:w="1429"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0,083</w:t>
            </w:r>
          </w:p>
        </w:tc>
        <w:tc>
          <w:tcPr>
            <w:tcW w:w="1418"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0,103</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0,078</w:t>
            </w:r>
          </w:p>
        </w:tc>
        <w:tc>
          <w:tcPr>
            <w:tcW w:w="1261" w:type="dxa"/>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0,088</w:t>
            </w:r>
          </w:p>
        </w:tc>
      </w:tr>
      <w:tr w:rsidR="00CA5846" w:rsidRPr="00CE31A5" w:rsidTr="00545404">
        <w:trPr>
          <w:trHeight w:val="300"/>
          <w:jc w:val="center"/>
        </w:trPr>
        <w:tc>
          <w:tcPr>
            <w:tcW w:w="2289" w:type="dxa"/>
            <w:tcBorders>
              <w:bottom w:val="single" w:sz="4" w:space="0" w:color="auto"/>
            </w:tcBorders>
            <w:shd w:val="clear" w:color="auto" w:fill="auto"/>
            <w:noWrap/>
            <w:vAlign w:val="bottom"/>
            <w:hideMark/>
          </w:tcPr>
          <w:p w:rsidR="00CA5846" w:rsidRPr="00CE31A5" w:rsidRDefault="00CA5846" w:rsidP="00621A24">
            <w:pPr>
              <w:keepNext/>
              <w:spacing w:after="0" w:line="240" w:lineRule="auto"/>
              <w:contextualSpacing/>
              <w:rPr>
                <w:rFonts w:ascii="Times New Roman" w:eastAsia="Times New Roman" w:hAnsi="Times New Roman" w:cs="Times New Roman"/>
                <w:color w:val="000000"/>
                <w:sz w:val="24"/>
                <w:szCs w:val="24"/>
                <w:lang w:eastAsia="pt-BR"/>
              </w:rPr>
            </w:pPr>
            <w:r w:rsidRPr="00CE31A5">
              <w:rPr>
                <w:rFonts w:ascii="Times New Roman" w:eastAsia="Times New Roman" w:hAnsi="Times New Roman" w:cs="Times New Roman"/>
                <w:color w:val="000000"/>
                <w:sz w:val="24"/>
                <w:szCs w:val="24"/>
                <w:lang w:eastAsia="pt-BR"/>
              </w:rPr>
              <w:t>Obs. (Trat./Contr.)</w:t>
            </w:r>
          </w:p>
        </w:tc>
        <w:tc>
          <w:tcPr>
            <w:tcW w:w="1429"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c>
          <w:tcPr>
            <w:tcW w:w="1418"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186/195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228/245</w:t>
            </w:r>
          </w:p>
        </w:tc>
        <w:tc>
          <w:tcPr>
            <w:tcW w:w="1261" w:type="dxa"/>
            <w:tcBorders>
              <w:bottom w:val="single" w:sz="4" w:space="0" w:color="auto"/>
            </w:tcBorders>
            <w:shd w:val="clear" w:color="auto" w:fill="auto"/>
            <w:noWrap/>
            <w:vAlign w:val="bottom"/>
          </w:tcPr>
          <w:p w:rsidR="00CA5846" w:rsidRPr="00CE31A5" w:rsidRDefault="00CA5846" w:rsidP="00621A24">
            <w:pPr>
              <w:keepNext/>
              <w:spacing w:after="0" w:line="240" w:lineRule="auto"/>
              <w:contextualSpacing/>
              <w:jc w:val="center"/>
              <w:rPr>
                <w:rFonts w:ascii="Times New Roman" w:eastAsiaTheme="minorEastAsia" w:hAnsi="Times New Roman" w:cs="Times New Roman"/>
                <w:color w:val="000000"/>
                <w:sz w:val="24"/>
                <w:szCs w:val="24"/>
                <w:lang w:eastAsia="pt-BR"/>
              </w:rPr>
            </w:pPr>
            <w:r w:rsidRPr="00CE31A5">
              <w:rPr>
                <w:rFonts w:ascii="Times New Roman" w:eastAsiaTheme="minorEastAsia" w:hAnsi="Times New Roman" w:cs="Times New Roman"/>
                <w:color w:val="000000"/>
                <w:sz w:val="24"/>
                <w:szCs w:val="24"/>
                <w:lang w:eastAsia="pt-BR"/>
              </w:rPr>
              <w:t>213/232</w:t>
            </w:r>
          </w:p>
        </w:tc>
      </w:tr>
    </w:tbl>
    <w:p w:rsidR="00CA5846" w:rsidRPr="00CE31A5" w:rsidRDefault="00CA5846" w:rsidP="00621A24">
      <w:pPr>
        <w:keepNext/>
        <w:spacing w:line="240" w:lineRule="auto"/>
        <w:ind w:firstLine="709"/>
        <w:contextualSpacing/>
        <w:jc w:val="both"/>
        <w:rPr>
          <w:rFonts w:ascii="Times New Roman" w:eastAsiaTheme="minorEastAsia" w:hAnsi="Times New Roman" w:cs="Times New Roman"/>
          <w:sz w:val="18"/>
          <w:szCs w:val="24"/>
          <w:lang w:eastAsia="pt-BR"/>
        </w:rPr>
      </w:pPr>
      <w:r w:rsidRPr="00CE31A5">
        <w:rPr>
          <w:rFonts w:ascii="Times New Roman" w:eastAsiaTheme="minorEastAsia" w:hAnsi="Times New Roman" w:cs="Times New Roman"/>
          <w:sz w:val="18"/>
          <w:szCs w:val="24"/>
          <w:lang w:eastAsia="pt-BR"/>
        </w:rPr>
        <w:t>*Significante a 10%; **Significante a 5%; ***Significante a 1</w:t>
      </w:r>
      <w:proofErr w:type="gramStart"/>
      <w:r w:rsidRPr="00CE31A5">
        <w:rPr>
          <w:rFonts w:ascii="Times New Roman" w:eastAsiaTheme="minorEastAsia" w:hAnsi="Times New Roman" w:cs="Times New Roman"/>
          <w:sz w:val="18"/>
          <w:szCs w:val="24"/>
          <w:lang w:eastAsia="pt-BR"/>
        </w:rPr>
        <w:t>%</w:t>
      </w:r>
      <w:proofErr w:type="gramEnd"/>
    </w:p>
    <w:p w:rsidR="00E263F8" w:rsidRDefault="00E263F8" w:rsidP="00E263F8">
      <w:pPr>
        <w:spacing w:line="240" w:lineRule="auto"/>
        <w:ind w:firstLine="709"/>
        <w:contextualSpacing/>
        <w:jc w:val="both"/>
        <w:rPr>
          <w:rFonts w:ascii="Times New Roman" w:eastAsiaTheme="minorEastAsia" w:hAnsi="Times New Roman" w:cs="Times New Roman"/>
          <w:sz w:val="24"/>
          <w:szCs w:val="24"/>
          <w:lang w:eastAsia="pt-BR"/>
        </w:rPr>
      </w:pPr>
    </w:p>
    <w:p w:rsidR="00840172" w:rsidRDefault="00582148" w:rsidP="00E263F8">
      <w:pPr>
        <w:spacing w:line="240" w:lineRule="auto"/>
        <w:ind w:firstLine="709"/>
        <w:contextualSpacing/>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Os resultados </w:t>
      </w:r>
      <w:r w:rsidR="00621A24">
        <w:rPr>
          <w:rFonts w:ascii="Times New Roman" w:eastAsiaTheme="minorEastAsia" w:hAnsi="Times New Roman" w:cs="Times New Roman"/>
          <w:sz w:val="24"/>
          <w:szCs w:val="24"/>
          <w:lang w:eastAsia="pt-BR"/>
        </w:rPr>
        <w:t>da tabela 16</w:t>
      </w:r>
      <w:r>
        <w:rPr>
          <w:rFonts w:ascii="Times New Roman" w:eastAsiaTheme="minorEastAsia" w:hAnsi="Times New Roman" w:cs="Times New Roman"/>
          <w:sz w:val="24"/>
          <w:szCs w:val="24"/>
          <w:lang w:eastAsia="pt-BR"/>
        </w:rPr>
        <w:t xml:space="preserve"> apontam o impacto do programa na propensão a investir devido apenas ao aumento da percepção de segurança, já que controlamos pela renda. Ainda assim, as estimativas se mostraram significativas a 10% e economicamente relevantes, com magnitude de 10 pontos percentuais na propensão a investir.</w:t>
      </w:r>
    </w:p>
    <w:p w:rsidR="00582148" w:rsidRPr="00CE31A5" w:rsidRDefault="00582148" w:rsidP="00E263F8">
      <w:pPr>
        <w:spacing w:line="240" w:lineRule="auto"/>
        <w:ind w:firstLine="709"/>
        <w:contextualSpacing/>
        <w:jc w:val="both"/>
        <w:rPr>
          <w:rFonts w:ascii="Times New Roman" w:eastAsiaTheme="minorEastAsia" w:hAnsi="Times New Roman" w:cs="Times New Roman"/>
          <w:sz w:val="24"/>
          <w:szCs w:val="24"/>
          <w:lang w:eastAsia="pt-BR"/>
        </w:rPr>
      </w:pPr>
    </w:p>
    <w:p w:rsidR="00840172" w:rsidRDefault="00CA5846" w:rsidP="000A5FB9">
      <w:pPr>
        <w:keepNext/>
        <w:spacing w:after="0" w:line="240" w:lineRule="auto"/>
        <w:rPr>
          <w:rFonts w:ascii="Times New Roman" w:eastAsiaTheme="majorEastAsia" w:hAnsi="Times New Roman" w:cs="Times New Roman"/>
          <w:b/>
          <w:bCs/>
          <w:sz w:val="24"/>
          <w:szCs w:val="24"/>
          <w:lang w:eastAsia="pt-BR"/>
        </w:rPr>
      </w:pPr>
      <w:bookmarkStart w:id="65" w:name="_Toc350977060"/>
      <w:bookmarkStart w:id="66" w:name="_Toc362259581"/>
      <w:r w:rsidRPr="00CE31A5">
        <w:rPr>
          <w:rFonts w:ascii="Times New Roman" w:eastAsiaTheme="majorEastAsia" w:hAnsi="Times New Roman" w:cs="Times New Roman"/>
          <w:b/>
          <w:bCs/>
          <w:sz w:val="24"/>
          <w:szCs w:val="24"/>
          <w:lang w:eastAsia="pt-BR"/>
        </w:rPr>
        <w:t>Conclusão</w:t>
      </w:r>
      <w:bookmarkStart w:id="67" w:name="_Toc350977061"/>
      <w:bookmarkStart w:id="68" w:name="_Toc362259582"/>
      <w:bookmarkEnd w:id="65"/>
      <w:bookmarkEnd w:id="66"/>
    </w:p>
    <w:p w:rsidR="00840172" w:rsidRDefault="00582148" w:rsidP="00371326">
      <w:pPr>
        <w:spacing w:after="0" w:line="240" w:lineRule="auto"/>
        <w:jc w:val="both"/>
        <w:rPr>
          <w:rFonts w:ascii="Times New Roman" w:eastAsiaTheme="majorEastAsia" w:hAnsi="Times New Roman" w:cs="Times New Roman"/>
          <w:bCs/>
          <w:sz w:val="24"/>
          <w:szCs w:val="24"/>
          <w:lang w:eastAsia="pt-BR"/>
        </w:rPr>
      </w:pPr>
      <w:r>
        <w:rPr>
          <w:rFonts w:ascii="Times New Roman" w:eastAsiaTheme="majorEastAsia" w:hAnsi="Times New Roman" w:cs="Times New Roman"/>
          <w:bCs/>
          <w:sz w:val="24"/>
          <w:szCs w:val="24"/>
          <w:lang w:eastAsia="pt-BR"/>
        </w:rPr>
        <w:tab/>
        <w:t xml:space="preserve">O </w:t>
      </w:r>
      <w:r w:rsidR="001C4CE3">
        <w:rPr>
          <w:rFonts w:ascii="Times New Roman" w:eastAsiaTheme="majorEastAsia" w:hAnsi="Times New Roman" w:cs="Times New Roman"/>
          <w:bCs/>
          <w:sz w:val="24"/>
          <w:szCs w:val="24"/>
          <w:lang w:eastAsia="pt-BR"/>
        </w:rPr>
        <w:t>Programa de Regularização Fundiária do Distrito Federal tem potencial para aumentar o bem-estar da população residente de assentamentos informais de baixa renda.</w:t>
      </w:r>
      <w:r w:rsidR="007C4B9B">
        <w:rPr>
          <w:rFonts w:ascii="Times New Roman" w:eastAsiaTheme="majorEastAsia" w:hAnsi="Times New Roman" w:cs="Times New Roman"/>
          <w:bCs/>
          <w:sz w:val="24"/>
          <w:szCs w:val="24"/>
          <w:lang w:eastAsia="pt-BR"/>
        </w:rPr>
        <w:t xml:space="preserve"> Além de apontarem para um aumento no rendimento do trabalho, os resultados indicam, também, um relaxamento nas restrições que </w:t>
      </w:r>
      <w:r w:rsidR="007C4B9B">
        <w:rPr>
          <w:rFonts w:ascii="Times New Roman" w:eastAsiaTheme="majorEastAsia" w:hAnsi="Times New Roman" w:cs="Times New Roman"/>
          <w:bCs/>
          <w:sz w:val="24"/>
          <w:szCs w:val="24"/>
          <w:lang w:eastAsia="pt-BR"/>
        </w:rPr>
        <w:lastRenderedPageBreak/>
        <w:t>as famílias defrontam</w:t>
      </w:r>
      <w:r w:rsidR="001C4CE3">
        <w:rPr>
          <w:rFonts w:ascii="Times New Roman" w:eastAsiaTheme="majorEastAsia" w:hAnsi="Times New Roman" w:cs="Times New Roman"/>
          <w:bCs/>
          <w:sz w:val="24"/>
          <w:szCs w:val="24"/>
          <w:lang w:eastAsia="pt-BR"/>
        </w:rPr>
        <w:t xml:space="preserve"> </w:t>
      </w:r>
      <w:r w:rsidR="007C4B9B">
        <w:rPr>
          <w:rFonts w:ascii="Times New Roman" w:eastAsiaTheme="majorEastAsia" w:hAnsi="Times New Roman" w:cs="Times New Roman"/>
          <w:bCs/>
          <w:sz w:val="24"/>
          <w:szCs w:val="24"/>
          <w:lang w:eastAsia="pt-BR"/>
        </w:rPr>
        <w:t>com direitos de propriedade inseguros. O aumento na propensão a investir e na oferta de trabalho são reflexos de decisões menos restritas.</w:t>
      </w:r>
      <w:r w:rsidR="0033071B">
        <w:rPr>
          <w:rFonts w:ascii="Times New Roman" w:eastAsiaTheme="majorEastAsia" w:hAnsi="Times New Roman" w:cs="Times New Roman"/>
          <w:bCs/>
          <w:sz w:val="24"/>
          <w:szCs w:val="24"/>
          <w:lang w:eastAsia="pt-BR"/>
        </w:rPr>
        <w:t xml:space="preserve"> Em uma análise de bem-estar que vai além da análise de renda, a tomada de decisão de forma meno</w:t>
      </w:r>
      <w:r w:rsidR="00414B21">
        <w:rPr>
          <w:rFonts w:ascii="Times New Roman" w:eastAsiaTheme="majorEastAsia" w:hAnsi="Times New Roman" w:cs="Times New Roman"/>
          <w:bCs/>
          <w:sz w:val="24"/>
          <w:szCs w:val="24"/>
          <w:lang w:eastAsia="pt-BR"/>
        </w:rPr>
        <w:t>s restrita deve ser um fator que</w:t>
      </w:r>
      <w:r w:rsidR="0033071B">
        <w:rPr>
          <w:rFonts w:ascii="Times New Roman" w:eastAsiaTheme="majorEastAsia" w:hAnsi="Times New Roman" w:cs="Times New Roman"/>
          <w:bCs/>
          <w:sz w:val="24"/>
          <w:szCs w:val="24"/>
          <w:lang w:eastAsia="pt-BR"/>
        </w:rPr>
        <w:t xml:space="preserve"> deve</w:t>
      </w:r>
      <w:r w:rsidR="00414B21">
        <w:rPr>
          <w:rFonts w:ascii="Times New Roman" w:eastAsiaTheme="majorEastAsia" w:hAnsi="Times New Roman" w:cs="Times New Roman"/>
          <w:bCs/>
          <w:sz w:val="24"/>
          <w:szCs w:val="24"/>
          <w:lang w:eastAsia="pt-BR"/>
        </w:rPr>
        <w:t>, também,</w:t>
      </w:r>
      <w:r w:rsidR="0033071B">
        <w:rPr>
          <w:rFonts w:ascii="Times New Roman" w:eastAsiaTheme="majorEastAsia" w:hAnsi="Times New Roman" w:cs="Times New Roman"/>
          <w:bCs/>
          <w:sz w:val="24"/>
          <w:szCs w:val="24"/>
          <w:lang w:eastAsia="pt-BR"/>
        </w:rPr>
        <w:t xml:space="preserve"> ser valorado.</w:t>
      </w:r>
      <w:r w:rsidR="007C4B9B">
        <w:rPr>
          <w:rFonts w:ascii="Times New Roman" w:eastAsiaTheme="majorEastAsia" w:hAnsi="Times New Roman" w:cs="Times New Roman"/>
          <w:bCs/>
          <w:sz w:val="24"/>
          <w:szCs w:val="24"/>
          <w:lang w:eastAsia="pt-BR"/>
        </w:rPr>
        <w:t xml:space="preserve"> </w:t>
      </w:r>
      <w:r w:rsidR="00414B21">
        <w:rPr>
          <w:rFonts w:ascii="Times New Roman" w:eastAsiaTheme="majorEastAsia" w:hAnsi="Times New Roman" w:cs="Times New Roman"/>
          <w:bCs/>
          <w:sz w:val="24"/>
          <w:szCs w:val="24"/>
          <w:lang w:eastAsia="pt-BR"/>
        </w:rPr>
        <w:t>Levando-se em conta</w:t>
      </w:r>
      <w:r w:rsidR="001C4CE3">
        <w:rPr>
          <w:rFonts w:ascii="Times New Roman" w:eastAsiaTheme="majorEastAsia" w:hAnsi="Times New Roman" w:cs="Times New Roman"/>
          <w:bCs/>
          <w:sz w:val="24"/>
          <w:szCs w:val="24"/>
          <w:lang w:eastAsia="pt-BR"/>
        </w:rPr>
        <w:t xml:space="preserve"> que os impactos aqui encontrados </w:t>
      </w:r>
      <w:r w:rsidR="007C4B9B">
        <w:rPr>
          <w:rFonts w:ascii="Times New Roman" w:eastAsiaTheme="majorEastAsia" w:hAnsi="Times New Roman" w:cs="Times New Roman"/>
          <w:bCs/>
          <w:sz w:val="24"/>
          <w:szCs w:val="24"/>
          <w:lang w:eastAsia="pt-BR"/>
        </w:rPr>
        <w:t xml:space="preserve">podem ser considerados </w:t>
      </w:r>
      <w:r w:rsidR="001C4CE3">
        <w:rPr>
          <w:rFonts w:ascii="Times New Roman" w:eastAsiaTheme="majorEastAsia" w:hAnsi="Times New Roman" w:cs="Times New Roman"/>
          <w:bCs/>
          <w:sz w:val="24"/>
          <w:szCs w:val="24"/>
          <w:lang w:eastAsia="pt-BR"/>
        </w:rPr>
        <w:t xml:space="preserve">uma antecipação </w:t>
      </w:r>
      <w:r w:rsidR="00371326">
        <w:rPr>
          <w:rFonts w:ascii="Times New Roman" w:eastAsiaTheme="majorEastAsia" w:hAnsi="Times New Roman" w:cs="Times New Roman"/>
          <w:bCs/>
          <w:sz w:val="24"/>
          <w:szCs w:val="24"/>
          <w:lang w:eastAsia="pt-BR"/>
        </w:rPr>
        <w:t>ao programa em si, espera-se que esses resultados podem ser ampliados quando da entrega da escritura definitiva.</w:t>
      </w:r>
      <w:r w:rsidR="0033071B">
        <w:rPr>
          <w:rFonts w:ascii="Times New Roman" w:eastAsiaTheme="majorEastAsia" w:hAnsi="Times New Roman" w:cs="Times New Roman"/>
          <w:bCs/>
          <w:sz w:val="24"/>
          <w:szCs w:val="24"/>
          <w:lang w:eastAsia="pt-BR"/>
        </w:rPr>
        <w:t xml:space="preserve"> </w:t>
      </w:r>
      <w:r w:rsidR="00960D47">
        <w:rPr>
          <w:rFonts w:ascii="Times New Roman" w:eastAsiaTheme="majorEastAsia" w:hAnsi="Times New Roman" w:cs="Times New Roman"/>
          <w:bCs/>
          <w:sz w:val="24"/>
          <w:szCs w:val="24"/>
          <w:lang w:eastAsia="pt-BR"/>
        </w:rPr>
        <w:t>Ademais, sugere-se um estudo aprofundado de quais mecanismos causais estão por trás das relações estimadas, principalmente no que se refere à oferta de trabalho e aos melhores empregos.</w:t>
      </w:r>
    </w:p>
    <w:p w:rsidR="00371326" w:rsidRPr="00582148" w:rsidRDefault="00371326" w:rsidP="00371326">
      <w:pPr>
        <w:spacing w:after="0" w:line="240" w:lineRule="auto"/>
        <w:jc w:val="both"/>
        <w:rPr>
          <w:rFonts w:ascii="Times New Roman" w:eastAsiaTheme="majorEastAsia" w:hAnsi="Times New Roman" w:cs="Times New Roman"/>
          <w:bCs/>
          <w:sz w:val="24"/>
          <w:szCs w:val="24"/>
          <w:lang w:eastAsia="pt-BR"/>
        </w:rPr>
      </w:pPr>
    </w:p>
    <w:p w:rsidR="00CA5846" w:rsidRPr="00371326" w:rsidRDefault="00CA5846" w:rsidP="00371326">
      <w:pPr>
        <w:rPr>
          <w:rFonts w:ascii="Times New Roman" w:eastAsiaTheme="majorEastAsia" w:hAnsi="Times New Roman" w:cs="Times New Roman"/>
          <w:b/>
          <w:bCs/>
          <w:sz w:val="24"/>
          <w:szCs w:val="24"/>
          <w:lang w:eastAsia="pt-BR"/>
        </w:rPr>
      </w:pPr>
      <w:r w:rsidRPr="00CE31A5">
        <w:rPr>
          <w:rFonts w:ascii="Times New Roman" w:eastAsiaTheme="majorEastAsia" w:hAnsi="Times New Roman" w:cs="Times New Roman"/>
          <w:b/>
          <w:bCs/>
          <w:sz w:val="24"/>
          <w:szCs w:val="24"/>
          <w:lang w:eastAsia="pt-BR"/>
        </w:rPr>
        <w:t>Referências</w:t>
      </w:r>
      <w:bookmarkEnd w:id="67"/>
      <w:r w:rsidRPr="00CE31A5">
        <w:rPr>
          <w:rFonts w:ascii="Times New Roman" w:eastAsiaTheme="majorEastAsia" w:hAnsi="Times New Roman" w:cs="Times New Roman"/>
          <w:b/>
          <w:bCs/>
          <w:sz w:val="24"/>
          <w:szCs w:val="24"/>
          <w:lang w:eastAsia="pt-BR"/>
        </w:rPr>
        <w:t xml:space="preserve"> Bibliográficas</w:t>
      </w:r>
      <w:bookmarkEnd w:id="68"/>
    </w:p>
    <w:p w:rsidR="00CA5846" w:rsidRPr="00454790"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CE31A5">
        <w:rPr>
          <w:rFonts w:ascii="Times New Roman" w:eastAsiaTheme="minorEastAsia" w:hAnsi="Times New Roman" w:cs="Times New Roman"/>
          <w:sz w:val="24"/>
          <w:szCs w:val="24"/>
          <w:lang w:eastAsia="pt-BR"/>
        </w:rPr>
        <w:fldChar w:fldCharType="begin"/>
      </w:r>
      <w:r w:rsidRPr="00454790">
        <w:rPr>
          <w:rFonts w:ascii="Times New Roman" w:eastAsiaTheme="minorEastAsia" w:hAnsi="Times New Roman" w:cs="Times New Roman"/>
          <w:sz w:val="24"/>
          <w:szCs w:val="24"/>
          <w:lang w:eastAsia="pt-BR"/>
        </w:rPr>
        <w:instrText xml:space="preserve"> BIBLIOGRAPHY  \l 1046 </w:instrText>
      </w:r>
      <w:r w:rsidRPr="00CE31A5">
        <w:rPr>
          <w:rFonts w:ascii="Times New Roman" w:eastAsiaTheme="minorEastAsia" w:hAnsi="Times New Roman" w:cs="Times New Roman"/>
          <w:sz w:val="24"/>
          <w:szCs w:val="24"/>
          <w:lang w:eastAsia="pt-BR"/>
        </w:rPr>
        <w:fldChar w:fldCharType="separate"/>
      </w:r>
      <w:r w:rsidRPr="00EF4553">
        <w:rPr>
          <w:rFonts w:ascii="Times New Roman" w:eastAsiaTheme="minorEastAsia" w:hAnsi="Times New Roman" w:cs="Times New Roman"/>
          <w:b/>
          <w:noProof/>
          <w:sz w:val="24"/>
          <w:szCs w:val="24"/>
          <w:lang w:eastAsia="pt-BR"/>
        </w:rPr>
        <w:t>Alchian, A., &amp; Demsetz</w:t>
      </w:r>
      <w:r w:rsidRPr="00454790">
        <w:rPr>
          <w:rFonts w:ascii="Times New Roman" w:eastAsiaTheme="minorEastAsia" w:hAnsi="Times New Roman" w:cs="Times New Roman"/>
          <w:noProof/>
          <w:sz w:val="24"/>
          <w:szCs w:val="24"/>
          <w:lang w:eastAsia="pt-BR"/>
        </w:rPr>
        <w:t xml:space="preserve">, H. (1973). </w:t>
      </w:r>
      <w:r w:rsidRPr="00CE31A5">
        <w:rPr>
          <w:rFonts w:ascii="Times New Roman" w:eastAsiaTheme="minorEastAsia" w:hAnsi="Times New Roman" w:cs="Times New Roman"/>
          <w:noProof/>
          <w:sz w:val="24"/>
          <w:szCs w:val="24"/>
          <w:lang w:val="en-US" w:eastAsia="pt-BR"/>
        </w:rPr>
        <w:t xml:space="preserve">The Property Rights Paradigm. </w:t>
      </w:r>
      <w:r w:rsidRPr="00454790">
        <w:rPr>
          <w:rFonts w:ascii="Times New Roman" w:eastAsiaTheme="minorEastAsia" w:hAnsi="Times New Roman" w:cs="Times New Roman"/>
          <w:i/>
          <w:iCs/>
          <w:noProof/>
          <w:sz w:val="24"/>
          <w:szCs w:val="24"/>
          <w:lang w:val="en-US" w:eastAsia="pt-BR"/>
        </w:rPr>
        <w:t>The Journal of Economic History, 33, No. 1</w:t>
      </w:r>
      <w:r w:rsidRPr="00454790">
        <w:rPr>
          <w:rFonts w:ascii="Times New Roman" w:eastAsiaTheme="minorEastAsia" w:hAnsi="Times New Roman" w:cs="Times New Roman"/>
          <w:noProof/>
          <w:sz w:val="24"/>
          <w:szCs w:val="24"/>
          <w:lang w:val="en-US" w:eastAsia="pt-BR"/>
        </w:rPr>
        <w:t>.</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eastAsia="pt-BR"/>
        </w:rPr>
        <w:t>Alfonsin, B</w:t>
      </w:r>
      <w:r w:rsidRPr="00CE31A5">
        <w:rPr>
          <w:rFonts w:ascii="Times New Roman" w:eastAsiaTheme="minorEastAsia" w:hAnsi="Times New Roman" w:cs="Times New Roman"/>
          <w:noProof/>
          <w:sz w:val="24"/>
          <w:szCs w:val="24"/>
          <w:lang w:eastAsia="pt-BR"/>
        </w:rPr>
        <w:t xml:space="preserve">. (1997). Direito à moradia - Instrumentos e Experiências de Regularização Fundiária nas Cidades Brasileiras. </w:t>
      </w:r>
      <w:r w:rsidRPr="00CE31A5">
        <w:rPr>
          <w:rFonts w:ascii="Times New Roman" w:eastAsiaTheme="minorEastAsia" w:hAnsi="Times New Roman" w:cs="Times New Roman"/>
          <w:i/>
          <w:iCs/>
          <w:noProof/>
          <w:sz w:val="24"/>
          <w:szCs w:val="24"/>
          <w:lang w:val="en-US" w:eastAsia="pt-BR"/>
        </w:rPr>
        <w:t>FASE/IPPUR</w:t>
      </w:r>
      <w:r w:rsidRPr="00CE31A5">
        <w:rPr>
          <w:rFonts w:ascii="Times New Roman" w:eastAsiaTheme="minorEastAsia" w:hAnsi="Times New Roman" w:cs="Times New Roman"/>
          <w:noProof/>
          <w:sz w:val="24"/>
          <w:szCs w:val="24"/>
          <w:lang w:val="en-US" w:eastAsia="pt-BR"/>
        </w:rPr>
        <w:t>.</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Alston, L., &amp; Mueller, B</w:t>
      </w:r>
      <w:r w:rsidRPr="00CE31A5">
        <w:rPr>
          <w:rFonts w:ascii="Times New Roman" w:eastAsiaTheme="minorEastAsia" w:hAnsi="Times New Roman" w:cs="Times New Roman"/>
          <w:noProof/>
          <w:sz w:val="24"/>
          <w:szCs w:val="24"/>
          <w:lang w:val="en-US" w:eastAsia="pt-BR"/>
        </w:rPr>
        <w:t xml:space="preserve">. (2010). Property Rights, Land Conflict and Tenancy in Brazil. </w:t>
      </w:r>
      <w:r w:rsidRPr="00CE31A5">
        <w:rPr>
          <w:rFonts w:ascii="Times New Roman" w:eastAsiaTheme="minorEastAsia" w:hAnsi="Times New Roman" w:cs="Times New Roman"/>
          <w:i/>
          <w:iCs/>
          <w:noProof/>
          <w:sz w:val="24"/>
          <w:szCs w:val="24"/>
          <w:lang w:val="en-US" w:eastAsia="pt-BR"/>
        </w:rPr>
        <w:t>NBER Working Paper Series, No 15771</w:t>
      </w:r>
      <w:r w:rsidRPr="00CE31A5">
        <w:rPr>
          <w:rFonts w:ascii="Times New Roman" w:eastAsiaTheme="minorEastAsia" w:hAnsi="Times New Roman" w:cs="Times New Roman"/>
          <w:noProof/>
          <w:sz w:val="24"/>
          <w:szCs w:val="24"/>
          <w:lang w:val="en-US" w:eastAsia="pt-BR"/>
        </w:rPr>
        <w:t>.</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eastAsia="pt-BR"/>
        </w:rPr>
      </w:pPr>
      <w:r w:rsidRPr="00826F87">
        <w:rPr>
          <w:rFonts w:ascii="Times New Roman" w:eastAsiaTheme="minorEastAsia" w:hAnsi="Times New Roman" w:cs="Times New Roman"/>
          <w:b/>
          <w:noProof/>
          <w:sz w:val="24"/>
          <w:szCs w:val="24"/>
          <w:lang w:val="en-US" w:eastAsia="pt-BR"/>
        </w:rPr>
        <w:t>Alston, L., Libecap, G., &amp; Schneider, R</w:t>
      </w:r>
      <w:r w:rsidRPr="00CE31A5">
        <w:rPr>
          <w:rFonts w:ascii="Times New Roman" w:eastAsiaTheme="minorEastAsia" w:hAnsi="Times New Roman" w:cs="Times New Roman"/>
          <w:noProof/>
          <w:sz w:val="24"/>
          <w:szCs w:val="24"/>
          <w:lang w:val="en-US" w:eastAsia="pt-BR"/>
        </w:rPr>
        <w:t xml:space="preserve">. (1996). The Determinants and Impact of Property Rights: Land Titles in the Brazilian Frontier. </w:t>
      </w:r>
      <w:r w:rsidRPr="00CE31A5">
        <w:rPr>
          <w:rFonts w:ascii="Times New Roman" w:eastAsiaTheme="minorEastAsia" w:hAnsi="Times New Roman" w:cs="Times New Roman"/>
          <w:i/>
          <w:iCs/>
          <w:noProof/>
          <w:sz w:val="24"/>
          <w:szCs w:val="24"/>
          <w:lang w:eastAsia="pt-BR"/>
        </w:rPr>
        <w:t>The Journal of Law, Economics, &amp; Organization, 12, No 1</w:t>
      </w:r>
      <w:r w:rsidRPr="00CE31A5">
        <w:rPr>
          <w:rFonts w:ascii="Times New Roman" w:eastAsiaTheme="minorEastAsia" w:hAnsi="Times New Roman" w:cs="Times New Roman"/>
          <w:noProof/>
          <w:sz w:val="24"/>
          <w:szCs w:val="24"/>
          <w:lang w:eastAsia="pt-BR"/>
        </w:rPr>
        <w:t>.</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eastAsia="pt-BR"/>
        </w:rPr>
      </w:pPr>
      <w:r w:rsidRPr="00826F87">
        <w:rPr>
          <w:rFonts w:ascii="Times New Roman" w:eastAsiaTheme="minorEastAsia" w:hAnsi="Times New Roman" w:cs="Times New Roman"/>
          <w:b/>
          <w:noProof/>
          <w:sz w:val="24"/>
          <w:szCs w:val="24"/>
          <w:lang w:eastAsia="pt-BR"/>
        </w:rPr>
        <w:t>Andrade, M</w:t>
      </w:r>
      <w:r w:rsidRPr="00CE31A5">
        <w:rPr>
          <w:rFonts w:ascii="Times New Roman" w:eastAsiaTheme="minorEastAsia" w:hAnsi="Times New Roman" w:cs="Times New Roman"/>
          <w:noProof/>
          <w:sz w:val="24"/>
          <w:szCs w:val="24"/>
          <w:lang w:eastAsia="pt-BR"/>
        </w:rPr>
        <w:t xml:space="preserve">. (2009). </w:t>
      </w:r>
      <w:r w:rsidRPr="00CE31A5">
        <w:rPr>
          <w:rFonts w:ascii="Times New Roman" w:eastAsiaTheme="minorEastAsia" w:hAnsi="Times New Roman" w:cs="Times New Roman"/>
          <w:i/>
          <w:iCs/>
          <w:noProof/>
          <w:sz w:val="24"/>
          <w:szCs w:val="24"/>
          <w:lang w:eastAsia="pt-BR"/>
        </w:rPr>
        <w:t>Direito de Propriedade e Bem-Estar: Avaliação do Impacto do Programa de Regularização Fundiária na Quinta do Caju.</w:t>
      </w:r>
      <w:r w:rsidRPr="00CE31A5">
        <w:rPr>
          <w:rFonts w:ascii="Times New Roman" w:eastAsiaTheme="minorEastAsia" w:hAnsi="Times New Roman" w:cs="Times New Roman"/>
          <w:noProof/>
          <w:sz w:val="24"/>
          <w:szCs w:val="24"/>
          <w:lang w:eastAsia="pt-BR"/>
        </w:rPr>
        <w:t xml:space="preserve"> I Prêmio SEFAZ-SEDEIS Finanças Públicas e Desenvolvimento Econômico.</w:t>
      </w:r>
    </w:p>
    <w:p w:rsidR="00CA5846" w:rsidRPr="00CE31A5" w:rsidRDefault="00826F87"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454790">
        <w:rPr>
          <w:rFonts w:ascii="Times New Roman" w:eastAsiaTheme="minorEastAsia" w:hAnsi="Times New Roman" w:cs="Times New Roman"/>
          <w:b/>
          <w:noProof/>
          <w:sz w:val="24"/>
          <w:szCs w:val="24"/>
          <w:lang w:eastAsia="pt-BR"/>
        </w:rPr>
        <w:t>Angrist, J., &amp; Pischke, J.</w:t>
      </w:r>
      <w:r w:rsidR="00CA5846" w:rsidRPr="00454790">
        <w:rPr>
          <w:rFonts w:ascii="Times New Roman" w:eastAsiaTheme="minorEastAsia" w:hAnsi="Times New Roman" w:cs="Times New Roman"/>
          <w:b/>
          <w:noProof/>
          <w:sz w:val="24"/>
          <w:szCs w:val="24"/>
          <w:lang w:eastAsia="pt-BR"/>
        </w:rPr>
        <w:t xml:space="preserve">S. </w:t>
      </w:r>
      <w:r w:rsidR="00CA5846" w:rsidRPr="00454790">
        <w:rPr>
          <w:rFonts w:ascii="Times New Roman" w:eastAsiaTheme="minorEastAsia" w:hAnsi="Times New Roman" w:cs="Times New Roman"/>
          <w:noProof/>
          <w:sz w:val="24"/>
          <w:szCs w:val="24"/>
          <w:lang w:eastAsia="pt-BR"/>
        </w:rPr>
        <w:t xml:space="preserve">(2009). </w:t>
      </w:r>
      <w:r w:rsidR="00CA5846" w:rsidRPr="00CE31A5">
        <w:rPr>
          <w:rFonts w:ascii="Times New Roman" w:eastAsiaTheme="minorEastAsia" w:hAnsi="Times New Roman" w:cs="Times New Roman"/>
          <w:i/>
          <w:iCs/>
          <w:noProof/>
          <w:sz w:val="24"/>
          <w:szCs w:val="24"/>
          <w:lang w:val="en-US" w:eastAsia="pt-BR"/>
        </w:rPr>
        <w:t>Most Harmless Econometrics: an empiricist's companion.</w:t>
      </w:r>
      <w:r w:rsidR="00CA5846" w:rsidRPr="00CE31A5">
        <w:rPr>
          <w:rFonts w:ascii="Times New Roman" w:eastAsiaTheme="minorEastAsia" w:hAnsi="Times New Roman" w:cs="Times New Roman"/>
          <w:noProof/>
          <w:sz w:val="24"/>
          <w:szCs w:val="24"/>
          <w:lang w:val="en-US" w:eastAsia="pt-BR"/>
        </w:rPr>
        <w:t xml:space="preserve"> Princeton, New Jersey: Princeton University Press.</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Becker, S., &amp; Caliendo, M.</w:t>
      </w:r>
      <w:r w:rsidRPr="00CE31A5">
        <w:rPr>
          <w:rFonts w:ascii="Times New Roman" w:eastAsiaTheme="minorEastAsia" w:hAnsi="Times New Roman" w:cs="Times New Roman"/>
          <w:noProof/>
          <w:sz w:val="24"/>
          <w:szCs w:val="24"/>
          <w:lang w:val="en-US" w:eastAsia="pt-BR"/>
        </w:rPr>
        <w:t xml:space="preserve"> (2007). Sensitivity Analysis for Average Treatment Effects. </w:t>
      </w:r>
      <w:r w:rsidRPr="00CE31A5">
        <w:rPr>
          <w:rFonts w:ascii="Times New Roman" w:eastAsiaTheme="minorEastAsia" w:hAnsi="Times New Roman" w:cs="Times New Roman"/>
          <w:i/>
          <w:iCs/>
          <w:noProof/>
          <w:sz w:val="24"/>
          <w:szCs w:val="24"/>
          <w:lang w:val="en-US" w:eastAsia="pt-BR"/>
        </w:rPr>
        <w:t>The Stata Journal, 7</w:t>
      </w:r>
      <w:r w:rsidRPr="00CE31A5">
        <w:rPr>
          <w:rFonts w:ascii="Times New Roman" w:eastAsiaTheme="minorEastAsia" w:hAnsi="Times New Roman" w:cs="Times New Roman"/>
          <w:noProof/>
          <w:sz w:val="24"/>
          <w:szCs w:val="24"/>
          <w:lang w:val="en-US" w:eastAsia="pt-BR"/>
        </w:rPr>
        <w:t>(1), pp. 71-83.</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Becker, S., &amp; Ichino, A</w:t>
      </w:r>
      <w:r w:rsidRPr="00CE31A5">
        <w:rPr>
          <w:rFonts w:ascii="Times New Roman" w:eastAsiaTheme="minorEastAsia" w:hAnsi="Times New Roman" w:cs="Times New Roman"/>
          <w:noProof/>
          <w:sz w:val="24"/>
          <w:szCs w:val="24"/>
          <w:lang w:val="en-US" w:eastAsia="pt-BR"/>
        </w:rPr>
        <w:t xml:space="preserve">. (2002). Estimation of Average Treatment Effects based on Propensity Scores. </w:t>
      </w:r>
      <w:r w:rsidRPr="00CE31A5">
        <w:rPr>
          <w:rFonts w:ascii="Times New Roman" w:eastAsiaTheme="minorEastAsia" w:hAnsi="Times New Roman" w:cs="Times New Roman"/>
          <w:i/>
          <w:iCs/>
          <w:noProof/>
          <w:sz w:val="24"/>
          <w:szCs w:val="24"/>
          <w:lang w:val="en-US" w:eastAsia="pt-BR"/>
        </w:rPr>
        <w:t>The Stata Journal, 2</w:t>
      </w:r>
      <w:r w:rsidRPr="00CE31A5">
        <w:rPr>
          <w:rFonts w:ascii="Times New Roman" w:eastAsiaTheme="minorEastAsia" w:hAnsi="Times New Roman" w:cs="Times New Roman"/>
          <w:noProof/>
          <w:sz w:val="24"/>
          <w:szCs w:val="24"/>
          <w:lang w:val="en-US" w:eastAsia="pt-BR"/>
        </w:rPr>
        <w:t>(4), pp. 358-377.</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Besley, T</w:t>
      </w:r>
      <w:r w:rsidRPr="00CE31A5">
        <w:rPr>
          <w:rFonts w:ascii="Times New Roman" w:eastAsiaTheme="minorEastAsia" w:hAnsi="Times New Roman" w:cs="Times New Roman"/>
          <w:noProof/>
          <w:sz w:val="24"/>
          <w:szCs w:val="24"/>
          <w:lang w:val="en-US" w:eastAsia="pt-BR"/>
        </w:rPr>
        <w:t xml:space="preserve">. (1995). Property Rights and Investment Incentives: Theory and Evidence from Ghana. </w:t>
      </w:r>
      <w:r w:rsidRPr="00CE31A5">
        <w:rPr>
          <w:rFonts w:ascii="Times New Roman" w:eastAsiaTheme="minorEastAsia" w:hAnsi="Times New Roman" w:cs="Times New Roman"/>
          <w:i/>
          <w:iCs/>
          <w:noProof/>
          <w:sz w:val="24"/>
          <w:szCs w:val="24"/>
          <w:lang w:val="en-US" w:eastAsia="pt-BR"/>
        </w:rPr>
        <w:t>The Journal of Political Economy, 103, No.5</w:t>
      </w:r>
      <w:r w:rsidRPr="00CE31A5">
        <w:rPr>
          <w:rFonts w:ascii="Times New Roman" w:eastAsiaTheme="minorEastAsia" w:hAnsi="Times New Roman" w:cs="Times New Roman"/>
          <w:noProof/>
          <w:sz w:val="24"/>
          <w:szCs w:val="24"/>
          <w:lang w:val="en-US" w:eastAsia="pt-BR"/>
        </w:rPr>
        <w:t>, pp. 903-937.</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Besley, T., Burchardi, K., &amp; Ghatak, M.</w:t>
      </w:r>
      <w:r w:rsidRPr="00CE31A5">
        <w:rPr>
          <w:rFonts w:ascii="Times New Roman" w:eastAsiaTheme="minorEastAsia" w:hAnsi="Times New Roman" w:cs="Times New Roman"/>
          <w:noProof/>
          <w:sz w:val="24"/>
          <w:szCs w:val="24"/>
          <w:lang w:val="en-US" w:eastAsia="pt-BR"/>
        </w:rPr>
        <w:t xml:space="preserve"> (2012). Incentives and the De Soto Effect. </w:t>
      </w:r>
      <w:r w:rsidRPr="00CE31A5">
        <w:rPr>
          <w:rFonts w:ascii="Times New Roman" w:eastAsiaTheme="minorEastAsia" w:hAnsi="Times New Roman" w:cs="Times New Roman"/>
          <w:i/>
          <w:iCs/>
          <w:noProof/>
          <w:sz w:val="24"/>
          <w:szCs w:val="24"/>
          <w:lang w:val="en-US" w:eastAsia="pt-BR"/>
        </w:rPr>
        <w:t>Quarterly Journal of Economics, 127</w:t>
      </w:r>
      <w:r w:rsidRPr="00CE31A5">
        <w:rPr>
          <w:rFonts w:ascii="Times New Roman" w:eastAsiaTheme="minorEastAsia" w:hAnsi="Times New Roman" w:cs="Times New Roman"/>
          <w:noProof/>
          <w:sz w:val="24"/>
          <w:szCs w:val="24"/>
          <w:lang w:val="en-US" w:eastAsia="pt-BR"/>
        </w:rPr>
        <w:t>(1), pp. 237-282.</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Blaug, M.</w:t>
      </w:r>
      <w:r w:rsidRPr="00CE31A5">
        <w:rPr>
          <w:rFonts w:ascii="Times New Roman" w:eastAsiaTheme="minorEastAsia" w:hAnsi="Times New Roman" w:cs="Times New Roman"/>
          <w:noProof/>
          <w:sz w:val="24"/>
          <w:szCs w:val="24"/>
          <w:lang w:val="en-US" w:eastAsia="pt-BR"/>
        </w:rPr>
        <w:t xml:space="preserve"> (1992). </w:t>
      </w:r>
      <w:r w:rsidRPr="00CE31A5">
        <w:rPr>
          <w:rFonts w:ascii="Times New Roman" w:eastAsiaTheme="minorEastAsia" w:hAnsi="Times New Roman" w:cs="Times New Roman"/>
          <w:i/>
          <w:iCs/>
          <w:noProof/>
          <w:sz w:val="24"/>
          <w:szCs w:val="24"/>
          <w:lang w:val="en-US" w:eastAsia="pt-BR"/>
        </w:rPr>
        <w:t>The Methodology of Economics (Or how economists explain), Second Edition.</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Bryson, A., Dorsett, R., &amp; Purdon, S</w:t>
      </w:r>
      <w:r w:rsidRPr="00CE31A5">
        <w:rPr>
          <w:rFonts w:ascii="Times New Roman" w:eastAsiaTheme="minorEastAsia" w:hAnsi="Times New Roman" w:cs="Times New Roman"/>
          <w:noProof/>
          <w:sz w:val="24"/>
          <w:szCs w:val="24"/>
          <w:lang w:val="en-US" w:eastAsia="pt-BR"/>
        </w:rPr>
        <w:t xml:space="preserve">. (2002). </w:t>
      </w:r>
      <w:r w:rsidRPr="00CE31A5">
        <w:rPr>
          <w:rFonts w:ascii="Times New Roman" w:eastAsiaTheme="minorEastAsia" w:hAnsi="Times New Roman" w:cs="Times New Roman"/>
          <w:i/>
          <w:iCs/>
          <w:noProof/>
          <w:sz w:val="24"/>
          <w:szCs w:val="24"/>
          <w:lang w:val="en-US" w:eastAsia="pt-BR"/>
        </w:rPr>
        <w:t>The Use of Propensity Score Matching in the Evaluation of Labor Markets Policies.</w:t>
      </w:r>
      <w:r w:rsidRPr="00CE31A5">
        <w:rPr>
          <w:rFonts w:ascii="Times New Roman" w:eastAsiaTheme="minorEastAsia" w:hAnsi="Times New Roman" w:cs="Times New Roman"/>
          <w:noProof/>
          <w:sz w:val="24"/>
          <w:szCs w:val="24"/>
          <w:lang w:val="en-US" w:eastAsia="pt-BR"/>
        </w:rPr>
        <w:t xml:space="preserve"> Working Paper No. 4, Department for Work and Pensions.</w:t>
      </w:r>
    </w:p>
    <w:p w:rsidR="00CA5846" w:rsidRPr="00826F87"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Caliendo, M., &amp; Kopeinig</w:t>
      </w:r>
      <w:r w:rsidRPr="00CE31A5">
        <w:rPr>
          <w:rFonts w:ascii="Times New Roman" w:eastAsiaTheme="minorEastAsia" w:hAnsi="Times New Roman" w:cs="Times New Roman"/>
          <w:noProof/>
          <w:sz w:val="24"/>
          <w:szCs w:val="24"/>
          <w:lang w:val="en-US" w:eastAsia="pt-BR"/>
        </w:rPr>
        <w:t xml:space="preserve">, S. (2008). Some Practical Guidance for the Implementation of Propensity Score Matching. </w:t>
      </w:r>
      <w:r w:rsidRPr="00826F87">
        <w:rPr>
          <w:rFonts w:ascii="Times New Roman" w:eastAsiaTheme="minorEastAsia" w:hAnsi="Times New Roman" w:cs="Times New Roman"/>
          <w:i/>
          <w:iCs/>
          <w:noProof/>
          <w:sz w:val="24"/>
          <w:szCs w:val="24"/>
          <w:lang w:val="en-US" w:eastAsia="pt-BR"/>
        </w:rPr>
        <w:t>Journal of Economic Surveys, 22</w:t>
      </w:r>
      <w:r w:rsidRPr="00826F87">
        <w:rPr>
          <w:rFonts w:ascii="Times New Roman" w:eastAsiaTheme="minorEastAsia" w:hAnsi="Times New Roman" w:cs="Times New Roman"/>
          <w:noProof/>
          <w:sz w:val="24"/>
          <w:szCs w:val="24"/>
          <w:lang w:val="en-US" w:eastAsia="pt-BR"/>
        </w:rPr>
        <w:t>(1), pp. 31-72.</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Durand-Lasserve, A., &amp; Selod, H.</w:t>
      </w:r>
      <w:r w:rsidRPr="00CE31A5">
        <w:rPr>
          <w:rFonts w:ascii="Times New Roman" w:eastAsiaTheme="minorEastAsia" w:hAnsi="Times New Roman" w:cs="Times New Roman"/>
          <w:noProof/>
          <w:sz w:val="24"/>
          <w:szCs w:val="24"/>
          <w:lang w:val="en-US" w:eastAsia="pt-BR"/>
        </w:rPr>
        <w:t xml:space="preserve"> (2009). The Formalization of Urban Land Tenure in Developing Countries. </w:t>
      </w:r>
      <w:r w:rsidRPr="00CE31A5">
        <w:rPr>
          <w:rFonts w:ascii="Times New Roman" w:eastAsiaTheme="minorEastAsia" w:hAnsi="Times New Roman" w:cs="Times New Roman"/>
          <w:i/>
          <w:iCs/>
          <w:noProof/>
          <w:sz w:val="24"/>
          <w:szCs w:val="24"/>
          <w:lang w:val="en-US" w:eastAsia="pt-BR"/>
        </w:rPr>
        <w:t>Urbal Land Markets</w:t>
      </w:r>
      <w:r w:rsidRPr="00CE31A5">
        <w:rPr>
          <w:rFonts w:ascii="Times New Roman" w:eastAsiaTheme="minorEastAsia" w:hAnsi="Times New Roman" w:cs="Times New Roman"/>
          <w:noProof/>
          <w:sz w:val="24"/>
          <w:szCs w:val="24"/>
          <w:lang w:val="en-US" w:eastAsia="pt-BR"/>
        </w:rPr>
        <w:t>, pp. 101-132.</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Fernandes, E.</w:t>
      </w:r>
      <w:r w:rsidRPr="00CE31A5">
        <w:rPr>
          <w:rFonts w:ascii="Times New Roman" w:eastAsiaTheme="minorEastAsia" w:hAnsi="Times New Roman" w:cs="Times New Roman"/>
          <w:noProof/>
          <w:sz w:val="24"/>
          <w:szCs w:val="24"/>
          <w:lang w:val="en-US" w:eastAsia="pt-BR"/>
        </w:rPr>
        <w:t xml:space="preserve"> (2011). Regularization of Informal Settlemests in Latin America. </w:t>
      </w:r>
      <w:r w:rsidRPr="00CE31A5">
        <w:rPr>
          <w:rFonts w:ascii="Times New Roman" w:eastAsiaTheme="minorEastAsia" w:hAnsi="Times New Roman" w:cs="Times New Roman"/>
          <w:i/>
          <w:iCs/>
          <w:noProof/>
          <w:sz w:val="24"/>
          <w:szCs w:val="24"/>
          <w:lang w:val="en-US" w:eastAsia="pt-BR"/>
        </w:rPr>
        <w:t>Lincoln Institute of Land Policy - Policy Focus Report</w:t>
      </w:r>
      <w:r w:rsidRPr="00CE31A5">
        <w:rPr>
          <w:rFonts w:ascii="Times New Roman" w:eastAsiaTheme="minorEastAsia" w:hAnsi="Times New Roman" w:cs="Times New Roman"/>
          <w:noProof/>
          <w:sz w:val="24"/>
          <w:szCs w:val="24"/>
          <w:lang w:val="en-US" w:eastAsia="pt-BR"/>
        </w:rPr>
        <w:t>.</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Field, E.</w:t>
      </w:r>
      <w:r w:rsidRPr="00CE31A5">
        <w:rPr>
          <w:rFonts w:ascii="Times New Roman" w:eastAsiaTheme="minorEastAsia" w:hAnsi="Times New Roman" w:cs="Times New Roman"/>
          <w:noProof/>
          <w:sz w:val="24"/>
          <w:szCs w:val="24"/>
          <w:lang w:val="en-US" w:eastAsia="pt-BR"/>
        </w:rPr>
        <w:t xml:space="preserve"> (2003). </w:t>
      </w:r>
      <w:r w:rsidRPr="00CE31A5">
        <w:rPr>
          <w:rFonts w:ascii="Times New Roman" w:eastAsiaTheme="minorEastAsia" w:hAnsi="Times New Roman" w:cs="Times New Roman"/>
          <w:i/>
          <w:iCs/>
          <w:noProof/>
          <w:sz w:val="24"/>
          <w:szCs w:val="24"/>
          <w:lang w:val="en-US" w:eastAsia="pt-BR"/>
        </w:rPr>
        <w:t>Entitld to Work: Urban Property Rights and Labor Supply in Peru.</w:t>
      </w:r>
      <w:r w:rsidRPr="00CE31A5">
        <w:rPr>
          <w:rFonts w:ascii="Times New Roman" w:eastAsiaTheme="minorEastAsia" w:hAnsi="Times New Roman" w:cs="Times New Roman"/>
          <w:noProof/>
          <w:sz w:val="24"/>
          <w:szCs w:val="24"/>
          <w:lang w:val="en-US" w:eastAsia="pt-BR"/>
        </w:rPr>
        <w:t xml:space="preserve"> Mimeo. Harvard University.</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 xml:space="preserve">Field, E. </w:t>
      </w:r>
      <w:r w:rsidRPr="00826F87">
        <w:rPr>
          <w:rFonts w:ascii="Times New Roman" w:eastAsiaTheme="minorEastAsia" w:hAnsi="Times New Roman" w:cs="Times New Roman"/>
          <w:noProof/>
          <w:sz w:val="24"/>
          <w:szCs w:val="24"/>
          <w:lang w:val="en-US" w:eastAsia="pt-BR"/>
        </w:rPr>
        <w:t>(2005)</w:t>
      </w:r>
      <w:r w:rsidRPr="00CE31A5">
        <w:rPr>
          <w:rFonts w:ascii="Times New Roman" w:eastAsiaTheme="minorEastAsia" w:hAnsi="Times New Roman" w:cs="Times New Roman"/>
          <w:noProof/>
          <w:sz w:val="24"/>
          <w:szCs w:val="24"/>
          <w:lang w:val="en-US" w:eastAsia="pt-BR"/>
        </w:rPr>
        <w:t xml:space="preserve">. Property Rights and Investment in Urban Slums. </w:t>
      </w:r>
      <w:r w:rsidRPr="00CE31A5">
        <w:rPr>
          <w:rFonts w:ascii="Times New Roman" w:eastAsiaTheme="minorEastAsia" w:hAnsi="Times New Roman" w:cs="Times New Roman"/>
          <w:i/>
          <w:iCs/>
          <w:noProof/>
          <w:sz w:val="24"/>
          <w:szCs w:val="24"/>
          <w:lang w:val="en-US" w:eastAsia="pt-BR"/>
        </w:rPr>
        <w:t>Journal of the European Economic Association, 3(2-3)</w:t>
      </w:r>
      <w:r w:rsidRPr="00CE31A5">
        <w:rPr>
          <w:rFonts w:ascii="Times New Roman" w:eastAsiaTheme="minorEastAsia" w:hAnsi="Times New Roman" w:cs="Times New Roman"/>
          <w:noProof/>
          <w:sz w:val="24"/>
          <w:szCs w:val="24"/>
          <w:lang w:val="en-US" w:eastAsia="pt-BR"/>
        </w:rPr>
        <w:t>, pp. 279-290.</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Field, E</w:t>
      </w:r>
      <w:r w:rsidRPr="00CE31A5">
        <w:rPr>
          <w:rFonts w:ascii="Times New Roman" w:eastAsiaTheme="minorEastAsia" w:hAnsi="Times New Roman" w:cs="Times New Roman"/>
          <w:noProof/>
          <w:sz w:val="24"/>
          <w:szCs w:val="24"/>
          <w:lang w:val="en-US" w:eastAsia="pt-BR"/>
        </w:rPr>
        <w:t xml:space="preserve">. (2007). Entitled to Work: Urban Property Rights and Labor Supply in Peru. </w:t>
      </w:r>
      <w:r w:rsidRPr="00CE31A5">
        <w:rPr>
          <w:rFonts w:ascii="Times New Roman" w:eastAsiaTheme="minorEastAsia" w:hAnsi="Times New Roman" w:cs="Times New Roman"/>
          <w:i/>
          <w:iCs/>
          <w:noProof/>
          <w:sz w:val="24"/>
          <w:szCs w:val="24"/>
          <w:lang w:val="en-US" w:eastAsia="pt-BR"/>
        </w:rPr>
        <w:t>Quarterly Journal of Economics, 122</w:t>
      </w:r>
      <w:r w:rsidRPr="00CE31A5">
        <w:rPr>
          <w:rFonts w:ascii="Times New Roman" w:eastAsiaTheme="minorEastAsia" w:hAnsi="Times New Roman" w:cs="Times New Roman"/>
          <w:noProof/>
          <w:sz w:val="24"/>
          <w:szCs w:val="24"/>
          <w:lang w:val="en-US" w:eastAsia="pt-BR"/>
        </w:rPr>
        <w:t>(4), pp. 1561-1602.</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Field, E., &amp; Torero, M.</w:t>
      </w:r>
      <w:r w:rsidRPr="00CE31A5">
        <w:rPr>
          <w:rFonts w:ascii="Times New Roman" w:eastAsiaTheme="minorEastAsia" w:hAnsi="Times New Roman" w:cs="Times New Roman"/>
          <w:noProof/>
          <w:sz w:val="24"/>
          <w:szCs w:val="24"/>
          <w:lang w:val="en-US" w:eastAsia="pt-BR"/>
        </w:rPr>
        <w:t xml:space="preserve"> (2006). </w:t>
      </w:r>
      <w:r w:rsidRPr="00CE31A5">
        <w:rPr>
          <w:rFonts w:ascii="Times New Roman" w:eastAsiaTheme="minorEastAsia" w:hAnsi="Times New Roman" w:cs="Times New Roman"/>
          <w:i/>
          <w:iCs/>
          <w:noProof/>
          <w:sz w:val="24"/>
          <w:szCs w:val="24"/>
          <w:lang w:val="en-US" w:eastAsia="pt-BR"/>
        </w:rPr>
        <w:t>Do Property Titles Increase Credit Access among the Urban Poor? Evidence from Peru.</w:t>
      </w:r>
      <w:r w:rsidRPr="00CE31A5">
        <w:rPr>
          <w:rFonts w:ascii="Times New Roman" w:eastAsiaTheme="minorEastAsia" w:hAnsi="Times New Roman" w:cs="Times New Roman"/>
          <w:noProof/>
          <w:sz w:val="24"/>
          <w:szCs w:val="24"/>
          <w:lang w:val="en-US" w:eastAsia="pt-BR"/>
        </w:rPr>
        <w:t xml:space="preserve"> Mimeo. Harvard University.</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Galiani, S., &amp; Schargrodsky, E</w:t>
      </w:r>
      <w:r w:rsidRPr="00CE31A5">
        <w:rPr>
          <w:rFonts w:ascii="Times New Roman" w:eastAsiaTheme="minorEastAsia" w:hAnsi="Times New Roman" w:cs="Times New Roman"/>
          <w:noProof/>
          <w:sz w:val="24"/>
          <w:szCs w:val="24"/>
          <w:lang w:val="en-US" w:eastAsia="pt-BR"/>
        </w:rPr>
        <w:t xml:space="preserve">. (2010). Property Rights for the Poor: Effects of Land Titling. </w:t>
      </w:r>
      <w:r w:rsidRPr="00CE31A5">
        <w:rPr>
          <w:rFonts w:ascii="Times New Roman" w:eastAsiaTheme="minorEastAsia" w:hAnsi="Times New Roman" w:cs="Times New Roman"/>
          <w:i/>
          <w:iCs/>
          <w:noProof/>
          <w:sz w:val="24"/>
          <w:szCs w:val="24"/>
          <w:lang w:val="en-US" w:eastAsia="pt-BR"/>
        </w:rPr>
        <w:t>Journal of Public Economics, 94</w:t>
      </w:r>
      <w:r w:rsidRPr="00CE31A5">
        <w:rPr>
          <w:rFonts w:ascii="Times New Roman" w:eastAsiaTheme="minorEastAsia" w:hAnsi="Times New Roman" w:cs="Times New Roman"/>
          <w:noProof/>
          <w:sz w:val="24"/>
          <w:szCs w:val="24"/>
          <w:lang w:val="en-US" w:eastAsia="pt-BR"/>
        </w:rPr>
        <w:t>(9-10), pp. 700-729.</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Galiani, S., &amp; Schargrodsky, E</w:t>
      </w:r>
      <w:r w:rsidRPr="00CE31A5">
        <w:rPr>
          <w:rFonts w:ascii="Times New Roman" w:eastAsiaTheme="minorEastAsia" w:hAnsi="Times New Roman" w:cs="Times New Roman"/>
          <w:noProof/>
          <w:sz w:val="24"/>
          <w:szCs w:val="24"/>
          <w:lang w:val="en-US" w:eastAsia="pt-BR"/>
        </w:rPr>
        <w:t xml:space="preserve">. (2010). </w:t>
      </w:r>
      <w:r w:rsidRPr="00CE31A5">
        <w:rPr>
          <w:rFonts w:ascii="Times New Roman" w:eastAsiaTheme="minorEastAsia" w:hAnsi="Times New Roman" w:cs="Times New Roman"/>
          <w:i/>
          <w:iCs/>
          <w:noProof/>
          <w:sz w:val="24"/>
          <w:szCs w:val="24"/>
          <w:lang w:val="en-US" w:eastAsia="pt-BR"/>
        </w:rPr>
        <w:t>Resource Allocation, Transaction Costs and Land Property Rights.</w:t>
      </w:r>
      <w:r w:rsidRPr="00CE31A5">
        <w:rPr>
          <w:rFonts w:ascii="Times New Roman" w:eastAsiaTheme="minorEastAsia" w:hAnsi="Times New Roman" w:cs="Times New Roman"/>
          <w:noProof/>
          <w:sz w:val="24"/>
          <w:szCs w:val="24"/>
          <w:lang w:val="en-US" w:eastAsia="pt-BR"/>
        </w:rPr>
        <w:t xml:space="preserve"> Mimeo.</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lastRenderedPageBreak/>
        <w:t>Jacoby, H., Li, G., &amp; Rozelle, S</w:t>
      </w:r>
      <w:r w:rsidRPr="00CE31A5">
        <w:rPr>
          <w:rFonts w:ascii="Times New Roman" w:eastAsiaTheme="minorEastAsia" w:hAnsi="Times New Roman" w:cs="Times New Roman"/>
          <w:noProof/>
          <w:sz w:val="24"/>
          <w:szCs w:val="24"/>
          <w:lang w:val="en-US" w:eastAsia="pt-BR"/>
        </w:rPr>
        <w:t xml:space="preserve">. (2002). Hazards of Expropriation: Tenure Insecurity and Investment in Rural China. </w:t>
      </w:r>
      <w:r w:rsidRPr="00CE31A5">
        <w:rPr>
          <w:rFonts w:ascii="Times New Roman" w:eastAsiaTheme="minorEastAsia" w:hAnsi="Times New Roman" w:cs="Times New Roman"/>
          <w:i/>
          <w:iCs/>
          <w:noProof/>
          <w:sz w:val="24"/>
          <w:szCs w:val="24"/>
          <w:lang w:val="en-US" w:eastAsia="pt-BR"/>
        </w:rPr>
        <w:t>American Economic Review, 92, No. 5</w:t>
      </w:r>
      <w:r w:rsidRPr="00CE31A5">
        <w:rPr>
          <w:rFonts w:ascii="Times New Roman" w:eastAsiaTheme="minorEastAsia" w:hAnsi="Times New Roman" w:cs="Times New Roman"/>
          <w:noProof/>
          <w:sz w:val="24"/>
          <w:szCs w:val="24"/>
          <w:lang w:val="en-US" w:eastAsia="pt-BR"/>
        </w:rPr>
        <w:t>, pp. 1420-1447.</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Lanjouw, J., &amp; Levy, P</w:t>
      </w:r>
      <w:r w:rsidRPr="00CE31A5">
        <w:rPr>
          <w:rFonts w:ascii="Times New Roman" w:eastAsiaTheme="minorEastAsia" w:hAnsi="Times New Roman" w:cs="Times New Roman"/>
          <w:noProof/>
          <w:sz w:val="24"/>
          <w:szCs w:val="24"/>
          <w:lang w:val="en-US" w:eastAsia="pt-BR"/>
        </w:rPr>
        <w:t xml:space="preserve">. (2002). Untitled: A Study of Formal and Informal Property Rights in Urban Ecuador. </w:t>
      </w:r>
      <w:r w:rsidRPr="00CE31A5">
        <w:rPr>
          <w:rFonts w:ascii="Times New Roman" w:eastAsiaTheme="minorEastAsia" w:hAnsi="Times New Roman" w:cs="Times New Roman"/>
          <w:i/>
          <w:iCs/>
          <w:noProof/>
          <w:sz w:val="24"/>
          <w:szCs w:val="24"/>
          <w:lang w:val="en-US" w:eastAsia="pt-BR"/>
        </w:rPr>
        <w:t>The Economic Journal, 112</w:t>
      </w:r>
      <w:r w:rsidRPr="00CE31A5">
        <w:rPr>
          <w:rFonts w:ascii="Times New Roman" w:eastAsiaTheme="minorEastAsia" w:hAnsi="Times New Roman" w:cs="Times New Roman"/>
          <w:noProof/>
          <w:sz w:val="24"/>
          <w:szCs w:val="24"/>
          <w:lang w:val="en-US" w:eastAsia="pt-BR"/>
        </w:rPr>
        <w:t>(482), pp. 986-1019.</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Lee, W.</w:t>
      </w:r>
      <w:r w:rsidRPr="00CE31A5">
        <w:rPr>
          <w:rFonts w:ascii="Times New Roman" w:eastAsiaTheme="minorEastAsia" w:hAnsi="Times New Roman" w:cs="Times New Roman"/>
          <w:noProof/>
          <w:sz w:val="24"/>
          <w:szCs w:val="24"/>
          <w:lang w:val="en-US" w:eastAsia="pt-BR"/>
        </w:rPr>
        <w:t xml:space="preserve"> (2006). </w:t>
      </w:r>
      <w:r w:rsidRPr="00CE31A5">
        <w:rPr>
          <w:rFonts w:ascii="Times New Roman" w:eastAsiaTheme="minorEastAsia" w:hAnsi="Times New Roman" w:cs="Times New Roman"/>
          <w:i/>
          <w:iCs/>
          <w:noProof/>
          <w:sz w:val="24"/>
          <w:szCs w:val="24"/>
          <w:lang w:val="en-US" w:eastAsia="pt-BR"/>
        </w:rPr>
        <w:t>Propensity Score Matching and Variations on the Balancing Test.</w:t>
      </w:r>
      <w:r w:rsidRPr="00CE31A5">
        <w:rPr>
          <w:rFonts w:ascii="Times New Roman" w:eastAsiaTheme="minorEastAsia" w:hAnsi="Times New Roman" w:cs="Times New Roman"/>
          <w:noProof/>
          <w:sz w:val="24"/>
          <w:szCs w:val="24"/>
          <w:lang w:val="en-US" w:eastAsia="pt-BR"/>
        </w:rPr>
        <w:t xml:space="preserve"> Mimeo. Melbourne Institute of Applied Economics and Social Research.</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eastAsia="pt-BR"/>
        </w:rPr>
      </w:pPr>
      <w:r w:rsidRPr="00826F87">
        <w:rPr>
          <w:rFonts w:ascii="Times New Roman" w:eastAsiaTheme="minorEastAsia" w:hAnsi="Times New Roman" w:cs="Times New Roman"/>
          <w:b/>
          <w:noProof/>
          <w:sz w:val="24"/>
          <w:szCs w:val="24"/>
          <w:lang w:val="en-US" w:eastAsia="pt-BR"/>
        </w:rPr>
        <w:t>Meyer, P</w:t>
      </w:r>
      <w:r w:rsidRPr="00CE31A5">
        <w:rPr>
          <w:rFonts w:ascii="Times New Roman" w:eastAsiaTheme="minorEastAsia" w:hAnsi="Times New Roman" w:cs="Times New Roman"/>
          <w:noProof/>
          <w:sz w:val="24"/>
          <w:szCs w:val="24"/>
          <w:lang w:val="en-US" w:eastAsia="pt-BR"/>
        </w:rPr>
        <w:t xml:space="preserve">. (1983). </w:t>
      </w:r>
      <w:r w:rsidRPr="00CE31A5">
        <w:rPr>
          <w:rFonts w:ascii="Times New Roman" w:eastAsiaTheme="minorEastAsia" w:hAnsi="Times New Roman" w:cs="Times New Roman"/>
          <w:i/>
          <w:iCs/>
          <w:noProof/>
          <w:sz w:val="24"/>
          <w:szCs w:val="24"/>
          <w:lang w:eastAsia="pt-BR"/>
        </w:rPr>
        <w:t>Probabilidade: Aplicações à Estatística.</w:t>
      </w:r>
      <w:r w:rsidRPr="00CE31A5">
        <w:rPr>
          <w:rFonts w:ascii="Times New Roman" w:eastAsiaTheme="minorEastAsia" w:hAnsi="Times New Roman" w:cs="Times New Roman"/>
          <w:noProof/>
          <w:sz w:val="24"/>
          <w:szCs w:val="24"/>
          <w:lang w:eastAsia="pt-BR"/>
        </w:rPr>
        <w:t xml:space="preserve"> Rio de Janeiro: Livros Técnicos e Científicos.</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eastAsia="pt-BR"/>
        </w:rPr>
      </w:pPr>
      <w:r w:rsidRPr="00826F87">
        <w:rPr>
          <w:rFonts w:ascii="Times New Roman" w:eastAsiaTheme="minorEastAsia" w:hAnsi="Times New Roman" w:cs="Times New Roman"/>
          <w:b/>
          <w:noProof/>
          <w:sz w:val="24"/>
          <w:szCs w:val="24"/>
          <w:lang w:val="en-US" w:eastAsia="pt-BR"/>
        </w:rPr>
        <w:t>Moura, M., &amp; Bueno, R</w:t>
      </w:r>
      <w:r w:rsidRPr="00CE31A5">
        <w:rPr>
          <w:rFonts w:ascii="Times New Roman" w:eastAsiaTheme="minorEastAsia" w:hAnsi="Times New Roman" w:cs="Times New Roman"/>
          <w:noProof/>
          <w:sz w:val="24"/>
          <w:szCs w:val="24"/>
          <w:lang w:val="en-US" w:eastAsia="pt-BR"/>
        </w:rPr>
        <w:t xml:space="preserve">. (2009). </w:t>
      </w:r>
      <w:r w:rsidRPr="00CE31A5">
        <w:rPr>
          <w:rFonts w:ascii="Times New Roman" w:eastAsiaTheme="minorEastAsia" w:hAnsi="Times New Roman" w:cs="Times New Roman"/>
          <w:i/>
          <w:iCs/>
          <w:noProof/>
          <w:sz w:val="24"/>
          <w:szCs w:val="24"/>
          <w:lang w:val="en-US" w:eastAsia="pt-BR"/>
        </w:rPr>
        <w:t>How Land Title Affects Income?</w:t>
      </w:r>
      <w:r w:rsidRPr="00CE31A5">
        <w:rPr>
          <w:rFonts w:ascii="Times New Roman" w:eastAsiaTheme="minorEastAsia" w:hAnsi="Times New Roman" w:cs="Times New Roman"/>
          <w:noProof/>
          <w:sz w:val="24"/>
          <w:szCs w:val="24"/>
          <w:lang w:val="en-US" w:eastAsia="pt-BR"/>
        </w:rPr>
        <w:t xml:space="preserve"> </w:t>
      </w:r>
      <w:r w:rsidRPr="00CE31A5">
        <w:rPr>
          <w:rFonts w:ascii="Times New Roman" w:eastAsiaTheme="minorEastAsia" w:hAnsi="Times New Roman" w:cs="Times New Roman"/>
          <w:noProof/>
          <w:sz w:val="24"/>
          <w:szCs w:val="24"/>
          <w:lang w:eastAsia="pt-BR"/>
        </w:rPr>
        <w:t>Mimeo.</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eastAsia="pt-BR"/>
        </w:rPr>
        <w:t>Moura, M., &amp; Piza, C</w:t>
      </w:r>
      <w:r w:rsidRPr="00CE31A5">
        <w:rPr>
          <w:rFonts w:ascii="Times New Roman" w:eastAsiaTheme="minorEastAsia" w:hAnsi="Times New Roman" w:cs="Times New Roman"/>
          <w:noProof/>
          <w:sz w:val="24"/>
          <w:szCs w:val="24"/>
          <w:lang w:eastAsia="pt-BR"/>
        </w:rPr>
        <w:t xml:space="preserve">. (2011). </w:t>
      </w:r>
      <w:r w:rsidRPr="00CE31A5">
        <w:rPr>
          <w:rFonts w:ascii="Times New Roman" w:eastAsiaTheme="minorEastAsia" w:hAnsi="Times New Roman" w:cs="Times New Roman"/>
          <w:i/>
          <w:iCs/>
          <w:noProof/>
          <w:sz w:val="24"/>
          <w:szCs w:val="24"/>
          <w:lang w:val="en-US" w:eastAsia="pt-BR"/>
        </w:rPr>
        <w:t>How does Land Title Affect Access to Credit? Empirical Evidence from an Emerging Economy.</w:t>
      </w:r>
      <w:r w:rsidRPr="00CE31A5">
        <w:rPr>
          <w:rFonts w:ascii="Times New Roman" w:eastAsiaTheme="minorEastAsia" w:hAnsi="Times New Roman" w:cs="Times New Roman"/>
          <w:noProof/>
          <w:sz w:val="24"/>
          <w:szCs w:val="24"/>
          <w:lang w:val="en-US" w:eastAsia="pt-BR"/>
        </w:rPr>
        <w:t xml:space="preserve"> Mimeo.</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Moura, M., Piza, C., &amp; Poplawski-Ribeiro, M.</w:t>
      </w:r>
      <w:r w:rsidRPr="00CE31A5">
        <w:rPr>
          <w:rFonts w:ascii="Times New Roman" w:eastAsiaTheme="minorEastAsia" w:hAnsi="Times New Roman" w:cs="Times New Roman"/>
          <w:noProof/>
          <w:sz w:val="24"/>
          <w:szCs w:val="24"/>
          <w:lang w:val="en-US" w:eastAsia="pt-BR"/>
        </w:rPr>
        <w:t xml:space="preserve"> (2011). The Distributive Effects of the Land Title on Labor Supply: Evidence from Brazil. </w:t>
      </w:r>
      <w:r w:rsidRPr="00CE31A5">
        <w:rPr>
          <w:rFonts w:ascii="Times New Roman" w:eastAsiaTheme="minorEastAsia" w:hAnsi="Times New Roman" w:cs="Times New Roman"/>
          <w:i/>
          <w:iCs/>
          <w:noProof/>
          <w:sz w:val="24"/>
          <w:szCs w:val="24"/>
          <w:lang w:val="en-US" w:eastAsia="pt-BR"/>
        </w:rPr>
        <w:t>IMF Working Paper, 11/131</w:t>
      </w:r>
      <w:r w:rsidRPr="00CE31A5">
        <w:rPr>
          <w:rFonts w:ascii="Times New Roman" w:eastAsiaTheme="minorEastAsia" w:hAnsi="Times New Roman" w:cs="Times New Roman"/>
          <w:noProof/>
          <w:sz w:val="24"/>
          <w:szCs w:val="24"/>
          <w:lang w:val="en-US" w:eastAsia="pt-BR"/>
        </w:rPr>
        <w:t>.</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Ravallion, M.</w:t>
      </w:r>
      <w:r w:rsidRPr="00CE31A5">
        <w:rPr>
          <w:rFonts w:ascii="Times New Roman" w:eastAsiaTheme="minorEastAsia" w:hAnsi="Times New Roman" w:cs="Times New Roman"/>
          <w:noProof/>
          <w:sz w:val="24"/>
          <w:szCs w:val="24"/>
          <w:lang w:val="en-US" w:eastAsia="pt-BR"/>
        </w:rPr>
        <w:t xml:space="preserve"> (2007). Evaluating Anti-Poverty Programs. In: </w:t>
      </w:r>
      <w:r w:rsidRPr="00CE31A5">
        <w:rPr>
          <w:rFonts w:ascii="Times New Roman" w:eastAsiaTheme="minorEastAsia" w:hAnsi="Times New Roman" w:cs="Times New Roman"/>
          <w:i/>
          <w:iCs/>
          <w:noProof/>
          <w:sz w:val="24"/>
          <w:szCs w:val="24"/>
          <w:lang w:val="en-US" w:eastAsia="pt-BR"/>
        </w:rPr>
        <w:t>Handbook of Development Economics</w:t>
      </w:r>
      <w:r w:rsidRPr="00CE31A5">
        <w:rPr>
          <w:rFonts w:ascii="Times New Roman" w:eastAsiaTheme="minorEastAsia" w:hAnsi="Times New Roman" w:cs="Times New Roman"/>
          <w:noProof/>
          <w:sz w:val="24"/>
          <w:szCs w:val="24"/>
          <w:lang w:val="en-US" w:eastAsia="pt-BR"/>
        </w:rPr>
        <w:t xml:space="preserve"> (Vol. 4).</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eastAsia="pt-BR"/>
        </w:rPr>
        <w:t>Rolnik, R</w:t>
      </w:r>
      <w:r w:rsidRPr="00CE31A5">
        <w:rPr>
          <w:rFonts w:ascii="Times New Roman" w:eastAsiaTheme="minorEastAsia" w:hAnsi="Times New Roman" w:cs="Times New Roman"/>
          <w:noProof/>
          <w:sz w:val="24"/>
          <w:szCs w:val="24"/>
          <w:lang w:eastAsia="pt-BR"/>
        </w:rPr>
        <w:t xml:space="preserve">. (. (2001). </w:t>
      </w:r>
      <w:r w:rsidRPr="00CE31A5">
        <w:rPr>
          <w:rFonts w:ascii="Times New Roman" w:eastAsiaTheme="minorEastAsia" w:hAnsi="Times New Roman" w:cs="Times New Roman"/>
          <w:i/>
          <w:iCs/>
          <w:noProof/>
          <w:sz w:val="24"/>
          <w:szCs w:val="24"/>
          <w:lang w:eastAsia="pt-BR"/>
        </w:rPr>
        <w:t>Estatuto da Cidade - Guia para implementação pelos municípios e cidadãos.</w:t>
      </w:r>
      <w:r w:rsidRPr="00CE31A5">
        <w:rPr>
          <w:rFonts w:ascii="Times New Roman" w:eastAsiaTheme="minorEastAsia" w:hAnsi="Times New Roman" w:cs="Times New Roman"/>
          <w:noProof/>
          <w:sz w:val="24"/>
          <w:szCs w:val="24"/>
          <w:lang w:eastAsia="pt-BR"/>
        </w:rPr>
        <w:t xml:space="preserve"> </w:t>
      </w:r>
      <w:r w:rsidRPr="00CE31A5">
        <w:rPr>
          <w:rFonts w:ascii="Times New Roman" w:eastAsiaTheme="minorEastAsia" w:hAnsi="Times New Roman" w:cs="Times New Roman"/>
          <w:noProof/>
          <w:sz w:val="24"/>
          <w:szCs w:val="24"/>
          <w:lang w:val="en-US" w:eastAsia="pt-BR"/>
        </w:rPr>
        <w:t>Brasília (DF): Câmara dos Deputados.</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Rosenbaum, P., &amp; Rubin, R</w:t>
      </w:r>
      <w:r w:rsidRPr="00CE31A5">
        <w:rPr>
          <w:rFonts w:ascii="Times New Roman" w:eastAsiaTheme="minorEastAsia" w:hAnsi="Times New Roman" w:cs="Times New Roman"/>
          <w:noProof/>
          <w:sz w:val="24"/>
          <w:szCs w:val="24"/>
          <w:lang w:val="en-US" w:eastAsia="pt-BR"/>
        </w:rPr>
        <w:t xml:space="preserve">. (1983). The Central Role of the Propensity Score in Observational Studies for Causal Effects. </w:t>
      </w:r>
      <w:r w:rsidRPr="00CE31A5">
        <w:rPr>
          <w:rFonts w:ascii="Times New Roman" w:eastAsiaTheme="minorEastAsia" w:hAnsi="Times New Roman" w:cs="Times New Roman"/>
          <w:i/>
          <w:iCs/>
          <w:noProof/>
          <w:sz w:val="24"/>
          <w:szCs w:val="24"/>
          <w:lang w:val="en-US" w:eastAsia="pt-BR"/>
        </w:rPr>
        <w:t>Biometrika, 70</w:t>
      </w:r>
      <w:r w:rsidRPr="00CE31A5">
        <w:rPr>
          <w:rFonts w:ascii="Times New Roman" w:eastAsiaTheme="minorEastAsia" w:hAnsi="Times New Roman" w:cs="Times New Roman"/>
          <w:noProof/>
          <w:sz w:val="24"/>
          <w:szCs w:val="24"/>
          <w:lang w:val="en-US" w:eastAsia="pt-BR"/>
        </w:rPr>
        <w:t>(1), pp. 41-55.</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826F87">
        <w:rPr>
          <w:rFonts w:ascii="Times New Roman" w:eastAsiaTheme="minorEastAsia" w:hAnsi="Times New Roman" w:cs="Times New Roman"/>
          <w:b/>
          <w:noProof/>
          <w:sz w:val="24"/>
          <w:szCs w:val="24"/>
          <w:lang w:val="en-US" w:eastAsia="pt-BR"/>
        </w:rPr>
        <w:t>Rubin, D. B.</w:t>
      </w:r>
      <w:r w:rsidRPr="00CE31A5">
        <w:rPr>
          <w:rFonts w:ascii="Times New Roman" w:eastAsiaTheme="minorEastAsia" w:hAnsi="Times New Roman" w:cs="Times New Roman"/>
          <w:noProof/>
          <w:sz w:val="24"/>
          <w:szCs w:val="24"/>
          <w:lang w:val="en-US" w:eastAsia="pt-BR"/>
        </w:rPr>
        <w:t xml:space="preserve"> (1974). Estimating causal effects of treatments in randomized and nonrandomized studies. </w:t>
      </w:r>
      <w:r w:rsidRPr="00CE31A5">
        <w:rPr>
          <w:rFonts w:ascii="Times New Roman" w:eastAsiaTheme="minorEastAsia" w:hAnsi="Times New Roman" w:cs="Times New Roman"/>
          <w:i/>
          <w:iCs/>
          <w:noProof/>
          <w:sz w:val="24"/>
          <w:szCs w:val="24"/>
          <w:lang w:val="en-US" w:eastAsia="pt-BR"/>
        </w:rPr>
        <w:t>Journal of Educational Psychology, 66(5)</w:t>
      </w:r>
      <w:r w:rsidRPr="00CE31A5">
        <w:rPr>
          <w:rFonts w:ascii="Times New Roman" w:eastAsiaTheme="minorEastAsia" w:hAnsi="Times New Roman" w:cs="Times New Roman"/>
          <w:noProof/>
          <w:sz w:val="24"/>
          <w:szCs w:val="24"/>
          <w:lang w:val="en-US" w:eastAsia="pt-BR"/>
        </w:rPr>
        <w:t>.</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val="en-US" w:eastAsia="pt-BR"/>
        </w:rPr>
      </w:pPr>
      <w:r w:rsidRPr="00FF4EDA">
        <w:rPr>
          <w:rFonts w:ascii="Times New Roman" w:eastAsiaTheme="minorEastAsia" w:hAnsi="Times New Roman" w:cs="Times New Roman"/>
          <w:b/>
          <w:noProof/>
          <w:sz w:val="24"/>
          <w:szCs w:val="24"/>
          <w:lang w:val="en-US" w:eastAsia="pt-BR"/>
        </w:rPr>
        <w:t>Rubin, D., &amp; Thomas, N.</w:t>
      </w:r>
      <w:r w:rsidRPr="00CE31A5">
        <w:rPr>
          <w:rFonts w:ascii="Times New Roman" w:eastAsiaTheme="minorEastAsia" w:hAnsi="Times New Roman" w:cs="Times New Roman"/>
          <w:noProof/>
          <w:sz w:val="24"/>
          <w:szCs w:val="24"/>
          <w:lang w:val="en-US" w:eastAsia="pt-BR"/>
        </w:rPr>
        <w:t xml:space="preserve"> (1996). Matching Using Estimated Propensity Scores: Relating Theory to Practice. </w:t>
      </w:r>
      <w:r w:rsidRPr="00CE31A5">
        <w:rPr>
          <w:rFonts w:ascii="Times New Roman" w:eastAsiaTheme="minorEastAsia" w:hAnsi="Times New Roman" w:cs="Times New Roman"/>
          <w:i/>
          <w:iCs/>
          <w:noProof/>
          <w:sz w:val="24"/>
          <w:szCs w:val="24"/>
          <w:lang w:val="en-US" w:eastAsia="pt-BR"/>
        </w:rPr>
        <w:t>Biometrics, 52</w:t>
      </w:r>
      <w:r w:rsidRPr="00CE31A5">
        <w:rPr>
          <w:rFonts w:ascii="Times New Roman" w:eastAsiaTheme="minorEastAsia" w:hAnsi="Times New Roman" w:cs="Times New Roman"/>
          <w:noProof/>
          <w:sz w:val="24"/>
          <w:szCs w:val="24"/>
          <w:lang w:val="en-US" w:eastAsia="pt-BR"/>
        </w:rPr>
        <w:t>(1), pp. 249-264.</w:t>
      </w:r>
    </w:p>
    <w:p w:rsidR="00CA5846" w:rsidRPr="00CE31A5" w:rsidRDefault="00CA5846" w:rsidP="00826F87">
      <w:pPr>
        <w:spacing w:after="0" w:line="240" w:lineRule="auto"/>
        <w:contextualSpacing/>
        <w:jc w:val="both"/>
        <w:rPr>
          <w:rFonts w:ascii="Times New Roman" w:eastAsiaTheme="minorEastAsia" w:hAnsi="Times New Roman" w:cs="Times New Roman"/>
          <w:noProof/>
          <w:sz w:val="24"/>
          <w:szCs w:val="24"/>
          <w:lang w:eastAsia="pt-BR"/>
        </w:rPr>
      </w:pPr>
      <w:r w:rsidRPr="00FF4EDA">
        <w:rPr>
          <w:rFonts w:ascii="Times New Roman" w:eastAsiaTheme="minorEastAsia" w:hAnsi="Times New Roman" w:cs="Times New Roman"/>
          <w:b/>
          <w:noProof/>
          <w:sz w:val="24"/>
          <w:szCs w:val="24"/>
          <w:lang w:val="en-US" w:eastAsia="pt-BR"/>
        </w:rPr>
        <w:t>Smith, J., &amp; Todd, P</w:t>
      </w:r>
      <w:r w:rsidRPr="00CE31A5">
        <w:rPr>
          <w:rFonts w:ascii="Times New Roman" w:eastAsiaTheme="minorEastAsia" w:hAnsi="Times New Roman" w:cs="Times New Roman"/>
          <w:noProof/>
          <w:sz w:val="24"/>
          <w:szCs w:val="24"/>
          <w:lang w:val="en-US" w:eastAsia="pt-BR"/>
        </w:rPr>
        <w:t xml:space="preserve">. (2005). Does Matching Overcome LaLonde's Critique of Nonexperimental Estimators? </w:t>
      </w:r>
      <w:r w:rsidRPr="00CE31A5">
        <w:rPr>
          <w:rFonts w:ascii="Times New Roman" w:eastAsiaTheme="minorEastAsia" w:hAnsi="Times New Roman" w:cs="Times New Roman"/>
          <w:i/>
          <w:iCs/>
          <w:noProof/>
          <w:sz w:val="24"/>
          <w:szCs w:val="24"/>
          <w:lang w:eastAsia="pt-BR"/>
        </w:rPr>
        <w:t>Journal of Econometrics, 125</w:t>
      </w:r>
      <w:r w:rsidRPr="00CE31A5">
        <w:rPr>
          <w:rFonts w:ascii="Times New Roman" w:eastAsiaTheme="minorEastAsia" w:hAnsi="Times New Roman" w:cs="Times New Roman"/>
          <w:noProof/>
          <w:sz w:val="24"/>
          <w:szCs w:val="24"/>
          <w:lang w:eastAsia="pt-BR"/>
        </w:rPr>
        <w:t>, pp. 305-353.</w:t>
      </w:r>
    </w:p>
    <w:p w:rsidR="00CA5846" w:rsidRPr="00CE31A5" w:rsidRDefault="00CA5846" w:rsidP="00621A24">
      <w:pPr>
        <w:spacing w:after="0" w:line="240" w:lineRule="auto"/>
        <w:contextualSpacing/>
        <w:jc w:val="both"/>
        <w:rPr>
          <w:rFonts w:ascii="Times New Roman" w:eastAsiaTheme="minorEastAsia" w:hAnsi="Times New Roman" w:cs="Times New Roman"/>
          <w:sz w:val="24"/>
          <w:szCs w:val="24"/>
          <w:lang w:eastAsia="pt-BR"/>
        </w:rPr>
      </w:pPr>
      <w:r w:rsidRPr="00CE31A5">
        <w:rPr>
          <w:rFonts w:ascii="Times New Roman" w:eastAsiaTheme="minorEastAsia" w:hAnsi="Times New Roman" w:cs="Times New Roman"/>
          <w:sz w:val="24"/>
          <w:szCs w:val="24"/>
          <w:lang w:eastAsia="pt-BR"/>
        </w:rPr>
        <w:fldChar w:fldCharType="end"/>
      </w:r>
    </w:p>
    <w:sectPr w:rsidR="00CA5846" w:rsidRPr="00CE31A5" w:rsidSect="00864D36">
      <w:footerReference w:type="default" r:id="rId11"/>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85A" w:rsidRDefault="00D9785A" w:rsidP="00CA5846">
      <w:pPr>
        <w:spacing w:after="0" w:line="240" w:lineRule="auto"/>
      </w:pPr>
      <w:r>
        <w:separator/>
      </w:r>
    </w:p>
  </w:endnote>
  <w:endnote w:type="continuationSeparator" w:id="0">
    <w:p w:rsidR="00D9785A" w:rsidRDefault="00D9785A" w:rsidP="00CA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567904"/>
      <w:docPartObj>
        <w:docPartGallery w:val="Page Numbers (Bottom of Page)"/>
        <w:docPartUnique/>
      </w:docPartObj>
    </w:sdtPr>
    <w:sdtContent>
      <w:p w:rsidR="00865A14" w:rsidRDefault="00865A14">
        <w:pPr>
          <w:pStyle w:val="Rodap"/>
          <w:jc w:val="right"/>
        </w:pPr>
        <w:r>
          <w:fldChar w:fldCharType="begin"/>
        </w:r>
        <w:r>
          <w:instrText>PAGE   \* MERGEFORMAT</w:instrText>
        </w:r>
        <w:r>
          <w:fldChar w:fldCharType="separate"/>
        </w:r>
        <w:r w:rsidR="00960D47">
          <w:rPr>
            <w:noProof/>
          </w:rPr>
          <w:t>18</w:t>
        </w:r>
        <w:r>
          <w:fldChar w:fldCharType="end"/>
        </w:r>
      </w:p>
    </w:sdtContent>
  </w:sdt>
  <w:p w:rsidR="00865A14" w:rsidRDefault="00865A1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85A" w:rsidRDefault="00D9785A" w:rsidP="00CA5846">
      <w:pPr>
        <w:spacing w:after="0" w:line="240" w:lineRule="auto"/>
      </w:pPr>
      <w:r>
        <w:separator/>
      </w:r>
    </w:p>
  </w:footnote>
  <w:footnote w:type="continuationSeparator" w:id="0">
    <w:p w:rsidR="00D9785A" w:rsidRDefault="00D9785A" w:rsidP="00CA5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5E42"/>
    <w:multiLevelType w:val="hybridMultilevel"/>
    <w:tmpl w:val="AF7A89B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0AF64045"/>
    <w:multiLevelType w:val="hybridMultilevel"/>
    <w:tmpl w:val="A0CC50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F97D93"/>
    <w:multiLevelType w:val="multilevel"/>
    <w:tmpl w:val="0416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3">
    <w:nsid w:val="16B12969"/>
    <w:multiLevelType w:val="hybridMultilevel"/>
    <w:tmpl w:val="B44443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1F864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F85C03"/>
    <w:multiLevelType w:val="hybridMultilevel"/>
    <w:tmpl w:val="68480A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9AA1A00"/>
    <w:multiLevelType w:val="hybridMultilevel"/>
    <w:tmpl w:val="13E451CA"/>
    <w:lvl w:ilvl="0" w:tplc="EEEA31F0">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
    <w:nsid w:val="31956578"/>
    <w:multiLevelType w:val="hybridMultilevel"/>
    <w:tmpl w:val="B1FEEC6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59F4CAA"/>
    <w:multiLevelType w:val="hybridMultilevel"/>
    <w:tmpl w:val="B0505BA8"/>
    <w:lvl w:ilvl="0" w:tplc="FF80618C">
      <w:numFmt w:val="bullet"/>
      <w:lvlText w:val=""/>
      <w:lvlJc w:val="left"/>
      <w:pPr>
        <w:ind w:left="218" w:hanging="360"/>
      </w:pPr>
      <w:rPr>
        <w:rFonts w:ascii="Symbol" w:eastAsiaTheme="minorEastAsia" w:hAnsi="Symbol" w:cs="Times New Roman" w:hint="default"/>
      </w:rPr>
    </w:lvl>
    <w:lvl w:ilvl="1" w:tplc="04160003" w:tentative="1">
      <w:start w:val="1"/>
      <w:numFmt w:val="bullet"/>
      <w:lvlText w:val="o"/>
      <w:lvlJc w:val="left"/>
      <w:pPr>
        <w:ind w:left="938" w:hanging="360"/>
      </w:pPr>
      <w:rPr>
        <w:rFonts w:ascii="Courier New" w:hAnsi="Courier New" w:cs="Courier New" w:hint="default"/>
      </w:rPr>
    </w:lvl>
    <w:lvl w:ilvl="2" w:tplc="04160005" w:tentative="1">
      <w:start w:val="1"/>
      <w:numFmt w:val="bullet"/>
      <w:lvlText w:val=""/>
      <w:lvlJc w:val="left"/>
      <w:pPr>
        <w:ind w:left="1658" w:hanging="360"/>
      </w:pPr>
      <w:rPr>
        <w:rFonts w:ascii="Wingdings" w:hAnsi="Wingdings" w:hint="default"/>
      </w:rPr>
    </w:lvl>
    <w:lvl w:ilvl="3" w:tplc="04160001" w:tentative="1">
      <w:start w:val="1"/>
      <w:numFmt w:val="bullet"/>
      <w:lvlText w:val=""/>
      <w:lvlJc w:val="left"/>
      <w:pPr>
        <w:ind w:left="2378" w:hanging="360"/>
      </w:pPr>
      <w:rPr>
        <w:rFonts w:ascii="Symbol" w:hAnsi="Symbol" w:hint="default"/>
      </w:rPr>
    </w:lvl>
    <w:lvl w:ilvl="4" w:tplc="04160003" w:tentative="1">
      <w:start w:val="1"/>
      <w:numFmt w:val="bullet"/>
      <w:lvlText w:val="o"/>
      <w:lvlJc w:val="left"/>
      <w:pPr>
        <w:ind w:left="3098" w:hanging="360"/>
      </w:pPr>
      <w:rPr>
        <w:rFonts w:ascii="Courier New" w:hAnsi="Courier New" w:cs="Courier New" w:hint="default"/>
      </w:rPr>
    </w:lvl>
    <w:lvl w:ilvl="5" w:tplc="04160005" w:tentative="1">
      <w:start w:val="1"/>
      <w:numFmt w:val="bullet"/>
      <w:lvlText w:val=""/>
      <w:lvlJc w:val="left"/>
      <w:pPr>
        <w:ind w:left="3818" w:hanging="360"/>
      </w:pPr>
      <w:rPr>
        <w:rFonts w:ascii="Wingdings" w:hAnsi="Wingdings" w:hint="default"/>
      </w:rPr>
    </w:lvl>
    <w:lvl w:ilvl="6" w:tplc="04160001" w:tentative="1">
      <w:start w:val="1"/>
      <w:numFmt w:val="bullet"/>
      <w:lvlText w:val=""/>
      <w:lvlJc w:val="left"/>
      <w:pPr>
        <w:ind w:left="4538" w:hanging="360"/>
      </w:pPr>
      <w:rPr>
        <w:rFonts w:ascii="Symbol" w:hAnsi="Symbol" w:hint="default"/>
      </w:rPr>
    </w:lvl>
    <w:lvl w:ilvl="7" w:tplc="04160003" w:tentative="1">
      <w:start w:val="1"/>
      <w:numFmt w:val="bullet"/>
      <w:lvlText w:val="o"/>
      <w:lvlJc w:val="left"/>
      <w:pPr>
        <w:ind w:left="5258" w:hanging="360"/>
      </w:pPr>
      <w:rPr>
        <w:rFonts w:ascii="Courier New" w:hAnsi="Courier New" w:cs="Courier New" w:hint="default"/>
      </w:rPr>
    </w:lvl>
    <w:lvl w:ilvl="8" w:tplc="04160005" w:tentative="1">
      <w:start w:val="1"/>
      <w:numFmt w:val="bullet"/>
      <w:lvlText w:val=""/>
      <w:lvlJc w:val="left"/>
      <w:pPr>
        <w:ind w:left="5978" w:hanging="360"/>
      </w:pPr>
      <w:rPr>
        <w:rFonts w:ascii="Wingdings" w:hAnsi="Wingdings" w:hint="default"/>
      </w:rPr>
    </w:lvl>
  </w:abstractNum>
  <w:abstractNum w:abstractNumId="9">
    <w:nsid w:val="3DF1060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1D02A7"/>
    <w:multiLevelType w:val="hybridMultilevel"/>
    <w:tmpl w:val="073018F2"/>
    <w:lvl w:ilvl="0" w:tplc="BEB0D6CC">
      <w:numFmt w:val="bullet"/>
      <w:lvlText w:val=""/>
      <w:lvlJc w:val="left"/>
      <w:pPr>
        <w:ind w:left="578" w:hanging="360"/>
      </w:pPr>
      <w:rPr>
        <w:rFonts w:ascii="Symbol" w:eastAsiaTheme="minorEastAsia" w:hAnsi="Symbol" w:cs="Times New Roman" w:hint="default"/>
      </w:rPr>
    </w:lvl>
    <w:lvl w:ilvl="1" w:tplc="04160003" w:tentative="1">
      <w:start w:val="1"/>
      <w:numFmt w:val="bullet"/>
      <w:lvlText w:val="o"/>
      <w:lvlJc w:val="left"/>
      <w:pPr>
        <w:ind w:left="1298" w:hanging="360"/>
      </w:pPr>
      <w:rPr>
        <w:rFonts w:ascii="Courier New" w:hAnsi="Courier New" w:cs="Courier New" w:hint="default"/>
      </w:rPr>
    </w:lvl>
    <w:lvl w:ilvl="2" w:tplc="04160005" w:tentative="1">
      <w:start w:val="1"/>
      <w:numFmt w:val="bullet"/>
      <w:lvlText w:val=""/>
      <w:lvlJc w:val="left"/>
      <w:pPr>
        <w:ind w:left="2018" w:hanging="360"/>
      </w:pPr>
      <w:rPr>
        <w:rFonts w:ascii="Wingdings" w:hAnsi="Wingdings" w:hint="default"/>
      </w:rPr>
    </w:lvl>
    <w:lvl w:ilvl="3" w:tplc="04160001" w:tentative="1">
      <w:start w:val="1"/>
      <w:numFmt w:val="bullet"/>
      <w:lvlText w:val=""/>
      <w:lvlJc w:val="left"/>
      <w:pPr>
        <w:ind w:left="2738" w:hanging="360"/>
      </w:pPr>
      <w:rPr>
        <w:rFonts w:ascii="Symbol" w:hAnsi="Symbol" w:hint="default"/>
      </w:rPr>
    </w:lvl>
    <w:lvl w:ilvl="4" w:tplc="04160003" w:tentative="1">
      <w:start w:val="1"/>
      <w:numFmt w:val="bullet"/>
      <w:lvlText w:val="o"/>
      <w:lvlJc w:val="left"/>
      <w:pPr>
        <w:ind w:left="3458" w:hanging="360"/>
      </w:pPr>
      <w:rPr>
        <w:rFonts w:ascii="Courier New" w:hAnsi="Courier New" w:cs="Courier New" w:hint="default"/>
      </w:rPr>
    </w:lvl>
    <w:lvl w:ilvl="5" w:tplc="04160005" w:tentative="1">
      <w:start w:val="1"/>
      <w:numFmt w:val="bullet"/>
      <w:lvlText w:val=""/>
      <w:lvlJc w:val="left"/>
      <w:pPr>
        <w:ind w:left="4178" w:hanging="360"/>
      </w:pPr>
      <w:rPr>
        <w:rFonts w:ascii="Wingdings" w:hAnsi="Wingdings" w:hint="default"/>
      </w:rPr>
    </w:lvl>
    <w:lvl w:ilvl="6" w:tplc="04160001" w:tentative="1">
      <w:start w:val="1"/>
      <w:numFmt w:val="bullet"/>
      <w:lvlText w:val=""/>
      <w:lvlJc w:val="left"/>
      <w:pPr>
        <w:ind w:left="4898" w:hanging="360"/>
      </w:pPr>
      <w:rPr>
        <w:rFonts w:ascii="Symbol" w:hAnsi="Symbol" w:hint="default"/>
      </w:rPr>
    </w:lvl>
    <w:lvl w:ilvl="7" w:tplc="04160003" w:tentative="1">
      <w:start w:val="1"/>
      <w:numFmt w:val="bullet"/>
      <w:lvlText w:val="o"/>
      <w:lvlJc w:val="left"/>
      <w:pPr>
        <w:ind w:left="5618" w:hanging="360"/>
      </w:pPr>
      <w:rPr>
        <w:rFonts w:ascii="Courier New" w:hAnsi="Courier New" w:cs="Courier New" w:hint="default"/>
      </w:rPr>
    </w:lvl>
    <w:lvl w:ilvl="8" w:tplc="04160005" w:tentative="1">
      <w:start w:val="1"/>
      <w:numFmt w:val="bullet"/>
      <w:lvlText w:val=""/>
      <w:lvlJc w:val="left"/>
      <w:pPr>
        <w:ind w:left="6338" w:hanging="360"/>
      </w:pPr>
      <w:rPr>
        <w:rFonts w:ascii="Wingdings" w:hAnsi="Wingdings" w:hint="default"/>
      </w:rPr>
    </w:lvl>
  </w:abstractNum>
  <w:abstractNum w:abstractNumId="11">
    <w:nsid w:val="4C9E148B"/>
    <w:multiLevelType w:val="hybridMultilevel"/>
    <w:tmpl w:val="89E0E2DC"/>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2">
    <w:nsid w:val="4F275494"/>
    <w:multiLevelType w:val="hybridMultilevel"/>
    <w:tmpl w:val="10108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7035138"/>
    <w:multiLevelType w:val="hybridMultilevel"/>
    <w:tmpl w:val="CC3CB8EA"/>
    <w:lvl w:ilvl="0" w:tplc="03C4C0F4">
      <w:numFmt w:val="bullet"/>
      <w:lvlText w:val=""/>
      <w:lvlJc w:val="left"/>
      <w:pPr>
        <w:ind w:left="578" w:hanging="360"/>
      </w:pPr>
      <w:rPr>
        <w:rFonts w:ascii="Symbol" w:eastAsiaTheme="minorEastAsia" w:hAnsi="Symbol" w:cs="Times New Roman" w:hint="default"/>
      </w:rPr>
    </w:lvl>
    <w:lvl w:ilvl="1" w:tplc="04160003" w:tentative="1">
      <w:start w:val="1"/>
      <w:numFmt w:val="bullet"/>
      <w:lvlText w:val="o"/>
      <w:lvlJc w:val="left"/>
      <w:pPr>
        <w:ind w:left="1298" w:hanging="360"/>
      </w:pPr>
      <w:rPr>
        <w:rFonts w:ascii="Courier New" w:hAnsi="Courier New" w:cs="Courier New" w:hint="default"/>
      </w:rPr>
    </w:lvl>
    <w:lvl w:ilvl="2" w:tplc="04160005" w:tentative="1">
      <w:start w:val="1"/>
      <w:numFmt w:val="bullet"/>
      <w:lvlText w:val=""/>
      <w:lvlJc w:val="left"/>
      <w:pPr>
        <w:ind w:left="2018" w:hanging="360"/>
      </w:pPr>
      <w:rPr>
        <w:rFonts w:ascii="Wingdings" w:hAnsi="Wingdings" w:hint="default"/>
      </w:rPr>
    </w:lvl>
    <w:lvl w:ilvl="3" w:tplc="04160001" w:tentative="1">
      <w:start w:val="1"/>
      <w:numFmt w:val="bullet"/>
      <w:lvlText w:val=""/>
      <w:lvlJc w:val="left"/>
      <w:pPr>
        <w:ind w:left="2738" w:hanging="360"/>
      </w:pPr>
      <w:rPr>
        <w:rFonts w:ascii="Symbol" w:hAnsi="Symbol" w:hint="default"/>
      </w:rPr>
    </w:lvl>
    <w:lvl w:ilvl="4" w:tplc="04160003" w:tentative="1">
      <w:start w:val="1"/>
      <w:numFmt w:val="bullet"/>
      <w:lvlText w:val="o"/>
      <w:lvlJc w:val="left"/>
      <w:pPr>
        <w:ind w:left="3458" w:hanging="360"/>
      </w:pPr>
      <w:rPr>
        <w:rFonts w:ascii="Courier New" w:hAnsi="Courier New" w:cs="Courier New" w:hint="default"/>
      </w:rPr>
    </w:lvl>
    <w:lvl w:ilvl="5" w:tplc="04160005" w:tentative="1">
      <w:start w:val="1"/>
      <w:numFmt w:val="bullet"/>
      <w:lvlText w:val=""/>
      <w:lvlJc w:val="left"/>
      <w:pPr>
        <w:ind w:left="4178" w:hanging="360"/>
      </w:pPr>
      <w:rPr>
        <w:rFonts w:ascii="Wingdings" w:hAnsi="Wingdings" w:hint="default"/>
      </w:rPr>
    </w:lvl>
    <w:lvl w:ilvl="6" w:tplc="04160001" w:tentative="1">
      <w:start w:val="1"/>
      <w:numFmt w:val="bullet"/>
      <w:lvlText w:val=""/>
      <w:lvlJc w:val="left"/>
      <w:pPr>
        <w:ind w:left="4898" w:hanging="360"/>
      </w:pPr>
      <w:rPr>
        <w:rFonts w:ascii="Symbol" w:hAnsi="Symbol" w:hint="default"/>
      </w:rPr>
    </w:lvl>
    <w:lvl w:ilvl="7" w:tplc="04160003" w:tentative="1">
      <w:start w:val="1"/>
      <w:numFmt w:val="bullet"/>
      <w:lvlText w:val="o"/>
      <w:lvlJc w:val="left"/>
      <w:pPr>
        <w:ind w:left="5618" w:hanging="360"/>
      </w:pPr>
      <w:rPr>
        <w:rFonts w:ascii="Courier New" w:hAnsi="Courier New" w:cs="Courier New" w:hint="default"/>
      </w:rPr>
    </w:lvl>
    <w:lvl w:ilvl="8" w:tplc="04160005" w:tentative="1">
      <w:start w:val="1"/>
      <w:numFmt w:val="bullet"/>
      <w:lvlText w:val=""/>
      <w:lvlJc w:val="left"/>
      <w:pPr>
        <w:ind w:left="6338" w:hanging="360"/>
      </w:pPr>
      <w:rPr>
        <w:rFonts w:ascii="Wingdings" w:hAnsi="Wingdings" w:hint="default"/>
      </w:rPr>
    </w:lvl>
  </w:abstractNum>
  <w:abstractNum w:abstractNumId="14">
    <w:nsid w:val="57F9226D"/>
    <w:multiLevelType w:val="hybridMultilevel"/>
    <w:tmpl w:val="E7A8C6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ACB63C9"/>
    <w:multiLevelType w:val="hybridMultilevel"/>
    <w:tmpl w:val="DFD8E0F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5E9260DC"/>
    <w:multiLevelType w:val="multilevel"/>
    <w:tmpl w:val="41EA3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23D0B15"/>
    <w:multiLevelType w:val="hybridMultilevel"/>
    <w:tmpl w:val="CCB23F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57E57FD"/>
    <w:multiLevelType w:val="hybridMultilevel"/>
    <w:tmpl w:val="D8525C78"/>
    <w:lvl w:ilvl="0" w:tplc="108E82F0">
      <w:start w:val="1"/>
      <w:numFmt w:val="lowerLetter"/>
      <w:lvlText w:val="%1)"/>
      <w:lvlJc w:val="left"/>
      <w:pPr>
        <w:ind w:left="794" w:hanging="8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6"/>
  </w:num>
  <w:num w:numId="2">
    <w:abstractNumId w:val="3"/>
  </w:num>
  <w:num w:numId="3">
    <w:abstractNumId w:val="5"/>
  </w:num>
  <w:num w:numId="4">
    <w:abstractNumId w:val="1"/>
  </w:num>
  <w:num w:numId="5">
    <w:abstractNumId w:val="12"/>
  </w:num>
  <w:num w:numId="6">
    <w:abstractNumId w:val="15"/>
  </w:num>
  <w:num w:numId="7">
    <w:abstractNumId w:val="14"/>
  </w:num>
  <w:num w:numId="8">
    <w:abstractNumId w:val="9"/>
  </w:num>
  <w:num w:numId="9">
    <w:abstractNumId w:val="7"/>
  </w:num>
  <w:num w:numId="10">
    <w:abstractNumId w:val="4"/>
  </w:num>
  <w:num w:numId="11">
    <w:abstractNumId w:val="17"/>
  </w:num>
  <w:num w:numId="12">
    <w:abstractNumId w:val="11"/>
  </w:num>
  <w:num w:numId="13">
    <w:abstractNumId w:val="6"/>
  </w:num>
  <w:num w:numId="14">
    <w:abstractNumId w:val="2"/>
  </w:num>
  <w:num w:numId="15">
    <w:abstractNumId w:val="18"/>
  </w:num>
  <w:num w:numId="16">
    <w:abstractNumId w:val="8"/>
  </w:num>
  <w:num w:numId="17">
    <w:abstractNumId w:val="13"/>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46"/>
    <w:rsid w:val="00020EE2"/>
    <w:rsid w:val="00094300"/>
    <w:rsid w:val="000A5FB9"/>
    <w:rsid w:val="000B44ED"/>
    <w:rsid w:val="000C1E9C"/>
    <w:rsid w:val="0010047F"/>
    <w:rsid w:val="0010757F"/>
    <w:rsid w:val="00132410"/>
    <w:rsid w:val="001349B7"/>
    <w:rsid w:val="0014328A"/>
    <w:rsid w:val="00162A8A"/>
    <w:rsid w:val="00167AD0"/>
    <w:rsid w:val="00193588"/>
    <w:rsid w:val="001C2215"/>
    <w:rsid w:val="001C4CE3"/>
    <w:rsid w:val="00200497"/>
    <w:rsid w:val="002108C3"/>
    <w:rsid w:val="0021218A"/>
    <w:rsid w:val="00221B65"/>
    <w:rsid w:val="00221E46"/>
    <w:rsid w:val="00250932"/>
    <w:rsid w:val="002705D6"/>
    <w:rsid w:val="00276D37"/>
    <w:rsid w:val="002D2BB8"/>
    <w:rsid w:val="00302908"/>
    <w:rsid w:val="00305515"/>
    <w:rsid w:val="00306D23"/>
    <w:rsid w:val="00321C0A"/>
    <w:rsid w:val="0033071B"/>
    <w:rsid w:val="00351C9E"/>
    <w:rsid w:val="0036034C"/>
    <w:rsid w:val="00371326"/>
    <w:rsid w:val="003A0619"/>
    <w:rsid w:val="003B36B8"/>
    <w:rsid w:val="003D18F0"/>
    <w:rsid w:val="003E24B2"/>
    <w:rsid w:val="00402E23"/>
    <w:rsid w:val="00414B21"/>
    <w:rsid w:val="00421AE7"/>
    <w:rsid w:val="00454790"/>
    <w:rsid w:val="004635E0"/>
    <w:rsid w:val="004A2BFD"/>
    <w:rsid w:val="004B124B"/>
    <w:rsid w:val="004F53E3"/>
    <w:rsid w:val="005412CD"/>
    <w:rsid w:val="00545404"/>
    <w:rsid w:val="005455B7"/>
    <w:rsid w:val="00576EAF"/>
    <w:rsid w:val="00582148"/>
    <w:rsid w:val="005B5646"/>
    <w:rsid w:val="005C6237"/>
    <w:rsid w:val="005C689C"/>
    <w:rsid w:val="005F0001"/>
    <w:rsid w:val="005F2EFD"/>
    <w:rsid w:val="005F4197"/>
    <w:rsid w:val="00621A24"/>
    <w:rsid w:val="006B3048"/>
    <w:rsid w:val="00716F6E"/>
    <w:rsid w:val="00756E0E"/>
    <w:rsid w:val="007830D9"/>
    <w:rsid w:val="007C4B9B"/>
    <w:rsid w:val="007D66F9"/>
    <w:rsid w:val="00826F87"/>
    <w:rsid w:val="00840172"/>
    <w:rsid w:val="00864D36"/>
    <w:rsid w:val="00865A14"/>
    <w:rsid w:val="008B1363"/>
    <w:rsid w:val="00912400"/>
    <w:rsid w:val="009209C5"/>
    <w:rsid w:val="00935A73"/>
    <w:rsid w:val="00954FB3"/>
    <w:rsid w:val="00960D47"/>
    <w:rsid w:val="00962843"/>
    <w:rsid w:val="009A588E"/>
    <w:rsid w:val="009C3717"/>
    <w:rsid w:val="009F3AF7"/>
    <w:rsid w:val="00A254A4"/>
    <w:rsid w:val="00A46361"/>
    <w:rsid w:val="00A92613"/>
    <w:rsid w:val="00AA0DD1"/>
    <w:rsid w:val="00AC233A"/>
    <w:rsid w:val="00AC7D70"/>
    <w:rsid w:val="00AD3CD9"/>
    <w:rsid w:val="00AE2732"/>
    <w:rsid w:val="00AE327C"/>
    <w:rsid w:val="00B04F5E"/>
    <w:rsid w:val="00B2118C"/>
    <w:rsid w:val="00B41231"/>
    <w:rsid w:val="00B71A3E"/>
    <w:rsid w:val="00B8122E"/>
    <w:rsid w:val="00B94B91"/>
    <w:rsid w:val="00C35BA0"/>
    <w:rsid w:val="00C702EE"/>
    <w:rsid w:val="00C75448"/>
    <w:rsid w:val="00CA5846"/>
    <w:rsid w:val="00CB1C09"/>
    <w:rsid w:val="00CB46CF"/>
    <w:rsid w:val="00CC2142"/>
    <w:rsid w:val="00CC3894"/>
    <w:rsid w:val="00CD3A08"/>
    <w:rsid w:val="00CE31A5"/>
    <w:rsid w:val="00D00345"/>
    <w:rsid w:val="00D36B25"/>
    <w:rsid w:val="00D57F75"/>
    <w:rsid w:val="00D61EF6"/>
    <w:rsid w:val="00D67156"/>
    <w:rsid w:val="00D9785A"/>
    <w:rsid w:val="00DB0528"/>
    <w:rsid w:val="00DF71BC"/>
    <w:rsid w:val="00E263F8"/>
    <w:rsid w:val="00E37EC7"/>
    <w:rsid w:val="00EB7B6A"/>
    <w:rsid w:val="00ED2C5F"/>
    <w:rsid w:val="00EF4553"/>
    <w:rsid w:val="00F0732F"/>
    <w:rsid w:val="00F45440"/>
    <w:rsid w:val="00F62DD4"/>
    <w:rsid w:val="00F630F7"/>
    <w:rsid w:val="00F70ABA"/>
    <w:rsid w:val="00F710FB"/>
    <w:rsid w:val="00F75BE8"/>
    <w:rsid w:val="00F93D45"/>
    <w:rsid w:val="00FB0D2F"/>
    <w:rsid w:val="00FE1F45"/>
    <w:rsid w:val="00FF07B8"/>
    <w:rsid w:val="00FF32B1"/>
    <w:rsid w:val="00FF4E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A58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t-BR"/>
    </w:rPr>
  </w:style>
  <w:style w:type="paragraph" w:styleId="Ttulo5">
    <w:name w:val="heading 5"/>
    <w:basedOn w:val="Normal"/>
    <w:next w:val="Normal"/>
    <w:link w:val="Ttulo5Char"/>
    <w:uiPriority w:val="9"/>
    <w:semiHidden/>
    <w:unhideWhenUsed/>
    <w:qFormat/>
    <w:rsid w:val="00CA5846"/>
    <w:pPr>
      <w:keepNext/>
      <w:keepLines/>
      <w:spacing w:before="200" w:after="0"/>
      <w:outlineLvl w:val="4"/>
    </w:pPr>
    <w:rPr>
      <w:rFonts w:asciiTheme="majorHAnsi" w:eastAsiaTheme="majorEastAsia" w:hAnsiTheme="majorHAnsi" w:cstheme="majorBidi"/>
      <w:color w:val="243F60" w:themeColor="accent1" w:themeShade="7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5846"/>
    <w:rPr>
      <w:rFonts w:asciiTheme="majorHAnsi" w:eastAsiaTheme="majorEastAsia" w:hAnsiTheme="majorHAnsi" w:cstheme="majorBidi"/>
      <w:b/>
      <w:bCs/>
      <w:color w:val="365F91" w:themeColor="accent1" w:themeShade="BF"/>
      <w:sz w:val="28"/>
      <w:szCs w:val="28"/>
      <w:lang w:eastAsia="pt-BR"/>
    </w:rPr>
  </w:style>
  <w:style w:type="character" w:customStyle="1" w:styleId="Ttulo5Char">
    <w:name w:val="Título 5 Char"/>
    <w:basedOn w:val="Fontepargpadro"/>
    <w:link w:val="Ttulo5"/>
    <w:uiPriority w:val="9"/>
    <w:semiHidden/>
    <w:rsid w:val="00CA5846"/>
    <w:rPr>
      <w:rFonts w:asciiTheme="majorHAnsi" w:eastAsiaTheme="majorEastAsia" w:hAnsiTheme="majorHAnsi" w:cstheme="majorBidi"/>
      <w:color w:val="243F60" w:themeColor="accent1" w:themeShade="7F"/>
      <w:lang w:eastAsia="pt-BR"/>
    </w:rPr>
  </w:style>
  <w:style w:type="numbering" w:customStyle="1" w:styleId="Semlista1">
    <w:name w:val="Sem lista1"/>
    <w:next w:val="Semlista"/>
    <w:uiPriority w:val="99"/>
    <w:semiHidden/>
    <w:unhideWhenUsed/>
    <w:rsid w:val="00CA5846"/>
  </w:style>
  <w:style w:type="paragraph" w:styleId="Sumrio1">
    <w:name w:val="toc 1"/>
    <w:basedOn w:val="Normal"/>
    <w:next w:val="Normal"/>
    <w:autoRedefine/>
    <w:uiPriority w:val="39"/>
    <w:unhideWhenUsed/>
    <w:rsid w:val="00CA5846"/>
    <w:pPr>
      <w:spacing w:after="100"/>
    </w:pPr>
    <w:rPr>
      <w:rFonts w:eastAsiaTheme="minorEastAsia"/>
      <w:lang w:eastAsia="pt-BR"/>
    </w:rPr>
  </w:style>
  <w:style w:type="character" w:styleId="Hyperlink">
    <w:name w:val="Hyperlink"/>
    <w:basedOn w:val="Fontepargpadro"/>
    <w:uiPriority w:val="99"/>
    <w:unhideWhenUsed/>
    <w:rsid w:val="00CA5846"/>
    <w:rPr>
      <w:color w:val="0000FF" w:themeColor="hyperlink"/>
      <w:u w:val="single"/>
    </w:rPr>
  </w:style>
  <w:style w:type="paragraph" w:styleId="PargrafodaLista">
    <w:name w:val="List Paragraph"/>
    <w:basedOn w:val="Normal"/>
    <w:uiPriority w:val="34"/>
    <w:qFormat/>
    <w:rsid w:val="00CA5846"/>
    <w:pPr>
      <w:ind w:left="720"/>
      <w:contextualSpacing/>
    </w:pPr>
    <w:rPr>
      <w:rFonts w:eastAsiaTheme="minorEastAsia"/>
      <w:lang w:eastAsia="pt-BR"/>
    </w:rPr>
  </w:style>
  <w:style w:type="paragraph" w:styleId="Sumrio2">
    <w:name w:val="toc 2"/>
    <w:basedOn w:val="Normal"/>
    <w:next w:val="Normal"/>
    <w:autoRedefine/>
    <w:uiPriority w:val="39"/>
    <w:unhideWhenUsed/>
    <w:rsid w:val="00CA5846"/>
    <w:pPr>
      <w:spacing w:after="100"/>
      <w:ind w:left="220"/>
    </w:pPr>
    <w:rPr>
      <w:rFonts w:eastAsiaTheme="minorEastAsia"/>
      <w:lang w:eastAsia="pt-BR"/>
    </w:rPr>
  </w:style>
  <w:style w:type="paragraph" w:styleId="Sumrio3">
    <w:name w:val="toc 3"/>
    <w:basedOn w:val="Normal"/>
    <w:next w:val="Normal"/>
    <w:autoRedefine/>
    <w:uiPriority w:val="39"/>
    <w:unhideWhenUsed/>
    <w:rsid w:val="00CA5846"/>
    <w:pPr>
      <w:spacing w:after="100"/>
      <w:ind w:left="440"/>
    </w:pPr>
    <w:rPr>
      <w:rFonts w:eastAsiaTheme="minorEastAsia"/>
      <w:lang w:eastAsia="pt-BR"/>
    </w:rPr>
  </w:style>
  <w:style w:type="character" w:styleId="Refdecomentrio">
    <w:name w:val="annotation reference"/>
    <w:basedOn w:val="Fontepargpadro"/>
    <w:uiPriority w:val="99"/>
    <w:semiHidden/>
    <w:unhideWhenUsed/>
    <w:rsid w:val="00CA5846"/>
    <w:rPr>
      <w:sz w:val="16"/>
      <w:szCs w:val="16"/>
    </w:rPr>
  </w:style>
  <w:style w:type="paragraph" w:styleId="Textodecomentrio">
    <w:name w:val="annotation text"/>
    <w:basedOn w:val="Normal"/>
    <w:link w:val="TextodecomentrioChar"/>
    <w:uiPriority w:val="99"/>
    <w:semiHidden/>
    <w:unhideWhenUsed/>
    <w:rsid w:val="00CA5846"/>
    <w:pPr>
      <w:spacing w:line="240" w:lineRule="auto"/>
    </w:pPr>
    <w:rPr>
      <w:rFonts w:eastAsiaTheme="minorEastAsia"/>
      <w:sz w:val="20"/>
      <w:szCs w:val="20"/>
      <w:lang w:eastAsia="pt-BR"/>
    </w:rPr>
  </w:style>
  <w:style w:type="character" w:customStyle="1" w:styleId="TextodecomentrioChar">
    <w:name w:val="Texto de comentário Char"/>
    <w:basedOn w:val="Fontepargpadro"/>
    <w:link w:val="Textodecomentrio"/>
    <w:uiPriority w:val="99"/>
    <w:semiHidden/>
    <w:rsid w:val="00CA5846"/>
    <w:rPr>
      <w:rFonts w:eastAsiaTheme="minorEastAsia"/>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CA5846"/>
    <w:rPr>
      <w:b/>
      <w:bCs/>
    </w:rPr>
  </w:style>
  <w:style w:type="character" w:customStyle="1" w:styleId="AssuntodocomentrioChar">
    <w:name w:val="Assunto do comentário Char"/>
    <w:basedOn w:val="TextodecomentrioChar"/>
    <w:link w:val="Assuntodocomentrio"/>
    <w:uiPriority w:val="99"/>
    <w:semiHidden/>
    <w:rsid w:val="00CA5846"/>
    <w:rPr>
      <w:rFonts w:eastAsiaTheme="minorEastAsia"/>
      <w:b/>
      <w:bCs/>
      <w:sz w:val="20"/>
      <w:szCs w:val="20"/>
      <w:lang w:eastAsia="pt-BR"/>
    </w:rPr>
  </w:style>
  <w:style w:type="paragraph" w:styleId="Textodebalo">
    <w:name w:val="Balloon Text"/>
    <w:basedOn w:val="Normal"/>
    <w:link w:val="TextodebaloChar"/>
    <w:uiPriority w:val="99"/>
    <w:semiHidden/>
    <w:unhideWhenUsed/>
    <w:rsid w:val="00CA5846"/>
    <w:pPr>
      <w:spacing w:after="0" w:line="240" w:lineRule="auto"/>
    </w:pPr>
    <w:rPr>
      <w:rFonts w:ascii="Tahoma" w:eastAsiaTheme="minorEastAsia" w:hAnsi="Tahoma" w:cs="Tahoma"/>
      <w:sz w:val="16"/>
      <w:szCs w:val="16"/>
      <w:lang w:eastAsia="pt-BR"/>
    </w:rPr>
  </w:style>
  <w:style w:type="character" w:customStyle="1" w:styleId="TextodebaloChar">
    <w:name w:val="Texto de balão Char"/>
    <w:basedOn w:val="Fontepargpadro"/>
    <w:link w:val="Textodebalo"/>
    <w:uiPriority w:val="99"/>
    <w:semiHidden/>
    <w:rsid w:val="00CA5846"/>
    <w:rPr>
      <w:rFonts w:ascii="Tahoma" w:eastAsiaTheme="minorEastAsia" w:hAnsi="Tahoma" w:cs="Tahoma"/>
      <w:sz w:val="16"/>
      <w:szCs w:val="16"/>
      <w:lang w:eastAsia="pt-BR"/>
    </w:rPr>
  </w:style>
  <w:style w:type="paragraph" w:styleId="Textodenotaderodap">
    <w:name w:val="footnote text"/>
    <w:basedOn w:val="Normal"/>
    <w:link w:val="TextodenotaderodapChar"/>
    <w:uiPriority w:val="99"/>
    <w:semiHidden/>
    <w:unhideWhenUsed/>
    <w:rsid w:val="00CA58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A5846"/>
    <w:rPr>
      <w:sz w:val="20"/>
      <w:szCs w:val="20"/>
    </w:rPr>
  </w:style>
  <w:style w:type="character" w:styleId="Refdenotaderodap">
    <w:name w:val="footnote reference"/>
    <w:basedOn w:val="Fontepargpadro"/>
    <w:uiPriority w:val="99"/>
    <w:semiHidden/>
    <w:unhideWhenUsed/>
    <w:rsid w:val="00CA5846"/>
    <w:rPr>
      <w:vertAlign w:val="superscript"/>
    </w:rPr>
  </w:style>
  <w:style w:type="character" w:styleId="TextodoEspaoReservado">
    <w:name w:val="Placeholder Text"/>
    <w:basedOn w:val="Fontepargpadro"/>
    <w:uiPriority w:val="99"/>
    <w:semiHidden/>
    <w:rsid w:val="00CA5846"/>
    <w:rPr>
      <w:color w:val="808080"/>
    </w:rPr>
  </w:style>
  <w:style w:type="paragraph" w:styleId="NormalWeb">
    <w:name w:val="Normal (Web)"/>
    <w:basedOn w:val="Normal"/>
    <w:uiPriority w:val="99"/>
    <w:semiHidden/>
    <w:unhideWhenUsed/>
    <w:rsid w:val="00CA58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A5846"/>
  </w:style>
  <w:style w:type="paragraph" w:styleId="Cabealho">
    <w:name w:val="header"/>
    <w:basedOn w:val="Normal"/>
    <w:link w:val="CabealhoChar"/>
    <w:uiPriority w:val="99"/>
    <w:unhideWhenUsed/>
    <w:rsid w:val="00CA5846"/>
    <w:pPr>
      <w:tabs>
        <w:tab w:val="center" w:pos="4252"/>
        <w:tab w:val="right" w:pos="8504"/>
      </w:tabs>
      <w:spacing w:after="0" w:line="240" w:lineRule="auto"/>
    </w:pPr>
    <w:rPr>
      <w:rFonts w:eastAsiaTheme="minorEastAsia"/>
      <w:lang w:eastAsia="pt-BR"/>
    </w:rPr>
  </w:style>
  <w:style w:type="character" w:customStyle="1" w:styleId="CabealhoChar">
    <w:name w:val="Cabeçalho Char"/>
    <w:basedOn w:val="Fontepargpadro"/>
    <w:link w:val="Cabealho"/>
    <w:uiPriority w:val="99"/>
    <w:rsid w:val="00CA5846"/>
    <w:rPr>
      <w:rFonts w:eastAsiaTheme="minorEastAsia"/>
      <w:lang w:eastAsia="pt-BR"/>
    </w:rPr>
  </w:style>
  <w:style w:type="paragraph" w:styleId="Rodap">
    <w:name w:val="footer"/>
    <w:basedOn w:val="Normal"/>
    <w:link w:val="RodapChar"/>
    <w:uiPriority w:val="99"/>
    <w:unhideWhenUsed/>
    <w:rsid w:val="00CA5846"/>
    <w:pPr>
      <w:tabs>
        <w:tab w:val="center" w:pos="4252"/>
        <w:tab w:val="right" w:pos="8504"/>
      </w:tabs>
      <w:spacing w:after="0" w:line="240" w:lineRule="auto"/>
    </w:pPr>
    <w:rPr>
      <w:rFonts w:eastAsiaTheme="minorEastAsia"/>
      <w:lang w:eastAsia="pt-BR"/>
    </w:rPr>
  </w:style>
  <w:style w:type="character" w:customStyle="1" w:styleId="RodapChar">
    <w:name w:val="Rodapé Char"/>
    <w:basedOn w:val="Fontepargpadro"/>
    <w:link w:val="Rodap"/>
    <w:uiPriority w:val="99"/>
    <w:rsid w:val="00CA5846"/>
    <w:rPr>
      <w:rFonts w:eastAsiaTheme="minorEastAsia"/>
      <w:lang w:eastAsia="pt-BR"/>
    </w:rPr>
  </w:style>
  <w:style w:type="table" w:styleId="Tabelacomgrade">
    <w:name w:val="Table Grid"/>
    <w:basedOn w:val="Tabelanormal"/>
    <w:uiPriority w:val="59"/>
    <w:rsid w:val="00CA5846"/>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uiPriority w:val="39"/>
    <w:semiHidden/>
    <w:unhideWhenUsed/>
    <w:qFormat/>
    <w:rsid w:val="00CA5846"/>
    <w:pPr>
      <w:outlineLvl w:val="9"/>
    </w:pPr>
  </w:style>
  <w:style w:type="paragraph" w:styleId="Bibliografia">
    <w:name w:val="Bibliography"/>
    <w:basedOn w:val="Normal"/>
    <w:next w:val="Normal"/>
    <w:uiPriority w:val="37"/>
    <w:unhideWhenUsed/>
    <w:rsid w:val="00CA5846"/>
    <w:rPr>
      <w:rFonts w:eastAsiaTheme="minorEastAsia"/>
      <w:lang w:eastAsia="pt-BR"/>
    </w:rPr>
  </w:style>
  <w:style w:type="paragraph" w:styleId="Reviso">
    <w:name w:val="Revision"/>
    <w:hidden/>
    <w:uiPriority w:val="99"/>
    <w:semiHidden/>
    <w:rsid w:val="005F00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A58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t-BR"/>
    </w:rPr>
  </w:style>
  <w:style w:type="paragraph" w:styleId="Ttulo5">
    <w:name w:val="heading 5"/>
    <w:basedOn w:val="Normal"/>
    <w:next w:val="Normal"/>
    <w:link w:val="Ttulo5Char"/>
    <w:uiPriority w:val="9"/>
    <w:semiHidden/>
    <w:unhideWhenUsed/>
    <w:qFormat/>
    <w:rsid w:val="00CA5846"/>
    <w:pPr>
      <w:keepNext/>
      <w:keepLines/>
      <w:spacing w:before="200" w:after="0"/>
      <w:outlineLvl w:val="4"/>
    </w:pPr>
    <w:rPr>
      <w:rFonts w:asciiTheme="majorHAnsi" w:eastAsiaTheme="majorEastAsia" w:hAnsiTheme="majorHAnsi" w:cstheme="majorBidi"/>
      <w:color w:val="243F60" w:themeColor="accent1" w:themeShade="7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5846"/>
    <w:rPr>
      <w:rFonts w:asciiTheme="majorHAnsi" w:eastAsiaTheme="majorEastAsia" w:hAnsiTheme="majorHAnsi" w:cstheme="majorBidi"/>
      <w:b/>
      <w:bCs/>
      <w:color w:val="365F91" w:themeColor="accent1" w:themeShade="BF"/>
      <w:sz w:val="28"/>
      <w:szCs w:val="28"/>
      <w:lang w:eastAsia="pt-BR"/>
    </w:rPr>
  </w:style>
  <w:style w:type="character" w:customStyle="1" w:styleId="Ttulo5Char">
    <w:name w:val="Título 5 Char"/>
    <w:basedOn w:val="Fontepargpadro"/>
    <w:link w:val="Ttulo5"/>
    <w:uiPriority w:val="9"/>
    <w:semiHidden/>
    <w:rsid w:val="00CA5846"/>
    <w:rPr>
      <w:rFonts w:asciiTheme="majorHAnsi" w:eastAsiaTheme="majorEastAsia" w:hAnsiTheme="majorHAnsi" w:cstheme="majorBidi"/>
      <w:color w:val="243F60" w:themeColor="accent1" w:themeShade="7F"/>
      <w:lang w:eastAsia="pt-BR"/>
    </w:rPr>
  </w:style>
  <w:style w:type="numbering" w:customStyle="1" w:styleId="Semlista1">
    <w:name w:val="Sem lista1"/>
    <w:next w:val="Semlista"/>
    <w:uiPriority w:val="99"/>
    <w:semiHidden/>
    <w:unhideWhenUsed/>
    <w:rsid w:val="00CA5846"/>
  </w:style>
  <w:style w:type="paragraph" w:styleId="Sumrio1">
    <w:name w:val="toc 1"/>
    <w:basedOn w:val="Normal"/>
    <w:next w:val="Normal"/>
    <w:autoRedefine/>
    <w:uiPriority w:val="39"/>
    <w:unhideWhenUsed/>
    <w:rsid w:val="00CA5846"/>
    <w:pPr>
      <w:spacing w:after="100"/>
    </w:pPr>
    <w:rPr>
      <w:rFonts w:eastAsiaTheme="minorEastAsia"/>
      <w:lang w:eastAsia="pt-BR"/>
    </w:rPr>
  </w:style>
  <w:style w:type="character" w:styleId="Hyperlink">
    <w:name w:val="Hyperlink"/>
    <w:basedOn w:val="Fontepargpadro"/>
    <w:uiPriority w:val="99"/>
    <w:unhideWhenUsed/>
    <w:rsid w:val="00CA5846"/>
    <w:rPr>
      <w:color w:val="0000FF" w:themeColor="hyperlink"/>
      <w:u w:val="single"/>
    </w:rPr>
  </w:style>
  <w:style w:type="paragraph" w:styleId="PargrafodaLista">
    <w:name w:val="List Paragraph"/>
    <w:basedOn w:val="Normal"/>
    <w:uiPriority w:val="34"/>
    <w:qFormat/>
    <w:rsid w:val="00CA5846"/>
    <w:pPr>
      <w:ind w:left="720"/>
      <w:contextualSpacing/>
    </w:pPr>
    <w:rPr>
      <w:rFonts w:eastAsiaTheme="minorEastAsia"/>
      <w:lang w:eastAsia="pt-BR"/>
    </w:rPr>
  </w:style>
  <w:style w:type="paragraph" w:styleId="Sumrio2">
    <w:name w:val="toc 2"/>
    <w:basedOn w:val="Normal"/>
    <w:next w:val="Normal"/>
    <w:autoRedefine/>
    <w:uiPriority w:val="39"/>
    <w:unhideWhenUsed/>
    <w:rsid w:val="00CA5846"/>
    <w:pPr>
      <w:spacing w:after="100"/>
      <w:ind w:left="220"/>
    </w:pPr>
    <w:rPr>
      <w:rFonts w:eastAsiaTheme="minorEastAsia"/>
      <w:lang w:eastAsia="pt-BR"/>
    </w:rPr>
  </w:style>
  <w:style w:type="paragraph" w:styleId="Sumrio3">
    <w:name w:val="toc 3"/>
    <w:basedOn w:val="Normal"/>
    <w:next w:val="Normal"/>
    <w:autoRedefine/>
    <w:uiPriority w:val="39"/>
    <w:unhideWhenUsed/>
    <w:rsid w:val="00CA5846"/>
    <w:pPr>
      <w:spacing w:after="100"/>
      <w:ind w:left="440"/>
    </w:pPr>
    <w:rPr>
      <w:rFonts w:eastAsiaTheme="minorEastAsia"/>
      <w:lang w:eastAsia="pt-BR"/>
    </w:rPr>
  </w:style>
  <w:style w:type="character" w:styleId="Refdecomentrio">
    <w:name w:val="annotation reference"/>
    <w:basedOn w:val="Fontepargpadro"/>
    <w:uiPriority w:val="99"/>
    <w:semiHidden/>
    <w:unhideWhenUsed/>
    <w:rsid w:val="00CA5846"/>
    <w:rPr>
      <w:sz w:val="16"/>
      <w:szCs w:val="16"/>
    </w:rPr>
  </w:style>
  <w:style w:type="paragraph" w:styleId="Textodecomentrio">
    <w:name w:val="annotation text"/>
    <w:basedOn w:val="Normal"/>
    <w:link w:val="TextodecomentrioChar"/>
    <w:uiPriority w:val="99"/>
    <w:semiHidden/>
    <w:unhideWhenUsed/>
    <w:rsid w:val="00CA5846"/>
    <w:pPr>
      <w:spacing w:line="240" w:lineRule="auto"/>
    </w:pPr>
    <w:rPr>
      <w:rFonts w:eastAsiaTheme="minorEastAsia"/>
      <w:sz w:val="20"/>
      <w:szCs w:val="20"/>
      <w:lang w:eastAsia="pt-BR"/>
    </w:rPr>
  </w:style>
  <w:style w:type="character" w:customStyle="1" w:styleId="TextodecomentrioChar">
    <w:name w:val="Texto de comentário Char"/>
    <w:basedOn w:val="Fontepargpadro"/>
    <w:link w:val="Textodecomentrio"/>
    <w:uiPriority w:val="99"/>
    <w:semiHidden/>
    <w:rsid w:val="00CA5846"/>
    <w:rPr>
      <w:rFonts w:eastAsiaTheme="minorEastAsia"/>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CA5846"/>
    <w:rPr>
      <w:b/>
      <w:bCs/>
    </w:rPr>
  </w:style>
  <w:style w:type="character" w:customStyle="1" w:styleId="AssuntodocomentrioChar">
    <w:name w:val="Assunto do comentário Char"/>
    <w:basedOn w:val="TextodecomentrioChar"/>
    <w:link w:val="Assuntodocomentrio"/>
    <w:uiPriority w:val="99"/>
    <w:semiHidden/>
    <w:rsid w:val="00CA5846"/>
    <w:rPr>
      <w:rFonts w:eastAsiaTheme="minorEastAsia"/>
      <w:b/>
      <w:bCs/>
      <w:sz w:val="20"/>
      <w:szCs w:val="20"/>
      <w:lang w:eastAsia="pt-BR"/>
    </w:rPr>
  </w:style>
  <w:style w:type="paragraph" w:styleId="Textodebalo">
    <w:name w:val="Balloon Text"/>
    <w:basedOn w:val="Normal"/>
    <w:link w:val="TextodebaloChar"/>
    <w:uiPriority w:val="99"/>
    <w:semiHidden/>
    <w:unhideWhenUsed/>
    <w:rsid w:val="00CA5846"/>
    <w:pPr>
      <w:spacing w:after="0" w:line="240" w:lineRule="auto"/>
    </w:pPr>
    <w:rPr>
      <w:rFonts w:ascii="Tahoma" w:eastAsiaTheme="minorEastAsia" w:hAnsi="Tahoma" w:cs="Tahoma"/>
      <w:sz w:val="16"/>
      <w:szCs w:val="16"/>
      <w:lang w:eastAsia="pt-BR"/>
    </w:rPr>
  </w:style>
  <w:style w:type="character" w:customStyle="1" w:styleId="TextodebaloChar">
    <w:name w:val="Texto de balão Char"/>
    <w:basedOn w:val="Fontepargpadro"/>
    <w:link w:val="Textodebalo"/>
    <w:uiPriority w:val="99"/>
    <w:semiHidden/>
    <w:rsid w:val="00CA5846"/>
    <w:rPr>
      <w:rFonts w:ascii="Tahoma" w:eastAsiaTheme="minorEastAsia" w:hAnsi="Tahoma" w:cs="Tahoma"/>
      <w:sz w:val="16"/>
      <w:szCs w:val="16"/>
      <w:lang w:eastAsia="pt-BR"/>
    </w:rPr>
  </w:style>
  <w:style w:type="paragraph" w:styleId="Textodenotaderodap">
    <w:name w:val="footnote text"/>
    <w:basedOn w:val="Normal"/>
    <w:link w:val="TextodenotaderodapChar"/>
    <w:uiPriority w:val="99"/>
    <w:semiHidden/>
    <w:unhideWhenUsed/>
    <w:rsid w:val="00CA58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A5846"/>
    <w:rPr>
      <w:sz w:val="20"/>
      <w:szCs w:val="20"/>
    </w:rPr>
  </w:style>
  <w:style w:type="character" w:styleId="Refdenotaderodap">
    <w:name w:val="footnote reference"/>
    <w:basedOn w:val="Fontepargpadro"/>
    <w:uiPriority w:val="99"/>
    <w:semiHidden/>
    <w:unhideWhenUsed/>
    <w:rsid w:val="00CA5846"/>
    <w:rPr>
      <w:vertAlign w:val="superscript"/>
    </w:rPr>
  </w:style>
  <w:style w:type="character" w:styleId="TextodoEspaoReservado">
    <w:name w:val="Placeholder Text"/>
    <w:basedOn w:val="Fontepargpadro"/>
    <w:uiPriority w:val="99"/>
    <w:semiHidden/>
    <w:rsid w:val="00CA5846"/>
    <w:rPr>
      <w:color w:val="808080"/>
    </w:rPr>
  </w:style>
  <w:style w:type="paragraph" w:styleId="NormalWeb">
    <w:name w:val="Normal (Web)"/>
    <w:basedOn w:val="Normal"/>
    <w:uiPriority w:val="99"/>
    <w:semiHidden/>
    <w:unhideWhenUsed/>
    <w:rsid w:val="00CA58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A5846"/>
  </w:style>
  <w:style w:type="paragraph" w:styleId="Cabealho">
    <w:name w:val="header"/>
    <w:basedOn w:val="Normal"/>
    <w:link w:val="CabealhoChar"/>
    <w:uiPriority w:val="99"/>
    <w:unhideWhenUsed/>
    <w:rsid w:val="00CA5846"/>
    <w:pPr>
      <w:tabs>
        <w:tab w:val="center" w:pos="4252"/>
        <w:tab w:val="right" w:pos="8504"/>
      </w:tabs>
      <w:spacing w:after="0" w:line="240" w:lineRule="auto"/>
    </w:pPr>
    <w:rPr>
      <w:rFonts w:eastAsiaTheme="minorEastAsia"/>
      <w:lang w:eastAsia="pt-BR"/>
    </w:rPr>
  </w:style>
  <w:style w:type="character" w:customStyle="1" w:styleId="CabealhoChar">
    <w:name w:val="Cabeçalho Char"/>
    <w:basedOn w:val="Fontepargpadro"/>
    <w:link w:val="Cabealho"/>
    <w:uiPriority w:val="99"/>
    <w:rsid w:val="00CA5846"/>
    <w:rPr>
      <w:rFonts w:eastAsiaTheme="minorEastAsia"/>
      <w:lang w:eastAsia="pt-BR"/>
    </w:rPr>
  </w:style>
  <w:style w:type="paragraph" w:styleId="Rodap">
    <w:name w:val="footer"/>
    <w:basedOn w:val="Normal"/>
    <w:link w:val="RodapChar"/>
    <w:uiPriority w:val="99"/>
    <w:unhideWhenUsed/>
    <w:rsid w:val="00CA5846"/>
    <w:pPr>
      <w:tabs>
        <w:tab w:val="center" w:pos="4252"/>
        <w:tab w:val="right" w:pos="8504"/>
      </w:tabs>
      <w:spacing w:after="0" w:line="240" w:lineRule="auto"/>
    </w:pPr>
    <w:rPr>
      <w:rFonts w:eastAsiaTheme="minorEastAsia"/>
      <w:lang w:eastAsia="pt-BR"/>
    </w:rPr>
  </w:style>
  <w:style w:type="character" w:customStyle="1" w:styleId="RodapChar">
    <w:name w:val="Rodapé Char"/>
    <w:basedOn w:val="Fontepargpadro"/>
    <w:link w:val="Rodap"/>
    <w:uiPriority w:val="99"/>
    <w:rsid w:val="00CA5846"/>
    <w:rPr>
      <w:rFonts w:eastAsiaTheme="minorEastAsia"/>
      <w:lang w:eastAsia="pt-BR"/>
    </w:rPr>
  </w:style>
  <w:style w:type="table" w:styleId="Tabelacomgrade">
    <w:name w:val="Table Grid"/>
    <w:basedOn w:val="Tabelanormal"/>
    <w:uiPriority w:val="59"/>
    <w:rsid w:val="00CA5846"/>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uiPriority w:val="39"/>
    <w:semiHidden/>
    <w:unhideWhenUsed/>
    <w:qFormat/>
    <w:rsid w:val="00CA5846"/>
    <w:pPr>
      <w:outlineLvl w:val="9"/>
    </w:pPr>
  </w:style>
  <w:style w:type="paragraph" w:styleId="Bibliografia">
    <w:name w:val="Bibliography"/>
    <w:basedOn w:val="Normal"/>
    <w:next w:val="Normal"/>
    <w:uiPriority w:val="37"/>
    <w:unhideWhenUsed/>
    <w:rsid w:val="00CA5846"/>
    <w:rPr>
      <w:rFonts w:eastAsiaTheme="minorEastAsia"/>
      <w:lang w:eastAsia="pt-BR"/>
    </w:rPr>
  </w:style>
  <w:style w:type="paragraph" w:styleId="Reviso">
    <w:name w:val="Revision"/>
    <w:hidden/>
    <w:uiPriority w:val="99"/>
    <w:semiHidden/>
    <w:rsid w:val="005F0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tannuri@unb.br" TargetMode="External"/><Relationship Id="rId4" Type="http://schemas.microsoft.com/office/2007/relationships/stylesWithEffects" Target="stylesWithEffects.xml"/><Relationship Id="rId9" Type="http://schemas.openxmlformats.org/officeDocument/2006/relationships/hyperlink" Target="mailto:rafdantas@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Fer11</b:Tag>
    <b:SourceType>ArticleInAPeriodical</b:SourceType>
    <b:Guid>{AA85AE38-7E42-4778-8C2A-4C70B51F1D87}</b:Guid>
    <b:Title>Regularization of Informal Settlemests in Latin America</b:Title>
    <b:Year>2011</b:Year>
    <b:Author>
      <b:Author>
        <b:NameList>
          <b:Person>
            <b:Last>Fernandes</b:Last>
            <b:First>Edésio</b:First>
          </b:Person>
        </b:NameList>
      </b:Author>
    </b:Author>
    <b:PeriodicalTitle>Lincoln Institute of Land Policy - Policy Focus Report</b:PeriodicalTitle>
    <b:RefOrder>1</b:RefOrder>
  </b:Source>
  <b:Source>
    <b:Tag>Alc73</b:Tag>
    <b:SourceType>ArticleInAPeriodical</b:SourceType>
    <b:Guid>{6A33BBAB-04DB-4720-A518-8607E8C6E42F}</b:Guid>
    <b:Author>
      <b:Author>
        <b:NameList>
          <b:Person>
            <b:Last>Alchian</b:Last>
            <b:First>Armen</b:First>
          </b:Person>
          <b:Person>
            <b:Last>Demsetz</b:Last>
            <b:First>Harold</b:First>
          </b:Person>
        </b:NameList>
      </b:Author>
    </b:Author>
    <b:Title>The Property Rights Paradigm</b:Title>
    <b:PeriodicalTitle>The Journal of Economic History</b:PeriodicalTitle>
    <b:Year>1973</b:Year>
    <b:Volume>33, No. 1</b:Volume>
    <b:RefOrder>2</b:RefOrder>
  </b:Source>
  <b:Source>
    <b:Tag>deS00</b:Tag>
    <b:SourceType>Book</b:SourceType>
    <b:Guid>{51D4D73F-0A3B-498C-A194-F6960EFEBE54}</b:Guid>
    <b:Title>O Mistério do Capital</b:Title>
    <b:Year>2000</b:Year>
    <b:Author>
      <b:Author>
        <b:NameList>
          <b:Person>
            <b:Last>de Soto</b:Last>
            <b:First>Hernando</b:First>
          </b:Person>
        </b:NameList>
      </b:Author>
    </b:Author>
    <b:RefOrder>4</b:RefOrder>
  </b:Source>
  <b:Source>
    <b:Tag>Bes95</b:Tag>
    <b:SourceType>ArticleInAPeriodical</b:SourceType>
    <b:Guid>{37BEFEF5-17EA-494D-8F59-6D75D00B9F14}</b:Guid>
    <b:Title>Property Rights and Investment Incentives: Theory and Evidence from Ghana</b:Title>
    <b:Year>1995</b:Year>
    <b:Author>
      <b:Author>
        <b:NameList>
          <b:Person>
            <b:Last>Besley</b:Last>
            <b:First>Timothy</b:First>
          </b:Person>
        </b:NameList>
      </b:Author>
    </b:Author>
    <b:PeriodicalTitle>The Journal of Political Economy</b:PeriodicalTitle>
    <b:Pages>903-937</b:Pages>
    <b:Volume>103, No.5</b:Volume>
    <b:RefOrder>3</b:RefOrder>
  </b:Source>
  <b:Source>
    <b:Tag>Jac02</b:Tag>
    <b:SourceType>ArticleInAPeriodical</b:SourceType>
    <b:Guid>{F610C4DD-2E1F-4BDE-BC11-2366FBEE6175}</b:Guid>
    <b:Author>
      <b:Author>
        <b:NameList>
          <b:Person>
            <b:Last>Jacoby</b:Last>
            <b:First>H</b:First>
          </b:Person>
          <b:Person>
            <b:Last>Li</b:Last>
            <b:First>G</b:First>
          </b:Person>
          <b:Person>
            <b:Last>Rozelle</b:Last>
            <b:First>S.</b:First>
          </b:Person>
        </b:NameList>
      </b:Author>
    </b:Author>
    <b:Title>Hazards of Expropriation: Tenure Insecurity and Investment in Rural China</b:Title>
    <b:PeriodicalTitle>American Economic Review</b:PeriodicalTitle>
    <b:Year>2002</b:Year>
    <b:Pages>1420-1447</b:Pages>
    <b:Volume>92, No. 5</b:Volume>
    <b:RefOrder>5</b:RefOrder>
  </b:Source>
  <b:Source>
    <b:Tag>Fie05</b:Tag>
    <b:SourceType>ArticleInAPeriodical</b:SourceType>
    <b:Guid>{3857AAC1-3692-4077-BB1B-E9DFF20DFC47}</b:Guid>
    <b:Author>
      <b:Author>
        <b:NameList>
          <b:Person>
            <b:Last>Field</b:Last>
            <b:First>E.</b:First>
          </b:Person>
        </b:NameList>
      </b:Author>
    </b:Author>
    <b:Title>Property Rights and Investment in Urban Slums</b:Title>
    <b:PeriodicalTitle>Journal of the European Economic Association</b:PeriodicalTitle>
    <b:Year>2005</b:Year>
    <b:Pages>279-290</b:Pages>
    <b:Volume>3(2-3)</b:Volume>
    <b:RefOrder>6</b:RefOrder>
  </b:Source>
  <b:Source>
    <b:Tag>Gal10</b:Tag>
    <b:SourceType>ArticleInAPeriodical</b:SourceType>
    <b:Guid>{F9B68EB2-F3BC-44EA-B9FF-2C8D0918B0E4}</b:Guid>
    <b:Author>
      <b:Author>
        <b:NameList>
          <b:Person>
            <b:Last>Galiani</b:Last>
            <b:First>S</b:First>
          </b:Person>
          <b:Person>
            <b:Last>Schargrodsky</b:Last>
            <b:First>E</b:First>
          </b:Person>
        </b:NameList>
      </b:Author>
    </b:Author>
    <b:Title>Property Rights for the Poor: Effects of Land Titling</b:Title>
    <b:PeriodicalTitle>Journal of Public Economics</b:PeriodicalTitle>
    <b:Year>2010</b:Year>
    <b:Pages>700-729</b:Pages>
    <b:Volume>94</b:Volume>
    <b:Issue>9-10</b:Issue>
    <b:RefOrder>7</b:RefOrder>
  </b:Source>
  <b:Source>
    <b:Tag>Car03</b:Tag>
    <b:SourceType>ArticleInAPeriodical</b:SourceType>
    <b:Guid>{89C35D66-3F72-4961-817D-FE21B89CCC53}</b:Guid>
    <b:Author>
      <b:Author>
        <b:NameList>
          <b:Person>
            <b:Last>Carter</b:Last>
            <b:First>M</b:First>
          </b:Person>
          <b:Person>
            <b:Last>Olinto</b:Last>
            <b:First>P</b:First>
          </b:Person>
        </b:NameList>
      </b:Author>
    </b:Author>
    <b:Title>Getting Institutions "Right" for Whom? Credit Constraints and the Impact of Property Rights on the Quantity and Composition of Investment</b:Title>
    <b:PeriodicalTitle>American Journal of Agricultural Economics</b:PeriodicalTitle>
    <b:Year>2003</b:Year>
    <b:Pages>173-186</b:Pages>
    <b:Volume>85</b:Volume>
    <b:Issue>1</b:Issue>
    <b:RefOrder>8</b:RefOrder>
  </b:Source>
  <b:Source>
    <b:Tag>Gal101</b:Tag>
    <b:SourceType>Report</b:SourceType>
    <b:Guid>{EC64FE07-D9D8-496B-839E-696CD9932534}</b:Guid>
    <b:Title>Resource Allocation, Transaction Costs and Land Property Rights</b:Title>
    <b:Year>2010</b:Year>
    <b:Author>
      <b:Author>
        <b:NameList>
          <b:Person>
            <b:Last>Galiani</b:Last>
            <b:First>S</b:First>
          </b:Person>
          <b:Person>
            <b:Last>Schargrodsky</b:Last>
            <b:First>E</b:First>
          </b:Person>
        </b:NameList>
      </b:Author>
    </b:Author>
    <b:Publisher>Mimeo</b:Publisher>
    <b:RefOrder>9</b:RefOrder>
  </b:Source>
  <b:Source>
    <b:Tag>Jac07</b:Tag>
    <b:SourceType>ArticleInAPeriodical</b:SourceType>
    <b:Guid>{A83870E9-7309-4CC3-9FB0-52E571CD1FB4}</b:Guid>
    <b:Author>
      <b:Author>
        <b:NameList>
          <b:Person>
            <b:Last>Jacoby</b:Last>
            <b:First>H</b:First>
          </b:Person>
          <b:Person>
            <b:Last>Minten</b:Last>
            <b:First>B.</b:First>
          </b:Person>
        </b:NameList>
      </b:Author>
    </b:Author>
    <b:Title>Is Land Titling in Sub-Saharan Africa Cost-Effective? Evidence from Madagascar</b:Title>
    <b:Year>2007</b:Year>
    <b:PeriodicalTitle>World Bank Economic Review</b:PeriodicalTitle>
    <b:Pages>461-485</b:Pages>
    <b:Volume>21</b:Volume>
    <b:Issue>3</b:Issue>
    <b:RefOrder>10</b:RefOrder>
  </b:Source>
  <b:Source>
    <b:Tag>Fie06</b:Tag>
    <b:SourceType>Report</b:SourceType>
    <b:Guid>{1D8CBED2-687B-471E-86D6-B4089D8903E7}</b:Guid>
    <b:Title>Do Property Titles Increase Credit Access among the Urban Poor? Evidence from Peru</b:Title>
    <b:Year>2006</b:Year>
    <b:Author>
      <b:Author>
        <b:NameList>
          <b:Person>
            <b:Last>Field</b:Last>
            <b:First>E</b:First>
          </b:Person>
          <b:Person>
            <b:Last>Torero</b:Last>
            <b:First>M</b:First>
          </b:Person>
        </b:NameList>
      </b:Author>
    </b:Author>
    <b:Publisher>Mimeo. Harvard University</b:Publisher>
    <b:RefOrder>11</b:RefOrder>
  </b:Source>
  <b:Source>
    <b:Tag>Mou11</b:Tag>
    <b:SourceType>Report</b:SourceType>
    <b:Guid>{600528FE-8E25-4675-8686-434C99A34634}</b:Guid>
    <b:Author>
      <b:Author>
        <b:NameList>
          <b:Person>
            <b:Last>Moura</b:Last>
            <b:First>M</b:First>
          </b:Person>
          <b:Person>
            <b:Last>Piza</b:Last>
            <b:First>C</b:First>
          </b:Person>
        </b:NameList>
      </b:Author>
    </b:Author>
    <b:Title>How does Land Title Affect Access to Credit? Empirical Evidence from an Emerging Economy</b:Title>
    <b:Year>2011</b:Year>
    <b:Publisher>Mimeo.</b:Publisher>
    <b:RefOrder>12</b:RefOrder>
  </b:Source>
  <b:Source>
    <b:Tag>Bes12</b:Tag>
    <b:SourceType>ArticleInAPeriodical</b:SourceType>
    <b:Guid>{1D2B15D8-E29B-438C-8197-273E3F86D84A}</b:Guid>
    <b:Title>Incentives and the De Soto Effect</b:Title>
    <b:Year>2012</b:Year>
    <b:Author>
      <b:Author>
        <b:NameList>
          <b:Person>
            <b:Last>Besley</b:Last>
            <b:First>T</b:First>
          </b:Person>
          <b:Person>
            <b:Last>Burchardi</b:Last>
            <b:First>K</b:First>
          </b:Person>
          <b:Person>
            <b:Last>Ghatak</b:Last>
            <b:First>M</b:First>
          </b:Person>
        </b:NameList>
      </b:Author>
    </b:Author>
    <b:PeriodicalTitle>Quarterly Journal of Economics</b:PeriodicalTitle>
    <b:Pages>237-282</b:Pages>
    <b:Volume>127</b:Volume>
    <b:Issue>1</b:Issue>
    <b:RefOrder>13</b:RefOrder>
  </b:Source>
  <b:Source>
    <b:Tag>Fie07</b:Tag>
    <b:SourceType>ArticleInAPeriodical</b:SourceType>
    <b:Guid>{BA397809-2918-447A-BF9D-5ACF4C6271E4}</b:Guid>
    <b:Author>
      <b:Author>
        <b:NameList>
          <b:Person>
            <b:Last>Field</b:Last>
            <b:First>E.</b:First>
          </b:Person>
        </b:NameList>
      </b:Author>
    </b:Author>
    <b:Title>Entitled to Work: Urban Property Rights and Labor Supply in Peru</b:Title>
    <b:PeriodicalTitle>Quarterly Journal of Economics</b:PeriodicalTitle>
    <b:Year>2007</b:Year>
    <b:Pages>1561-1602</b:Pages>
    <b:Volume>122</b:Volume>
    <b:Issue>4</b:Issue>
    <b:RefOrder>14</b:RefOrder>
  </b:Source>
  <b:Source>
    <b:Tag>Mou111</b:Tag>
    <b:SourceType>ArticleInAPeriodical</b:SourceType>
    <b:Guid>{190A5EA3-2288-44B6-9E8C-35893EE9C22C}</b:Guid>
    <b:Author>
      <b:Author>
        <b:NameList>
          <b:Person>
            <b:Last>Moura</b:Last>
            <b:First>M.</b:First>
          </b:Person>
          <b:Person>
            <b:Last>Piza</b:Last>
            <b:First>C.</b:First>
          </b:Person>
          <b:Person>
            <b:Last>Poplawski-Ribeiro</b:Last>
            <b:First>M.</b:First>
          </b:Person>
        </b:NameList>
      </b:Author>
    </b:Author>
    <b:Title>The Distributive Effects of the Land Title on Labor Supply: Evidence from Brazil</b:Title>
    <b:PeriodicalTitle>IMF Working Paper</b:PeriodicalTitle>
    <b:Year>2011</b:Year>
    <b:Volume>11/131</b:Volume>
    <b:RefOrder>15</b:RefOrder>
  </b:Source>
  <b:Source>
    <b:Tag>And09</b:Tag>
    <b:SourceType>Report</b:SourceType>
    <b:Guid>{57A3CB6C-396C-4504-9555-AFBEC1EBA3DA}</b:Guid>
    <b:Author>
      <b:Author>
        <b:NameList>
          <b:Person>
            <b:Last>Andrade</b:Last>
            <b:First>M.</b:First>
          </b:Person>
        </b:NameList>
      </b:Author>
    </b:Author>
    <b:Title>Direito de Propriedade e Bem-Estar: Avaliação do Impacto do Programa de Regularização Fundiária na Quinta do Caju</b:Title>
    <b:Year>2009</b:Year>
    <b:Publisher>I Prêmio SEFAZ-SEDEIS Finanças Públicas e Desenvolvimento Econômico</b:Publisher>
    <b:RefOrder>16</b:RefOrder>
  </b:Source>
  <b:Source>
    <b:Tag>Mou09</b:Tag>
    <b:SourceType>Report</b:SourceType>
    <b:Guid>{73B90FA3-3EDE-4D29-B8C6-936A874856A5}</b:Guid>
    <b:Author>
      <b:Author>
        <b:NameList>
          <b:Person>
            <b:Last>Moura</b:Last>
            <b:First>M.</b:First>
          </b:Person>
          <b:Person>
            <b:Last>Bueno</b:Last>
            <b:First>R.</b:First>
          </b:Person>
        </b:NameList>
      </b:Author>
    </b:Author>
    <b:Title>How Land Title Affects Income?</b:Title>
    <b:Year>2009</b:Year>
    <b:Publisher>Mimeo.</b:Publisher>
    <b:RefOrder>17</b:RefOrder>
  </b:Source>
  <b:Source>
    <b:Tag>Dur09</b:Tag>
    <b:SourceType>ArticleInAPeriodical</b:SourceType>
    <b:Guid>{4B918AF4-DECD-4C1A-BBAC-02FB5CEC4F27}</b:Guid>
    <b:Title>The Formalization of Urban Land Tenure in Developing Countries</b:Title>
    <b:Year>2009</b:Year>
    <b:Author>
      <b:Author>
        <b:NameList>
          <b:Person>
            <b:Last>Durand-Lasserve</b:Last>
            <b:First>Alain</b:First>
          </b:Person>
          <b:Person>
            <b:Last>Selod</b:Last>
            <b:First>Harris</b:First>
          </b:Person>
        </b:NameList>
      </b:Author>
    </b:Author>
    <b:PeriodicalTitle>Urbal Land Markets</b:PeriodicalTitle>
    <b:Pages>101-132</b:Pages>
    <b:RefOrder>18</b:RefOrder>
  </b:Source>
  <b:Source>
    <b:Tag>Fie03</b:Tag>
    <b:SourceType>Report</b:SourceType>
    <b:Guid>{4654A172-E5C7-4029-92EB-EDE9E0391CE5}</b:Guid>
    <b:Author>
      <b:Author>
        <b:NameList>
          <b:Person>
            <b:Last>Field</b:Last>
            <b:First>E.</b:First>
          </b:Person>
        </b:NameList>
      </b:Author>
    </b:Author>
    <b:Title>Entitld to Work: Urban Property Rights and Labor Supply in Peru</b:Title>
    <b:Year>2003</b:Year>
    <b:Publisher>Mimeo. Harvard University</b:Publisher>
    <b:RefOrder>19</b:RefOrder>
  </b:Source>
  <b:Source>
    <b:Tag>Bla92</b:Tag>
    <b:SourceType>Book</b:SourceType>
    <b:Guid>{A3D913FA-B2E9-43A7-BF12-DD9BC5031C2F}</b:Guid>
    <b:Title>The Methodology of Economics (Or how economists explain), Second Edition</b:Title>
    <b:Year>1992</b:Year>
    <b:Author>
      <b:Author>
        <b:NameList>
          <b:Person>
            <b:Last>Blaug</b:Last>
            <b:First>M</b:First>
          </b:Person>
        </b:NameList>
      </b:Author>
    </b:Author>
    <b:RefOrder>20</b:RefOrder>
  </b:Source>
  <b:Source>
    <b:Tag>Mey83</b:Tag>
    <b:SourceType>Book</b:SourceType>
    <b:Guid>{986D335A-A100-4A96-9D92-A767F135AA51}</b:Guid>
    <b:Title>Probabilidade: Aplicações à Estatística</b:Title>
    <b:Year>1983</b:Year>
    <b:City>Rio de Janeiro</b:City>
    <b:Publisher>Livros Técnicos e Científicos</b:Publisher>
    <b:Author>
      <b:Author>
        <b:NameList>
          <b:Person>
            <b:Last>Meyer</b:Last>
            <b:First>P.</b:First>
          </b:Person>
        </b:NameList>
      </b:Author>
    </b:Author>
    <b:RefOrder>21</b:RefOrder>
  </b:Source>
  <b:Source>
    <b:Tag>Ang09</b:Tag>
    <b:SourceType>Book</b:SourceType>
    <b:Guid>{650A76DB-5336-4CED-A6BC-71EFEECABB65}</b:Guid>
    <b:Author>
      <b:Author>
        <b:NameList>
          <b:Person>
            <b:Last>Angrist</b:Last>
            <b:First>Joshua</b:First>
          </b:Person>
          <b:Person>
            <b:Last>Pischke</b:Last>
            <b:First>Jörn-Steffen</b:First>
          </b:Person>
        </b:NameList>
      </b:Author>
    </b:Author>
    <b:Title>Most Harmless Econometrics: an empiricist's companion</b:Title>
    <b:Year>2009</b:Year>
    <b:City>Princeton, New Jersey</b:City>
    <b:Publisher>Princeton University Press</b:Publisher>
    <b:RefOrder>22</b:RefOrder>
  </b:Source>
  <b:Source>
    <b:Tag>Rav07</b:Tag>
    <b:SourceType>BookSection</b:SourceType>
    <b:Guid>{73E969B9-00FA-479A-AB09-6949F601F3F9}</b:Guid>
    <b:Title>Evaluating Anti-Poverty Programs</b:Title>
    <b:Year>2007</b:Year>
    <b:Author>
      <b:Author>
        <b:NameList>
          <b:Person>
            <b:Last>Ravallion</b:Last>
            <b:First>Martin</b:First>
          </b:Person>
        </b:NameList>
      </b:Author>
    </b:Author>
    <b:BookTitle>Handbook of Development Economics</b:BookTitle>
    <b:Volume>4</b:Volume>
    <b:RefOrder>23</b:RefOrder>
  </b:Source>
  <b:Source>
    <b:Tag>Ros83</b:Tag>
    <b:SourceType>ArticleInAPeriodical</b:SourceType>
    <b:Guid>{A328AFC3-2B08-4201-8CA2-DC12C32FA006}</b:Guid>
    <b:Title>The Central Role of the Propensity Score in Observational Studies for Causal Effects</b:Title>
    <b:Year>1983</b:Year>
    <b:Pages>41-55</b:Pages>
    <b:Author>
      <b:Author>
        <b:NameList>
          <b:Person>
            <b:Last>Rosenbaum</b:Last>
            <b:First>P.</b:First>
          </b:Person>
          <b:Person>
            <b:Last>Rubin</b:Last>
            <b:First>R.</b:First>
          </b:Person>
        </b:NameList>
      </b:Author>
    </b:Author>
    <b:PeriodicalTitle>Biometrika</b:PeriodicalTitle>
    <b:Volume>70</b:Volume>
    <b:Issue>1</b:Issue>
    <b:RefOrder>24</b:RefOrder>
  </b:Source>
  <b:Source>
    <b:Tag>Lee</b:Tag>
    <b:SourceType>Report</b:SourceType>
    <b:Guid>{0C6D6121-9670-4DFD-A596-F1273BA7141D}</b:Guid>
    <b:Author>
      <b:Author>
        <b:NameList>
          <b:Person>
            <b:Last>Lee</b:Last>
            <b:First>W</b:First>
          </b:Person>
        </b:NameList>
      </b:Author>
    </b:Author>
    <b:Title>Propensity Score Matching and Variations on the Balancing Test</b:Title>
    <b:Publisher>Mimeo. Melbourne Institute of Applied Economics and Social Research</b:Publisher>
    <b:Year>2006</b:Year>
    <b:RefOrder>25</b:RefOrder>
  </b:Source>
  <b:Source>
    <b:Tag>Smi05</b:Tag>
    <b:SourceType>ArticleInAPeriodical</b:SourceType>
    <b:Guid>{0861D795-B9CD-4B05-BA02-38B915FCC1C4}</b:Guid>
    <b:Title>Does Matching Overcome LaLonde's Critique of Nonexperimental Estimators?</b:Title>
    <b:Year>2005</b:Year>
    <b:Author>
      <b:Author>
        <b:NameList>
          <b:Person>
            <b:Last>Smith</b:Last>
            <b:First>J.</b:First>
          </b:Person>
          <b:Person>
            <b:Last>Todd</b:Last>
            <b:First>P.</b:First>
          </b:Person>
        </b:NameList>
      </b:Author>
    </b:Author>
    <b:PeriodicalTitle>Journal of Econometrics</b:PeriodicalTitle>
    <b:Pages>305-353</b:Pages>
    <b:Volume>125</b:Volume>
    <b:RefOrder>26</b:RefOrder>
  </b:Source>
  <b:Source>
    <b:Tag>Bec02</b:Tag>
    <b:SourceType>ArticleInAPeriodical</b:SourceType>
    <b:Guid>{8A2945AE-084A-49A5-B380-2D9A22BF9A5E}</b:Guid>
    <b:Author>
      <b:Author>
        <b:NameList>
          <b:Person>
            <b:Last>Becker</b:Last>
            <b:First>S.</b:First>
          </b:Person>
          <b:Person>
            <b:Last>Ichino</b:Last>
            <b:First>A.</b:First>
          </b:Person>
        </b:NameList>
      </b:Author>
    </b:Author>
    <b:Title>Estimation of Average Treatment Effects based on Propensity Scores</b:Title>
    <b:PeriodicalTitle>The Stata Journal</b:PeriodicalTitle>
    <b:Year>2002</b:Year>
    <b:Pages>358-377</b:Pages>
    <b:Volume>2</b:Volume>
    <b:Issue>4</b:Issue>
    <b:RefOrder>27</b:RefOrder>
  </b:Source>
  <b:Source>
    <b:Tag>Bra88</b:Tag>
    <b:SourceType>Book</b:SourceType>
    <b:Guid>{4DC78B90-26E6-4AB3-ACDA-B2E23F8130CD}</b:Guid>
    <b:Title>Constituição da República Federativa do Brasil</b:Title>
    <b:Year>1988</b:Year>
    <b:Author>
      <b:Author>
        <b:Corporate>Brasil</b:Corporate>
      </b:Author>
    </b:Author>
    <b:RefOrder>28</b:RefOrder>
  </b:Source>
  <b:Source>
    <b:Tag>Alf97</b:Tag>
    <b:SourceType>ArticleInAPeriodical</b:SourceType>
    <b:Guid>{964B2B42-03A8-486B-BA4D-05138E156ED6}</b:Guid>
    <b:Title>Direito à moradia - Instrumentos e Experiências de Regularização Fundiária nas Cidades Brasileiras</b:Title>
    <b:Year>1997</b:Year>
    <b:Author>
      <b:Author>
        <b:NameList>
          <b:Person>
            <b:Last>Alfonsin</b:Last>
            <b:First>Betânia</b:First>
          </b:Person>
        </b:NameList>
      </b:Author>
    </b:Author>
    <b:PeriodicalTitle>FASE/IPPUR</b:PeriodicalTitle>
    <b:RefOrder>29</b:RefOrder>
  </b:Source>
  <b:Source>
    <b:Tag>Rol01</b:Tag>
    <b:SourceType>Book</b:SourceType>
    <b:Guid>{DD398DBB-A8FC-4593-BA3B-2B607CCFB935}</b:Guid>
    <b:Title>Estatuto da Cidade - Guia para implementação pelos municípios e cidadãos</b:Title>
    <b:Year>2001</b:Year>
    <b:Author>
      <b:Author>
        <b:NameList>
          <b:Person>
            <b:Last>Rolnik</b:Last>
            <b:First>R.</b:First>
            <b:Middle>(Coord.)</b:Middle>
          </b:Person>
        </b:NameList>
      </b:Author>
    </b:Author>
    <b:City>Brasília (DF)</b:City>
    <b:Publisher>Câmara dos Deputados</b:Publisher>
    <b:RefOrder>30</b:RefOrder>
  </b:Source>
  <b:Source>
    <b:Tag>Cal08</b:Tag>
    <b:SourceType>ArticleInAPeriodical</b:SourceType>
    <b:Guid>{654A3654-37EB-4B22-BB6F-84307CB14AB2}</b:Guid>
    <b:Author>
      <b:Author>
        <b:NameList>
          <b:Person>
            <b:Last>Caliendo</b:Last>
            <b:First>Marco</b:First>
          </b:Person>
          <b:Person>
            <b:Last>Kopeinig</b:Last>
            <b:First>Sabine</b:First>
          </b:Person>
        </b:NameList>
      </b:Author>
    </b:Author>
    <b:Title>Some Practical Guidance for the Implementation of Propensity Score Matching</b:Title>
    <b:PeriodicalTitle>Journal of Economic Surveys</b:PeriodicalTitle>
    <b:Year>2008</b:Year>
    <b:Pages>31-72</b:Pages>
    <b:Volume>22</b:Volume>
    <b:Issue>1</b:Issue>
    <b:RefOrder>31</b:RefOrder>
  </b:Source>
  <b:Source>
    <b:Tag>Rub96</b:Tag>
    <b:SourceType>ArticleInAPeriodical</b:SourceType>
    <b:Guid>{22FCDC7F-B615-48C1-9E87-009C472F1FA3}</b:Guid>
    <b:Author>
      <b:Author>
        <b:NameList>
          <b:Person>
            <b:Last>Rubin</b:Last>
            <b:First>D.</b:First>
          </b:Person>
          <b:Person>
            <b:Last>Thomas</b:Last>
            <b:First>N.</b:First>
          </b:Person>
        </b:NameList>
      </b:Author>
    </b:Author>
    <b:Title>Matching Using Estimated Propensity Scores: Relating Theory to Practice</b:Title>
    <b:PeriodicalTitle>Biometrics</b:PeriodicalTitle>
    <b:Year>1996</b:Year>
    <b:Pages>249-264</b:Pages>
    <b:Volume>52</b:Volume>
    <b:Issue>1</b:Issue>
    <b:RefOrder>32</b:RefOrder>
  </b:Source>
  <b:Source>
    <b:Tag>Bry02</b:Tag>
    <b:SourceType>Report</b:SourceType>
    <b:Guid>{1C2BE5B4-FD84-4ABE-B263-D59ED91CB656}</b:Guid>
    <b:Author>
      <b:Author>
        <b:NameList>
          <b:Person>
            <b:Last>Bryson</b:Last>
            <b:First>A.</b:First>
          </b:Person>
          <b:Person>
            <b:Last>Dorsett</b:Last>
            <b:First>R.</b:First>
          </b:Person>
          <b:Person>
            <b:Last>Purdon</b:Last>
            <b:First>S.</b:First>
          </b:Person>
        </b:NameList>
      </b:Author>
    </b:Author>
    <b:Title>The Use of Propensity Score Matching in the Evaluation of Labor Markets Policies</b:Title>
    <b:Year>2002</b:Year>
    <b:Publisher>Working Paper No. 4, Department for Work and Pensions</b:Publisher>
    <b:RefOrder>33</b:RefOrder>
  </b:Source>
  <b:Source>
    <b:Tag>Bec07</b:Tag>
    <b:SourceType>ArticleInAPeriodical</b:SourceType>
    <b:Guid>{D2FE9353-EF48-4EAC-B921-67DC39BEE722}</b:Guid>
    <b:Title>Sensitivity Analysis for Average Treatment Effects</b:Title>
    <b:Year>2007</b:Year>
    <b:Author>
      <b:Author>
        <b:NameList>
          <b:Person>
            <b:Last>Becker</b:Last>
            <b:First>S.</b:First>
          </b:Person>
          <b:Person>
            <b:Last>Caliendo</b:Last>
            <b:First>M.</b:First>
          </b:Person>
        </b:NameList>
      </b:Author>
    </b:Author>
    <b:PeriodicalTitle>The Stata Journal</b:PeriodicalTitle>
    <b:Pages>71-83</b:Pages>
    <b:Volume>7</b:Volume>
    <b:Issue>1</b:Issue>
    <b:RefOrder>34</b:RefOrder>
  </b:Source>
  <b:Source>
    <b:Tag>Als96</b:Tag>
    <b:SourceType>ArticleInAPeriodical</b:SourceType>
    <b:Guid>{D5A2745C-BEC8-413F-BE1F-1DFBCB6251EF}</b:Guid>
    <b:Author>
      <b:Author>
        <b:NameList>
          <b:Person>
            <b:Last>Alston</b:Last>
            <b:First>L</b:First>
          </b:Person>
          <b:Person>
            <b:Last>Libecap</b:Last>
            <b:First>G</b:First>
          </b:Person>
          <b:Person>
            <b:Last>Schneider</b:Last>
            <b:First>R</b:First>
          </b:Person>
        </b:NameList>
      </b:Author>
    </b:Author>
    <b:Title>The Determinants and Impact of Property Rights: Land Titles in the Brazilian Frontier</b:Title>
    <b:PeriodicalTitle>The Journal of Law, Economics, &amp; Organization</b:PeriodicalTitle>
    <b:Year>1996</b:Year>
    <b:Volume>12, No 1</b:Volume>
    <b:RefOrder>35</b:RefOrder>
  </b:Source>
  <b:Source>
    <b:Tag>Als10</b:Tag>
    <b:SourceType>ArticleInAPeriodical</b:SourceType>
    <b:Guid>{2F5AFE57-6671-407E-9D69-F649B4A62081}</b:Guid>
    <b:Author>
      <b:Author>
        <b:NameList>
          <b:Person>
            <b:Last>Alston</b:Last>
            <b:First>L</b:First>
          </b:Person>
          <b:Person>
            <b:Last>Mueller</b:Last>
            <b:First>B</b:First>
          </b:Person>
        </b:NameList>
      </b:Author>
    </b:Author>
    <b:Title>Property Rights, Land Conflict and Tenancy in Brazil</b:Title>
    <b:PeriodicalTitle>NBER Working Paper Series, No 15771</b:PeriodicalTitle>
    <b:Year>2010</b:Year>
    <b:RefOrder>36</b:RefOrder>
  </b:Source>
  <b:Source>
    <b:Tag>Lan02</b:Tag>
    <b:SourceType>ArticleInAPeriodical</b:SourceType>
    <b:Guid>{89C749F8-2D9E-4D59-BEAC-12A4C8C6A479}</b:Guid>
    <b:Author>
      <b:Author>
        <b:NameList>
          <b:Person>
            <b:Last>Lanjouw</b:Last>
            <b:First>J</b:First>
          </b:Person>
          <b:Person>
            <b:Last>Levy</b:Last>
            <b:First>P</b:First>
          </b:Person>
        </b:NameList>
      </b:Author>
    </b:Author>
    <b:Title>Untitled: A Study of Formal and Informal Property Rights in Urban Ecuador</b:Title>
    <b:PeriodicalTitle>The Economic Journal</b:PeriodicalTitle>
    <b:Year>2002</b:Year>
    <b:Pages>986-1019</b:Pages>
    <b:Volume>112</b:Volume>
    <b:Issue>482</b:Issue>
    <b:RefOrder>37</b:RefOrder>
  </b:Source>
  <b:Source>
    <b:Tag>DIE10</b:Tag>
    <b:SourceType>Report</b:SourceType>
    <b:Guid>{3545997F-9DE9-4F61-91AB-D913F7ADE42E}</b:Guid>
    <b:Author>
      <b:Author>
        <b:Corporate>DIEESE</b:Corporate>
      </b:Author>
    </b:Author>
    <b:Title>Relatório Metodológico II - Definição Espacial da Pesquisa Socioeconômica em Territórios de Vulnerabilidade Social no Distrito Federal </b:Title>
    <b:Year>2010</b:Year>
    <b:RefOrder>38</b:RefOrder>
  </b:Source>
  <b:Source>
    <b:Tag>DIE101</b:Tag>
    <b:SourceType>Report</b:SourceType>
    <b:Guid>{89603F9B-CF28-4982-B6F2-1539AB41F87B}</b:Guid>
    <b:Author>
      <b:Author>
        <b:Corporate>DIEESE</b:Corporate>
      </b:Author>
    </b:Author>
    <b:Title>Relatório Metodológico relativo à conceituação e definição amostral</b:Title>
    <b:Year>2010</b:Year>
    <b:RefOrder>39</b:RefOrder>
  </b:Source>
  <b:Source>
    <b:Tag>Doy96</b:Tag>
    <b:SourceType>BookSection</b:SourceType>
    <b:Guid>{0804B6B9-4529-4F3A-92CE-8009CA900AC8}</b:Guid>
    <b:Author>
      <b:Author>
        <b:NameList>
          <b:Person>
            <b:Last>Doyle</b:Last>
            <b:First>P</b:First>
          </b:Person>
        </b:NameList>
      </b:Author>
      <b:BookAuthor>
        <b:NameList>
          <b:Person>
            <b:Last>Paviani</b:Last>
            <b:First>A</b:First>
          </b:Person>
        </b:NameList>
      </b:BookAuthor>
    </b:Author>
    <b:Title>Comercialização de habitações populares em Brasília</b:Title>
    <b:Year>1996</b:Year>
    <b:Publisher>Universidade de Brasília</b:Publisher>
    <b:City>Brasília</b:City>
    <b:BookTitle>Brasília: Moradia e exclusão</b:BookTitle>
    <b:Pages>115-138</b:Pages>
    <b:RefOrder>40</b:RefOrder>
  </b:Source>
  <b:Source>
    <b:Tag>Bra13</b:Tag>
    <b:SourceType>Report</b:SourceType>
    <b:Guid>{6B3004DC-4A55-4403-8728-10FB1602EA98}</b:Guid>
    <b:Title>Por que falha a regularização? Fragilidade institucional e (in)capacidades estatais no Distrito Federal</b:Title>
    <b:Year>2013</b:Year>
    <b:City>Brasília</b:City>
    <b:Author>
      <b:Author>
        <b:NameList>
          <b:Person>
            <b:Last>Brandão</b:Last>
            <b:First>I</b:First>
          </b:Person>
        </b:NameList>
      </b:Author>
    </b:Author>
    <b:ThesisType>Dissertação de Mestrado - IPOL/UnB</b:ThesisType>
    <b:Comments>aprovado em 13/03/2013</b:Comments>
    <b:RefOrder>41</b:RefOrder>
  </b:Source>
  <b:Source>
    <b:Tag>Mou091</b:Tag>
    <b:SourceType>Report</b:SourceType>
    <b:Guid>{7CDF5BD2-4409-4D02-A6D5-9B1D28A46ED5}</b:Guid>
    <b:Author>
      <b:Author>
        <b:NameList>
          <b:Person>
            <b:Last>Moura</b:Last>
            <b:First>M.</b:First>
          </b:Person>
        </b:NameList>
      </b:Author>
    </b:Author>
    <b:Title>Property rights as a public policy tool: an empirical analysis of the social and economic effects</b:Title>
    <b:Year>2009</b:Year>
    <b:City>São Paulo</b:City>
    <b:ThesisType>Teses de Doutorado em Administração Pública e Governo - EAESP/FGV-SP</b:ThesisType>
    <b:RefOrder>42</b:RefOrder>
  </b:Source>
  <b:Source>
    <b:Tag>Rub74</b:Tag>
    <b:SourceType>ArticleInAPeriodical</b:SourceType>
    <b:Guid>{60B71106-0478-4B95-84BB-E43AC3FD8171}</b:Guid>
    <b:Title>Estimating causal effects of treatments in randomized and nonrandomized studies</b:Title>
    <b:Year>1974</b:Year>
    <b:LCID>pt-BR</b:LCID>
    <b:Author>
      <b:Author>
        <b:NameList>
          <b:Person>
            <b:Last>Rubin</b:Last>
            <b:First>D.</b:First>
            <b:Middle>B.</b:Middle>
          </b:Person>
        </b:NameList>
      </b:Author>
    </b:Author>
    <b:PeriodicalTitle>Journal of Educational Psychology</b:PeriodicalTitle>
    <b:Volume>66(5)</b:Volume>
    <b:RefOrder>43</b:RefOrder>
  </b:Source>
  <b:Source>
    <b:Tag>Als101</b:Tag>
    <b:SourceType>ArticleInAPeriodical</b:SourceType>
    <b:Guid>{2D9C146C-1940-46A0-A4D6-4AD18A81B693}</b:Guid>
    <b:Author>
      <b:Author>
        <b:NameList>
          <b:Person>
            <b:Last>Alston</b:Last>
            <b:First>L</b:First>
          </b:Person>
          <b:Person>
            <b:Last>Libecap</b:Last>
            <b:First>G</b:First>
          </b:Person>
          <b:Person>
            <b:Last>Mueller</b:Last>
            <b:First>B</b:First>
          </b:Person>
        </b:NameList>
      </b:Author>
    </b:Author>
    <b:Title>Interest Groups, Information Manipulation in the Media, and Public Policy: The Case of the Landless Peasant Movement in Brazil</b:Title>
    <b:PeriodicalTitle>NBER Working Paper Series</b:PeriodicalTitle>
    <b:Year>2010</b:Year>
    <b:Issue>15865</b:Issue>
    <b:RefOrder>44</b:RefOrder>
  </b:Source>
  <b:Source>
    <b:Tag>Cam</b:Tag>
    <b:SourceType>Report</b:SourceType>
    <b:Guid>{0C09213A-8117-4D17-8A67-092786AEE63F}</b:Guid>
    <b:Author>
      <b:Author>
        <b:NameList>
          <b:Person>
            <b:Last>Campos</b:Last>
            <b:First>A.</b:First>
            <b:Middle>M.</b:Middle>
          </b:Person>
          <b:Person>
            <b:Last>Tahan</b:Last>
            <b:First>L.</b:First>
          </b:Person>
        </b:NameList>
      </b:Author>
    </b:Author>
    <b:Title>Território Sem Lei</b:Title>
    <b:City>Brasília, 12/12/2012</b:City>
    <b:Institution>Correio Braziliense</b:Institution>
    <b:RefOrder>45</b:RefOrder>
  </b:Source>
  <b:Source>
    <b:Tag>Cam1</b:Tag>
    <b:SourceType>Report</b:SourceType>
    <b:Guid>{7F5CE683-24BD-4A83-A139-D67E324D1A20}</b:Guid>
    <b:Author>
      <b:Author>
        <b:NameList>
          <b:Person>
            <b:Last>Campos</b:Last>
            <b:First>A.</b:First>
            <b:Middle>M.</b:Middle>
          </b:Person>
          <b:Person>
            <b:Last>Tahan</b:Last>
            <b:First>L</b:First>
          </b:Person>
        </b:NameList>
      </b:Author>
    </b:Author>
    <b:Title>Invadir para depois legalizar</b:Title>
    <b:City>Brasília, 14/12/2012</b:City>
    <b:Institution>Correio Braziliense</b:Institution>
    <b:RefOrder>46</b:RefOrder>
  </b:Source>
  <b:Source>
    <b:Tag>Cam2</b:Tag>
    <b:SourceType>Report</b:SourceType>
    <b:Guid>{4E8AF904-30CC-499C-A744-3CB7E6542AE1}</b:Guid>
    <b:Author>
      <b:Author>
        <b:NameList>
          <b:Person>
            <b:Last>Campos</b:Last>
            <b:First>A.</b:First>
            <b:Middle>M.</b:Middle>
          </b:Person>
          <b:Person>
            <b:Last>Tahan</b:Last>
            <b:First>L.</b:First>
          </b:Person>
        </b:NameList>
      </b:Author>
    </b:Author>
    <b:Title>O Avanço das Invasões</b:Title>
    <b:City>Brasília, 15/12/2012</b:City>
    <b:Institution>Correio Braziliense</b:Institution>
    <b:RefOrder>47</b:RefOrder>
  </b:Source>
  <b:Source>
    <b:Tag>Cam3</b:Tag>
    <b:SourceType>Report</b:SourceType>
    <b:Guid>{A9C6B116-8F30-47B2-8E3B-68B65D6EE713}</b:Guid>
    <b:Author>
      <b:Author>
        <b:NameList>
          <b:Person>
            <b:Last>Campos</b:Last>
            <b:First>A.</b:First>
            <b:Middle>M.</b:Middle>
          </b:Person>
          <b:Person>
            <b:Last>Tahan</b:Last>
            <b:First>L.</b:First>
          </b:Person>
        </b:NameList>
      </b:Author>
    </b:Author>
    <b:Title>Cidades das Gambiarras</b:Title>
    <b:City>Brasília, 18/12/2012</b:City>
    <b:Institution>Correio Braziliense</b:Institution>
    <b:RefOrder>48</b:RefOrder>
  </b:Source>
</b:Sources>
</file>

<file path=customXml/itemProps1.xml><?xml version="1.0" encoding="utf-8"?>
<ds:datastoreItem xmlns:ds="http://schemas.openxmlformats.org/officeDocument/2006/customXml" ds:itemID="{FF52641E-429D-40AD-99CB-2D1844A0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11910</Words>
  <Characters>64318</Characters>
  <Application>Microsoft Office Word</Application>
  <DocSecurity>0</DocSecurity>
  <Lines>535</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3</cp:revision>
  <dcterms:created xsi:type="dcterms:W3CDTF">2013-07-23T20:17:00Z</dcterms:created>
  <dcterms:modified xsi:type="dcterms:W3CDTF">2013-07-23T20:25:00Z</dcterms:modified>
</cp:coreProperties>
</file>