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E5C" w:rsidRPr="00367F92" w:rsidRDefault="00D85E5C" w:rsidP="00D85E5C">
      <w:pPr>
        <w:jc w:val="center"/>
        <w:rPr>
          <w:b/>
        </w:rPr>
      </w:pPr>
      <w:r w:rsidRPr="00367F92">
        <w:rPr>
          <w:b/>
        </w:rPr>
        <w:t xml:space="preserve">CONCENTRAÇÃO INDUSTRIAL NO BRASIL: UMA </w:t>
      </w:r>
      <w:r w:rsidR="00C03435">
        <w:rPr>
          <w:b/>
        </w:rPr>
        <w:t>ANÁLISE ESPACIALMENTE PONDERADA</w:t>
      </w:r>
      <w:bookmarkStart w:id="0" w:name="_GoBack"/>
      <w:bookmarkEnd w:id="0"/>
    </w:p>
    <w:p w:rsidR="00D85E5C" w:rsidRDefault="00D85E5C" w:rsidP="00CA6FC0">
      <w:pPr>
        <w:rPr>
          <w:b/>
        </w:rPr>
      </w:pPr>
    </w:p>
    <w:p w:rsidR="00E21311" w:rsidRPr="00C03435" w:rsidRDefault="00E21311" w:rsidP="00E21311">
      <w:pPr>
        <w:rPr>
          <w:b/>
        </w:rPr>
      </w:pPr>
    </w:p>
    <w:p w:rsidR="00E21311" w:rsidRPr="00C03435" w:rsidRDefault="00E21311" w:rsidP="00E21311">
      <w:pPr>
        <w:autoSpaceDE w:val="0"/>
        <w:autoSpaceDN w:val="0"/>
        <w:adjustRightInd w:val="0"/>
        <w:rPr>
          <w:szCs w:val="24"/>
        </w:rPr>
      </w:pPr>
      <w:proofErr w:type="spellStart"/>
      <w:r w:rsidRPr="00C03435">
        <w:rPr>
          <w:szCs w:val="24"/>
        </w:rPr>
        <w:t>Rafaella</w:t>
      </w:r>
      <w:proofErr w:type="spellEnd"/>
      <w:r w:rsidRPr="00C03435">
        <w:rPr>
          <w:szCs w:val="24"/>
        </w:rPr>
        <w:t xml:space="preserve"> </w:t>
      </w:r>
      <w:proofErr w:type="spellStart"/>
      <w:r w:rsidRPr="00C03435">
        <w:rPr>
          <w:szCs w:val="24"/>
        </w:rPr>
        <w:t>Stradiotto</w:t>
      </w:r>
      <w:proofErr w:type="spellEnd"/>
      <w:r w:rsidRPr="00C03435">
        <w:rPr>
          <w:szCs w:val="24"/>
        </w:rPr>
        <w:t xml:space="preserve"> </w:t>
      </w:r>
      <w:proofErr w:type="spellStart"/>
      <w:r w:rsidRPr="00C03435">
        <w:rPr>
          <w:szCs w:val="24"/>
        </w:rPr>
        <w:t>Vignandi</w:t>
      </w:r>
      <w:proofErr w:type="spellEnd"/>
    </w:p>
    <w:p w:rsidR="00E21311" w:rsidRDefault="00E21311" w:rsidP="00E21311">
      <w:pPr>
        <w:rPr>
          <w:szCs w:val="24"/>
        </w:rPr>
      </w:pPr>
      <w:r w:rsidRPr="00E21311">
        <w:rPr>
          <w:szCs w:val="24"/>
        </w:rPr>
        <w:t xml:space="preserve">Doutoranda em Economia pela Universidade Federal de Minas Gerais (UFMG). </w:t>
      </w:r>
      <w:r>
        <w:rPr>
          <w:szCs w:val="24"/>
        </w:rPr>
        <w:t xml:space="preserve">Centro de Desenvolvimento e Planejamento Regional (CEDEPLAR). Bolsista da Coordenação de Aperfeiçoamento de Pessoal de Nível Superior (CAPES). E-mail: </w:t>
      </w:r>
      <w:r w:rsidRPr="00E21311">
        <w:rPr>
          <w:szCs w:val="24"/>
          <w:u w:val="single"/>
        </w:rPr>
        <w:t>rafaellasv@cedeplar.ufmg.br</w:t>
      </w:r>
    </w:p>
    <w:p w:rsidR="00E21311" w:rsidRPr="00C03435" w:rsidRDefault="00E21311" w:rsidP="00E21311">
      <w:pPr>
        <w:autoSpaceDE w:val="0"/>
        <w:autoSpaceDN w:val="0"/>
        <w:adjustRightInd w:val="0"/>
        <w:rPr>
          <w:szCs w:val="24"/>
        </w:rPr>
      </w:pPr>
    </w:p>
    <w:p w:rsidR="00E21311" w:rsidRPr="00DA15B8" w:rsidRDefault="00E21311" w:rsidP="00E21311">
      <w:pPr>
        <w:pStyle w:val="Textodenotaderodap"/>
        <w:jc w:val="both"/>
        <w:rPr>
          <w:sz w:val="24"/>
          <w:szCs w:val="24"/>
        </w:rPr>
      </w:pPr>
      <w:r w:rsidRPr="00DA15B8">
        <w:rPr>
          <w:sz w:val="24"/>
          <w:szCs w:val="24"/>
        </w:rPr>
        <w:t>José Luiz Parré</w:t>
      </w:r>
    </w:p>
    <w:p w:rsidR="00E21311" w:rsidRPr="001A062D" w:rsidRDefault="00DA15B8" w:rsidP="00E21311">
      <w:pPr>
        <w:rPr>
          <w:szCs w:val="24"/>
          <w:lang w:val="en-US"/>
        </w:rPr>
      </w:pPr>
      <w:r w:rsidRPr="00DA15B8">
        <w:rPr>
          <w:szCs w:val="24"/>
        </w:rPr>
        <w:t>Doutor em Economia Aplicada pela Universidade de S</w:t>
      </w:r>
      <w:r>
        <w:rPr>
          <w:szCs w:val="24"/>
        </w:rPr>
        <w:t>ão Paulo (USP/ESALQ). Professor Titular no Departamento de Economia</w:t>
      </w:r>
      <w:r w:rsidR="00791D62">
        <w:rPr>
          <w:szCs w:val="24"/>
        </w:rPr>
        <w:t xml:space="preserve"> e na Pós-Graduação em Ciências Econômica da Universidade Estadual de Maringá (DCO/PCE/UEM). </w:t>
      </w:r>
      <w:r w:rsidR="00E21311" w:rsidRPr="00781DB5">
        <w:rPr>
          <w:szCs w:val="24"/>
          <w:lang w:val="en-US"/>
        </w:rPr>
        <w:t xml:space="preserve">E-mail: </w:t>
      </w:r>
      <w:hyperlink r:id="rId9" w:history="1">
        <w:r w:rsidR="00E21311" w:rsidRPr="00791D62">
          <w:rPr>
            <w:rStyle w:val="Hyperlink"/>
            <w:color w:val="auto"/>
            <w:szCs w:val="24"/>
            <w:lang w:val="en-US"/>
          </w:rPr>
          <w:t>jlparre@uem.br</w:t>
        </w:r>
      </w:hyperlink>
    </w:p>
    <w:p w:rsidR="00E21311" w:rsidRPr="001A062D" w:rsidRDefault="00E21311" w:rsidP="00E21311">
      <w:pPr>
        <w:rPr>
          <w:szCs w:val="24"/>
          <w:lang w:val="en-US"/>
        </w:rPr>
      </w:pPr>
    </w:p>
    <w:p w:rsidR="00E21311" w:rsidRDefault="00E21311" w:rsidP="00E21311">
      <w:pPr>
        <w:pStyle w:val="Textodenotaderodap"/>
        <w:jc w:val="both"/>
        <w:rPr>
          <w:sz w:val="24"/>
          <w:szCs w:val="24"/>
          <w:lang w:val="en-US"/>
        </w:rPr>
      </w:pPr>
      <w:r>
        <w:rPr>
          <w:sz w:val="24"/>
          <w:szCs w:val="24"/>
          <w:lang w:val="en-US"/>
        </w:rPr>
        <w:t xml:space="preserve">Paulo de </w:t>
      </w:r>
      <w:proofErr w:type="spellStart"/>
      <w:r>
        <w:rPr>
          <w:sz w:val="24"/>
          <w:szCs w:val="24"/>
          <w:lang w:val="en-US"/>
        </w:rPr>
        <w:t>Freitas</w:t>
      </w:r>
      <w:proofErr w:type="spellEnd"/>
      <w:r>
        <w:rPr>
          <w:sz w:val="24"/>
          <w:szCs w:val="24"/>
          <w:lang w:val="en-US"/>
        </w:rPr>
        <w:t xml:space="preserve"> </w:t>
      </w:r>
      <w:proofErr w:type="spellStart"/>
      <w:r>
        <w:rPr>
          <w:sz w:val="24"/>
          <w:szCs w:val="24"/>
          <w:lang w:val="en-US"/>
        </w:rPr>
        <w:t>Guimarães</w:t>
      </w:r>
      <w:proofErr w:type="spellEnd"/>
    </w:p>
    <w:p w:rsidR="00E21311" w:rsidRPr="00644AC2" w:rsidRDefault="00E21311" w:rsidP="00E21311">
      <w:pPr>
        <w:pStyle w:val="Textodenotaderodap"/>
        <w:jc w:val="both"/>
        <w:rPr>
          <w:sz w:val="24"/>
          <w:szCs w:val="24"/>
        </w:rPr>
      </w:pPr>
      <w:proofErr w:type="gramStart"/>
      <w:r w:rsidRPr="00DA15B8">
        <w:rPr>
          <w:i/>
          <w:sz w:val="24"/>
          <w:szCs w:val="24"/>
          <w:lang w:val="en-US"/>
        </w:rPr>
        <w:t>PhD in Economic from University of South Carolina.</w:t>
      </w:r>
      <w:proofErr w:type="gramEnd"/>
      <w:r w:rsidRPr="00DA15B8">
        <w:rPr>
          <w:i/>
          <w:sz w:val="24"/>
          <w:szCs w:val="24"/>
          <w:lang w:val="en-US"/>
        </w:rPr>
        <w:t xml:space="preserve"> </w:t>
      </w:r>
      <w:proofErr w:type="gramStart"/>
      <w:r w:rsidRPr="00DA15B8">
        <w:rPr>
          <w:i/>
          <w:sz w:val="24"/>
          <w:szCs w:val="24"/>
          <w:lang w:val="en-US"/>
        </w:rPr>
        <w:t>Professor in University of Porto and Division of Research, Moore School of Business, University of South Carolina.</w:t>
      </w:r>
      <w:proofErr w:type="gramEnd"/>
      <w:r w:rsidRPr="00DA15B8">
        <w:rPr>
          <w:sz w:val="24"/>
          <w:szCs w:val="24"/>
          <w:lang w:val="en-US"/>
        </w:rPr>
        <w:t xml:space="preserve"> </w:t>
      </w:r>
      <w:r w:rsidRPr="00644AC2">
        <w:rPr>
          <w:sz w:val="24"/>
          <w:szCs w:val="24"/>
        </w:rPr>
        <w:t xml:space="preserve">E-mail: </w:t>
      </w:r>
      <w:r w:rsidRPr="00644AC2">
        <w:rPr>
          <w:sz w:val="24"/>
          <w:szCs w:val="24"/>
          <w:u w:val="single"/>
        </w:rPr>
        <w:t>pguimaraes@fep.up.pt</w:t>
      </w:r>
    </w:p>
    <w:p w:rsidR="00D85E5C" w:rsidRDefault="00D85E5C" w:rsidP="009B58CA">
      <w:pPr>
        <w:jc w:val="center"/>
        <w:rPr>
          <w:b/>
        </w:rPr>
      </w:pPr>
    </w:p>
    <w:p w:rsidR="00D85E5C" w:rsidRDefault="00D85E5C" w:rsidP="009B58CA">
      <w:pPr>
        <w:jc w:val="center"/>
        <w:rPr>
          <w:b/>
        </w:rPr>
      </w:pPr>
    </w:p>
    <w:p w:rsidR="00CA6FC0" w:rsidRPr="00367F92" w:rsidRDefault="00CA6FC0" w:rsidP="00CA6FC0">
      <w:pPr>
        <w:spacing w:line="360" w:lineRule="auto"/>
        <w:rPr>
          <w:b/>
          <w:sz w:val="22"/>
          <w:szCs w:val="22"/>
        </w:rPr>
      </w:pPr>
      <w:r w:rsidRPr="002F753B">
        <w:rPr>
          <w:b/>
          <w:sz w:val="22"/>
          <w:szCs w:val="22"/>
        </w:rPr>
        <w:t>RESUMO</w:t>
      </w:r>
      <w:r>
        <w:rPr>
          <w:b/>
          <w:sz w:val="22"/>
          <w:szCs w:val="22"/>
        </w:rPr>
        <w:t xml:space="preserve"> </w:t>
      </w:r>
    </w:p>
    <w:p w:rsidR="00CA6FC0" w:rsidRPr="00DC4CAA" w:rsidRDefault="00CA6FC0" w:rsidP="00CA6FC0">
      <w:pPr>
        <w:rPr>
          <w:b/>
          <w:sz w:val="22"/>
          <w:szCs w:val="22"/>
        </w:rPr>
      </w:pPr>
      <w:r w:rsidRPr="00DC4CAA">
        <w:rPr>
          <w:sz w:val="22"/>
          <w:szCs w:val="22"/>
        </w:rPr>
        <w:t>Este artigo apresenta uma contabilização d</w:t>
      </w:r>
      <w:r w:rsidRPr="00DC4CAA">
        <w:rPr>
          <w:sz w:val="22"/>
          <w:szCs w:val="22"/>
          <w:lang w:eastAsia="en-US"/>
        </w:rPr>
        <w:t>os efeitos de vizinhança nos índices de concentração espacial</w:t>
      </w:r>
      <w:r>
        <w:rPr>
          <w:sz w:val="22"/>
          <w:szCs w:val="22"/>
          <w:lang w:eastAsia="en-US"/>
        </w:rPr>
        <w:t>mente ponderados</w:t>
      </w:r>
      <w:r w:rsidRPr="00DC4CAA">
        <w:rPr>
          <w:sz w:val="22"/>
          <w:szCs w:val="22"/>
          <w:lang w:eastAsia="en-US"/>
        </w:rPr>
        <w:t xml:space="preserve">, com o intuito de analisar possíveis alterações no </w:t>
      </w:r>
      <w:r w:rsidRPr="00DC4CAA">
        <w:rPr>
          <w:i/>
          <w:sz w:val="22"/>
          <w:szCs w:val="22"/>
          <w:lang w:eastAsia="en-US"/>
        </w:rPr>
        <w:t>status</w:t>
      </w:r>
      <w:r w:rsidRPr="00DC4CAA">
        <w:rPr>
          <w:sz w:val="22"/>
          <w:szCs w:val="22"/>
          <w:lang w:eastAsia="en-US"/>
        </w:rPr>
        <w:t xml:space="preserve"> de alguns setores da indústria de transformação nas mesorregiões brasileiras nos anos de 1995-2010. </w:t>
      </w:r>
      <w:r w:rsidRPr="00DC4CAA">
        <w:rPr>
          <w:sz w:val="22"/>
          <w:szCs w:val="22"/>
        </w:rPr>
        <w:t xml:space="preserve">A análise dos índices de concentração espacialmente ponderados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s</m:t>
            </m:r>
          </m:sub>
        </m:sSub>
        <m:r>
          <w:rPr>
            <w:rFonts w:ascii="Cambria Math" w:hAnsi="Cambria Math"/>
            <w:sz w:val="22"/>
            <w:szCs w:val="22"/>
          </w:rPr>
          <m:t xml:space="preserve"> e </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hAnsi="Cambria Math"/>
            <w:sz w:val="22"/>
            <w:szCs w:val="22"/>
          </w:rPr>
          <m:t xml:space="preserve"> </m:t>
        </m:r>
      </m:oMath>
      <w:r w:rsidRPr="00DC4CAA">
        <w:rPr>
          <w:sz w:val="22"/>
          <w:szCs w:val="22"/>
        </w:rPr>
        <w:t xml:space="preserve">indica um possível processo de desconcentração da maioria dos setores que compõem a indústria de transformação no período. Comparando-se os índices de concentração espacialmente ponderados, conclui-se que aqueles são melhores indicadores </w:t>
      </w:r>
      <w:r>
        <w:rPr>
          <w:sz w:val="22"/>
          <w:szCs w:val="22"/>
        </w:rPr>
        <w:t>d</w:t>
      </w:r>
      <w:r w:rsidRPr="00DC4CAA">
        <w:rPr>
          <w:sz w:val="22"/>
          <w:szCs w:val="22"/>
        </w:rPr>
        <w:t xml:space="preserve">a real interferência dos efeitos de vizinhança, haja vista que consideram a presença (ou não) dos vizinhos na análise </w:t>
      </w:r>
      <w:r>
        <w:rPr>
          <w:sz w:val="22"/>
          <w:szCs w:val="22"/>
        </w:rPr>
        <w:t>d</w:t>
      </w:r>
      <w:r w:rsidRPr="00DC4CAA">
        <w:rPr>
          <w:sz w:val="22"/>
          <w:szCs w:val="22"/>
        </w:rPr>
        <w:t xml:space="preserve">o processo de </w:t>
      </w:r>
      <w:r>
        <w:rPr>
          <w:sz w:val="22"/>
          <w:szCs w:val="22"/>
        </w:rPr>
        <w:t>(</w:t>
      </w:r>
      <w:r w:rsidRPr="00DC4CAA">
        <w:rPr>
          <w:sz w:val="22"/>
          <w:szCs w:val="22"/>
        </w:rPr>
        <w:t>des</w:t>
      </w:r>
      <w:proofErr w:type="gramStart"/>
      <w:r>
        <w:rPr>
          <w:sz w:val="22"/>
          <w:szCs w:val="22"/>
        </w:rPr>
        <w:t>)</w:t>
      </w:r>
      <w:r w:rsidRPr="00DC4CAA">
        <w:rPr>
          <w:sz w:val="22"/>
          <w:szCs w:val="22"/>
        </w:rPr>
        <w:t>concentração</w:t>
      </w:r>
      <w:proofErr w:type="gramEnd"/>
      <w:r w:rsidRPr="00DC4CAA">
        <w:rPr>
          <w:sz w:val="22"/>
          <w:szCs w:val="22"/>
        </w:rPr>
        <w:t xml:space="preserve"> das atividades industriais brasileiras.</w:t>
      </w:r>
    </w:p>
    <w:p w:rsidR="00CA6FC0" w:rsidRDefault="00CA6FC0" w:rsidP="00CA6FC0">
      <w:pPr>
        <w:rPr>
          <w:sz w:val="22"/>
          <w:szCs w:val="22"/>
        </w:rPr>
      </w:pPr>
    </w:p>
    <w:p w:rsidR="00CA6FC0" w:rsidRPr="00743EED" w:rsidRDefault="00CA6FC0" w:rsidP="00CA6FC0">
      <w:pPr>
        <w:rPr>
          <w:b/>
          <w:sz w:val="22"/>
          <w:szCs w:val="22"/>
        </w:rPr>
      </w:pPr>
      <w:r w:rsidRPr="00743EED">
        <w:rPr>
          <w:b/>
          <w:sz w:val="22"/>
          <w:szCs w:val="22"/>
        </w:rPr>
        <w:t>Palavras-chave:</w:t>
      </w:r>
      <w:r>
        <w:rPr>
          <w:b/>
          <w:sz w:val="22"/>
          <w:szCs w:val="22"/>
        </w:rPr>
        <w:t xml:space="preserve"> </w:t>
      </w:r>
      <w:r w:rsidRPr="00D93388">
        <w:rPr>
          <w:sz w:val="22"/>
          <w:szCs w:val="22"/>
        </w:rPr>
        <w:t xml:space="preserve">Indústria de Transformação, </w:t>
      </w:r>
      <w:r>
        <w:rPr>
          <w:sz w:val="22"/>
          <w:szCs w:val="22"/>
        </w:rPr>
        <w:t>Desc</w:t>
      </w:r>
      <w:r w:rsidRPr="00D93388">
        <w:rPr>
          <w:sz w:val="22"/>
          <w:szCs w:val="22"/>
        </w:rPr>
        <w:t xml:space="preserve">oncentração, </w:t>
      </w:r>
      <w:r>
        <w:rPr>
          <w:sz w:val="22"/>
          <w:szCs w:val="22"/>
        </w:rPr>
        <w:t>Vizinho, Espaço.</w:t>
      </w:r>
    </w:p>
    <w:p w:rsidR="00CA6FC0" w:rsidRPr="00743EED" w:rsidRDefault="00CA6FC0" w:rsidP="00CA6FC0"/>
    <w:p w:rsidR="00CA6FC0" w:rsidRDefault="00CA6FC0" w:rsidP="00CA6FC0"/>
    <w:p w:rsidR="00CA6FC0" w:rsidRPr="00367F92" w:rsidRDefault="00CA6FC0" w:rsidP="00CA6FC0">
      <w:pPr>
        <w:spacing w:line="360" w:lineRule="auto"/>
        <w:rPr>
          <w:b/>
          <w:i/>
          <w:sz w:val="22"/>
          <w:szCs w:val="22"/>
          <w:lang w:val="en-US"/>
        </w:rPr>
      </w:pPr>
      <w:r w:rsidRPr="00367F92">
        <w:rPr>
          <w:b/>
          <w:i/>
          <w:sz w:val="22"/>
          <w:szCs w:val="22"/>
          <w:lang w:val="en-US"/>
        </w:rPr>
        <w:t>ABSTRACT</w:t>
      </w:r>
      <w:r>
        <w:rPr>
          <w:b/>
          <w:i/>
          <w:sz w:val="22"/>
          <w:szCs w:val="22"/>
          <w:lang w:val="en-US"/>
        </w:rPr>
        <w:t xml:space="preserve"> </w:t>
      </w:r>
    </w:p>
    <w:p w:rsidR="00CA6FC0" w:rsidRPr="00DC4CAA" w:rsidRDefault="00CA6FC0" w:rsidP="00CA6FC0">
      <w:pPr>
        <w:rPr>
          <w:i/>
          <w:sz w:val="22"/>
          <w:szCs w:val="22"/>
          <w:lang w:val="en-US"/>
        </w:rPr>
      </w:pPr>
      <w:r w:rsidRPr="00DC4CAA">
        <w:rPr>
          <w:i/>
          <w:sz w:val="22"/>
          <w:szCs w:val="22"/>
          <w:lang w:val="en-US"/>
        </w:rPr>
        <w:t xml:space="preserve">This paper presents an accounting of neighborhood effects </w:t>
      </w:r>
      <w:r>
        <w:rPr>
          <w:i/>
          <w:sz w:val="22"/>
          <w:szCs w:val="22"/>
          <w:lang w:val="en-US"/>
        </w:rPr>
        <w:t xml:space="preserve">on concentration indices spatially weighted, </w:t>
      </w:r>
      <w:r w:rsidRPr="00DC4CAA">
        <w:rPr>
          <w:i/>
          <w:sz w:val="22"/>
          <w:szCs w:val="22"/>
          <w:lang w:val="en-US"/>
        </w:rPr>
        <w:t xml:space="preserve">in order to examine possible changes in the status of some sectors of the manufacturing industry in the regions of Brazil in the years 1995-2010. The </w:t>
      </w:r>
      <w:proofErr w:type="gramStart"/>
      <w:r w:rsidRPr="00DC4CAA">
        <w:rPr>
          <w:i/>
          <w:sz w:val="22"/>
          <w:szCs w:val="22"/>
          <w:lang w:val="en-US"/>
        </w:rPr>
        <w:t xml:space="preserve">analysis of concentration indices spatially weighted </w:t>
      </w: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lang w:val="en-US"/>
          </w:rPr>
          <m:t xml:space="preserve">, </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lang w:val="en-US"/>
          </w:rPr>
          <m:t xml:space="preserve"> </m:t>
        </m:r>
      </m:oMath>
      <w:r>
        <w:rPr>
          <w:i/>
          <w:lang w:val="en-US"/>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s</m:t>
            </m:r>
            <m:r>
              <w:rPr>
                <w:rFonts w:ascii="Cambria Math" w:hAnsi="Cambria Math"/>
                <w:lang w:val="en-US"/>
              </w:rPr>
              <m:t>,</m:t>
            </m:r>
          </m:sub>
        </m:sSub>
      </m:oMath>
      <w:r w:rsidRPr="00DC4CAA">
        <w:rPr>
          <w:i/>
          <w:sz w:val="22"/>
          <w:szCs w:val="22"/>
          <w:lang w:val="en-US"/>
        </w:rPr>
        <w:t xml:space="preserve"> indicate</w:t>
      </w:r>
      <w:proofErr w:type="gramEnd"/>
      <w:r w:rsidRPr="00DC4CAA">
        <w:rPr>
          <w:i/>
          <w:sz w:val="22"/>
          <w:szCs w:val="22"/>
          <w:lang w:val="en-US"/>
        </w:rPr>
        <w:t xml:space="preserve"> a possible devolution of most sectors that comprise the manufacturing industry in the period. Comparing the concentration indices spatially weighted, it is concluded that those are better indicators of actual interference of neighborhood effects, given that consider the presence (or not) the neighbors in the analysis of the process of (de) centralization of industrial activities Brazilian.</w:t>
      </w:r>
    </w:p>
    <w:p w:rsidR="00CA6FC0" w:rsidRPr="00072D1B" w:rsidRDefault="00CA6FC0" w:rsidP="00CA6FC0">
      <w:pPr>
        <w:rPr>
          <w:lang w:val="en-US"/>
        </w:rPr>
      </w:pPr>
    </w:p>
    <w:p w:rsidR="00CA6FC0" w:rsidRPr="00DC4CAA" w:rsidRDefault="00CA6FC0" w:rsidP="00CA6FC0">
      <w:pPr>
        <w:rPr>
          <w:i/>
          <w:lang w:val="en-US"/>
        </w:rPr>
      </w:pPr>
      <w:r w:rsidRPr="00DC4CAA">
        <w:rPr>
          <w:b/>
          <w:i/>
          <w:lang w:val="en-US"/>
        </w:rPr>
        <w:t>Keywords:</w:t>
      </w:r>
      <w:r w:rsidRPr="00DC4CAA">
        <w:rPr>
          <w:i/>
          <w:lang w:val="en-US"/>
        </w:rPr>
        <w:t xml:space="preserve"> Manufacturing, Deconcentration, Neighbor, Space.</w:t>
      </w:r>
    </w:p>
    <w:p w:rsidR="00D85E5C" w:rsidRPr="00CA6FC0" w:rsidRDefault="00D85E5C" w:rsidP="009B58CA">
      <w:pPr>
        <w:jc w:val="center"/>
        <w:rPr>
          <w:b/>
          <w:lang w:val="en-US"/>
        </w:rPr>
      </w:pPr>
    </w:p>
    <w:p w:rsidR="0076347E" w:rsidRPr="00BD4A56" w:rsidRDefault="0076347E" w:rsidP="0076347E">
      <w:pPr>
        <w:spacing w:line="360" w:lineRule="auto"/>
        <w:rPr>
          <w:b/>
          <w:szCs w:val="24"/>
        </w:rPr>
      </w:pPr>
      <w:r w:rsidRPr="00BD4A56">
        <w:rPr>
          <w:b/>
          <w:szCs w:val="24"/>
        </w:rPr>
        <w:t>Área 10 – Economia Regional e Urbana</w:t>
      </w:r>
    </w:p>
    <w:p w:rsidR="00F77E19" w:rsidRPr="00BD4A56" w:rsidRDefault="00F77E19" w:rsidP="0076347E">
      <w:pPr>
        <w:spacing w:line="360" w:lineRule="auto"/>
        <w:rPr>
          <w:szCs w:val="24"/>
        </w:rPr>
      </w:pPr>
      <w:r w:rsidRPr="00BD4A56">
        <w:rPr>
          <w:b/>
          <w:szCs w:val="24"/>
        </w:rPr>
        <w:t xml:space="preserve">JEL: </w:t>
      </w:r>
      <w:r w:rsidRPr="00BD4A56">
        <w:rPr>
          <w:szCs w:val="24"/>
        </w:rPr>
        <w:t>L6</w:t>
      </w:r>
      <w:r w:rsidR="0076347E" w:rsidRPr="00BD4A56">
        <w:rPr>
          <w:szCs w:val="24"/>
        </w:rPr>
        <w:t xml:space="preserve"> e</w:t>
      </w:r>
      <w:r w:rsidRPr="00BD4A56">
        <w:rPr>
          <w:szCs w:val="24"/>
        </w:rPr>
        <w:t xml:space="preserve"> R1 </w:t>
      </w:r>
    </w:p>
    <w:p w:rsidR="009B58CA" w:rsidRPr="00367F92" w:rsidRDefault="009B58CA" w:rsidP="009B58CA">
      <w:pPr>
        <w:jc w:val="center"/>
        <w:rPr>
          <w:b/>
        </w:rPr>
      </w:pPr>
      <w:r w:rsidRPr="00367F92">
        <w:rPr>
          <w:b/>
        </w:rPr>
        <w:lastRenderedPageBreak/>
        <w:t xml:space="preserve">CONCENTRAÇÃO INDUSTRIAL NO BRASIL: </w:t>
      </w:r>
      <w:r w:rsidR="00316E69" w:rsidRPr="00367F92">
        <w:rPr>
          <w:b/>
        </w:rPr>
        <w:t>UMA ANÁLISE ESPACIALMENTE PONDERADA</w:t>
      </w:r>
      <w:r w:rsidRPr="00367F92">
        <w:rPr>
          <w:b/>
        </w:rPr>
        <w:t>A</w:t>
      </w:r>
    </w:p>
    <w:p w:rsidR="009B58CA" w:rsidRPr="00367F92" w:rsidRDefault="009B58CA" w:rsidP="009B58CA">
      <w:pPr>
        <w:spacing w:line="360" w:lineRule="auto"/>
        <w:rPr>
          <w:b/>
          <w:sz w:val="22"/>
          <w:szCs w:val="22"/>
        </w:rPr>
      </w:pPr>
    </w:p>
    <w:p w:rsidR="009B58CA" w:rsidRPr="00367F92" w:rsidRDefault="009B58CA" w:rsidP="009B58CA">
      <w:pPr>
        <w:spacing w:line="360" w:lineRule="auto"/>
        <w:rPr>
          <w:b/>
          <w:sz w:val="22"/>
          <w:szCs w:val="22"/>
        </w:rPr>
      </w:pPr>
    </w:p>
    <w:p w:rsidR="008C5714" w:rsidRPr="00367F92" w:rsidRDefault="009B58CA" w:rsidP="008C5714">
      <w:pPr>
        <w:spacing w:line="360" w:lineRule="auto"/>
        <w:rPr>
          <w:b/>
          <w:sz w:val="22"/>
          <w:szCs w:val="22"/>
        </w:rPr>
      </w:pPr>
      <w:r w:rsidRPr="002F753B">
        <w:rPr>
          <w:b/>
          <w:sz w:val="22"/>
          <w:szCs w:val="22"/>
        </w:rPr>
        <w:t>RESUMO</w:t>
      </w:r>
      <w:r w:rsidR="00367F92">
        <w:rPr>
          <w:b/>
          <w:sz w:val="22"/>
          <w:szCs w:val="22"/>
        </w:rPr>
        <w:t xml:space="preserve"> </w:t>
      </w:r>
    </w:p>
    <w:p w:rsidR="009B58CA" w:rsidRPr="00DC4CAA" w:rsidRDefault="008C5714" w:rsidP="00133839">
      <w:pPr>
        <w:rPr>
          <w:b/>
          <w:sz w:val="22"/>
          <w:szCs w:val="22"/>
        </w:rPr>
      </w:pPr>
      <w:r w:rsidRPr="00DC4CAA">
        <w:rPr>
          <w:sz w:val="22"/>
          <w:szCs w:val="22"/>
        </w:rPr>
        <w:t>E</w:t>
      </w:r>
      <w:r w:rsidR="002040CE" w:rsidRPr="00DC4CAA">
        <w:rPr>
          <w:sz w:val="22"/>
          <w:szCs w:val="22"/>
        </w:rPr>
        <w:t>ste artigo</w:t>
      </w:r>
      <w:r w:rsidR="009B58CA" w:rsidRPr="00DC4CAA">
        <w:rPr>
          <w:sz w:val="22"/>
          <w:szCs w:val="22"/>
        </w:rPr>
        <w:t xml:space="preserve"> </w:t>
      </w:r>
      <w:r w:rsidR="002040CE" w:rsidRPr="00DC4CAA">
        <w:rPr>
          <w:sz w:val="22"/>
          <w:szCs w:val="22"/>
        </w:rPr>
        <w:t>apresenta uma contabilização d</w:t>
      </w:r>
      <w:r w:rsidR="009B58CA" w:rsidRPr="00DC4CAA">
        <w:rPr>
          <w:sz w:val="22"/>
          <w:szCs w:val="22"/>
          <w:lang w:eastAsia="en-US"/>
        </w:rPr>
        <w:t>os efeitos de vizinhança nos índices de concentração espacial</w:t>
      </w:r>
      <w:r w:rsidR="003D6D80">
        <w:rPr>
          <w:sz w:val="22"/>
          <w:szCs w:val="22"/>
          <w:lang w:eastAsia="en-US"/>
        </w:rPr>
        <w:t>mente ponderados</w:t>
      </w:r>
      <w:r w:rsidR="009B58CA" w:rsidRPr="00DC4CAA">
        <w:rPr>
          <w:sz w:val="22"/>
          <w:szCs w:val="22"/>
          <w:lang w:eastAsia="en-US"/>
        </w:rPr>
        <w:t xml:space="preserve">, com o intuito de analisar possíveis alterações no </w:t>
      </w:r>
      <w:r w:rsidR="009B58CA" w:rsidRPr="00DC4CAA">
        <w:rPr>
          <w:i/>
          <w:sz w:val="22"/>
          <w:szCs w:val="22"/>
          <w:lang w:eastAsia="en-US"/>
        </w:rPr>
        <w:t>status</w:t>
      </w:r>
      <w:r w:rsidR="009B58CA" w:rsidRPr="00DC4CAA">
        <w:rPr>
          <w:sz w:val="22"/>
          <w:szCs w:val="22"/>
          <w:lang w:eastAsia="en-US"/>
        </w:rPr>
        <w:t xml:space="preserve"> de alguns setores da indústria de transformação nas mesorregiões brasileiras nos anos de 1995-2010. </w:t>
      </w:r>
      <w:r w:rsidR="002040CE" w:rsidRPr="00DC4CAA">
        <w:rPr>
          <w:sz w:val="22"/>
          <w:szCs w:val="22"/>
        </w:rPr>
        <w:t>A aná</w:t>
      </w:r>
      <w:r w:rsidR="0003394D" w:rsidRPr="00DC4CAA">
        <w:rPr>
          <w:sz w:val="22"/>
          <w:szCs w:val="22"/>
        </w:rPr>
        <w:t xml:space="preserve">lise dos </w:t>
      </w:r>
      <w:r w:rsidR="009B58CA" w:rsidRPr="00DC4CAA">
        <w:rPr>
          <w:sz w:val="22"/>
          <w:szCs w:val="22"/>
        </w:rPr>
        <w:t xml:space="preserve">índices de concentração espacialmente ponderados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s</m:t>
            </m:r>
          </m:sub>
        </m:sSub>
        <m:r>
          <w:rPr>
            <w:rFonts w:ascii="Cambria Math" w:hAnsi="Cambria Math"/>
            <w:sz w:val="22"/>
            <w:szCs w:val="22"/>
          </w:rPr>
          <m:t xml:space="preserve"> e </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hAnsi="Cambria Math"/>
            <w:sz w:val="22"/>
            <w:szCs w:val="22"/>
          </w:rPr>
          <m:t xml:space="preserve"> </m:t>
        </m:r>
      </m:oMath>
      <w:r w:rsidR="002040CE" w:rsidRPr="00DC4CAA">
        <w:rPr>
          <w:sz w:val="22"/>
          <w:szCs w:val="22"/>
        </w:rPr>
        <w:t>indica</w:t>
      </w:r>
      <w:r w:rsidRPr="00DC4CAA">
        <w:rPr>
          <w:sz w:val="22"/>
          <w:szCs w:val="22"/>
        </w:rPr>
        <w:t xml:space="preserve"> </w:t>
      </w:r>
      <w:r w:rsidR="002040CE" w:rsidRPr="00DC4CAA">
        <w:rPr>
          <w:sz w:val="22"/>
          <w:szCs w:val="22"/>
        </w:rPr>
        <w:t>um</w:t>
      </w:r>
      <w:r w:rsidR="002E30CD" w:rsidRPr="00DC4CAA">
        <w:rPr>
          <w:sz w:val="22"/>
          <w:szCs w:val="22"/>
        </w:rPr>
        <w:t xml:space="preserve"> </w:t>
      </w:r>
      <w:r w:rsidR="009B58CA" w:rsidRPr="00DC4CAA">
        <w:rPr>
          <w:sz w:val="22"/>
          <w:szCs w:val="22"/>
        </w:rPr>
        <w:t>possível processo de desconcentração da maioria dos setores que compõem a indúst</w:t>
      </w:r>
      <w:r w:rsidRPr="00DC4CAA">
        <w:rPr>
          <w:sz w:val="22"/>
          <w:szCs w:val="22"/>
        </w:rPr>
        <w:t xml:space="preserve">ria de transformação no período. </w:t>
      </w:r>
      <w:r w:rsidR="0003394D" w:rsidRPr="00DC4CAA">
        <w:rPr>
          <w:sz w:val="22"/>
          <w:szCs w:val="22"/>
        </w:rPr>
        <w:t>Comparando-se</w:t>
      </w:r>
      <w:r w:rsidRPr="00DC4CAA">
        <w:rPr>
          <w:sz w:val="22"/>
          <w:szCs w:val="22"/>
        </w:rPr>
        <w:t xml:space="preserve"> </w:t>
      </w:r>
      <w:r w:rsidR="009B58CA" w:rsidRPr="00DC4CAA">
        <w:rPr>
          <w:sz w:val="22"/>
          <w:szCs w:val="22"/>
        </w:rPr>
        <w:t>os índices de concen</w:t>
      </w:r>
      <w:r w:rsidR="00DC4CAA" w:rsidRPr="00DC4CAA">
        <w:rPr>
          <w:sz w:val="22"/>
          <w:szCs w:val="22"/>
        </w:rPr>
        <w:t>tração espacialmente ponderados</w:t>
      </w:r>
      <w:r w:rsidR="002D7417" w:rsidRPr="00DC4CAA">
        <w:rPr>
          <w:sz w:val="22"/>
          <w:szCs w:val="22"/>
        </w:rPr>
        <w:t>, conclui-se que aquele</w:t>
      </w:r>
      <w:r w:rsidR="00DC4CAA" w:rsidRPr="00DC4CAA">
        <w:rPr>
          <w:sz w:val="22"/>
          <w:szCs w:val="22"/>
        </w:rPr>
        <w:t xml:space="preserve">s </w:t>
      </w:r>
      <w:r w:rsidR="002D7417" w:rsidRPr="00DC4CAA">
        <w:rPr>
          <w:sz w:val="22"/>
          <w:szCs w:val="22"/>
        </w:rPr>
        <w:t>são melhores indicadores</w:t>
      </w:r>
      <w:r w:rsidR="009B58CA" w:rsidRPr="00DC4CAA">
        <w:rPr>
          <w:sz w:val="22"/>
          <w:szCs w:val="22"/>
        </w:rPr>
        <w:t xml:space="preserve"> </w:t>
      </w:r>
      <w:r w:rsidR="00DC4CAA">
        <w:rPr>
          <w:sz w:val="22"/>
          <w:szCs w:val="22"/>
        </w:rPr>
        <w:t>d</w:t>
      </w:r>
      <w:r w:rsidR="009B58CA" w:rsidRPr="00DC4CAA">
        <w:rPr>
          <w:sz w:val="22"/>
          <w:szCs w:val="22"/>
        </w:rPr>
        <w:t xml:space="preserve">a real interferência dos efeitos de vizinhança, </w:t>
      </w:r>
      <w:r w:rsidR="002D7417" w:rsidRPr="00DC4CAA">
        <w:rPr>
          <w:sz w:val="22"/>
          <w:szCs w:val="22"/>
        </w:rPr>
        <w:t>haja vista que consideram</w:t>
      </w:r>
      <w:r w:rsidR="009B58CA" w:rsidRPr="00DC4CAA">
        <w:rPr>
          <w:sz w:val="22"/>
          <w:szCs w:val="22"/>
        </w:rPr>
        <w:t xml:space="preserve"> a presença (ou não) dos vizinhos na análise </w:t>
      </w:r>
      <w:r w:rsidR="00DC4CAA">
        <w:rPr>
          <w:sz w:val="22"/>
          <w:szCs w:val="22"/>
        </w:rPr>
        <w:t>d</w:t>
      </w:r>
      <w:r w:rsidR="009B58CA" w:rsidRPr="00DC4CAA">
        <w:rPr>
          <w:sz w:val="22"/>
          <w:szCs w:val="22"/>
        </w:rPr>
        <w:t xml:space="preserve">o processo de </w:t>
      </w:r>
      <w:r w:rsidR="00DC4CAA">
        <w:rPr>
          <w:sz w:val="22"/>
          <w:szCs w:val="22"/>
        </w:rPr>
        <w:t>(</w:t>
      </w:r>
      <w:r w:rsidR="009B58CA" w:rsidRPr="00DC4CAA">
        <w:rPr>
          <w:sz w:val="22"/>
          <w:szCs w:val="22"/>
        </w:rPr>
        <w:t>des</w:t>
      </w:r>
      <w:proofErr w:type="gramStart"/>
      <w:r w:rsidR="00DC4CAA">
        <w:rPr>
          <w:sz w:val="22"/>
          <w:szCs w:val="22"/>
        </w:rPr>
        <w:t>)</w:t>
      </w:r>
      <w:r w:rsidR="009B58CA" w:rsidRPr="00DC4CAA">
        <w:rPr>
          <w:sz w:val="22"/>
          <w:szCs w:val="22"/>
        </w:rPr>
        <w:t>concentração</w:t>
      </w:r>
      <w:proofErr w:type="gramEnd"/>
      <w:r w:rsidR="009B58CA" w:rsidRPr="00DC4CAA">
        <w:rPr>
          <w:sz w:val="22"/>
          <w:szCs w:val="22"/>
        </w:rPr>
        <w:t xml:space="preserve"> das atividades industriais brasileiras.</w:t>
      </w:r>
    </w:p>
    <w:p w:rsidR="009B58CA" w:rsidRDefault="009B58CA" w:rsidP="009B58CA">
      <w:pPr>
        <w:rPr>
          <w:sz w:val="22"/>
          <w:szCs w:val="22"/>
        </w:rPr>
      </w:pPr>
    </w:p>
    <w:p w:rsidR="009B58CA" w:rsidRPr="00743EED" w:rsidRDefault="009B58CA" w:rsidP="009B58CA">
      <w:pPr>
        <w:rPr>
          <w:b/>
          <w:sz w:val="22"/>
          <w:szCs w:val="22"/>
        </w:rPr>
      </w:pPr>
      <w:r w:rsidRPr="00743EED">
        <w:rPr>
          <w:b/>
          <w:sz w:val="22"/>
          <w:szCs w:val="22"/>
        </w:rPr>
        <w:t>Palavras-chave:</w:t>
      </w:r>
      <w:r>
        <w:rPr>
          <w:b/>
          <w:sz w:val="22"/>
          <w:szCs w:val="22"/>
        </w:rPr>
        <w:t xml:space="preserve"> </w:t>
      </w:r>
      <w:r w:rsidRPr="00D93388">
        <w:rPr>
          <w:sz w:val="22"/>
          <w:szCs w:val="22"/>
        </w:rPr>
        <w:t xml:space="preserve">Indústria de Transformação, </w:t>
      </w:r>
      <w:r>
        <w:rPr>
          <w:sz w:val="22"/>
          <w:szCs w:val="22"/>
        </w:rPr>
        <w:t>Desc</w:t>
      </w:r>
      <w:r w:rsidRPr="00D93388">
        <w:rPr>
          <w:sz w:val="22"/>
          <w:szCs w:val="22"/>
        </w:rPr>
        <w:t xml:space="preserve">oncentração, </w:t>
      </w:r>
      <w:r>
        <w:rPr>
          <w:sz w:val="22"/>
          <w:szCs w:val="22"/>
        </w:rPr>
        <w:t>Vizinho, Espaço.</w:t>
      </w:r>
    </w:p>
    <w:p w:rsidR="009B58CA" w:rsidRPr="00743EED" w:rsidRDefault="009B58CA" w:rsidP="009B58CA"/>
    <w:p w:rsidR="009B58CA" w:rsidRDefault="009B58CA" w:rsidP="009B58CA"/>
    <w:p w:rsidR="009B58CA" w:rsidRDefault="009B58CA" w:rsidP="009B58CA"/>
    <w:p w:rsidR="009B58CA" w:rsidRPr="00367F92" w:rsidRDefault="009B58CA" w:rsidP="009B58CA">
      <w:pPr>
        <w:spacing w:line="360" w:lineRule="auto"/>
        <w:rPr>
          <w:b/>
          <w:i/>
          <w:sz w:val="22"/>
          <w:szCs w:val="22"/>
          <w:lang w:val="en-US"/>
        </w:rPr>
      </w:pPr>
      <w:r w:rsidRPr="00367F92">
        <w:rPr>
          <w:b/>
          <w:i/>
          <w:sz w:val="22"/>
          <w:szCs w:val="22"/>
          <w:lang w:val="en-US"/>
        </w:rPr>
        <w:t>ABSTRACT</w:t>
      </w:r>
      <w:r w:rsidR="00367F92">
        <w:rPr>
          <w:b/>
          <w:i/>
          <w:sz w:val="22"/>
          <w:szCs w:val="22"/>
          <w:lang w:val="en-US"/>
        </w:rPr>
        <w:t xml:space="preserve"> </w:t>
      </w:r>
    </w:p>
    <w:p w:rsidR="00DC4CAA" w:rsidRPr="00DC4CAA" w:rsidRDefault="00DC4CAA" w:rsidP="009B58CA">
      <w:pPr>
        <w:rPr>
          <w:i/>
          <w:sz w:val="22"/>
          <w:szCs w:val="22"/>
          <w:lang w:val="en-US"/>
        </w:rPr>
      </w:pPr>
      <w:r w:rsidRPr="00DC4CAA">
        <w:rPr>
          <w:i/>
          <w:sz w:val="22"/>
          <w:szCs w:val="22"/>
          <w:lang w:val="en-US"/>
        </w:rPr>
        <w:t xml:space="preserve">This paper presents an accounting of neighborhood effects </w:t>
      </w:r>
      <w:r w:rsidR="003D6D80">
        <w:rPr>
          <w:i/>
          <w:sz w:val="22"/>
          <w:szCs w:val="22"/>
          <w:lang w:val="en-US"/>
        </w:rPr>
        <w:t xml:space="preserve">on concentration indices spatially weighted, </w:t>
      </w:r>
      <w:r w:rsidRPr="00DC4CAA">
        <w:rPr>
          <w:i/>
          <w:sz w:val="22"/>
          <w:szCs w:val="22"/>
          <w:lang w:val="en-US"/>
        </w:rPr>
        <w:t xml:space="preserve">in order to examine possible changes in the status of some sectors of the manufacturing industry in the regions of Brazil in the years 1995-2010. The analysis of concentration indices spatially weighted </w:t>
      </w: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lang w:val="en-US"/>
          </w:rPr>
          <m:t xml:space="preserve">, </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lang w:val="en-US"/>
          </w:rPr>
          <m:t xml:space="preserve"> </m:t>
        </m:r>
      </m:oMath>
      <w:r>
        <w:rPr>
          <w:i/>
          <w:lang w:val="en-US"/>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s</m:t>
            </m:r>
            <m:r>
              <w:rPr>
                <w:rFonts w:ascii="Cambria Math" w:hAnsi="Cambria Math"/>
                <w:lang w:val="en-US"/>
              </w:rPr>
              <m:t>,</m:t>
            </m:r>
          </m:sub>
        </m:sSub>
      </m:oMath>
      <w:r w:rsidRPr="00DC4CAA">
        <w:rPr>
          <w:i/>
          <w:sz w:val="22"/>
          <w:szCs w:val="22"/>
          <w:lang w:val="en-US"/>
        </w:rPr>
        <w:t xml:space="preserve"> indicate a possible devolution of most sectors that comprise the manufacturing industry in the period. Comparing the concentration indices spatially weighted, it is concluded that those are better indicators of actual interference of neighborhood effects, given that consider the presence (or not) the neighbors in the analysis of the process of (de) centralization of industrial activities Brazilian.</w:t>
      </w:r>
    </w:p>
    <w:p w:rsidR="009B58CA" w:rsidRPr="00072D1B" w:rsidRDefault="009B58CA" w:rsidP="00DC4CAA">
      <w:pPr>
        <w:rPr>
          <w:lang w:val="en-US"/>
        </w:rPr>
      </w:pPr>
    </w:p>
    <w:p w:rsidR="009B58CA" w:rsidRPr="00DC4CAA" w:rsidRDefault="009B58CA" w:rsidP="00DC4CAA">
      <w:pPr>
        <w:rPr>
          <w:i/>
          <w:lang w:val="en-US"/>
        </w:rPr>
      </w:pPr>
      <w:r w:rsidRPr="00DC4CAA">
        <w:rPr>
          <w:b/>
          <w:i/>
          <w:lang w:val="en-US"/>
        </w:rPr>
        <w:t>Keywords:</w:t>
      </w:r>
      <w:r w:rsidRPr="00DC4CAA">
        <w:rPr>
          <w:i/>
          <w:lang w:val="en-US"/>
        </w:rPr>
        <w:t xml:space="preserve"> Manufacturing, Deconcentration, Neighbor, Space.</w:t>
      </w:r>
    </w:p>
    <w:p w:rsidR="005D37C5" w:rsidRPr="00DC4CAA" w:rsidRDefault="005D37C5" w:rsidP="00DC4CAA">
      <w:pPr>
        <w:rPr>
          <w:lang w:val="en-US"/>
        </w:rPr>
      </w:pPr>
    </w:p>
    <w:p w:rsidR="003D6D80" w:rsidRPr="005D6C9F" w:rsidRDefault="003D6D80" w:rsidP="00F44A4E">
      <w:pPr>
        <w:spacing w:line="360" w:lineRule="auto"/>
        <w:rPr>
          <w:b/>
          <w:lang w:val="en-US"/>
        </w:rPr>
      </w:pPr>
    </w:p>
    <w:p w:rsidR="003D6D80" w:rsidRPr="005D6C9F" w:rsidRDefault="003D6D80" w:rsidP="00F44A4E">
      <w:pPr>
        <w:spacing w:line="360" w:lineRule="auto"/>
        <w:rPr>
          <w:b/>
          <w:lang w:val="en-US"/>
        </w:rPr>
      </w:pPr>
    </w:p>
    <w:p w:rsidR="00F44A4E" w:rsidRPr="00367F92" w:rsidRDefault="00F44A4E" w:rsidP="00F44A4E">
      <w:pPr>
        <w:spacing w:line="360" w:lineRule="auto"/>
        <w:rPr>
          <w:b/>
        </w:rPr>
      </w:pPr>
      <w:proofErr w:type="gramStart"/>
      <w:r w:rsidRPr="002F753B">
        <w:rPr>
          <w:b/>
        </w:rPr>
        <w:t>1</w:t>
      </w:r>
      <w:proofErr w:type="gramEnd"/>
      <w:r w:rsidRPr="002F753B">
        <w:rPr>
          <w:b/>
        </w:rPr>
        <w:t xml:space="preserve"> INTRODUÇÃO</w:t>
      </w:r>
      <w:r w:rsidRPr="00367F92">
        <w:rPr>
          <w:b/>
        </w:rPr>
        <w:t xml:space="preserve"> </w:t>
      </w:r>
    </w:p>
    <w:p w:rsidR="00F44A4E" w:rsidRDefault="00F44A4E" w:rsidP="002B79A5">
      <w:pPr>
        <w:ind w:firstLine="709"/>
        <w:rPr>
          <w:szCs w:val="24"/>
        </w:rPr>
      </w:pPr>
      <w:r w:rsidRPr="00891E21">
        <w:rPr>
          <w:szCs w:val="24"/>
        </w:rPr>
        <w:t xml:space="preserve">A indústria, de modo geral, é considerada um dos </w:t>
      </w:r>
      <w:r>
        <w:rPr>
          <w:szCs w:val="24"/>
        </w:rPr>
        <w:t xml:space="preserve">principais setores responsáveis pelo </w:t>
      </w:r>
      <w:r w:rsidRPr="00891E21">
        <w:rPr>
          <w:szCs w:val="24"/>
        </w:rPr>
        <w:t xml:space="preserve">desenvolvimento </w:t>
      </w:r>
      <w:r w:rsidR="002D7417">
        <w:rPr>
          <w:szCs w:val="24"/>
        </w:rPr>
        <w:t>socio</w:t>
      </w:r>
      <w:r w:rsidRPr="00891E21">
        <w:rPr>
          <w:szCs w:val="24"/>
        </w:rPr>
        <w:t>econômico de</w:t>
      </w:r>
      <w:r>
        <w:rPr>
          <w:szCs w:val="24"/>
        </w:rPr>
        <w:t xml:space="preserve"> um país. </w:t>
      </w:r>
      <w:r w:rsidR="002D7417">
        <w:rPr>
          <w:szCs w:val="24"/>
        </w:rPr>
        <w:t xml:space="preserve">Ela </w:t>
      </w:r>
      <w:r>
        <w:rPr>
          <w:szCs w:val="24"/>
        </w:rPr>
        <w:t>representa um forte elo</w:t>
      </w:r>
      <w:r w:rsidRPr="00891E21">
        <w:rPr>
          <w:szCs w:val="24"/>
        </w:rPr>
        <w:t xml:space="preserve"> da cadeia produtiva nacional, sobressaindo-se diante das demais atividades econômicas pela sua capacidade de empregabilidade, geração de receitas, investimentos e transbordamentos produtivos entre regiões. </w:t>
      </w:r>
      <w:r>
        <w:rPr>
          <w:szCs w:val="24"/>
        </w:rPr>
        <w:t xml:space="preserve">Uma característica que acompanha esse setor dinâmico é a mudança, seja ela </w:t>
      </w:r>
      <w:proofErr w:type="gramStart"/>
      <w:r>
        <w:rPr>
          <w:szCs w:val="24"/>
        </w:rPr>
        <w:t>estrutural, econômica</w:t>
      </w:r>
      <w:proofErr w:type="gramEnd"/>
      <w:r>
        <w:rPr>
          <w:szCs w:val="24"/>
        </w:rPr>
        <w:t xml:space="preserve"> ou até mesmo no espaço que ocupa e no impacto que causará.</w:t>
      </w:r>
    </w:p>
    <w:p w:rsidR="00F44A4E" w:rsidRPr="00891E21" w:rsidRDefault="00F44A4E" w:rsidP="002B79A5">
      <w:pPr>
        <w:ind w:firstLine="709"/>
        <w:rPr>
          <w:szCs w:val="24"/>
        </w:rPr>
      </w:pPr>
      <w:r w:rsidRPr="00891E21">
        <w:rPr>
          <w:szCs w:val="24"/>
        </w:rPr>
        <w:t>Na década de 1990 iniciou-se um grande processo de modernização da economia brasileira considerado de grande importância para a indústria do país</w:t>
      </w:r>
      <w:r w:rsidR="00071590">
        <w:rPr>
          <w:szCs w:val="24"/>
        </w:rPr>
        <w:t>, o qual foi marcado pela</w:t>
      </w:r>
      <w:r>
        <w:rPr>
          <w:szCs w:val="24"/>
        </w:rPr>
        <w:t>:</w:t>
      </w:r>
      <w:r w:rsidRPr="00891E21">
        <w:rPr>
          <w:szCs w:val="24"/>
        </w:rPr>
        <w:t xml:space="preserve"> liberalização comercial, desregulação </w:t>
      </w:r>
      <w:r w:rsidR="00071590">
        <w:rPr>
          <w:szCs w:val="24"/>
        </w:rPr>
        <w:t xml:space="preserve">dos mercados </w:t>
      </w:r>
      <w:r w:rsidRPr="00891E21">
        <w:rPr>
          <w:szCs w:val="24"/>
        </w:rPr>
        <w:t>e desestatização de empresas nacionais. A</w:t>
      </w:r>
      <w:r w:rsidR="00071590">
        <w:rPr>
          <w:szCs w:val="24"/>
        </w:rPr>
        <w:t>liada a esses fatores, a</w:t>
      </w:r>
      <w:r w:rsidRPr="00891E21">
        <w:rPr>
          <w:szCs w:val="24"/>
        </w:rPr>
        <w:t xml:space="preserve"> estabilização monetária em 1994 provocou vários efeitos macroeconômicos. O sucesso alcançado no controle das taxas de inflação reduziu o número de cenários de curto prazo, melhorou o grau de confiança macroeconômico e permitiu o alargamento do horizonte temporal do cálculo empresarial. Do lado da demanda, o efeito redistributivo da renda, que sucedeu as </w:t>
      </w:r>
      <w:r w:rsidRPr="00891E21">
        <w:rPr>
          <w:szCs w:val="24"/>
        </w:rPr>
        <w:lastRenderedPageBreak/>
        <w:t xml:space="preserve">quedas rápidas dos níveis inflacionários, e a retomada do crédito foram elementos centrais de estruturação e dinamização do consumo. Esses fatores </w:t>
      </w:r>
      <w:r w:rsidR="003A4135" w:rsidRPr="00891E21">
        <w:rPr>
          <w:szCs w:val="24"/>
        </w:rPr>
        <w:t>contribu</w:t>
      </w:r>
      <w:r w:rsidR="003A4135">
        <w:rPr>
          <w:szCs w:val="24"/>
        </w:rPr>
        <w:t>íra</w:t>
      </w:r>
      <w:r w:rsidR="003A4135" w:rsidRPr="00891E21">
        <w:rPr>
          <w:szCs w:val="24"/>
        </w:rPr>
        <w:t xml:space="preserve">m </w:t>
      </w:r>
      <w:r w:rsidRPr="00891E21">
        <w:rPr>
          <w:szCs w:val="24"/>
        </w:rPr>
        <w:t xml:space="preserve">positivamente para a intensificação das taxas de decisões de investir em capital fixo. </w:t>
      </w:r>
      <w:r w:rsidR="004917D6">
        <w:rPr>
          <w:szCs w:val="24"/>
        </w:rPr>
        <w:t xml:space="preserve">Em suma, </w:t>
      </w:r>
      <w:r w:rsidRPr="00891E21">
        <w:rPr>
          <w:szCs w:val="24"/>
        </w:rPr>
        <w:t xml:space="preserve">o plano estrutural iniciado em 1994 </w:t>
      </w:r>
      <w:r w:rsidR="003A4135">
        <w:rPr>
          <w:szCs w:val="24"/>
        </w:rPr>
        <w:t>contribuiu</w:t>
      </w:r>
      <w:r w:rsidR="003A4135" w:rsidRPr="00891E21">
        <w:rPr>
          <w:szCs w:val="24"/>
        </w:rPr>
        <w:t xml:space="preserve"> </w:t>
      </w:r>
      <w:r w:rsidRPr="00891E21">
        <w:rPr>
          <w:szCs w:val="24"/>
        </w:rPr>
        <w:t>para uma maior estabilidade macroeconômica (KUPFER, 1998).</w:t>
      </w:r>
    </w:p>
    <w:p w:rsidR="00F44A4E" w:rsidRPr="00891E21" w:rsidRDefault="00F44A4E" w:rsidP="002B79A5">
      <w:pPr>
        <w:ind w:firstLine="709"/>
        <w:rPr>
          <w:szCs w:val="24"/>
        </w:rPr>
      </w:pPr>
      <w:r w:rsidRPr="00891E21">
        <w:rPr>
          <w:szCs w:val="24"/>
        </w:rPr>
        <w:t xml:space="preserve">A literatura sobre localização industrial, </w:t>
      </w:r>
      <w:r>
        <w:rPr>
          <w:szCs w:val="24"/>
        </w:rPr>
        <w:t xml:space="preserve">segundo </w:t>
      </w:r>
      <w:r w:rsidRPr="00891E21">
        <w:rPr>
          <w:szCs w:val="24"/>
        </w:rPr>
        <w:t xml:space="preserve">Araújo e Lautert (2007), pontua fatores que incentivam e fatores que desestimulam a concentração da indústria no espaço geográfico. Weber (1929) classificou os fatores que interferem nas decisões de localização das firmas como: </w:t>
      </w:r>
      <w:r w:rsidR="009A24E9">
        <w:rPr>
          <w:szCs w:val="24"/>
        </w:rPr>
        <w:t>r</w:t>
      </w:r>
      <w:r w:rsidR="009A24E9" w:rsidRPr="00891E21">
        <w:rPr>
          <w:szCs w:val="24"/>
        </w:rPr>
        <w:t>egionais</w:t>
      </w:r>
      <w:r w:rsidR="009A24E9">
        <w:rPr>
          <w:szCs w:val="24"/>
        </w:rPr>
        <w:t xml:space="preserve"> (</w:t>
      </w:r>
      <w:r w:rsidR="009A24E9">
        <w:rPr>
          <w:i/>
          <w:szCs w:val="24"/>
        </w:rPr>
        <w:t>i.e.</w:t>
      </w:r>
      <w:r w:rsidR="009A24E9">
        <w:rPr>
          <w:szCs w:val="24"/>
        </w:rPr>
        <w:t xml:space="preserve">, </w:t>
      </w:r>
      <w:r w:rsidRPr="00891E21">
        <w:rPr>
          <w:szCs w:val="24"/>
        </w:rPr>
        <w:t>relacionados com a distribuição geográfica, como custos de transporte e mão</w:t>
      </w:r>
      <w:r w:rsidR="004917D6">
        <w:rPr>
          <w:szCs w:val="24"/>
        </w:rPr>
        <w:t>-</w:t>
      </w:r>
      <w:r w:rsidRPr="00891E21">
        <w:rPr>
          <w:szCs w:val="24"/>
        </w:rPr>
        <w:t>de</w:t>
      </w:r>
      <w:r w:rsidR="004917D6">
        <w:rPr>
          <w:szCs w:val="24"/>
        </w:rPr>
        <w:t>-</w:t>
      </w:r>
      <w:r w:rsidRPr="00891E21">
        <w:rPr>
          <w:szCs w:val="24"/>
        </w:rPr>
        <w:t>obra</w:t>
      </w:r>
      <w:r w:rsidR="004917D6">
        <w:rPr>
          <w:szCs w:val="24"/>
        </w:rPr>
        <w:t>)</w:t>
      </w:r>
      <w:r w:rsidRPr="00891E21">
        <w:rPr>
          <w:szCs w:val="24"/>
        </w:rPr>
        <w:t xml:space="preserve"> </w:t>
      </w:r>
      <w:r w:rsidR="009A24E9">
        <w:rPr>
          <w:szCs w:val="24"/>
        </w:rPr>
        <w:t>ou</w:t>
      </w:r>
      <w:r w:rsidR="009A24E9" w:rsidRPr="00891E21">
        <w:rPr>
          <w:szCs w:val="24"/>
        </w:rPr>
        <w:t xml:space="preserve"> </w:t>
      </w:r>
      <w:r w:rsidR="009A24E9">
        <w:rPr>
          <w:szCs w:val="24"/>
        </w:rPr>
        <w:t>l</w:t>
      </w:r>
      <w:r w:rsidRPr="00891E21">
        <w:rPr>
          <w:szCs w:val="24"/>
        </w:rPr>
        <w:t>ocais</w:t>
      </w:r>
      <w:r w:rsidR="004917D6">
        <w:rPr>
          <w:szCs w:val="24"/>
        </w:rPr>
        <w:t xml:space="preserve"> </w:t>
      </w:r>
      <w:r w:rsidR="009A24E9">
        <w:rPr>
          <w:szCs w:val="24"/>
        </w:rPr>
        <w:t>(</w:t>
      </w:r>
      <w:r w:rsidR="009A24E9">
        <w:rPr>
          <w:i/>
          <w:szCs w:val="24"/>
        </w:rPr>
        <w:t>i.e.</w:t>
      </w:r>
      <w:r w:rsidR="009A24E9">
        <w:rPr>
          <w:szCs w:val="24"/>
        </w:rPr>
        <w:t>,</w:t>
      </w:r>
      <w:r w:rsidRPr="00891E21">
        <w:rPr>
          <w:szCs w:val="24"/>
        </w:rPr>
        <w:t xml:space="preserve"> independentes da geografia</w:t>
      </w:r>
      <w:r w:rsidR="004917D6">
        <w:rPr>
          <w:szCs w:val="24"/>
        </w:rPr>
        <w:t xml:space="preserve"> </w:t>
      </w:r>
      <w:r w:rsidR="009A24E9">
        <w:rPr>
          <w:szCs w:val="24"/>
        </w:rPr>
        <w:t>e passíveis de serem</w:t>
      </w:r>
      <w:r w:rsidRPr="00891E21">
        <w:rPr>
          <w:szCs w:val="24"/>
        </w:rPr>
        <w:t xml:space="preserve"> </w:t>
      </w:r>
      <w:r w:rsidR="004917D6">
        <w:rPr>
          <w:szCs w:val="24"/>
        </w:rPr>
        <w:t>sub</w:t>
      </w:r>
      <w:r w:rsidRPr="00891E21">
        <w:rPr>
          <w:szCs w:val="24"/>
        </w:rPr>
        <w:t xml:space="preserve">classificados como aglomerativos </w:t>
      </w:r>
      <w:r w:rsidR="009A24E9">
        <w:rPr>
          <w:szCs w:val="24"/>
        </w:rPr>
        <w:t>ou</w:t>
      </w:r>
      <w:r w:rsidR="009A24E9" w:rsidRPr="00891E21">
        <w:rPr>
          <w:szCs w:val="24"/>
        </w:rPr>
        <w:t xml:space="preserve"> </w:t>
      </w:r>
      <w:r w:rsidRPr="00891E21">
        <w:rPr>
          <w:szCs w:val="24"/>
        </w:rPr>
        <w:t>desaglomerativos</w:t>
      </w:r>
      <w:r w:rsidR="004917D6">
        <w:rPr>
          <w:szCs w:val="24"/>
        </w:rPr>
        <w:t>)</w:t>
      </w:r>
      <w:r w:rsidRPr="00891E21">
        <w:rPr>
          <w:szCs w:val="24"/>
        </w:rPr>
        <w:t>. Mais recentemente, na abordagem da chamada “Nova Geografi</w:t>
      </w:r>
      <w:r>
        <w:rPr>
          <w:szCs w:val="24"/>
        </w:rPr>
        <w:t>a Econômica”, Krugman (1991</w:t>
      </w:r>
      <w:r w:rsidRPr="00891E21">
        <w:rPr>
          <w:szCs w:val="24"/>
        </w:rPr>
        <w:t xml:space="preserve">) refere-se a </w:t>
      </w:r>
      <w:r w:rsidR="00EA1FEE" w:rsidRPr="00891E21">
        <w:rPr>
          <w:szCs w:val="24"/>
        </w:rPr>
        <w:t>es</w:t>
      </w:r>
      <w:r w:rsidR="00EA1FEE">
        <w:rPr>
          <w:szCs w:val="24"/>
        </w:rPr>
        <w:t>s</w:t>
      </w:r>
      <w:r w:rsidR="00EA1FEE" w:rsidRPr="00891E21">
        <w:rPr>
          <w:szCs w:val="24"/>
        </w:rPr>
        <w:t xml:space="preserve">es </w:t>
      </w:r>
      <w:r w:rsidRPr="00891E21">
        <w:rPr>
          <w:szCs w:val="24"/>
        </w:rPr>
        <w:t xml:space="preserve">fatores como forças centrípetas, quando são </w:t>
      </w:r>
      <w:r w:rsidR="00EA1FEE" w:rsidRPr="00891E21">
        <w:rPr>
          <w:szCs w:val="24"/>
        </w:rPr>
        <w:t>estimulador</w:t>
      </w:r>
      <w:r w:rsidR="00EA1FEE">
        <w:rPr>
          <w:szCs w:val="24"/>
        </w:rPr>
        <w:t>e</w:t>
      </w:r>
      <w:r w:rsidR="00EA1FEE" w:rsidRPr="00891E21">
        <w:rPr>
          <w:szCs w:val="24"/>
        </w:rPr>
        <w:t xml:space="preserve">s </w:t>
      </w:r>
      <w:r w:rsidRPr="00891E21">
        <w:rPr>
          <w:szCs w:val="24"/>
        </w:rPr>
        <w:t>da concentração das atividades econômicas</w:t>
      </w:r>
      <w:r w:rsidR="00BF0FD3">
        <w:rPr>
          <w:szCs w:val="24"/>
        </w:rPr>
        <w:t>,</w:t>
      </w:r>
      <w:r w:rsidRPr="00891E21">
        <w:rPr>
          <w:szCs w:val="24"/>
        </w:rPr>
        <w:t xml:space="preserve"> e forças centrífugas, quando se opõem à concentração ou a desestimulam, promovendo assim a desconcentração geográfica.</w:t>
      </w:r>
    </w:p>
    <w:p w:rsidR="00F44A4E" w:rsidRPr="00891E21" w:rsidRDefault="00F44A4E" w:rsidP="002B79A5">
      <w:pPr>
        <w:ind w:firstLine="709"/>
        <w:rPr>
          <w:rStyle w:val="hps"/>
          <w:szCs w:val="24"/>
        </w:rPr>
      </w:pPr>
      <w:r w:rsidRPr="00891E21">
        <w:rPr>
          <w:szCs w:val="24"/>
        </w:rPr>
        <w:t>Na maioria dos trabalhos desenvolvidos utilizando essa</w:t>
      </w:r>
      <w:r>
        <w:rPr>
          <w:szCs w:val="24"/>
        </w:rPr>
        <w:t xml:space="preserve"> nova abordagem de Krugman (1991</w:t>
      </w:r>
      <w:r w:rsidRPr="00891E21">
        <w:rPr>
          <w:szCs w:val="24"/>
        </w:rPr>
        <w:t>) e</w:t>
      </w:r>
      <w:r w:rsidR="00EA1FEE">
        <w:rPr>
          <w:szCs w:val="24"/>
        </w:rPr>
        <w:t xml:space="preserve"> aplicando</w:t>
      </w:r>
      <w:r w:rsidRPr="00891E21">
        <w:rPr>
          <w:szCs w:val="24"/>
        </w:rPr>
        <w:t xml:space="preserve"> medidas de concentração espacial à indústria brasileira, tem-se estudado a indústria de forma agregada</w:t>
      </w:r>
      <w:r w:rsidR="00EA1FEE">
        <w:rPr>
          <w:szCs w:val="24"/>
        </w:rPr>
        <w:t>.</w:t>
      </w:r>
      <w:r w:rsidRPr="00891E21">
        <w:rPr>
          <w:szCs w:val="24"/>
        </w:rPr>
        <w:t xml:space="preserve"> </w:t>
      </w:r>
      <w:r w:rsidR="00EA1FEE">
        <w:rPr>
          <w:szCs w:val="24"/>
        </w:rPr>
        <w:t xml:space="preserve">São </w:t>
      </w:r>
      <w:r w:rsidR="00EA1FEE" w:rsidRPr="00C66C9A">
        <w:rPr>
          <w:szCs w:val="24"/>
        </w:rPr>
        <w:t>incipientes</w:t>
      </w:r>
      <w:r w:rsidR="00EA1FEE">
        <w:rPr>
          <w:szCs w:val="24"/>
        </w:rPr>
        <w:t xml:space="preserve"> os</w:t>
      </w:r>
      <w:r w:rsidR="00BF0FD3">
        <w:rPr>
          <w:szCs w:val="24"/>
        </w:rPr>
        <w:t xml:space="preserve"> recentes </w:t>
      </w:r>
      <w:r w:rsidRPr="00891E21">
        <w:rPr>
          <w:szCs w:val="24"/>
        </w:rPr>
        <w:t>trabalhos que procuram analisar a concentração em nível setorial, como Souza (2002</w:t>
      </w:r>
      <w:r w:rsidR="00EA1FEE" w:rsidRPr="00891E21">
        <w:rPr>
          <w:szCs w:val="24"/>
        </w:rPr>
        <w:t>)</w:t>
      </w:r>
      <w:r w:rsidR="00EA1FEE">
        <w:rPr>
          <w:szCs w:val="24"/>
        </w:rPr>
        <w:t>,</w:t>
      </w:r>
      <w:r w:rsidR="00EA1FEE" w:rsidRPr="00891E21">
        <w:rPr>
          <w:szCs w:val="24"/>
        </w:rPr>
        <w:t xml:space="preserve"> </w:t>
      </w:r>
      <w:r w:rsidRPr="00891E21">
        <w:rPr>
          <w:szCs w:val="24"/>
        </w:rPr>
        <w:t xml:space="preserve">Resende e Wyllie (2005) e Araújo e Lautert (2007). </w:t>
      </w:r>
      <w:r w:rsidR="00BF0FD3">
        <w:rPr>
          <w:szCs w:val="24"/>
        </w:rPr>
        <w:t>Contudo</w:t>
      </w:r>
      <w:r w:rsidR="00BF0FD3">
        <w:rPr>
          <w:rStyle w:val="hps"/>
          <w:szCs w:val="24"/>
        </w:rPr>
        <w:t>, as</w:t>
      </w:r>
      <w:r w:rsidRPr="00891E21">
        <w:rPr>
          <w:rStyle w:val="hps"/>
          <w:szCs w:val="24"/>
        </w:rPr>
        <w:t xml:space="preserve"> medidas de concentração </w:t>
      </w:r>
      <w:r>
        <w:rPr>
          <w:rStyle w:val="hps"/>
          <w:szCs w:val="24"/>
        </w:rPr>
        <w:t xml:space="preserve">utilizadas nesses estudos </w:t>
      </w:r>
      <w:r w:rsidR="00BB5E56">
        <w:rPr>
          <w:rStyle w:val="hps"/>
          <w:szCs w:val="24"/>
        </w:rPr>
        <w:t xml:space="preserve">(a saber: Souza (2002); Resende e Wyllie (2005) e Araújo e Lautert (2007)) </w:t>
      </w:r>
      <w:r w:rsidRPr="00891E21">
        <w:rPr>
          <w:rStyle w:val="hps"/>
          <w:szCs w:val="24"/>
        </w:rPr>
        <w:t>só contabilizam as informações dentro de cada unidade de área</w:t>
      </w:r>
      <w:r>
        <w:rPr>
          <w:rStyle w:val="hps"/>
          <w:szCs w:val="24"/>
        </w:rPr>
        <w:t>, desconsiderando os efeitos de vizinhanças</w:t>
      </w:r>
      <w:r w:rsidRPr="00891E21">
        <w:rPr>
          <w:rStyle w:val="hps"/>
          <w:szCs w:val="24"/>
        </w:rPr>
        <w:t xml:space="preserve">. </w:t>
      </w:r>
      <w:r>
        <w:rPr>
          <w:rStyle w:val="hps"/>
          <w:szCs w:val="24"/>
        </w:rPr>
        <w:t>P</w:t>
      </w:r>
      <w:r w:rsidRPr="00891E21">
        <w:rPr>
          <w:rStyle w:val="hps"/>
          <w:szCs w:val="24"/>
        </w:rPr>
        <w:t xml:space="preserve">or exemplo, o índice de Herfindahl, uma medida absoluta de concentração, assume um cenário econômico homogêneo e não compara a participação relativa de uma determinada variável de interesse com uma distribuição de referência. </w:t>
      </w:r>
      <w:r w:rsidR="00EA1FEE" w:rsidRPr="00891E21">
        <w:rPr>
          <w:rStyle w:val="hps"/>
          <w:szCs w:val="24"/>
        </w:rPr>
        <w:t>E</w:t>
      </w:r>
      <w:r w:rsidR="00EA1FEE">
        <w:rPr>
          <w:rStyle w:val="hps"/>
          <w:szCs w:val="24"/>
        </w:rPr>
        <w:t>m outras palavras, e</w:t>
      </w:r>
      <w:r w:rsidR="00EA1FEE" w:rsidRPr="00891E21">
        <w:rPr>
          <w:rStyle w:val="hps"/>
          <w:szCs w:val="24"/>
        </w:rPr>
        <w:t>s</w:t>
      </w:r>
      <w:r w:rsidR="00EA1FEE">
        <w:rPr>
          <w:rStyle w:val="hps"/>
          <w:szCs w:val="24"/>
        </w:rPr>
        <w:t>s</w:t>
      </w:r>
      <w:r w:rsidR="00EA1FEE" w:rsidRPr="00891E21">
        <w:rPr>
          <w:rStyle w:val="hps"/>
          <w:szCs w:val="24"/>
        </w:rPr>
        <w:t xml:space="preserve">a </w:t>
      </w:r>
      <w:r w:rsidRPr="00891E21">
        <w:rPr>
          <w:rStyle w:val="hps"/>
          <w:szCs w:val="24"/>
        </w:rPr>
        <w:t>estatística não mensura os efeitos de vizinhanças</w:t>
      </w:r>
      <w:r w:rsidR="00C022B3">
        <w:rPr>
          <w:rStyle w:val="hps"/>
          <w:szCs w:val="24"/>
        </w:rPr>
        <w:t xml:space="preserve"> e os resultados obtidos são incompletos, uma vez que ignoram</w:t>
      </w:r>
      <w:r w:rsidRPr="00891E21">
        <w:rPr>
          <w:rStyle w:val="hps"/>
          <w:szCs w:val="24"/>
        </w:rPr>
        <w:t xml:space="preserve"> as permutações do ordenamento espacial das regiões.</w:t>
      </w:r>
    </w:p>
    <w:p w:rsidR="00F44A4E" w:rsidRDefault="00691F22" w:rsidP="002B79A5">
      <w:pPr>
        <w:ind w:firstLine="709"/>
        <w:rPr>
          <w:szCs w:val="24"/>
        </w:rPr>
      </w:pPr>
      <w:r w:rsidRPr="00BB5E56">
        <w:rPr>
          <w:rStyle w:val="hps"/>
          <w:szCs w:val="24"/>
        </w:rPr>
        <w:t xml:space="preserve">O objetivo desse artigo é </w:t>
      </w:r>
      <w:r w:rsidR="00A26498" w:rsidRPr="00BB5E56">
        <w:rPr>
          <w:rStyle w:val="hps"/>
          <w:szCs w:val="24"/>
        </w:rPr>
        <w:t>inovar n</w:t>
      </w:r>
      <w:r w:rsidR="00F44A4E" w:rsidRPr="00BB5E56">
        <w:rPr>
          <w:rStyle w:val="hps"/>
          <w:szCs w:val="24"/>
        </w:rPr>
        <w:t xml:space="preserve">a mensuração </w:t>
      </w:r>
      <w:r w:rsidRPr="00BB5E56">
        <w:rPr>
          <w:rStyle w:val="hps"/>
          <w:szCs w:val="24"/>
        </w:rPr>
        <w:t>desses</w:t>
      </w:r>
      <w:r w:rsidR="00F44A4E" w:rsidRPr="00BB5E56">
        <w:rPr>
          <w:rStyle w:val="hps"/>
          <w:szCs w:val="24"/>
        </w:rPr>
        <w:t xml:space="preserve"> índices</w:t>
      </w:r>
      <w:r w:rsidRPr="00BB5E56">
        <w:rPr>
          <w:rStyle w:val="hps"/>
          <w:szCs w:val="24"/>
        </w:rPr>
        <w:t>, utilizando</w:t>
      </w:r>
      <w:r w:rsidR="00C022B3" w:rsidRPr="00BB5E56">
        <w:rPr>
          <w:rStyle w:val="hps"/>
          <w:szCs w:val="24"/>
        </w:rPr>
        <w:t xml:space="preserve"> </w:t>
      </w:r>
      <w:r w:rsidR="00F44A4E" w:rsidRPr="00BB5E56">
        <w:rPr>
          <w:rStyle w:val="hps"/>
          <w:szCs w:val="24"/>
        </w:rPr>
        <w:t>medidas</w:t>
      </w:r>
      <w:r w:rsidR="00A26498" w:rsidRPr="00BB5E56">
        <w:rPr>
          <w:rStyle w:val="hps"/>
          <w:szCs w:val="24"/>
        </w:rPr>
        <w:t xml:space="preserve"> de concentração industrial </w:t>
      </w:r>
      <w:r w:rsidR="00F44A4E" w:rsidRPr="00BB5E56">
        <w:rPr>
          <w:rStyle w:val="hps"/>
          <w:szCs w:val="24"/>
        </w:rPr>
        <w:t xml:space="preserve">que captem a posição das regiões e </w:t>
      </w:r>
      <w:r w:rsidR="00C022B3" w:rsidRPr="00BB5E56">
        <w:rPr>
          <w:rStyle w:val="hps"/>
          <w:szCs w:val="24"/>
        </w:rPr>
        <w:t>contabilizem</w:t>
      </w:r>
      <w:r w:rsidR="00F44A4E" w:rsidRPr="00BB5E56">
        <w:rPr>
          <w:rStyle w:val="hps"/>
          <w:szCs w:val="24"/>
        </w:rPr>
        <w:t xml:space="preserve"> no espaço os efeitos de vizinhanças</w:t>
      </w:r>
      <w:r w:rsidR="00F44A4E" w:rsidRPr="00891E21">
        <w:rPr>
          <w:rStyle w:val="hps"/>
          <w:szCs w:val="24"/>
        </w:rPr>
        <w:t xml:space="preserve">. </w:t>
      </w:r>
      <w:r w:rsidR="00C022B3">
        <w:rPr>
          <w:rStyle w:val="hps"/>
          <w:szCs w:val="24"/>
        </w:rPr>
        <w:t xml:space="preserve">Com essas medidas, é possível </w:t>
      </w:r>
      <w:r w:rsidR="00F44A4E" w:rsidRPr="00891E21">
        <w:rPr>
          <w:szCs w:val="24"/>
        </w:rPr>
        <w:t xml:space="preserve">agrupar </w:t>
      </w:r>
      <w:r w:rsidR="00C022B3">
        <w:rPr>
          <w:szCs w:val="24"/>
        </w:rPr>
        <w:t>regiões</w:t>
      </w:r>
      <w:r w:rsidR="00F44A4E" w:rsidRPr="00891E21">
        <w:rPr>
          <w:szCs w:val="24"/>
        </w:rPr>
        <w:t>, abrindo a possibilidade de incorporar à análise o conjunto de cada aglomeração industrial e todas as possíveis relações inter-setoriais da indústri</w:t>
      </w:r>
      <w:r w:rsidR="00752FF0">
        <w:rPr>
          <w:szCs w:val="24"/>
        </w:rPr>
        <w:t xml:space="preserve">a que ultrapassam as fronteiras </w:t>
      </w:r>
      <w:r w:rsidR="00F44A4E" w:rsidRPr="00891E21">
        <w:rPr>
          <w:szCs w:val="24"/>
        </w:rPr>
        <w:t>municipai</w:t>
      </w:r>
      <w:r w:rsidR="00752FF0">
        <w:rPr>
          <w:szCs w:val="24"/>
        </w:rPr>
        <w:t>s e microrregionais específicas.</w:t>
      </w:r>
    </w:p>
    <w:p w:rsidR="000819BB" w:rsidRDefault="003177CF" w:rsidP="002B79A5">
      <w:pPr>
        <w:ind w:firstLine="709"/>
        <w:rPr>
          <w:rStyle w:val="apple-converted-space"/>
          <w:rFonts w:eastAsia="Batang"/>
        </w:rPr>
      </w:pPr>
      <w:r>
        <w:t>Em última instância</w:t>
      </w:r>
      <w:r>
        <w:rPr>
          <w:szCs w:val="24"/>
          <w:lang w:eastAsia="en-US"/>
        </w:rPr>
        <w:t>, é possível analisar</w:t>
      </w:r>
      <w:r w:rsidR="000819BB" w:rsidRPr="00891E21">
        <w:rPr>
          <w:rStyle w:val="apple-converted-space"/>
          <w:rFonts w:eastAsia="Batang"/>
        </w:rPr>
        <w:t xml:space="preserve"> </w:t>
      </w:r>
      <w:r w:rsidR="000819BB">
        <w:rPr>
          <w:rStyle w:val="apple-converted-space"/>
          <w:rFonts w:eastAsia="Batang"/>
        </w:rPr>
        <w:t>como a contabilização d</w:t>
      </w:r>
      <w:r w:rsidR="000819BB" w:rsidRPr="00891E21">
        <w:rPr>
          <w:rStyle w:val="apple-converted-space"/>
          <w:rFonts w:eastAsia="Batang"/>
        </w:rPr>
        <w:t>os efeitos de vizinhança, nas medidas de concentração espacial</w:t>
      </w:r>
      <w:r w:rsidR="003D6D80">
        <w:rPr>
          <w:rStyle w:val="apple-converted-space"/>
          <w:rFonts w:eastAsia="Batang"/>
        </w:rPr>
        <w:t>mente ponderadas</w:t>
      </w:r>
      <w:r w:rsidR="000819BB" w:rsidRPr="00891E21">
        <w:rPr>
          <w:rStyle w:val="apple-converted-space"/>
          <w:rFonts w:eastAsia="Batang"/>
        </w:rPr>
        <w:t xml:space="preserve">, influenciam nas possíveis transformações no </w:t>
      </w:r>
      <w:r w:rsidR="000819BB" w:rsidRPr="00891E21">
        <w:rPr>
          <w:rStyle w:val="apple-converted-space"/>
          <w:rFonts w:eastAsia="Batang"/>
          <w:i/>
        </w:rPr>
        <w:t>status</w:t>
      </w:r>
      <w:r w:rsidR="000819BB" w:rsidRPr="00891E21">
        <w:rPr>
          <w:rStyle w:val="apple-converted-space"/>
          <w:rFonts w:eastAsia="Batang"/>
        </w:rPr>
        <w:t xml:space="preserve"> </w:t>
      </w:r>
      <w:r w:rsidR="000819BB">
        <w:rPr>
          <w:rStyle w:val="apple-converted-space"/>
          <w:rFonts w:eastAsia="Batang"/>
        </w:rPr>
        <w:t xml:space="preserve">dos </w:t>
      </w:r>
      <w:r w:rsidR="000819BB" w:rsidRPr="00891E21">
        <w:rPr>
          <w:rStyle w:val="apple-converted-space"/>
          <w:rFonts w:eastAsia="Batang"/>
        </w:rPr>
        <w:t>setores e mesor</w:t>
      </w:r>
      <w:r w:rsidR="000819BB">
        <w:rPr>
          <w:rStyle w:val="apple-converted-space"/>
          <w:rFonts w:eastAsia="Batang"/>
        </w:rPr>
        <w:t>r</w:t>
      </w:r>
      <w:r w:rsidR="000819BB" w:rsidRPr="00891E21">
        <w:rPr>
          <w:rStyle w:val="apple-converted-space"/>
          <w:rFonts w:eastAsia="Batang"/>
        </w:rPr>
        <w:t>egiões em relação à indústria brasileira nos anos de 199</w:t>
      </w:r>
      <w:r w:rsidR="000819BB">
        <w:rPr>
          <w:rStyle w:val="apple-converted-space"/>
          <w:rFonts w:eastAsia="Batang"/>
        </w:rPr>
        <w:t>5-2</w:t>
      </w:r>
      <w:r w:rsidR="000819BB" w:rsidRPr="00891E21">
        <w:rPr>
          <w:rStyle w:val="apple-converted-space"/>
          <w:rFonts w:eastAsia="Batang"/>
        </w:rPr>
        <w:t>010.</w:t>
      </w:r>
    </w:p>
    <w:p w:rsidR="007E177E" w:rsidRDefault="003177CF" w:rsidP="002B79A5">
      <w:pPr>
        <w:pStyle w:val="Recuodecorpodetexto"/>
        <w:spacing w:after="0"/>
        <w:ind w:left="0" w:firstLine="709"/>
        <w:rPr>
          <w:szCs w:val="24"/>
        </w:rPr>
      </w:pPr>
      <w:r>
        <w:rPr>
          <w:szCs w:val="24"/>
          <w:lang w:eastAsia="en-US"/>
        </w:rPr>
        <w:t xml:space="preserve">Este artigo </w:t>
      </w:r>
      <w:r>
        <w:rPr>
          <w:szCs w:val="24"/>
        </w:rPr>
        <w:t xml:space="preserve">está </w:t>
      </w:r>
      <w:r w:rsidR="00E11DBA" w:rsidRPr="00644039">
        <w:rPr>
          <w:szCs w:val="24"/>
        </w:rPr>
        <w:t xml:space="preserve">estruturado em </w:t>
      </w:r>
      <w:r>
        <w:rPr>
          <w:szCs w:val="24"/>
        </w:rPr>
        <w:t>cinco</w:t>
      </w:r>
      <w:r w:rsidRPr="00644039">
        <w:rPr>
          <w:szCs w:val="24"/>
        </w:rPr>
        <w:t xml:space="preserve"> </w:t>
      </w:r>
      <w:r w:rsidR="000819BB">
        <w:rPr>
          <w:szCs w:val="24"/>
        </w:rPr>
        <w:t xml:space="preserve">seções, </w:t>
      </w:r>
      <w:r>
        <w:rPr>
          <w:szCs w:val="24"/>
        </w:rPr>
        <w:t>incluindo esta</w:t>
      </w:r>
      <w:r w:rsidR="00E11DBA" w:rsidRPr="00644039">
        <w:rPr>
          <w:szCs w:val="24"/>
        </w:rPr>
        <w:t xml:space="preserve"> </w:t>
      </w:r>
      <w:r>
        <w:rPr>
          <w:szCs w:val="24"/>
        </w:rPr>
        <w:t>I</w:t>
      </w:r>
      <w:r w:rsidRPr="00644039">
        <w:rPr>
          <w:szCs w:val="24"/>
        </w:rPr>
        <w:t xml:space="preserve">ntrodução </w:t>
      </w:r>
      <w:r w:rsidR="00E11DBA" w:rsidRPr="00644039">
        <w:rPr>
          <w:szCs w:val="24"/>
        </w:rPr>
        <w:t xml:space="preserve">e as </w:t>
      </w:r>
      <w:r>
        <w:rPr>
          <w:szCs w:val="24"/>
        </w:rPr>
        <w:t>C</w:t>
      </w:r>
      <w:r w:rsidRPr="00644039">
        <w:rPr>
          <w:szCs w:val="24"/>
        </w:rPr>
        <w:t xml:space="preserve">onsiderações </w:t>
      </w:r>
      <w:r>
        <w:rPr>
          <w:szCs w:val="24"/>
        </w:rPr>
        <w:t>F</w:t>
      </w:r>
      <w:r w:rsidRPr="00644039">
        <w:rPr>
          <w:szCs w:val="24"/>
        </w:rPr>
        <w:t>inais</w:t>
      </w:r>
      <w:r w:rsidR="00E11DBA" w:rsidRPr="00644039">
        <w:rPr>
          <w:szCs w:val="24"/>
        </w:rPr>
        <w:t>. N</w:t>
      </w:r>
      <w:r w:rsidR="000819BB">
        <w:rPr>
          <w:szCs w:val="24"/>
        </w:rPr>
        <w:t xml:space="preserve">a </w:t>
      </w:r>
      <w:r>
        <w:rPr>
          <w:szCs w:val="24"/>
        </w:rPr>
        <w:t>Seção 2, apresenta-se</w:t>
      </w:r>
      <w:r w:rsidR="00E11DBA" w:rsidRPr="00644039">
        <w:rPr>
          <w:szCs w:val="24"/>
        </w:rPr>
        <w:t xml:space="preserve"> uma </w:t>
      </w:r>
      <w:r w:rsidR="000819BB">
        <w:rPr>
          <w:szCs w:val="24"/>
        </w:rPr>
        <w:t xml:space="preserve">breve </w:t>
      </w:r>
      <w:r w:rsidR="00E11DBA" w:rsidRPr="00644039">
        <w:rPr>
          <w:szCs w:val="24"/>
        </w:rPr>
        <w:t xml:space="preserve">revisão teórica dos principais trabalhos sobre concentração </w:t>
      </w:r>
      <w:r w:rsidRPr="00644039">
        <w:rPr>
          <w:szCs w:val="24"/>
        </w:rPr>
        <w:t>industria</w:t>
      </w:r>
      <w:r>
        <w:rPr>
          <w:szCs w:val="24"/>
        </w:rPr>
        <w:t>l</w:t>
      </w:r>
      <w:r w:rsidRPr="00644039">
        <w:rPr>
          <w:szCs w:val="24"/>
        </w:rPr>
        <w:t xml:space="preserve"> </w:t>
      </w:r>
      <w:r w:rsidR="00BF0FD3">
        <w:rPr>
          <w:szCs w:val="24"/>
        </w:rPr>
        <w:t>e</w:t>
      </w:r>
      <w:r>
        <w:rPr>
          <w:szCs w:val="24"/>
        </w:rPr>
        <w:t>nfocados na realidade brasileira</w:t>
      </w:r>
      <w:r w:rsidR="00E11DBA" w:rsidRPr="00644039">
        <w:rPr>
          <w:szCs w:val="24"/>
        </w:rPr>
        <w:t xml:space="preserve">. </w:t>
      </w:r>
      <w:r w:rsidR="000819BB">
        <w:rPr>
          <w:szCs w:val="24"/>
        </w:rPr>
        <w:t xml:space="preserve">A </w:t>
      </w:r>
      <w:r>
        <w:rPr>
          <w:szCs w:val="24"/>
        </w:rPr>
        <w:t>S</w:t>
      </w:r>
      <w:r w:rsidR="000819BB">
        <w:rPr>
          <w:szCs w:val="24"/>
        </w:rPr>
        <w:t xml:space="preserve">eção </w:t>
      </w:r>
      <w:r>
        <w:rPr>
          <w:szCs w:val="24"/>
        </w:rPr>
        <w:t xml:space="preserve">3 descreve </w:t>
      </w:r>
      <w:r w:rsidR="000819BB">
        <w:rPr>
          <w:szCs w:val="24"/>
        </w:rPr>
        <w:t xml:space="preserve">a metodologia utilizada </w:t>
      </w:r>
      <w:r>
        <w:rPr>
          <w:szCs w:val="24"/>
        </w:rPr>
        <w:t xml:space="preserve">para cálculo dos </w:t>
      </w:r>
      <w:r w:rsidR="000819BB">
        <w:rPr>
          <w:szCs w:val="24"/>
        </w:rPr>
        <w:t>índices de concentração espacialmente ponderados</w:t>
      </w:r>
      <w:r w:rsidR="00E11DBA" w:rsidRPr="00644039">
        <w:rPr>
          <w:szCs w:val="24"/>
        </w:rPr>
        <w:t xml:space="preserve">. </w:t>
      </w:r>
      <w:r w:rsidR="00BF0FD3">
        <w:rPr>
          <w:szCs w:val="24"/>
        </w:rPr>
        <w:t>E, por fim, a</w:t>
      </w:r>
      <w:r>
        <w:rPr>
          <w:szCs w:val="24"/>
        </w:rPr>
        <w:t xml:space="preserve"> Seção 4 contém a análise d</w:t>
      </w:r>
      <w:r w:rsidR="00E11DBA" w:rsidRPr="00644039">
        <w:rPr>
          <w:szCs w:val="24"/>
        </w:rPr>
        <w:t>os resultados obtidos.</w:t>
      </w:r>
    </w:p>
    <w:p w:rsidR="006C22A8" w:rsidRDefault="006C22A8" w:rsidP="006C22A8">
      <w:pPr>
        <w:spacing w:line="360" w:lineRule="auto"/>
      </w:pPr>
    </w:p>
    <w:p w:rsidR="002B79A5" w:rsidRDefault="002B79A5" w:rsidP="006C22A8">
      <w:pPr>
        <w:spacing w:line="360" w:lineRule="auto"/>
      </w:pPr>
    </w:p>
    <w:p w:rsidR="000812DF" w:rsidRPr="00891E21" w:rsidRDefault="000812DF" w:rsidP="006C22A8">
      <w:pPr>
        <w:spacing w:line="360" w:lineRule="auto"/>
      </w:pPr>
    </w:p>
    <w:p w:rsidR="006C22A8" w:rsidRPr="00367F92" w:rsidRDefault="006C22A8" w:rsidP="006C22A8">
      <w:pPr>
        <w:spacing w:line="360" w:lineRule="auto"/>
        <w:rPr>
          <w:b/>
        </w:rPr>
      </w:pPr>
      <w:proofErr w:type="gramStart"/>
      <w:r w:rsidRPr="00367F92">
        <w:rPr>
          <w:b/>
        </w:rPr>
        <w:lastRenderedPageBreak/>
        <w:t>2</w:t>
      </w:r>
      <w:proofErr w:type="gramEnd"/>
      <w:r w:rsidRPr="00367F92">
        <w:rPr>
          <w:b/>
        </w:rPr>
        <w:t xml:space="preserve"> CONCENTRAÇÃO INTER-SETORIAL DA INDÚSTRIA E SUAS APLICAÇÕES</w:t>
      </w:r>
      <w:r w:rsidR="000812DF" w:rsidRPr="00367F92">
        <w:rPr>
          <w:b/>
        </w:rPr>
        <w:t xml:space="preserve"> PARA O BRASIL</w:t>
      </w:r>
    </w:p>
    <w:p w:rsidR="006C22A8" w:rsidRPr="00891E21" w:rsidRDefault="006C22A8" w:rsidP="002B79A5">
      <w:pPr>
        <w:autoSpaceDE w:val="0"/>
        <w:autoSpaceDN w:val="0"/>
        <w:adjustRightInd w:val="0"/>
        <w:ind w:firstLine="709"/>
        <w:rPr>
          <w:bCs/>
          <w:szCs w:val="24"/>
          <w:lang w:eastAsia="en-US"/>
        </w:rPr>
      </w:pPr>
      <w:r w:rsidRPr="00891E21">
        <w:rPr>
          <w:bCs/>
          <w:szCs w:val="24"/>
          <w:lang w:eastAsia="en-US"/>
        </w:rPr>
        <w:t xml:space="preserve">Nesta </w:t>
      </w:r>
      <w:r w:rsidR="00324B90" w:rsidRPr="00891E21">
        <w:rPr>
          <w:bCs/>
          <w:szCs w:val="24"/>
          <w:lang w:eastAsia="en-US"/>
        </w:rPr>
        <w:t>seção</w:t>
      </w:r>
      <w:r w:rsidR="00324B90">
        <w:rPr>
          <w:bCs/>
          <w:szCs w:val="24"/>
          <w:lang w:eastAsia="en-US"/>
        </w:rPr>
        <w:t>,</w:t>
      </w:r>
      <w:r w:rsidR="00324B90" w:rsidRPr="00891E21">
        <w:rPr>
          <w:bCs/>
          <w:szCs w:val="24"/>
          <w:lang w:eastAsia="en-US"/>
        </w:rPr>
        <w:t xml:space="preserve"> </w:t>
      </w:r>
      <w:r w:rsidRPr="00891E21">
        <w:rPr>
          <w:bCs/>
          <w:szCs w:val="24"/>
          <w:lang w:eastAsia="en-US"/>
        </w:rPr>
        <w:t xml:space="preserve">apresentam-se alguns trabalhos importantes sobre </w:t>
      </w:r>
      <w:r w:rsidR="00324B90">
        <w:rPr>
          <w:bCs/>
          <w:szCs w:val="24"/>
          <w:lang w:eastAsia="en-US"/>
        </w:rPr>
        <w:t xml:space="preserve">a </w:t>
      </w:r>
      <w:r w:rsidRPr="00891E21">
        <w:rPr>
          <w:bCs/>
          <w:szCs w:val="24"/>
          <w:lang w:eastAsia="en-US"/>
        </w:rPr>
        <w:t xml:space="preserve">concentração industrial no Brasil </w:t>
      </w:r>
      <w:r w:rsidR="00324B90">
        <w:rPr>
          <w:bCs/>
          <w:szCs w:val="24"/>
          <w:lang w:eastAsia="en-US"/>
        </w:rPr>
        <w:t>com base n</w:t>
      </w:r>
      <w:r w:rsidRPr="00891E21">
        <w:rPr>
          <w:bCs/>
          <w:szCs w:val="24"/>
          <w:lang w:eastAsia="en-US"/>
        </w:rPr>
        <w:t>o índice de Ellison e Glaeser para períodos isolados no tempo. Não fo</w:t>
      </w:r>
      <w:r>
        <w:rPr>
          <w:bCs/>
          <w:szCs w:val="24"/>
          <w:lang w:eastAsia="en-US"/>
        </w:rPr>
        <w:t xml:space="preserve">ram encontrados </w:t>
      </w:r>
      <w:r w:rsidRPr="00891E21">
        <w:rPr>
          <w:bCs/>
          <w:szCs w:val="24"/>
          <w:lang w:eastAsia="en-US"/>
        </w:rPr>
        <w:t xml:space="preserve">muitos trabalhos </w:t>
      </w:r>
      <w:r w:rsidR="00324B90">
        <w:rPr>
          <w:bCs/>
          <w:szCs w:val="24"/>
          <w:lang w:eastAsia="en-US"/>
        </w:rPr>
        <w:t xml:space="preserve">que adotaram </w:t>
      </w:r>
      <w:r w:rsidRPr="00891E21">
        <w:rPr>
          <w:bCs/>
          <w:szCs w:val="24"/>
          <w:lang w:eastAsia="en-US"/>
        </w:rPr>
        <w:t xml:space="preserve">esse indicador de concentração </w:t>
      </w:r>
      <w:r w:rsidR="00FC76BF">
        <w:rPr>
          <w:bCs/>
          <w:szCs w:val="24"/>
          <w:lang w:eastAsia="en-US"/>
        </w:rPr>
        <w:t>p</w:t>
      </w:r>
      <w:r w:rsidR="00324B90">
        <w:rPr>
          <w:bCs/>
          <w:szCs w:val="24"/>
          <w:lang w:eastAsia="en-US"/>
        </w:rPr>
        <w:t>ara a análise de</w:t>
      </w:r>
      <w:r w:rsidRPr="00891E21">
        <w:rPr>
          <w:bCs/>
          <w:szCs w:val="24"/>
          <w:lang w:eastAsia="en-US"/>
        </w:rPr>
        <w:t xml:space="preserve"> um período de tempo prolongado, ou seja, </w:t>
      </w:r>
      <w:r w:rsidR="00324B90">
        <w:rPr>
          <w:bCs/>
          <w:szCs w:val="24"/>
          <w:lang w:eastAsia="en-US"/>
        </w:rPr>
        <w:t xml:space="preserve">para a investigação da sua evolução </w:t>
      </w:r>
      <w:r w:rsidRPr="00891E21">
        <w:rPr>
          <w:bCs/>
          <w:szCs w:val="24"/>
          <w:lang w:eastAsia="en-US"/>
        </w:rPr>
        <w:t xml:space="preserve">ao longo dos anos.  </w:t>
      </w:r>
    </w:p>
    <w:p w:rsidR="006C22A8" w:rsidRPr="00891E21" w:rsidRDefault="006C22A8" w:rsidP="002B79A5">
      <w:pPr>
        <w:autoSpaceDE w:val="0"/>
        <w:autoSpaceDN w:val="0"/>
        <w:adjustRightInd w:val="0"/>
        <w:ind w:firstLine="709"/>
        <w:rPr>
          <w:szCs w:val="24"/>
        </w:rPr>
      </w:pPr>
      <w:r w:rsidRPr="00124B51">
        <w:rPr>
          <w:szCs w:val="24"/>
        </w:rPr>
        <w:t>Biderman (2004)</w:t>
      </w:r>
      <w:r w:rsidR="005A4DB6">
        <w:rPr>
          <w:szCs w:val="24"/>
        </w:rPr>
        <w:t xml:space="preserve"> investigou </w:t>
      </w:r>
      <w:r w:rsidRPr="00124B51">
        <w:rPr>
          <w:szCs w:val="24"/>
        </w:rPr>
        <w:t xml:space="preserve">como o processo </w:t>
      </w:r>
      <w:r w:rsidR="00FC76BF">
        <w:rPr>
          <w:szCs w:val="24"/>
        </w:rPr>
        <w:t xml:space="preserve">da concentração industrial </w:t>
      </w:r>
      <w:r w:rsidRPr="00124B51">
        <w:rPr>
          <w:szCs w:val="24"/>
          <w:lang w:eastAsia="en-US"/>
        </w:rPr>
        <w:t xml:space="preserve">pode ser compreendido a partir de um modelo dinâmico </w:t>
      </w:r>
      <w:r w:rsidR="00D103AB">
        <w:rPr>
          <w:szCs w:val="24"/>
          <w:lang w:eastAsia="en-US"/>
        </w:rPr>
        <w:t>pelo</w:t>
      </w:r>
      <w:r w:rsidR="005A4DB6">
        <w:rPr>
          <w:szCs w:val="24"/>
          <w:lang w:eastAsia="en-US"/>
        </w:rPr>
        <w:t xml:space="preserve"> qual</w:t>
      </w:r>
      <w:r w:rsidR="005A4DB6" w:rsidRPr="00124B51">
        <w:rPr>
          <w:szCs w:val="24"/>
          <w:lang w:eastAsia="en-US"/>
        </w:rPr>
        <w:t xml:space="preserve"> </w:t>
      </w:r>
      <w:r w:rsidRPr="00124B51">
        <w:rPr>
          <w:szCs w:val="24"/>
          <w:lang w:eastAsia="en-US"/>
        </w:rPr>
        <w:t>as empresas decidem simultaneamente a sua localização</w:t>
      </w:r>
      <w:r w:rsidR="00D103AB">
        <w:rPr>
          <w:szCs w:val="24"/>
          <w:lang w:eastAsia="en-US"/>
        </w:rPr>
        <w:t>. Em uma análise d</w:t>
      </w:r>
      <w:r w:rsidRPr="00124B51">
        <w:rPr>
          <w:szCs w:val="24"/>
        </w:rPr>
        <w:t xml:space="preserve">a concentração em função da qualificação dos setores da indústria, o primeiro aspecto que chamou a atenção é que os setores menos qualificados são originalmente concentrados enquanto </w:t>
      </w:r>
      <w:r w:rsidR="00A55B7C" w:rsidRPr="00124B51">
        <w:rPr>
          <w:szCs w:val="24"/>
        </w:rPr>
        <w:t>os mais qualificados</w:t>
      </w:r>
      <w:r w:rsidR="00A55B7C">
        <w:rPr>
          <w:szCs w:val="24"/>
        </w:rPr>
        <w:t>, intensivos</w:t>
      </w:r>
      <w:r>
        <w:rPr>
          <w:szCs w:val="24"/>
        </w:rPr>
        <w:t xml:space="preserve"> em mão-de-obra qualificada e tecnologia,</w:t>
      </w:r>
      <w:r w:rsidRPr="00124B51">
        <w:rPr>
          <w:szCs w:val="24"/>
        </w:rPr>
        <w:t xml:space="preserve"> são originalmente desconcentrados. </w:t>
      </w:r>
      <w:r w:rsidR="00D103AB">
        <w:rPr>
          <w:szCs w:val="24"/>
        </w:rPr>
        <w:t>Subsequentemente, observou-se que, para ambos os tipos de setores,</w:t>
      </w:r>
      <w:r w:rsidRPr="00124B51">
        <w:rPr>
          <w:szCs w:val="24"/>
        </w:rPr>
        <w:t xml:space="preserve"> </w:t>
      </w:r>
      <w:r w:rsidR="00D103AB">
        <w:rPr>
          <w:szCs w:val="24"/>
        </w:rPr>
        <w:t>houve uma redução</w:t>
      </w:r>
      <w:r w:rsidRPr="00124B51">
        <w:rPr>
          <w:szCs w:val="24"/>
        </w:rPr>
        <w:t xml:space="preserve"> </w:t>
      </w:r>
      <w:r w:rsidR="00D103AB">
        <w:rPr>
          <w:szCs w:val="24"/>
        </w:rPr>
        <w:t>d</w:t>
      </w:r>
      <w:r w:rsidRPr="00124B51">
        <w:rPr>
          <w:szCs w:val="24"/>
        </w:rPr>
        <w:t xml:space="preserve">o grau de concentração </w:t>
      </w:r>
      <w:r w:rsidR="00D103AB">
        <w:rPr>
          <w:szCs w:val="24"/>
        </w:rPr>
        <w:t>ao longo do tempo. O</w:t>
      </w:r>
      <w:r w:rsidRPr="00124B51">
        <w:rPr>
          <w:szCs w:val="24"/>
        </w:rPr>
        <w:t xml:space="preserve"> ritmo </w:t>
      </w:r>
      <w:r w:rsidR="00D103AB">
        <w:rPr>
          <w:szCs w:val="24"/>
        </w:rPr>
        <w:t>de desconcentração foi</w:t>
      </w:r>
      <w:r w:rsidR="00D103AB" w:rsidRPr="00124B51">
        <w:rPr>
          <w:szCs w:val="24"/>
        </w:rPr>
        <w:t xml:space="preserve"> </w:t>
      </w:r>
      <w:r w:rsidRPr="00124B51">
        <w:rPr>
          <w:szCs w:val="24"/>
        </w:rPr>
        <w:t>maior para os setores menos qualificados</w:t>
      </w:r>
      <w:r w:rsidR="00D103AB">
        <w:rPr>
          <w:szCs w:val="24"/>
        </w:rPr>
        <w:t>, os quais haviam partido de um nível mais elevado</w:t>
      </w:r>
      <w:r w:rsidRPr="00124B51">
        <w:rPr>
          <w:szCs w:val="24"/>
        </w:rPr>
        <w:t>. A velo</w:t>
      </w:r>
      <w:r w:rsidRPr="00891E21">
        <w:rPr>
          <w:szCs w:val="24"/>
        </w:rPr>
        <w:t xml:space="preserve">cidade de desconcentração das indústrias menos qualificadas só foi maior, pois partiu de um nível mais elevado. O resultado para os setores mais concentrados foi o esperado, pois em princípio as perdas de escala </w:t>
      </w:r>
      <w:r w:rsidR="00FD4FF0">
        <w:rPr>
          <w:szCs w:val="24"/>
        </w:rPr>
        <w:t>tendem a</w:t>
      </w:r>
      <w:r w:rsidR="00FD4FF0" w:rsidRPr="00891E21">
        <w:rPr>
          <w:szCs w:val="24"/>
        </w:rPr>
        <w:t xml:space="preserve"> </w:t>
      </w:r>
      <w:r w:rsidRPr="00891E21">
        <w:rPr>
          <w:szCs w:val="24"/>
        </w:rPr>
        <w:t>aumentar com a concentração. O resultado para os setores originalmente desconcentrados foi também compatível com o que se esperava. Tais setores não variaram significativamente</w:t>
      </w:r>
      <w:r w:rsidR="00FD4FF0">
        <w:rPr>
          <w:szCs w:val="24"/>
        </w:rPr>
        <w:t>, ou seja, não houve variação n</w:t>
      </w:r>
      <w:r w:rsidRPr="00891E21">
        <w:rPr>
          <w:szCs w:val="24"/>
        </w:rPr>
        <w:t xml:space="preserve">o </w:t>
      </w:r>
      <w:r w:rsidR="00FD4FF0">
        <w:rPr>
          <w:szCs w:val="24"/>
        </w:rPr>
        <w:t xml:space="preserve">seu </w:t>
      </w:r>
      <w:r w:rsidRPr="00891E21">
        <w:rPr>
          <w:szCs w:val="24"/>
        </w:rPr>
        <w:t xml:space="preserve">grau de concentração ao longo da década (1991-2001). </w:t>
      </w:r>
    </w:p>
    <w:p w:rsidR="006C22A8" w:rsidRPr="00891E21" w:rsidRDefault="006C22A8" w:rsidP="002B79A5">
      <w:pPr>
        <w:autoSpaceDE w:val="0"/>
        <w:autoSpaceDN w:val="0"/>
        <w:adjustRightInd w:val="0"/>
        <w:ind w:firstLine="709"/>
        <w:rPr>
          <w:szCs w:val="24"/>
        </w:rPr>
      </w:pPr>
      <w:r w:rsidRPr="00891E21">
        <w:rPr>
          <w:szCs w:val="24"/>
        </w:rPr>
        <w:t xml:space="preserve">A origem da concentração pode ser tanto de </w:t>
      </w:r>
      <w:r w:rsidRPr="00891E21">
        <w:rPr>
          <w:i/>
          <w:szCs w:val="24"/>
        </w:rPr>
        <w:t>spillovers</w:t>
      </w:r>
      <w:r w:rsidRPr="00891E21">
        <w:rPr>
          <w:szCs w:val="24"/>
        </w:rPr>
        <w:t xml:space="preserve"> quanto de vantagens naturais. Não há nada que diga que um setor de baixa qualificação não dependa de algum recurso natural. Tomando um </w:t>
      </w:r>
      <w:proofErr w:type="gramStart"/>
      <w:r w:rsidRPr="00891E21">
        <w:rPr>
          <w:szCs w:val="24"/>
        </w:rPr>
        <w:t>sub</w:t>
      </w:r>
      <w:r w:rsidR="00A55B7C">
        <w:rPr>
          <w:szCs w:val="24"/>
        </w:rPr>
        <w:t>-</w:t>
      </w:r>
      <w:r w:rsidRPr="00891E21">
        <w:rPr>
          <w:szCs w:val="24"/>
        </w:rPr>
        <w:t>grupo</w:t>
      </w:r>
      <w:proofErr w:type="gramEnd"/>
      <w:r w:rsidRPr="00891E21">
        <w:rPr>
          <w:szCs w:val="24"/>
        </w:rPr>
        <w:t xml:space="preserve"> dos setores de baixa qualificação, os serviços pessoais, o resultado se mantém. No entanto, para os setores menos qualificados, em geral, foi significativamente maior do que para os serviços pessoais, enquanto os efeitos da heterogeneidade para os setores dos serviços pessoais foram mais pronunciados do que para os demais setores de baixa qualificação. O resultado foi que a desconcentração total é maior para os setores </w:t>
      </w:r>
      <w:r w:rsidR="002846FD">
        <w:rPr>
          <w:szCs w:val="24"/>
        </w:rPr>
        <w:t>menos qualificados.</w:t>
      </w:r>
      <w:r w:rsidRPr="00891E21">
        <w:rPr>
          <w:szCs w:val="24"/>
        </w:rPr>
        <w:t xml:space="preserve"> A redução da concentração dos setores de baixa qualificação foi compatível com a queda nos custos de transporte. Isto implicaria uma queda nas vantagens de aglomeração e, portanto, diminuição do incentivo à concentração. Também foi razoável um efeito menos pronunciado nos setores mais qualificados. Isto porque estes setores devem estar mais próximos da mão</w:t>
      </w:r>
      <w:r w:rsidR="00A55B7C">
        <w:rPr>
          <w:szCs w:val="24"/>
        </w:rPr>
        <w:t>-</w:t>
      </w:r>
      <w:r w:rsidRPr="00891E21">
        <w:rPr>
          <w:szCs w:val="24"/>
        </w:rPr>
        <w:t>de</w:t>
      </w:r>
      <w:r w:rsidR="00A55B7C">
        <w:rPr>
          <w:szCs w:val="24"/>
        </w:rPr>
        <w:t>-</w:t>
      </w:r>
      <w:r w:rsidRPr="00891E21">
        <w:rPr>
          <w:szCs w:val="24"/>
        </w:rPr>
        <w:t>obra qualificada que, em princípio, não foi afetada pela redução no custo de transportes. No entanto, o baixo grau de concentração dos setores qualificados não é perfeitamente compatível com a teoria. Setores de alta qualificação deveriam se localizar onde há concentração de mão</w:t>
      </w:r>
      <w:r w:rsidR="00A55B7C">
        <w:rPr>
          <w:szCs w:val="24"/>
        </w:rPr>
        <w:t>-</w:t>
      </w:r>
      <w:r w:rsidRPr="00891E21">
        <w:rPr>
          <w:szCs w:val="24"/>
        </w:rPr>
        <w:t>de</w:t>
      </w:r>
      <w:r w:rsidR="00A55B7C">
        <w:rPr>
          <w:szCs w:val="24"/>
        </w:rPr>
        <w:t>-</w:t>
      </w:r>
      <w:r w:rsidRPr="00891E21">
        <w:rPr>
          <w:szCs w:val="24"/>
        </w:rPr>
        <w:t>obra qualificada (BIDERMAN, 2004).</w:t>
      </w:r>
    </w:p>
    <w:p w:rsidR="006C22A8" w:rsidRPr="00891E21" w:rsidRDefault="006C22A8" w:rsidP="002B79A5">
      <w:pPr>
        <w:autoSpaceDE w:val="0"/>
        <w:autoSpaceDN w:val="0"/>
        <w:adjustRightInd w:val="0"/>
        <w:ind w:firstLine="709"/>
        <w:rPr>
          <w:szCs w:val="24"/>
        </w:rPr>
      </w:pPr>
      <w:r w:rsidRPr="00891E21">
        <w:rPr>
          <w:szCs w:val="24"/>
        </w:rPr>
        <w:t xml:space="preserve">Resende e Wyllie (2005) </w:t>
      </w:r>
      <w:r w:rsidR="00AD0E21" w:rsidRPr="00891E21">
        <w:rPr>
          <w:szCs w:val="24"/>
        </w:rPr>
        <w:t>medi</w:t>
      </w:r>
      <w:r w:rsidR="00AD0E21">
        <w:rPr>
          <w:szCs w:val="24"/>
        </w:rPr>
        <w:t>ram</w:t>
      </w:r>
      <w:r w:rsidR="00AD0E21" w:rsidRPr="00891E21">
        <w:rPr>
          <w:szCs w:val="24"/>
        </w:rPr>
        <w:t xml:space="preserve"> </w:t>
      </w:r>
      <w:r w:rsidRPr="00891E21">
        <w:rPr>
          <w:szCs w:val="24"/>
        </w:rPr>
        <w:t xml:space="preserve">a </w:t>
      </w:r>
      <w:r w:rsidRPr="00891E21">
        <w:rPr>
          <w:szCs w:val="24"/>
          <w:lang w:eastAsia="en-US"/>
        </w:rPr>
        <w:t>aglomeração industrial para a indústria de transformação no Brasil em 1995 e 2001</w:t>
      </w:r>
      <w:r w:rsidR="00AD0E21">
        <w:rPr>
          <w:szCs w:val="24"/>
          <w:lang w:eastAsia="en-US"/>
        </w:rPr>
        <w:t xml:space="preserve">. Os autores incluíram </w:t>
      </w:r>
      <w:r w:rsidRPr="00891E21">
        <w:rPr>
          <w:szCs w:val="24"/>
          <w:lang w:eastAsia="en-US"/>
        </w:rPr>
        <w:t xml:space="preserve">medidas desenvolvidas por Ellison e Glaeser (1997), que foram amparadas por microdados que possuem sólido fundamento teórico. A evidência encontrada foi de </w:t>
      </w:r>
      <w:r w:rsidR="00A55B7C">
        <w:rPr>
          <w:szCs w:val="24"/>
          <w:lang w:eastAsia="en-US"/>
        </w:rPr>
        <w:t xml:space="preserve">uma substancial heterogeneidade </w:t>
      </w:r>
      <w:r w:rsidRPr="00891E21">
        <w:rPr>
          <w:szCs w:val="24"/>
          <w:lang w:eastAsia="en-US"/>
        </w:rPr>
        <w:t xml:space="preserve">entre os diferentes setores. Entre os </w:t>
      </w:r>
      <w:r w:rsidR="00A55B7C">
        <w:rPr>
          <w:szCs w:val="24"/>
          <w:lang w:eastAsia="en-US"/>
        </w:rPr>
        <w:t xml:space="preserve">setores </w:t>
      </w:r>
      <w:r w:rsidRPr="00891E21">
        <w:rPr>
          <w:szCs w:val="24"/>
          <w:lang w:eastAsia="en-US"/>
        </w:rPr>
        <w:t xml:space="preserve">líderes existem setores com conteúdos tecnológicos bastante distintos que apenas parcialmente coincidiram com os resultados encontrados em outros países, como na França e no Reino Unido. </w:t>
      </w:r>
      <w:r w:rsidR="00AD0E21">
        <w:rPr>
          <w:szCs w:val="24"/>
          <w:lang w:eastAsia="en-US"/>
        </w:rPr>
        <w:t>D</w:t>
      </w:r>
      <w:r w:rsidRPr="00891E21">
        <w:rPr>
          <w:szCs w:val="24"/>
          <w:lang w:eastAsia="en-US"/>
        </w:rPr>
        <w:t xml:space="preserve">e forma bastante direta, os autores </w:t>
      </w:r>
      <w:r w:rsidR="00AD0E21">
        <w:rPr>
          <w:szCs w:val="24"/>
          <w:lang w:eastAsia="en-US"/>
        </w:rPr>
        <w:t xml:space="preserve">também </w:t>
      </w:r>
      <w:r w:rsidRPr="00891E21">
        <w:rPr>
          <w:szCs w:val="24"/>
          <w:lang w:eastAsia="en-US"/>
        </w:rPr>
        <w:t xml:space="preserve">observaram mudanças substanciais nos padrões de aglomeração industrial nos anos de 1995 e 2001, que revelaram </w:t>
      </w:r>
      <w:r w:rsidRPr="00891E21">
        <w:rPr>
          <w:szCs w:val="24"/>
        </w:rPr>
        <w:t xml:space="preserve">um movimento </w:t>
      </w:r>
      <w:r w:rsidRPr="00891E21">
        <w:rPr>
          <w:szCs w:val="24"/>
        </w:rPr>
        <w:lastRenderedPageBreak/>
        <w:t>simultâneo de elevação dos coeficientes de assimetria</w:t>
      </w:r>
      <w:r w:rsidR="00435BE2">
        <w:rPr>
          <w:szCs w:val="24"/>
        </w:rPr>
        <w:t>. Isso quer</w:t>
      </w:r>
      <w:r w:rsidRPr="00891E21">
        <w:rPr>
          <w:szCs w:val="24"/>
        </w:rPr>
        <w:t xml:space="preserve"> dizer que nos anos de 1995 e 2001 elevou-se a proporção de setores com baixo grau de aglomeração.</w:t>
      </w:r>
    </w:p>
    <w:p w:rsidR="00A55B7C" w:rsidRDefault="006C22A8" w:rsidP="002B79A5">
      <w:pPr>
        <w:autoSpaceDE w:val="0"/>
        <w:autoSpaceDN w:val="0"/>
        <w:adjustRightInd w:val="0"/>
        <w:ind w:firstLine="709"/>
        <w:rPr>
          <w:szCs w:val="24"/>
        </w:rPr>
      </w:pPr>
      <w:r w:rsidRPr="00891E21">
        <w:rPr>
          <w:bCs/>
          <w:szCs w:val="24"/>
          <w:lang w:eastAsia="en-US"/>
        </w:rPr>
        <w:t xml:space="preserve">O trabalho de Araújo e Lautert (2007) analisou a </w:t>
      </w:r>
      <w:r w:rsidRPr="00891E21">
        <w:rPr>
          <w:szCs w:val="24"/>
        </w:rPr>
        <w:t>concentração geográfica da indústria de transformação brasileira em nível setorial no período de 1996 e 2001, por meio do uso do índice de Ellison e Glaeser (1997), medida de concentração ainda relativamente pouco explorada pela literatura sobre localização industrial no Brasil</w:t>
      </w:r>
      <w:r w:rsidR="00A55B7C">
        <w:rPr>
          <w:szCs w:val="24"/>
        </w:rPr>
        <w:t>.</w:t>
      </w:r>
    </w:p>
    <w:p w:rsidR="006C22A8" w:rsidRPr="00891E21" w:rsidRDefault="0091253C" w:rsidP="002B79A5">
      <w:pPr>
        <w:autoSpaceDE w:val="0"/>
        <w:autoSpaceDN w:val="0"/>
        <w:adjustRightInd w:val="0"/>
        <w:ind w:firstLine="709"/>
        <w:rPr>
          <w:szCs w:val="24"/>
        </w:rPr>
      </w:pPr>
      <w:r>
        <w:rPr>
          <w:szCs w:val="24"/>
        </w:rPr>
        <w:t>Esses</w:t>
      </w:r>
      <w:r w:rsidR="006C22A8" w:rsidRPr="00891E21">
        <w:rPr>
          <w:szCs w:val="24"/>
        </w:rPr>
        <w:t xml:space="preserve"> autores detectaram uma tendência de desconcentração geográfica, evidenciada pela redução do índice médio de concentração da indústria e pela ocorrência de desconcentração na maioria das divisões e grupos industriais estudados. Constataram também que existe certa estabilidade entre os setores mais concentrados e menos concentrados, embora tenha existido mobilidade dentro dos grupos. De modo geral, os grupos com maior conteúdo tecnológico, especialmente os produtores de bens intermediários e de capital, </w:t>
      </w:r>
      <w:r w:rsidR="006C22A8">
        <w:rPr>
          <w:szCs w:val="24"/>
        </w:rPr>
        <w:t>de</w:t>
      </w:r>
      <w:r w:rsidR="006C22A8" w:rsidRPr="00891E21">
        <w:rPr>
          <w:szCs w:val="24"/>
        </w:rPr>
        <w:t>mostraram-se mais concentrados, enquanto os grupos da indústria tradicional, em geral produtores de bens de consumo não</w:t>
      </w:r>
      <w:r w:rsidR="003F4244">
        <w:rPr>
          <w:szCs w:val="24"/>
        </w:rPr>
        <w:t>-</w:t>
      </w:r>
      <w:r w:rsidR="006C22A8" w:rsidRPr="00891E21">
        <w:rPr>
          <w:szCs w:val="24"/>
        </w:rPr>
        <w:t xml:space="preserve">duráveis, apresentaram-se menos concentrados. </w:t>
      </w:r>
      <w:r>
        <w:rPr>
          <w:szCs w:val="24"/>
        </w:rPr>
        <w:t>Os autores a</w:t>
      </w:r>
      <w:r w:rsidRPr="00891E21">
        <w:rPr>
          <w:szCs w:val="24"/>
        </w:rPr>
        <w:t xml:space="preserve">inda </w:t>
      </w:r>
      <w:r w:rsidR="006C22A8" w:rsidRPr="00891E21">
        <w:rPr>
          <w:szCs w:val="24"/>
        </w:rPr>
        <w:t>ressaltaram que não foi possível identificar um padrão claro que possa ser generalizado para toda a indústria de transformação e que há tendências desaglomerativas predominantemente na maioria dos setores da indústria de transformação brasileira nos anos estudados, que foram caracterizados por mudanças no ambiente econômico que estimularam a adoção de estratégias de ajuste por parte das empresas (ARAÚJO; LAUTERT, 2007).</w:t>
      </w:r>
    </w:p>
    <w:p w:rsidR="006C22A8" w:rsidRPr="00891E21" w:rsidRDefault="006C22A8" w:rsidP="002B79A5">
      <w:pPr>
        <w:autoSpaceDE w:val="0"/>
        <w:autoSpaceDN w:val="0"/>
        <w:adjustRightInd w:val="0"/>
        <w:ind w:firstLine="709"/>
        <w:rPr>
          <w:szCs w:val="24"/>
        </w:rPr>
      </w:pPr>
      <w:r w:rsidRPr="00891E21">
        <w:rPr>
          <w:szCs w:val="24"/>
        </w:rPr>
        <w:t xml:space="preserve">Confrontando-se os principais resultados encontrados por Araújo e Lautert (2007) com as evidências obtidas por outros autores para a concentração setorial da indústria de transformação </w:t>
      </w:r>
      <w:r w:rsidR="0091253C">
        <w:rPr>
          <w:szCs w:val="24"/>
        </w:rPr>
        <w:t xml:space="preserve">brasileira </w:t>
      </w:r>
      <w:r w:rsidRPr="00891E21">
        <w:rPr>
          <w:szCs w:val="24"/>
        </w:rPr>
        <w:t xml:space="preserve">nos anos de 1996 e 2001, pode-se afirmar que, de certo modo, foram consistentes, exceto quanto à grande mobilidade entre os setores mais </w:t>
      </w:r>
      <w:r w:rsidR="00E16310">
        <w:rPr>
          <w:szCs w:val="24"/>
        </w:rPr>
        <w:t>concentrados constatada</w:t>
      </w:r>
      <w:r w:rsidR="00E16310" w:rsidRPr="00891E21">
        <w:rPr>
          <w:szCs w:val="24"/>
        </w:rPr>
        <w:t>s por Resende e Wyllie</w:t>
      </w:r>
      <w:r w:rsidRPr="00891E21">
        <w:rPr>
          <w:szCs w:val="24"/>
        </w:rPr>
        <w:t xml:space="preserve"> (2005). </w:t>
      </w:r>
    </w:p>
    <w:p w:rsidR="006C22A8" w:rsidRPr="00891E21" w:rsidRDefault="006C22A8" w:rsidP="002B79A5">
      <w:pPr>
        <w:autoSpaceDE w:val="0"/>
        <w:autoSpaceDN w:val="0"/>
        <w:adjustRightInd w:val="0"/>
        <w:ind w:firstLine="709"/>
        <w:rPr>
          <w:szCs w:val="24"/>
        </w:rPr>
      </w:pPr>
      <w:r w:rsidRPr="00891E21">
        <w:rPr>
          <w:szCs w:val="24"/>
        </w:rPr>
        <w:t xml:space="preserve">Uma pesquisa bastante relevante foi </w:t>
      </w:r>
      <w:r w:rsidR="00E16310" w:rsidRPr="00891E21">
        <w:rPr>
          <w:szCs w:val="24"/>
        </w:rPr>
        <w:t>à</w:t>
      </w:r>
      <w:r w:rsidRPr="00891E21">
        <w:rPr>
          <w:szCs w:val="24"/>
        </w:rPr>
        <w:t xml:space="preserve"> realizada por Camargo (2006), que estudou o </w:t>
      </w:r>
      <w:r w:rsidRPr="00891E21">
        <w:t xml:space="preserve">processo de reestruturação da indústria automobilística brasileira no contexto das modificações ocorridas na indústria nacional. O </w:t>
      </w:r>
      <w:r w:rsidR="0091253C">
        <w:t>enfoque</w:t>
      </w:r>
      <w:r w:rsidR="0091253C" w:rsidRPr="00891E21">
        <w:t xml:space="preserve"> </w:t>
      </w:r>
      <w:r w:rsidRPr="00891E21">
        <w:t xml:space="preserve">da análise foi voltado para as mudanças nos padrões de concorrência e em suas estruturas de mercado, com vistas a relacionar </w:t>
      </w:r>
      <w:r w:rsidR="0091253C" w:rsidRPr="00891E21">
        <w:t>es</w:t>
      </w:r>
      <w:r w:rsidR="0091253C">
        <w:t>s</w:t>
      </w:r>
      <w:r w:rsidR="0091253C" w:rsidRPr="00891E21">
        <w:t xml:space="preserve">as </w:t>
      </w:r>
      <w:r w:rsidRPr="00891E21">
        <w:t xml:space="preserve">modificações com a dinâmica locacional </w:t>
      </w:r>
      <w:r w:rsidR="0091253C" w:rsidRPr="00891E21">
        <w:t>des</w:t>
      </w:r>
      <w:r w:rsidR="0091253C">
        <w:t>s</w:t>
      </w:r>
      <w:r w:rsidR="0091253C" w:rsidRPr="00891E21">
        <w:t xml:space="preserve">e </w:t>
      </w:r>
      <w:r w:rsidRPr="00891E21">
        <w:t>segmento industrial. Para isso, averiguou</w:t>
      </w:r>
      <w:r w:rsidR="0091253C">
        <w:t>-se</w:t>
      </w:r>
      <w:r w:rsidRPr="00891E21">
        <w:t xml:space="preserve"> a </w:t>
      </w:r>
      <w:r w:rsidRPr="00891E21">
        <w:rPr>
          <w:szCs w:val="24"/>
        </w:rPr>
        <w:t>distribuição geográfica da indústria automobilística no território brasileiro por meio das relações entre a concentração de mercado e a concentração espacial</w:t>
      </w:r>
      <w:r w:rsidR="00E16310">
        <w:rPr>
          <w:szCs w:val="24"/>
        </w:rPr>
        <w:t xml:space="preserve"> </w:t>
      </w:r>
      <w:r w:rsidRPr="00891E21">
        <w:rPr>
          <w:szCs w:val="24"/>
        </w:rPr>
        <w:t>pela mensuração do índice de Ellison e Glaeser (1997)</w:t>
      </w:r>
      <w:r w:rsidR="00E16310">
        <w:rPr>
          <w:szCs w:val="24"/>
        </w:rPr>
        <w:t xml:space="preserve"> </w:t>
      </w:r>
      <w:r w:rsidRPr="00891E21">
        <w:rPr>
          <w:szCs w:val="24"/>
        </w:rPr>
        <w:t>no período de 1996-2001.</w:t>
      </w:r>
    </w:p>
    <w:p w:rsidR="006C22A8" w:rsidRPr="00891E21" w:rsidRDefault="006C22A8" w:rsidP="002B79A5">
      <w:pPr>
        <w:autoSpaceDE w:val="0"/>
        <w:autoSpaceDN w:val="0"/>
        <w:adjustRightInd w:val="0"/>
        <w:ind w:firstLine="709"/>
      </w:pPr>
      <w:r w:rsidRPr="00891E21">
        <w:t>O estudo das mudanças na concentração geográfica da indústria automobilística, pelo</w:t>
      </w:r>
      <w:r w:rsidRPr="00891E21">
        <w:rPr>
          <w:szCs w:val="24"/>
        </w:rPr>
        <w:t xml:space="preserve"> </w:t>
      </w:r>
      <w:r w:rsidRPr="00891E21">
        <w:t>índice de Ellison e Glaeser, teve como referência o processo de desconcentração espacial da indústria de</w:t>
      </w:r>
      <w:r w:rsidRPr="00891E21">
        <w:rPr>
          <w:szCs w:val="24"/>
        </w:rPr>
        <w:t xml:space="preserve"> </w:t>
      </w:r>
      <w:r w:rsidRPr="00891E21">
        <w:t xml:space="preserve">transformação no </w:t>
      </w:r>
      <w:r w:rsidR="00351B9A">
        <w:t>p</w:t>
      </w:r>
      <w:r w:rsidR="00351B9A" w:rsidRPr="00891E21">
        <w:t>aís</w:t>
      </w:r>
      <w:r w:rsidRPr="00891E21">
        <w:t>. A variação ocorrida apontou para um processo de</w:t>
      </w:r>
      <w:r w:rsidRPr="00891E21">
        <w:rPr>
          <w:szCs w:val="24"/>
        </w:rPr>
        <w:t xml:space="preserve"> </w:t>
      </w:r>
      <w:r w:rsidRPr="00891E21">
        <w:t xml:space="preserve">desconcentração geográfico </w:t>
      </w:r>
      <w:r w:rsidR="00351B9A" w:rsidRPr="00891E21">
        <w:t>mais</w:t>
      </w:r>
      <w:r w:rsidR="00351B9A" w:rsidRPr="00891E21">
        <w:rPr>
          <w:szCs w:val="24"/>
        </w:rPr>
        <w:t xml:space="preserve"> </w:t>
      </w:r>
      <w:r w:rsidR="00351B9A" w:rsidRPr="00891E21">
        <w:t>acentuad</w:t>
      </w:r>
      <w:r w:rsidR="00351B9A">
        <w:t>o</w:t>
      </w:r>
      <w:r w:rsidR="00351B9A" w:rsidRPr="00891E21">
        <w:t xml:space="preserve"> </w:t>
      </w:r>
      <w:r w:rsidR="00351B9A">
        <w:t>n</w:t>
      </w:r>
      <w:r w:rsidR="00351B9A" w:rsidRPr="00891E21">
        <w:t xml:space="preserve">as </w:t>
      </w:r>
      <w:r w:rsidRPr="00891E21">
        <w:t xml:space="preserve">atividades produtivas da indústria automobilística do que na indústria de transformação. A redução </w:t>
      </w:r>
      <w:r w:rsidR="00351B9A">
        <w:t>no índice de Ellison e Glaeser</w:t>
      </w:r>
      <w:r w:rsidRPr="00891E21">
        <w:t xml:space="preserve"> indicou</w:t>
      </w:r>
      <w:r w:rsidRPr="00891E21">
        <w:rPr>
          <w:szCs w:val="24"/>
        </w:rPr>
        <w:t xml:space="preserve"> </w:t>
      </w:r>
      <w:r w:rsidRPr="00891E21">
        <w:t xml:space="preserve">uma diminuição relativa na importância dos fatores locacionais que influenciaram a concentração das atividades da indústria automobilística brasileira no período estudado. </w:t>
      </w:r>
      <w:r w:rsidR="00351B9A">
        <w:t>Não obstante, n</w:t>
      </w:r>
      <w:r w:rsidRPr="00891E21">
        <w:t>os anos de 2000 e 2001, houve uma elevação no índice</w:t>
      </w:r>
      <w:r>
        <w:t xml:space="preserve">. </w:t>
      </w:r>
      <w:r w:rsidR="00351B9A">
        <w:t>E</w:t>
      </w:r>
      <w:r w:rsidR="00351B9A" w:rsidRPr="00891E21">
        <w:t>s</w:t>
      </w:r>
      <w:r w:rsidR="00351B9A">
        <w:t xml:space="preserve">se </w:t>
      </w:r>
      <w:r>
        <w:t xml:space="preserve">aumento </w:t>
      </w:r>
      <w:r w:rsidRPr="00891E21">
        <w:t>indicou uma mudança na redução do processo de desconcentração espacial da indústria automobilística, visto que a indústria de transformação continuou sua trajetó</w:t>
      </w:r>
      <w:r>
        <w:t xml:space="preserve">ria de desconcentração espacial </w:t>
      </w:r>
      <w:r w:rsidRPr="00891E21">
        <w:t>(CAMARGO, 2006).</w:t>
      </w:r>
    </w:p>
    <w:p w:rsidR="006C22A8" w:rsidRDefault="006C22A8" w:rsidP="006C22A8">
      <w:pPr>
        <w:autoSpaceDE w:val="0"/>
        <w:autoSpaceDN w:val="0"/>
        <w:adjustRightInd w:val="0"/>
        <w:spacing w:line="360" w:lineRule="auto"/>
        <w:ind w:firstLine="709"/>
      </w:pPr>
    </w:p>
    <w:p w:rsidR="002B79A5" w:rsidRDefault="002B79A5" w:rsidP="006C22A8">
      <w:pPr>
        <w:autoSpaceDE w:val="0"/>
        <w:autoSpaceDN w:val="0"/>
        <w:adjustRightInd w:val="0"/>
        <w:spacing w:line="360" w:lineRule="auto"/>
        <w:ind w:firstLine="709"/>
      </w:pPr>
    </w:p>
    <w:p w:rsidR="000812DF" w:rsidRDefault="000812DF" w:rsidP="006C22A8">
      <w:pPr>
        <w:autoSpaceDE w:val="0"/>
        <w:autoSpaceDN w:val="0"/>
        <w:adjustRightInd w:val="0"/>
        <w:spacing w:line="360" w:lineRule="auto"/>
        <w:ind w:firstLine="709"/>
      </w:pPr>
    </w:p>
    <w:p w:rsidR="00093B0A" w:rsidRPr="00891E21" w:rsidRDefault="000812DF" w:rsidP="00093B0A">
      <w:pPr>
        <w:spacing w:line="360" w:lineRule="auto"/>
        <w:rPr>
          <w:b/>
        </w:rPr>
      </w:pPr>
      <w:proofErr w:type="gramStart"/>
      <w:r>
        <w:rPr>
          <w:b/>
        </w:rPr>
        <w:lastRenderedPageBreak/>
        <w:t>3</w:t>
      </w:r>
      <w:proofErr w:type="gramEnd"/>
      <w:r w:rsidR="00093B0A" w:rsidRPr="00891E21">
        <w:rPr>
          <w:b/>
        </w:rPr>
        <w:t xml:space="preserve"> METODOLOGIA</w:t>
      </w:r>
    </w:p>
    <w:p w:rsidR="00BF6C4D" w:rsidRPr="00891E21" w:rsidRDefault="000812DF" w:rsidP="00BF6C4D">
      <w:pPr>
        <w:spacing w:line="360" w:lineRule="auto"/>
      </w:pPr>
      <w:proofErr w:type="gramStart"/>
      <w:r>
        <w:t>3</w:t>
      </w:r>
      <w:r w:rsidR="00FE71BB" w:rsidRPr="00891E21">
        <w:t xml:space="preserve">.1 </w:t>
      </w:r>
      <w:r w:rsidR="00BF6C4D" w:rsidRPr="00891E21">
        <w:t>CONCENTRAÇÃO</w:t>
      </w:r>
      <w:proofErr w:type="gramEnd"/>
      <w:r w:rsidR="00BF6C4D" w:rsidRPr="00891E21">
        <w:t xml:space="preserve"> ESPACIAL E OS EFEITOS DE VIZINHANÇA </w:t>
      </w:r>
    </w:p>
    <w:p w:rsidR="00BF6C4D" w:rsidRPr="00891E21" w:rsidRDefault="00BF6C4D" w:rsidP="008B3398">
      <w:pPr>
        <w:ind w:firstLine="709"/>
      </w:pPr>
      <w:r w:rsidRPr="00891E21">
        <w:t xml:space="preserve">De acordo com Guimarães </w:t>
      </w:r>
      <w:proofErr w:type="gramStart"/>
      <w:r w:rsidRPr="00634D1C">
        <w:rPr>
          <w:i/>
        </w:rPr>
        <w:t>et</w:t>
      </w:r>
      <w:proofErr w:type="gramEnd"/>
      <w:r w:rsidRPr="00634D1C">
        <w:rPr>
          <w:i/>
        </w:rPr>
        <w:t xml:space="preserve"> al</w:t>
      </w:r>
      <w:r w:rsidRPr="00891E21">
        <w:rPr>
          <w:i/>
        </w:rPr>
        <w:t>.</w:t>
      </w:r>
      <w:r w:rsidRPr="00891E21">
        <w:t xml:space="preserve"> (2011), pode-se aplicar uma simples modificação </w:t>
      </w:r>
      <w:r w:rsidR="007933BA">
        <w:t xml:space="preserve">no Índice de Herfindahl para </w:t>
      </w:r>
      <w:r w:rsidRPr="00891E21">
        <w:t xml:space="preserve">introduzir, de maneira mais eficaz, os efeitos </w:t>
      </w:r>
      <w:r w:rsidR="00404DDD">
        <w:t>de vizinhança</w:t>
      </w:r>
      <w:r w:rsidRPr="00891E21">
        <w:t xml:space="preserve">. </w:t>
      </w:r>
      <w:r w:rsidR="00634D1C">
        <w:t>A nova</w:t>
      </w:r>
      <w:r w:rsidRPr="00891E21">
        <w:t xml:space="preserve"> estatística pode ser vista como uma forma quadrática associada à matriz identidade </w:t>
      </w:r>
      <w:r w:rsidRPr="00891E21">
        <w:rPr>
          <w:i/>
        </w:rPr>
        <w:t>(I</w:t>
      </w:r>
      <w:r>
        <w:rPr>
          <w:i/>
        </w:rPr>
        <w:t>d</w:t>
      </w:r>
      <w:r w:rsidRPr="00891E21">
        <w:rPr>
          <w:i/>
        </w:rPr>
        <w:t>)</w:t>
      </w:r>
      <w:r>
        <w:t xml:space="preserve">. Redefinindo formalmente a Equação </w:t>
      </w:r>
      <w:r w:rsidR="0031475C">
        <w:t>do índice de Herfindahl (1950) não-ponderado espacialmente</w:t>
      </w:r>
      <w:r w:rsidR="0031475C">
        <w:rPr>
          <w:rStyle w:val="Refdenotaderodap"/>
        </w:rPr>
        <w:footnoteReference w:id="1"/>
      </w:r>
      <w:r w:rsidRPr="00891E21">
        <w:t>, considerando as interações espaciais entre os termos, no geral tem-se:</w:t>
      </w:r>
    </w:p>
    <w:p w:rsidR="00BF6C4D" w:rsidRPr="00891E21" w:rsidRDefault="00D2730E" w:rsidP="00BF6C4D">
      <w:pPr>
        <w:spacing w:line="360" w:lineRule="auto"/>
        <w:ind w:firstLine="709"/>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Ψs          Equação 1</m:t>
          </m:r>
        </m:oMath>
      </m:oMathPara>
    </w:p>
    <w:p w:rsidR="00BF6C4D" w:rsidRPr="00891E21" w:rsidRDefault="00634D1C" w:rsidP="008B3398">
      <w:r>
        <w:t>E</w:t>
      </w:r>
      <w:r w:rsidR="007933BA">
        <w:t>m que</w:t>
      </w:r>
      <w:r w:rsidR="00BF6C4D" w:rsidRPr="00891E21">
        <w:t xml:space="preserve">: Ψ é uma matriz de pesos espaciais com elementos genéricos </w:t>
      </w:r>
      <m:oMath>
        <m:sSub>
          <m:sSubPr>
            <m:ctrlPr>
              <w:rPr>
                <w:rFonts w:ascii="Cambria Math" w:hAnsi="Cambria Math"/>
                <w:i/>
              </w:rPr>
            </m:ctrlPr>
          </m:sSubPr>
          <m:e>
            <m:r>
              <w:rPr>
                <w:rFonts w:ascii="Cambria Math" w:hAnsi="Cambria Math"/>
              </w:rPr>
              <m:t>Ψ</m:t>
            </m:r>
          </m:e>
          <m:sub>
            <m:r>
              <w:rPr>
                <w:rFonts w:ascii="Cambria Math" w:hAnsi="Cambria Math"/>
              </w:rPr>
              <m:t>ij</m:t>
            </m:r>
          </m:sub>
        </m:sSub>
      </m:oMath>
      <w:r w:rsidR="00BF6C4D" w:rsidRPr="00891E21">
        <w:t xml:space="preserve"> e não nulos na diagonal principal. A matriz Ψ é projetada para considerar as repercussões que se estendem fora do limite da área considerada. Pode ser construída de muitas maneiras diferentes</w:t>
      </w:r>
      <w:r w:rsidR="007933BA">
        <w:t>;</w:t>
      </w:r>
      <w:r w:rsidR="00BF6C4D" w:rsidRPr="00891E21">
        <w:t xml:space="preserve"> porém</w:t>
      </w:r>
      <w:r w:rsidR="007933BA">
        <w:t>,</w:t>
      </w:r>
      <w:r w:rsidR="00BF6C4D" w:rsidRPr="00891E21">
        <w:t xml:space="preserve"> para este caso, considerar-se-á </w:t>
      </w:r>
      <m:oMath>
        <m:r>
          <w:rPr>
            <w:rFonts w:ascii="Cambria Math" w:hAnsi="Cambria Math"/>
          </w:rPr>
          <m:t>Ψ=Id+W</m:t>
        </m:r>
      </m:oMath>
      <w:r w:rsidR="00BF6C4D" w:rsidRPr="00891E21">
        <w:t xml:space="preserve">, </w:t>
      </w:r>
      <w:r w:rsidR="007933BA">
        <w:t>em que</w:t>
      </w:r>
      <w:r w:rsidR="007933BA" w:rsidRPr="00891E21">
        <w:t xml:space="preserve"> </w:t>
      </w:r>
      <w:r w:rsidR="00BF6C4D" w:rsidRPr="00891E21">
        <w:rPr>
          <w:i/>
        </w:rPr>
        <w:t>W</w:t>
      </w:r>
      <w:r w:rsidR="00BF6C4D" w:rsidRPr="00891E21">
        <w:t xml:space="preserve"> é a linha convencional padronizada, matriz cont</w:t>
      </w:r>
      <w:r w:rsidR="007933BA">
        <w:t>í</w:t>
      </w:r>
      <w:r w:rsidR="00BF6C4D" w:rsidRPr="00891E21">
        <w:t xml:space="preserve">gua com zeros na diagonal. Se não houver efeitos vizinhos, </w:t>
      </w:r>
      <m:oMath>
        <m:r>
          <w:rPr>
            <w:rFonts w:ascii="Cambria Math" w:hAnsi="Cambria Math"/>
          </w:rPr>
          <m:t>Ψ=Id</m:t>
        </m:r>
      </m:oMath>
      <w:r w:rsidR="00BF6C4D" w:rsidRPr="00891E21">
        <w:t xml:space="preserve">, e obtém-se o Índice de Herfindahl convencional. A versão espacialmente ponderada de Herfindahl é delimitada se todas as regiões vizinhas estiverem no intervalo de </w:t>
      </w:r>
      <w:r w:rsidR="00BF6C4D" w:rsidRPr="00891E21">
        <w:rPr>
          <w:i/>
        </w:rPr>
        <w:t xml:space="preserve">[1/J, </w:t>
      </w:r>
      <w:proofErr w:type="gramStart"/>
      <w:r w:rsidR="00BF6C4D" w:rsidRPr="00891E21">
        <w:rPr>
          <w:i/>
        </w:rPr>
        <w:t>1</w:t>
      </w:r>
      <w:proofErr w:type="gramEnd"/>
      <w:r w:rsidR="00BF6C4D" w:rsidRPr="00891E21">
        <w:rPr>
          <w:i/>
        </w:rPr>
        <w:t>]</w:t>
      </w:r>
      <w:r w:rsidR="00BF6C4D" w:rsidRPr="00891E21">
        <w:rPr>
          <w:rStyle w:val="Refdenotaderodap"/>
          <w:i/>
        </w:rPr>
        <w:footnoteReference w:id="2"/>
      </w:r>
      <w:r w:rsidR="00BF6C4D" w:rsidRPr="00891E21">
        <w:t xml:space="preserve">. O Índice de Herfindahl espacialmente ponderado </w:t>
      </w:r>
      <w:r w:rsidR="00BF6C4D" w:rsidRPr="008230FE">
        <w:t>mistura</w:t>
      </w:r>
      <w:r w:rsidR="00BF6C4D" w:rsidRPr="00891E21">
        <w:t xml:space="preserve"> as informações com o Índice de Herfindahl convencional e com a estatística </w:t>
      </w:r>
      <w:r w:rsidR="00BF6C4D" w:rsidRPr="00891E21">
        <w:rPr>
          <w:i/>
        </w:rPr>
        <w:t xml:space="preserve">I </w:t>
      </w:r>
      <w:r w:rsidR="00BF6C4D" w:rsidRPr="00891E21">
        <w:t>de Moran:</w:t>
      </w:r>
    </w:p>
    <w:p w:rsidR="00BF6C4D" w:rsidRPr="00891E21" w:rsidRDefault="00D2730E" w:rsidP="00BF6C4D">
      <w:pPr>
        <w:spacing w:line="360" w:lineRule="auto"/>
        <w:ind w:firstLine="709"/>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=H+</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Ws     Equação 1.1</m:t>
          </m:r>
        </m:oMath>
      </m:oMathPara>
    </w:p>
    <w:p w:rsidR="00BF6C4D" w:rsidRPr="00891E21" w:rsidRDefault="00BF6C4D" w:rsidP="00BF6C4D">
      <w:pPr>
        <w:spacing w:line="360" w:lineRule="auto"/>
      </w:pPr>
      <w:r w:rsidRPr="00891E21">
        <w:t xml:space="preserve">Onde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Ws=M</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J</m:t>
                </m:r>
              </m:e>
              <m:sup>
                <m:r>
                  <w:rPr>
                    <w:rFonts w:ascii="Cambria Math" w:hAnsi="Cambria Math"/>
                  </w:rPr>
                  <m:t>-1</m:t>
                </m:r>
              </m:sup>
            </m:sSup>
          </m:e>
        </m:d>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i'Ws</m:t>
        </m:r>
      </m:oMath>
    </w:p>
    <w:p w:rsidR="00BF6C4D" w:rsidRPr="00891E21" w:rsidRDefault="00BF6C4D" w:rsidP="008B3398">
      <w:pPr>
        <w:ind w:firstLine="709"/>
      </w:pPr>
      <w:r w:rsidRPr="00891E21">
        <w:t xml:space="preserve">Considerando a relação entre </w:t>
      </w:r>
      <w:r w:rsidRPr="00891E21">
        <w:rPr>
          <w:i/>
        </w:rPr>
        <w:t>I</w:t>
      </w:r>
      <w:r w:rsidRPr="00891E21">
        <w:t xml:space="preserve"> de Moran e a versão espacialmente ponderada do Índice de Herfindahl:</w:t>
      </w:r>
    </w:p>
    <w:p w:rsidR="00BF6C4D" w:rsidRPr="00891E21" w:rsidRDefault="00D2730E" w:rsidP="00BF6C4D">
      <w:pPr>
        <w:spacing w:line="360" w:lineRule="auto"/>
        <w:ind w:firstLine="709"/>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J</m:t>
                  </m:r>
                </m:e>
                <m:sup>
                  <m:r>
                    <w:rPr>
                      <w:rFonts w:ascii="Cambria Math" w:hAnsi="Cambria Math"/>
                    </w:rPr>
                    <m:t>-1</m:t>
                  </m:r>
                </m:sup>
              </m:sSup>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Equação 1.2</m:t>
          </m:r>
        </m:oMath>
      </m:oMathPara>
    </w:p>
    <w:p w:rsidR="00BF6C4D" w:rsidRPr="00891E21" w:rsidRDefault="00634D1C" w:rsidP="008B3398">
      <w:r>
        <w:t>E</w:t>
      </w:r>
      <w:r w:rsidR="00D55A00">
        <w:t>m que</w:t>
      </w:r>
      <w:r w:rsidR="00BF6C4D" w:rsidRPr="00891E21">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i'Ws</m:t>
        </m:r>
      </m:oMath>
      <w:r w:rsidR="00BF6C4D" w:rsidRPr="00891E21">
        <w:t xml:space="preserve"> é espacialmente uma média ponderada das ações. </w:t>
      </w:r>
      <w:r w:rsidR="00BF6C4D" w:rsidRPr="00891E21">
        <w:rPr>
          <w:i/>
        </w:rPr>
        <w:t>H</w:t>
      </w:r>
      <w:r w:rsidR="00BF6C4D" w:rsidRPr="00891E21">
        <w:rPr>
          <w:i/>
          <w:vertAlign w:val="subscript"/>
        </w:rPr>
        <w:t>s</w:t>
      </w:r>
      <w:r w:rsidR="00BF6C4D" w:rsidRPr="00891E21">
        <w:t xml:space="preserve"> é uma função crescente de </w:t>
      </w:r>
      <w:r w:rsidR="00BF6C4D" w:rsidRPr="00891E21">
        <w:rPr>
          <w:i/>
        </w:rPr>
        <w:t>H</w:t>
      </w:r>
      <w:r w:rsidR="00BF6C4D" w:rsidRPr="00891E21">
        <w:t xml:space="preserve"> (uma medida de concentração espacial das regiões) e </w:t>
      </w:r>
      <w:r w:rsidR="00BF6C4D" w:rsidRPr="00891E21">
        <w:rPr>
          <w:i/>
        </w:rPr>
        <w:t>M</w:t>
      </w:r>
      <w:r w:rsidR="00BF6C4D" w:rsidRPr="00891E21">
        <w:t xml:space="preserve"> (medida de concentração espacial entre as regiões que capta os efeitos vizinhos). </w:t>
      </w:r>
    </w:p>
    <w:p w:rsidR="00BF6C4D" w:rsidRPr="00891E21" w:rsidRDefault="00BF6C4D" w:rsidP="008B3398">
      <w:pPr>
        <w:ind w:firstLine="709"/>
      </w:pPr>
      <w:r w:rsidRPr="00891E21">
        <w:t xml:space="preserve">Segundo Guimarães </w:t>
      </w:r>
      <w:proofErr w:type="gramStart"/>
      <w:r w:rsidRPr="00634D1C">
        <w:rPr>
          <w:i/>
        </w:rPr>
        <w:t>et</w:t>
      </w:r>
      <w:proofErr w:type="gramEnd"/>
      <w:r w:rsidRPr="00891E21">
        <w:rPr>
          <w:i/>
        </w:rPr>
        <w:t xml:space="preserve"> al.</w:t>
      </w:r>
      <w:r w:rsidRPr="00891E21">
        <w:t xml:space="preserve"> (2011), essa mesma lógica pode ser estendida para o índice de concentração prima denominado Índice de Ellison e Glaeser</w:t>
      </w:r>
      <w:r w:rsidR="00367F92">
        <w:rPr>
          <w:rStyle w:val="Refdenotaderodap"/>
        </w:rPr>
        <w:footnoteReference w:id="3"/>
      </w:r>
      <w:r w:rsidRPr="00891E21">
        <w:t>. Neste caso, uma versão espacialmente ponderada pode ser construída como:</w:t>
      </w:r>
    </w:p>
    <w:p w:rsidR="00BF6C4D" w:rsidRPr="00891E21" w:rsidRDefault="00D2730E" w:rsidP="00BF6C4D">
      <w:pPr>
        <w:spacing w:line="360" w:lineRule="auto"/>
        <w:ind w:firstLine="709"/>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s-x</m:t>
                  </m:r>
                </m:e>
              </m:d>
            </m:e>
            <m:sup>
              <m:r>
                <w:rPr>
                  <w:rFonts w:ascii="Cambria Math" w:hAnsi="Cambria Math"/>
                </w:rPr>
                <m:t>'</m:t>
              </m:r>
            </m:sup>
          </m:sSup>
          <m:r>
            <w:rPr>
              <w:rFonts w:ascii="Cambria Math" w:hAnsi="Cambria Math"/>
            </w:rPr>
            <m:t>Ψ</m:t>
          </m:r>
          <m:d>
            <m:dPr>
              <m:ctrlPr>
                <w:rPr>
                  <w:rFonts w:ascii="Cambria Math" w:hAnsi="Cambria Math"/>
                  <w:i/>
                </w:rPr>
              </m:ctrlPr>
            </m:dPr>
            <m:e>
              <m:r>
                <w:rPr>
                  <w:rFonts w:ascii="Cambria Math" w:hAnsi="Cambria Math"/>
                </w:rPr>
                <m:t>s-x</m:t>
              </m:r>
            </m:e>
          </m:d>
          <m:r>
            <w:rPr>
              <w:rFonts w:ascii="Cambria Math" w:hAnsi="Cambria Math"/>
            </w:rPr>
            <m:t xml:space="preserve">      Equação 2</m:t>
          </m:r>
        </m:oMath>
      </m:oMathPara>
    </w:p>
    <w:p w:rsidR="00BF6C4D" w:rsidRPr="00891E21" w:rsidRDefault="00BF6C4D" w:rsidP="00BF6C4D">
      <w:pPr>
        <w:spacing w:line="360" w:lineRule="auto"/>
        <w:ind w:firstLine="709"/>
        <w:rPr>
          <w:rStyle w:val="hps"/>
        </w:rPr>
      </w:pPr>
      <w:r w:rsidRPr="00891E21">
        <w:rPr>
          <w:rStyle w:val="hps"/>
        </w:rPr>
        <w:t xml:space="preserve">A relação entre o </w:t>
      </w:r>
      <w:r w:rsidRPr="00891E21">
        <w:rPr>
          <w:rStyle w:val="hps"/>
          <w:i/>
        </w:rPr>
        <w:t>G</w:t>
      </w:r>
      <w:r w:rsidRPr="00891E21">
        <w:rPr>
          <w:rStyle w:val="hps"/>
          <w:i/>
          <w:vertAlign w:val="subscript"/>
        </w:rPr>
        <w:t>s</w:t>
      </w:r>
      <w:r w:rsidRPr="00891E21">
        <w:rPr>
          <w:rStyle w:val="hps"/>
          <w:vertAlign w:val="subscript"/>
        </w:rPr>
        <w:t xml:space="preserve"> </w:t>
      </w:r>
      <w:r w:rsidRPr="00891E21">
        <w:rPr>
          <w:rStyle w:val="hps"/>
        </w:rPr>
        <w:t xml:space="preserve">e o </w:t>
      </w:r>
      <w:r w:rsidRPr="00891E21">
        <w:rPr>
          <w:rStyle w:val="hps"/>
          <w:i/>
        </w:rPr>
        <w:t>I</w:t>
      </w:r>
      <w:r w:rsidRPr="00891E21">
        <w:rPr>
          <w:rStyle w:val="hps"/>
        </w:rPr>
        <w:t xml:space="preserve"> de Moran pode ser escrita como:</w:t>
      </w:r>
    </w:p>
    <w:p w:rsidR="00BF6C4D" w:rsidRPr="00891E21" w:rsidRDefault="00D2730E" w:rsidP="00BF6C4D">
      <w:pPr>
        <w:spacing w:line="360" w:lineRule="auto"/>
        <w:ind w:firstLine="709"/>
        <w:rPr>
          <w:rStyle w:val="hps"/>
        </w:rPr>
      </w:pPr>
      <m:oMathPara>
        <m:oMath>
          <m:sSub>
            <m:sSubPr>
              <m:ctrlPr>
                <w:rPr>
                  <w:rStyle w:val="hps"/>
                  <w:rFonts w:ascii="Cambria Math" w:hAnsi="Cambria Math"/>
                  <w:i/>
                </w:rPr>
              </m:ctrlPr>
            </m:sSubPr>
            <m:e>
              <m:r>
                <w:rPr>
                  <w:rStyle w:val="hps"/>
                  <w:rFonts w:ascii="Cambria Math" w:hAnsi="Cambria Math"/>
                </w:rPr>
                <m:t>G</m:t>
              </m:r>
            </m:e>
            <m:sub>
              <m:r>
                <w:rPr>
                  <w:rStyle w:val="hps"/>
                  <w:rFonts w:ascii="Cambria Math" w:hAnsi="Cambria Math"/>
                </w:rPr>
                <m:t>s</m:t>
              </m:r>
            </m:sub>
          </m:sSub>
          <m:r>
            <w:rPr>
              <w:rStyle w:val="hps"/>
              <w:rFonts w:ascii="Cambria Math" w:hAnsi="Cambria Math"/>
            </w:rPr>
            <m:t>=G+</m:t>
          </m:r>
          <m:sSup>
            <m:sSupPr>
              <m:ctrlPr>
                <w:rPr>
                  <w:rStyle w:val="hps"/>
                  <w:rFonts w:ascii="Cambria Math" w:hAnsi="Cambria Math"/>
                  <w:i/>
                </w:rPr>
              </m:ctrlPr>
            </m:sSupPr>
            <m:e>
              <m:d>
                <m:dPr>
                  <m:ctrlPr>
                    <w:rPr>
                      <w:rStyle w:val="hps"/>
                      <w:rFonts w:ascii="Cambria Math" w:hAnsi="Cambria Math"/>
                      <w:i/>
                    </w:rPr>
                  </m:ctrlPr>
                </m:dPr>
                <m:e>
                  <m:r>
                    <w:rPr>
                      <w:rStyle w:val="hps"/>
                      <w:rFonts w:ascii="Cambria Math" w:hAnsi="Cambria Math"/>
                    </w:rPr>
                    <m:t>s-x</m:t>
                  </m:r>
                </m:e>
              </m:d>
            </m:e>
            <m:sup>
              <m:r>
                <w:rPr>
                  <w:rStyle w:val="hps"/>
                  <w:rFonts w:ascii="Cambria Math" w:hAnsi="Cambria Math"/>
                </w:rPr>
                <m:t>'</m:t>
              </m:r>
            </m:sup>
          </m:sSup>
          <m:r>
            <w:rPr>
              <w:rStyle w:val="hps"/>
              <w:rFonts w:ascii="Cambria Math" w:hAnsi="Cambria Math"/>
            </w:rPr>
            <m:t>W</m:t>
          </m:r>
          <m:d>
            <m:dPr>
              <m:ctrlPr>
                <w:rPr>
                  <w:rStyle w:val="hps"/>
                  <w:rFonts w:ascii="Cambria Math" w:hAnsi="Cambria Math"/>
                  <w:i/>
                </w:rPr>
              </m:ctrlPr>
            </m:dPr>
            <m:e>
              <m:r>
                <w:rPr>
                  <w:rStyle w:val="hps"/>
                  <w:rFonts w:ascii="Cambria Math" w:hAnsi="Cambria Math"/>
                </w:rPr>
                <m:t>s-x</m:t>
              </m:r>
            </m:e>
          </m:d>
          <m:r>
            <w:rPr>
              <w:rStyle w:val="hps"/>
              <w:rFonts w:ascii="Cambria Math" w:hAnsi="Cambria Math"/>
            </w:rPr>
            <m:t xml:space="preserve">    Equação 2.1</m:t>
          </m:r>
        </m:oMath>
      </m:oMathPara>
    </w:p>
    <w:p w:rsidR="00634D1C" w:rsidRDefault="00D2730E" w:rsidP="00634D1C">
      <w:pPr>
        <w:spacing w:line="360" w:lineRule="auto"/>
        <w:ind w:firstLine="709"/>
        <w:jc w:val="center"/>
        <w:rPr>
          <w:rStyle w:val="hps"/>
        </w:rPr>
      </w:pPr>
      <m:oMathPara>
        <m:oMath>
          <m:sSub>
            <m:sSubPr>
              <m:ctrlPr>
                <w:rPr>
                  <w:rStyle w:val="hps"/>
                  <w:rFonts w:ascii="Cambria Math" w:hAnsi="Cambria Math"/>
                  <w:i/>
                </w:rPr>
              </m:ctrlPr>
            </m:sSubPr>
            <m:e>
              <m:r>
                <w:rPr>
                  <w:rStyle w:val="hps"/>
                  <w:rFonts w:ascii="Cambria Math" w:hAnsi="Cambria Math"/>
                </w:rPr>
                <m:t>G</m:t>
              </m:r>
            </m:e>
            <m:sub>
              <m:r>
                <w:rPr>
                  <w:rStyle w:val="hps"/>
                  <w:rFonts w:ascii="Cambria Math" w:hAnsi="Cambria Math"/>
                </w:rPr>
                <m:t>s</m:t>
              </m:r>
            </m:sub>
          </m:sSub>
          <m:r>
            <w:rPr>
              <w:rStyle w:val="hps"/>
              <w:rFonts w:ascii="Cambria Math" w:hAnsi="Cambria Math"/>
            </w:rPr>
            <m:t>=G+</m:t>
          </m:r>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r>
            <w:rPr>
              <w:rStyle w:val="hps"/>
              <w:rFonts w:ascii="Cambria Math" w:hAnsi="Cambria Math"/>
            </w:rPr>
            <m:t>G                        Equação 2.2</m:t>
          </m:r>
        </m:oMath>
      </m:oMathPara>
    </w:p>
    <w:p w:rsidR="00BF6C4D" w:rsidRPr="00891E21" w:rsidRDefault="00634D1C" w:rsidP="008B3398">
      <w:pPr>
        <w:rPr>
          <w:rStyle w:val="hps"/>
        </w:rPr>
      </w:pPr>
      <w:r>
        <w:rPr>
          <w:rStyle w:val="hps"/>
        </w:rPr>
        <w:t>E</w:t>
      </w:r>
      <w:r w:rsidR="009C6941">
        <w:rPr>
          <w:rStyle w:val="hps"/>
        </w:rPr>
        <w:t>m que</w:t>
      </w:r>
      <w:r w:rsidR="00BF6C4D" w:rsidRPr="00891E21">
        <w:rPr>
          <w:rStyle w:val="hps"/>
        </w:rPr>
        <w:t xml:space="preserve">: </w:t>
      </w:r>
      <w:r w:rsidR="009C6941">
        <w:rPr>
          <w:rStyle w:val="hps"/>
        </w:rPr>
        <w:t>a</w:t>
      </w:r>
      <w:r w:rsidR="009C6941" w:rsidRPr="00891E21">
        <w:rPr>
          <w:rStyle w:val="hps"/>
        </w:rPr>
        <w:t>diciona</w:t>
      </w:r>
      <w:r w:rsidR="00BF6C4D" w:rsidRPr="00891E21">
        <w:rPr>
          <w:rStyle w:val="hps"/>
        </w:rPr>
        <w:t xml:space="preserve">-se o índice </w:t>
      </w:r>
      <w:r w:rsidR="00BF6C4D" w:rsidRPr="00891E21">
        <w:rPr>
          <w:rStyle w:val="hps"/>
          <w:i/>
        </w:rPr>
        <w:t>M</w:t>
      </w:r>
      <w:r w:rsidR="00BF6C4D" w:rsidRPr="00891E21">
        <w:rPr>
          <w:rStyle w:val="hps"/>
          <w:i/>
          <w:vertAlign w:val="subscript"/>
        </w:rPr>
        <w:t>D</w:t>
      </w:r>
      <w:r w:rsidR="00BF6C4D" w:rsidRPr="00891E21">
        <w:rPr>
          <w:rStyle w:val="hps"/>
        </w:rPr>
        <w:t xml:space="preserve"> para realçar o fato de </w:t>
      </w:r>
      <w:r w:rsidR="00BF6C4D" w:rsidRPr="00891E21">
        <w:rPr>
          <w:rStyle w:val="hps"/>
          <w:i/>
        </w:rPr>
        <w:t xml:space="preserve">I </w:t>
      </w:r>
      <w:r w:rsidR="00BF6C4D" w:rsidRPr="00891E21">
        <w:rPr>
          <w:rStyle w:val="hps"/>
        </w:rPr>
        <w:t>de Moran ser aplicado em diferentes regiões.</w:t>
      </w:r>
    </w:p>
    <w:p w:rsidR="00BF6C4D" w:rsidRPr="00891E21" w:rsidRDefault="00BF6C4D" w:rsidP="008B3398">
      <w:pPr>
        <w:ind w:firstLine="709"/>
        <w:rPr>
          <w:rStyle w:val="hps"/>
        </w:rPr>
      </w:pPr>
      <w:r w:rsidRPr="00891E21">
        <w:rPr>
          <w:rStyle w:val="hps"/>
        </w:rPr>
        <w:lastRenderedPageBreak/>
        <w:t xml:space="preserve">Utilizando o </w:t>
      </w:r>
      <w:r w:rsidRPr="00891E21">
        <w:rPr>
          <w:rStyle w:val="hps"/>
          <w:i/>
        </w:rPr>
        <w:t>G</w:t>
      </w:r>
      <w:r w:rsidRPr="00891E21">
        <w:rPr>
          <w:rStyle w:val="hps"/>
          <w:i/>
          <w:vertAlign w:val="subscript"/>
        </w:rPr>
        <w:t>s</w:t>
      </w:r>
      <w:r w:rsidRPr="00891E21">
        <w:rPr>
          <w:rStyle w:val="hps"/>
        </w:rPr>
        <w:t xml:space="preserve"> como ponto de partida, o autor supracitado também destacou a aplicação do procedimento do índice Ellison e Glaeser (1997</w:t>
      </w:r>
      <w:proofErr w:type="gramStart"/>
      <w:r w:rsidRPr="00891E21">
        <w:rPr>
          <w:rStyle w:val="hps"/>
        </w:rPr>
        <w:t>)</w:t>
      </w:r>
      <w:proofErr w:type="gramEnd"/>
      <w:r w:rsidR="009D3CF2">
        <w:rPr>
          <w:rStyle w:val="Refdenotaderodap"/>
        </w:rPr>
        <w:footnoteReference w:id="4"/>
      </w:r>
      <w:r w:rsidRPr="00891E21">
        <w:rPr>
          <w:rStyle w:val="hps"/>
        </w:rPr>
        <w:t xml:space="preserve">, derivando uma versão espacialmente ponderada deste índice </w:t>
      </w:r>
      <w:r w:rsidRPr="00891E21">
        <w:rPr>
          <w:rStyle w:val="hps"/>
          <w:i/>
        </w:rPr>
        <w:t>EG (</w:t>
      </w:r>
      <m:oMath>
        <m:acc>
          <m:accPr>
            <m:ctrlPr>
              <w:rPr>
                <w:rStyle w:val="hps"/>
                <w:rFonts w:ascii="Cambria Math" w:hAnsi="Cambria Math"/>
                <w:i/>
              </w:rPr>
            </m:ctrlPr>
          </m:accPr>
          <m:e>
            <m:r>
              <w:rPr>
                <w:rStyle w:val="hps"/>
                <w:rFonts w:ascii="Cambria Math" w:hAnsi="Cambria Math"/>
              </w:rPr>
              <m:t>γ</m:t>
            </m:r>
          </m:e>
        </m:acc>
      </m:oMath>
      <w:r w:rsidRPr="00891E21">
        <w:rPr>
          <w:rStyle w:val="hps"/>
        </w:rPr>
        <w:t>). Aplicando a versão ponderada do índice de Ellison e Glaeser</w:t>
      </w:r>
      <w:r w:rsidR="003A0680">
        <w:rPr>
          <w:rStyle w:val="hps"/>
        </w:rPr>
        <w:t>,</w:t>
      </w:r>
      <w:r w:rsidRPr="00891E21">
        <w:rPr>
          <w:rStyle w:val="hps"/>
        </w:rPr>
        <w:t xml:space="preserve"> obtém-se a seguinte equação</w:t>
      </w:r>
      <w:r w:rsidRPr="00891E21">
        <w:rPr>
          <w:rStyle w:val="Refdenotaderodap"/>
        </w:rPr>
        <w:footnoteReference w:id="5"/>
      </w:r>
      <w:r w:rsidRPr="00891E21">
        <w:rPr>
          <w:rStyle w:val="hps"/>
        </w:rPr>
        <w:t>:</w:t>
      </w:r>
    </w:p>
    <w:p w:rsidR="00BF6C4D" w:rsidRPr="00891E21" w:rsidRDefault="00D2730E" w:rsidP="00BF6C4D">
      <w:pPr>
        <w:spacing w:line="360" w:lineRule="auto"/>
        <w:ind w:firstLine="709"/>
        <w:rPr>
          <w:rStyle w:val="hps"/>
        </w:rPr>
      </w:pPr>
      <m:oMathPara>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r>
            <w:rPr>
              <w:rStyle w:val="hps"/>
              <w:rFonts w:ascii="Cambria Math" w:hAnsi="Cambria Math"/>
            </w:rPr>
            <m:t>=</m:t>
          </m:r>
          <m:f>
            <m:fPr>
              <m:ctrlPr>
                <w:rPr>
                  <w:rStyle w:val="hps"/>
                  <w:rFonts w:ascii="Cambria Math" w:hAnsi="Cambria Math"/>
                  <w:i/>
                </w:rPr>
              </m:ctrlPr>
            </m:fPr>
            <m:num>
              <m:sSub>
                <m:sSubPr>
                  <m:ctrlPr>
                    <w:rPr>
                      <w:rStyle w:val="hps"/>
                      <w:rFonts w:ascii="Cambria Math" w:hAnsi="Cambria Math"/>
                      <w:i/>
                    </w:rPr>
                  </m:ctrlPr>
                </m:sSubPr>
                <m:e>
                  <m:r>
                    <w:rPr>
                      <w:rStyle w:val="hps"/>
                      <w:rFonts w:ascii="Cambria Math" w:hAnsi="Cambria Math"/>
                    </w:rPr>
                    <m:t>G</m:t>
                  </m:r>
                </m:e>
                <m:sub>
                  <m:r>
                    <w:rPr>
                      <w:rStyle w:val="hps"/>
                      <w:rFonts w:ascii="Cambria Math" w:hAnsi="Cambria Math"/>
                    </w:rPr>
                    <m:t>s</m:t>
                  </m:r>
                </m:sub>
              </m:sSub>
              <m:r>
                <w:rPr>
                  <w:rStyle w:val="hps"/>
                  <w:rFonts w:ascii="Cambria Math" w:hAnsi="Cambria Math"/>
                </w:rPr>
                <m:t>-</m:t>
              </m:r>
              <m:sSub>
                <m:sSubPr>
                  <m:ctrlPr>
                    <w:rPr>
                      <w:rStyle w:val="hps"/>
                      <w:rFonts w:ascii="Cambria Math" w:hAnsi="Cambria Math"/>
                      <w:i/>
                    </w:rPr>
                  </m:ctrlPr>
                </m:sSubPr>
                <m:e>
                  <m:r>
                    <w:rPr>
                      <w:rStyle w:val="hps"/>
                      <w:rFonts w:ascii="Cambria Math" w:hAnsi="Cambria Math"/>
                    </w:rPr>
                    <m:t>H</m:t>
                  </m:r>
                </m:e>
                <m:sub>
                  <m:r>
                    <w:rPr>
                      <w:rStyle w:val="hps"/>
                      <w:rFonts w:ascii="Cambria Math" w:hAnsi="Cambria Math"/>
                    </w:rPr>
                    <m:t>I</m:t>
                  </m:r>
                </m:sub>
              </m:sSub>
              <m:r>
                <w:rPr>
                  <w:rStyle w:val="hps"/>
                  <w:rFonts w:ascii="Cambria Math" w:hAnsi="Cambria Math"/>
                </w:rPr>
                <m:t>(1-</m:t>
              </m:r>
              <m:sSup>
                <m:sSupPr>
                  <m:ctrlPr>
                    <w:rPr>
                      <w:rStyle w:val="hps"/>
                      <w:rFonts w:ascii="Cambria Math" w:hAnsi="Cambria Math"/>
                      <w:i/>
                    </w:rPr>
                  </m:ctrlPr>
                </m:sSupPr>
                <m:e>
                  <m:r>
                    <w:rPr>
                      <w:rStyle w:val="hps"/>
                      <w:rFonts w:ascii="Cambria Math" w:hAnsi="Cambria Math"/>
                    </w:rPr>
                    <m:t>x</m:t>
                  </m:r>
                </m:e>
                <m:sup>
                  <m:r>
                    <w:rPr>
                      <w:rStyle w:val="hps"/>
                      <w:rFonts w:ascii="Cambria Math" w:hAnsi="Cambria Math"/>
                    </w:rPr>
                    <m:t>'</m:t>
                  </m:r>
                </m:sup>
              </m:sSup>
              <m:r>
                <w:rPr>
                  <w:rStyle w:val="hps"/>
                  <w:rFonts w:ascii="Cambria Math" w:hAnsi="Cambria Math"/>
                </w:rPr>
                <m:t>Ψx)</m:t>
              </m:r>
            </m:num>
            <m:den>
              <m:d>
                <m:dPr>
                  <m:ctrlPr>
                    <w:rPr>
                      <w:rStyle w:val="hps"/>
                      <w:rFonts w:ascii="Cambria Math" w:hAnsi="Cambria Math"/>
                      <w:i/>
                    </w:rPr>
                  </m:ctrlPr>
                </m:dPr>
                <m:e>
                  <m:r>
                    <w:rPr>
                      <w:rStyle w:val="hps"/>
                      <w:rFonts w:ascii="Cambria Math" w:hAnsi="Cambria Math"/>
                    </w:rPr>
                    <m:t>1-</m:t>
                  </m:r>
                  <m:sSub>
                    <m:sSubPr>
                      <m:ctrlPr>
                        <w:rPr>
                          <w:rStyle w:val="hps"/>
                          <w:rFonts w:ascii="Cambria Math" w:hAnsi="Cambria Math"/>
                          <w:i/>
                        </w:rPr>
                      </m:ctrlPr>
                    </m:sSubPr>
                    <m:e>
                      <m:r>
                        <w:rPr>
                          <w:rStyle w:val="hps"/>
                          <w:rFonts w:ascii="Cambria Math" w:hAnsi="Cambria Math"/>
                        </w:rPr>
                        <m:t>H</m:t>
                      </m:r>
                    </m:e>
                    <m:sub>
                      <m:r>
                        <w:rPr>
                          <w:rStyle w:val="hps"/>
                          <w:rFonts w:ascii="Cambria Math" w:hAnsi="Cambria Math"/>
                        </w:rPr>
                        <m:t>I</m:t>
                      </m:r>
                    </m:sub>
                  </m:sSub>
                </m:e>
              </m:d>
              <m:d>
                <m:dPr>
                  <m:ctrlPr>
                    <w:rPr>
                      <w:rStyle w:val="hps"/>
                      <w:rFonts w:ascii="Cambria Math" w:hAnsi="Cambria Math"/>
                      <w:i/>
                    </w:rPr>
                  </m:ctrlPr>
                </m:dPr>
                <m:e>
                  <m:r>
                    <w:rPr>
                      <w:rStyle w:val="hps"/>
                      <w:rFonts w:ascii="Cambria Math" w:hAnsi="Cambria Math"/>
                    </w:rPr>
                    <m:t>1-x'Ψx</m:t>
                  </m:r>
                </m:e>
              </m:d>
            </m:den>
          </m:f>
          <m:r>
            <w:rPr>
              <w:rStyle w:val="hps"/>
              <w:rFonts w:ascii="Cambria Math" w:hAnsi="Cambria Math"/>
            </w:rPr>
            <m:t xml:space="preserve">      Equação 3</m:t>
          </m:r>
        </m:oMath>
      </m:oMathPara>
    </w:p>
    <w:p w:rsidR="00BF6C4D" w:rsidRPr="00891E21" w:rsidRDefault="00BF6C4D" w:rsidP="008B3398">
      <w:pPr>
        <w:ind w:firstLine="709"/>
        <w:rPr>
          <w:rStyle w:val="hps"/>
        </w:rPr>
      </w:pPr>
      <w:r w:rsidRPr="00891E21">
        <w:rPr>
          <w:rStyle w:val="hps"/>
        </w:rPr>
        <w:t xml:space="preserve">Para </w:t>
      </w:r>
      <m:oMath>
        <m:r>
          <w:rPr>
            <w:rStyle w:val="hps"/>
            <w:rFonts w:ascii="Cambria Math" w:hAnsi="Cambria Math"/>
          </w:rPr>
          <m:t>Ψ=Id</m:t>
        </m:r>
      </m:oMath>
      <w:r w:rsidRPr="00891E21">
        <w:rPr>
          <w:rStyle w:val="hps"/>
        </w:rPr>
        <w:t xml:space="preserve">, o índice cai à medida que </w:t>
      </w:r>
      <w:r w:rsidR="003A0680">
        <w:rPr>
          <w:rStyle w:val="hps"/>
        </w:rPr>
        <w:t xml:space="preserve">se </w:t>
      </w:r>
      <w:r w:rsidRPr="00891E21">
        <w:rPr>
          <w:rStyle w:val="hps"/>
        </w:rPr>
        <w:t xml:space="preserve">considera o </w:t>
      </w:r>
      <w:r w:rsidRPr="00891E21">
        <w:rPr>
          <w:rStyle w:val="hps"/>
          <w:i/>
        </w:rPr>
        <w:t>EG</w:t>
      </w:r>
      <w:r w:rsidRPr="00891E21">
        <w:rPr>
          <w:rStyle w:val="hps"/>
        </w:rPr>
        <w:t xml:space="preserve"> padrão </w:t>
      </w:r>
      <w:r w:rsidRPr="00891E21">
        <w:rPr>
          <w:rStyle w:val="hps"/>
          <w:i/>
        </w:rPr>
        <w:t>(</w:t>
      </w:r>
      <m:oMath>
        <m:acc>
          <m:accPr>
            <m:ctrlPr>
              <w:rPr>
                <w:rStyle w:val="hps"/>
                <w:rFonts w:ascii="Cambria Math" w:hAnsi="Cambria Math"/>
                <w:i/>
              </w:rPr>
            </m:ctrlPr>
          </m:accPr>
          <m:e>
            <m:r>
              <w:rPr>
                <w:rStyle w:val="hps"/>
                <w:rFonts w:ascii="Cambria Math" w:hAnsi="Cambria Math"/>
              </w:rPr>
              <m:t>γ</m:t>
            </m:r>
          </m:e>
        </m:acc>
      </m:oMath>
      <w:r w:rsidRPr="00891E21">
        <w:rPr>
          <w:rStyle w:val="hps"/>
        </w:rPr>
        <w:t xml:space="preserve">). Com o efeito dos vizinhos, </w:t>
      </w:r>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oMath>
      <w:r w:rsidRPr="00891E21">
        <w:rPr>
          <w:rStyle w:val="hps"/>
        </w:rPr>
        <w:t xml:space="preserve"> é uma re-parametrização do índice </w:t>
      </w:r>
      <w:r w:rsidRPr="00891E21">
        <w:rPr>
          <w:rStyle w:val="hps"/>
          <w:i/>
        </w:rPr>
        <w:t>G</w:t>
      </w:r>
      <w:r w:rsidRPr="00891E21">
        <w:rPr>
          <w:rStyle w:val="hps"/>
          <w:i/>
          <w:vertAlign w:val="subscript"/>
        </w:rPr>
        <w:t>s</w:t>
      </w:r>
      <w:r w:rsidRPr="00891E21">
        <w:rPr>
          <w:rStyle w:val="hps"/>
        </w:rPr>
        <w:t xml:space="preserve"> e, como tal, comporta</w:t>
      </w:r>
      <w:r w:rsidR="00E942E8">
        <w:rPr>
          <w:rStyle w:val="hps"/>
        </w:rPr>
        <w:t>-se</w:t>
      </w:r>
      <w:r w:rsidRPr="00891E21">
        <w:rPr>
          <w:rStyle w:val="hps"/>
        </w:rPr>
        <w:t xml:space="preserve"> monotonicamente com </w:t>
      </w:r>
      <w:r w:rsidRPr="00891E21">
        <w:rPr>
          <w:rStyle w:val="hps"/>
          <w:i/>
        </w:rPr>
        <w:t>G</w:t>
      </w:r>
      <w:r w:rsidRPr="00891E21">
        <w:rPr>
          <w:rStyle w:val="hps"/>
          <w:i/>
          <w:vertAlign w:val="subscript"/>
        </w:rPr>
        <w:t>s</w:t>
      </w:r>
      <w:r w:rsidRPr="00891E21">
        <w:rPr>
          <w:rStyle w:val="hps"/>
        </w:rPr>
        <w:t xml:space="preserve"> de uma estrutura de dados espaciais </w:t>
      </w:r>
      <w:r w:rsidRPr="00891E21">
        <w:rPr>
          <w:rStyle w:val="hps"/>
          <w:i/>
        </w:rPr>
        <w:t>(Ψ)</w:t>
      </w:r>
      <w:r w:rsidRPr="00891E21">
        <w:rPr>
          <w:rStyle w:val="hps"/>
        </w:rPr>
        <w:t xml:space="preserve"> e a distribuição de referência </w:t>
      </w:r>
      <w:r w:rsidRPr="00891E21">
        <w:rPr>
          <w:rStyle w:val="hps"/>
          <w:i/>
        </w:rPr>
        <w:t>(x)</w:t>
      </w:r>
      <w:r w:rsidRPr="00891E21">
        <w:rPr>
          <w:rStyle w:val="hps"/>
        </w:rPr>
        <w:t xml:space="preserve">. Este </w:t>
      </w:r>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oMath>
      <w:r w:rsidRPr="00891E21">
        <w:rPr>
          <w:rStyle w:val="hps"/>
        </w:rPr>
        <w:t xml:space="preserve"> significa que também é monotonicamente relacionado com </w:t>
      </w:r>
      <m:oMath>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oMath>
      <w:r w:rsidRPr="00891E21">
        <w:rPr>
          <w:rStyle w:val="hps"/>
        </w:rPr>
        <w:t xml:space="preserve"> (</w:t>
      </w:r>
      <w:r w:rsidRPr="00891E21">
        <w:rPr>
          <w:rStyle w:val="hps"/>
          <w:i/>
        </w:rPr>
        <w:t>I</w:t>
      </w:r>
      <w:r w:rsidRPr="00891E21">
        <w:rPr>
          <w:rStyle w:val="hps"/>
        </w:rPr>
        <w:t xml:space="preserve"> de Moran aplicado a diferenças nas suas ações). É possível demonstrar que</w:t>
      </w:r>
      <w:r w:rsidRPr="00891E21">
        <w:rPr>
          <w:rStyle w:val="Refdenotaderodap"/>
        </w:rPr>
        <w:footnoteReference w:id="6"/>
      </w:r>
      <w:r w:rsidRPr="00891E21">
        <w:rPr>
          <w:rStyle w:val="hps"/>
        </w:rPr>
        <w:t>:</w:t>
      </w:r>
    </w:p>
    <w:p w:rsidR="00BF6C4D" w:rsidRPr="00891E21" w:rsidRDefault="00D2730E" w:rsidP="00BF6C4D">
      <w:pPr>
        <w:spacing w:line="360" w:lineRule="auto"/>
        <w:ind w:firstLine="709"/>
        <w:rPr>
          <w:rStyle w:val="hps"/>
        </w:rPr>
      </w:pPr>
      <m:oMathPara>
        <m:oMath>
          <m:sSubSup>
            <m:sSubSupPr>
              <m:ctrlPr>
                <w:rPr>
                  <w:rStyle w:val="hps"/>
                  <w:rFonts w:ascii="Cambria Math" w:hAnsi="Cambria Math"/>
                  <w:i/>
                </w:rPr>
              </m:ctrlPr>
            </m:sSubSupPr>
            <m:e>
              <m:acc>
                <m:accPr>
                  <m:ctrlPr>
                    <w:rPr>
                      <w:rStyle w:val="hps"/>
                      <w:rFonts w:ascii="Cambria Math" w:hAnsi="Cambria Math"/>
                      <w:i/>
                    </w:rPr>
                  </m:ctrlPr>
                </m:accPr>
                <m:e>
                  <m:r>
                    <w:rPr>
                      <w:rStyle w:val="hps"/>
                      <w:rFonts w:ascii="Cambria Math" w:hAnsi="Cambria Math"/>
                    </w:rPr>
                    <m:t>γ</m:t>
                  </m:r>
                </m:e>
              </m:acc>
            </m:e>
            <m:sub>
              <m:r>
                <w:rPr>
                  <w:rStyle w:val="hps"/>
                  <w:rFonts w:ascii="Cambria Math" w:hAnsi="Cambria Math"/>
                </w:rPr>
                <m:t>s</m:t>
              </m:r>
            </m:sub>
            <m:sup>
              <m:r>
                <w:rPr>
                  <w:rStyle w:val="hps"/>
                  <w:rFonts w:ascii="Cambria Math" w:hAnsi="Cambria Math"/>
                </w:rPr>
                <m:t>*</m:t>
              </m:r>
            </m:sup>
          </m:sSubSup>
          <m:r>
            <w:rPr>
              <w:rStyle w:val="hps"/>
              <w:rFonts w:ascii="Cambria Math" w:hAnsi="Cambria Math"/>
            </w:rPr>
            <m:t>=</m:t>
          </m:r>
          <m:sSub>
            <m:sSubPr>
              <m:ctrlPr>
                <w:rPr>
                  <w:rStyle w:val="hps"/>
                  <w:rFonts w:ascii="Cambria Math" w:hAnsi="Cambria Math"/>
                  <w:i/>
                </w:rPr>
              </m:ctrlPr>
            </m:sSubPr>
            <m:e>
              <m:acc>
                <m:accPr>
                  <m:ctrlPr>
                    <w:rPr>
                      <w:rStyle w:val="hps"/>
                      <w:rFonts w:ascii="Cambria Math" w:hAnsi="Cambria Math"/>
                      <w:i/>
                    </w:rPr>
                  </m:ctrlPr>
                </m:accPr>
                <m:e>
                  <m:r>
                    <w:rPr>
                      <w:rStyle w:val="hps"/>
                      <w:rFonts w:ascii="Cambria Math" w:hAnsi="Cambria Math"/>
                    </w:rPr>
                    <m:t>γ</m:t>
                  </m:r>
                </m:e>
              </m:acc>
            </m:e>
            <m:sub>
              <m:r>
                <w:rPr>
                  <w:rStyle w:val="hps"/>
                  <w:rFonts w:ascii="Cambria Math" w:hAnsi="Cambria Math"/>
                </w:rPr>
                <m:t>*</m:t>
              </m:r>
            </m:sub>
          </m:sSub>
          <m:d>
            <m:dPr>
              <m:ctrlPr>
                <w:rPr>
                  <w:rStyle w:val="hps"/>
                  <w:rFonts w:ascii="Cambria Math" w:hAnsi="Cambria Math"/>
                  <w:i/>
                </w:rPr>
              </m:ctrlPr>
            </m:dPr>
            <m:e>
              <m:r>
                <w:rPr>
                  <w:rStyle w:val="hps"/>
                  <w:rFonts w:ascii="Cambria Math" w:hAnsi="Cambria Math"/>
                </w:rPr>
                <m:t>1+</m:t>
              </m:r>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e>
          </m:d>
          <m:sSub>
            <m:sSubPr>
              <m:ctrlPr>
                <w:rPr>
                  <w:rStyle w:val="hps"/>
                  <w:rFonts w:ascii="Cambria Math" w:hAnsi="Cambria Math"/>
                  <w:i/>
                </w:rPr>
              </m:ctrlPr>
            </m:sSubPr>
            <m:e>
              <m:r>
                <w:rPr>
                  <w:rStyle w:val="hps"/>
                  <w:rFonts w:ascii="Cambria Math" w:hAnsi="Cambria Math"/>
                </w:rPr>
                <m:t>k</m:t>
              </m:r>
            </m:e>
            <m:sub>
              <m:r>
                <w:rPr>
                  <w:rStyle w:val="hps"/>
                  <w:rFonts w:ascii="Cambria Math" w:hAnsi="Cambria Math"/>
                </w:rPr>
                <m:t xml:space="preserve">2     </m:t>
              </m:r>
            </m:sub>
          </m:sSub>
          <m:r>
            <w:rPr>
              <w:rStyle w:val="hps"/>
              <w:rFonts w:ascii="Cambria Math" w:hAnsi="Cambria Math"/>
            </w:rPr>
            <m:t xml:space="preserve">       Equação 3.1</m:t>
          </m:r>
        </m:oMath>
      </m:oMathPara>
    </w:p>
    <w:p w:rsidR="006C22A8" w:rsidRDefault="00E942E8" w:rsidP="008B3398">
      <w:pPr>
        <w:pStyle w:val="Recuodecorpodetexto"/>
        <w:spacing w:after="0"/>
        <w:ind w:left="0"/>
        <w:rPr>
          <w:rStyle w:val="hps"/>
        </w:rPr>
      </w:pPr>
      <w:r>
        <w:rPr>
          <w:rStyle w:val="hps"/>
        </w:rPr>
        <w:t>Em que</w:t>
      </w:r>
      <w:r w:rsidR="00BF6C4D" w:rsidRPr="00891E21">
        <w:rPr>
          <w:rStyle w:val="hps"/>
        </w:rPr>
        <w:t xml:space="preserve">: </w:t>
      </w:r>
      <w:r w:rsidR="00BF6C4D" w:rsidRPr="00891E21">
        <w:rPr>
          <w:rStyle w:val="hps"/>
          <w:i/>
        </w:rPr>
        <w:t>k</w:t>
      </w:r>
      <w:r w:rsidR="00BF6C4D" w:rsidRPr="00891E21">
        <w:rPr>
          <w:rStyle w:val="hps"/>
          <w:i/>
          <w:vertAlign w:val="subscript"/>
        </w:rPr>
        <w:t>2</w:t>
      </w:r>
      <w:r w:rsidR="00BF6C4D" w:rsidRPr="00891E21">
        <w:rPr>
          <w:rStyle w:val="hps"/>
        </w:rPr>
        <w:t xml:space="preserve"> é uma constante igual a </w:t>
      </w:r>
      <m:oMath>
        <m:f>
          <m:fPr>
            <m:ctrlPr>
              <w:rPr>
                <w:rStyle w:val="hps"/>
                <w:rFonts w:ascii="Cambria Math" w:hAnsi="Cambria Math"/>
                <w:i/>
              </w:rPr>
            </m:ctrlPr>
          </m:fPr>
          <m:num>
            <m:r>
              <w:rPr>
                <w:rStyle w:val="hps"/>
                <w:rFonts w:ascii="Cambria Math" w:hAnsi="Cambria Math"/>
              </w:rPr>
              <m:t>1-x'x</m:t>
            </m:r>
          </m:num>
          <m:den>
            <m:r>
              <w:rPr>
                <w:rStyle w:val="hps"/>
                <w:rFonts w:ascii="Cambria Math" w:hAnsi="Cambria Math"/>
              </w:rPr>
              <m:t>1-x'Ψx</m:t>
            </m:r>
          </m:den>
        </m:f>
      </m:oMath>
      <w:r w:rsidR="00BF6C4D" w:rsidRPr="00891E21">
        <w:rPr>
          <w:rStyle w:val="hps"/>
        </w:rPr>
        <w:t xml:space="preserve"> e </w:t>
      </w:r>
      <m:oMath>
        <m:sSubSup>
          <m:sSubSupPr>
            <m:ctrlPr>
              <w:rPr>
                <w:rStyle w:val="hps"/>
                <w:rFonts w:ascii="Cambria Math" w:hAnsi="Cambria Math"/>
                <w:i/>
              </w:rPr>
            </m:ctrlPr>
          </m:sSubSupPr>
          <m:e>
            <m:acc>
              <m:accPr>
                <m:ctrlPr>
                  <w:rPr>
                    <w:rStyle w:val="hps"/>
                    <w:rFonts w:ascii="Cambria Math" w:hAnsi="Cambria Math"/>
                    <w:i/>
                  </w:rPr>
                </m:ctrlPr>
              </m:accPr>
              <m:e>
                <m:r>
                  <w:rPr>
                    <w:rStyle w:val="hps"/>
                    <w:rFonts w:ascii="Cambria Math" w:hAnsi="Cambria Math"/>
                  </w:rPr>
                  <m:t>γ</m:t>
                </m:r>
              </m:e>
            </m:acc>
          </m:e>
          <m:sub>
            <m:r>
              <w:rPr>
                <w:rStyle w:val="hps"/>
                <w:rFonts w:ascii="Cambria Math" w:hAnsi="Cambria Math"/>
              </w:rPr>
              <m:t>s</m:t>
            </m:r>
          </m:sub>
          <m:sup>
            <m:r>
              <w:rPr>
                <w:rStyle w:val="hps"/>
                <w:rFonts w:ascii="Cambria Math" w:hAnsi="Cambria Math"/>
              </w:rPr>
              <m:t>*</m:t>
            </m:r>
          </m:sup>
        </m:sSubSup>
      </m:oMath>
      <w:r w:rsidR="00BF6C4D" w:rsidRPr="00891E21">
        <w:rPr>
          <w:rStyle w:val="hps"/>
        </w:rPr>
        <w:t xml:space="preserve"> e </w:t>
      </w:r>
      <m:oMath>
        <m:sSub>
          <m:sSubPr>
            <m:ctrlPr>
              <w:rPr>
                <w:rStyle w:val="hps"/>
                <w:rFonts w:ascii="Cambria Math" w:hAnsi="Cambria Math"/>
                <w:i/>
              </w:rPr>
            </m:ctrlPr>
          </m:sSubPr>
          <m:e>
            <m:acc>
              <m:accPr>
                <m:ctrlPr>
                  <w:rPr>
                    <w:rStyle w:val="hps"/>
                    <w:rFonts w:ascii="Cambria Math" w:hAnsi="Cambria Math"/>
                    <w:i/>
                  </w:rPr>
                </m:ctrlPr>
              </m:accPr>
              <m:e>
                <m:r>
                  <w:rPr>
                    <w:rStyle w:val="hps"/>
                    <w:rFonts w:ascii="Cambria Math" w:hAnsi="Cambria Math"/>
                  </w:rPr>
                  <m:t>γ</m:t>
                </m:r>
              </m:e>
            </m:acc>
          </m:e>
          <m:sub>
            <m:r>
              <w:rPr>
                <w:rStyle w:val="hps"/>
                <w:rFonts w:ascii="Cambria Math" w:hAnsi="Cambria Math"/>
              </w:rPr>
              <m:t>*</m:t>
            </m:r>
          </m:sub>
        </m:sSub>
      </m:oMath>
      <w:r w:rsidR="00BF6C4D" w:rsidRPr="00891E21">
        <w:rPr>
          <w:rStyle w:val="hps"/>
        </w:rPr>
        <w:t xml:space="preserve"> são versões redimensionadas de </w:t>
      </w:r>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oMath>
      <w:r w:rsidR="00BF6C4D" w:rsidRPr="00891E21">
        <w:rPr>
          <w:rStyle w:val="hps"/>
        </w:rPr>
        <w:t xml:space="preserve"> e </w:t>
      </w:r>
      <m:oMath>
        <m:acc>
          <m:accPr>
            <m:ctrlPr>
              <w:rPr>
                <w:rStyle w:val="hps"/>
                <w:rFonts w:ascii="Cambria Math" w:hAnsi="Cambria Math"/>
                <w:i/>
              </w:rPr>
            </m:ctrlPr>
          </m:accPr>
          <m:e>
            <m:r>
              <w:rPr>
                <w:rStyle w:val="hps"/>
                <w:rFonts w:ascii="Cambria Math" w:hAnsi="Cambria Math"/>
              </w:rPr>
              <m:t>γ</m:t>
            </m:r>
          </m:e>
        </m:acc>
      </m:oMath>
      <w:r w:rsidR="00BF6C4D" w:rsidRPr="00891E21">
        <w:rPr>
          <w:rStyle w:val="hps"/>
        </w:rPr>
        <w:t xml:space="preserve">. Em essência, Guimarães </w:t>
      </w:r>
      <w:proofErr w:type="gramStart"/>
      <w:r w:rsidR="00BF6C4D" w:rsidRPr="00891E21">
        <w:rPr>
          <w:rStyle w:val="hps"/>
          <w:i/>
        </w:rPr>
        <w:t>et</w:t>
      </w:r>
      <w:proofErr w:type="gramEnd"/>
      <w:r w:rsidR="00BF6C4D" w:rsidRPr="00891E21">
        <w:rPr>
          <w:rStyle w:val="hps"/>
          <w:i/>
        </w:rPr>
        <w:t xml:space="preserve"> al.</w:t>
      </w:r>
      <w:r w:rsidR="00BF6C4D" w:rsidRPr="00891E21">
        <w:rPr>
          <w:rStyle w:val="hps"/>
        </w:rPr>
        <w:t xml:space="preserve"> (2011) propõem uma aplicação de um “fator inflacionário” comum de </w:t>
      </w:r>
      <m:oMath>
        <m:d>
          <m:dPr>
            <m:ctrlPr>
              <w:rPr>
                <w:rStyle w:val="hps"/>
                <w:rFonts w:ascii="Cambria Math" w:hAnsi="Cambria Math"/>
                <w:i/>
              </w:rPr>
            </m:ctrlPr>
          </m:dPr>
          <m:e>
            <m:r>
              <w:rPr>
                <w:rStyle w:val="hps"/>
                <w:rFonts w:ascii="Cambria Math" w:hAnsi="Cambria Math"/>
              </w:rPr>
              <m:t>1+</m:t>
            </m:r>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e>
        </m:d>
        <m:sSub>
          <m:sSubPr>
            <m:ctrlPr>
              <w:rPr>
                <w:rStyle w:val="hps"/>
                <w:rFonts w:ascii="Cambria Math" w:hAnsi="Cambria Math"/>
                <w:i/>
              </w:rPr>
            </m:ctrlPr>
          </m:sSubPr>
          <m:e>
            <m:r>
              <w:rPr>
                <w:rStyle w:val="hps"/>
                <w:rFonts w:ascii="Cambria Math" w:hAnsi="Cambria Math"/>
              </w:rPr>
              <m:t>k</m:t>
            </m:r>
          </m:e>
          <m:sub>
            <m:r>
              <w:rPr>
                <w:rStyle w:val="hps"/>
                <w:rFonts w:ascii="Cambria Math" w:hAnsi="Cambria Math"/>
              </w:rPr>
              <m:t>2</m:t>
            </m:r>
          </m:sub>
        </m:sSub>
      </m:oMath>
      <w:r w:rsidR="00BF6C4D" w:rsidRPr="00891E21">
        <w:rPr>
          <w:rStyle w:val="hps"/>
        </w:rPr>
        <w:t xml:space="preserve"> ao índice </w:t>
      </w:r>
      <w:r w:rsidR="00BF6C4D" w:rsidRPr="00891E21">
        <w:rPr>
          <w:rStyle w:val="hps"/>
          <w:i/>
        </w:rPr>
        <w:t>EG (</w:t>
      </w:r>
      <m:oMath>
        <m:acc>
          <m:accPr>
            <m:ctrlPr>
              <w:rPr>
                <w:rStyle w:val="hps"/>
                <w:rFonts w:ascii="Cambria Math" w:hAnsi="Cambria Math"/>
                <w:i/>
              </w:rPr>
            </m:ctrlPr>
          </m:accPr>
          <m:e>
            <m:r>
              <w:rPr>
                <w:rStyle w:val="hps"/>
                <w:rFonts w:ascii="Cambria Math" w:hAnsi="Cambria Math"/>
              </w:rPr>
              <m:t>γ</m:t>
            </m:r>
          </m:e>
        </m:acc>
      </m:oMath>
      <w:r w:rsidR="00BF6C4D" w:rsidRPr="00891E21">
        <w:rPr>
          <w:rStyle w:val="hps"/>
        </w:rPr>
        <w:t xml:space="preserve">) para explicar o nível de autocorrelação espacial entre as regiões. É importante observar que este “fator inflacionário” será igual a um valor esperado sob a hipótese nula de ausência de autocorrelação espacial, </w:t>
      </w:r>
      <m:oMath>
        <m:r>
          <w:rPr>
            <w:rStyle w:val="hps"/>
            <w:rFonts w:ascii="Cambria Math" w:hAnsi="Cambria Math"/>
          </w:rPr>
          <m:t>E</m:t>
        </m:r>
        <m:d>
          <m:dPr>
            <m:ctrlPr>
              <w:rPr>
                <w:rStyle w:val="hps"/>
                <w:rFonts w:ascii="Cambria Math" w:hAnsi="Cambria Math"/>
                <w:i/>
              </w:rPr>
            </m:ctrlPr>
          </m:dPr>
          <m:e>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e>
        </m:d>
      </m:oMath>
      <w:r w:rsidR="00BF6C4D" w:rsidRPr="00891E21">
        <w:rPr>
          <w:rStyle w:val="hps"/>
        </w:rPr>
        <w:t xml:space="preserve">, e neste caso, </w:t>
      </w:r>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oMath>
      <w:r w:rsidR="00BF6C4D" w:rsidRPr="00891E21">
        <w:rPr>
          <w:rStyle w:val="hps"/>
        </w:rPr>
        <w:t xml:space="preserve"> e </w:t>
      </w:r>
      <m:oMath>
        <m:acc>
          <m:accPr>
            <m:ctrlPr>
              <w:rPr>
                <w:rStyle w:val="hps"/>
                <w:rFonts w:ascii="Cambria Math" w:hAnsi="Cambria Math"/>
                <w:i/>
              </w:rPr>
            </m:ctrlPr>
          </m:accPr>
          <m:e>
            <m:r>
              <w:rPr>
                <w:rStyle w:val="hps"/>
                <w:rFonts w:ascii="Cambria Math" w:hAnsi="Cambria Math"/>
              </w:rPr>
              <m:t>γ</m:t>
            </m:r>
          </m:e>
        </m:acc>
      </m:oMath>
      <w:r w:rsidR="00BF6C4D" w:rsidRPr="00891E21">
        <w:rPr>
          <w:rStyle w:val="hps"/>
        </w:rPr>
        <w:t xml:space="preserve"> produzirão os mesmos resultados. Além disso, se </w:t>
      </w:r>
      <m:oMath>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r>
          <w:rPr>
            <w:rStyle w:val="hps"/>
            <w:rFonts w:ascii="Cambria Math" w:hAnsi="Cambria Math"/>
          </w:rPr>
          <m:t>&gt;E</m:t>
        </m:r>
        <m:d>
          <m:dPr>
            <m:ctrlPr>
              <w:rPr>
                <w:rStyle w:val="hps"/>
                <w:rFonts w:ascii="Cambria Math" w:hAnsi="Cambria Math"/>
                <w:i/>
              </w:rPr>
            </m:ctrlPr>
          </m:dPr>
          <m:e>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e>
        </m:d>
      </m:oMath>
      <w:r w:rsidR="00BF6C4D" w:rsidRPr="00891E21">
        <w:rPr>
          <w:rStyle w:val="hps"/>
        </w:rPr>
        <w:t xml:space="preserve">, então </w:t>
      </w:r>
      <m:oMath>
        <m:acc>
          <m:accPr>
            <m:ctrlPr>
              <w:rPr>
                <w:rStyle w:val="hps"/>
                <w:rFonts w:ascii="Cambria Math" w:hAnsi="Cambria Math"/>
                <w:i/>
              </w:rPr>
            </m:ctrlPr>
          </m:accPr>
          <m:e>
            <m:sSub>
              <m:sSubPr>
                <m:ctrlPr>
                  <w:rPr>
                    <w:rStyle w:val="hps"/>
                    <w:rFonts w:ascii="Cambria Math" w:hAnsi="Cambria Math"/>
                    <w:i/>
                  </w:rPr>
                </m:ctrlPr>
              </m:sSubPr>
              <m:e>
                <m:r>
                  <w:rPr>
                    <w:rStyle w:val="hps"/>
                    <w:rFonts w:ascii="Cambria Math" w:hAnsi="Cambria Math"/>
                  </w:rPr>
                  <m:t>γ</m:t>
                </m:r>
              </m:e>
              <m:sub>
                <m:r>
                  <w:rPr>
                    <w:rStyle w:val="hps"/>
                    <w:rFonts w:ascii="Cambria Math" w:hAnsi="Cambria Math"/>
                  </w:rPr>
                  <m:t>s</m:t>
                </m:r>
              </m:sub>
            </m:sSub>
          </m:e>
        </m:acc>
      </m:oMath>
      <w:r w:rsidR="00BF6C4D" w:rsidRPr="00891E21">
        <w:rPr>
          <w:rStyle w:val="hps"/>
        </w:rPr>
        <w:t xml:space="preserve"> será maior que </w:t>
      </w:r>
      <m:oMath>
        <m:acc>
          <m:accPr>
            <m:ctrlPr>
              <w:rPr>
                <w:rStyle w:val="hps"/>
                <w:rFonts w:ascii="Cambria Math" w:hAnsi="Cambria Math"/>
                <w:i/>
              </w:rPr>
            </m:ctrlPr>
          </m:accPr>
          <m:e>
            <m:r>
              <w:rPr>
                <w:rStyle w:val="hps"/>
                <w:rFonts w:ascii="Cambria Math" w:hAnsi="Cambria Math"/>
              </w:rPr>
              <m:t>γ</m:t>
            </m:r>
          </m:e>
        </m:acc>
      </m:oMath>
      <w:r w:rsidR="00BF6C4D" w:rsidRPr="00891E21">
        <w:rPr>
          <w:rStyle w:val="hps"/>
        </w:rPr>
        <w:t xml:space="preserve"> e o inverso é verdadeiro se </w:t>
      </w:r>
      <m:oMath>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r>
          <w:rPr>
            <w:rStyle w:val="hps"/>
            <w:rFonts w:ascii="Cambria Math" w:hAnsi="Cambria Math"/>
          </w:rPr>
          <m:t>&lt;E</m:t>
        </m:r>
        <m:d>
          <m:dPr>
            <m:ctrlPr>
              <w:rPr>
                <w:rStyle w:val="hps"/>
                <w:rFonts w:ascii="Cambria Math" w:hAnsi="Cambria Math"/>
                <w:i/>
              </w:rPr>
            </m:ctrlPr>
          </m:dPr>
          <m:e>
            <m:sSub>
              <m:sSubPr>
                <m:ctrlPr>
                  <w:rPr>
                    <w:rStyle w:val="hps"/>
                    <w:rFonts w:ascii="Cambria Math" w:hAnsi="Cambria Math"/>
                    <w:i/>
                  </w:rPr>
                </m:ctrlPr>
              </m:sSubPr>
              <m:e>
                <m:r>
                  <w:rPr>
                    <w:rStyle w:val="hps"/>
                    <w:rFonts w:ascii="Cambria Math" w:hAnsi="Cambria Math"/>
                  </w:rPr>
                  <m:t>M</m:t>
                </m:r>
              </m:e>
              <m:sub>
                <m:r>
                  <w:rPr>
                    <w:rStyle w:val="hps"/>
                    <w:rFonts w:ascii="Cambria Math" w:hAnsi="Cambria Math"/>
                  </w:rPr>
                  <m:t>D</m:t>
                </m:r>
              </m:sub>
            </m:sSub>
          </m:e>
        </m:d>
        <m:r>
          <w:rPr>
            <w:rStyle w:val="hps"/>
            <w:rFonts w:ascii="Cambria Math" w:hAnsi="Cambria Math"/>
          </w:rPr>
          <m:t>.</m:t>
        </m:r>
      </m:oMath>
    </w:p>
    <w:p w:rsidR="00BF6C4D" w:rsidRDefault="00BF6C4D" w:rsidP="00AE2547">
      <w:pPr>
        <w:pStyle w:val="Recuodecorpodetexto"/>
        <w:spacing w:after="0" w:line="360" w:lineRule="auto"/>
        <w:ind w:left="0"/>
      </w:pPr>
    </w:p>
    <w:p w:rsidR="008B3398" w:rsidRDefault="008B3398" w:rsidP="00AE2547">
      <w:pPr>
        <w:pStyle w:val="Recuodecorpodetexto"/>
        <w:spacing w:after="0" w:line="360" w:lineRule="auto"/>
        <w:ind w:left="0"/>
      </w:pPr>
    </w:p>
    <w:p w:rsidR="00AE2547" w:rsidRPr="00891E21" w:rsidRDefault="00FF0AF4" w:rsidP="00AE2547">
      <w:pPr>
        <w:spacing w:line="360" w:lineRule="auto"/>
      </w:pPr>
      <w:proofErr w:type="gramStart"/>
      <w:r>
        <w:t>3</w:t>
      </w:r>
      <w:r w:rsidR="00AE2547" w:rsidRPr="00891E21">
        <w:t>.</w:t>
      </w:r>
      <w:r w:rsidR="000F41A5">
        <w:t>2</w:t>
      </w:r>
      <w:r w:rsidR="00AE2547" w:rsidRPr="00891E21">
        <w:t xml:space="preserve"> DESCRIÇÃO</w:t>
      </w:r>
      <w:proofErr w:type="gramEnd"/>
      <w:r w:rsidR="00AE2547" w:rsidRPr="00891E21">
        <w:t xml:space="preserve"> DA VARIÁVE</w:t>
      </w:r>
      <w:r>
        <w:t>L</w:t>
      </w:r>
      <w:r w:rsidR="00AE2547" w:rsidRPr="00891E21">
        <w:t xml:space="preserve"> E DADOS SECUNDÁRIOS</w:t>
      </w:r>
    </w:p>
    <w:p w:rsidR="00FF0AF4" w:rsidRDefault="00AE2547" w:rsidP="008B3398">
      <w:pPr>
        <w:autoSpaceDE w:val="0"/>
        <w:autoSpaceDN w:val="0"/>
        <w:adjustRightInd w:val="0"/>
        <w:ind w:firstLine="709"/>
      </w:pPr>
      <w:r w:rsidRPr="00891E21">
        <w:t xml:space="preserve">Para calcular os índices espacialmente modificados de </w:t>
      </w:r>
      <w:r w:rsidRPr="00891E21">
        <w:rPr>
          <w:rStyle w:val="apple-converted-space"/>
          <w:rFonts w:eastAsia="Batang"/>
        </w:rPr>
        <w:t xml:space="preserve">Herfindahl, </w:t>
      </w:r>
      <w:r>
        <w:rPr>
          <w:rStyle w:val="apple-converted-space"/>
          <w:rFonts w:eastAsia="Batang"/>
        </w:rPr>
        <w:t xml:space="preserve">Concentração </w:t>
      </w:r>
      <w:proofErr w:type="gramStart"/>
      <w:r>
        <w:rPr>
          <w:rStyle w:val="apple-converted-space"/>
          <w:rFonts w:eastAsia="Batang"/>
        </w:rPr>
        <w:t>Geográfica-Prima</w:t>
      </w:r>
      <w:proofErr w:type="gramEnd"/>
      <w:r>
        <w:rPr>
          <w:rStyle w:val="apple-converted-space"/>
          <w:rFonts w:eastAsia="Batang"/>
        </w:rPr>
        <w:t xml:space="preserve"> e </w:t>
      </w:r>
      <w:r w:rsidRPr="00891E21">
        <w:rPr>
          <w:rStyle w:val="apple-converted-space"/>
          <w:rFonts w:eastAsia="Batang"/>
        </w:rPr>
        <w:t>Ellison-Glaeser</w:t>
      </w:r>
      <w:r w:rsidR="004D72ED">
        <w:rPr>
          <w:rStyle w:val="apple-converted-space"/>
          <w:rFonts w:eastAsia="Batang"/>
        </w:rPr>
        <w:t>,</w:t>
      </w:r>
      <w:r w:rsidRPr="00891E21">
        <w:rPr>
          <w:rStyle w:val="apple-converted-space"/>
          <w:rFonts w:eastAsia="Batang"/>
        </w:rPr>
        <w:t xml:space="preserve"> ser</w:t>
      </w:r>
      <w:r w:rsidR="00FF0AF4">
        <w:rPr>
          <w:rStyle w:val="apple-converted-space"/>
          <w:rFonts w:eastAsia="Batang"/>
        </w:rPr>
        <w:t xml:space="preserve">á </w:t>
      </w:r>
      <w:r w:rsidRPr="00891E21">
        <w:t>utili</w:t>
      </w:r>
      <w:r w:rsidR="00FF0AF4">
        <w:t xml:space="preserve">zada </w:t>
      </w:r>
      <w:r w:rsidRPr="00891E21">
        <w:t>a variáve</w:t>
      </w:r>
      <w:r w:rsidR="00FF0AF4">
        <w:t>l</w:t>
      </w:r>
      <w:r w:rsidRPr="00891E21">
        <w:t xml:space="preserve"> número de estabelecimentos</w:t>
      </w:r>
      <w:r w:rsidR="004D72ED">
        <w:t>.</w:t>
      </w:r>
      <w:r w:rsidRPr="00891E21">
        <w:t xml:space="preserve"> </w:t>
      </w:r>
      <w:r w:rsidR="004D72ED">
        <w:t>Para a obtenção dos valores referentes a essa variável, utilizou-se um</w:t>
      </w:r>
      <w:r w:rsidRPr="00891E21">
        <w:t xml:space="preserve">a base de dados </w:t>
      </w:r>
      <w:proofErr w:type="gramStart"/>
      <w:r w:rsidRPr="00891E21">
        <w:t xml:space="preserve">secundários </w:t>
      </w:r>
      <w:r w:rsidR="004D72ED">
        <w:t>criada</w:t>
      </w:r>
      <w:proofErr w:type="gramEnd"/>
      <w:r w:rsidR="004D72ED" w:rsidRPr="00891E21">
        <w:t xml:space="preserve"> </w:t>
      </w:r>
      <w:r w:rsidR="004D72ED">
        <w:t xml:space="preserve">a partir dos dados oriundos </w:t>
      </w:r>
      <w:r w:rsidRPr="00891E21">
        <w:t>da Relação Anual de Informações Sociais do Ministério do Trabalho e Emprego (RAIS/MTE) para os anos de 199</w:t>
      </w:r>
      <w:r>
        <w:t>5, 2000, 2005 e</w:t>
      </w:r>
      <w:r w:rsidRPr="00891E21">
        <w:t xml:space="preserve"> 2010. </w:t>
      </w:r>
      <w:r>
        <w:t xml:space="preserve">Todos </w:t>
      </w:r>
      <w:r w:rsidR="004D72ED">
        <w:t xml:space="preserve">os </w:t>
      </w:r>
      <w:r>
        <w:t>índices de concentraçã</w:t>
      </w:r>
      <w:r w:rsidR="00FF0AF4">
        <w:t xml:space="preserve">o mencionados na </w:t>
      </w:r>
      <w:r w:rsidR="004D72ED">
        <w:t>Seç</w:t>
      </w:r>
      <w:r w:rsidR="000F41A5">
        <w:t xml:space="preserve">ão </w:t>
      </w:r>
      <w:r w:rsidR="00FF0AF4">
        <w:t>4.</w:t>
      </w:r>
      <w:r w:rsidR="00381B55">
        <w:t>1</w:t>
      </w:r>
      <w:r w:rsidR="00FF0AF4">
        <w:t xml:space="preserve"> </w:t>
      </w:r>
      <w:r w:rsidR="000F41A5">
        <w:t>foram calculados</w:t>
      </w:r>
      <w:r>
        <w:t xml:space="preserve"> </w:t>
      </w:r>
      <w:r w:rsidR="000F41A5">
        <w:t>c</w:t>
      </w:r>
      <w:r w:rsidR="004D72ED">
        <w:t>om base em</w:t>
      </w:r>
      <w:r>
        <w:t xml:space="preserve"> programação específica e única no </w:t>
      </w:r>
      <w:r w:rsidRPr="00A542B2">
        <w:rPr>
          <w:i/>
        </w:rPr>
        <w:t>software</w:t>
      </w:r>
      <w:r>
        <w:t xml:space="preserve"> </w:t>
      </w:r>
      <w:r w:rsidRPr="000D23B9">
        <w:t>STATA.</w:t>
      </w:r>
      <w:r>
        <w:t xml:space="preserve"> A Análise Exploratória de Dados Espaciais (AEDE) foi elaborada com o auxílio do </w:t>
      </w:r>
      <w:r w:rsidRPr="00A542B2">
        <w:rPr>
          <w:i/>
        </w:rPr>
        <w:t>software</w:t>
      </w:r>
      <w:r>
        <w:t xml:space="preserve"> </w:t>
      </w:r>
      <w:proofErr w:type="gramStart"/>
      <w:r w:rsidRPr="000D23B9">
        <w:t>GeoDa</w:t>
      </w:r>
      <w:proofErr w:type="gramEnd"/>
      <w:r w:rsidRPr="000D23B9">
        <w:t>.</w:t>
      </w:r>
      <w:r>
        <w:t xml:space="preserve"> </w:t>
      </w:r>
    </w:p>
    <w:p w:rsidR="00AE2547" w:rsidRDefault="00AE2547" w:rsidP="008B3398">
      <w:pPr>
        <w:autoSpaceDE w:val="0"/>
        <w:autoSpaceDN w:val="0"/>
        <w:adjustRightInd w:val="0"/>
        <w:ind w:firstLine="709"/>
        <w:rPr>
          <w:lang w:eastAsia="en-US"/>
        </w:rPr>
      </w:pPr>
      <w:r w:rsidRPr="00891E21">
        <w:t>O conjunto de dados é constituído pela aplicação das fórmulas apresentadas na seção anterior, espacialmente mensuradas para as 137 mesorregiões brasileiras do</w:t>
      </w:r>
      <w:r>
        <w:t>s</w:t>
      </w:r>
      <w:r w:rsidRPr="00891E21">
        <w:t xml:space="preserve"> </w:t>
      </w:r>
      <w:r>
        <w:t xml:space="preserve">23 </w:t>
      </w:r>
      <w:r w:rsidRPr="00891E21">
        <w:t>setor</w:t>
      </w:r>
      <w:r>
        <w:t>es</w:t>
      </w:r>
      <w:r w:rsidRPr="00891E21">
        <w:t xml:space="preserve"> </w:t>
      </w:r>
      <w:r>
        <w:t xml:space="preserve">que compõem a indústria de transformação </w:t>
      </w:r>
      <w:r w:rsidRPr="00891E21">
        <w:t>nos anos de 199</w:t>
      </w:r>
      <w:r>
        <w:t>5</w:t>
      </w:r>
      <w:r w:rsidRPr="00891E21">
        <w:t xml:space="preserve"> a 2010. A partir </w:t>
      </w:r>
      <w:r w:rsidR="004D72ED" w:rsidRPr="00891E21">
        <w:t>des</w:t>
      </w:r>
      <w:r w:rsidR="004D72ED">
        <w:t>s</w:t>
      </w:r>
      <w:r w:rsidR="004D72ED" w:rsidRPr="00891E21">
        <w:t xml:space="preserve">es </w:t>
      </w:r>
      <w:r w:rsidRPr="00891E21">
        <w:t>dados</w:t>
      </w:r>
      <w:r w:rsidR="004D72ED">
        <w:t>,</w:t>
      </w:r>
      <w:r w:rsidRPr="00891E21">
        <w:t xml:space="preserve"> pode-se revelar e desenvolver toda a análise espacial de concentração padrão e modificada</w:t>
      </w:r>
      <w:r>
        <w:t xml:space="preserve">, </w:t>
      </w:r>
      <w:r w:rsidRPr="00891E21">
        <w:t>observa</w:t>
      </w:r>
      <w:r>
        <w:t xml:space="preserve">ndo </w:t>
      </w:r>
      <w:r w:rsidRPr="00891E21">
        <w:t xml:space="preserve">as </w:t>
      </w:r>
      <w:r w:rsidRPr="00891E21">
        <w:rPr>
          <w:lang w:eastAsia="en-US"/>
        </w:rPr>
        <w:t xml:space="preserve">possíveis transformações no </w:t>
      </w:r>
      <w:r w:rsidRPr="00891E21">
        <w:rPr>
          <w:i/>
          <w:lang w:eastAsia="en-US"/>
        </w:rPr>
        <w:t>status</w:t>
      </w:r>
      <w:r w:rsidRPr="00891E21">
        <w:rPr>
          <w:lang w:eastAsia="en-US"/>
        </w:rPr>
        <w:t xml:space="preserve"> dos setores e regiões em relação ao setor industrial brasileiro no período selecionado.</w:t>
      </w:r>
    </w:p>
    <w:p w:rsidR="00AE2547" w:rsidRDefault="00AE2547" w:rsidP="008B3398">
      <w:pPr>
        <w:autoSpaceDE w:val="0"/>
        <w:autoSpaceDN w:val="0"/>
        <w:adjustRightInd w:val="0"/>
        <w:ind w:firstLine="709"/>
        <w:rPr>
          <w:lang w:eastAsia="en-US"/>
        </w:rPr>
      </w:pPr>
      <w:r>
        <w:t xml:space="preserve">A partir de 1995 foi implantado o novo código de atividades econômicas (CNAE/IBGE), cuja comparação com o código anterior apresenta algumas incompatibilidades, especialmente para altos níveis de desagregação. Segundo o </w:t>
      </w:r>
      <w:r>
        <w:lastRenderedPageBreak/>
        <w:t>Ministério do Trabalho e Emprego (1999), não existe uma boa correlação entre os dados compatibilizados acima de 26 subsetores (NAJBERG; OLIVEIRA, 1999).</w:t>
      </w:r>
    </w:p>
    <w:p w:rsidR="00AE2547" w:rsidRPr="00891E21" w:rsidRDefault="00AE2547" w:rsidP="008B3398">
      <w:pPr>
        <w:autoSpaceDE w:val="0"/>
        <w:autoSpaceDN w:val="0"/>
        <w:adjustRightInd w:val="0"/>
        <w:ind w:firstLine="709"/>
        <w:rPr>
          <w:lang w:eastAsia="en-US"/>
        </w:rPr>
      </w:pPr>
      <w:r>
        <w:t>Tendo em vista a utilização dos dados secundários sobre o número de estabelecimentos da RAIS feita neste estudo, as análises procuram qualificar as consequências sobre os resultados encontrados e devem ser levadas em consideração.</w:t>
      </w:r>
      <w:r w:rsidR="00FF0AF4">
        <w:rPr>
          <w:lang w:eastAsia="en-US"/>
        </w:rPr>
        <w:t xml:space="preserve"> </w:t>
      </w:r>
      <w:r w:rsidRPr="00891E21">
        <w:rPr>
          <w:lang w:eastAsia="en-US"/>
        </w:rPr>
        <w:t>Para manter a compatibilidade entre a</w:t>
      </w:r>
      <w:r>
        <w:rPr>
          <w:lang w:eastAsia="en-US"/>
        </w:rPr>
        <w:t xml:space="preserve"> </w:t>
      </w:r>
      <w:r w:rsidRPr="00891E21">
        <w:rPr>
          <w:lang w:eastAsia="en-US"/>
        </w:rPr>
        <w:t>variáve</w:t>
      </w:r>
      <w:r>
        <w:rPr>
          <w:lang w:eastAsia="en-US"/>
        </w:rPr>
        <w:t>l necessária</w:t>
      </w:r>
      <w:r w:rsidRPr="00891E21">
        <w:rPr>
          <w:lang w:eastAsia="en-US"/>
        </w:rPr>
        <w:t xml:space="preserve"> para os cálculos das medidas de concentração espacial e as mudanças ocorridas nas Divisões do setor industrial da Classificação Nacional de Atividades Econômicas (CNAE 1.0 e CNAE 2.0), optar-se-á pelo uso dos dados referentes à CNAE 95, que corresponde basicamente à CNAE 1.0.</w:t>
      </w:r>
    </w:p>
    <w:p w:rsidR="00381B55" w:rsidRDefault="00381B55" w:rsidP="00D72321">
      <w:pPr>
        <w:spacing w:line="360" w:lineRule="auto"/>
        <w:rPr>
          <w:b/>
        </w:rPr>
      </w:pPr>
    </w:p>
    <w:p w:rsidR="00381B55" w:rsidRDefault="00381B55" w:rsidP="00D72321">
      <w:pPr>
        <w:spacing w:line="360" w:lineRule="auto"/>
        <w:rPr>
          <w:b/>
        </w:rPr>
      </w:pPr>
    </w:p>
    <w:p w:rsidR="00D72321" w:rsidRPr="00891E21" w:rsidRDefault="00381B55" w:rsidP="00D72321">
      <w:pPr>
        <w:spacing w:line="360" w:lineRule="auto"/>
        <w:rPr>
          <w:b/>
        </w:rPr>
      </w:pPr>
      <w:proofErr w:type="gramStart"/>
      <w:r>
        <w:rPr>
          <w:b/>
        </w:rPr>
        <w:t>4</w:t>
      </w:r>
      <w:proofErr w:type="gramEnd"/>
      <w:r w:rsidR="00D72321" w:rsidRPr="00891E21">
        <w:rPr>
          <w:b/>
        </w:rPr>
        <w:t xml:space="preserve"> RESULTADOS E DISCUSSÃO</w:t>
      </w:r>
    </w:p>
    <w:p w:rsidR="00D72321" w:rsidRPr="00E67F71" w:rsidRDefault="00381B55" w:rsidP="00D72321">
      <w:pPr>
        <w:spacing w:line="360" w:lineRule="auto"/>
      </w:pPr>
      <w:r>
        <w:rPr>
          <w:szCs w:val="24"/>
        </w:rPr>
        <w:t>4</w:t>
      </w:r>
      <w:r w:rsidR="00D72321">
        <w:rPr>
          <w:szCs w:val="24"/>
        </w:rPr>
        <w:t xml:space="preserve">.1 </w:t>
      </w:r>
      <w:r w:rsidR="00D72321" w:rsidRPr="00E67F71">
        <w:t>A CONCENTRAÇÃO INDUSTRIAL NO BRASIL NOS ANOS DE 1995-2010: UMA ANÁLISE PONDERADA</w:t>
      </w:r>
    </w:p>
    <w:p w:rsidR="00920A18" w:rsidRDefault="00D72321" w:rsidP="008B3398">
      <w:pPr>
        <w:ind w:firstLine="709"/>
      </w:pPr>
      <w:r w:rsidRPr="00E67F71">
        <w:t xml:space="preserve">A seguir, </w:t>
      </w:r>
      <w:r w:rsidR="00920A18">
        <w:t xml:space="preserve">apresentam-se </w:t>
      </w:r>
      <w:r w:rsidRPr="00E67F71">
        <w:t>os resultados obtidos com o cálculo dos índices de Herfindahl (</w:t>
      </w:r>
      <m:oMath>
        <m:sSub>
          <m:sSubPr>
            <m:ctrlPr>
              <w:rPr>
                <w:rFonts w:ascii="Cambria Math" w:hAnsi="Cambria Math"/>
                <w:i/>
              </w:rPr>
            </m:ctrlPr>
          </m:sSubPr>
          <m:e>
            <m:r>
              <w:rPr>
                <w:rFonts w:ascii="Cambria Math" w:hAnsi="Cambria Math"/>
              </w:rPr>
              <m:t>H</m:t>
            </m:r>
          </m:e>
          <m:sub>
            <m:r>
              <w:rPr>
                <w:rFonts w:ascii="Cambria Math" w:hAnsi="Cambria Math"/>
              </w:rPr>
              <m:t>s</m:t>
            </m:r>
          </m:sub>
        </m:sSub>
      </m:oMath>
      <w:r w:rsidRPr="00E67F71">
        <w:t>), Concentração-Prima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Pr="00E67F71">
        <w:t>) e Ellison-Glaeser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sidRPr="00E67F71">
        <w:t>) ponderados espacialmente</w:t>
      </w:r>
      <w:r>
        <w:t xml:space="preserve">, conforme as </w:t>
      </w:r>
      <w:r w:rsidR="00920A18">
        <w:t xml:space="preserve">Equações </w:t>
      </w:r>
      <w:r w:rsidR="00210ECB">
        <w:t>1</w:t>
      </w:r>
      <w:r>
        <w:t xml:space="preserve">, </w:t>
      </w:r>
      <w:r w:rsidR="00210ECB">
        <w:t>2</w:t>
      </w:r>
      <w:r>
        <w:t xml:space="preserve"> e </w:t>
      </w:r>
      <w:r w:rsidR="00210ECB">
        <w:t>3</w:t>
      </w:r>
      <w:r>
        <w:t>, respectivamente.</w:t>
      </w:r>
      <w:r w:rsidRPr="00E67F71">
        <w:t xml:space="preserve"> As Tabelas </w:t>
      </w:r>
      <w:r w:rsidR="00210ECB">
        <w:t>1</w:t>
      </w:r>
      <w:r>
        <w:t xml:space="preserve"> e </w:t>
      </w:r>
      <w:r w:rsidR="00210ECB">
        <w:t>2</w:t>
      </w:r>
      <w:r w:rsidRPr="00E67F71">
        <w:t xml:space="preserve"> </w:t>
      </w:r>
      <w:r>
        <w:t>de</w:t>
      </w:r>
      <w:r w:rsidRPr="00E67F71">
        <w:t xml:space="preserve">mostram os valores do índice de Ellison-Glaeser ponderado, calculados para </w:t>
      </w:r>
      <w:r>
        <w:t xml:space="preserve">algumas </w:t>
      </w:r>
      <w:r w:rsidRPr="00E67F71">
        <w:t>divisões/setores da indústria de transformação nos anos de 1995, 2000, 2005 e 2010.</w:t>
      </w:r>
    </w:p>
    <w:p w:rsidR="00D72321" w:rsidRPr="00E67F71" w:rsidRDefault="00920A18" w:rsidP="008B3398">
      <w:pPr>
        <w:ind w:firstLine="709"/>
      </w:pPr>
      <w:r>
        <w:t>As duas</w:t>
      </w:r>
      <w:r w:rsidR="00D72321" w:rsidRPr="00E67F71">
        <w:t xml:space="preserve"> Tabelas também apresentam os valores do </w:t>
      </w:r>
      <w:r w:rsidR="00D72321" w:rsidRPr="00E67F71">
        <w:rPr>
          <w:i/>
        </w:rPr>
        <w:t>I</w:t>
      </w:r>
      <w:r w:rsidR="00D72321" w:rsidRPr="00E67F71">
        <w:t xml:space="preserve"> de Moran global para todas as divisões que compõem a indústria de transformação brasileira para os períodos mencionados acima. A estatística </w:t>
      </w:r>
      <w:r w:rsidR="00D72321" w:rsidRPr="00E67F71">
        <w:rPr>
          <w:i/>
        </w:rPr>
        <w:t>I</w:t>
      </w:r>
      <w:r w:rsidR="00D72321" w:rsidRPr="00E67F71">
        <w:t xml:space="preserve"> de Moran, seg</w:t>
      </w:r>
      <w:r w:rsidR="00F9786C">
        <w:t xml:space="preserve">undo Almeida (2004), decompõe o </w:t>
      </w:r>
      <w:r w:rsidR="00D72321" w:rsidRPr="00E67F71">
        <w:t xml:space="preserve">indicador global de autocorrelação em relação à contribuição local individual. Para </w:t>
      </w:r>
      <w:r w:rsidRPr="00E67F71">
        <w:t>es</w:t>
      </w:r>
      <w:r>
        <w:t>s</w:t>
      </w:r>
      <w:r w:rsidRPr="00E67F71">
        <w:t xml:space="preserve">as </w:t>
      </w:r>
      <w:r w:rsidR="00D72321" w:rsidRPr="00E67F71">
        <w:t>análises espacialmente ponderadas</w:t>
      </w:r>
      <w:r>
        <w:t>,</w:t>
      </w:r>
      <w:r w:rsidR="00D72321" w:rsidRPr="00E67F71">
        <w:t xml:space="preserve"> foram </w:t>
      </w:r>
      <w:r w:rsidRPr="00E67F71">
        <w:t>testad</w:t>
      </w:r>
      <w:r>
        <w:t>o</w:t>
      </w:r>
      <w:r w:rsidRPr="00E67F71">
        <w:t xml:space="preserve">s </w:t>
      </w:r>
      <w:r w:rsidR="00D72321" w:rsidRPr="00E67F71">
        <w:t>dois tipos diferente</w:t>
      </w:r>
      <w:r>
        <w:t>s</w:t>
      </w:r>
      <w:r w:rsidR="00D72321" w:rsidRPr="00E67F71">
        <w:t xml:space="preserve"> de matriz de pesos </w:t>
      </w:r>
      <w:r w:rsidRPr="00E67F71">
        <w:t>espacia</w:t>
      </w:r>
      <w:r>
        <w:t>is</w:t>
      </w:r>
      <w:r w:rsidR="00D72321" w:rsidRPr="00E67F71">
        <w:t xml:space="preserve">, o tipo Rainha e o tipo Torre. A matriz que apresentou os resultados mais expressivos e por isso foi a escolhida para compor a análise dos resultados foi a do tipo Rainha. </w:t>
      </w:r>
    </w:p>
    <w:p w:rsidR="00D72321" w:rsidRPr="006176C9" w:rsidRDefault="00D72321" w:rsidP="008B3398">
      <w:pPr>
        <w:ind w:firstLine="709"/>
        <w:rPr>
          <w:szCs w:val="24"/>
        </w:rPr>
      </w:pPr>
      <w:r>
        <w:rPr>
          <w:szCs w:val="24"/>
        </w:rPr>
        <w:t>A</w:t>
      </w:r>
      <w:r w:rsidRPr="006176C9">
        <w:rPr>
          <w:szCs w:val="24"/>
        </w:rPr>
        <w:t>lguns setores reduziram a concentração geográfica da indústria de transformação no período de 1995 e 2000</w:t>
      </w:r>
      <w:r>
        <w:rPr>
          <w:szCs w:val="24"/>
        </w:rPr>
        <w:t xml:space="preserve">, como apresentado na Tabela </w:t>
      </w:r>
      <w:r w:rsidR="00210ECB">
        <w:rPr>
          <w:szCs w:val="24"/>
        </w:rPr>
        <w:t>1</w:t>
      </w:r>
      <w:r w:rsidRPr="006176C9">
        <w:rPr>
          <w:szCs w:val="24"/>
        </w:rPr>
        <w:t xml:space="preserve">. </w:t>
      </w:r>
      <w:r>
        <w:rPr>
          <w:szCs w:val="24"/>
        </w:rPr>
        <w:t xml:space="preserve">Os setores escolhidos para uma análise mais específica não foram simplesmente os que </w:t>
      </w:r>
      <w:proofErr w:type="gramStart"/>
      <w:r>
        <w:rPr>
          <w:szCs w:val="24"/>
        </w:rPr>
        <w:t>apresentaram-se</w:t>
      </w:r>
      <w:proofErr w:type="gramEnd"/>
      <w:r>
        <w:rPr>
          <w:szCs w:val="24"/>
        </w:rPr>
        <w:t xml:space="preserve"> mais ou menos concentrados em termos de valores absolutos dos índice espacialmente ponderado de </w:t>
      </w:r>
      <w:r w:rsidRPr="006176C9">
        <w:rPr>
          <w:szCs w:val="24"/>
        </w:rPr>
        <w:t>Herfindahl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s</m:t>
            </m:r>
          </m:sub>
        </m:sSub>
      </m:oMath>
      <w:r w:rsidRPr="006176C9">
        <w:rPr>
          <w:szCs w:val="24"/>
        </w:rPr>
        <w:t>), Concentração-Prima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s</m:t>
            </m:r>
          </m:sub>
        </m:sSub>
      </m:oMath>
      <w:r>
        <w:rPr>
          <w:szCs w:val="24"/>
        </w:rPr>
        <w:t>) e Ellison-Glaeser (</w:t>
      </w:r>
      <m:oMath>
        <m:sSub>
          <m:sSubPr>
            <m:ctrlPr>
              <w:rPr>
                <w:rFonts w:ascii="Cambria Math" w:hAnsi="Cambria Math"/>
                <w:i/>
                <w:szCs w:val="24"/>
              </w:rPr>
            </m:ctrlPr>
          </m:sSubPr>
          <m:e>
            <m:r>
              <w:rPr>
                <w:rFonts w:ascii="Cambria Math" w:hAnsi="Cambria Math"/>
                <w:szCs w:val="24"/>
              </w:rPr>
              <m:t>γ</m:t>
            </m:r>
          </m:e>
          <m:sub>
            <m:r>
              <w:rPr>
                <w:rFonts w:ascii="Cambria Math" w:hAnsi="Cambria Math"/>
                <w:szCs w:val="24"/>
              </w:rPr>
              <m:t>s</m:t>
            </m:r>
          </m:sub>
        </m:sSub>
      </m:oMath>
      <w:r>
        <w:rPr>
          <w:szCs w:val="24"/>
        </w:rPr>
        <w:t xml:space="preserve">), mas sim os setores que apresentaram resultados consistentes como um todo, principalmente em relação ao </w:t>
      </w:r>
      <w:r w:rsidRPr="00572914">
        <w:rPr>
          <w:i/>
          <w:szCs w:val="24"/>
        </w:rPr>
        <w:t>I</w:t>
      </w:r>
      <w:r>
        <w:rPr>
          <w:szCs w:val="24"/>
        </w:rPr>
        <w:t xml:space="preserve"> de Moran global e local. Por isso, a</w:t>
      </w:r>
      <w:r w:rsidRPr="006176C9">
        <w:rPr>
          <w:szCs w:val="24"/>
        </w:rPr>
        <w:t>nalisando os setores que apresentaram</w:t>
      </w:r>
      <w:r>
        <w:rPr>
          <w:szCs w:val="24"/>
        </w:rPr>
        <w:t xml:space="preserve"> resultados interessantes para análise, </w:t>
      </w:r>
      <w:r w:rsidRPr="006176C9">
        <w:rPr>
          <w:szCs w:val="24"/>
        </w:rPr>
        <w:t xml:space="preserve">como as divisões 19 (Preparação de Couros e Fabricação de Artefatos de Couro), </w:t>
      </w:r>
      <w:r>
        <w:rPr>
          <w:szCs w:val="24"/>
        </w:rPr>
        <w:t xml:space="preserve">20 (Fabricação de Produtos de Madeira), </w:t>
      </w:r>
      <w:r w:rsidRPr="006176C9">
        <w:rPr>
          <w:szCs w:val="24"/>
        </w:rPr>
        <w:t xml:space="preserve">23 (Fabricação de Coque, Refino de Petróleo, Elaboração de Combustíveis Nucleares e Produção de Álcool), </w:t>
      </w:r>
      <w:r>
        <w:rPr>
          <w:szCs w:val="24"/>
        </w:rPr>
        <w:t xml:space="preserve">29 (Fabricação de Máquinas e Equipamentos), </w:t>
      </w:r>
      <w:r w:rsidRPr="006176C9">
        <w:rPr>
          <w:szCs w:val="24"/>
        </w:rPr>
        <w:t>32 (Fabricação de Material Eletrônico e de Aparelhos e Equipamentos de Comunicações)</w:t>
      </w:r>
      <w:r>
        <w:rPr>
          <w:szCs w:val="24"/>
        </w:rPr>
        <w:t>, 34 (Fabricação e Montagem de Veículos Automotores, Reboques e Carrocerias)</w:t>
      </w:r>
      <w:r w:rsidRPr="006176C9">
        <w:rPr>
          <w:szCs w:val="24"/>
        </w:rPr>
        <w:t xml:space="preserve"> e 35 (Fabricação de Outros Equipamentos de Transporte), a</w:t>
      </w:r>
      <w:r>
        <w:rPr>
          <w:szCs w:val="24"/>
        </w:rPr>
        <w:t xml:space="preserve"> única que te</w:t>
      </w:r>
      <w:r w:rsidRPr="006176C9">
        <w:rPr>
          <w:szCs w:val="24"/>
        </w:rPr>
        <w:t>ve um aumento de concentração fo</w:t>
      </w:r>
      <w:r>
        <w:rPr>
          <w:szCs w:val="24"/>
        </w:rPr>
        <w:t>i</w:t>
      </w:r>
      <w:r w:rsidRPr="006176C9">
        <w:rPr>
          <w:szCs w:val="24"/>
        </w:rPr>
        <w:t xml:space="preserve"> </w:t>
      </w:r>
      <w:proofErr w:type="gramStart"/>
      <w:r w:rsidR="005D6C9F">
        <w:rPr>
          <w:szCs w:val="24"/>
        </w:rPr>
        <w:t>a</w:t>
      </w:r>
      <w:proofErr w:type="gramEnd"/>
      <w:r w:rsidRPr="006176C9">
        <w:rPr>
          <w:szCs w:val="24"/>
        </w:rPr>
        <w:t xml:space="preserve"> divis</w:t>
      </w:r>
      <w:r>
        <w:rPr>
          <w:szCs w:val="24"/>
        </w:rPr>
        <w:t>ão</w:t>
      </w:r>
      <w:r w:rsidRPr="006176C9">
        <w:rPr>
          <w:szCs w:val="24"/>
        </w:rPr>
        <w:t xml:space="preserve"> 23</w:t>
      </w:r>
      <w:r>
        <w:rPr>
          <w:szCs w:val="24"/>
        </w:rPr>
        <w:t>, mas mesmo assim foi um incremento praticamente inexpressivo</w:t>
      </w:r>
      <w:r w:rsidRPr="006176C9">
        <w:rPr>
          <w:szCs w:val="24"/>
        </w:rPr>
        <w:t xml:space="preserve">. Os setores de Preparação de Couros e Fabricação de Artefatos de Couro, </w:t>
      </w:r>
      <w:r>
        <w:rPr>
          <w:szCs w:val="24"/>
        </w:rPr>
        <w:t xml:space="preserve">Fabricação de Produtos de Madeira, Fabricação de Máquinas e Equipamentos, </w:t>
      </w:r>
      <w:r w:rsidRPr="006176C9">
        <w:rPr>
          <w:szCs w:val="24"/>
        </w:rPr>
        <w:t>Fabricação de Material Eletrônico e de Aparelhos e Equipamentos de Comunicações</w:t>
      </w:r>
      <w:r>
        <w:rPr>
          <w:szCs w:val="24"/>
        </w:rPr>
        <w:t>, Fabricação e Montagem de Veículos Automotores, Reboques e Carrocerias</w:t>
      </w:r>
      <w:r w:rsidRPr="006176C9">
        <w:rPr>
          <w:szCs w:val="24"/>
        </w:rPr>
        <w:t xml:space="preserve"> e Fabricação de Outros Equipamentos de Transporte sofreram uma redução considerável </w:t>
      </w:r>
      <w:r>
        <w:rPr>
          <w:szCs w:val="24"/>
        </w:rPr>
        <w:t>n</w:t>
      </w:r>
      <w:r w:rsidRPr="006176C9">
        <w:rPr>
          <w:szCs w:val="24"/>
        </w:rPr>
        <w:t xml:space="preserve">os indicadores de concentração industrial no período de 1995-2000. </w:t>
      </w:r>
    </w:p>
    <w:p w:rsidR="00D72321" w:rsidRDefault="00D2730E" w:rsidP="00D72321">
      <w:pPr>
        <w:rPr>
          <w:szCs w:val="24"/>
        </w:rPr>
      </w:pPr>
      <w:r>
        <w:rPr>
          <w:noProof/>
          <w:color w:val="000000"/>
          <w:szCs w:val="24"/>
        </w:rPr>
        <w:lastRenderedPageBreak/>
        <w:pict>
          <v:shapetype id="_x0000_t202" coordsize="21600,21600" o:spt="202" path="m,l,21600r21600,l21600,xe">
            <v:stroke joinstyle="miter"/>
            <v:path gradientshapeok="t" o:connecttype="rect"/>
          </v:shapetype>
          <v:shape id="Caixa de texto 11" o:spid="_x0000_s1026" type="#_x0000_t202" style="position:absolute;left:0;text-align:left;margin-left:193.5pt;margin-top:14.3pt;width:1in;height:20.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" filled="f" stroked="f">
            <v:textbox style="mso-fit-shape-to-text:t"/>
          </v:shape>
        </w:pict>
      </w:r>
      <w:r w:rsidR="00D72321" w:rsidRPr="006176C9">
        <w:rPr>
          <w:szCs w:val="24"/>
        </w:rPr>
        <w:t xml:space="preserve">Tabela </w:t>
      </w:r>
      <w:r w:rsidR="00210ECB">
        <w:rPr>
          <w:szCs w:val="24"/>
        </w:rPr>
        <w:t>1</w:t>
      </w:r>
      <w:r w:rsidR="00D72321" w:rsidRPr="006176C9">
        <w:rPr>
          <w:szCs w:val="24"/>
        </w:rPr>
        <w:t xml:space="preserve"> – Índices Ponderados de Herfindahl, Concentração-Prima e Ellison-Glaeser </w:t>
      </w:r>
    </w:p>
    <w:p w:rsidR="00D72321" w:rsidRPr="006176C9" w:rsidRDefault="00D72321" w:rsidP="00D72321">
      <w:pPr>
        <w:rPr>
          <w:szCs w:val="24"/>
        </w:rPr>
      </w:pPr>
      <w:r>
        <w:rPr>
          <w:szCs w:val="24"/>
        </w:rPr>
        <w:t xml:space="preserve">                </w:t>
      </w:r>
      <w:r w:rsidR="005D6C9F">
        <w:rPr>
          <w:szCs w:val="24"/>
        </w:rPr>
        <w:t xml:space="preserve">  </w:t>
      </w:r>
      <w:proofErr w:type="gramStart"/>
      <w:r w:rsidRPr="006176C9">
        <w:rPr>
          <w:szCs w:val="24"/>
        </w:rPr>
        <w:t>para</w:t>
      </w:r>
      <w:proofErr w:type="gramEnd"/>
      <w:r w:rsidRPr="006176C9">
        <w:rPr>
          <w:szCs w:val="24"/>
        </w:rPr>
        <w:t xml:space="preserve"> a Indústria de Transformação Brasileira no</w:t>
      </w:r>
      <w:r>
        <w:rPr>
          <w:szCs w:val="24"/>
        </w:rPr>
        <w:t>s</w:t>
      </w:r>
      <w:r w:rsidRPr="006176C9">
        <w:rPr>
          <w:szCs w:val="24"/>
        </w:rPr>
        <w:t xml:space="preserve"> ano</w:t>
      </w:r>
      <w:r>
        <w:rPr>
          <w:szCs w:val="24"/>
        </w:rPr>
        <w:t>s</w:t>
      </w:r>
      <w:r w:rsidRPr="006176C9">
        <w:rPr>
          <w:szCs w:val="24"/>
        </w:rPr>
        <w:t xml:space="preserve"> de 1995 e 2000</w:t>
      </w:r>
    </w:p>
    <w:tbl>
      <w:tblPr>
        <w:tblW w:w="7455" w:type="dxa"/>
        <w:tblInd w:w="55" w:type="dxa"/>
        <w:tblCellMar>
          <w:left w:w="70" w:type="dxa"/>
          <w:right w:w="70" w:type="dxa"/>
        </w:tblCellMar>
        <w:tblLook w:val="04A0" w:firstRow="1" w:lastRow="0" w:firstColumn="1" w:lastColumn="0" w:noHBand="0" w:noVBand="1"/>
      </w:tblPr>
      <w:tblGrid>
        <w:gridCol w:w="1384"/>
        <w:gridCol w:w="711"/>
        <w:gridCol w:w="711"/>
        <w:gridCol w:w="891"/>
        <w:gridCol w:w="711"/>
        <w:gridCol w:w="711"/>
        <w:gridCol w:w="711"/>
        <w:gridCol w:w="878"/>
        <w:gridCol w:w="747"/>
      </w:tblGrid>
      <w:tr w:rsidR="00D72321" w:rsidRPr="00BB33ED" w:rsidTr="00575620">
        <w:trPr>
          <w:trHeight w:val="182"/>
        </w:trPr>
        <w:tc>
          <w:tcPr>
            <w:tcW w:w="1384"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1995</w:t>
            </w:r>
          </w:p>
        </w:tc>
        <w:tc>
          <w:tcPr>
            <w:tcW w:w="711"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711"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891"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711" w:type="dxa"/>
            <w:tcBorders>
              <w:top w:val="single" w:sz="4" w:space="0" w:color="auto"/>
              <w:left w:val="nil"/>
              <w:bottom w:val="nil"/>
              <w:right w:val="single" w:sz="4" w:space="0" w:color="auto"/>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711" w:type="dxa"/>
            <w:tcBorders>
              <w:top w:val="single" w:sz="4" w:space="0" w:color="auto"/>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2000</w:t>
            </w:r>
          </w:p>
        </w:tc>
        <w:tc>
          <w:tcPr>
            <w:tcW w:w="711"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878"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c>
          <w:tcPr>
            <w:tcW w:w="747"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tc>
      </w:tr>
      <w:tr w:rsidR="00D72321" w:rsidRPr="00BB33ED" w:rsidTr="00575620">
        <w:trPr>
          <w:trHeight w:val="191"/>
        </w:trPr>
        <w:tc>
          <w:tcPr>
            <w:tcW w:w="1384" w:type="dxa"/>
            <w:tcBorders>
              <w:top w:val="nil"/>
              <w:left w:val="nil"/>
              <w:bottom w:val="single" w:sz="8" w:space="0" w:color="auto"/>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r w:rsidRPr="00575620">
              <w:rPr>
                <w:rFonts w:ascii="Calibri" w:hAnsi="Calibri" w:cs="Calibri"/>
                <w:color w:val="000000"/>
                <w:sz w:val="18"/>
                <w:szCs w:val="18"/>
              </w:rPr>
              <w:t> </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Hs</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Gs</w:t>
            </w:r>
          </w:p>
        </w:tc>
        <w:tc>
          <w:tcPr>
            <w:tcW w:w="89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i/>
                <w:iCs/>
                <w:color w:val="000000"/>
                <w:sz w:val="18"/>
                <w:szCs w:val="18"/>
              </w:rPr>
              <w:t>I</w:t>
            </w:r>
            <w:r w:rsidRPr="00575620">
              <w:rPr>
                <w:b/>
                <w:bCs/>
                <w:color w:val="000000"/>
                <w:sz w:val="18"/>
                <w:szCs w:val="18"/>
              </w:rPr>
              <w:t xml:space="preserve"> Moran</w:t>
            </w:r>
          </w:p>
        </w:tc>
        <w:tc>
          <w:tcPr>
            <w:tcW w:w="711" w:type="dxa"/>
            <w:tcBorders>
              <w:top w:val="nil"/>
              <w:left w:val="nil"/>
              <w:bottom w:val="single" w:sz="8" w:space="0" w:color="auto"/>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 </w:t>
            </w:r>
            <m:oMath>
              <m:sSub>
                <m:sSubPr>
                  <m:ctrlPr>
                    <w:rPr>
                      <w:rFonts w:ascii="Cambria Math" w:hAnsi="Cambria Math"/>
                      <w:b/>
                      <w:bCs/>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w:p>
        </w:tc>
        <w:tc>
          <w:tcPr>
            <w:tcW w:w="711" w:type="dxa"/>
            <w:tcBorders>
              <w:top w:val="nil"/>
              <w:left w:val="single" w:sz="4" w:space="0" w:color="auto"/>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Hs</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Gs</w:t>
            </w:r>
          </w:p>
        </w:tc>
        <w:tc>
          <w:tcPr>
            <w:tcW w:w="878"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i/>
                <w:iCs/>
                <w:color w:val="000000"/>
                <w:sz w:val="18"/>
                <w:szCs w:val="18"/>
              </w:rPr>
              <w:t>I</w:t>
            </w:r>
            <w:r w:rsidRPr="00575620">
              <w:rPr>
                <w:b/>
                <w:bCs/>
                <w:color w:val="000000"/>
                <w:sz w:val="18"/>
                <w:szCs w:val="18"/>
              </w:rPr>
              <w:t xml:space="preserve"> Moran</w:t>
            </w:r>
          </w:p>
        </w:tc>
        <w:tc>
          <w:tcPr>
            <w:tcW w:w="747"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b/>
                <w:bCs/>
                <w:color w:val="000000"/>
                <w:sz w:val="18"/>
                <w:szCs w:val="18"/>
              </w:rPr>
            </w:pPr>
            <m:oMath>
              <m:sSub>
                <m:sSubPr>
                  <m:ctrlPr>
                    <w:rPr>
                      <w:rFonts w:ascii="Cambria Math" w:hAnsi="Cambria Math"/>
                      <w:b/>
                      <w:bCs/>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w:r w:rsidR="00D72321" w:rsidRPr="00575620">
              <w:rPr>
                <w:b/>
                <w:bCs/>
                <w:color w:val="000000"/>
                <w:sz w:val="18"/>
                <w:szCs w:val="18"/>
              </w:rPr>
              <w:t> </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0,033</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0,117</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0,036</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0,150</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0,102</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-0,035</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0,113</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0,173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0,144</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-0,010</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0,155</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17</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0,016</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0,021</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0,061</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0,106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0,058</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0,067</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0,067</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0,199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0,181</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0,084</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0,199</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0,168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0,149</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0,098</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0,160</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20</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0,073</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0,181</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0,080</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0,066</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0,238</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0,071</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0,044</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0,082</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22</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-0,044</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0,029</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0,155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-0,048</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0,035</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23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0,054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0,086</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0,153</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0,095</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0,056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0,089</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0,179</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0,096</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0,208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0,035</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0,059</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0,039</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0,161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0,056</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0,035</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0,206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0,031</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0,053</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-0,007</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0,017</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0,005</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27</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0,174</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0,100</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0,164</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0,017</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0,091</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0,019</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0,065</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0,158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0,017</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0,108</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0,018</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0,124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0,016</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0,162</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0,017</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30</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0,274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0,075</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0,082</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0,190</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0,057</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0,129</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0,061</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0,218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0,038</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0,041</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0,036</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0,060</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0,039</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32</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0,241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0,098</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0,082</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0,107</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0,173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0,075</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0,080</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0,080</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-0,041</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-0,028</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0,028</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34</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0,308</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0,086</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0,160</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0,095</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0,205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0,055</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0,193</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0,059</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35</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0,197</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0,102</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-0,023</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0,112</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0,169</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0,085</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-0,036</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0,091</w:t>
            </w:r>
          </w:p>
        </w:tc>
      </w:tr>
      <w:tr w:rsidR="00D72321" w:rsidRPr="00BB33ED" w:rsidTr="00575620">
        <w:trPr>
          <w:trHeight w:val="182"/>
        </w:trPr>
        <w:tc>
          <w:tcPr>
            <w:tcW w:w="1384"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36</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0,081</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w:t>
            </w:r>
          </w:p>
        </w:tc>
        <w:tc>
          <w:tcPr>
            <w:tcW w:w="89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711"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c>
          <w:tcPr>
            <w:tcW w:w="711"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0,063</w:t>
            </w:r>
          </w:p>
        </w:tc>
        <w:tc>
          <w:tcPr>
            <w:tcW w:w="71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0,007</w:t>
            </w:r>
          </w:p>
        </w:tc>
        <w:tc>
          <w:tcPr>
            <w:tcW w:w="8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-0,002</w:t>
            </w:r>
          </w:p>
        </w:tc>
        <w:tc>
          <w:tcPr>
            <w:tcW w:w="747"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r>
      <w:tr w:rsidR="00D72321" w:rsidRPr="00BB33ED" w:rsidTr="00575620">
        <w:trPr>
          <w:trHeight w:val="191"/>
        </w:trPr>
        <w:tc>
          <w:tcPr>
            <w:tcW w:w="1384"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37</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0,078</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9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0,097</w:t>
            </w:r>
          </w:p>
        </w:tc>
        <w:tc>
          <w:tcPr>
            <w:tcW w:w="711" w:type="dxa"/>
            <w:tcBorders>
              <w:top w:val="nil"/>
              <w:left w:val="nil"/>
              <w:bottom w:val="single" w:sz="8" w:space="0" w:color="auto"/>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711" w:type="dxa"/>
            <w:tcBorders>
              <w:top w:val="nil"/>
              <w:left w:val="single" w:sz="4" w:space="0" w:color="auto"/>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0,059</w:t>
            </w:r>
          </w:p>
        </w:tc>
        <w:tc>
          <w:tcPr>
            <w:tcW w:w="71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w:t>
            </w:r>
          </w:p>
        </w:tc>
        <w:tc>
          <w:tcPr>
            <w:tcW w:w="878"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747"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r>
    </w:tbl>
    <w:p w:rsidR="00D72321" w:rsidRPr="00575620" w:rsidRDefault="00D72321" w:rsidP="00D72321">
      <w:pPr>
        <w:spacing w:after="200"/>
        <w:rPr>
          <w:sz w:val="16"/>
          <w:szCs w:val="16"/>
        </w:rPr>
      </w:pPr>
      <w:r w:rsidRPr="00575620">
        <w:rPr>
          <w:sz w:val="16"/>
          <w:szCs w:val="16"/>
        </w:rPr>
        <w:t>Fonte: Elaboração própria a partir de dados da RAIS/MTE (2010).</w:t>
      </w:r>
    </w:p>
    <w:p w:rsidR="00D72321" w:rsidRDefault="00D72321" w:rsidP="002227F2">
      <w:pPr>
        <w:ind w:firstLine="709"/>
        <w:rPr>
          <w:szCs w:val="24"/>
        </w:rPr>
      </w:pPr>
      <w:r w:rsidRPr="006176C9">
        <w:rPr>
          <w:szCs w:val="24"/>
        </w:rPr>
        <w:t xml:space="preserve">Ao analisar o índice de Ellison-Glaeser dos setores separadamente, identificou-se que o setor de Preparação de Couros e Fabricação de Artefatos de Couro passou de </w:t>
      </w:r>
      <w:r>
        <w:rPr>
          <w:szCs w:val="24"/>
        </w:rPr>
        <w:t>0,199</w:t>
      </w:r>
      <w:r w:rsidRPr="006176C9">
        <w:rPr>
          <w:szCs w:val="24"/>
        </w:rPr>
        <w:t xml:space="preserve"> em 1995 para </w:t>
      </w:r>
      <w:r>
        <w:rPr>
          <w:szCs w:val="24"/>
        </w:rPr>
        <w:t>0,16</w:t>
      </w:r>
      <w:r w:rsidRPr="006176C9">
        <w:rPr>
          <w:szCs w:val="24"/>
        </w:rPr>
        <w:t xml:space="preserve"> em 2000, foi o indicador que teve a maior queda, um decréscimo de </w:t>
      </w:r>
      <w:r>
        <w:rPr>
          <w:szCs w:val="24"/>
        </w:rPr>
        <w:t>0,039</w:t>
      </w:r>
      <w:r w:rsidRPr="006176C9">
        <w:rPr>
          <w:szCs w:val="24"/>
        </w:rPr>
        <w:t xml:space="preserve"> na concentração deste setor. </w:t>
      </w:r>
      <w:r>
        <w:rPr>
          <w:szCs w:val="24"/>
        </w:rPr>
        <w:t xml:space="preserve">A Fabricação de Produtos de Madeira passou de 0,08 em 1995 para 0,071 em 2000, foi o índice que contribuiu para uma maior queda com 0,009 na concentração desta divisão. A Fabricação de Máquinas e Equipamentos passou de 0,018 em 1995 para 0,017 em 2000, o subíndice que apresentou o maior decréscimo foi o de Herfindahl com uma queda de 0,034. </w:t>
      </w:r>
      <w:r w:rsidRPr="006176C9">
        <w:rPr>
          <w:szCs w:val="24"/>
        </w:rPr>
        <w:t xml:space="preserve">A Fabricação de Material Eletrônico e de Aparelhos e Equipamentos de Comunicações passou de </w:t>
      </w:r>
      <w:r>
        <w:rPr>
          <w:szCs w:val="24"/>
        </w:rPr>
        <w:t>0,107</w:t>
      </w:r>
      <w:r w:rsidRPr="006176C9">
        <w:rPr>
          <w:szCs w:val="24"/>
        </w:rPr>
        <w:t xml:space="preserve"> em 1995 para </w:t>
      </w:r>
      <w:r>
        <w:rPr>
          <w:szCs w:val="24"/>
        </w:rPr>
        <w:t>0,08</w:t>
      </w:r>
      <w:r w:rsidRPr="006176C9">
        <w:rPr>
          <w:szCs w:val="24"/>
        </w:rPr>
        <w:t xml:space="preserve"> em 2000, uma queda de </w:t>
      </w:r>
      <w:r>
        <w:rPr>
          <w:szCs w:val="24"/>
        </w:rPr>
        <w:t>0,027</w:t>
      </w:r>
      <w:r w:rsidRPr="006176C9">
        <w:rPr>
          <w:szCs w:val="24"/>
        </w:rPr>
        <w:t xml:space="preserve"> neste índice de concentração. Para esta divisão 32 o subíndice que apresentou maior queda foi o de Herfindahl com um decréscimo de </w:t>
      </w:r>
      <w:r>
        <w:rPr>
          <w:szCs w:val="24"/>
        </w:rPr>
        <w:t>0,068</w:t>
      </w:r>
      <w:r w:rsidRPr="006176C9">
        <w:rPr>
          <w:szCs w:val="24"/>
        </w:rPr>
        <w:t xml:space="preserve"> para o período de 1995-2000. </w:t>
      </w:r>
      <w:r>
        <w:rPr>
          <w:szCs w:val="24"/>
        </w:rPr>
        <w:t xml:space="preserve">A Fabricação e Montagem de Veículos Automotores, Reboques e Carrocerias passou de 0,095 em 1995 para 0,059 em 2000, o subíndice de Herfindahl foi o que apresentou maior perda de concentração com 0,103. </w:t>
      </w:r>
      <w:r w:rsidRPr="006176C9">
        <w:rPr>
          <w:szCs w:val="24"/>
        </w:rPr>
        <w:t xml:space="preserve">A Fabricação de Outros Equipamentos de Transporte passou de </w:t>
      </w:r>
      <w:r>
        <w:rPr>
          <w:szCs w:val="24"/>
        </w:rPr>
        <w:t>0,112</w:t>
      </w:r>
      <w:r w:rsidRPr="006176C9">
        <w:rPr>
          <w:szCs w:val="24"/>
        </w:rPr>
        <w:t xml:space="preserve"> em 1995 para </w:t>
      </w:r>
      <w:r>
        <w:rPr>
          <w:szCs w:val="24"/>
        </w:rPr>
        <w:t>0,091</w:t>
      </w:r>
      <w:r w:rsidRPr="006176C9">
        <w:rPr>
          <w:szCs w:val="24"/>
        </w:rPr>
        <w:t xml:space="preserve"> em 2000, uma redução de </w:t>
      </w:r>
      <w:r>
        <w:rPr>
          <w:szCs w:val="24"/>
        </w:rPr>
        <w:t>0,021</w:t>
      </w:r>
      <w:r w:rsidRPr="006176C9">
        <w:rPr>
          <w:szCs w:val="24"/>
        </w:rPr>
        <w:t>. O sub</w:t>
      </w:r>
      <w:r w:rsidR="006013FB">
        <w:rPr>
          <w:szCs w:val="24"/>
        </w:rPr>
        <w:t>-</w:t>
      </w:r>
      <w:r w:rsidRPr="006176C9">
        <w:rPr>
          <w:szCs w:val="24"/>
        </w:rPr>
        <w:t xml:space="preserve">indicador que sofreu maior queda, contribuindo assim para a redução do índice de Ellison-Glaeser foi o índice de Herfindahl com um declínio de </w:t>
      </w:r>
      <w:r>
        <w:rPr>
          <w:szCs w:val="24"/>
        </w:rPr>
        <w:t>0,028</w:t>
      </w:r>
      <w:r w:rsidRPr="006176C9">
        <w:rPr>
          <w:szCs w:val="24"/>
        </w:rPr>
        <w:t xml:space="preserve">. </w:t>
      </w:r>
    </w:p>
    <w:p w:rsidR="00D72321" w:rsidRPr="006176C9" w:rsidRDefault="00D72321" w:rsidP="002227F2">
      <w:pPr>
        <w:spacing w:after="120"/>
        <w:ind w:firstLine="709"/>
        <w:rPr>
          <w:szCs w:val="24"/>
        </w:rPr>
      </w:pPr>
      <w:r w:rsidRPr="006176C9">
        <w:rPr>
          <w:szCs w:val="24"/>
        </w:rPr>
        <w:t xml:space="preserve">Ao observar a Tabela </w:t>
      </w:r>
      <w:r w:rsidR="00210ECB">
        <w:rPr>
          <w:szCs w:val="24"/>
        </w:rPr>
        <w:t>2</w:t>
      </w:r>
      <w:r w:rsidRPr="006176C9">
        <w:rPr>
          <w:szCs w:val="24"/>
        </w:rPr>
        <w:t xml:space="preserve">, pode-se constatar que alguns setores reduziram a concentração geográfica da indústria de transformação no período de 2005 e 2010. </w:t>
      </w:r>
      <w:r>
        <w:rPr>
          <w:szCs w:val="24"/>
        </w:rPr>
        <w:t>A</w:t>
      </w:r>
      <w:r w:rsidRPr="006176C9">
        <w:rPr>
          <w:szCs w:val="24"/>
        </w:rPr>
        <w:t>nalisando os setores que apresentaram</w:t>
      </w:r>
      <w:r>
        <w:rPr>
          <w:szCs w:val="24"/>
        </w:rPr>
        <w:t xml:space="preserve"> resultados mais expressivos, em contexto geral, como as divisões </w:t>
      </w:r>
      <w:r w:rsidRPr="006176C9">
        <w:rPr>
          <w:szCs w:val="24"/>
        </w:rPr>
        <w:t xml:space="preserve">19 (Preparação de Couros e Fabricação de Artefatos de Couro), </w:t>
      </w:r>
      <w:r>
        <w:rPr>
          <w:szCs w:val="24"/>
        </w:rPr>
        <w:t xml:space="preserve">20 (Fabricação de Produtos de Madeira), </w:t>
      </w:r>
      <w:r w:rsidRPr="006176C9">
        <w:rPr>
          <w:szCs w:val="24"/>
        </w:rPr>
        <w:t xml:space="preserve">23 (Fabricação de Coque, Refino de Petróleo, Elaboração de Combustíveis Nucleares e Produção de Álcool), </w:t>
      </w:r>
      <w:r>
        <w:rPr>
          <w:szCs w:val="24"/>
        </w:rPr>
        <w:t xml:space="preserve">29 (Fabricação de Máquinas e Equipamentos), </w:t>
      </w:r>
      <w:r w:rsidRPr="006176C9">
        <w:rPr>
          <w:szCs w:val="24"/>
        </w:rPr>
        <w:t>32 (Fabricação de Material Eletrônico e de Aparelhos e Equipamentos de Comunicações)</w:t>
      </w:r>
      <w:r>
        <w:rPr>
          <w:szCs w:val="24"/>
        </w:rPr>
        <w:t>, 34 (Fabricação e Montagem de Veículos Automotores, Reboques e Carrocerias)</w:t>
      </w:r>
      <w:r w:rsidRPr="006176C9">
        <w:rPr>
          <w:szCs w:val="24"/>
        </w:rPr>
        <w:t xml:space="preserve"> e 35 (Fabricação de Outros Equipamentos de Transporte), a</w:t>
      </w:r>
      <w:r>
        <w:rPr>
          <w:szCs w:val="24"/>
        </w:rPr>
        <w:t xml:space="preserve"> única</w:t>
      </w:r>
      <w:r w:rsidRPr="006176C9">
        <w:rPr>
          <w:szCs w:val="24"/>
        </w:rPr>
        <w:t xml:space="preserve"> que t</w:t>
      </w:r>
      <w:r>
        <w:rPr>
          <w:szCs w:val="24"/>
        </w:rPr>
        <w:t>e</w:t>
      </w:r>
      <w:r w:rsidRPr="006176C9">
        <w:rPr>
          <w:szCs w:val="24"/>
        </w:rPr>
        <w:t xml:space="preserve">ve um aumento de concentração </w:t>
      </w:r>
      <w:r>
        <w:rPr>
          <w:szCs w:val="24"/>
        </w:rPr>
        <w:t xml:space="preserve">bastante expressivo </w:t>
      </w:r>
      <w:r w:rsidRPr="006176C9">
        <w:rPr>
          <w:szCs w:val="24"/>
        </w:rPr>
        <w:t>fo</w:t>
      </w:r>
      <w:r>
        <w:rPr>
          <w:szCs w:val="24"/>
        </w:rPr>
        <w:t>i</w:t>
      </w:r>
      <w:r w:rsidRPr="006176C9">
        <w:rPr>
          <w:szCs w:val="24"/>
        </w:rPr>
        <w:t xml:space="preserve"> </w:t>
      </w:r>
      <w:proofErr w:type="gramStart"/>
      <w:r w:rsidRPr="006176C9">
        <w:rPr>
          <w:szCs w:val="24"/>
        </w:rPr>
        <w:t>a</w:t>
      </w:r>
      <w:proofErr w:type="gramEnd"/>
      <w:r w:rsidRPr="006176C9">
        <w:rPr>
          <w:szCs w:val="24"/>
        </w:rPr>
        <w:t xml:space="preserve"> </w:t>
      </w:r>
      <w:r w:rsidRPr="006176C9">
        <w:rPr>
          <w:szCs w:val="24"/>
        </w:rPr>
        <w:lastRenderedPageBreak/>
        <w:t>divis</w:t>
      </w:r>
      <w:r>
        <w:rPr>
          <w:szCs w:val="24"/>
        </w:rPr>
        <w:t>ão</w:t>
      </w:r>
      <w:r w:rsidRPr="006176C9">
        <w:rPr>
          <w:szCs w:val="24"/>
        </w:rPr>
        <w:t xml:space="preserve"> 23</w:t>
      </w:r>
      <w:r>
        <w:rPr>
          <w:szCs w:val="24"/>
        </w:rPr>
        <w:t xml:space="preserve">. </w:t>
      </w:r>
      <w:r w:rsidRPr="006176C9">
        <w:rPr>
          <w:szCs w:val="24"/>
        </w:rPr>
        <w:t xml:space="preserve">Os setores de Preparação de Couros e Fabricação de Artefatos de Couro, </w:t>
      </w:r>
      <w:r>
        <w:rPr>
          <w:szCs w:val="24"/>
        </w:rPr>
        <w:t xml:space="preserve">Fabricação de Produtos de Madeira, Fabricação de Máquinas e Equipamentos, </w:t>
      </w:r>
      <w:r w:rsidRPr="006176C9">
        <w:rPr>
          <w:szCs w:val="24"/>
        </w:rPr>
        <w:t>Fabricação de Material Eletrônico e de Aparelhos e Equipamentos de Comunicações</w:t>
      </w:r>
      <w:r>
        <w:rPr>
          <w:szCs w:val="24"/>
        </w:rPr>
        <w:t>, Fabricação e Montagem de Veículos Automotores, Reboques e Carrocerias</w:t>
      </w:r>
      <w:r w:rsidRPr="006176C9">
        <w:rPr>
          <w:szCs w:val="24"/>
        </w:rPr>
        <w:t xml:space="preserve"> e Fabricação de Outros Equipamentos de Transporte sofreram uma redução </w:t>
      </w:r>
      <w:r>
        <w:rPr>
          <w:szCs w:val="24"/>
        </w:rPr>
        <w:t>expressiva n</w:t>
      </w:r>
      <w:r w:rsidRPr="006176C9">
        <w:rPr>
          <w:szCs w:val="24"/>
        </w:rPr>
        <w:t xml:space="preserve">os indicadores de concentração industrial no período de </w:t>
      </w:r>
      <w:r>
        <w:rPr>
          <w:szCs w:val="24"/>
        </w:rPr>
        <w:t>200</w:t>
      </w:r>
      <w:r w:rsidRPr="006176C9">
        <w:rPr>
          <w:szCs w:val="24"/>
        </w:rPr>
        <w:t>5-20</w:t>
      </w:r>
      <w:r>
        <w:rPr>
          <w:szCs w:val="24"/>
        </w:rPr>
        <w:t>1</w:t>
      </w:r>
      <w:r w:rsidRPr="006176C9">
        <w:rPr>
          <w:szCs w:val="24"/>
        </w:rPr>
        <w:t xml:space="preserve">0. </w:t>
      </w:r>
    </w:p>
    <w:p w:rsidR="00D72321" w:rsidRDefault="00D72321" w:rsidP="00D72321">
      <w:pPr>
        <w:rPr>
          <w:szCs w:val="24"/>
        </w:rPr>
      </w:pPr>
      <w:r w:rsidRPr="006176C9">
        <w:rPr>
          <w:szCs w:val="24"/>
        </w:rPr>
        <w:t xml:space="preserve">Tabela </w:t>
      </w:r>
      <w:r w:rsidR="00210ECB">
        <w:rPr>
          <w:szCs w:val="24"/>
        </w:rPr>
        <w:t>2</w:t>
      </w:r>
      <w:r w:rsidRPr="006176C9">
        <w:rPr>
          <w:szCs w:val="24"/>
        </w:rPr>
        <w:t xml:space="preserve"> – Índices Ponderados de Herfindahl, Concentração-Prima e Ellison-Glaeser </w:t>
      </w:r>
    </w:p>
    <w:p w:rsidR="00D72321" w:rsidRPr="009A2840" w:rsidRDefault="00D72321" w:rsidP="00D72321">
      <w:pPr>
        <w:rPr>
          <w:szCs w:val="24"/>
        </w:rPr>
      </w:pPr>
      <w:r>
        <w:rPr>
          <w:szCs w:val="24"/>
        </w:rPr>
        <w:t xml:space="preserve">                </w:t>
      </w:r>
      <w:r w:rsidR="005D6C9F">
        <w:rPr>
          <w:szCs w:val="24"/>
        </w:rPr>
        <w:t xml:space="preserve">  </w:t>
      </w:r>
      <w:proofErr w:type="gramStart"/>
      <w:r w:rsidRPr="006176C9">
        <w:rPr>
          <w:szCs w:val="24"/>
        </w:rPr>
        <w:t>para</w:t>
      </w:r>
      <w:proofErr w:type="gramEnd"/>
      <w:r w:rsidRPr="006176C9">
        <w:rPr>
          <w:szCs w:val="24"/>
        </w:rPr>
        <w:t xml:space="preserve"> a Indústria de Transformação Brasileira no</w:t>
      </w:r>
      <w:r>
        <w:rPr>
          <w:szCs w:val="24"/>
        </w:rPr>
        <w:t>s</w:t>
      </w:r>
      <w:r w:rsidRPr="006176C9">
        <w:rPr>
          <w:szCs w:val="24"/>
        </w:rPr>
        <w:t xml:space="preserve"> ano</w:t>
      </w:r>
      <w:r>
        <w:rPr>
          <w:szCs w:val="24"/>
        </w:rPr>
        <w:t>s</w:t>
      </w:r>
      <w:r w:rsidRPr="006176C9">
        <w:rPr>
          <w:szCs w:val="24"/>
        </w:rPr>
        <w:t xml:space="preserve"> de 2005 e 2010</w:t>
      </w:r>
    </w:p>
    <w:tbl>
      <w:tblPr>
        <w:tblW w:w="7702" w:type="dxa"/>
        <w:tblInd w:w="70" w:type="dxa"/>
        <w:tblCellMar>
          <w:left w:w="70" w:type="dxa"/>
          <w:right w:w="70" w:type="dxa"/>
        </w:tblCellMar>
        <w:tblLook w:val="04A0" w:firstRow="1" w:lastRow="0" w:firstColumn="1" w:lastColumn="0" w:noHBand="0" w:noVBand="1"/>
      </w:tblPr>
      <w:tblGrid>
        <w:gridCol w:w="1339"/>
        <w:gridCol w:w="723"/>
        <w:gridCol w:w="723"/>
        <w:gridCol w:w="893"/>
        <w:gridCol w:w="864"/>
        <w:gridCol w:w="723"/>
        <w:gridCol w:w="723"/>
        <w:gridCol w:w="893"/>
        <w:gridCol w:w="821"/>
      </w:tblGrid>
      <w:tr w:rsidR="00D72321" w:rsidRPr="00D35C63" w:rsidTr="00575620">
        <w:trPr>
          <w:trHeight w:val="251"/>
        </w:trPr>
        <w:tc>
          <w:tcPr>
            <w:tcW w:w="1339"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2005</w:t>
            </w:r>
          </w:p>
        </w:tc>
        <w:tc>
          <w:tcPr>
            <w:tcW w:w="723" w:type="dxa"/>
            <w:tcBorders>
              <w:top w:val="single" w:sz="4" w:space="0" w:color="auto"/>
              <w:left w:val="nil"/>
              <w:bottom w:val="nil"/>
              <w:right w:val="nil"/>
            </w:tcBorders>
            <w:shd w:val="clear" w:color="auto" w:fill="auto"/>
            <w:noWrap/>
            <w:vAlign w:val="bottom"/>
            <w:hideMark/>
          </w:tcPr>
          <w:p w:rsidR="00D72321" w:rsidRPr="00575620" w:rsidRDefault="00D72321" w:rsidP="007E177E">
            <w:pPr>
              <w:rPr>
                <w:color w:val="000000"/>
                <w:sz w:val="18"/>
                <w:szCs w:val="18"/>
              </w:rPr>
            </w:pPr>
          </w:p>
        </w:tc>
        <w:tc>
          <w:tcPr>
            <w:tcW w:w="723" w:type="dxa"/>
            <w:tcBorders>
              <w:top w:val="single" w:sz="4" w:space="0" w:color="auto"/>
              <w:left w:val="nil"/>
              <w:bottom w:val="nil"/>
              <w:right w:val="nil"/>
            </w:tcBorders>
            <w:shd w:val="clear" w:color="auto" w:fill="auto"/>
            <w:noWrap/>
            <w:vAlign w:val="bottom"/>
            <w:hideMark/>
          </w:tcPr>
          <w:p w:rsidR="00D72321" w:rsidRPr="00575620" w:rsidRDefault="00D72321" w:rsidP="007E177E">
            <w:pPr>
              <w:rPr>
                <w:color w:val="000000"/>
                <w:sz w:val="18"/>
                <w:szCs w:val="18"/>
              </w:rPr>
            </w:pPr>
          </w:p>
        </w:tc>
        <w:tc>
          <w:tcPr>
            <w:tcW w:w="893" w:type="dxa"/>
            <w:tcBorders>
              <w:top w:val="single" w:sz="4" w:space="0" w:color="auto"/>
              <w:left w:val="nil"/>
              <w:bottom w:val="nil"/>
              <w:right w:val="nil"/>
            </w:tcBorders>
            <w:shd w:val="clear" w:color="auto" w:fill="auto"/>
            <w:noWrap/>
            <w:vAlign w:val="bottom"/>
            <w:hideMark/>
          </w:tcPr>
          <w:p w:rsidR="00D72321" w:rsidRPr="00575620" w:rsidRDefault="00D72321" w:rsidP="007E177E">
            <w:pPr>
              <w:rPr>
                <w:color w:val="000000"/>
                <w:sz w:val="18"/>
                <w:szCs w:val="18"/>
              </w:rPr>
            </w:pPr>
          </w:p>
        </w:tc>
        <w:tc>
          <w:tcPr>
            <w:tcW w:w="864" w:type="dxa"/>
            <w:tcBorders>
              <w:top w:val="single" w:sz="4" w:space="0" w:color="auto"/>
              <w:left w:val="nil"/>
              <w:bottom w:val="nil"/>
              <w:right w:val="single" w:sz="4" w:space="0" w:color="auto"/>
            </w:tcBorders>
            <w:shd w:val="clear" w:color="auto" w:fill="auto"/>
            <w:noWrap/>
            <w:vAlign w:val="bottom"/>
            <w:hideMark/>
          </w:tcPr>
          <w:p w:rsidR="00D72321" w:rsidRPr="00575620" w:rsidRDefault="00D72321" w:rsidP="007E177E">
            <w:pPr>
              <w:rPr>
                <w:rFonts w:ascii="Calibri" w:hAnsi="Calibri" w:cs="Calibri"/>
                <w:color w:val="000000"/>
                <w:sz w:val="18"/>
                <w:szCs w:val="18"/>
              </w:rPr>
            </w:pPr>
          </w:p>
          <w:p w:rsidR="00D72321" w:rsidRPr="00575620" w:rsidRDefault="00D72321" w:rsidP="007E177E">
            <w:pPr>
              <w:rPr>
                <w:rFonts w:ascii="Calibri" w:hAnsi="Calibri" w:cs="Calibri"/>
                <w:color w:val="000000"/>
                <w:sz w:val="18"/>
                <w:szCs w:val="18"/>
              </w:rPr>
            </w:pPr>
          </w:p>
        </w:tc>
        <w:tc>
          <w:tcPr>
            <w:tcW w:w="723" w:type="dxa"/>
            <w:tcBorders>
              <w:top w:val="single" w:sz="4" w:space="0" w:color="auto"/>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2010</w:t>
            </w:r>
          </w:p>
        </w:tc>
        <w:tc>
          <w:tcPr>
            <w:tcW w:w="723" w:type="dxa"/>
            <w:tcBorders>
              <w:top w:val="single" w:sz="4" w:space="0" w:color="auto"/>
              <w:left w:val="nil"/>
              <w:bottom w:val="nil"/>
              <w:right w:val="nil"/>
            </w:tcBorders>
            <w:shd w:val="clear" w:color="auto" w:fill="auto"/>
            <w:noWrap/>
            <w:vAlign w:val="bottom"/>
            <w:hideMark/>
          </w:tcPr>
          <w:p w:rsidR="00D72321" w:rsidRPr="00575620" w:rsidRDefault="00D72321" w:rsidP="007E177E">
            <w:pPr>
              <w:rPr>
                <w:color w:val="000000"/>
                <w:sz w:val="18"/>
                <w:szCs w:val="18"/>
              </w:rPr>
            </w:pPr>
          </w:p>
        </w:tc>
        <w:tc>
          <w:tcPr>
            <w:tcW w:w="893" w:type="dxa"/>
            <w:tcBorders>
              <w:top w:val="single" w:sz="4" w:space="0" w:color="auto"/>
              <w:left w:val="nil"/>
              <w:bottom w:val="nil"/>
              <w:right w:val="nil"/>
            </w:tcBorders>
            <w:shd w:val="clear" w:color="auto" w:fill="auto"/>
            <w:noWrap/>
            <w:vAlign w:val="bottom"/>
            <w:hideMark/>
          </w:tcPr>
          <w:p w:rsidR="00D72321" w:rsidRPr="00575620" w:rsidRDefault="00D72321" w:rsidP="007E177E">
            <w:pPr>
              <w:rPr>
                <w:color w:val="000000"/>
                <w:sz w:val="18"/>
                <w:szCs w:val="18"/>
              </w:rPr>
            </w:pPr>
          </w:p>
        </w:tc>
        <w:tc>
          <w:tcPr>
            <w:tcW w:w="821" w:type="dxa"/>
            <w:tcBorders>
              <w:top w:val="single" w:sz="4" w:space="0" w:color="auto"/>
              <w:left w:val="nil"/>
              <w:bottom w:val="nil"/>
              <w:right w:val="nil"/>
            </w:tcBorders>
            <w:shd w:val="clear" w:color="auto" w:fill="auto"/>
            <w:noWrap/>
            <w:vAlign w:val="bottom"/>
            <w:hideMark/>
          </w:tcPr>
          <w:p w:rsidR="00D72321" w:rsidRPr="00575620" w:rsidRDefault="00D72321" w:rsidP="007E177E">
            <w:pPr>
              <w:rPr>
                <w:rFonts w:ascii="Calibri" w:hAnsi="Calibri" w:cs="Calibri"/>
                <w:color w:val="000000"/>
                <w:sz w:val="18"/>
                <w:szCs w:val="18"/>
              </w:rPr>
            </w:pPr>
          </w:p>
          <w:p w:rsidR="00D72321" w:rsidRPr="00575620" w:rsidRDefault="00D72321" w:rsidP="007E177E">
            <w:pPr>
              <w:rPr>
                <w:rFonts w:ascii="Calibri" w:hAnsi="Calibri" w:cs="Calibri"/>
                <w:color w:val="000000"/>
                <w:sz w:val="18"/>
                <w:szCs w:val="18"/>
              </w:rPr>
            </w:pPr>
          </w:p>
        </w:tc>
      </w:tr>
      <w:tr w:rsidR="00D72321" w:rsidRPr="00D35C63" w:rsidTr="00575620">
        <w:trPr>
          <w:trHeight w:val="264"/>
        </w:trPr>
        <w:tc>
          <w:tcPr>
            <w:tcW w:w="1339" w:type="dxa"/>
            <w:tcBorders>
              <w:top w:val="nil"/>
              <w:left w:val="nil"/>
              <w:bottom w:val="single" w:sz="8" w:space="0" w:color="auto"/>
              <w:right w:val="nil"/>
            </w:tcBorders>
            <w:shd w:val="clear" w:color="auto" w:fill="auto"/>
            <w:noWrap/>
            <w:vAlign w:val="bottom"/>
            <w:hideMark/>
          </w:tcPr>
          <w:p w:rsidR="00D72321" w:rsidRPr="00575620" w:rsidRDefault="00D72321" w:rsidP="007E177E">
            <w:pPr>
              <w:rPr>
                <w:color w:val="000000"/>
                <w:sz w:val="18"/>
                <w:szCs w:val="18"/>
              </w:rPr>
            </w:pPr>
            <w:r w:rsidRPr="00575620">
              <w:rPr>
                <w:color w:val="000000"/>
                <w:sz w:val="18"/>
                <w:szCs w:val="18"/>
              </w:rPr>
              <w:t> </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Hs</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Gs</w:t>
            </w:r>
          </w:p>
        </w:tc>
        <w:tc>
          <w:tcPr>
            <w:tcW w:w="89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i/>
                <w:iCs/>
                <w:color w:val="000000"/>
                <w:sz w:val="18"/>
                <w:szCs w:val="18"/>
              </w:rPr>
              <w:t>I</w:t>
            </w:r>
            <w:r w:rsidRPr="00575620">
              <w:rPr>
                <w:b/>
                <w:bCs/>
                <w:color w:val="000000"/>
                <w:sz w:val="18"/>
                <w:szCs w:val="18"/>
              </w:rPr>
              <w:t xml:space="preserve"> Moran</w:t>
            </w:r>
          </w:p>
        </w:tc>
        <w:tc>
          <w:tcPr>
            <w:tcW w:w="864" w:type="dxa"/>
            <w:tcBorders>
              <w:top w:val="nil"/>
              <w:left w:val="nil"/>
              <w:bottom w:val="single" w:sz="8" w:space="0" w:color="auto"/>
              <w:right w:val="single" w:sz="4" w:space="0" w:color="auto"/>
            </w:tcBorders>
            <w:shd w:val="clear" w:color="auto" w:fill="auto"/>
            <w:noWrap/>
            <w:vAlign w:val="center"/>
            <w:hideMark/>
          </w:tcPr>
          <w:p w:rsidR="00D72321" w:rsidRPr="00575620" w:rsidRDefault="00D2730E" w:rsidP="007E177E">
            <w:pPr>
              <w:jc w:val="center"/>
              <w:rPr>
                <w:b/>
                <w:bCs/>
                <w:color w:val="000000"/>
                <w:sz w:val="18"/>
                <w:szCs w:val="18"/>
              </w:rPr>
            </w:pPr>
            <m:oMath>
              <m:sSub>
                <m:sSubPr>
                  <m:ctrlPr>
                    <w:rPr>
                      <w:rFonts w:ascii="Cambria Math" w:hAnsi="Cambria Math"/>
                      <w:b/>
                      <w:bCs/>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w:r w:rsidR="00D72321" w:rsidRPr="00575620">
              <w:rPr>
                <w:b/>
                <w:bCs/>
                <w:color w:val="000000"/>
                <w:sz w:val="18"/>
                <w:szCs w:val="18"/>
              </w:rPr>
              <w:t> </w:t>
            </w:r>
          </w:p>
        </w:tc>
        <w:tc>
          <w:tcPr>
            <w:tcW w:w="723" w:type="dxa"/>
            <w:tcBorders>
              <w:top w:val="nil"/>
              <w:left w:val="single" w:sz="4" w:space="0" w:color="auto"/>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Hs</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Gs</w:t>
            </w:r>
          </w:p>
        </w:tc>
        <w:tc>
          <w:tcPr>
            <w:tcW w:w="89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i/>
                <w:iCs/>
                <w:color w:val="000000"/>
                <w:sz w:val="18"/>
                <w:szCs w:val="18"/>
              </w:rPr>
              <w:t>I</w:t>
            </w:r>
            <w:r w:rsidRPr="00575620">
              <w:rPr>
                <w:b/>
                <w:bCs/>
                <w:color w:val="000000"/>
                <w:sz w:val="18"/>
                <w:szCs w:val="18"/>
              </w:rPr>
              <w:t xml:space="preserve"> Moran</w:t>
            </w:r>
          </w:p>
        </w:tc>
        <w:tc>
          <w:tcPr>
            <w:tcW w:w="821"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b/>
                <w:bCs/>
                <w:color w:val="000000"/>
                <w:sz w:val="18"/>
                <w:szCs w:val="18"/>
              </w:rPr>
            </w:pPr>
            <m:oMath>
              <m:sSub>
                <m:sSubPr>
                  <m:ctrlPr>
                    <w:rPr>
                      <w:rFonts w:ascii="Cambria Math" w:hAnsi="Cambria Math"/>
                      <w:b/>
                      <w:bCs/>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w:r w:rsidR="00D72321" w:rsidRPr="00575620">
              <w:rPr>
                <w:b/>
                <w:bCs/>
                <w:color w:val="000000"/>
                <w:sz w:val="18"/>
                <w:szCs w:val="18"/>
              </w:rPr>
              <w:t> </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0,178</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0,021</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0,185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0,158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0,114</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-0,007</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0,120</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0,153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0,117</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0,045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0,123</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17</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0,077</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0,052</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0,077</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0,064</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0,059</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0,054</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19</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0,126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0,110</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0,099</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0,116</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0,103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0,081</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0,098</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20</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0,050</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0,264</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0,058</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0,283</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0,111</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0,138</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0,124</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-0,052</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0,028</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-0,046</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0,030</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23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0,056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0,071</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0,176</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0,075</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0,192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0,156</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0,025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0,165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24</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0,139</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0,031</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0,053</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0,033</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0,072</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0,078</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0,111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0,018</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0,123</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0,019</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0,039</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0,062</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27</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0,094</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0,165</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0,137</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0,106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0,146</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0,101</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29</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0,106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0,184</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0,015</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0,083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0,009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0,212</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0,009</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30</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0,048</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0,210</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0,050</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0,152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0,071</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0,075</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0,131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0,091</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0,115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0,148</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32</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0,207</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0,143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0,012</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0,151</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0,173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0,100</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0,015</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0,106</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0,145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0,052</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0,115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0,020</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0,058</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0,021</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34</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0,173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0,186</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0,052</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0,148</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0,039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0,183</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0,041</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35</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0,154</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0,079</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0,105</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0,123</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0,083</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0,058</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0,088</w:t>
            </w:r>
          </w:p>
        </w:tc>
      </w:tr>
      <w:tr w:rsidR="00D72321" w:rsidRPr="00D35C63" w:rsidTr="00575620">
        <w:trPr>
          <w:trHeight w:val="251"/>
        </w:trPr>
        <w:tc>
          <w:tcPr>
            <w:tcW w:w="1339"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0,056</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0,005</w:t>
            </w:r>
          </w:p>
        </w:tc>
        <w:tc>
          <w:tcPr>
            <w:tcW w:w="864" w:type="dxa"/>
            <w:tcBorders>
              <w:top w:val="nil"/>
              <w:left w:val="nil"/>
              <w:bottom w:val="nil"/>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c>
          <w:tcPr>
            <w:tcW w:w="723" w:type="dxa"/>
            <w:tcBorders>
              <w:top w:val="nil"/>
              <w:left w:val="single" w:sz="4" w:space="0" w:color="auto"/>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0,051</w:t>
            </w:r>
          </w:p>
        </w:tc>
        <w:tc>
          <w:tcPr>
            <w:tcW w:w="72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c>
          <w:tcPr>
            <w:tcW w:w="893"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0,046</w:t>
            </w:r>
          </w:p>
        </w:tc>
        <w:tc>
          <w:tcPr>
            <w:tcW w:w="82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w:t>
            </w:r>
          </w:p>
        </w:tc>
      </w:tr>
      <w:tr w:rsidR="00D72321" w:rsidRPr="00D35C63" w:rsidTr="00575620">
        <w:trPr>
          <w:trHeight w:val="264"/>
        </w:trPr>
        <w:tc>
          <w:tcPr>
            <w:tcW w:w="1339"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37</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0,046</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0,007</w:t>
            </w:r>
          </w:p>
        </w:tc>
        <w:tc>
          <w:tcPr>
            <w:tcW w:w="89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0,045</w:t>
            </w:r>
          </w:p>
        </w:tc>
        <w:tc>
          <w:tcPr>
            <w:tcW w:w="864" w:type="dxa"/>
            <w:tcBorders>
              <w:top w:val="nil"/>
              <w:left w:val="nil"/>
              <w:bottom w:val="single" w:sz="8" w:space="0" w:color="auto"/>
              <w:right w:val="single" w:sz="4" w:space="0" w:color="auto"/>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w:t>
            </w:r>
          </w:p>
        </w:tc>
        <w:tc>
          <w:tcPr>
            <w:tcW w:w="723" w:type="dxa"/>
            <w:tcBorders>
              <w:top w:val="nil"/>
              <w:left w:val="single" w:sz="4" w:space="0" w:color="auto"/>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0,051</w:t>
            </w:r>
          </w:p>
        </w:tc>
        <w:tc>
          <w:tcPr>
            <w:tcW w:w="72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c>
          <w:tcPr>
            <w:tcW w:w="893"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w:t>
            </w:r>
          </w:p>
        </w:tc>
        <w:tc>
          <w:tcPr>
            <w:tcW w:w="82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w:t>
            </w:r>
          </w:p>
        </w:tc>
      </w:tr>
    </w:tbl>
    <w:p w:rsidR="00D72321" w:rsidRPr="00575620" w:rsidRDefault="00D72321" w:rsidP="00D72321">
      <w:pPr>
        <w:spacing w:after="200"/>
        <w:rPr>
          <w:sz w:val="16"/>
          <w:szCs w:val="16"/>
        </w:rPr>
      </w:pPr>
      <w:r w:rsidRPr="00575620">
        <w:rPr>
          <w:sz w:val="16"/>
          <w:szCs w:val="16"/>
        </w:rPr>
        <w:t>Fonte: Elaboração própria a partir de dados da RAIS/MTE (2010).</w:t>
      </w:r>
    </w:p>
    <w:p w:rsidR="00D72321" w:rsidRDefault="00D72321" w:rsidP="002227F2">
      <w:pPr>
        <w:ind w:firstLine="709"/>
        <w:rPr>
          <w:szCs w:val="24"/>
        </w:rPr>
      </w:pPr>
      <w:r w:rsidRPr="006176C9">
        <w:rPr>
          <w:szCs w:val="24"/>
        </w:rPr>
        <w:t xml:space="preserve">Ao analisar o índice de Ellison-Glaeser dos setores separadamente, identificou-se que o setor de Preparação de Couros e Fabricação de Artefatos de Couro passou de </w:t>
      </w:r>
      <w:r>
        <w:rPr>
          <w:szCs w:val="24"/>
        </w:rPr>
        <w:t>0,116</w:t>
      </w:r>
      <w:r w:rsidRPr="006176C9">
        <w:rPr>
          <w:szCs w:val="24"/>
        </w:rPr>
        <w:t xml:space="preserve"> em </w:t>
      </w:r>
      <w:r>
        <w:rPr>
          <w:szCs w:val="24"/>
        </w:rPr>
        <w:t>200</w:t>
      </w:r>
      <w:r w:rsidRPr="006176C9">
        <w:rPr>
          <w:szCs w:val="24"/>
        </w:rPr>
        <w:t xml:space="preserve">5 para </w:t>
      </w:r>
      <w:r>
        <w:rPr>
          <w:szCs w:val="24"/>
        </w:rPr>
        <w:t>0,098</w:t>
      </w:r>
      <w:r w:rsidRPr="006176C9">
        <w:rPr>
          <w:szCs w:val="24"/>
        </w:rPr>
        <w:t xml:space="preserve"> em 20</w:t>
      </w:r>
      <w:r>
        <w:rPr>
          <w:szCs w:val="24"/>
        </w:rPr>
        <w:t>1</w:t>
      </w:r>
      <w:r w:rsidRPr="006176C9">
        <w:rPr>
          <w:szCs w:val="24"/>
        </w:rPr>
        <w:t xml:space="preserve">0, foi o indicador que teve a maior queda, um decréscimo de </w:t>
      </w:r>
      <w:r>
        <w:rPr>
          <w:szCs w:val="24"/>
        </w:rPr>
        <w:t>0,018</w:t>
      </w:r>
      <w:r w:rsidRPr="006176C9">
        <w:rPr>
          <w:szCs w:val="24"/>
        </w:rPr>
        <w:t xml:space="preserve"> na concentração deste setor. </w:t>
      </w:r>
      <w:r>
        <w:rPr>
          <w:szCs w:val="24"/>
        </w:rPr>
        <w:t xml:space="preserve">A Fabricação de Produtos de Madeira passou de 0,058 em 2005 para 0,045 em 2010, foi o índice que contribuiu para uma maior queda com 0,013 na concentração desta divisão. A Fabricação de Máquinas e Equipamentos passou de 0,015 em 2005 para 0,009 em 2010, o subíndice que apresentou o maior decréscimo foi o de Herfindahl com uma queda de 0,023. </w:t>
      </w:r>
      <w:r w:rsidRPr="006176C9">
        <w:rPr>
          <w:szCs w:val="24"/>
        </w:rPr>
        <w:t xml:space="preserve">A Fabricação de Material Eletrônico e de Aparelhos e Equipamentos de Comunicações passou de </w:t>
      </w:r>
      <w:r>
        <w:rPr>
          <w:szCs w:val="24"/>
        </w:rPr>
        <w:t>0,151</w:t>
      </w:r>
      <w:r w:rsidRPr="006176C9">
        <w:rPr>
          <w:szCs w:val="24"/>
        </w:rPr>
        <w:t xml:space="preserve"> em </w:t>
      </w:r>
      <w:r>
        <w:rPr>
          <w:szCs w:val="24"/>
        </w:rPr>
        <w:t>200</w:t>
      </w:r>
      <w:r w:rsidRPr="006176C9">
        <w:rPr>
          <w:szCs w:val="24"/>
        </w:rPr>
        <w:t xml:space="preserve">5 para </w:t>
      </w:r>
      <w:r>
        <w:rPr>
          <w:szCs w:val="24"/>
        </w:rPr>
        <w:t>0,106</w:t>
      </w:r>
      <w:r w:rsidRPr="006176C9">
        <w:rPr>
          <w:szCs w:val="24"/>
        </w:rPr>
        <w:t xml:space="preserve"> em 20</w:t>
      </w:r>
      <w:r>
        <w:rPr>
          <w:szCs w:val="24"/>
        </w:rPr>
        <w:t>1</w:t>
      </w:r>
      <w:r w:rsidRPr="006176C9">
        <w:rPr>
          <w:szCs w:val="24"/>
        </w:rPr>
        <w:t xml:space="preserve">0, uma queda de </w:t>
      </w:r>
      <w:r>
        <w:rPr>
          <w:szCs w:val="24"/>
        </w:rPr>
        <w:t>0,045</w:t>
      </w:r>
      <w:r w:rsidRPr="006176C9">
        <w:rPr>
          <w:szCs w:val="24"/>
        </w:rPr>
        <w:t xml:space="preserve"> neste índice de</w:t>
      </w:r>
      <w:r>
        <w:rPr>
          <w:szCs w:val="24"/>
        </w:rPr>
        <w:t xml:space="preserve"> </w:t>
      </w:r>
      <w:r w:rsidRPr="006176C9">
        <w:rPr>
          <w:szCs w:val="24"/>
        </w:rPr>
        <w:t xml:space="preserve">concentração. Para esta divisão 32 o subíndice </w:t>
      </w:r>
      <w:r>
        <w:rPr>
          <w:szCs w:val="24"/>
        </w:rPr>
        <w:t xml:space="preserve">de Herfindahl contribuiu com uma </w:t>
      </w:r>
      <w:r w:rsidRPr="006176C9">
        <w:rPr>
          <w:szCs w:val="24"/>
        </w:rPr>
        <w:t xml:space="preserve">queda </w:t>
      </w:r>
      <w:r>
        <w:rPr>
          <w:szCs w:val="24"/>
        </w:rPr>
        <w:t xml:space="preserve">de 0,034 para </w:t>
      </w:r>
      <w:r w:rsidRPr="006176C9">
        <w:rPr>
          <w:szCs w:val="24"/>
        </w:rPr>
        <w:t xml:space="preserve">o período de </w:t>
      </w:r>
      <w:r>
        <w:rPr>
          <w:szCs w:val="24"/>
        </w:rPr>
        <w:t>200</w:t>
      </w:r>
      <w:r w:rsidRPr="006176C9">
        <w:rPr>
          <w:szCs w:val="24"/>
        </w:rPr>
        <w:t>5-20</w:t>
      </w:r>
      <w:r>
        <w:rPr>
          <w:szCs w:val="24"/>
        </w:rPr>
        <w:t>1</w:t>
      </w:r>
      <w:r w:rsidRPr="006176C9">
        <w:rPr>
          <w:szCs w:val="24"/>
        </w:rPr>
        <w:t xml:space="preserve">0. </w:t>
      </w:r>
      <w:r>
        <w:rPr>
          <w:szCs w:val="24"/>
        </w:rPr>
        <w:t xml:space="preserve">A Fabricação e Montagem de Veículos Automotores, Reboques e Carrocerias passou de 0,052 em 2005 para 0,041 em 2010, o subíndice que apresentou a maior perda de concentração foi o de Herfindahl com 0,025. </w:t>
      </w:r>
      <w:r w:rsidRPr="006176C9">
        <w:rPr>
          <w:szCs w:val="24"/>
        </w:rPr>
        <w:t xml:space="preserve">A Fabricação de Outros Equipamentos de Transporte passou de </w:t>
      </w:r>
      <w:r>
        <w:rPr>
          <w:szCs w:val="24"/>
        </w:rPr>
        <w:t>0,105</w:t>
      </w:r>
      <w:r w:rsidRPr="006176C9">
        <w:rPr>
          <w:szCs w:val="24"/>
        </w:rPr>
        <w:t xml:space="preserve"> em </w:t>
      </w:r>
      <w:r>
        <w:rPr>
          <w:szCs w:val="24"/>
        </w:rPr>
        <w:t>200</w:t>
      </w:r>
      <w:r w:rsidRPr="006176C9">
        <w:rPr>
          <w:szCs w:val="24"/>
        </w:rPr>
        <w:t xml:space="preserve">5 para </w:t>
      </w:r>
      <w:r>
        <w:rPr>
          <w:szCs w:val="24"/>
        </w:rPr>
        <w:t>0,088</w:t>
      </w:r>
      <w:r w:rsidRPr="006176C9">
        <w:rPr>
          <w:szCs w:val="24"/>
        </w:rPr>
        <w:t xml:space="preserve"> em 20</w:t>
      </w:r>
      <w:r>
        <w:rPr>
          <w:szCs w:val="24"/>
        </w:rPr>
        <w:t>1</w:t>
      </w:r>
      <w:r w:rsidRPr="006176C9">
        <w:rPr>
          <w:szCs w:val="24"/>
        </w:rPr>
        <w:t xml:space="preserve">0, uma redução de </w:t>
      </w:r>
      <w:r>
        <w:rPr>
          <w:szCs w:val="24"/>
        </w:rPr>
        <w:t>0,017</w:t>
      </w:r>
      <w:r w:rsidRPr="006176C9">
        <w:rPr>
          <w:szCs w:val="24"/>
        </w:rPr>
        <w:t xml:space="preserve">. O </w:t>
      </w:r>
      <w:proofErr w:type="gramStart"/>
      <w:r w:rsidR="00161BF9">
        <w:rPr>
          <w:szCs w:val="24"/>
        </w:rPr>
        <w:t>sub</w:t>
      </w:r>
      <w:r w:rsidR="005D6C9F">
        <w:rPr>
          <w:szCs w:val="24"/>
        </w:rPr>
        <w:t>-</w:t>
      </w:r>
      <w:r w:rsidR="00161BF9">
        <w:rPr>
          <w:szCs w:val="24"/>
        </w:rPr>
        <w:t>i</w:t>
      </w:r>
      <w:r w:rsidRPr="006176C9">
        <w:rPr>
          <w:szCs w:val="24"/>
        </w:rPr>
        <w:t>ndicador</w:t>
      </w:r>
      <w:proofErr w:type="gramEnd"/>
      <w:r w:rsidRPr="006176C9">
        <w:rPr>
          <w:szCs w:val="24"/>
        </w:rPr>
        <w:t xml:space="preserve"> que sofreu maior queda, </w:t>
      </w:r>
      <w:r w:rsidRPr="006176C9">
        <w:rPr>
          <w:szCs w:val="24"/>
        </w:rPr>
        <w:lastRenderedPageBreak/>
        <w:t xml:space="preserve">contribuindo assim para a redução do índice de Ellison-Glaeser foi o índice de Herfindahl com um declínio de </w:t>
      </w:r>
      <w:r>
        <w:rPr>
          <w:szCs w:val="24"/>
        </w:rPr>
        <w:t>0,031</w:t>
      </w:r>
      <w:r w:rsidRPr="006176C9">
        <w:rPr>
          <w:szCs w:val="24"/>
        </w:rPr>
        <w:t xml:space="preserve">. </w:t>
      </w:r>
    </w:p>
    <w:p w:rsidR="00D72321" w:rsidRPr="006176C9" w:rsidRDefault="00D72321" w:rsidP="002227F2">
      <w:pPr>
        <w:ind w:firstLine="709"/>
        <w:rPr>
          <w:szCs w:val="24"/>
        </w:rPr>
      </w:pPr>
      <w:r w:rsidRPr="006176C9">
        <w:rPr>
          <w:szCs w:val="24"/>
        </w:rPr>
        <w:t xml:space="preserve">A Fabricação de Coque, Refino de Petróleo, Elaboração de Combustíveis Nucleares e Produção de Álcool foi um dos únicos setores que apresentaram aumento da concentração, saltou de </w:t>
      </w:r>
      <w:r>
        <w:rPr>
          <w:szCs w:val="24"/>
        </w:rPr>
        <w:t>0,075</w:t>
      </w:r>
      <w:r w:rsidRPr="006176C9">
        <w:rPr>
          <w:szCs w:val="24"/>
        </w:rPr>
        <w:t xml:space="preserve"> em 2005 para </w:t>
      </w:r>
      <w:r>
        <w:rPr>
          <w:szCs w:val="24"/>
        </w:rPr>
        <w:t>0,165</w:t>
      </w:r>
      <w:r w:rsidRPr="006176C9">
        <w:rPr>
          <w:szCs w:val="24"/>
        </w:rPr>
        <w:t xml:space="preserve"> em 2010, um crescimento de </w:t>
      </w:r>
      <w:r>
        <w:rPr>
          <w:szCs w:val="24"/>
        </w:rPr>
        <w:t>0,09</w:t>
      </w:r>
      <w:r w:rsidRPr="006176C9">
        <w:rPr>
          <w:szCs w:val="24"/>
        </w:rPr>
        <w:t xml:space="preserve"> na concentração desta divisão. O subíndice que mais contribuiu para esse incremento foi o de Herfindahl com </w:t>
      </w:r>
      <w:r>
        <w:rPr>
          <w:szCs w:val="24"/>
        </w:rPr>
        <w:t>0,136</w:t>
      </w:r>
      <w:r w:rsidRPr="006176C9">
        <w:rPr>
          <w:szCs w:val="24"/>
        </w:rPr>
        <w:t>.</w:t>
      </w:r>
    </w:p>
    <w:p w:rsidR="00D72321" w:rsidRDefault="00D72321" w:rsidP="002227F2">
      <w:pPr>
        <w:spacing w:after="120"/>
        <w:ind w:firstLine="709"/>
        <w:rPr>
          <w:szCs w:val="24"/>
        </w:rPr>
      </w:pPr>
      <w:r>
        <w:rPr>
          <w:szCs w:val="24"/>
        </w:rPr>
        <w:t xml:space="preserve">A </w:t>
      </w:r>
      <w:r w:rsidRPr="00145C8B">
        <w:rPr>
          <w:szCs w:val="24"/>
        </w:rPr>
        <w:t xml:space="preserve">Tabela </w:t>
      </w:r>
      <w:r w:rsidR="00210ECB">
        <w:rPr>
          <w:szCs w:val="24"/>
        </w:rPr>
        <w:t>3</w:t>
      </w:r>
      <w:r>
        <w:rPr>
          <w:szCs w:val="24"/>
        </w:rPr>
        <w:t xml:space="preserve"> apresenta </w:t>
      </w:r>
      <w:r w:rsidRPr="00145C8B">
        <w:rPr>
          <w:szCs w:val="24"/>
        </w:rPr>
        <w:t>os valores do índice de concentração de Ellison-Glaeser para as divisões industriais</w:t>
      </w:r>
      <w:r>
        <w:rPr>
          <w:szCs w:val="24"/>
        </w:rPr>
        <w:t xml:space="preserve"> estabelecidas pela</w:t>
      </w:r>
      <w:r w:rsidRPr="00145C8B">
        <w:rPr>
          <w:szCs w:val="24"/>
        </w:rPr>
        <w:t xml:space="preserve"> CNAE. Além de informar os valores absolutos da concentração das diferentes divisões, a tabela permite comparar as posições das 23 divisões no </w:t>
      </w:r>
      <w:r w:rsidR="00161BF9">
        <w:rPr>
          <w:i/>
          <w:szCs w:val="24"/>
        </w:rPr>
        <w:t>ranking</w:t>
      </w:r>
      <w:r w:rsidR="00161BF9" w:rsidRPr="00145C8B">
        <w:rPr>
          <w:szCs w:val="24"/>
        </w:rPr>
        <w:t xml:space="preserve"> </w:t>
      </w:r>
      <w:r w:rsidRPr="00145C8B">
        <w:rPr>
          <w:szCs w:val="24"/>
        </w:rPr>
        <w:t xml:space="preserve">da indústria de transformação, facilitando a análise das alterações ocorridas na concentração geográfica dos setores nos anos de 1995, 2000, 2005 e 2010. Os dados da tabela </w:t>
      </w:r>
      <w:r>
        <w:rPr>
          <w:szCs w:val="24"/>
        </w:rPr>
        <w:t>de</w:t>
      </w:r>
      <w:r w:rsidRPr="00145C8B">
        <w:rPr>
          <w:szCs w:val="24"/>
        </w:rPr>
        <w:t xml:space="preserve">mostram que houve aumento da concentração em </w:t>
      </w:r>
      <w:r>
        <w:rPr>
          <w:szCs w:val="24"/>
        </w:rPr>
        <w:t>nove</w:t>
      </w:r>
      <w:r w:rsidR="00161BF9">
        <w:rPr>
          <w:szCs w:val="24"/>
        </w:rPr>
        <w:t xml:space="preserve"> divisões</w:t>
      </w:r>
      <w:r w:rsidR="008C1359" w:rsidRPr="00D26972">
        <w:rPr>
          <w:szCs w:val="24"/>
        </w:rPr>
        <w:t xml:space="preserve">: </w:t>
      </w:r>
      <w:r w:rsidRPr="00D26972">
        <w:rPr>
          <w:szCs w:val="24"/>
        </w:rPr>
        <w:t>17, 18, 20, 21, 22, 23, 27, 31 e 32</w:t>
      </w:r>
      <w:r>
        <w:rPr>
          <w:rStyle w:val="Refdenotaderodap"/>
          <w:szCs w:val="24"/>
        </w:rPr>
        <w:footnoteReference w:id="7"/>
      </w:r>
      <w:r w:rsidRPr="00145C8B">
        <w:rPr>
          <w:szCs w:val="24"/>
        </w:rPr>
        <w:t xml:space="preserve"> e redução em </w:t>
      </w:r>
      <w:r>
        <w:rPr>
          <w:szCs w:val="24"/>
        </w:rPr>
        <w:t>onze</w:t>
      </w:r>
      <w:r w:rsidRPr="00145C8B">
        <w:rPr>
          <w:szCs w:val="24"/>
        </w:rPr>
        <w:t xml:space="preserve"> </w:t>
      </w:r>
      <w:r w:rsidR="008C1359" w:rsidRPr="00145C8B">
        <w:rPr>
          <w:szCs w:val="24"/>
        </w:rPr>
        <w:t>divisões</w:t>
      </w:r>
      <w:r w:rsidR="008C1359">
        <w:rPr>
          <w:szCs w:val="24"/>
        </w:rPr>
        <w:t xml:space="preserve">: </w:t>
      </w:r>
      <w:r>
        <w:rPr>
          <w:szCs w:val="24"/>
        </w:rPr>
        <w:t>15, 19, 24, 25, 26, 28, 29, 30, 34, 35 e 37</w:t>
      </w:r>
      <w:r>
        <w:rPr>
          <w:rStyle w:val="Refdenotaderodap"/>
          <w:szCs w:val="24"/>
        </w:rPr>
        <w:footnoteReference w:id="8"/>
      </w:r>
      <w:r>
        <w:rPr>
          <w:szCs w:val="24"/>
        </w:rPr>
        <w:t xml:space="preserve">. Algumas </w:t>
      </w:r>
      <w:r w:rsidRPr="00145C8B">
        <w:rPr>
          <w:szCs w:val="24"/>
        </w:rPr>
        <w:t xml:space="preserve">variações ocorridas em </w:t>
      </w:r>
      <w:r>
        <w:rPr>
          <w:szCs w:val="24"/>
        </w:rPr>
        <w:t xml:space="preserve">determinadas </w:t>
      </w:r>
      <w:r w:rsidRPr="00145C8B">
        <w:rPr>
          <w:szCs w:val="24"/>
        </w:rPr>
        <w:t>divisões foram muito pequenas</w:t>
      </w:r>
      <w:r>
        <w:rPr>
          <w:szCs w:val="24"/>
        </w:rPr>
        <w:t xml:space="preserve"> e mantiveram-se praticamente estáveis ao longo dos anos pesquisados</w:t>
      </w:r>
      <w:r w:rsidRPr="00145C8B">
        <w:rPr>
          <w:szCs w:val="24"/>
        </w:rPr>
        <w:t xml:space="preserve">, como é o caso das divisões </w:t>
      </w:r>
      <w:r>
        <w:rPr>
          <w:szCs w:val="24"/>
        </w:rPr>
        <w:t>16, 33 e 36</w:t>
      </w:r>
      <w:r>
        <w:rPr>
          <w:rStyle w:val="Refdenotaderodap"/>
          <w:szCs w:val="24"/>
        </w:rPr>
        <w:footnoteReference w:id="9"/>
      </w:r>
      <w:r w:rsidRPr="00145C8B">
        <w:rPr>
          <w:szCs w:val="24"/>
        </w:rPr>
        <w:t>.</w:t>
      </w:r>
      <w:r>
        <w:rPr>
          <w:szCs w:val="24"/>
        </w:rPr>
        <w:t xml:space="preserve"> </w:t>
      </w:r>
      <w:r w:rsidRPr="00145C8B">
        <w:rPr>
          <w:szCs w:val="24"/>
        </w:rPr>
        <w:t xml:space="preserve">Essas constatações indicam </w:t>
      </w:r>
      <w:r w:rsidR="005D6C9F">
        <w:rPr>
          <w:szCs w:val="24"/>
        </w:rPr>
        <w:t>uma possível</w:t>
      </w:r>
      <w:r>
        <w:rPr>
          <w:szCs w:val="24"/>
        </w:rPr>
        <w:t xml:space="preserve"> </w:t>
      </w:r>
      <w:r w:rsidRPr="00145C8B">
        <w:rPr>
          <w:szCs w:val="24"/>
        </w:rPr>
        <w:t>predominância de movimento no sentido d</w:t>
      </w:r>
      <w:r>
        <w:rPr>
          <w:szCs w:val="24"/>
        </w:rPr>
        <w:t>e</w:t>
      </w:r>
      <w:r w:rsidRPr="00145C8B">
        <w:rPr>
          <w:szCs w:val="24"/>
        </w:rPr>
        <w:t xml:space="preserve"> desconcentração industrial </w:t>
      </w:r>
      <w:r>
        <w:rPr>
          <w:szCs w:val="24"/>
        </w:rPr>
        <w:t>na maioria das divisões elencadas</w:t>
      </w:r>
      <w:r w:rsidR="00452293">
        <w:rPr>
          <w:szCs w:val="24"/>
        </w:rPr>
        <w:t xml:space="preserve"> nos anos investigados</w:t>
      </w:r>
      <w:r w:rsidRPr="00145C8B">
        <w:rPr>
          <w:szCs w:val="24"/>
        </w:rPr>
        <w:t>.</w:t>
      </w:r>
    </w:p>
    <w:p w:rsidR="00D72321" w:rsidRDefault="00D72321" w:rsidP="00D72321">
      <w:pPr>
        <w:rPr>
          <w:szCs w:val="24"/>
        </w:rPr>
      </w:pPr>
      <w:r w:rsidRPr="00145C8B">
        <w:rPr>
          <w:szCs w:val="24"/>
        </w:rPr>
        <w:t xml:space="preserve">Tabela </w:t>
      </w:r>
      <w:r w:rsidR="00210ECB">
        <w:rPr>
          <w:szCs w:val="24"/>
        </w:rPr>
        <w:t>3</w:t>
      </w:r>
      <w:r w:rsidRPr="00145C8B">
        <w:rPr>
          <w:szCs w:val="24"/>
        </w:rPr>
        <w:t xml:space="preserve"> – Índices Ponderados de Ellison-Glaeser e o </w:t>
      </w:r>
      <w:r w:rsidRPr="00145C8B">
        <w:rPr>
          <w:i/>
          <w:szCs w:val="24"/>
        </w:rPr>
        <w:t>Ranking</w:t>
      </w:r>
      <w:r>
        <w:rPr>
          <w:szCs w:val="24"/>
        </w:rPr>
        <w:t xml:space="preserve"> para a Indústria de </w:t>
      </w:r>
    </w:p>
    <w:p w:rsidR="00D72321" w:rsidRPr="00145C8B" w:rsidRDefault="00D72321" w:rsidP="00D72321">
      <w:pPr>
        <w:rPr>
          <w:szCs w:val="24"/>
        </w:rPr>
      </w:pPr>
      <w:r>
        <w:rPr>
          <w:szCs w:val="24"/>
        </w:rPr>
        <w:t xml:space="preserve">                </w:t>
      </w:r>
      <w:r w:rsidR="005D6C9F">
        <w:rPr>
          <w:szCs w:val="24"/>
        </w:rPr>
        <w:t xml:space="preserve"> </w:t>
      </w:r>
      <w:r w:rsidRPr="00145C8B">
        <w:rPr>
          <w:szCs w:val="24"/>
        </w:rPr>
        <w:t>Transformação Brasileira nos anos de 1995, 2000, 2005 e 2010</w:t>
      </w:r>
    </w:p>
    <w:tbl>
      <w:tblPr>
        <w:tblW w:w="7619" w:type="dxa"/>
        <w:tblInd w:w="55" w:type="dxa"/>
        <w:tblCellMar>
          <w:left w:w="70" w:type="dxa"/>
          <w:right w:w="70" w:type="dxa"/>
        </w:tblCellMar>
        <w:tblLook w:val="04A0" w:firstRow="1" w:lastRow="0" w:firstColumn="1" w:lastColumn="0" w:noHBand="0" w:noVBand="1"/>
      </w:tblPr>
      <w:tblGrid>
        <w:gridCol w:w="1135"/>
        <w:gridCol w:w="815"/>
        <w:gridCol w:w="781"/>
        <w:gridCol w:w="978"/>
        <w:gridCol w:w="781"/>
        <w:gridCol w:w="978"/>
        <w:gridCol w:w="781"/>
        <w:gridCol w:w="978"/>
        <w:gridCol w:w="781"/>
      </w:tblGrid>
      <w:tr w:rsidR="00D72321" w:rsidRPr="0000485C" w:rsidTr="00575620">
        <w:trPr>
          <w:trHeight w:val="258"/>
        </w:trPr>
        <w:tc>
          <w:tcPr>
            <w:tcW w:w="1135"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
        </w:tc>
        <w:tc>
          <w:tcPr>
            <w:tcW w:w="805"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1995</w:t>
            </w:r>
          </w:p>
        </w:tc>
        <w:tc>
          <w:tcPr>
            <w:tcW w:w="651"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
        </w:tc>
        <w:tc>
          <w:tcPr>
            <w:tcW w:w="978"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2000</w:t>
            </w:r>
          </w:p>
        </w:tc>
        <w:tc>
          <w:tcPr>
            <w:tcW w:w="632"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
        </w:tc>
        <w:tc>
          <w:tcPr>
            <w:tcW w:w="978"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2005</w:t>
            </w:r>
          </w:p>
        </w:tc>
        <w:tc>
          <w:tcPr>
            <w:tcW w:w="770"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
        </w:tc>
        <w:tc>
          <w:tcPr>
            <w:tcW w:w="978"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2010</w:t>
            </w:r>
          </w:p>
        </w:tc>
        <w:tc>
          <w:tcPr>
            <w:tcW w:w="692" w:type="dxa"/>
            <w:tcBorders>
              <w:top w:val="single" w:sz="4" w:space="0" w:color="auto"/>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
        </w:tc>
      </w:tr>
      <w:tr w:rsidR="00D72321" w:rsidRPr="0000485C" w:rsidTr="00575620">
        <w:trPr>
          <w:trHeight w:val="271"/>
        </w:trPr>
        <w:tc>
          <w:tcPr>
            <w:tcW w:w="1135"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p>
        </w:tc>
        <w:tc>
          <w:tcPr>
            <w:tcW w:w="805"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b/>
                <w:color w:val="000000"/>
                <w:sz w:val="18"/>
                <w:szCs w:val="18"/>
              </w:rPr>
            </w:pPr>
            <m:oMathPara>
              <m:oMath>
                <m:sSub>
                  <m:sSubPr>
                    <m:ctrlPr>
                      <w:rPr>
                        <w:rFonts w:ascii="Cambria Math" w:hAnsi="Cambria Math"/>
                        <w:b/>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m:oMathPara>
          </w:p>
        </w:tc>
        <w:tc>
          <w:tcPr>
            <w:tcW w:w="651" w:type="dxa"/>
            <w:tcBorders>
              <w:top w:val="nil"/>
              <w:left w:val="nil"/>
              <w:bottom w:val="single" w:sz="8" w:space="0" w:color="auto"/>
              <w:right w:val="nil"/>
            </w:tcBorders>
            <w:shd w:val="clear" w:color="auto" w:fill="auto"/>
            <w:noWrap/>
            <w:vAlign w:val="center"/>
            <w:hideMark/>
          </w:tcPr>
          <w:p w:rsidR="00D72321" w:rsidRPr="008C1359" w:rsidRDefault="00D72321" w:rsidP="007E177E">
            <w:pPr>
              <w:jc w:val="center"/>
              <w:rPr>
                <w:b/>
                <w:bCs/>
                <w:i/>
                <w:color w:val="000000"/>
                <w:sz w:val="18"/>
                <w:szCs w:val="18"/>
              </w:rPr>
            </w:pPr>
            <w:r w:rsidRPr="008C1359">
              <w:rPr>
                <w:b/>
                <w:bCs/>
                <w:i/>
                <w:color w:val="000000"/>
                <w:sz w:val="18"/>
                <w:szCs w:val="18"/>
              </w:rPr>
              <w:t>Rank</w:t>
            </w:r>
            <w:r w:rsidR="008C1359" w:rsidRPr="008C1359">
              <w:rPr>
                <w:b/>
                <w:bCs/>
                <w:i/>
                <w:color w:val="000000"/>
                <w:sz w:val="18"/>
                <w:szCs w:val="18"/>
              </w:rPr>
              <w:t>ing</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color w:val="000000"/>
                <w:sz w:val="18"/>
                <w:szCs w:val="18"/>
              </w:rPr>
            </w:pPr>
            <m:oMathPara>
              <m:oMath>
                <m:sSub>
                  <m:sSubPr>
                    <m:ctrlPr>
                      <w:rPr>
                        <w:rFonts w:ascii="Cambria Math" w:hAnsi="Cambria Math"/>
                        <w:b/>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m:oMathPara>
          </w:p>
        </w:tc>
        <w:tc>
          <w:tcPr>
            <w:tcW w:w="632" w:type="dxa"/>
            <w:tcBorders>
              <w:top w:val="nil"/>
              <w:left w:val="nil"/>
              <w:bottom w:val="single" w:sz="8" w:space="0" w:color="auto"/>
              <w:right w:val="nil"/>
            </w:tcBorders>
            <w:shd w:val="clear" w:color="auto" w:fill="auto"/>
            <w:noWrap/>
            <w:vAlign w:val="center"/>
            <w:hideMark/>
          </w:tcPr>
          <w:p w:rsidR="00D72321" w:rsidRPr="008C1359" w:rsidRDefault="00D72321" w:rsidP="007E177E">
            <w:pPr>
              <w:jc w:val="center"/>
              <w:rPr>
                <w:b/>
                <w:bCs/>
                <w:i/>
                <w:color w:val="000000"/>
                <w:sz w:val="18"/>
                <w:szCs w:val="18"/>
              </w:rPr>
            </w:pPr>
            <w:r w:rsidRPr="008C1359">
              <w:rPr>
                <w:b/>
                <w:bCs/>
                <w:i/>
                <w:color w:val="000000"/>
                <w:sz w:val="18"/>
                <w:szCs w:val="18"/>
              </w:rPr>
              <w:t>Rank</w:t>
            </w:r>
            <w:r w:rsidR="008C1359" w:rsidRPr="008C1359">
              <w:rPr>
                <w:b/>
                <w:bCs/>
                <w:i/>
                <w:color w:val="000000"/>
                <w:sz w:val="18"/>
                <w:szCs w:val="18"/>
              </w:rPr>
              <w:t>ing</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color w:val="000000"/>
                <w:sz w:val="18"/>
                <w:szCs w:val="18"/>
              </w:rPr>
            </w:pPr>
            <m:oMathPara>
              <m:oMath>
                <m:sSub>
                  <m:sSubPr>
                    <m:ctrlPr>
                      <w:rPr>
                        <w:rFonts w:ascii="Cambria Math" w:hAnsi="Cambria Math"/>
                        <w:b/>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m:oMathPara>
          </w:p>
        </w:tc>
        <w:tc>
          <w:tcPr>
            <w:tcW w:w="770" w:type="dxa"/>
            <w:tcBorders>
              <w:top w:val="nil"/>
              <w:left w:val="nil"/>
              <w:bottom w:val="single" w:sz="8" w:space="0" w:color="auto"/>
              <w:right w:val="nil"/>
            </w:tcBorders>
            <w:shd w:val="clear" w:color="auto" w:fill="auto"/>
            <w:noWrap/>
            <w:vAlign w:val="center"/>
            <w:hideMark/>
          </w:tcPr>
          <w:p w:rsidR="00D72321" w:rsidRPr="008C1359" w:rsidRDefault="00D72321" w:rsidP="007E177E">
            <w:pPr>
              <w:jc w:val="center"/>
              <w:rPr>
                <w:b/>
                <w:bCs/>
                <w:i/>
                <w:color w:val="000000"/>
                <w:sz w:val="18"/>
                <w:szCs w:val="18"/>
              </w:rPr>
            </w:pPr>
            <w:r w:rsidRPr="008C1359">
              <w:rPr>
                <w:b/>
                <w:bCs/>
                <w:i/>
                <w:color w:val="000000"/>
                <w:sz w:val="18"/>
                <w:szCs w:val="18"/>
              </w:rPr>
              <w:t>Rank</w:t>
            </w:r>
            <w:r w:rsidR="008C1359" w:rsidRPr="008C1359">
              <w:rPr>
                <w:b/>
                <w:bCs/>
                <w:i/>
                <w:color w:val="000000"/>
                <w:sz w:val="18"/>
                <w:szCs w:val="18"/>
              </w:rPr>
              <w:t>ing</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2730E" w:rsidP="007E177E">
            <w:pPr>
              <w:jc w:val="center"/>
              <w:rPr>
                <w:color w:val="000000"/>
                <w:sz w:val="18"/>
                <w:szCs w:val="18"/>
              </w:rPr>
            </w:pPr>
            <m:oMathPara>
              <m:oMathParaPr>
                <m:jc m:val="center"/>
              </m:oMathParaPr>
              <m:oMath>
                <m:sSub>
                  <m:sSubPr>
                    <m:ctrlPr>
                      <w:rPr>
                        <w:rFonts w:ascii="Cambria Math" w:hAnsi="Cambria Math"/>
                        <w:b/>
                        <w:i/>
                        <w:color w:val="000000"/>
                        <w:sz w:val="18"/>
                        <w:szCs w:val="18"/>
                      </w:rPr>
                    </m:ctrlPr>
                  </m:sSubPr>
                  <m:e>
                    <m:r>
                      <m:rPr>
                        <m:sty m:val="bi"/>
                      </m:rPr>
                      <w:rPr>
                        <w:rFonts w:ascii="Cambria Math" w:hAnsi="Cambria Math"/>
                        <w:color w:val="000000"/>
                        <w:sz w:val="18"/>
                        <w:szCs w:val="18"/>
                      </w:rPr>
                      <m:t>γ</m:t>
                    </m:r>
                  </m:e>
                  <m:sub>
                    <m:r>
                      <m:rPr>
                        <m:sty m:val="bi"/>
                      </m:rPr>
                      <w:rPr>
                        <w:rFonts w:ascii="Cambria Math" w:hAnsi="Cambria Math"/>
                        <w:color w:val="000000"/>
                        <w:sz w:val="18"/>
                        <w:szCs w:val="18"/>
                      </w:rPr>
                      <m:t>s</m:t>
                    </m:r>
                  </m:sub>
                </m:sSub>
              </m:oMath>
            </m:oMathPara>
          </w:p>
        </w:tc>
        <w:tc>
          <w:tcPr>
            <w:tcW w:w="692" w:type="dxa"/>
            <w:tcBorders>
              <w:top w:val="nil"/>
              <w:left w:val="nil"/>
              <w:bottom w:val="single" w:sz="8" w:space="0" w:color="auto"/>
              <w:right w:val="nil"/>
            </w:tcBorders>
            <w:shd w:val="clear" w:color="auto" w:fill="auto"/>
            <w:noWrap/>
            <w:vAlign w:val="center"/>
            <w:hideMark/>
          </w:tcPr>
          <w:p w:rsidR="00D72321" w:rsidRPr="008C1359" w:rsidRDefault="00D72321" w:rsidP="007E177E">
            <w:pPr>
              <w:jc w:val="center"/>
              <w:rPr>
                <w:b/>
                <w:bCs/>
                <w:i/>
                <w:color w:val="000000"/>
                <w:sz w:val="18"/>
                <w:szCs w:val="18"/>
              </w:rPr>
            </w:pPr>
            <w:r w:rsidRPr="008C1359">
              <w:rPr>
                <w:b/>
                <w:bCs/>
                <w:i/>
                <w:color w:val="000000"/>
                <w:sz w:val="18"/>
                <w:szCs w:val="18"/>
              </w:rPr>
              <w:t>Rank</w:t>
            </w:r>
            <w:r w:rsidR="008C1359" w:rsidRPr="008C1359">
              <w:rPr>
                <w:b/>
                <w:bCs/>
                <w:i/>
                <w:color w:val="000000"/>
                <w:sz w:val="18"/>
                <w:szCs w:val="18"/>
              </w:rPr>
              <w:t>ing</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15</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0,036450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11</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0,024471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15</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0,024105</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15</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0,022331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13</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16</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0,112580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2</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0,15465</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2</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0,1202403</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2</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sz w:val="18"/>
                <w:szCs w:val="18"/>
              </w:rPr>
            </w:pPr>
            <w:r w:rsidRPr="00575620">
              <w:rPr>
                <w:sz w:val="18"/>
                <w:szCs w:val="18"/>
              </w:rPr>
              <w:t>0,123405</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2</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17</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0,015940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0,02231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16</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0,024825</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14</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0,02664</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10</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18</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0,012470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21</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0,014461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18</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0,013758</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18</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0,0146056</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17</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19</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0,198790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1</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0,15958</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1</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0,1160004</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3</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0,09823</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4</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20</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0,080430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8</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0,071111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6</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0,057991</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6</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0,045252</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7</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21</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0,010130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23</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0,009025</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0,0087762</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21</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0,009621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19</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22</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0,029010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13</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0,03468</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0,0272281</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11</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0,030035</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9</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23</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0,094880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5</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0,09559</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3</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0,075099</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5</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0,16491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1</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24</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0,038680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0,03462</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11</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0,032717</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0,0154534</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16</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25</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0,033750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0,024522</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14</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0,023533</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16</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0,018604</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15</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26</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0,016775</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19</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0,01428</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19</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0,0122933</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0,009568</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20</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27</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0,025584</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15</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0,02741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13</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0,0264827</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13</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0,024794</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11</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lastRenderedPageBreak/>
              <w:t>Divisão 28</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0,018997</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17</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0,014251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20</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0,0135574</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19</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0,0092483</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23</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29</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0,018319</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18</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0,01682</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17</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0,015426</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17</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0,009411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21</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30</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0,082010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7</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0,06081</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7</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0,050498</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8</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0,075291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6</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31</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0,041390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9</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0,03882</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9</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0,026699</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0,022777</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12</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32</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0,107350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4</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0,080453</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5</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0,151054</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1</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0,10566</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3</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33</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0,026770</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14</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0,027552</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0,0343247</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proofErr w:type="gramStart"/>
            <w:r w:rsidRPr="00575620">
              <w:rPr>
                <w:color w:val="000000"/>
                <w:sz w:val="18"/>
                <w:szCs w:val="18"/>
              </w:rPr>
              <w:t>9</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0,021078</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14</w:t>
            </w:r>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34</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0,094766</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6</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0,05914</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8</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0,051549</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7</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0,04101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proofErr w:type="gramStart"/>
            <w:r w:rsidRPr="00575620">
              <w:rPr>
                <w:b/>
                <w:bCs/>
                <w:color w:val="000000"/>
                <w:sz w:val="18"/>
                <w:szCs w:val="18"/>
              </w:rPr>
              <w:t>8</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sz w:val="18"/>
                <w:szCs w:val="18"/>
              </w:rPr>
            </w:pPr>
            <w:r w:rsidRPr="00575620">
              <w:rPr>
                <w:b/>
                <w:bCs/>
                <w:sz w:val="18"/>
                <w:szCs w:val="18"/>
              </w:rPr>
              <w:t>Divisão 35</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0,112451</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3</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0,09077</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4</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0,104805</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4</w:t>
            </w:r>
            <w:proofErr w:type="gramEnd"/>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b/>
                <w:sz w:val="18"/>
                <w:szCs w:val="18"/>
              </w:rPr>
            </w:pPr>
            <w:r w:rsidRPr="00575620">
              <w:rPr>
                <w:b/>
                <w:sz w:val="18"/>
                <w:szCs w:val="18"/>
              </w:rPr>
              <w:t>0,087722</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b/>
                <w:color w:val="000000"/>
                <w:sz w:val="18"/>
                <w:szCs w:val="18"/>
              </w:rPr>
            </w:pPr>
            <w:proofErr w:type="gramStart"/>
            <w:r w:rsidRPr="00575620">
              <w:rPr>
                <w:b/>
                <w:color w:val="000000"/>
                <w:sz w:val="18"/>
                <w:szCs w:val="18"/>
              </w:rPr>
              <w:t>5</w:t>
            </w:r>
            <w:proofErr w:type="gramEnd"/>
          </w:p>
        </w:tc>
      </w:tr>
      <w:tr w:rsidR="00D72321" w:rsidRPr="0000485C" w:rsidTr="00575620">
        <w:trPr>
          <w:trHeight w:val="258"/>
        </w:trPr>
        <w:tc>
          <w:tcPr>
            <w:tcW w:w="1135" w:type="dxa"/>
            <w:tcBorders>
              <w:top w:val="nil"/>
              <w:left w:val="nil"/>
              <w:bottom w:val="nil"/>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36</w:t>
            </w:r>
          </w:p>
        </w:tc>
        <w:tc>
          <w:tcPr>
            <w:tcW w:w="805"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0,010978</w:t>
            </w:r>
          </w:p>
        </w:tc>
        <w:tc>
          <w:tcPr>
            <w:tcW w:w="651"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0,007928</w:t>
            </w:r>
          </w:p>
        </w:tc>
        <w:tc>
          <w:tcPr>
            <w:tcW w:w="63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23</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0,0081322</w:t>
            </w:r>
          </w:p>
        </w:tc>
        <w:tc>
          <w:tcPr>
            <w:tcW w:w="770"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22</w:t>
            </w:r>
          </w:p>
        </w:tc>
        <w:tc>
          <w:tcPr>
            <w:tcW w:w="978"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0,009291</w:t>
            </w:r>
          </w:p>
        </w:tc>
        <w:tc>
          <w:tcPr>
            <w:tcW w:w="692" w:type="dxa"/>
            <w:tcBorders>
              <w:top w:val="nil"/>
              <w:left w:val="nil"/>
              <w:bottom w:val="nil"/>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22</w:t>
            </w:r>
          </w:p>
        </w:tc>
      </w:tr>
      <w:tr w:rsidR="00D72321" w:rsidRPr="0000485C" w:rsidTr="00575620">
        <w:trPr>
          <w:trHeight w:val="271"/>
        </w:trPr>
        <w:tc>
          <w:tcPr>
            <w:tcW w:w="1135"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b/>
                <w:bCs/>
                <w:color w:val="000000"/>
                <w:sz w:val="18"/>
                <w:szCs w:val="18"/>
              </w:rPr>
            </w:pPr>
            <w:r w:rsidRPr="00575620">
              <w:rPr>
                <w:b/>
                <w:bCs/>
                <w:color w:val="000000"/>
                <w:sz w:val="18"/>
                <w:szCs w:val="18"/>
              </w:rPr>
              <w:t>Divisão 37</w:t>
            </w:r>
          </w:p>
        </w:tc>
        <w:tc>
          <w:tcPr>
            <w:tcW w:w="805"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0,025166</w:t>
            </w:r>
          </w:p>
        </w:tc>
        <w:tc>
          <w:tcPr>
            <w:tcW w:w="651"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16</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0,0106449</w:t>
            </w:r>
          </w:p>
        </w:tc>
        <w:tc>
          <w:tcPr>
            <w:tcW w:w="632"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21</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0,0076847</w:t>
            </w:r>
          </w:p>
        </w:tc>
        <w:tc>
          <w:tcPr>
            <w:tcW w:w="770"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23</w:t>
            </w:r>
          </w:p>
        </w:tc>
        <w:tc>
          <w:tcPr>
            <w:tcW w:w="978"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0,0114479</w:t>
            </w:r>
          </w:p>
        </w:tc>
        <w:tc>
          <w:tcPr>
            <w:tcW w:w="692" w:type="dxa"/>
            <w:tcBorders>
              <w:top w:val="nil"/>
              <w:left w:val="nil"/>
              <w:bottom w:val="single" w:sz="8" w:space="0" w:color="auto"/>
              <w:right w:val="nil"/>
            </w:tcBorders>
            <w:shd w:val="clear" w:color="auto" w:fill="auto"/>
            <w:noWrap/>
            <w:vAlign w:val="center"/>
            <w:hideMark/>
          </w:tcPr>
          <w:p w:rsidR="00D72321" w:rsidRPr="00575620" w:rsidRDefault="00D72321" w:rsidP="007E177E">
            <w:pPr>
              <w:jc w:val="center"/>
              <w:rPr>
                <w:color w:val="000000"/>
                <w:sz w:val="18"/>
                <w:szCs w:val="18"/>
              </w:rPr>
            </w:pPr>
            <w:r w:rsidRPr="00575620">
              <w:rPr>
                <w:color w:val="000000"/>
                <w:sz w:val="18"/>
                <w:szCs w:val="18"/>
              </w:rPr>
              <w:t>18</w:t>
            </w:r>
          </w:p>
        </w:tc>
      </w:tr>
    </w:tbl>
    <w:p w:rsidR="00D72321" w:rsidRPr="00575620" w:rsidRDefault="00D72321" w:rsidP="00D72321">
      <w:pPr>
        <w:spacing w:after="200"/>
        <w:rPr>
          <w:sz w:val="16"/>
          <w:szCs w:val="16"/>
        </w:rPr>
      </w:pPr>
      <w:r w:rsidRPr="00575620">
        <w:rPr>
          <w:sz w:val="16"/>
          <w:szCs w:val="16"/>
        </w:rPr>
        <w:t>Fonte: Elaboração própria a partir de dados da RAIS/MTE (2010).</w:t>
      </w:r>
    </w:p>
    <w:p w:rsidR="00D72321" w:rsidRDefault="00D72321" w:rsidP="002227F2">
      <w:pPr>
        <w:ind w:firstLine="709"/>
        <w:rPr>
          <w:szCs w:val="24"/>
        </w:rPr>
      </w:pPr>
      <w:r w:rsidRPr="00145C8B">
        <w:rPr>
          <w:szCs w:val="24"/>
        </w:rPr>
        <w:t xml:space="preserve">Pode-se verificar, a partir dos dados da Tabela </w:t>
      </w:r>
      <w:r w:rsidR="00210ECB">
        <w:rPr>
          <w:szCs w:val="24"/>
        </w:rPr>
        <w:t>3</w:t>
      </w:r>
      <w:r w:rsidRPr="00145C8B">
        <w:rPr>
          <w:szCs w:val="24"/>
        </w:rPr>
        <w:t>, que as divisões mais concentradas englobam tanto atividades que utilizam insumos de origem primária, como no caso de Preparação de Couros</w:t>
      </w:r>
      <w:r>
        <w:rPr>
          <w:szCs w:val="24"/>
        </w:rPr>
        <w:t xml:space="preserve"> e</w:t>
      </w:r>
      <w:r w:rsidRPr="00145C8B">
        <w:rPr>
          <w:szCs w:val="24"/>
        </w:rPr>
        <w:t xml:space="preserve">, Fabricação de Artefatos de Couro, Artigos de Viagem e Calçados, quanto atividades que envolvem maior conteúdo tecnológico e investimentos, como a Fabricação de Coque, Refino de Petróleo, Elaboração de Combustíveis Nucleares e Produção de Álcool. Algumas divisões se caracterizam pela proximidade das fontes localizadas de matérias-primas de origem agropecuária, como é o caso da Fabricação de Produtos de </w:t>
      </w:r>
      <w:r>
        <w:rPr>
          <w:szCs w:val="24"/>
        </w:rPr>
        <w:t>Madeira</w:t>
      </w:r>
      <w:r w:rsidRPr="00145C8B">
        <w:rPr>
          <w:szCs w:val="24"/>
        </w:rPr>
        <w:t>, e/ou pela influência de economias de aglomeração proporcionadas por outras atividades r</w:t>
      </w:r>
      <w:r w:rsidR="008C1359">
        <w:rPr>
          <w:szCs w:val="24"/>
        </w:rPr>
        <w:t xml:space="preserve">elacionadas ao setor. </w:t>
      </w:r>
      <w:r w:rsidR="00452293">
        <w:rPr>
          <w:szCs w:val="24"/>
        </w:rPr>
        <w:t>Outras divisões parecem ser</w:t>
      </w:r>
      <w:r w:rsidRPr="00145C8B">
        <w:rPr>
          <w:szCs w:val="24"/>
        </w:rPr>
        <w:t xml:space="preserve"> mais sensíveis às economias de aglomeração, como nos casos de </w:t>
      </w:r>
      <w:r>
        <w:rPr>
          <w:szCs w:val="24"/>
        </w:rPr>
        <w:t xml:space="preserve">Fabricação de Produtos de Metal, Exceto Máquinas e Equipamentos, Fabricação de Móveis e Indústrias Diversas, Fabricação de Produtos de Minerais Não-Metálicos e Fabricação de Celulose, Papel e Produtos de Papel. </w:t>
      </w:r>
      <w:r w:rsidRPr="00145C8B">
        <w:rPr>
          <w:szCs w:val="24"/>
        </w:rPr>
        <w:t xml:space="preserve">Entre as divisões menos concentradas, predominam as atividades industriais tradicionais, como </w:t>
      </w:r>
      <w:r>
        <w:rPr>
          <w:szCs w:val="24"/>
        </w:rPr>
        <w:t xml:space="preserve">Produtos de Metal, Exceto Máquinas e Equipamentos, </w:t>
      </w:r>
      <w:r w:rsidRPr="00145C8B">
        <w:rPr>
          <w:szCs w:val="24"/>
        </w:rPr>
        <w:t xml:space="preserve">Fabricação de Móveis e Industriais Diversas, </w:t>
      </w:r>
      <w:r>
        <w:rPr>
          <w:szCs w:val="24"/>
        </w:rPr>
        <w:t xml:space="preserve">Produtos de Minerais Não-Metálicos e </w:t>
      </w:r>
      <w:r w:rsidRPr="00145C8B">
        <w:rPr>
          <w:szCs w:val="24"/>
        </w:rPr>
        <w:t>Fabricação de Celulose, Papel e Produtos de Papel</w:t>
      </w:r>
      <w:r>
        <w:rPr>
          <w:szCs w:val="24"/>
        </w:rPr>
        <w:t>.</w:t>
      </w:r>
    </w:p>
    <w:p w:rsidR="00D72321" w:rsidRDefault="00D72321" w:rsidP="002227F2">
      <w:pPr>
        <w:ind w:firstLine="709"/>
        <w:rPr>
          <w:szCs w:val="24"/>
        </w:rPr>
      </w:pPr>
      <w:r w:rsidRPr="00145C8B">
        <w:rPr>
          <w:szCs w:val="24"/>
        </w:rPr>
        <w:t>De modo geral</w:t>
      </w:r>
      <w:r w:rsidR="00452293">
        <w:rPr>
          <w:szCs w:val="24"/>
        </w:rPr>
        <w:t>,</w:t>
      </w:r>
      <w:r w:rsidRPr="00145C8B">
        <w:rPr>
          <w:szCs w:val="24"/>
        </w:rPr>
        <w:t xml:space="preserve"> as posições das divisões alteram significativamente entre os anos estudados, tendo variado entre muitas posições para cima ou para baixo no </w:t>
      </w:r>
      <w:r w:rsidRPr="00145C8B">
        <w:rPr>
          <w:i/>
          <w:szCs w:val="24"/>
        </w:rPr>
        <w:t>Rank</w:t>
      </w:r>
      <w:r w:rsidR="00FE6822">
        <w:rPr>
          <w:i/>
          <w:szCs w:val="24"/>
        </w:rPr>
        <w:t>ing</w:t>
      </w:r>
      <w:r w:rsidRPr="00145C8B">
        <w:rPr>
          <w:szCs w:val="24"/>
        </w:rPr>
        <w:t xml:space="preserve">. Entre as divisões mais </w:t>
      </w:r>
      <w:r>
        <w:rPr>
          <w:szCs w:val="24"/>
        </w:rPr>
        <w:t xml:space="preserve">relevantes em 1995, </w:t>
      </w:r>
      <w:r w:rsidRPr="00145C8B">
        <w:rPr>
          <w:szCs w:val="24"/>
        </w:rPr>
        <w:t xml:space="preserve">houve </w:t>
      </w:r>
      <w:r w:rsidR="008C1359">
        <w:rPr>
          <w:szCs w:val="24"/>
        </w:rPr>
        <w:t>uma maior concentração</w:t>
      </w:r>
      <w:r w:rsidRPr="00145C8B">
        <w:rPr>
          <w:szCs w:val="24"/>
        </w:rPr>
        <w:t xml:space="preserve"> da indústria de </w:t>
      </w:r>
      <w:r>
        <w:rPr>
          <w:szCs w:val="24"/>
        </w:rPr>
        <w:t xml:space="preserve">Fabricação de Produtos de Madeira (divisão 20), </w:t>
      </w:r>
      <w:r w:rsidRPr="00145C8B">
        <w:rPr>
          <w:szCs w:val="24"/>
        </w:rPr>
        <w:t>Fabricação de Coque, Refino de Petróleo, Elaboração de Combustíveis Nucleares e Produção de Álcool (divisão 23)</w:t>
      </w:r>
      <w:r>
        <w:rPr>
          <w:szCs w:val="24"/>
        </w:rPr>
        <w:t xml:space="preserve"> e Fabricação de Material Eletrônico e de Aparelhos e Equipamentos de Comunicações (divisão 32), que subiu da 4</w:t>
      </w:r>
      <w:r>
        <w:rPr>
          <w:szCs w:val="24"/>
          <w:vertAlign w:val="superscript"/>
        </w:rPr>
        <w:t>a</w:t>
      </w:r>
      <w:r>
        <w:rPr>
          <w:szCs w:val="24"/>
        </w:rPr>
        <w:t xml:space="preserve"> para a 3</w:t>
      </w:r>
      <w:r>
        <w:rPr>
          <w:szCs w:val="24"/>
          <w:vertAlign w:val="superscript"/>
        </w:rPr>
        <w:t>a</w:t>
      </w:r>
      <w:r>
        <w:rPr>
          <w:szCs w:val="24"/>
        </w:rPr>
        <w:t xml:space="preserve"> posição em 2010. A divisão 20 saltou da 8</w:t>
      </w:r>
      <w:r>
        <w:rPr>
          <w:szCs w:val="24"/>
          <w:vertAlign w:val="superscript"/>
        </w:rPr>
        <w:t>a</w:t>
      </w:r>
      <w:r>
        <w:rPr>
          <w:szCs w:val="24"/>
        </w:rPr>
        <w:t xml:space="preserve"> para a 7</w:t>
      </w:r>
      <w:r>
        <w:rPr>
          <w:szCs w:val="24"/>
          <w:vertAlign w:val="superscript"/>
        </w:rPr>
        <w:t>a</w:t>
      </w:r>
      <w:r>
        <w:rPr>
          <w:szCs w:val="24"/>
        </w:rPr>
        <w:t xml:space="preserve"> posição em 2010. </w:t>
      </w:r>
      <w:r w:rsidRPr="00145C8B">
        <w:rPr>
          <w:szCs w:val="24"/>
        </w:rPr>
        <w:t>A divisão 23 também saltou d</w:t>
      </w:r>
      <w:r>
        <w:rPr>
          <w:szCs w:val="24"/>
        </w:rPr>
        <w:t>a</w:t>
      </w:r>
      <w:r w:rsidRPr="00145C8B">
        <w:rPr>
          <w:szCs w:val="24"/>
        </w:rPr>
        <w:t xml:space="preserve"> </w:t>
      </w:r>
      <w:r>
        <w:rPr>
          <w:szCs w:val="24"/>
        </w:rPr>
        <w:t>5</w:t>
      </w:r>
      <w:r>
        <w:rPr>
          <w:szCs w:val="24"/>
          <w:vertAlign w:val="superscript"/>
        </w:rPr>
        <w:t>a</w:t>
      </w:r>
      <w:r>
        <w:rPr>
          <w:szCs w:val="24"/>
        </w:rPr>
        <w:t xml:space="preserve"> </w:t>
      </w:r>
      <w:r w:rsidRPr="00145C8B">
        <w:rPr>
          <w:szCs w:val="24"/>
        </w:rPr>
        <w:t xml:space="preserve">para a </w:t>
      </w:r>
      <w:r>
        <w:rPr>
          <w:szCs w:val="24"/>
        </w:rPr>
        <w:t>1</w:t>
      </w:r>
      <w:r>
        <w:rPr>
          <w:szCs w:val="24"/>
          <w:vertAlign w:val="superscript"/>
        </w:rPr>
        <w:t>a</w:t>
      </w:r>
      <w:r w:rsidRPr="00145C8B">
        <w:rPr>
          <w:szCs w:val="24"/>
        </w:rPr>
        <w:t xml:space="preserve"> posição em 2010, tornando</w:t>
      </w:r>
      <w:r w:rsidR="00452293">
        <w:rPr>
          <w:szCs w:val="24"/>
        </w:rPr>
        <w:t>-se</w:t>
      </w:r>
      <w:r w:rsidRPr="00145C8B">
        <w:rPr>
          <w:szCs w:val="24"/>
        </w:rPr>
        <w:t xml:space="preserve">, portanto, </w:t>
      </w:r>
      <w:r w:rsidR="008C1359" w:rsidRPr="00145C8B">
        <w:rPr>
          <w:szCs w:val="24"/>
        </w:rPr>
        <w:t>a mais concentrada</w:t>
      </w:r>
      <w:r w:rsidRPr="00145C8B">
        <w:rPr>
          <w:szCs w:val="24"/>
        </w:rPr>
        <w:t xml:space="preserve"> com relação </w:t>
      </w:r>
      <w:r w:rsidR="00452293">
        <w:rPr>
          <w:szCs w:val="24"/>
        </w:rPr>
        <w:t>a</w:t>
      </w:r>
      <w:r w:rsidR="00452293" w:rsidRPr="00145C8B">
        <w:rPr>
          <w:szCs w:val="24"/>
        </w:rPr>
        <w:t xml:space="preserve"> </w:t>
      </w:r>
      <w:r w:rsidRPr="00145C8B">
        <w:rPr>
          <w:szCs w:val="24"/>
        </w:rPr>
        <w:t>todos os setores que compõem a indústria de transformação neste ano.</w:t>
      </w:r>
      <w:r>
        <w:rPr>
          <w:szCs w:val="24"/>
        </w:rPr>
        <w:t xml:space="preserve"> </w:t>
      </w:r>
      <w:r w:rsidR="00452293">
        <w:rPr>
          <w:szCs w:val="24"/>
        </w:rPr>
        <w:t>As divisões de</w:t>
      </w:r>
      <w:r w:rsidR="00452293" w:rsidRPr="00145C8B">
        <w:rPr>
          <w:szCs w:val="24"/>
        </w:rPr>
        <w:t xml:space="preserve"> </w:t>
      </w:r>
      <w:r w:rsidRPr="00145C8B">
        <w:rPr>
          <w:szCs w:val="24"/>
        </w:rPr>
        <w:t>Preparação de Couros e Fabricação de Artefatos de Couro (divisão 19)</w:t>
      </w:r>
      <w:r>
        <w:rPr>
          <w:szCs w:val="24"/>
        </w:rPr>
        <w:t>,</w:t>
      </w:r>
      <w:r w:rsidRPr="00145C8B">
        <w:rPr>
          <w:szCs w:val="24"/>
        </w:rPr>
        <w:t xml:space="preserve"> Fabricação de </w:t>
      </w:r>
      <w:r>
        <w:rPr>
          <w:szCs w:val="24"/>
        </w:rPr>
        <w:t>Máquinas e Equipamentos (divisão 29), Fabricação e Montagem de Veículos Automotores, Reboques e Carrocerias (divisão 34)</w:t>
      </w:r>
      <w:r w:rsidRPr="006176C9">
        <w:rPr>
          <w:szCs w:val="24"/>
        </w:rPr>
        <w:t xml:space="preserve"> e Fabricação de Outros Equipamentos de Transporte</w:t>
      </w:r>
      <w:r>
        <w:rPr>
          <w:szCs w:val="24"/>
        </w:rPr>
        <w:t xml:space="preserve"> (divisão 35) foram os setores que perderam </w:t>
      </w:r>
      <w:r w:rsidRPr="00145C8B">
        <w:rPr>
          <w:szCs w:val="24"/>
        </w:rPr>
        <w:t xml:space="preserve">posições e </w:t>
      </w:r>
      <w:r w:rsidR="00DA5678">
        <w:rPr>
          <w:szCs w:val="24"/>
        </w:rPr>
        <w:t>apresentaram,</w:t>
      </w:r>
      <w:r w:rsidRPr="00145C8B">
        <w:rPr>
          <w:szCs w:val="24"/>
        </w:rPr>
        <w:t xml:space="preserve"> de certa forma, desconcentração setorial industrial.</w:t>
      </w:r>
      <w:r>
        <w:rPr>
          <w:szCs w:val="24"/>
        </w:rPr>
        <w:t xml:space="preserve"> </w:t>
      </w:r>
      <w:r w:rsidRPr="00145C8B">
        <w:rPr>
          <w:szCs w:val="24"/>
        </w:rPr>
        <w:t xml:space="preserve">A divisão 19 passou da </w:t>
      </w:r>
      <w:r>
        <w:rPr>
          <w:szCs w:val="24"/>
        </w:rPr>
        <w:t>1</w:t>
      </w:r>
      <w:r>
        <w:rPr>
          <w:szCs w:val="24"/>
          <w:vertAlign w:val="superscript"/>
        </w:rPr>
        <w:t>a</w:t>
      </w:r>
      <w:r w:rsidRPr="00145C8B">
        <w:rPr>
          <w:szCs w:val="24"/>
        </w:rPr>
        <w:t xml:space="preserve"> posição para a </w:t>
      </w:r>
      <w:r>
        <w:rPr>
          <w:szCs w:val="24"/>
        </w:rPr>
        <w:t>4</w:t>
      </w:r>
      <w:r>
        <w:rPr>
          <w:szCs w:val="24"/>
          <w:vertAlign w:val="superscript"/>
        </w:rPr>
        <w:t>a</w:t>
      </w:r>
      <w:r w:rsidRPr="00145C8B">
        <w:rPr>
          <w:szCs w:val="24"/>
        </w:rPr>
        <w:t xml:space="preserve"> posição em 2010</w:t>
      </w:r>
      <w:r>
        <w:rPr>
          <w:szCs w:val="24"/>
        </w:rPr>
        <w:t xml:space="preserve">, </w:t>
      </w:r>
      <w:r w:rsidR="00452293">
        <w:rPr>
          <w:szCs w:val="24"/>
        </w:rPr>
        <w:t xml:space="preserve">e </w:t>
      </w:r>
      <w:r>
        <w:rPr>
          <w:szCs w:val="24"/>
        </w:rPr>
        <w:t>a divisão 29 caiu da posição 18</w:t>
      </w:r>
      <w:r>
        <w:rPr>
          <w:szCs w:val="24"/>
          <w:vertAlign w:val="superscript"/>
        </w:rPr>
        <w:t>a</w:t>
      </w:r>
      <w:r>
        <w:rPr>
          <w:szCs w:val="24"/>
        </w:rPr>
        <w:t xml:space="preserve"> para a posição 21</w:t>
      </w:r>
      <w:r>
        <w:rPr>
          <w:szCs w:val="24"/>
          <w:vertAlign w:val="superscript"/>
        </w:rPr>
        <w:t>a</w:t>
      </w:r>
      <w:r w:rsidR="00452293">
        <w:rPr>
          <w:szCs w:val="24"/>
        </w:rPr>
        <w:t xml:space="preserve"> (mas, </w:t>
      </w:r>
      <w:r>
        <w:rPr>
          <w:szCs w:val="24"/>
        </w:rPr>
        <w:t>mesmo sendo um dos setores menos concentrados</w:t>
      </w:r>
      <w:r w:rsidR="00452293">
        <w:rPr>
          <w:szCs w:val="24"/>
        </w:rPr>
        <w:t>,</w:t>
      </w:r>
      <w:r>
        <w:rPr>
          <w:szCs w:val="24"/>
        </w:rPr>
        <w:t xml:space="preserve"> mostrou bons valores no </w:t>
      </w:r>
      <w:r w:rsidRPr="003F44D8">
        <w:rPr>
          <w:i/>
          <w:szCs w:val="24"/>
        </w:rPr>
        <w:t>I</w:t>
      </w:r>
      <w:r>
        <w:rPr>
          <w:szCs w:val="24"/>
        </w:rPr>
        <w:t xml:space="preserve"> de Moran local e no índice de </w:t>
      </w:r>
      <m:oMath>
        <m:sSub>
          <m:sSubPr>
            <m:ctrlPr>
              <w:rPr>
                <w:rFonts w:ascii="Cambria Math" w:hAnsi="Cambria Math"/>
                <w:i/>
                <w:szCs w:val="24"/>
              </w:rPr>
            </m:ctrlPr>
          </m:sSubPr>
          <m:e>
            <m:r>
              <w:rPr>
                <w:rFonts w:ascii="Cambria Math" w:hAnsi="Cambria Math"/>
                <w:szCs w:val="24"/>
              </w:rPr>
              <m:t>γ</m:t>
            </m:r>
          </m:e>
          <m:sub>
            <m:r>
              <w:rPr>
                <w:rFonts w:ascii="Cambria Math" w:hAnsi="Cambria Math"/>
                <w:szCs w:val="24"/>
              </w:rPr>
              <m:t>s</m:t>
            </m:r>
          </m:sub>
        </m:sSub>
      </m:oMath>
      <w:r w:rsidR="00452293">
        <w:rPr>
          <w:szCs w:val="24"/>
        </w:rPr>
        <w:t>).</w:t>
      </w:r>
      <w:r>
        <w:rPr>
          <w:szCs w:val="24"/>
        </w:rPr>
        <w:t xml:space="preserve"> A Fabricação e Montagem de Veículos Automotores, Reboques e Carrocerias passou da 6</w:t>
      </w:r>
      <w:r>
        <w:rPr>
          <w:szCs w:val="24"/>
          <w:vertAlign w:val="superscript"/>
        </w:rPr>
        <w:t>a</w:t>
      </w:r>
      <w:r>
        <w:rPr>
          <w:szCs w:val="24"/>
        </w:rPr>
        <w:t xml:space="preserve"> posição para a posição 8</w:t>
      </w:r>
      <w:r>
        <w:rPr>
          <w:szCs w:val="24"/>
          <w:vertAlign w:val="superscript"/>
        </w:rPr>
        <w:t>a</w:t>
      </w:r>
      <w:r>
        <w:rPr>
          <w:szCs w:val="24"/>
        </w:rPr>
        <w:t xml:space="preserve"> e a </w:t>
      </w:r>
      <w:r w:rsidRPr="006176C9">
        <w:rPr>
          <w:szCs w:val="24"/>
        </w:rPr>
        <w:t>Fabricação de Outros Equipamentos de Transporte</w:t>
      </w:r>
      <w:r>
        <w:rPr>
          <w:szCs w:val="24"/>
        </w:rPr>
        <w:t xml:space="preserve"> passou da 3</w:t>
      </w:r>
      <w:r>
        <w:rPr>
          <w:szCs w:val="24"/>
          <w:vertAlign w:val="superscript"/>
        </w:rPr>
        <w:t>a</w:t>
      </w:r>
      <w:r>
        <w:rPr>
          <w:szCs w:val="24"/>
        </w:rPr>
        <w:t xml:space="preserve"> posição para a 5</w:t>
      </w:r>
      <w:r>
        <w:rPr>
          <w:szCs w:val="24"/>
          <w:vertAlign w:val="superscript"/>
        </w:rPr>
        <w:t>a</w:t>
      </w:r>
      <w:r>
        <w:rPr>
          <w:szCs w:val="24"/>
        </w:rPr>
        <w:t xml:space="preserve"> posição em 2010.</w:t>
      </w:r>
    </w:p>
    <w:p w:rsidR="00D72321" w:rsidRDefault="003927AD" w:rsidP="002227F2">
      <w:pPr>
        <w:ind w:firstLine="709"/>
        <w:rPr>
          <w:szCs w:val="24"/>
        </w:rPr>
      </w:pPr>
      <w:r>
        <w:rPr>
          <w:szCs w:val="24"/>
        </w:rPr>
        <w:t>Conclusivamente, pô</w:t>
      </w:r>
      <w:r w:rsidR="00D72321">
        <w:rPr>
          <w:szCs w:val="24"/>
        </w:rPr>
        <w:t>de-se observar que</w:t>
      </w:r>
      <w:r w:rsidR="00414474">
        <w:rPr>
          <w:szCs w:val="24"/>
        </w:rPr>
        <w:t>,</w:t>
      </w:r>
      <w:r w:rsidR="00D72321">
        <w:rPr>
          <w:szCs w:val="24"/>
        </w:rPr>
        <w:t xml:space="preserve"> quando</w:t>
      </w:r>
      <w:r w:rsidR="00414474">
        <w:rPr>
          <w:szCs w:val="24"/>
        </w:rPr>
        <w:t xml:space="preserve"> se</w:t>
      </w:r>
      <w:r w:rsidR="00D72321">
        <w:rPr>
          <w:szCs w:val="24"/>
        </w:rPr>
        <w:t xml:space="preserve"> analis</w:t>
      </w:r>
      <w:r w:rsidR="00414474">
        <w:rPr>
          <w:szCs w:val="24"/>
        </w:rPr>
        <w:t>aram</w:t>
      </w:r>
      <w:r w:rsidR="00D72321">
        <w:rPr>
          <w:szCs w:val="24"/>
        </w:rPr>
        <w:t xml:space="preserve"> somente os valores absolutos dos índices de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s</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s</m:t>
            </m:r>
          </m:sub>
        </m:sSub>
        <m:r>
          <w:rPr>
            <w:rFonts w:ascii="Cambria Math" w:hAnsi="Cambria Math"/>
            <w:szCs w:val="24"/>
          </w:rPr>
          <m:t xml:space="preserve"> 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s</m:t>
            </m:r>
          </m:sub>
        </m:sSub>
      </m:oMath>
      <w:r w:rsidR="00D72321">
        <w:rPr>
          <w:szCs w:val="24"/>
        </w:rPr>
        <w:t xml:space="preserve"> e </w:t>
      </w:r>
      <w:r w:rsidR="00414474">
        <w:rPr>
          <w:szCs w:val="24"/>
        </w:rPr>
        <w:t xml:space="preserve">suas respectivas posições no </w:t>
      </w:r>
      <w:r w:rsidRPr="003927AD">
        <w:rPr>
          <w:i/>
          <w:szCs w:val="24"/>
        </w:rPr>
        <w:t>R</w:t>
      </w:r>
      <w:r w:rsidR="00D72321" w:rsidRPr="00C21575">
        <w:rPr>
          <w:i/>
          <w:szCs w:val="24"/>
        </w:rPr>
        <w:t>anking</w:t>
      </w:r>
      <w:r w:rsidR="00414474">
        <w:rPr>
          <w:i/>
          <w:szCs w:val="24"/>
        </w:rPr>
        <w:t>,</w:t>
      </w:r>
      <w:r w:rsidR="00D72321">
        <w:rPr>
          <w:szCs w:val="24"/>
        </w:rPr>
        <w:t xml:space="preserve"> os </w:t>
      </w:r>
      <w:r w:rsidR="00D72321">
        <w:rPr>
          <w:szCs w:val="24"/>
        </w:rPr>
        <w:lastRenderedPageBreak/>
        <w:t xml:space="preserve">setores demostraram algumas mudanças nas divisões da atividade econômica industrial em relação aos índices espacialmente ponderados. Ao verificar em contexto total, as principais mudanças observadas nos setores que mais se destacaram ao longo dos resultados obtidos foram que na análise dos índices de concentração tem-se, principalmente, a presença da divisão 16 (Fabricação de Produtos de Fumo), </w:t>
      </w:r>
      <w:r w:rsidR="00D72321" w:rsidRPr="000A4D88">
        <w:rPr>
          <w:szCs w:val="24"/>
        </w:rPr>
        <w:t>19 (Preparação de Couros e Fabricação de Artefatos de Couro), 23 (Fabricação de Coque, Refino de Petróleo, Elaboração de Combustíveis Nucleares e Produção de Álcool), 32 (Fabricação de Material Eletrônico e de Aparelhos e Equipamentos de Comunicações) e 35 (Fabricação de Outros Equipamentos de Transporte</w:t>
      </w:r>
      <w:r w:rsidR="00D72321">
        <w:rPr>
          <w:szCs w:val="24"/>
        </w:rPr>
        <w:t>) como sendo importantes para a análise.</w:t>
      </w:r>
    </w:p>
    <w:p w:rsidR="00AF7421" w:rsidRDefault="00AF7421" w:rsidP="00BA235F">
      <w:pPr>
        <w:spacing w:after="240" w:line="360" w:lineRule="auto"/>
        <w:rPr>
          <w:b/>
        </w:rPr>
      </w:pPr>
    </w:p>
    <w:p w:rsidR="000E1A66" w:rsidRPr="00E87D3C" w:rsidRDefault="00900987" w:rsidP="00325F08">
      <w:pPr>
        <w:spacing w:line="360" w:lineRule="auto"/>
        <w:rPr>
          <w:b/>
        </w:rPr>
      </w:pPr>
      <w:proofErr w:type="gramStart"/>
      <w:r w:rsidRPr="005E3074">
        <w:rPr>
          <w:b/>
        </w:rPr>
        <w:t>5</w:t>
      </w:r>
      <w:proofErr w:type="gramEnd"/>
      <w:r w:rsidR="000E1A66" w:rsidRPr="005E3074">
        <w:rPr>
          <w:b/>
        </w:rPr>
        <w:t xml:space="preserve"> CONSIDERAÇÕES FINAIS</w:t>
      </w:r>
    </w:p>
    <w:p w:rsidR="000E1A66" w:rsidRDefault="00452293" w:rsidP="00325F08">
      <w:pPr>
        <w:pStyle w:val="Recuodecorpodetexto"/>
        <w:spacing w:after="0"/>
        <w:ind w:left="0" w:firstLine="709"/>
        <w:rPr>
          <w:szCs w:val="24"/>
        </w:rPr>
      </w:pPr>
      <w:r>
        <w:t>Este</w:t>
      </w:r>
      <w:r w:rsidR="00450944">
        <w:t xml:space="preserve"> artigo </w:t>
      </w:r>
      <w:r>
        <w:t>buscou</w:t>
      </w:r>
      <w:r w:rsidRPr="00B61CED">
        <w:t xml:space="preserve"> </w:t>
      </w:r>
      <w:r w:rsidR="000E1A66" w:rsidRPr="006365FE">
        <w:rPr>
          <w:szCs w:val="24"/>
          <w:lang w:eastAsia="en-US"/>
        </w:rPr>
        <w:t>contabilizar os efeitos de vizinhança nos índices de concentração espacial</w:t>
      </w:r>
      <w:r w:rsidR="00FE6822">
        <w:rPr>
          <w:szCs w:val="24"/>
          <w:lang w:eastAsia="en-US"/>
        </w:rPr>
        <w:t>mente ponderados</w:t>
      </w:r>
      <w:r w:rsidR="000E1A66" w:rsidRPr="006365FE">
        <w:rPr>
          <w:szCs w:val="24"/>
          <w:lang w:eastAsia="en-US"/>
        </w:rPr>
        <w:t xml:space="preserve">, com o intuito de analisar possíveis alterações no </w:t>
      </w:r>
      <w:r w:rsidR="000E1A66" w:rsidRPr="006365FE">
        <w:rPr>
          <w:i/>
          <w:szCs w:val="24"/>
          <w:lang w:eastAsia="en-US"/>
        </w:rPr>
        <w:t>status</w:t>
      </w:r>
      <w:r w:rsidR="000E1A66" w:rsidRPr="006365FE">
        <w:rPr>
          <w:szCs w:val="24"/>
          <w:lang w:eastAsia="en-US"/>
        </w:rPr>
        <w:t xml:space="preserve"> d</w:t>
      </w:r>
      <w:r w:rsidR="000E1A66">
        <w:rPr>
          <w:szCs w:val="24"/>
          <w:lang w:eastAsia="en-US"/>
        </w:rPr>
        <w:t xml:space="preserve">os </w:t>
      </w:r>
      <w:r w:rsidR="000E1A66" w:rsidRPr="006365FE">
        <w:rPr>
          <w:szCs w:val="24"/>
          <w:lang w:eastAsia="en-US"/>
        </w:rPr>
        <w:t>setores da indústria de transformação nas mesorregiões brasileiras nos anos de 199</w:t>
      </w:r>
      <w:r w:rsidR="000E1A66">
        <w:rPr>
          <w:szCs w:val="24"/>
          <w:lang w:eastAsia="en-US"/>
        </w:rPr>
        <w:t>5-</w:t>
      </w:r>
      <w:r w:rsidR="000E1A66" w:rsidRPr="006365FE">
        <w:rPr>
          <w:szCs w:val="24"/>
          <w:lang w:eastAsia="en-US"/>
        </w:rPr>
        <w:t>2010.</w:t>
      </w:r>
      <w:r w:rsidR="000E1A66">
        <w:rPr>
          <w:szCs w:val="24"/>
          <w:lang w:eastAsia="en-US"/>
        </w:rPr>
        <w:t xml:space="preserve"> </w:t>
      </w:r>
      <w:r w:rsidR="008F0A0F">
        <w:rPr>
          <w:szCs w:val="24"/>
          <w:lang w:eastAsia="en-US"/>
        </w:rPr>
        <w:t>C</w:t>
      </w:r>
      <w:r w:rsidR="00450944">
        <w:rPr>
          <w:szCs w:val="24"/>
          <w:lang w:eastAsia="en-US"/>
        </w:rPr>
        <w:t>alcularam-se</w:t>
      </w:r>
      <w:r w:rsidR="000E1A66">
        <w:rPr>
          <w:szCs w:val="24"/>
          <w:lang w:eastAsia="en-US"/>
        </w:rPr>
        <w:t xml:space="preserve"> </w:t>
      </w:r>
      <w:r w:rsidR="000E1A66" w:rsidRPr="006365FE">
        <w:rPr>
          <w:szCs w:val="24"/>
          <w:lang w:eastAsia="en-US"/>
        </w:rPr>
        <w:t xml:space="preserve">os índices de concentração ponderados espacialmente, </w:t>
      </w:r>
      <w:r w:rsidR="000E1A66" w:rsidRPr="006365FE">
        <w:rPr>
          <w:rStyle w:val="apple-converted-space"/>
          <w:szCs w:val="24"/>
        </w:rPr>
        <w:t xml:space="preserve">Herfindahl, Concentração </w:t>
      </w:r>
      <w:proofErr w:type="gramStart"/>
      <w:r w:rsidR="000E1A66" w:rsidRPr="006365FE">
        <w:rPr>
          <w:rStyle w:val="apple-converted-space"/>
          <w:szCs w:val="24"/>
        </w:rPr>
        <w:t>Ge</w:t>
      </w:r>
      <w:r w:rsidR="000E1A66">
        <w:rPr>
          <w:rStyle w:val="apple-converted-space"/>
          <w:szCs w:val="24"/>
        </w:rPr>
        <w:t>ográfica-Prima</w:t>
      </w:r>
      <w:proofErr w:type="gramEnd"/>
      <w:r w:rsidR="000E1A66">
        <w:rPr>
          <w:rStyle w:val="apple-converted-space"/>
          <w:szCs w:val="24"/>
        </w:rPr>
        <w:t>, Ellison-Glaeser</w:t>
      </w:r>
      <w:r>
        <w:rPr>
          <w:rStyle w:val="apple-converted-space"/>
          <w:szCs w:val="24"/>
        </w:rPr>
        <w:t xml:space="preserve">; </w:t>
      </w:r>
      <w:r w:rsidR="008F0A0F">
        <w:rPr>
          <w:rStyle w:val="apple-converted-space"/>
          <w:szCs w:val="24"/>
        </w:rPr>
        <w:t>por fim,</w:t>
      </w:r>
      <w:r>
        <w:rPr>
          <w:rStyle w:val="apple-converted-space"/>
          <w:szCs w:val="24"/>
        </w:rPr>
        <w:t xml:space="preserve"> identificou-se</w:t>
      </w:r>
      <w:r w:rsidR="000E1A66">
        <w:rPr>
          <w:rStyle w:val="apple-converted-space"/>
          <w:szCs w:val="24"/>
        </w:rPr>
        <w:t xml:space="preserve"> </w:t>
      </w:r>
      <w:r w:rsidR="000E1A66" w:rsidRPr="006365FE">
        <w:rPr>
          <w:szCs w:val="24"/>
        </w:rPr>
        <w:t>o grau de transformação setorial das medidas de concentração espacial e o efeito de vizinhança nas mesorregiões brasileiras.</w:t>
      </w:r>
    </w:p>
    <w:p w:rsidR="000E1A66" w:rsidRDefault="000E1A66" w:rsidP="00325F08">
      <w:pPr>
        <w:pStyle w:val="Recuodecorpodetexto"/>
        <w:spacing w:after="0"/>
        <w:ind w:left="0" w:firstLine="709"/>
      </w:pPr>
      <w:r w:rsidRPr="005E3074">
        <w:rPr>
          <w:szCs w:val="24"/>
        </w:rPr>
        <w:t>E</w:t>
      </w:r>
      <w:r w:rsidR="005252E0" w:rsidRPr="005E3074">
        <w:rPr>
          <w:szCs w:val="24"/>
        </w:rPr>
        <w:t>sse artigo inovou ao utilizar</w:t>
      </w:r>
      <w:r w:rsidR="005252E0" w:rsidRPr="005252E0">
        <w:rPr>
          <w:color w:val="FF0000"/>
          <w:szCs w:val="24"/>
        </w:rPr>
        <w:t xml:space="preserve"> </w:t>
      </w:r>
      <w:r>
        <w:t>uma abordagem alternativa e diferenciada, dado que não consta</w:t>
      </w:r>
      <w:r w:rsidR="00452293">
        <w:t>m</w:t>
      </w:r>
      <w:r>
        <w:t xml:space="preserve"> na literatura sobre índices de concentração industrial brasileira estudos que contabilizam o efeito da vizinhança em seus resultados. Neste sentido, esta investigação abre </w:t>
      </w:r>
      <w:r w:rsidR="00452293">
        <w:t xml:space="preserve">caminho </w:t>
      </w:r>
      <w:r>
        <w:t xml:space="preserve">para </w:t>
      </w:r>
      <w:r w:rsidR="00452293">
        <w:t xml:space="preserve">que </w:t>
      </w:r>
      <w:r>
        <w:t>pesquisas futuras</w:t>
      </w:r>
      <w:r w:rsidR="00452293">
        <w:t xml:space="preserve"> possam</w:t>
      </w:r>
      <w:r>
        <w:t xml:space="preserve"> considerar a inserção da matriz de peso espacial (efeitos de vizinhança) nos índices de concentração do setor industrial no Brasil.</w:t>
      </w:r>
    </w:p>
    <w:p w:rsidR="000E1A66" w:rsidRDefault="000E1A66" w:rsidP="00325F08">
      <w:pPr>
        <w:pStyle w:val="Recuodecorpodetexto"/>
        <w:spacing w:after="0"/>
        <w:ind w:left="0" w:firstLine="709"/>
      </w:pPr>
      <w:r w:rsidRPr="000730D1">
        <w:rPr>
          <w:szCs w:val="24"/>
        </w:rPr>
        <w:t>A análise dos resultados</w:t>
      </w:r>
      <w:r>
        <w:rPr>
          <w:szCs w:val="24"/>
        </w:rPr>
        <w:t>, dentre outros feitos,</w:t>
      </w:r>
      <w:r w:rsidRPr="000730D1">
        <w:rPr>
          <w:szCs w:val="24"/>
        </w:rPr>
        <w:t xml:space="preserve"> privilegiou a verificação da eficácia do m</w:t>
      </w:r>
      <w:r>
        <w:rPr>
          <w:szCs w:val="24"/>
        </w:rPr>
        <w:t>étodo de concentração industrial ponderada espacialmente aplicado ao Brasil. Efe</w:t>
      </w:r>
      <w:r w:rsidRPr="000730D1">
        <w:rPr>
          <w:szCs w:val="24"/>
        </w:rPr>
        <w:t>tivamente, a</w:t>
      </w:r>
      <w:r>
        <w:rPr>
          <w:szCs w:val="24"/>
        </w:rPr>
        <w:t>s</w:t>
      </w:r>
      <w:r w:rsidRPr="000730D1">
        <w:rPr>
          <w:szCs w:val="24"/>
        </w:rPr>
        <w:t xml:space="preserve"> informaç</w:t>
      </w:r>
      <w:r>
        <w:rPr>
          <w:szCs w:val="24"/>
        </w:rPr>
        <w:t xml:space="preserve">ões </w:t>
      </w:r>
      <w:r w:rsidRPr="000730D1">
        <w:rPr>
          <w:szCs w:val="24"/>
        </w:rPr>
        <w:t>decorrente</w:t>
      </w:r>
      <w:r>
        <w:rPr>
          <w:szCs w:val="24"/>
        </w:rPr>
        <w:t>s</w:t>
      </w:r>
      <w:r w:rsidRPr="000730D1">
        <w:rPr>
          <w:szCs w:val="24"/>
        </w:rPr>
        <w:t xml:space="preserve"> da aplicação do modelo fo</w:t>
      </w:r>
      <w:r>
        <w:rPr>
          <w:szCs w:val="24"/>
        </w:rPr>
        <w:t>ram</w:t>
      </w:r>
      <w:r w:rsidRPr="000730D1">
        <w:rPr>
          <w:szCs w:val="24"/>
        </w:rPr>
        <w:t xml:space="preserve"> analisada</w:t>
      </w:r>
      <w:r>
        <w:rPr>
          <w:szCs w:val="24"/>
        </w:rPr>
        <w:t>s</w:t>
      </w:r>
      <w:r w:rsidRPr="000730D1">
        <w:rPr>
          <w:szCs w:val="24"/>
        </w:rPr>
        <w:t xml:space="preserve"> com o intuito de encontrar a sua pertinência para a análise da realidade e interpretação </w:t>
      </w:r>
      <w:r>
        <w:rPr>
          <w:szCs w:val="24"/>
        </w:rPr>
        <w:t xml:space="preserve">espacial </w:t>
      </w:r>
      <w:r w:rsidRPr="000730D1">
        <w:rPr>
          <w:szCs w:val="24"/>
        </w:rPr>
        <w:t>do território</w:t>
      </w:r>
      <w:r>
        <w:rPr>
          <w:szCs w:val="24"/>
        </w:rPr>
        <w:t xml:space="preserve"> nacional</w:t>
      </w:r>
      <w:r w:rsidRPr="000730D1">
        <w:rPr>
          <w:szCs w:val="24"/>
        </w:rPr>
        <w:t xml:space="preserve">. </w:t>
      </w:r>
      <w:r w:rsidR="009124F3">
        <w:rPr>
          <w:szCs w:val="24"/>
        </w:rPr>
        <w:t xml:space="preserve">Um dos itens estudados </w:t>
      </w:r>
      <w:r w:rsidR="00452293">
        <w:rPr>
          <w:szCs w:val="24"/>
        </w:rPr>
        <w:t xml:space="preserve">foi verificar </w:t>
      </w:r>
      <w:r w:rsidRPr="000730D1">
        <w:rPr>
          <w:szCs w:val="24"/>
        </w:rPr>
        <w:t xml:space="preserve">a pertinência das medidas resultantes do modelo, ou seja, </w:t>
      </w:r>
      <w:r w:rsidR="009124F3">
        <w:rPr>
          <w:szCs w:val="24"/>
        </w:rPr>
        <w:t xml:space="preserve">comprovar </w:t>
      </w:r>
      <w:r w:rsidRPr="000730D1">
        <w:rPr>
          <w:szCs w:val="24"/>
        </w:rPr>
        <w:t xml:space="preserve">se as medidas </w:t>
      </w:r>
      <w:r w:rsidR="009E291C">
        <w:rPr>
          <w:szCs w:val="24"/>
        </w:rPr>
        <w:t>adequavam</w:t>
      </w:r>
      <w:r w:rsidR="009124F3">
        <w:rPr>
          <w:szCs w:val="24"/>
        </w:rPr>
        <w:t>-se</w:t>
      </w:r>
      <w:r w:rsidRPr="000730D1">
        <w:rPr>
          <w:szCs w:val="24"/>
        </w:rPr>
        <w:t xml:space="preserve"> a an</w:t>
      </w:r>
      <w:r w:rsidR="009124F3">
        <w:rPr>
          <w:szCs w:val="24"/>
        </w:rPr>
        <w:t>álise</w:t>
      </w:r>
      <w:r w:rsidR="009E291C">
        <w:rPr>
          <w:szCs w:val="24"/>
        </w:rPr>
        <w:t>.</w:t>
      </w:r>
    </w:p>
    <w:p w:rsidR="000E1A66" w:rsidRPr="0060346E" w:rsidRDefault="00452293" w:rsidP="00325F08">
      <w:pPr>
        <w:ind w:firstLine="709"/>
        <w:rPr>
          <w:szCs w:val="24"/>
        </w:rPr>
      </w:pPr>
      <w:r>
        <w:rPr>
          <w:szCs w:val="24"/>
        </w:rPr>
        <w:t>Observou-se</w:t>
      </w:r>
      <w:r w:rsidR="000E1A66" w:rsidRPr="0060346E">
        <w:rPr>
          <w:szCs w:val="24"/>
        </w:rPr>
        <w:t xml:space="preserve"> que os índices de concentração espacialmente ponderados, </w:t>
      </w:r>
      <m:oMath>
        <m:sSub>
          <m:sSubPr>
            <m:ctrlPr>
              <w:rPr>
                <w:rFonts w:ascii="Cambria Math" w:eastAsiaTheme="minorEastAsia" w:hAnsi="Cambria Math"/>
                <w:i/>
                <w:szCs w:val="24"/>
              </w:rPr>
            </m:ctrlPr>
          </m:sSubPr>
          <m:e>
            <m:r>
              <w:rPr>
                <w:rFonts w:ascii="Cambria Math" w:hAnsi="Cambria Math"/>
                <w:szCs w:val="24"/>
              </w:rPr>
              <m:t>H</m:t>
            </m:r>
          </m:e>
          <m:sub>
            <m:r>
              <w:rPr>
                <w:rFonts w:ascii="Cambria Math" w:hAnsi="Cambria Math"/>
                <w:szCs w:val="24"/>
              </w:rPr>
              <m:t>s</m:t>
            </m:r>
          </m:sub>
        </m:sSub>
        <m:r>
          <w:rPr>
            <w:rFonts w:ascii="Cambria Math" w:hAnsi="Cambria Math"/>
            <w:szCs w:val="24"/>
          </w:rPr>
          <m:t xml:space="preserve">, </m:t>
        </m:r>
        <m:sSub>
          <m:sSubPr>
            <m:ctrlPr>
              <w:rPr>
                <w:rFonts w:ascii="Cambria Math" w:eastAsiaTheme="minorEastAsia" w:hAnsi="Cambria Math"/>
                <w:i/>
                <w:szCs w:val="24"/>
              </w:rPr>
            </m:ctrlPr>
          </m:sSubPr>
          <m:e>
            <m:r>
              <w:rPr>
                <w:rFonts w:ascii="Cambria Math" w:hAnsi="Cambria Math"/>
                <w:szCs w:val="24"/>
              </w:rPr>
              <m:t>G</m:t>
            </m:r>
          </m:e>
          <m:sub>
            <m:r>
              <w:rPr>
                <w:rFonts w:ascii="Cambria Math" w:hAnsi="Cambria Math"/>
                <w:szCs w:val="24"/>
              </w:rPr>
              <m:t>s</m:t>
            </m:r>
          </m:sub>
        </m:sSub>
        <m:r>
          <w:rPr>
            <w:rFonts w:ascii="Cambria Math" w:hAnsi="Cambria Math"/>
            <w:szCs w:val="24"/>
          </w:rPr>
          <m:t xml:space="preserve"> e </m:t>
        </m:r>
        <m:sSub>
          <m:sSubPr>
            <m:ctrlPr>
              <w:rPr>
                <w:rFonts w:ascii="Cambria Math" w:eastAsiaTheme="minorEastAsia" w:hAnsi="Cambria Math"/>
                <w:i/>
                <w:szCs w:val="24"/>
              </w:rPr>
            </m:ctrlPr>
          </m:sSubPr>
          <m:e>
            <m:r>
              <w:rPr>
                <w:rFonts w:ascii="Cambria Math" w:hAnsi="Cambria Math"/>
                <w:szCs w:val="24"/>
              </w:rPr>
              <m:t>γ</m:t>
            </m:r>
          </m:e>
          <m:sub>
            <m:r>
              <w:rPr>
                <w:rFonts w:ascii="Cambria Math" w:hAnsi="Cambria Math"/>
                <w:szCs w:val="24"/>
              </w:rPr>
              <m:t>s,</m:t>
            </m:r>
          </m:sub>
        </m:sSub>
        <m:r>
          <w:rPr>
            <w:rFonts w:ascii="Cambria Math" w:hAnsi="Cambria Math"/>
            <w:szCs w:val="24"/>
          </w:rPr>
          <m:t xml:space="preserve"> </m:t>
        </m:r>
      </m:oMath>
      <w:r w:rsidR="000E1A66">
        <w:rPr>
          <w:szCs w:val="24"/>
        </w:rPr>
        <w:t>de</w:t>
      </w:r>
      <w:r w:rsidR="000E1A66" w:rsidRPr="0060346E">
        <w:rPr>
          <w:szCs w:val="24"/>
        </w:rPr>
        <w:t xml:space="preserve">mostram com mais ênfase o possível processo de desconcentração da maioria dos setores que compõem a indústria de transformação no período de 1995-2010. Especificamente, os índices espacialmente calculados </w:t>
      </w:r>
      <w:r w:rsidR="000E1A66">
        <w:rPr>
          <w:szCs w:val="24"/>
        </w:rPr>
        <w:t>apresentaram</w:t>
      </w:r>
      <w:r w:rsidR="000E1A66" w:rsidRPr="0060346E">
        <w:rPr>
          <w:szCs w:val="24"/>
        </w:rPr>
        <w:t xml:space="preserve"> claramente um processo de desconcentração </w:t>
      </w:r>
      <w:r w:rsidR="000E1A66">
        <w:rPr>
          <w:szCs w:val="24"/>
        </w:rPr>
        <w:t xml:space="preserve">na maioria </w:t>
      </w:r>
      <w:r w:rsidR="000E1A66" w:rsidRPr="0060346E">
        <w:rPr>
          <w:szCs w:val="24"/>
        </w:rPr>
        <w:t>d</w:t>
      </w:r>
      <w:r w:rsidR="000E1A66">
        <w:rPr>
          <w:szCs w:val="24"/>
        </w:rPr>
        <w:t>as divisões estudadas, em especial na Preparação de Couros e Fabricação de Artefatos de Couro, Artigos para Viagem e Calçados (Divisão 19), Fabricação de Máquinas e Equipamentos (Divisão 29), Fabricação e Montagem de Veículos Automotores, Reboques e Carrocerias (Divisão 34) e Fabricação de Outros Equipamentos de Transporte (Divisão 35).</w:t>
      </w:r>
      <w:r w:rsidR="000E1A66" w:rsidRPr="0060346E">
        <w:rPr>
          <w:szCs w:val="24"/>
        </w:rPr>
        <w:t xml:space="preserve"> </w:t>
      </w:r>
      <w:r w:rsidR="000E1A66">
        <w:rPr>
          <w:szCs w:val="24"/>
        </w:rPr>
        <w:t xml:space="preserve">Um dos únicos setores que apresentaram </w:t>
      </w:r>
      <w:r w:rsidR="000E1A66" w:rsidRPr="0060346E">
        <w:rPr>
          <w:szCs w:val="24"/>
        </w:rPr>
        <w:t xml:space="preserve">aumento </w:t>
      </w:r>
      <w:r w:rsidR="000E1A66">
        <w:rPr>
          <w:szCs w:val="24"/>
        </w:rPr>
        <w:t xml:space="preserve">considerável </w:t>
      </w:r>
      <w:r w:rsidR="000E1A66" w:rsidRPr="0060346E">
        <w:rPr>
          <w:szCs w:val="24"/>
        </w:rPr>
        <w:t xml:space="preserve">no nível de concentração </w:t>
      </w:r>
      <w:r w:rsidR="000E1A66">
        <w:rPr>
          <w:szCs w:val="24"/>
        </w:rPr>
        <w:t xml:space="preserve">foi </w:t>
      </w:r>
      <w:r w:rsidR="006852E4" w:rsidRPr="0060346E">
        <w:rPr>
          <w:szCs w:val="24"/>
        </w:rPr>
        <w:t>à</w:t>
      </w:r>
      <w:r w:rsidR="000E1A66" w:rsidRPr="0060346E">
        <w:rPr>
          <w:szCs w:val="24"/>
        </w:rPr>
        <w:t xml:space="preserve"> divisão 23</w:t>
      </w:r>
      <w:r>
        <w:rPr>
          <w:szCs w:val="24"/>
        </w:rPr>
        <w:t>,</w:t>
      </w:r>
      <w:r w:rsidR="000E1A66" w:rsidRPr="0060346E">
        <w:rPr>
          <w:szCs w:val="24"/>
        </w:rPr>
        <w:t xml:space="preserve"> </w:t>
      </w:r>
      <w:r>
        <w:rPr>
          <w:szCs w:val="24"/>
        </w:rPr>
        <w:t>relativa</w:t>
      </w:r>
      <w:r w:rsidRPr="0060346E">
        <w:rPr>
          <w:szCs w:val="24"/>
        </w:rPr>
        <w:t xml:space="preserve"> </w:t>
      </w:r>
      <w:r w:rsidR="000E1A66" w:rsidRPr="0060346E">
        <w:rPr>
          <w:szCs w:val="24"/>
        </w:rPr>
        <w:t>à Fabricação de Coque, Refino de Petróleo, Elaboração de Combustíveis Nucleares e Produção de Álcool</w:t>
      </w:r>
      <w:r>
        <w:rPr>
          <w:szCs w:val="24"/>
        </w:rPr>
        <w:t>. Esse resultado</w:t>
      </w:r>
      <w:r w:rsidR="000E1A66" w:rsidRPr="0060346E">
        <w:rPr>
          <w:szCs w:val="24"/>
        </w:rPr>
        <w:t xml:space="preserve"> pode estar relacionad</w:t>
      </w:r>
      <w:r>
        <w:rPr>
          <w:szCs w:val="24"/>
        </w:rPr>
        <w:t>o com a</w:t>
      </w:r>
      <w:r w:rsidR="000E1A66" w:rsidRPr="0060346E">
        <w:rPr>
          <w:szCs w:val="24"/>
        </w:rPr>
        <w:t xml:space="preserve"> influência do pré-sal e empresas relacionadas a esse setor de atividade econômica brasileira, com início em 2006-2007.</w:t>
      </w:r>
      <w:r w:rsidR="000E1A66">
        <w:rPr>
          <w:szCs w:val="24"/>
        </w:rPr>
        <w:t xml:space="preserve"> </w:t>
      </w:r>
      <w:r w:rsidR="000E1A66" w:rsidRPr="00C130B3">
        <w:rPr>
          <w:szCs w:val="24"/>
        </w:rPr>
        <w:t>A estrutura de produção de</w:t>
      </w:r>
      <w:r w:rsidR="000E1A66">
        <w:rPr>
          <w:szCs w:val="24"/>
        </w:rPr>
        <w:t>sse setor</w:t>
      </w:r>
      <w:r w:rsidR="000E1A66" w:rsidRPr="00C130B3">
        <w:rPr>
          <w:szCs w:val="24"/>
        </w:rPr>
        <w:t xml:space="preserve"> no</w:t>
      </w:r>
      <w:r w:rsidR="000E1A66">
        <w:rPr>
          <w:szCs w:val="24"/>
        </w:rPr>
        <w:t xml:space="preserve"> Brasil passou por importantes </w:t>
      </w:r>
      <w:r w:rsidR="000E1A66" w:rsidRPr="00C130B3">
        <w:rPr>
          <w:szCs w:val="24"/>
        </w:rPr>
        <w:t xml:space="preserve">modificações ao longo dos últimos dez anos. Parte dessas transformações </w:t>
      </w:r>
      <w:r w:rsidR="000E1A66">
        <w:rPr>
          <w:szCs w:val="24"/>
        </w:rPr>
        <w:t xml:space="preserve">aconteceu mediante </w:t>
      </w:r>
      <w:r w:rsidR="000E1A66" w:rsidRPr="00C130B3">
        <w:rPr>
          <w:szCs w:val="24"/>
        </w:rPr>
        <w:t xml:space="preserve">a aprovação da Emenda Constitucional número 9 de 1995 que </w:t>
      </w:r>
      <w:r w:rsidR="000E1A66">
        <w:rPr>
          <w:szCs w:val="24"/>
        </w:rPr>
        <w:lastRenderedPageBreak/>
        <w:t xml:space="preserve">extinguiu </w:t>
      </w:r>
      <w:r w:rsidR="000E1A66" w:rsidRPr="00C130B3">
        <w:rPr>
          <w:szCs w:val="24"/>
        </w:rPr>
        <w:t>o monopólio de</w:t>
      </w:r>
      <w:r w:rsidR="000E1A66">
        <w:rPr>
          <w:szCs w:val="24"/>
        </w:rPr>
        <w:t xml:space="preserve"> </w:t>
      </w:r>
      <w:r w:rsidR="000E1A66" w:rsidRPr="00C130B3">
        <w:rPr>
          <w:szCs w:val="24"/>
        </w:rPr>
        <w:t>exploração e produção da P</w:t>
      </w:r>
      <w:r w:rsidR="000E1A66">
        <w:rPr>
          <w:szCs w:val="24"/>
        </w:rPr>
        <w:t>ETROBRÁS</w:t>
      </w:r>
      <w:r w:rsidR="000E1A66" w:rsidRPr="00C130B3">
        <w:rPr>
          <w:szCs w:val="24"/>
        </w:rPr>
        <w:t>. A que</w:t>
      </w:r>
      <w:r w:rsidR="000E1A66">
        <w:rPr>
          <w:szCs w:val="24"/>
        </w:rPr>
        <w:t>d</w:t>
      </w:r>
      <w:r w:rsidR="000E1A66" w:rsidRPr="00C130B3">
        <w:rPr>
          <w:szCs w:val="24"/>
        </w:rPr>
        <w:t>a do monopólio representou um marco importante, mas não eliminou a concentração d</w:t>
      </w:r>
      <w:r w:rsidR="000E1A66">
        <w:rPr>
          <w:szCs w:val="24"/>
        </w:rPr>
        <w:t>ess</w:t>
      </w:r>
      <w:r w:rsidR="000E1A66" w:rsidRPr="00C130B3">
        <w:rPr>
          <w:szCs w:val="24"/>
        </w:rPr>
        <w:t>a</w:t>
      </w:r>
      <w:r w:rsidR="000E1A66">
        <w:rPr>
          <w:szCs w:val="24"/>
        </w:rPr>
        <w:t>s atividades econômicas.</w:t>
      </w:r>
      <w:r w:rsidR="000E1A66" w:rsidRPr="00C130B3">
        <w:rPr>
          <w:szCs w:val="24"/>
        </w:rPr>
        <w:t xml:space="preserve"> </w:t>
      </w:r>
      <w:r w:rsidR="000E1A66">
        <w:rPr>
          <w:szCs w:val="24"/>
        </w:rPr>
        <w:t>Atualmente, a</w:t>
      </w:r>
      <w:r w:rsidR="000E1A66" w:rsidRPr="00770D1C">
        <w:rPr>
          <w:szCs w:val="24"/>
        </w:rPr>
        <w:t xml:space="preserve"> P</w:t>
      </w:r>
      <w:r w:rsidR="000E1A66">
        <w:rPr>
          <w:szCs w:val="24"/>
        </w:rPr>
        <w:t xml:space="preserve">ETROBRÁS é detentora de </w:t>
      </w:r>
      <w:r w:rsidR="000E1A66" w:rsidRPr="00770D1C">
        <w:rPr>
          <w:szCs w:val="24"/>
        </w:rPr>
        <w:t>mais de 50% da produção d</w:t>
      </w:r>
      <w:r w:rsidR="000E1A66">
        <w:rPr>
          <w:szCs w:val="24"/>
        </w:rPr>
        <w:t xml:space="preserve">a divisão 23 </w:t>
      </w:r>
      <w:r w:rsidR="000E1A66" w:rsidRPr="00770D1C">
        <w:rPr>
          <w:szCs w:val="24"/>
        </w:rPr>
        <w:t xml:space="preserve">no país. </w:t>
      </w:r>
    </w:p>
    <w:p w:rsidR="00BA35F8" w:rsidRDefault="000E1A66" w:rsidP="00325F08">
      <w:pPr>
        <w:ind w:firstLine="709"/>
        <w:rPr>
          <w:szCs w:val="24"/>
        </w:rPr>
      </w:pPr>
      <w:r w:rsidRPr="005E3074">
        <w:rPr>
          <w:szCs w:val="24"/>
        </w:rPr>
        <w:t xml:space="preserve">Os índices de concentração espacialmente ponderados </w:t>
      </w:r>
      <w:r w:rsidR="00D7728A" w:rsidRPr="005E3074">
        <w:rPr>
          <w:szCs w:val="24"/>
        </w:rPr>
        <w:t>evidencia</w:t>
      </w:r>
      <w:r w:rsidRPr="005E3074">
        <w:rPr>
          <w:szCs w:val="24"/>
        </w:rPr>
        <w:t>m a</w:t>
      </w:r>
      <w:r w:rsidR="00D7728A" w:rsidRPr="005E3074">
        <w:rPr>
          <w:szCs w:val="24"/>
        </w:rPr>
        <w:t xml:space="preserve"> </w:t>
      </w:r>
      <w:r w:rsidRPr="0060346E">
        <w:rPr>
          <w:szCs w:val="24"/>
        </w:rPr>
        <w:t xml:space="preserve">interferência dos efeitos de vizinhança, no sentido de considerar a presença (ou não) dos vizinhos na análise </w:t>
      </w:r>
      <w:r w:rsidR="00452293">
        <w:rPr>
          <w:szCs w:val="24"/>
        </w:rPr>
        <w:t>d</w:t>
      </w:r>
      <w:r w:rsidRPr="0060346E">
        <w:rPr>
          <w:szCs w:val="24"/>
        </w:rPr>
        <w:t>o processo de concentração ou desconcentração das atividades industriais brasileiras em um período de tempo mais recente, ou seja, pós-Plano Real (1995-2010).</w:t>
      </w:r>
      <w:r>
        <w:rPr>
          <w:szCs w:val="24"/>
        </w:rPr>
        <w:t xml:space="preserve"> </w:t>
      </w:r>
      <w:r w:rsidRPr="0060346E">
        <w:rPr>
          <w:szCs w:val="24"/>
        </w:rPr>
        <w:t>Com isso</w:t>
      </w:r>
      <w:r>
        <w:rPr>
          <w:szCs w:val="24"/>
        </w:rPr>
        <w:t>,</w:t>
      </w:r>
      <w:r w:rsidRPr="0060346E">
        <w:rPr>
          <w:szCs w:val="24"/>
        </w:rPr>
        <w:t xml:space="preserve"> conclui</w:t>
      </w:r>
      <w:r>
        <w:rPr>
          <w:szCs w:val="24"/>
        </w:rPr>
        <w:t>-se</w:t>
      </w:r>
      <w:r w:rsidRPr="0060346E">
        <w:rPr>
          <w:szCs w:val="24"/>
        </w:rPr>
        <w:t xml:space="preserve"> que inserir os vizinhos na análise de índices de concentração espacial é </w:t>
      </w:r>
      <w:r w:rsidR="00452293">
        <w:rPr>
          <w:szCs w:val="24"/>
        </w:rPr>
        <w:t>um procedimento</w:t>
      </w:r>
      <w:r w:rsidR="00452293" w:rsidRPr="0060346E">
        <w:rPr>
          <w:szCs w:val="24"/>
        </w:rPr>
        <w:t xml:space="preserve"> </w:t>
      </w:r>
      <w:r w:rsidRPr="0060346E">
        <w:rPr>
          <w:szCs w:val="24"/>
        </w:rPr>
        <w:t xml:space="preserve">positivo </w:t>
      </w:r>
      <w:r w:rsidR="00452293">
        <w:rPr>
          <w:szCs w:val="24"/>
        </w:rPr>
        <w:t>que melhora a robustez d</w:t>
      </w:r>
      <w:r w:rsidRPr="0060346E">
        <w:rPr>
          <w:szCs w:val="24"/>
        </w:rPr>
        <w:t xml:space="preserve">os resultados </w:t>
      </w:r>
      <w:r w:rsidR="00452293">
        <w:rPr>
          <w:szCs w:val="24"/>
        </w:rPr>
        <w:t>os torna</w:t>
      </w:r>
      <w:r w:rsidR="00B21611">
        <w:rPr>
          <w:szCs w:val="24"/>
        </w:rPr>
        <w:t>ndo</w:t>
      </w:r>
      <w:r w:rsidRPr="0060346E">
        <w:rPr>
          <w:szCs w:val="24"/>
        </w:rPr>
        <w:t xml:space="preserve"> mais próximos da real situação estudada</w:t>
      </w:r>
      <w:r w:rsidR="00452293">
        <w:rPr>
          <w:szCs w:val="24"/>
        </w:rPr>
        <w:t>. Consequentemente</w:t>
      </w:r>
      <w:r w:rsidRPr="0060346E">
        <w:rPr>
          <w:szCs w:val="24"/>
        </w:rPr>
        <w:t xml:space="preserve">, </w:t>
      </w:r>
      <w:r w:rsidR="00452293">
        <w:rPr>
          <w:szCs w:val="24"/>
        </w:rPr>
        <w:t>é possível</w:t>
      </w:r>
      <w:r w:rsidR="00452293" w:rsidRPr="0060346E">
        <w:rPr>
          <w:szCs w:val="24"/>
        </w:rPr>
        <w:t xml:space="preserve"> </w:t>
      </w:r>
      <w:r w:rsidRPr="0060346E">
        <w:rPr>
          <w:szCs w:val="24"/>
        </w:rPr>
        <w:t xml:space="preserve">obter </w:t>
      </w:r>
      <w:r w:rsidR="00452293">
        <w:rPr>
          <w:szCs w:val="24"/>
        </w:rPr>
        <w:t xml:space="preserve">resultados </w:t>
      </w:r>
      <w:r w:rsidRPr="0060346E">
        <w:rPr>
          <w:szCs w:val="24"/>
        </w:rPr>
        <w:t xml:space="preserve">melhores e </w:t>
      </w:r>
      <w:r w:rsidR="003C309A">
        <w:rPr>
          <w:szCs w:val="24"/>
        </w:rPr>
        <w:t xml:space="preserve">tecer conclusões </w:t>
      </w:r>
      <w:r w:rsidRPr="0060346E">
        <w:rPr>
          <w:szCs w:val="24"/>
        </w:rPr>
        <w:t>mais específicas do estudo.</w:t>
      </w:r>
    </w:p>
    <w:p w:rsidR="00D72321" w:rsidRPr="00BA35F8" w:rsidRDefault="003C309A" w:rsidP="00325F08">
      <w:pPr>
        <w:ind w:firstLine="709"/>
        <w:rPr>
          <w:szCs w:val="24"/>
        </w:rPr>
      </w:pPr>
      <w:r>
        <w:t>Ao cabo</w:t>
      </w:r>
      <w:r w:rsidR="00C71581">
        <w:t xml:space="preserve">, </w:t>
      </w:r>
      <w:r w:rsidR="000E1A66">
        <w:t>pode-se perceber que est</w:t>
      </w:r>
      <w:r w:rsidR="00C71581">
        <w:t xml:space="preserve">e </w:t>
      </w:r>
      <w:r>
        <w:t xml:space="preserve">estudo </w:t>
      </w:r>
      <w:r w:rsidR="000E1A66">
        <w:t xml:space="preserve">possibilita o </w:t>
      </w:r>
      <w:r w:rsidR="000E1A66">
        <w:rPr>
          <w:szCs w:val="24"/>
        </w:rPr>
        <w:t>desenvolvimento de</w:t>
      </w:r>
      <w:r w:rsidR="000E1A66" w:rsidRPr="000730D1">
        <w:rPr>
          <w:szCs w:val="24"/>
        </w:rPr>
        <w:t xml:space="preserve"> </w:t>
      </w:r>
      <w:r>
        <w:rPr>
          <w:szCs w:val="24"/>
        </w:rPr>
        <w:t>futuras pesquisas</w:t>
      </w:r>
      <w:r w:rsidR="000E1A66">
        <w:rPr>
          <w:szCs w:val="24"/>
        </w:rPr>
        <w:t>. N</w:t>
      </w:r>
      <w:r w:rsidR="000E1A66" w:rsidRPr="000730D1">
        <w:rPr>
          <w:szCs w:val="24"/>
        </w:rPr>
        <w:t>omeadamente</w:t>
      </w:r>
      <w:r>
        <w:rPr>
          <w:szCs w:val="24"/>
        </w:rPr>
        <w:t>, sugere-se</w:t>
      </w:r>
      <w:r w:rsidR="000E1A66" w:rsidRPr="000730D1">
        <w:rPr>
          <w:szCs w:val="24"/>
        </w:rPr>
        <w:t xml:space="preserve"> a continuação de um trabalho de aperfeiçoamento e de desenvolvimento do m</w:t>
      </w:r>
      <w:r w:rsidR="000E1A66">
        <w:rPr>
          <w:szCs w:val="24"/>
        </w:rPr>
        <w:t>étodo</w:t>
      </w:r>
      <w:r w:rsidR="000E1A66" w:rsidRPr="000730D1">
        <w:rPr>
          <w:szCs w:val="24"/>
        </w:rPr>
        <w:t xml:space="preserve">, </w:t>
      </w:r>
      <w:r w:rsidR="000E1A66">
        <w:rPr>
          <w:szCs w:val="24"/>
        </w:rPr>
        <w:t xml:space="preserve">tanto com a elaboração de </w:t>
      </w:r>
      <w:r w:rsidR="000E1A66">
        <w:t>um indicador “único” que considere todos os setores que compõem a indústria de transformação no país, quanto à análise da concentração industrial ponderada espacialmente por região brasileira.</w:t>
      </w:r>
    </w:p>
    <w:p w:rsidR="000E1A66" w:rsidRDefault="000E1A66" w:rsidP="000E1A66">
      <w:pPr>
        <w:pStyle w:val="Recuodecorpodetexto"/>
        <w:spacing w:after="0" w:line="360" w:lineRule="auto"/>
        <w:ind w:left="0"/>
      </w:pPr>
    </w:p>
    <w:p w:rsidR="00FE241E" w:rsidRDefault="00FE241E" w:rsidP="000E1A66">
      <w:pPr>
        <w:pStyle w:val="Recuodecorpodetexto"/>
        <w:spacing w:after="0" w:line="360" w:lineRule="auto"/>
        <w:ind w:left="0"/>
      </w:pPr>
    </w:p>
    <w:p w:rsidR="00FE241E" w:rsidRDefault="00FE241E" w:rsidP="000E1A66">
      <w:pPr>
        <w:pStyle w:val="Recuodecorpodetexto"/>
        <w:spacing w:after="0" w:line="360" w:lineRule="auto"/>
        <w:ind w:left="0"/>
      </w:pPr>
    </w:p>
    <w:p w:rsidR="008C5714" w:rsidRDefault="008C5714" w:rsidP="008C5714">
      <w:pPr>
        <w:spacing w:line="360" w:lineRule="auto"/>
        <w:rPr>
          <w:b/>
        </w:rPr>
      </w:pPr>
      <w:r w:rsidRPr="00891E21">
        <w:rPr>
          <w:b/>
        </w:rPr>
        <w:t>REFERÊNCIAS</w:t>
      </w:r>
    </w:p>
    <w:p w:rsidR="008C5714" w:rsidRPr="00920457" w:rsidRDefault="008C5714" w:rsidP="008C5714">
      <w:pPr>
        <w:autoSpaceDE w:val="0"/>
        <w:autoSpaceDN w:val="0"/>
        <w:adjustRightInd w:val="0"/>
        <w:spacing w:after="200"/>
        <w:rPr>
          <w:szCs w:val="24"/>
          <w:lang w:eastAsia="en-US"/>
        </w:rPr>
      </w:pPr>
      <w:r w:rsidRPr="00920457">
        <w:rPr>
          <w:szCs w:val="24"/>
          <w:lang w:eastAsia="en-US"/>
        </w:rPr>
        <w:t xml:space="preserve">ALMEIDA, E. S. de. </w:t>
      </w:r>
      <w:r w:rsidRPr="00920457">
        <w:rPr>
          <w:b/>
          <w:szCs w:val="24"/>
          <w:lang w:eastAsia="en-US"/>
        </w:rPr>
        <w:t>Curso de Econometria Espacial Aplicada (Apostila)</w:t>
      </w:r>
      <w:r w:rsidRPr="00920457">
        <w:rPr>
          <w:szCs w:val="24"/>
          <w:lang w:eastAsia="en-US"/>
        </w:rPr>
        <w:t>. Universidade de São Paulo (USP) – Escola Superior de Agricultura “Luiz de Queiroz” (ESALQ). Piracicaba. 2004.</w:t>
      </w:r>
    </w:p>
    <w:p w:rsidR="008C5714" w:rsidRPr="00920457" w:rsidRDefault="008C5714" w:rsidP="008C5714">
      <w:pPr>
        <w:spacing w:after="200"/>
        <w:rPr>
          <w:szCs w:val="24"/>
          <w:lang w:eastAsia="en-US"/>
        </w:rPr>
      </w:pPr>
      <w:r w:rsidRPr="00920457">
        <w:rPr>
          <w:szCs w:val="24"/>
          <w:lang w:eastAsia="en-US"/>
        </w:rPr>
        <w:t xml:space="preserve">ARAÚJO, N. C. M.; LAUTERT, V. Concentração industrial no Brasil no período 1996-2001: Uma análise por meio do índice de Ellison e Glaeser. </w:t>
      </w:r>
      <w:r w:rsidRPr="00920457">
        <w:rPr>
          <w:b/>
          <w:szCs w:val="24"/>
          <w:lang w:eastAsia="en-US"/>
        </w:rPr>
        <w:t>Economia Aplicada.</w:t>
      </w:r>
      <w:r w:rsidRPr="00920457">
        <w:rPr>
          <w:szCs w:val="24"/>
          <w:lang w:eastAsia="en-US"/>
        </w:rPr>
        <w:t xml:space="preserve"> </w:t>
      </w:r>
      <w:proofErr w:type="gramStart"/>
      <w:r w:rsidRPr="00920457">
        <w:rPr>
          <w:szCs w:val="24"/>
          <w:lang w:eastAsia="en-US"/>
        </w:rPr>
        <w:t>vol.</w:t>
      </w:r>
      <w:proofErr w:type="gramEnd"/>
      <w:r w:rsidRPr="00920457">
        <w:rPr>
          <w:szCs w:val="24"/>
          <w:lang w:eastAsia="en-US"/>
        </w:rPr>
        <w:t xml:space="preserve">11 n.3 Ribeirão Preto Jul/Set. </w:t>
      </w:r>
      <w:r>
        <w:rPr>
          <w:szCs w:val="24"/>
          <w:lang w:eastAsia="en-US"/>
        </w:rPr>
        <w:t>2007.</w:t>
      </w:r>
    </w:p>
    <w:p w:rsidR="008C5714" w:rsidRPr="00920457" w:rsidRDefault="008C5714" w:rsidP="008C5714">
      <w:pPr>
        <w:spacing w:after="200"/>
        <w:rPr>
          <w:szCs w:val="24"/>
          <w:lang w:eastAsia="en-US"/>
        </w:rPr>
      </w:pPr>
      <w:r w:rsidRPr="001F1399">
        <w:rPr>
          <w:szCs w:val="24"/>
          <w:lang w:eastAsia="en-US"/>
        </w:rPr>
        <w:t xml:space="preserve">BIDERMAN, Ciro. </w:t>
      </w:r>
      <w:r w:rsidRPr="00920457">
        <w:rPr>
          <w:b/>
          <w:szCs w:val="24"/>
          <w:lang w:eastAsia="en-US"/>
        </w:rPr>
        <w:t xml:space="preserve">Concentração das atividades produtivas no Brasil: diferenças </w:t>
      </w:r>
      <w:proofErr w:type="gramStart"/>
      <w:r w:rsidRPr="00920457">
        <w:rPr>
          <w:b/>
          <w:szCs w:val="24"/>
          <w:lang w:eastAsia="en-US"/>
        </w:rPr>
        <w:t>inter-setoriais</w:t>
      </w:r>
      <w:proofErr w:type="gramEnd"/>
      <w:r w:rsidRPr="00920457">
        <w:rPr>
          <w:b/>
          <w:szCs w:val="24"/>
          <w:lang w:eastAsia="en-US"/>
        </w:rPr>
        <w:t>, regionais e sua dinâmica.</w:t>
      </w:r>
      <w:r w:rsidRPr="00920457">
        <w:rPr>
          <w:szCs w:val="24"/>
          <w:lang w:eastAsia="en-US"/>
        </w:rPr>
        <w:t xml:space="preserve"> Instituto de Pesquisas Econômicas. Programa de Seminários Acadêmicos. Seminário n° 1/2004 – FGV-EESP. São Paulo. 2004.</w:t>
      </w:r>
    </w:p>
    <w:p w:rsidR="008C5714" w:rsidRPr="008C5714" w:rsidRDefault="008C5714" w:rsidP="008C5714">
      <w:pPr>
        <w:spacing w:after="200"/>
        <w:rPr>
          <w:b/>
          <w:szCs w:val="24"/>
          <w:lang w:val="en-US" w:eastAsia="en-US"/>
        </w:rPr>
      </w:pPr>
      <w:r w:rsidRPr="00920457">
        <w:rPr>
          <w:szCs w:val="24"/>
          <w:lang w:eastAsia="en-US"/>
        </w:rPr>
        <w:t xml:space="preserve">CAMARGO, Otávio Silva. </w:t>
      </w:r>
      <w:r w:rsidRPr="00920457">
        <w:rPr>
          <w:b/>
          <w:szCs w:val="24"/>
          <w:lang w:eastAsia="en-US"/>
        </w:rPr>
        <w:t>As mudanças na organização e localização da indústria automobilística brasileira (1996-2001).</w:t>
      </w:r>
      <w:r w:rsidRPr="00920457">
        <w:rPr>
          <w:szCs w:val="24"/>
          <w:lang w:eastAsia="en-US"/>
        </w:rPr>
        <w:t xml:space="preserve"> Faculdade de Ciências Econômicas – Centro de Desenvolvimento e Planejamento Regional (CEDEPLAR/UFMG). </w:t>
      </w:r>
      <w:r w:rsidRPr="008C5714">
        <w:rPr>
          <w:szCs w:val="24"/>
          <w:lang w:val="en-US" w:eastAsia="en-US"/>
        </w:rPr>
        <w:t xml:space="preserve">Belo Horizonte, MG. </w:t>
      </w:r>
      <w:proofErr w:type="spellStart"/>
      <w:r w:rsidRPr="008C5714">
        <w:rPr>
          <w:szCs w:val="24"/>
          <w:lang w:val="en-US" w:eastAsia="en-US"/>
        </w:rPr>
        <w:t>Tese</w:t>
      </w:r>
      <w:proofErr w:type="spellEnd"/>
      <w:r w:rsidRPr="008C5714">
        <w:rPr>
          <w:szCs w:val="24"/>
          <w:lang w:val="en-US" w:eastAsia="en-US"/>
        </w:rPr>
        <w:t xml:space="preserve"> de </w:t>
      </w:r>
      <w:proofErr w:type="spellStart"/>
      <w:r w:rsidRPr="008C5714">
        <w:rPr>
          <w:szCs w:val="24"/>
          <w:lang w:val="en-US" w:eastAsia="en-US"/>
        </w:rPr>
        <w:t>Doutorado</w:t>
      </w:r>
      <w:proofErr w:type="spellEnd"/>
      <w:r w:rsidRPr="008C5714">
        <w:rPr>
          <w:szCs w:val="24"/>
          <w:lang w:val="en-US" w:eastAsia="en-US"/>
        </w:rPr>
        <w:t>. 2006.</w:t>
      </w:r>
    </w:p>
    <w:p w:rsidR="008C5714" w:rsidRPr="00393982" w:rsidRDefault="008C5714" w:rsidP="008C5714">
      <w:pPr>
        <w:spacing w:after="200"/>
        <w:rPr>
          <w:bCs/>
          <w:szCs w:val="24"/>
          <w:lang w:val="en-US"/>
        </w:rPr>
      </w:pPr>
      <w:proofErr w:type="gramStart"/>
      <w:r w:rsidRPr="00920457">
        <w:rPr>
          <w:szCs w:val="24"/>
          <w:lang w:val="en-US" w:eastAsia="en-US"/>
        </w:rPr>
        <w:t xml:space="preserve">CLIFF, A.; ORD, J. </w:t>
      </w:r>
      <w:r w:rsidRPr="00920457">
        <w:rPr>
          <w:b/>
          <w:i/>
          <w:iCs/>
          <w:szCs w:val="24"/>
          <w:lang w:val="en-US" w:eastAsia="en-US"/>
        </w:rPr>
        <w:t>Spatial processes, models and applications</w:t>
      </w:r>
      <w:r w:rsidRPr="00920457">
        <w:rPr>
          <w:b/>
          <w:szCs w:val="24"/>
          <w:lang w:val="en-US" w:eastAsia="en-US"/>
        </w:rPr>
        <w:t>.</w:t>
      </w:r>
      <w:proofErr w:type="gramEnd"/>
      <w:r w:rsidRPr="00920457">
        <w:rPr>
          <w:szCs w:val="24"/>
          <w:lang w:val="en-US" w:eastAsia="en-US"/>
        </w:rPr>
        <w:t xml:space="preserve"> </w:t>
      </w:r>
      <w:r w:rsidRPr="00393982">
        <w:rPr>
          <w:i/>
          <w:szCs w:val="24"/>
          <w:lang w:val="en-US" w:eastAsia="en-US"/>
        </w:rPr>
        <w:t>London: Pion.</w:t>
      </w:r>
      <w:r w:rsidRPr="00393982">
        <w:rPr>
          <w:szCs w:val="24"/>
          <w:lang w:val="en-US" w:eastAsia="en-US"/>
        </w:rPr>
        <w:t xml:space="preserve"> 1981.</w:t>
      </w:r>
    </w:p>
    <w:p w:rsidR="008C5714" w:rsidRPr="00920457" w:rsidRDefault="008C5714" w:rsidP="008C5714">
      <w:pPr>
        <w:autoSpaceDE w:val="0"/>
        <w:autoSpaceDN w:val="0"/>
        <w:adjustRightInd w:val="0"/>
        <w:spacing w:after="200"/>
        <w:rPr>
          <w:szCs w:val="24"/>
          <w:lang w:val="en-US"/>
        </w:rPr>
      </w:pPr>
      <w:r w:rsidRPr="00920457">
        <w:rPr>
          <w:szCs w:val="24"/>
          <w:lang w:val="en-US"/>
        </w:rPr>
        <w:t xml:space="preserve">ELLISON, G.; GLAESER E. </w:t>
      </w:r>
      <w:r w:rsidRPr="00920457">
        <w:rPr>
          <w:i/>
          <w:szCs w:val="24"/>
          <w:lang w:val="en-US"/>
        </w:rPr>
        <w:t>Geographic Concentration in U.S. Manufacturing Industries: A Dartboard Approach.</w:t>
      </w:r>
      <w:r w:rsidRPr="00920457">
        <w:rPr>
          <w:szCs w:val="24"/>
          <w:lang w:val="en-US"/>
        </w:rPr>
        <w:t xml:space="preserve"> </w:t>
      </w:r>
      <w:proofErr w:type="gramStart"/>
      <w:r w:rsidRPr="00920457">
        <w:rPr>
          <w:b/>
          <w:i/>
          <w:iCs/>
          <w:szCs w:val="24"/>
          <w:lang w:val="en-US"/>
        </w:rPr>
        <w:t>Journal of Political Economy</w:t>
      </w:r>
      <w:r w:rsidRPr="00920457">
        <w:rPr>
          <w:i/>
          <w:iCs/>
          <w:szCs w:val="24"/>
          <w:lang w:val="en-US"/>
        </w:rPr>
        <w:t>.</w:t>
      </w:r>
      <w:proofErr w:type="gramEnd"/>
      <w:r w:rsidRPr="00920457">
        <w:rPr>
          <w:szCs w:val="24"/>
          <w:lang w:val="en-US"/>
        </w:rPr>
        <w:t xml:space="preserve"> v. 105 n. 5. p. 889–927. 1997.</w:t>
      </w:r>
    </w:p>
    <w:p w:rsidR="008C5714" w:rsidRPr="00CC3486" w:rsidRDefault="008C5714" w:rsidP="008C5714">
      <w:pPr>
        <w:autoSpaceDE w:val="0"/>
        <w:autoSpaceDN w:val="0"/>
        <w:adjustRightInd w:val="0"/>
        <w:spacing w:after="200"/>
        <w:rPr>
          <w:szCs w:val="24"/>
          <w:lang w:val="en-US"/>
        </w:rPr>
      </w:pPr>
      <w:proofErr w:type="gramStart"/>
      <w:r w:rsidRPr="00920457">
        <w:rPr>
          <w:szCs w:val="24"/>
          <w:lang w:val="en-US"/>
        </w:rPr>
        <w:t>ELLISON, G.; GLAESER E.; KERR, W.</w:t>
      </w:r>
      <w:proofErr w:type="gramEnd"/>
      <w:r w:rsidRPr="00920457">
        <w:rPr>
          <w:szCs w:val="24"/>
          <w:lang w:val="en-US"/>
        </w:rPr>
        <w:t xml:space="preserve"> </w:t>
      </w:r>
      <w:r w:rsidRPr="00920457">
        <w:rPr>
          <w:b/>
          <w:i/>
          <w:szCs w:val="24"/>
          <w:lang w:val="en-US"/>
        </w:rPr>
        <w:t xml:space="preserve">What Causes Industry Agglomeration? Evidence </w:t>
      </w:r>
      <w:proofErr w:type="gramStart"/>
      <w:r w:rsidRPr="00920457">
        <w:rPr>
          <w:b/>
          <w:i/>
          <w:szCs w:val="24"/>
          <w:lang w:val="en-US"/>
        </w:rPr>
        <w:t>From</w:t>
      </w:r>
      <w:proofErr w:type="gramEnd"/>
      <w:r w:rsidRPr="00920457">
        <w:rPr>
          <w:b/>
          <w:i/>
          <w:szCs w:val="24"/>
          <w:lang w:val="en-US"/>
        </w:rPr>
        <w:t xml:space="preserve"> </w:t>
      </w:r>
      <w:proofErr w:type="spellStart"/>
      <w:r w:rsidRPr="00920457">
        <w:rPr>
          <w:b/>
          <w:i/>
          <w:szCs w:val="24"/>
          <w:lang w:val="en-US"/>
        </w:rPr>
        <w:t>Coagglomeration</w:t>
      </w:r>
      <w:proofErr w:type="spellEnd"/>
      <w:r w:rsidRPr="00920457">
        <w:rPr>
          <w:b/>
          <w:i/>
          <w:szCs w:val="24"/>
          <w:lang w:val="en-US"/>
        </w:rPr>
        <w:t xml:space="preserve"> Patterns</w:t>
      </w:r>
      <w:r w:rsidRPr="00920457">
        <w:rPr>
          <w:i/>
          <w:szCs w:val="24"/>
          <w:lang w:val="en-US"/>
        </w:rPr>
        <w:t xml:space="preserve">. </w:t>
      </w:r>
      <w:proofErr w:type="gramStart"/>
      <w:r w:rsidRPr="00920457">
        <w:rPr>
          <w:szCs w:val="24"/>
          <w:lang w:val="en-US"/>
        </w:rPr>
        <w:t>Sang V. Nguyen.</w:t>
      </w:r>
      <w:proofErr w:type="gramEnd"/>
      <w:r w:rsidRPr="00920457">
        <w:rPr>
          <w:szCs w:val="24"/>
          <w:lang w:val="en-US"/>
        </w:rPr>
        <w:t xml:space="preserve"> </w:t>
      </w:r>
      <w:proofErr w:type="gramStart"/>
      <w:r w:rsidRPr="00920457">
        <w:rPr>
          <w:szCs w:val="24"/>
          <w:lang w:val="en-US"/>
        </w:rPr>
        <w:t>Editor.</w:t>
      </w:r>
      <w:proofErr w:type="gramEnd"/>
      <w:r w:rsidRPr="00920457">
        <w:rPr>
          <w:szCs w:val="24"/>
          <w:lang w:val="en-US"/>
        </w:rPr>
        <w:t xml:space="preserve"> </w:t>
      </w:r>
      <w:proofErr w:type="gramStart"/>
      <w:r w:rsidRPr="00920457">
        <w:rPr>
          <w:i/>
          <w:szCs w:val="24"/>
          <w:lang w:val="en-US"/>
        </w:rPr>
        <w:t>Discussion Papers.</w:t>
      </w:r>
      <w:proofErr w:type="gramEnd"/>
      <w:r w:rsidRPr="00920457">
        <w:rPr>
          <w:i/>
          <w:szCs w:val="24"/>
          <w:lang w:val="en-US"/>
        </w:rPr>
        <w:t xml:space="preserve"> </w:t>
      </w:r>
      <w:proofErr w:type="gramStart"/>
      <w:r w:rsidRPr="00920457">
        <w:rPr>
          <w:i/>
          <w:szCs w:val="24"/>
          <w:lang w:val="en-US"/>
        </w:rPr>
        <w:t>Center for Economic Studies.</w:t>
      </w:r>
      <w:proofErr w:type="gramEnd"/>
      <w:r w:rsidRPr="00920457">
        <w:rPr>
          <w:i/>
          <w:szCs w:val="24"/>
          <w:lang w:val="en-US"/>
        </w:rPr>
        <w:t xml:space="preserve"> </w:t>
      </w:r>
      <w:proofErr w:type="gramStart"/>
      <w:r w:rsidRPr="00920457">
        <w:rPr>
          <w:i/>
          <w:szCs w:val="24"/>
          <w:lang w:val="en-US"/>
        </w:rPr>
        <w:t>Bureau of the Census.</w:t>
      </w:r>
      <w:proofErr w:type="gramEnd"/>
      <w:r w:rsidRPr="00920457">
        <w:rPr>
          <w:i/>
          <w:szCs w:val="24"/>
          <w:lang w:val="en-US"/>
        </w:rPr>
        <w:t xml:space="preserve"> Washington. April.</w:t>
      </w:r>
      <w:r w:rsidRPr="00920457">
        <w:rPr>
          <w:szCs w:val="24"/>
          <w:lang w:val="en-US"/>
        </w:rPr>
        <w:t xml:space="preserve"> </w:t>
      </w:r>
      <w:r w:rsidRPr="00CC3486">
        <w:rPr>
          <w:szCs w:val="24"/>
          <w:lang w:val="en-US"/>
        </w:rPr>
        <w:t>2007.</w:t>
      </w:r>
    </w:p>
    <w:p w:rsidR="008C5714" w:rsidRPr="00920457" w:rsidRDefault="008C5714" w:rsidP="008C5714">
      <w:pPr>
        <w:autoSpaceDE w:val="0"/>
        <w:autoSpaceDN w:val="0"/>
        <w:adjustRightInd w:val="0"/>
        <w:spacing w:after="200"/>
        <w:rPr>
          <w:szCs w:val="24"/>
          <w:lang w:val="en-US"/>
        </w:rPr>
      </w:pPr>
      <w:r w:rsidRPr="00920457">
        <w:rPr>
          <w:szCs w:val="24"/>
          <w:lang w:val="en-US"/>
        </w:rPr>
        <w:lastRenderedPageBreak/>
        <w:t xml:space="preserve">GUIMARÃES, P.; FIGUEIREDO, O.; WOODWARD, D. </w:t>
      </w:r>
      <w:r w:rsidRPr="00920457">
        <w:rPr>
          <w:i/>
          <w:szCs w:val="24"/>
          <w:lang w:val="en-US"/>
        </w:rPr>
        <w:t>Measuring the Localization of Economic Activity: A Parametric Approach.</w:t>
      </w:r>
      <w:r w:rsidRPr="00920457">
        <w:rPr>
          <w:szCs w:val="24"/>
          <w:lang w:val="en-US"/>
        </w:rPr>
        <w:t xml:space="preserve"> </w:t>
      </w:r>
      <w:proofErr w:type="gramStart"/>
      <w:r w:rsidRPr="00920457">
        <w:rPr>
          <w:b/>
          <w:i/>
          <w:iCs/>
          <w:szCs w:val="24"/>
          <w:lang w:val="en-US"/>
        </w:rPr>
        <w:t>Journal of Regional Science.</w:t>
      </w:r>
      <w:proofErr w:type="gramEnd"/>
      <w:r w:rsidRPr="00920457">
        <w:rPr>
          <w:szCs w:val="24"/>
          <w:lang w:val="en-US"/>
        </w:rPr>
        <w:t xml:space="preserve"> v. 47 n. 4. p. 753–774. 2007.</w:t>
      </w:r>
    </w:p>
    <w:p w:rsidR="008C5714" w:rsidRPr="00920457" w:rsidRDefault="008C5714" w:rsidP="008C5714">
      <w:pPr>
        <w:spacing w:after="200"/>
        <w:rPr>
          <w:szCs w:val="24"/>
          <w:lang w:val="en-US"/>
        </w:rPr>
      </w:pPr>
      <w:proofErr w:type="gramStart"/>
      <w:r w:rsidRPr="00920457">
        <w:rPr>
          <w:szCs w:val="24"/>
          <w:lang w:val="en-US"/>
        </w:rPr>
        <w:t xml:space="preserve">GUIMARÃES, P.; FIGUEIREDO, O.; WOODWARD, D. </w:t>
      </w:r>
      <w:r w:rsidRPr="00920457">
        <w:rPr>
          <w:i/>
          <w:szCs w:val="24"/>
          <w:lang w:val="en-US"/>
        </w:rPr>
        <w:t>Accounting for Neighboring Effects in Measures of Spatial Concentration.</w:t>
      </w:r>
      <w:proofErr w:type="gramEnd"/>
      <w:r w:rsidRPr="00920457">
        <w:rPr>
          <w:i/>
          <w:szCs w:val="24"/>
          <w:lang w:val="en-US"/>
        </w:rPr>
        <w:t xml:space="preserve"> </w:t>
      </w:r>
      <w:proofErr w:type="gramStart"/>
      <w:r w:rsidRPr="00920457">
        <w:rPr>
          <w:b/>
          <w:i/>
          <w:szCs w:val="24"/>
          <w:lang w:val="en-US"/>
        </w:rPr>
        <w:t>Journal of Regional Science</w:t>
      </w:r>
      <w:r w:rsidRPr="00920457">
        <w:rPr>
          <w:i/>
          <w:szCs w:val="24"/>
          <w:lang w:val="en-US"/>
        </w:rPr>
        <w:t>.</w:t>
      </w:r>
      <w:proofErr w:type="gramEnd"/>
      <w:r w:rsidRPr="00920457">
        <w:rPr>
          <w:szCs w:val="24"/>
          <w:lang w:val="en-US"/>
        </w:rPr>
        <w:t xml:space="preserve"> v. 20. n. 10. pp. 1-16. 2011.</w:t>
      </w:r>
    </w:p>
    <w:p w:rsidR="008C5714" w:rsidRPr="00783B7D" w:rsidRDefault="008C5714" w:rsidP="008C5714">
      <w:pPr>
        <w:autoSpaceDE w:val="0"/>
        <w:autoSpaceDN w:val="0"/>
        <w:adjustRightInd w:val="0"/>
        <w:spacing w:after="200"/>
        <w:rPr>
          <w:bCs/>
          <w:szCs w:val="24"/>
          <w:lang w:val="en-US"/>
        </w:rPr>
      </w:pPr>
      <w:proofErr w:type="gramStart"/>
      <w:r w:rsidRPr="00920457">
        <w:rPr>
          <w:bCs/>
          <w:szCs w:val="24"/>
          <w:lang w:val="en-US"/>
        </w:rPr>
        <w:t xml:space="preserve">HERFINDAHL, O. C, </w:t>
      </w:r>
      <w:r w:rsidRPr="00920457">
        <w:rPr>
          <w:i/>
          <w:iCs/>
          <w:szCs w:val="24"/>
          <w:lang w:val="en-US"/>
        </w:rPr>
        <w:t xml:space="preserve">Concentration in </w:t>
      </w:r>
      <w:proofErr w:type="spellStart"/>
      <w:r w:rsidRPr="00920457">
        <w:rPr>
          <w:i/>
          <w:iCs/>
          <w:szCs w:val="24"/>
          <w:lang w:val="en-US"/>
        </w:rPr>
        <w:t>ttie</w:t>
      </w:r>
      <w:proofErr w:type="spellEnd"/>
      <w:r w:rsidRPr="00920457">
        <w:rPr>
          <w:i/>
          <w:iCs/>
          <w:szCs w:val="24"/>
          <w:lang w:val="en-US"/>
        </w:rPr>
        <w:t xml:space="preserve"> steel industry.</w:t>
      </w:r>
      <w:proofErr w:type="gramEnd"/>
      <w:r w:rsidRPr="00920457">
        <w:rPr>
          <w:i/>
          <w:iCs/>
          <w:szCs w:val="24"/>
          <w:lang w:val="en-US"/>
        </w:rPr>
        <w:t xml:space="preserve"> </w:t>
      </w:r>
      <w:r w:rsidRPr="00920457">
        <w:rPr>
          <w:bCs/>
          <w:szCs w:val="24"/>
        </w:rPr>
        <w:t xml:space="preserve">Tese de doutorado. </w:t>
      </w:r>
      <w:r w:rsidRPr="00920457">
        <w:rPr>
          <w:bCs/>
          <w:i/>
          <w:szCs w:val="24"/>
        </w:rPr>
        <w:t xml:space="preserve">Columbia </w:t>
      </w:r>
      <w:proofErr w:type="spellStart"/>
      <w:r w:rsidRPr="00920457">
        <w:rPr>
          <w:bCs/>
          <w:i/>
          <w:szCs w:val="24"/>
        </w:rPr>
        <w:t>University</w:t>
      </w:r>
      <w:proofErr w:type="spellEnd"/>
      <w:r w:rsidRPr="00920457">
        <w:rPr>
          <w:bCs/>
          <w:i/>
          <w:szCs w:val="24"/>
        </w:rPr>
        <w:t>.</w:t>
      </w:r>
      <w:r w:rsidRPr="00920457">
        <w:rPr>
          <w:bCs/>
          <w:szCs w:val="24"/>
        </w:rPr>
        <w:t xml:space="preserve"> </w:t>
      </w:r>
      <w:r w:rsidRPr="00783B7D">
        <w:rPr>
          <w:bCs/>
          <w:szCs w:val="24"/>
          <w:lang w:val="en-US"/>
        </w:rPr>
        <w:t>1950.</w:t>
      </w:r>
    </w:p>
    <w:p w:rsidR="008C5714" w:rsidRPr="00920457" w:rsidRDefault="008C5714" w:rsidP="008C5714">
      <w:pPr>
        <w:autoSpaceDE w:val="0"/>
        <w:autoSpaceDN w:val="0"/>
        <w:adjustRightInd w:val="0"/>
        <w:spacing w:after="200"/>
        <w:rPr>
          <w:szCs w:val="24"/>
          <w:lang w:eastAsia="en-US"/>
        </w:rPr>
      </w:pPr>
      <w:proofErr w:type="gramStart"/>
      <w:r w:rsidRPr="00920457">
        <w:rPr>
          <w:szCs w:val="24"/>
          <w:lang w:val="en-US" w:eastAsia="en-US"/>
        </w:rPr>
        <w:t xml:space="preserve">HOOVER, E. </w:t>
      </w:r>
      <w:r w:rsidRPr="00920457">
        <w:rPr>
          <w:b/>
          <w:i/>
          <w:szCs w:val="24"/>
          <w:lang w:val="en-US" w:eastAsia="en-US"/>
        </w:rPr>
        <w:t>Location theory and the shoe and leather industries.</w:t>
      </w:r>
      <w:proofErr w:type="gramEnd"/>
      <w:r w:rsidRPr="00920457">
        <w:rPr>
          <w:i/>
          <w:szCs w:val="24"/>
          <w:lang w:val="en-US" w:eastAsia="en-US"/>
        </w:rPr>
        <w:t xml:space="preserve"> Cambridge-MA: Harvard University Press</w:t>
      </w:r>
      <w:r w:rsidRPr="00920457">
        <w:rPr>
          <w:szCs w:val="24"/>
          <w:lang w:val="en-US" w:eastAsia="en-US"/>
        </w:rPr>
        <w:t xml:space="preserve">. </w:t>
      </w:r>
      <w:r w:rsidRPr="00920457">
        <w:rPr>
          <w:szCs w:val="24"/>
          <w:lang w:eastAsia="en-US"/>
        </w:rPr>
        <w:t>1936.</w:t>
      </w:r>
    </w:p>
    <w:p w:rsidR="008C5714" w:rsidRDefault="008C5714" w:rsidP="008C5714">
      <w:pPr>
        <w:spacing w:after="200"/>
        <w:rPr>
          <w:szCs w:val="24"/>
        </w:rPr>
      </w:pPr>
      <w:r w:rsidRPr="00920457">
        <w:rPr>
          <w:szCs w:val="24"/>
        </w:rPr>
        <w:t xml:space="preserve">IBGE. </w:t>
      </w:r>
      <w:r w:rsidRPr="00920457">
        <w:rPr>
          <w:b/>
          <w:szCs w:val="24"/>
        </w:rPr>
        <w:t>Instituto Brasileiro de Geografia e Estatística.</w:t>
      </w:r>
      <w:r w:rsidRPr="00920457">
        <w:rPr>
          <w:szCs w:val="24"/>
        </w:rPr>
        <w:t xml:space="preserve"> Economia. Indicadores. Indústria. Dados Secundários. Rio de Jan</w:t>
      </w:r>
      <w:r>
        <w:rPr>
          <w:szCs w:val="24"/>
        </w:rPr>
        <w:t>eiro, RJ. 2010.</w:t>
      </w:r>
    </w:p>
    <w:p w:rsidR="008C5714" w:rsidRPr="00920457" w:rsidRDefault="008C5714" w:rsidP="008C5714">
      <w:pPr>
        <w:spacing w:after="200"/>
        <w:rPr>
          <w:szCs w:val="24"/>
        </w:rPr>
      </w:pPr>
      <w:r w:rsidRPr="00920457">
        <w:rPr>
          <w:szCs w:val="24"/>
        </w:rPr>
        <w:t xml:space="preserve">KUPFER, D. </w:t>
      </w:r>
      <w:r w:rsidRPr="00920457">
        <w:rPr>
          <w:b/>
          <w:szCs w:val="24"/>
        </w:rPr>
        <w:t>Trajetórias de reestruturação da indústria brasileira após a abertura e a estabilização</w:t>
      </w:r>
      <w:r w:rsidRPr="00920457">
        <w:rPr>
          <w:szCs w:val="24"/>
        </w:rPr>
        <w:t>. (Tese de doutorado), Rio de Janeiro, UFRJ, 1998.</w:t>
      </w:r>
    </w:p>
    <w:p w:rsidR="008C5714" w:rsidRPr="00920457" w:rsidRDefault="008C5714" w:rsidP="008C5714">
      <w:pPr>
        <w:tabs>
          <w:tab w:val="left" w:pos="3261"/>
        </w:tabs>
        <w:autoSpaceDE w:val="0"/>
        <w:autoSpaceDN w:val="0"/>
        <w:adjustRightInd w:val="0"/>
        <w:spacing w:after="200"/>
        <w:rPr>
          <w:szCs w:val="24"/>
          <w:lang w:val="en-US"/>
        </w:rPr>
      </w:pPr>
      <w:proofErr w:type="gramStart"/>
      <w:r w:rsidRPr="00DC4CAA">
        <w:rPr>
          <w:rStyle w:val="apple-style-span"/>
          <w:szCs w:val="24"/>
          <w:lang w:val="en-US"/>
        </w:rPr>
        <w:t xml:space="preserve">KRUGMAN, P. R. </w:t>
      </w:r>
      <w:r w:rsidRPr="00DC4CAA">
        <w:rPr>
          <w:rStyle w:val="apple-style-span"/>
          <w:b/>
          <w:i/>
          <w:iCs/>
          <w:szCs w:val="24"/>
          <w:lang w:val="en-US"/>
        </w:rPr>
        <w:t>Geography and Trade</w:t>
      </w:r>
      <w:r w:rsidRPr="00DC4CAA">
        <w:rPr>
          <w:rStyle w:val="apple-style-span"/>
          <w:szCs w:val="24"/>
          <w:lang w:val="en-US"/>
        </w:rPr>
        <w:t>.</w:t>
      </w:r>
      <w:proofErr w:type="gramEnd"/>
      <w:r w:rsidRPr="00DC4CAA">
        <w:rPr>
          <w:rStyle w:val="apple-style-span"/>
          <w:szCs w:val="24"/>
          <w:lang w:val="en-US"/>
        </w:rPr>
        <w:t xml:space="preserve"> </w:t>
      </w:r>
      <w:proofErr w:type="gramStart"/>
      <w:r w:rsidRPr="00920457">
        <w:rPr>
          <w:rStyle w:val="apple-style-span"/>
          <w:i/>
          <w:szCs w:val="24"/>
          <w:lang w:val="en-US"/>
        </w:rPr>
        <w:t>Leuvan University Press.</w:t>
      </w:r>
      <w:proofErr w:type="gramEnd"/>
      <w:r w:rsidRPr="00920457">
        <w:rPr>
          <w:rStyle w:val="apple-style-span"/>
          <w:i/>
          <w:szCs w:val="24"/>
          <w:lang w:val="en-US"/>
        </w:rPr>
        <w:t xml:space="preserve"> </w:t>
      </w:r>
      <w:proofErr w:type="gramStart"/>
      <w:r w:rsidRPr="00920457">
        <w:rPr>
          <w:rStyle w:val="apple-style-span"/>
          <w:i/>
          <w:szCs w:val="24"/>
          <w:lang w:val="en-US"/>
        </w:rPr>
        <w:t>Belgium / MIT Press.</w:t>
      </w:r>
      <w:proofErr w:type="gramEnd"/>
      <w:r w:rsidRPr="00920457">
        <w:rPr>
          <w:rStyle w:val="apple-style-span"/>
          <w:i/>
          <w:szCs w:val="24"/>
          <w:lang w:val="en-US"/>
        </w:rPr>
        <w:t xml:space="preserve"> Cambridge. Massachusetts.</w:t>
      </w:r>
      <w:r w:rsidRPr="00920457">
        <w:rPr>
          <w:rStyle w:val="apple-style-span"/>
          <w:szCs w:val="24"/>
          <w:lang w:val="en-US"/>
        </w:rPr>
        <w:t xml:space="preserve"> 1991.</w:t>
      </w:r>
    </w:p>
    <w:p w:rsidR="008C5714" w:rsidRPr="00920457" w:rsidRDefault="008C5714" w:rsidP="008C5714">
      <w:pPr>
        <w:autoSpaceDE w:val="0"/>
        <w:autoSpaceDN w:val="0"/>
        <w:adjustRightInd w:val="0"/>
        <w:spacing w:after="200"/>
        <w:rPr>
          <w:szCs w:val="24"/>
        </w:rPr>
      </w:pPr>
      <w:proofErr w:type="gramStart"/>
      <w:r w:rsidRPr="00920457">
        <w:rPr>
          <w:szCs w:val="24"/>
          <w:lang w:val="en-US"/>
        </w:rPr>
        <w:t>MAUREL, F.; SEDILLOT, B.</w:t>
      </w:r>
      <w:proofErr w:type="gramEnd"/>
      <w:r w:rsidRPr="00920457">
        <w:rPr>
          <w:szCs w:val="24"/>
          <w:lang w:val="en-US"/>
        </w:rPr>
        <w:t xml:space="preserve"> </w:t>
      </w:r>
      <w:proofErr w:type="gramStart"/>
      <w:r w:rsidRPr="00920457">
        <w:rPr>
          <w:i/>
          <w:szCs w:val="24"/>
          <w:lang w:val="en-US"/>
        </w:rPr>
        <w:t>A Measure of the Geographic Concentration in French Manufacturing Industries.</w:t>
      </w:r>
      <w:proofErr w:type="gramEnd"/>
      <w:r w:rsidRPr="00920457">
        <w:rPr>
          <w:szCs w:val="24"/>
          <w:lang w:val="en-US"/>
        </w:rPr>
        <w:t xml:space="preserve"> </w:t>
      </w:r>
      <w:r w:rsidRPr="00920457">
        <w:rPr>
          <w:b/>
          <w:i/>
          <w:iCs/>
          <w:szCs w:val="24"/>
        </w:rPr>
        <w:t xml:space="preserve">Regional Science and Urban Economics. </w:t>
      </w:r>
      <w:proofErr w:type="gramStart"/>
      <w:r w:rsidRPr="00920457">
        <w:rPr>
          <w:iCs/>
          <w:szCs w:val="24"/>
        </w:rPr>
        <w:t>v.</w:t>
      </w:r>
      <w:proofErr w:type="gramEnd"/>
      <w:r w:rsidRPr="00920457">
        <w:rPr>
          <w:b/>
          <w:iCs/>
          <w:szCs w:val="24"/>
        </w:rPr>
        <w:t xml:space="preserve"> </w:t>
      </w:r>
      <w:r w:rsidRPr="00920457">
        <w:rPr>
          <w:szCs w:val="24"/>
        </w:rPr>
        <w:t xml:space="preserve">29 n. 5. </w:t>
      </w:r>
      <w:proofErr w:type="gramStart"/>
      <w:r w:rsidRPr="00920457">
        <w:rPr>
          <w:szCs w:val="24"/>
        </w:rPr>
        <w:t>p.</w:t>
      </w:r>
      <w:proofErr w:type="gramEnd"/>
      <w:r w:rsidRPr="00920457">
        <w:rPr>
          <w:szCs w:val="24"/>
        </w:rPr>
        <w:t xml:space="preserve"> 575–604. 1999.</w:t>
      </w:r>
    </w:p>
    <w:p w:rsidR="008C5714" w:rsidRPr="00920457" w:rsidRDefault="008C5714" w:rsidP="008C5714">
      <w:pPr>
        <w:spacing w:after="200"/>
        <w:rPr>
          <w:szCs w:val="24"/>
        </w:rPr>
      </w:pPr>
      <w:r w:rsidRPr="001F1399">
        <w:rPr>
          <w:szCs w:val="24"/>
        </w:rPr>
        <w:t xml:space="preserve">NAJBERG, S., OLIVEIRA, P. A. S. A </w:t>
      </w:r>
      <w:r w:rsidRPr="001F1399">
        <w:rPr>
          <w:b/>
          <w:szCs w:val="24"/>
        </w:rPr>
        <w:t>Dinâmica Recente do Emprego Formal no Brasil.</w:t>
      </w:r>
      <w:r w:rsidRPr="001F1399">
        <w:rPr>
          <w:szCs w:val="24"/>
        </w:rPr>
        <w:t xml:space="preserve"> </w:t>
      </w:r>
      <w:r w:rsidRPr="00920457">
        <w:rPr>
          <w:szCs w:val="24"/>
        </w:rPr>
        <w:t xml:space="preserve">Rio de Janeiro: BNDES (Nota Técnica, </w:t>
      </w:r>
      <w:proofErr w:type="gramStart"/>
      <w:r w:rsidRPr="00920457">
        <w:rPr>
          <w:szCs w:val="24"/>
        </w:rPr>
        <w:t>6</w:t>
      </w:r>
      <w:proofErr w:type="gramEnd"/>
      <w:r w:rsidRPr="00920457">
        <w:rPr>
          <w:szCs w:val="24"/>
        </w:rPr>
        <w:t>). Outubro de 1999.</w:t>
      </w:r>
    </w:p>
    <w:p w:rsidR="008C5714" w:rsidRPr="00920457" w:rsidRDefault="008C5714" w:rsidP="008C5714">
      <w:pPr>
        <w:spacing w:after="200"/>
        <w:rPr>
          <w:bCs/>
          <w:szCs w:val="24"/>
        </w:rPr>
      </w:pPr>
      <w:r w:rsidRPr="00920457">
        <w:rPr>
          <w:bCs/>
          <w:szCs w:val="24"/>
        </w:rPr>
        <w:t>RAIS/MTE,</w:t>
      </w:r>
      <w:r w:rsidRPr="00920457">
        <w:rPr>
          <w:b/>
          <w:bCs/>
          <w:szCs w:val="24"/>
        </w:rPr>
        <w:t xml:space="preserve"> Relação Anual de Informações Sociais.</w:t>
      </w:r>
      <w:r w:rsidRPr="00920457">
        <w:rPr>
          <w:bCs/>
          <w:szCs w:val="24"/>
        </w:rPr>
        <w:t xml:space="preserve"> Ministério do Trabalho e Emprego (MTE). Bras</w:t>
      </w:r>
      <w:r>
        <w:rPr>
          <w:bCs/>
          <w:szCs w:val="24"/>
        </w:rPr>
        <w:t>ília, DF. 2010.</w:t>
      </w:r>
    </w:p>
    <w:p w:rsidR="008C5714" w:rsidRPr="00920457" w:rsidRDefault="008C5714" w:rsidP="008C5714">
      <w:pPr>
        <w:spacing w:after="200"/>
        <w:rPr>
          <w:szCs w:val="24"/>
        </w:rPr>
      </w:pPr>
      <w:r w:rsidRPr="00920457">
        <w:rPr>
          <w:szCs w:val="24"/>
        </w:rPr>
        <w:t xml:space="preserve">RESENDE, M.; WYLLIE, R. Aglomeração Industrial no Brasil: Um Estudo Empírico. </w:t>
      </w:r>
      <w:r w:rsidRPr="00920457">
        <w:rPr>
          <w:b/>
          <w:szCs w:val="24"/>
        </w:rPr>
        <w:t>Estudos Econômicos.</w:t>
      </w:r>
      <w:r w:rsidRPr="00920457">
        <w:rPr>
          <w:szCs w:val="24"/>
        </w:rPr>
        <w:t xml:space="preserve"> São Paulo. V. 35. N. 3. </w:t>
      </w:r>
      <w:proofErr w:type="gramStart"/>
      <w:r w:rsidRPr="00920457">
        <w:rPr>
          <w:szCs w:val="24"/>
        </w:rPr>
        <w:t>p.</w:t>
      </w:r>
      <w:proofErr w:type="gramEnd"/>
      <w:r w:rsidRPr="00920457">
        <w:rPr>
          <w:szCs w:val="24"/>
        </w:rPr>
        <w:t xml:space="preserve"> 433-460. Jul.-Set. 2005.</w:t>
      </w:r>
    </w:p>
    <w:p w:rsidR="008C5714" w:rsidRPr="00CC3486" w:rsidRDefault="008C5714" w:rsidP="008C5714">
      <w:pPr>
        <w:autoSpaceDE w:val="0"/>
        <w:autoSpaceDN w:val="0"/>
        <w:adjustRightInd w:val="0"/>
        <w:spacing w:after="200"/>
        <w:rPr>
          <w:szCs w:val="24"/>
          <w:lang w:val="en-US" w:eastAsia="en-US"/>
        </w:rPr>
      </w:pPr>
      <w:r w:rsidRPr="00920457">
        <w:rPr>
          <w:szCs w:val="24"/>
          <w:lang w:eastAsia="en-US"/>
        </w:rPr>
        <w:t xml:space="preserve">SOUZA, F. L. </w:t>
      </w:r>
      <w:r w:rsidRPr="00920457">
        <w:rPr>
          <w:b/>
          <w:iCs/>
          <w:szCs w:val="24"/>
          <w:lang w:eastAsia="en-US"/>
        </w:rPr>
        <w:t>A localização da indústria de transformação brasileira nas últimas três décadas</w:t>
      </w:r>
      <w:r w:rsidRPr="00920457">
        <w:rPr>
          <w:b/>
          <w:szCs w:val="24"/>
          <w:lang w:eastAsia="en-US"/>
        </w:rPr>
        <w:t>.</w:t>
      </w:r>
      <w:r w:rsidRPr="00920457">
        <w:rPr>
          <w:szCs w:val="24"/>
          <w:lang w:eastAsia="en-US"/>
        </w:rPr>
        <w:t xml:space="preserve"> </w:t>
      </w:r>
      <w:proofErr w:type="spellStart"/>
      <w:r w:rsidRPr="00CC3486">
        <w:rPr>
          <w:szCs w:val="24"/>
          <w:lang w:val="en-US" w:eastAsia="en-US"/>
        </w:rPr>
        <w:t>Dissertação</w:t>
      </w:r>
      <w:proofErr w:type="spellEnd"/>
      <w:r w:rsidRPr="00CC3486">
        <w:rPr>
          <w:szCs w:val="24"/>
          <w:lang w:val="en-US" w:eastAsia="en-US"/>
        </w:rPr>
        <w:t xml:space="preserve"> (</w:t>
      </w:r>
      <w:proofErr w:type="spellStart"/>
      <w:r w:rsidRPr="00CC3486">
        <w:rPr>
          <w:szCs w:val="24"/>
          <w:lang w:val="en-US" w:eastAsia="en-US"/>
        </w:rPr>
        <w:t>Mestrado</w:t>
      </w:r>
      <w:proofErr w:type="spellEnd"/>
      <w:r w:rsidRPr="00CC3486">
        <w:rPr>
          <w:szCs w:val="24"/>
          <w:lang w:val="en-US" w:eastAsia="en-US"/>
        </w:rPr>
        <w:t xml:space="preserve">). Rio de Janeiro, </w:t>
      </w:r>
      <w:proofErr w:type="spellStart"/>
      <w:r w:rsidRPr="00CC3486">
        <w:rPr>
          <w:szCs w:val="24"/>
          <w:lang w:val="en-US" w:eastAsia="en-US"/>
        </w:rPr>
        <w:t>Fundação</w:t>
      </w:r>
      <w:proofErr w:type="spellEnd"/>
      <w:r w:rsidRPr="00CC3486">
        <w:rPr>
          <w:szCs w:val="24"/>
          <w:lang w:val="en-US" w:eastAsia="en-US"/>
        </w:rPr>
        <w:t xml:space="preserve"> </w:t>
      </w:r>
      <w:proofErr w:type="spellStart"/>
      <w:r w:rsidRPr="00CC3486">
        <w:rPr>
          <w:szCs w:val="24"/>
          <w:lang w:val="en-US" w:eastAsia="en-US"/>
        </w:rPr>
        <w:t>Getúlio</w:t>
      </w:r>
      <w:proofErr w:type="spellEnd"/>
      <w:r w:rsidRPr="00CC3486">
        <w:rPr>
          <w:szCs w:val="24"/>
          <w:lang w:val="en-US" w:eastAsia="en-US"/>
        </w:rPr>
        <w:t xml:space="preserve"> Vargas - FGV, 2002.</w:t>
      </w:r>
    </w:p>
    <w:p w:rsidR="00C71581" w:rsidRDefault="008C5714" w:rsidP="00DE2B26">
      <w:pPr>
        <w:pStyle w:val="Recuodecorpodetexto"/>
        <w:spacing w:after="0"/>
        <w:ind w:left="0"/>
        <w:rPr>
          <w:szCs w:val="24"/>
        </w:rPr>
      </w:pPr>
      <w:r w:rsidRPr="00920457">
        <w:rPr>
          <w:szCs w:val="24"/>
          <w:lang w:val="en-US"/>
        </w:rPr>
        <w:t xml:space="preserve">WEBER, A. </w:t>
      </w:r>
      <w:r w:rsidRPr="00920457">
        <w:rPr>
          <w:b/>
          <w:i/>
          <w:szCs w:val="24"/>
          <w:lang w:val="en-US"/>
        </w:rPr>
        <w:t>Theory of the Location of Industries.</w:t>
      </w:r>
      <w:r w:rsidRPr="00920457">
        <w:rPr>
          <w:szCs w:val="24"/>
          <w:lang w:val="en-US"/>
        </w:rPr>
        <w:t xml:space="preserve"> Chicago, </w:t>
      </w:r>
      <w:proofErr w:type="gramStart"/>
      <w:r w:rsidRPr="00920457">
        <w:rPr>
          <w:szCs w:val="24"/>
          <w:lang w:val="en-US"/>
        </w:rPr>
        <w:t>The</w:t>
      </w:r>
      <w:proofErr w:type="gramEnd"/>
      <w:r w:rsidRPr="00920457">
        <w:rPr>
          <w:szCs w:val="24"/>
          <w:lang w:val="en-US"/>
        </w:rPr>
        <w:t xml:space="preserve"> University of Chicago Press. </w:t>
      </w:r>
      <w:r w:rsidRPr="00920457">
        <w:rPr>
          <w:szCs w:val="24"/>
        </w:rPr>
        <w:t>256 p. 1929.</w:t>
      </w:r>
    </w:p>
    <w:p w:rsidR="008C5714" w:rsidRDefault="008C5714" w:rsidP="008C5714">
      <w:pPr>
        <w:pStyle w:val="Recuodecorpodetexto"/>
        <w:spacing w:after="0" w:line="360" w:lineRule="auto"/>
        <w:ind w:left="0"/>
        <w:rPr>
          <w:szCs w:val="24"/>
        </w:rPr>
      </w:pPr>
    </w:p>
    <w:p w:rsidR="0029577E" w:rsidRDefault="0029577E" w:rsidP="008C5714">
      <w:pPr>
        <w:pStyle w:val="Recuodecorpodetexto"/>
        <w:spacing w:after="0" w:line="360" w:lineRule="auto"/>
        <w:ind w:left="0"/>
        <w:rPr>
          <w:szCs w:val="24"/>
        </w:rPr>
      </w:pPr>
    </w:p>
    <w:p w:rsidR="0029577E" w:rsidRDefault="0029577E" w:rsidP="008C5714">
      <w:pPr>
        <w:pStyle w:val="Recuodecorpodetexto"/>
        <w:spacing w:after="0" w:line="360" w:lineRule="auto"/>
        <w:ind w:left="0"/>
        <w:rPr>
          <w:szCs w:val="24"/>
        </w:rPr>
      </w:pPr>
    </w:p>
    <w:p w:rsidR="008C5714" w:rsidRDefault="008C5714" w:rsidP="008C5714">
      <w:pPr>
        <w:pStyle w:val="Recuodecorpodetexto"/>
        <w:spacing w:after="0" w:line="360" w:lineRule="auto"/>
        <w:ind w:left="0"/>
        <w:rPr>
          <w:szCs w:val="24"/>
        </w:rPr>
      </w:pPr>
    </w:p>
    <w:p w:rsidR="00BA235F" w:rsidRDefault="00BA235F" w:rsidP="008C5714">
      <w:pPr>
        <w:pStyle w:val="Recuodecorpodetexto"/>
        <w:spacing w:after="0" w:line="360" w:lineRule="auto"/>
        <w:ind w:left="0"/>
        <w:rPr>
          <w:szCs w:val="24"/>
        </w:rPr>
      </w:pPr>
    </w:p>
    <w:p w:rsidR="00BA235F" w:rsidRDefault="00BA235F" w:rsidP="008C5714">
      <w:pPr>
        <w:pStyle w:val="Recuodecorpodetexto"/>
        <w:spacing w:after="0" w:line="360" w:lineRule="auto"/>
        <w:ind w:left="0"/>
        <w:rPr>
          <w:szCs w:val="24"/>
        </w:rPr>
      </w:pPr>
    </w:p>
    <w:p w:rsidR="00BA235F" w:rsidRDefault="00BA235F" w:rsidP="008C5714">
      <w:pPr>
        <w:pStyle w:val="Recuodecorpodetexto"/>
        <w:spacing w:after="0" w:line="360" w:lineRule="auto"/>
        <w:ind w:left="0"/>
        <w:rPr>
          <w:szCs w:val="24"/>
        </w:rPr>
      </w:pPr>
    </w:p>
    <w:p w:rsidR="008C5714" w:rsidRDefault="008C5714" w:rsidP="008C5714">
      <w:pPr>
        <w:pStyle w:val="Recuodecorpodetexto"/>
        <w:spacing w:after="0" w:line="360" w:lineRule="auto"/>
        <w:ind w:left="0"/>
        <w:rPr>
          <w:szCs w:val="24"/>
        </w:rPr>
      </w:pPr>
    </w:p>
    <w:p w:rsidR="008C5714" w:rsidRDefault="008C5714" w:rsidP="008C5714">
      <w:pPr>
        <w:spacing w:line="360" w:lineRule="auto"/>
        <w:rPr>
          <w:b/>
        </w:rPr>
      </w:pPr>
      <w:r w:rsidRPr="00891E21">
        <w:rPr>
          <w:b/>
        </w:rPr>
        <w:lastRenderedPageBreak/>
        <w:t>A</w:t>
      </w:r>
      <w:r>
        <w:rPr>
          <w:b/>
        </w:rPr>
        <w:t>NEXOS</w:t>
      </w:r>
    </w:p>
    <w:p w:rsidR="008C5714" w:rsidRPr="00891E21" w:rsidRDefault="008C5714" w:rsidP="008C5714">
      <w:pPr>
        <w:spacing w:line="360" w:lineRule="auto"/>
        <w:rPr>
          <w:rStyle w:val="hps"/>
          <w:rFonts w:eastAsia="Batang"/>
        </w:rPr>
      </w:pPr>
      <w:r w:rsidRPr="00891E21">
        <w:rPr>
          <w:rStyle w:val="hps"/>
          <w:rFonts w:eastAsia="Batang"/>
        </w:rPr>
        <w:t>A.</w:t>
      </w:r>
      <w:r w:rsidRPr="00891E21">
        <w:rPr>
          <w:rStyle w:val="apple-converted-space"/>
        </w:rPr>
        <w:t> </w:t>
      </w:r>
      <w:r w:rsidRPr="00891E21">
        <w:rPr>
          <w:rStyle w:val="hps"/>
          <w:rFonts w:eastAsia="Batang"/>
        </w:rPr>
        <w:t>DETERMINAÇÃO</w:t>
      </w:r>
      <w:r w:rsidRPr="00891E21">
        <w:rPr>
          <w:rStyle w:val="apple-converted-space"/>
        </w:rPr>
        <w:t> </w:t>
      </w:r>
      <w:r w:rsidRPr="00891E21">
        <w:rPr>
          <w:rStyle w:val="hps"/>
          <w:rFonts w:eastAsia="Batang"/>
        </w:rPr>
        <w:t xml:space="preserve">DO ÍNDICE </w:t>
      </w:r>
      <w:r w:rsidRPr="00891E21">
        <w:rPr>
          <w:rStyle w:val="hps"/>
          <w:rFonts w:eastAsia="Batang"/>
          <w:i/>
        </w:rPr>
        <w:t>EG</w:t>
      </w:r>
      <w:r w:rsidRPr="00891E21">
        <w:rPr>
          <w:rStyle w:val="hps"/>
          <w:rFonts w:eastAsia="Batang"/>
        </w:rPr>
        <w:t xml:space="preserve"> ESPACIALMENTE PONDERADO</w:t>
      </w:r>
    </w:p>
    <w:p w:rsidR="008C5714" w:rsidRPr="00891E21" w:rsidRDefault="008C5714" w:rsidP="00FF3D6E">
      <w:pPr>
        <w:ind w:firstLine="709"/>
        <w:rPr>
          <w:rStyle w:val="hps"/>
        </w:rPr>
      </w:pPr>
      <w:r w:rsidRPr="00891E21">
        <w:t xml:space="preserve">Segundo Guimarães </w:t>
      </w:r>
      <w:proofErr w:type="gramStart"/>
      <w:r w:rsidRPr="00891E21">
        <w:t>et</w:t>
      </w:r>
      <w:proofErr w:type="gramEnd"/>
      <w:r w:rsidRPr="00891E21">
        <w:rPr>
          <w:i/>
        </w:rPr>
        <w:t xml:space="preserve"> al.</w:t>
      </w:r>
      <w:r w:rsidRPr="00891E21">
        <w:t xml:space="preserve"> (2011), na </w:t>
      </w:r>
      <w:r w:rsidRPr="00891E21">
        <w:rPr>
          <w:rStyle w:val="hps"/>
          <w:rFonts w:eastAsia="Batang"/>
        </w:rPr>
        <w:t>sequência de</w:t>
      </w:r>
      <w:r w:rsidRPr="00891E21">
        <w:rPr>
          <w:rStyle w:val="apple-converted-space"/>
        </w:rPr>
        <w:t> </w:t>
      </w:r>
      <w:r w:rsidRPr="00891E21">
        <w:rPr>
          <w:rStyle w:val="hps"/>
          <w:rFonts w:eastAsia="Batang"/>
        </w:rPr>
        <w:t xml:space="preserve">Ellison </w:t>
      </w:r>
      <w:r w:rsidRPr="00891E21">
        <w:rPr>
          <w:rStyle w:val="apple-converted-space"/>
        </w:rPr>
        <w:t> </w:t>
      </w:r>
      <w:r w:rsidRPr="00891E21">
        <w:rPr>
          <w:rStyle w:val="hps"/>
          <w:rFonts w:eastAsia="Batang"/>
        </w:rPr>
        <w:t>e</w:t>
      </w:r>
      <w:r w:rsidRPr="00891E21">
        <w:rPr>
          <w:rStyle w:val="apple-converted-space"/>
        </w:rPr>
        <w:t> </w:t>
      </w:r>
      <w:r w:rsidRPr="00891E21">
        <w:rPr>
          <w:rStyle w:val="hps"/>
          <w:rFonts w:eastAsia="Batang"/>
        </w:rPr>
        <w:t>Glaeser</w:t>
      </w:r>
      <w:r w:rsidRPr="00891E21">
        <w:rPr>
          <w:rStyle w:val="apple-converted-space"/>
        </w:rPr>
        <w:t> </w:t>
      </w:r>
      <w:r w:rsidRPr="00891E21">
        <w:rPr>
          <w:rStyle w:val="hps"/>
          <w:rFonts w:eastAsia="Batang"/>
        </w:rPr>
        <w:t>(1997</w:t>
      </w:r>
      <w:r w:rsidRPr="00891E21">
        <w:rPr>
          <w:rStyle w:val="apple-style-span"/>
        </w:rPr>
        <w:t>),</w:t>
      </w:r>
      <w:r w:rsidRPr="00891E21">
        <w:rPr>
          <w:rStyle w:val="apple-converted-space"/>
        </w:rPr>
        <w:t xml:space="preserve"> decidiu-se que a localização de </w:t>
      </w:r>
      <w:r w:rsidRPr="00891E21">
        <w:rPr>
          <w:rStyle w:val="apple-converted-space"/>
          <w:i/>
        </w:rPr>
        <w:t xml:space="preserve">m </w:t>
      </w:r>
      <w:r w:rsidRPr="00891E21">
        <w:rPr>
          <w:rStyle w:val="apple-converted-space"/>
        </w:rPr>
        <w:t xml:space="preserve">firmas seria representada por um vetor </w:t>
      </w:r>
      <w:proofErr w:type="spellStart"/>
      <w:r w:rsidRPr="00891E21">
        <w:rPr>
          <w:rStyle w:val="apple-converted-space"/>
        </w:rPr>
        <w:t>multinomial</w:t>
      </w:r>
      <w:proofErr w:type="spellEnd"/>
      <w:r w:rsidRPr="00891E21">
        <w:rPr>
          <w:rStyle w:val="apple-converted-space"/>
        </w:rPr>
        <w:t xml:space="preserve">, </w:t>
      </w:r>
      <m:oMath>
        <m:sSub>
          <m:sSubPr>
            <m:ctrlPr>
              <w:rPr>
                <w:rStyle w:val="apple-converted-space"/>
                <w:rFonts w:ascii="Cambria Math" w:hAnsi="Cambria Math"/>
                <w:i/>
              </w:rPr>
            </m:ctrlPr>
          </m:sSubPr>
          <m:e>
            <m:r>
              <w:rPr>
                <w:rStyle w:val="apple-converted-space"/>
                <w:rFonts w:ascii="Cambria Math" w:hAnsi="Cambria Math"/>
              </w:rPr>
              <m:t>u</m:t>
            </m:r>
          </m:e>
          <m:sub>
            <m:r>
              <w:rPr>
                <w:rStyle w:val="apple-converted-space"/>
                <w:rFonts w:ascii="Cambria Math" w:hAnsi="Cambria Math"/>
              </w:rPr>
              <m:t>m</m:t>
            </m:r>
          </m:sub>
        </m:sSub>
      </m:oMath>
      <w:r w:rsidRPr="00891E21">
        <w:rPr>
          <w:rStyle w:val="apple-converted-space"/>
        </w:rPr>
        <w:t xml:space="preserve">, com probabilidades de esperar, dada pelo vetor </w:t>
      </w:r>
      <w:r w:rsidRPr="00891E21">
        <w:rPr>
          <w:rStyle w:val="apple-converted-space"/>
          <w:i/>
        </w:rPr>
        <w:t>p</w:t>
      </w:r>
      <w:r w:rsidRPr="00891E21">
        <w:rPr>
          <w:rStyle w:val="apple-converted-space"/>
        </w:rPr>
        <w:t xml:space="preserve">. Todas as firmas de </w:t>
      </w:r>
      <w:r w:rsidRPr="00891E21">
        <w:rPr>
          <w:rStyle w:val="apple-converted-space"/>
          <w:i/>
        </w:rPr>
        <w:t>N</w:t>
      </w:r>
      <w:r w:rsidRPr="00891E21">
        <w:rPr>
          <w:rStyle w:val="apple-converted-space"/>
        </w:rPr>
        <w:t xml:space="preserve"> indústria, optam por decidir a localização independente e com isso, possuíram a mesma distribuição </w:t>
      </w:r>
      <w:proofErr w:type="spellStart"/>
      <w:r w:rsidRPr="00891E21">
        <w:rPr>
          <w:rStyle w:val="apple-converted-space"/>
        </w:rPr>
        <w:t>multinomial</w:t>
      </w:r>
      <w:proofErr w:type="spellEnd"/>
      <w:r w:rsidRPr="00891E21">
        <w:rPr>
          <w:rStyle w:val="apple-converted-space"/>
        </w:rPr>
        <w:t xml:space="preserve">. As firmas tem uma dimensão exógena de emprego e compartilham </w:t>
      </w:r>
      <w:r w:rsidRPr="00891E21">
        <w:rPr>
          <w:rStyle w:val="apple-converted-space"/>
          <w:i/>
        </w:rPr>
        <w:t>m</w:t>
      </w:r>
      <w:r w:rsidRPr="00891E21">
        <w:rPr>
          <w:rStyle w:val="apple-converted-space"/>
        </w:rPr>
        <w:t xml:space="preserve"> </w:t>
      </w:r>
      <w:proofErr w:type="gramStart"/>
      <w:r w:rsidRPr="00891E21">
        <w:rPr>
          <w:rStyle w:val="apple-converted-space"/>
        </w:rPr>
        <w:t>firmas do total do emprego na indústria é</w:t>
      </w:r>
      <w:proofErr w:type="gramEnd"/>
      <w:r w:rsidRPr="00891E21">
        <w:rPr>
          <w:rStyle w:val="apple-converted-space"/>
        </w:rPr>
        <w:t xml:space="preserve"> dado por </w:t>
      </w:r>
      <m:oMath>
        <m:sSub>
          <m:sSubPr>
            <m:ctrlPr>
              <w:rPr>
                <w:rStyle w:val="hps"/>
                <w:rFonts w:ascii="Cambria Math" w:eastAsia="Batang" w:hAnsi="Cambria Math"/>
                <w:i/>
              </w:rPr>
            </m:ctrlPr>
          </m:sSubPr>
          <m:e>
            <m:r>
              <w:rPr>
                <w:rStyle w:val="hps"/>
                <w:rFonts w:ascii="Cambria Math" w:eastAsia="Batang" w:hAnsi="Cambria Math"/>
              </w:rPr>
              <m:t>z</m:t>
            </m:r>
          </m:e>
          <m:sub>
            <m:r>
              <w:rPr>
                <w:rStyle w:val="hps"/>
                <w:rFonts w:ascii="Cambria Math" w:eastAsia="Batang" w:hAnsi="Cambria Math"/>
              </w:rPr>
              <m:t>m</m:t>
            </m:r>
          </m:sub>
        </m:sSub>
      </m:oMath>
      <w:r w:rsidRPr="00891E21">
        <w:rPr>
          <w:rStyle w:val="hps"/>
          <w:rFonts w:eastAsia="Batang"/>
        </w:rPr>
        <w:t>. Assim, podem-se expressar as ações regionais para o emprego na indústria como:</w:t>
      </w:r>
    </w:p>
    <w:p w:rsidR="008C5714" w:rsidRPr="00891E21" w:rsidRDefault="008C5714" w:rsidP="008C5714">
      <w:pPr>
        <w:spacing w:line="360" w:lineRule="auto"/>
        <w:rPr>
          <w:rStyle w:val="hps"/>
          <w:rFonts w:eastAsia="Batang"/>
        </w:rPr>
      </w:pPr>
      <m:oMathPara>
        <m:oMath>
          <m:r>
            <w:rPr>
              <w:rStyle w:val="hps"/>
              <w:rFonts w:ascii="Cambria Math" w:eastAsia="Batang" w:hAnsi="Cambria Math"/>
            </w:rPr>
            <m:t>s=</m:t>
          </m:r>
          <m:nary>
            <m:naryPr>
              <m:chr m:val="∑"/>
              <m:limLoc m:val="undOvr"/>
              <m:ctrlPr>
                <w:rPr>
                  <w:rStyle w:val="hps"/>
                  <w:rFonts w:ascii="Cambria Math" w:eastAsia="Batang" w:hAnsi="Cambria Math"/>
                  <w:i/>
                </w:rPr>
              </m:ctrlPr>
            </m:naryPr>
            <m:sub>
              <m:r>
                <w:rPr>
                  <w:rStyle w:val="hps"/>
                  <w:rFonts w:ascii="Cambria Math" w:eastAsia="Batang" w:hAnsi="Cambria Math"/>
                </w:rPr>
                <m:t>m=1</m:t>
              </m:r>
            </m:sub>
            <m:sup>
              <m:r>
                <w:rPr>
                  <w:rStyle w:val="hps"/>
                  <w:rFonts w:ascii="Cambria Math" w:eastAsia="Batang" w:hAnsi="Cambria Math"/>
                </w:rPr>
                <m:t>N</m:t>
              </m:r>
            </m:sup>
            <m:e>
              <m:sSub>
                <m:sSubPr>
                  <m:ctrlPr>
                    <w:rPr>
                      <w:rStyle w:val="hps"/>
                      <w:rFonts w:ascii="Cambria Math" w:eastAsia="Batang" w:hAnsi="Cambria Math"/>
                      <w:i/>
                    </w:rPr>
                  </m:ctrlPr>
                </m:sSubPr>
                <m:e>
                  <m:r>
                    <w:rPr>
                      <w:rStyle w:val="hps"/>
                      <w:rFonts w:ascii="Cambria Math" w:eastAsia="Batang" w:hAnsi="Cambria Math"/>
                    </w:rPr>
                    <m:t>z</m:t>
                  </m:r>
                </m:e>
                <m:sub>
                  <m:r>
                    <w:rPr>
                      <w:rStyle w:val="hps"/>
                      <w:rFonts w:ascii="Cambria Math" w:eastAsia="Batang" w:hAnsi="Cambria Math"/>
                    </w:rPr>
                    <m:t>m</m:t>
                  </m:r>
                </m:sub>
              </m:sSub>
              <m:sSub>
                <m:sSubPr>
                  <m:ctrlPr>
                    <w:rPr>
                      <w:rStyle w:val="hps"/>
                      <w:rFonts w:ascii="Cambria Math" w:eastAsia="Batang" w:hAnsi="Cambria Math"/>
                      <w:i/>
                    </w:rPr>
                  </m:ctrlPr>
                </m:sSubPr>
                <m:e>
                  <m:r>
                    <w:rPr>
                      <w:rStyle w:val="hps"/>
                      <w:rFonts w:ascii="Cambria Math" w:eastAsia="Batang" w:hAnsi="Cambria Math"/>
                    </w:rPr>
                    <m:t>u</m:t>
                  </m:r>
                </m:e>
                <m:sub>
                  <m:r>
                    <w:rPr>
                      <w:rStyle w:val="hps"/>
                      <w:rFonts w:ascii="Cambria Math" w:eastAsia="Batang" w:hAnsi="Cambria Math"/>
                    </w:rPr>
                    <m:t>m</m:t>
                  </m:r>
                </m:sub>
              </m:sSub>
            </m:e>
          </m:nary>
        </m:oMath>
      </m:oMathPara>
    </w:p>
    <w:p w:rsidR="008C5714" w:rsidRPr="00891E21" w:rsidRDefault="008C5714" w:rsidP="008C5714">
      <w:pPr>
        <w:spacing w:line="360" w:lineRule="auto"/>
        <w:rPr>
          <w:rStyle w:val="hps"/>
          <w:rFonts w:eastAsia="Batang"/>
        </w:rPr>
      </w:pPr>
      <w:r w:rsidRPr="00891E21">
        <w:rPr>
          <w:rStyle w:val="hps"/>
          <w:rFonts w:eastAsia="Batang"/>
        </w:rPr>
        <w:t>Resultando em:</w:t>
      </w:r>
    </w:p>
    <w:p w:rsidR="008C5714" w:rsidRPr="00891E21" w:rsidRDefault="008C5714" w:rsidP="008C5714">
      <w:pPr>
        <w:spacing w:line="360" w:lineRule="auto"/>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r>
                <w:rPr>
                  <w:rStyle w:val="hps"/>
                  <w:rFonts w:ascii="Cambria Math" w:eastAsia="Batang" w:hAnsi="Cambria Math"/>
                </w:rPr>
                <m:t>s</m:t>
              </m:r>
            </m:e>
          </m:d>
          <m:r>
            <w:rPr>
              <w:rStyle w:val="hps"/>
              <w:rFonts w:ascii="Cambria Math" w:eastAsia="Batang" w:hAnsi="Cambria Math"/>
            </w:rPr>
            <m:t>=</m:t>
          </m:r>
          <m:nary>
            <m:naryPr>
              <m:chr m:val="∑"/>
              <m:limLoc m:val="undOvr"/>
              <m:ctrlPr>
                <w:rPr>
                  <w:rStyle w:val="hps"/>
                  <w:rFonts w:ascii="Cambria Math" w:eastAsia="Batang" w:hAnsi="Cambria Math"/>
                  <w:i/>
                </w:rPr>
              </m:ctrlPr>
            </m:naryPr>
            <m:sub>
              <m:r>
                <w:rPr>
                  <w:rStyle w:val="hps"/>
                  <w:rFonts w:ascii="Cambria Math" w:eastAsia="Batang" w:hAnsi="Cambria Math"/>
                </w:rPr>
                <m:t>m=1</m:t>
              </m:r>
            </m:sub>
            <m:sup>
              <m:r>
                <w:rPr>
                  <w:rStyle w:val="hps"/>
                  <w:rFonts w:ascii="Cambria Math" w:eastAsia="Batang" w:hAnsi="Cambria Math"/>
                </w:rPr>
                <m:t>N</m:t>
              </m:r>
            </m:sup>
            <m:e>
              <m:sSub>
                <m:sSubPr>
                  <m:ctrlPr>
                    <w:rPr>
                      <w:rStyle w:val="hps"/>
                      <w:rFonts w:ascii="Cambria Math" w:eastAsia="Batang" w:hAnsi="Cambria Math"/>
                      <w:i/>
                    </w:rPr>
                  </m:ctrlPr>
                </m:sSubPr>
                <m:e>
                  <m:r>
                    <w:rPr>
                      <w:rStyle w:val="hps"/>
                      <w:rFonts w:ascii="Cambria Math" w:eastAsia="Batang" w:hAnsi="Cambria Math"/>
                    </w:rPr>
                    <m:t>z</m:t>
                  </m:r>
                </m:e>
                <m:sub>
                  <m:r>
                    <w:rPr>
                      <w:rStyle w:val="hps"/>
                      <w:rFonts w:ascii="Cambria Math" w:eastAsia="Batang" w:hAnsi="Cambria Math"/>
                    </w:rPr>
                    <m:t>m</m:t>
                  </m:r>
                </m:sub>
              </m:sSub>
              <m:r>
                <w:rPr>
                  <w:rStyle w:val="hps"/>
                  <w:rFonts w:ascii="Cambria Math" w:eastAsia="Batang" w:hAnsi="Cambria Math"/>
                </w:rPr>
                <m:t>E</m:t>
              </m:r>
              <m:d>
                <m:dPr>
                  <m:ctrlPr>
                    <w:rPr>
                      <w:rStyle w:val="hps"/>
                      <w:rFonts w:ascii="Cambria Math" w:eastAsia="Batang" w:hAnsi="Cambria Math"/>
                      <w:i/>
                    </w:rPr>
                  </m:ctrlPr>
                </m:dPr>
                <m:e>
                  <m:sSub>
                    <m:sSubPr>
                      <m:ctrlPr>
                        <w:rPr>
                          <w:rStyle w:val="hps"/>
                          <w:rFonts w:ascii="Cambria Math" w:eastAsia="Batang" w:hAnsi="Cambria Math"/>
                          <w:i/>
                        </w:rPr>
                      </m:ctrlPr>
                    </m:sSubPr>
                    <m:e>
                      <m:r>
                        <w:rPr>
                          <w:rStyle w:val="hps"/>
                          <w:rFonts w:ascii="Cambria Math" w:eastAsia="Batang" w:hAnsi="Cambria Math"/>
                        </w:rPr>
                        <m:t>u</m:t>
                      </m:r>
                    </m:e>
                    <m:sub>
                      <m:r>
                        <w:rPr>
                          <w:rStyle w:val="hps"/>
                          <w:rFonts w:ascii="Cambria Math" w:eastAsia="Batang" w:hAnsi="Cambria Math"/>
                        </w:rPr>
                        <m:t>m</m:t>
                      </m:r>
                    </m:sub>
                  </m:sSub>
                </m:e>
              </m:d>
              <m:r>
                <w:rPr>
                  <w:rStyle w:val="hps"/>
                  <w:rFonts w:ascii="Cambria Math" w:eastAsia="Batang" w:hAnsi="Cambria Math"/>
                </w:rPr>
                <m:t>=</m:t>
              </m:r>
              <m:nary>
                <m:naryPr>
                  <m:chr m:val="∑"/>
                  <m:limLoc m:val="undOvr"/>
                  <m:ctrlPr>
                    <w:rPr>
                      <w:rStyle w:val="hps"/>
                      <w:rFonts w:ascii="Cambria Math" w:eastAsia="Batang" w:hAnsi="Cambria Math"/>
                      <w:i/>
                    </w:rPr>
                  </m:ctrlPr>
                </m:naryPr>
                <m:sub>
                  <m:r>
                    <w:rPr>
                      <w:rStyle w:val="hps"/>
                      <w:rFonts w:ascii="Cambria Math" w:eastAsia="Batang" w:hAnsi="Cambria Math"/>
                    </w:rPr>
                    <m:t>m=1</m:t>
                  </m:r>
                </m:sub>
                <m:sup>
                  <m:r>
                    <w:rPr>
                      <w:rStyle w:val="hps"/>
                      <w:rFonts w:ascii="Cambria Math" w:eastAsia="Batang" w:hAnsi="Cambria Math"/>
                    </w:rPr>
                    <m:t>N</m:t>
                  </m:r>
                </m:sup>
                <m:e>
                  <m:sSub>
                    <m:sSubPr>
                      <m:ctrlPr>
                        <w:rPr>
                          <w:rStyle w:val="hps"/>
                          <w:rFonts w:ascii="Cambria Math" w:eastAsia="Batang" w:hAnsi="Cambria Math"/>
                          <w:i/>
                        </w:rPr>
                      </m:ctrlPr>
                    </m:sSubPr>
                    <m:e>
                      <m:r>
                        <w:rPr>
                          <w:rStyle w:val="hps"/>
                          <w:rFonts w:ascii="Cambria Math" w:eastAsia="Batang" w:hAnsi="Cambria Math"/>
                        </w:rPr>
                        <m:t>z</m:t>
                      </m:r>
                    </m:e>
                    <m:sub>
                      <m:r>
                        <w:rPr>
                          <w:rStyle w:val="hps"/>
                          <w:rFonts w:ascii="Cambria Math" w:eastAsia="Batang" w:hAnsi="Cambria Math"/>
                        </w:rPr>
                        <m:t>m</m:t>
                      </m:r>
                    </m:sub>
                  </m:sSub>
                  <m:r>
                    <w:rPr>
                      <w:rStyle w:val="hps"/>
                      <w:rFonts w:ascii="Cambria Math" w:eastAsia="Batang" w:hAnsi="Cambria Math"/>
                    </w:rPr>
                    <m:t>p=p</m:t>
                  </m:r>
                </m:e>
              </m:nary>
            </m:e>
          </m:nary>
        </m:oMath>
      </m:oMathPara>
    </w:p>
    <w:p w:rsidR="008C5714" w:rsidRPr="00891E21" w:rsidRDefault="008C5714" w:rsidP="008C5714">
      <w:pPr>
        <w:spacing w:line="360" w:lineRule="auto"/>
        <w:rPr>
          <w:rStyle w:val="apple-style-span"/>
        </w:rPr>
      </w:pPr>
      <w:r w:rsidRPr="00891E21">
        <w:rPr>
          <w:rStyle w:val="hps"/>
          <w:rFonts w:eastAsia="Batang"/>
        </w:rPr>
        <w:t xml:space="preserve">E, dada à suposição de independência dos vetores </w:t>
      </w:r>
      <w:r w:rsidRPr="00891E21">
        <w:rPr>
          <w:rStyle w:val="hps"/>
          <w:rFonts w:eastAsia="Batang"/>
          <w:i/>
        </w:rPr>
        <w:t>u</w:t>
      </w:r>
      <w:r w:rsidRPr="00891E21">
        <w:rPr>
          <w:rStyle w:val="hps"/>
          <w:rFonts w:eastAsia="Batang"/>
        </w:rPr>
        <w:t>:</w:t>
      </w:r>
    </w:p>
    <w:p w:rsidR="008C5714" w:rsidRPr="00891E21" w:rsidRDefault="008C5714" w:rsidP="008C5714">
      <w:pPr>
        <w:spacing w:line="360" w:lineRule="auto"/>
        <w:jc w:val="center"/>
        <w:rPr>
          <w:rStyle w:val="apple-style-span"/>
        </w:rPr>
      </w:pPr>
      <m:oMathPara>
        <m:oMath>
          <m:r>
            <w:rPr>
              <w:rStyle w:val="apple-style-span"/>
              <w:rFonts w:ascii="Cambria Math" w:hAnsi="Cambria Math"/>
            </w:rPr>
            <m:t>V</m:t>
          </m:r>
          <m:d>
            <m:dPr>
              <m:ctrlPr>
                <w:rPr>
                  <w:rStyle w:val="apple-style-span"/>
                  <w:rFonts w:ascii="Cambria Math" w:hAnsi="Cambria Math"/>
                  <w:i/>
                </w:rPr>
              </m:ctrlPr>
            </m:dPr>
            <m:e>
              <m:r>
                <w:rPr>
                  <w:rStyle w:val="apple-style-span"/>
                  <w:rFonts w:ascii="Cambria Math" w:hAnsi="Cambria Math"/>
                </w:rPr>
                <m:t>s</m:t>
              </m:r>
            </m:e>
          </m:d>
          <m:r>
            <w:rPr>
              <w:rStyle w:val="apple-style-span"/>
              <w:rFonts w:ascii="Cambria Math" w:hAnsi="Cambria Math"/>
            </w:rPr>
            <m:t>=V</m:t>
          </m:r>
          <m:d>
            <m:dPr>
              <m:ctrlPr>
                <w:rPr>
                  <w:rStyle w:val="apple-style-span"/>
                  <w:rFonts w:ascii="Cambria Math" w:hAnsi="Cambria Math"/>
                  <w:i/>
                </w:rPr>
              </m:ctrlPr>
            </m:dPr>
            <m:e>
              <m:nary>
                <m:naryPr>
                  <m:chr m:val="∑"/>
                  <m:limLoc m:val="undOvr"/>
                  <m:ctrlPr>
                    <w:rPr>
                      <w:rStyle w:val="apple-style-span"/>
                      <w:rFonts w:ascii="Cambria Math" w:hAnsi="Cambria Math"/>
                      <w:i/>
                    </w:rPr>
                  </m:ctrlPr>
                </m:naryPr>
                <m:sub>
                  <m:r>
                    <w:rPr>
                      <w:rStyle w:val="apple-style-span"/>
                      <w:rFonts w:ascii="Cambria Math" w:hAnsi="Cambria Math"/>
                    </w:rPr>
                    <m:t>m=1</m:t>
                  </m:r>
                </m:sub>
                <m:sup>
                  <m:r>
                    <w:rPr>
                      <w:rStyle w:val="apple-style-span"/>
                      <w:rFonts w:ascii="Cambria Math" w:hAnsi="Cambria Math"/>
                    </w:rPr>
                    <m:t>N</m:t>
                  </m:r>
                </m:sup>
                <m:e>
                  <m:sSub>
                    <m:sSubPr>
                      <m:ctrlPr>
                        <w:rPr>
                          <w:rStyle w:val="apple-style-span"/>
                          <w:rFonts w:ascii="Cambria Math" w:hAnsi="Cambria Math"/>
                          <w:i/>
                        </w:rPr>
                      </m:ctrlPr>
                    </m:sSubPr>
                    <m:e>
                      <m:r>
                        <w:rPr>
                          <w:rStyle w:val="apple-style-span"/>
                          <w:rFonts w:ascii="Cambria Math" w:hAnsi="Cambria Math"/>
                        </w:rPr>
                        <m:t>z</m:t>
                      </m:r>
                    </m:e>
                    <m:sub>
                      <m:r>
                        <w:rPr>
                          <w:rStyle w:val="apple-style-span"/>
                          <w:rFonts w:ascii="Cambria Math" w:hAnsi="Cambria Math"/>
                        </w:rPr>
                        <m:t>m</m:t>
                      </m:r>
                    </m:sub>
                  </m:sSub>
                  <m:sSub>
                    <m:sSubPr>
                      <m:ctrlPr>
                        <w:rPr>
                          <w:rStyle w:val="apple-style-span"/>
                          <w:rFonts w:ascii="Cambria Math" w:hAnsi="Cambria Math"/>
                          <w:i/>
                        </w:rPr>
                      </m:ctrlPr>
                    </m:sSubPr>
                    <m:e>
                      <m:r>
                        <w:rPr>
                          <w:rStyle w:val="apple-style-span"/>
                          <w:rFonts w:ascii="Cambria Math" w:hAnsi="Cambria Math"/>
                        </w:rPr>
                        <m:t>u</m:t>
                      </m:r>
                    </m:e>
                    <m:sub>
                      <m:r>
                        <w:rPr>
                          <w:rStyle w:val="apple-style-span"/>
                          <w:rFonts w:ascii="Cambria Math" w:hAnsi="Cambria Math"/>
                        </w:rPr>
                        <m:t>m</m:t>
                      </m:r>
                    </m:sub>
                  </m:sSub>
                </m:e>
              </m:nary>
            </m:e>
          </m:d>
          <m:r>
            <w:rPr>
              <w:rStyle w:val="apple-style-span"/>
              <w:rFonts w:ascii="Cambria Math" w:hAnsi="Cambria Math"/>
            </w:rPr>
            <m:t>=V(</m:t>
          </m:r>
          <m:sSub>
            <m:sSubPr>
              <m:ctrlPr>
                <w:rPr>
                  <w:rStyle w:val="apple-style-span"/>
                  <w:rFonts w:ascii="Cambria Math" w:hAnsi="Cambria Math"/>
                  <w:i/>
                </w:rPr>
              </m:ctrlPr>
            </m:sSubPr>
            <m:e>
              <m:r>
                <w:rPr>
                  <w:rStyle w:val="apple-style-span"/>
                  <w:rFonts w:ascii="Cambria Math" w:hAnsi="Cambria Math"/>
                </w:rPr>
                <m:t>u</m:t>
              </m:r>
            </m:e>
            <m:sub>
              <m:r>
                <w:rPr>
                  <w:rStyle w:val="apple-style-span"/>
                  <w:rFonts w:ascii="Cambria Math" w:hAnsi="Cambria Math"/>
                </w:rPr>
                <m:t>m</m:t>
              </m:r>
            </m:sub>
          </m:sSub>
          <m:r>
            <w:rPr>
              <w:rStyle w:val="apple-style-span"/>
              <w:rFonts w:ascii="Cambria Math" w:hAnsi="Cambria Math"/>
            </w:rPr>
            <m:t>)</m:t>
          </m:r>
          <m:nary>
            <m:naryPr>
              <m:chr m:val="∑"/>
              <m:limLoc m:val="undOvr"/>
              <m:ctrlPr>
                <w:rPr>
                  <w:rStyle w:val="apple-style-span"/>
                  <w:rFonts w:ascii="Cambria Math" w:hAnsi="Cambria Math"/>
                  <w:i/>
                </w:rPr>
              </m:ctrlPr>
            </m:naryPr>
            <m:sub>
              <m:r>
                <w:rPr>
                  <w:rStyle w:val="apple-style-span"/>
                  <w:rFonts w:ascii="Cambria Math" w:hAnsi="Cambria Math"/>
                </w:rPr>
                <m:t>m=1</m:t>
              </m:r>
            </m:sub>
            <m:sup>
              <m:r>
                <w:rPr>
                  <w:rStyle w:val="apple-style-span"/>
                  <w:rFonts w:ascii="Cambria Math" w:hAnsi="Cambria Math"/>
                </w:rPr>
                <m:t>N</m:t>
              </m:r>
            </m:sup>
            <m:e>
              <m:sSubSup>
                <m:sSubSupPr>
                  <m:ctrlPr>
                    <w:rPr>
                      <w:rStyle w:val="apple-style-span"/>
                      <w:rFonts w:ascii="Cambria Math" w:hAnsi="Cambria Math"/>
                      <w:i/>
                    </w:rPr>
                  </m:ctrlPr>
                </m:sSubSupPr>
                <m:e>
                  <m:r>
                    <w:rPr>
                      <w:rStyle w:val="apple-style-span"/>
                      <w:rFonts w:ascii="Cambria Math" w:hAnsi="Cambria Math"/>
                    </w:rPr>
                    <m:t>z</m:t>
                  </m:r>
                </m:e>
                <m:sub>
                  <m:r>
                    <w:rPr>
                      <w:rStyle w:val="apple-style-span"/>
                      <w:rFonts w:ascii="Cambria Math" w:hAnsi="Cambria Math"/>
                    </w:rPr>
                    <m:t>m</m:t>
                  </m:r>
                </m:sub>
                <m:sup>
                  <m:r>
                    <w:rPr>
                      <w:rStyle w:val="apple-style-span"/>
                      <w:rFonts w:ascii="Cambria Math" w:hAnsi="Cambria Math"/>
                    </w:rPr>
                    <m:t>2</m:t>
                  </m:r>
                </m:sup>
              </m:sSubSup>
              <m:r>
                <w:rPr>
                  <w:rStyle w:val="apple-style-span"/>
                  <w:rFonts w:ascii="Cambria Math" w:hAnsi="Cambria Math"/>
                </w:rPr>
                <m:t>=</m:t>
              </m:r>
              <m:d>
                <m:dPr>
                  <m:begChr m:val="["/>
                  <m:endChr m:val="]"/>
                  <m:ctrlPr>
                    <w:rPr>
                      <w:rStyle w:val="apple-style-span"/>
                      <w:rFonts w:ascii="Cambria Math" w:hAnsi="Cambria Math"/>
                      <w:i/>
                    </w:rPr>
                  </m:ctrlPr>
                </m:dPr>
                <m:e>
                  <m:r>
                    <w:rPr>
                      <w:rStyle w:val="apple-style-span"/>
                      <w:rFonts w:ascii="Cambria Math" w:hAnsi="Cambria Math"/>
                    </w:rPr>
                    <m:t>diag</m:t>
                  </m:r>
                  <m:d>
                    <m:dPr>
                      <m:ctrlPr>
                        <w:rPr>
                          <w:rStyle w:val="apple-style-span"/>
                          <w:rFonts w:ascii="Cambria Math" w:hAnsi="Cambria Math"/>
                          <w:i/>
                        </w:rPr>
                      </m:ctrlPr>
                    </m:dPr>
                    <m:e>
                      <m:r>
                        <w:rPr>
                          <w:rStyle w:val="apple-style-span"/>
                          <w:rFonts w:ascii="Cambria Math" w:hAnsi="Cambria Math"/>
                        </w:rPr>
                        <m:t>p</m:t>
                      </m:r>
                    </m:e>
                  </m:d>
                  <m:r>
                    <w:rPr>
                      <w:rStyle w:val="apple-style-span"/>
                      <w:rFonts w:ascii="Cambria Math" w:hAnsi="Cambria Math"/>
                    </w:rPr>
                    <m:t>-pp'</m:t>
                  </m:r>
                </m:e>
              </m:d>
              <m:sSub>
                <m:sSubPr>
                  <m:ctrlPr>
                    <w:rPr>
                      <w:rStyle w:val="apple-style-span"/>
                      <w:rFonts w:ascii="Cambria Math" w:hAnsi="Cambria Math"/>
                      <w:i/>
                    </w:rPr>
                  </m:ctrlPr>
                </m:sSubPr>
                <m:e>
                  <m:r>
                    <w:rPr>
                      <w:rStyle w:val="apple-style-span"/>
                      <w:rFonts w:ascii="Cambria Math" w:hAnsi="Cambria Math"/>
                    </w:rPr>
                    <m:t>H</m:t>
                  </m:r>
                </m:e>
                <m:sub>
                  <m:r>
                    <w:rPr>
                      <w:rStyle w:val="apple-style-span"/>
                      <w:rFonts w:ascii="Cambria Math" w:hAnsi="Cambria Math"/>
                    </w:rPr>
                    <m:t>I</m:t>
                  </m:r>
                </m:sub>
              </m:sSub>
            </m:e>
          </m:nary>
        </m:oMath>
      </m:oMathPara>
    </w:p>
    <w:p w:rsidR="008C5714" w:rsidRPr="00891E21" w:rsidRDefault="008C5714" w:rsidP="00FF3D6E">
      <w:pPr>
        <w:rPr>
          <w:rStyle w:val="hps"/>
          <w:rFonts w:eastAsia="Batang"/>
        </w:rPr>
      </w:pPr>
      <w:r w:rsidRPr="00891E21">
        <w:rPr>
          <w:rStyle w:val="hps"/>
          <w:rFonts w:eastAsia="Batang"/>
        </w:rPr>
        <w:t xml:space="preserve">Onde: </w:t>
      </w:r>
      <m:oMath>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oMath>
      <w:r w:rsidRPr="00891E21">
        <w:rPr>
          <w:rStyle w:val="hps"/>
          <w:rFonts w:eastAsia="Batang"/>
        </w:rPr>
        <w:t xml:space="preserve"> é o Índice de Herfindahl para medir o nível de concentração industrial em termos de tamanho do emprego das firmas.</w:t>
      </w:r>
    </w:p>
    <w:p w:rsidR="008C5714" w:rsidRPr="00891E21" w:rsidRDefault="008C5714" w:rsidP="008C5714">
      <w:pPr>
        <w:spacing w:line="360" w:lineRule="auto"/>
        <w:ind w:firstLine="709"/>
        <w:rPr>
          <w:rStyle w:val="hps"/>
          <w:rFonts w:eastAsia="Batang"/>
        </w:rPr>
      </w:pPr>
      <w:r w:rsidRPr="00891E21">
        <w:rPr>
          <w:rStyle w:val="hps"/>
          <w:rFonts w:eastAsia="Batang"/>
        </w:rPr>
        <w:t xml:space="preserve">A versão espacialmente ponderada de </w:t>
      </w:r>
      <w:r w:rsidRPr="00891E21">
        <w:rPr>
          <w:rStyle w:val="hps"/>
          <w:rFonts w:eastAsia="Batang"/>
          <w:i/>
        </w:rPr>
        <w:t>G</w:t>
      </w:r>
      <w:r w:rsidRPr="00891E21">
        <w:rPr>
          <w:rStyle w:val="hps"/>
          <w:rFonts w:eastAsia="Batang"/>
        </w:rPr>
        <w:t xml:space="preserve"> é:</w:t>
      </w:r>
    </w:p>
    <w:p w:rsidR="008C5714" w:rsidRPr="00891E21" w:rsidRDefault="00D2730E" w:rsidP="008C5714">
      <w:pPr>
        <w:spacing w:line="360" w:lineRule="auto"/>
        <w:jc w:val="center"/>
        <w:rPr>
          <w:rStyle w:val="hps"/>
          <w:rFonts w:eastAsia="Batang"/>
        </w:rPr>
      </w:pPr>
      <m:oMathPara>
        <m:oMath>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r>
            <w:rPr>
              <w:rStyle w:val="hps"/>
              <w:rFonts w:ascii="Cambria Math" w:eastAsia="Batang" w:hAnsi="Cambria Math"/>
            </w:rPr>
            <m:t>=(s-x)'Ψ(s-x)</m:t>
          </m:r>
        </m:oMath>
      </m:oMathPara>
    </w:p>
    <w:p w:rsidR="008C5714" w:rsidRPr="00891E21" w:rsidRDefault="008C5714" w:rsidP="008C5714">
      <w:pPr>
        <w:spacing w:line="360" w:lineRule="auto"/>
        <w:rPr>
          <w:rStyle w:val="hps"/>
          <w:rFonts w:eastAsia="Batang"/>
        </w:rPr>
      </w:pPr>
      <w:r w:rsidRPr="00891E21">
        <w:rPr>
          <w:rStyle w:val="hps"/>
          <w:rFonts w:eastAsia="Batang"/>
        </w:rPr>
        <w:t>Diretamente e considerando o valor esperado da forma quadrática, obtém-se:</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num>
                <m:den>
                  <m:r>
                    <w:rPr>
                      <w:rStyle w:val="hps"/>
                      <w:rFonts w:ascii="Cambria Math" w:eastAsia="Batang" w:hAnsi="Cambria Math"/>
                    </w:rPr>
                    <m:t>p</m:t>
                  </m:r>
                </m:den>
              </m:f>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tr</m:t>
          </m:r>
          <m:d>
            <m:dPr>
              <m:ctrlPr>
                <w:rPr>
                  <w:rStyle w:val="hps"/>
                  <w:rFonts w:ascii="Cambria Math" w:eastAsia="Batang" w:hAnsi="Cambria Math"/>
                  <w:i/>
                </w:rPr>
              </m:ctrlPr>
            </m:dPr>
            <m:e>
              <m:r>
                <w:rPr>
                  <w:rStyle w:val="hps"/>
                  <w:rFonts w:ascii="Cambria Math" w:eastAsia="Batang" w:hAnsi="Cambria Math"/>
                </w:rPr>
                <m:t>Ψ</m:t>
              </m:r>
              <m:d>
                <m:dPr>
                  <m:begChr m:val="["/>
                  <m:endChr m:val="]"/>
                  <m:ctrlPr>
                    <w:rPr>
                      <w:rStyle w:val="hps"/>
                      <w:rFonts w:ascii="Cambria Math" w:eastAsia="Batang" w:hAnsi="Cambria Math"/>
                      <w:i/>
                    </w:rPr>
                  </m:ctrlPr>
                </m:dPr>
                <m:e>
                  <m:r>
                    <w:rPr>
                      <w:rStyle w:val="hps"/>
                      <w:rFonts w:ascii="Cambria Math" w:eastAsia="Batang" w:hAnsi="Cambria Math"/>
                    </w:rPr>
                    <m:t>diag</m:t>
                  </m:r>
                  <m:d>
                    <m:dPr>
                      <m:ctrlPr>
                        <w:rPr>
                          <w:rStyle w:val="hps"/>
                          <w:rFonts w:ascii="Cambria Math" w:eastAsia="Batang" w:hAnsi="Cambria Math"/>
                          <w:i/>
                        </w:rPr>
                      </m:ctrlPr>
                    </m:dPr>
                    <m:e>
                      <m:r>
                        <w:rPr>
                          <w:rStyle w:val="hps"/>
                          <w:rFonts w:ascii="Cambria Math" w:eastAsia="Batang" w:hAnsi="Cambria Math"/>
                        </w:rPr>
                        <m:t>p</m:t>
                      </m:r>
                    </m:e>
                  </m:d>
                  <m:r>
                    <w:rPr>
                      <w:rStyle w:val="hps"/>
                      <w:rFonts w:ascii="Cambria Math" w:eastAsia="Batang" w:hAnsi="Cambria Math"/>
                    </w:rPr>
                    <m:t>-p</m:t>
                  </m:r>
                  <m:sSup>
                    <m:sSupPr>
                      <m:ctrlPr>
                        <w:rPr>
                          <w:rStyle w:val="hps"/>
                          <w:rFonts w:ascii="Cambria Math" w:eastAsia="Batang" w:hAnsi="Cambria Math"/>
                          <w:i/>
                        </w:rPr>
                      </m:ctrlPr>
                    </m:sSupPr>
                    <m:e>
                      <m:r>
                        <w:rPr>
                          <w:rStyle w:val="hps"/>
                          <w:rFonts w:ascii="Cambria Math" w:eastAsia="Batang" w:hAnsi="Cambria Math"/>
                        </w:rPr>
                        <m:t>p</m:t>
                      </m:r>
                    </m:e>
                    <m:sup>
                      <m:r>
                        <w:rPr>
                          <w:rStyle w:val="hps"/>
                          <w:rFonts w:ascii="Cambria Math" w:eastAsia="Batang" w:hAnsi="Cambria Math"/>
                        </w:rPr>
                        <m:t>'</m:t>
                      </m:r>
                    </m:sup>
                  </m:sSup>
                </m:e>
              </m:d>
            </m:e>
          </m:d>
          <m:r>
            <w:rPr>
              <w:rStyle w:val="hps"/>
              <w:rFonts w:ascii="Cambria Math" w:eastAsia="Batang" w:hAnsi="Cambria Math"/>
            </w:rPr>
            <m:t>+</m:t>
          </m:r>
          <m:sSup>
            <m:sSupPr>
              <m:ctrlPr>
                <w:rPr>
                  <w:rStyle w:val="hps"/>
                  <w:rFonts w:ascii="Cambria Math" w:eastAsia="Batang" w:hAnsi="Cambria Math"/>
                  <w:i/>
                </w:rPr>
              </m:ctrlPr>
            </m:sSupPr>
            <m:e>
              <m:d>
                <m:dPr>
                  <m:ctrlPr>
                    <w:rPr>
                      <w:rStyle w:val="hps"/>
                      <w:rFonts w:ascii="Cambria Math" w:eastAsia="Batang" w:hAnsi="Cambria Math"/>
                      <w:i/>
                    </w:rPr>
                  </m:ctrlPr>
                </m:dPr>
                <m:e>
                  <m:r>
                    <w:rPr>
                      <w:rStyle w:val="hps"/>
                      <w:rFonts w:ascii="Cambria Math" w:eastAsia="Batang" w:hAnsi="Cambria Math"/>
                    </w:rPr>
                    <m:t>p-x</m:t>
                  </m:r>
                </m:e>
              </m:d>
            </m:e>
            <m:sup>
              <m:r>
                <w:rPr>
                  <w:rStyle w:val="hps"/>
                  <w:rFonts w:ascii="Cambria Math" w:eastAsia="Batang" w:hAnsi="Cambria Math"/>
                </w:rPr>
                <m:t>'</m:t>
              </m:r>
            </m:sup>
          </m:sSup>
          <m:r>
            <w:rPr>
              <w:rStyle w:val="hps"/>
              <w:rFonts w:ascii="Cambria Math" w:eastAsia="Batang" w:hAnsi="Cambria Math"/>
            </w:rPr>
            <m:t>Ψ</m:t>
          </m:r>
          <m:d>
            <m:dPr>
              <m:ctrlPr>
                <w:rPr>
                  <w:rStyle w:val="hps"/>
                  <w:rFonts w:ascii="Cambria Math" w:eastAsia="Batang" w:hAnsi="Cambria Math"/>
                  <w:i/>
                </w:rPr>
              </m:ctrlPr>
            </m:dPr>
            <m:e>
              <m:r>
                <w:rPr>
                  <w:rStyle w:val="hps"/>
                  <w:rFonts w:ascii="Cambria Math" w:eastAsia="Batang" w:hAnsi="Cambria Math"/>
                </w:rPr>
                <m:t>p-x</m:t>
              </m:r>
            </m:e>
          </m:d>
          <m:r>
            <w:rPr>
              <w:rStyle w:val="hps"/>
              <w:rFonts w:ascii="Cambria Math" w:eastAsia="Batang" w:hAnsi="Cambria Math"/>
            </w:rPr>
            <m:t>=</m:t>
          </m:r>
        </m:oMath>
      </m:oMathPara>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d>
            <m:dPr>
              <m:ctrlPr>
                <w:rPr>
                  <w:rStyle w:val="hps"/>
                  <w:rFonts w:ascii="Cambria Math" w:eastAsia="Batang" w:hAnsi="Cambria Math"/>
                  <w:i/>
                </w:rPr>
              </m:ctrlPr>
            </m:dPr>
            <m:e>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p</m:t>
                  </m:r>
                </m:e>
                <m:sup>
                  <m:r>
                    <w:rPr>
                      <w:rStyle w:val="hps"/>
                      <w:rFonts w:ascii="Cambria Math" w:eastAsia="Batang" w:hAnsi="Cambria Math"/>
                    </w:rPr>
                    <m:t>'</m:t>
                  </m:r>
                </m:sup>
              </m:sSup>
              <m:r>
                <w:rPr>
                  <w:rStyle w:val="hps"/>
                  <w:rFonts w:ascii="Cambria Math" w:eastAsia="Batang" w:hAnsi="Cambria Math"/>
                </w:rPr>
                <m:t>Ψp</m:t>
              </m:r>
            </m:e>
          </m:d>
          <m:r>
            <w:rPr>
              <w:rStyle w:val="hps"/>
              <w:rFonts w:ascii="Cambria Math" w:eastAsia="Batang" w:hAnsi="Cambria Math"/>
            </w:rPr>
            <m:t>+</m:t>
          </m:r>
          <m:sSup>
            <m:sSupPr>
              <m:ctrlPr>
                <w:rPr>
                  <w:rStyle w:val="hps"/>
                  <w:rFonts w:ascii="Cambria Math" w:eastAsia="Batang" w:hAnsi="Cambria Math"/>
                  <w:i/>
                </w:rPr>
              </m:ctrlPr>
            </m:sSupPr>
            <m:e>
              <m:d>
                <m:dPr>
                  <m:ctrlPr>
                    <w:rPr>
                      <w:rStyle w:val="hps"/>
                      <w:rFonts w:ascii="Cambria Math" w:eastAsia="Batang" w:hAnsi="Cambria Math"/>
                      <w:i/>
                    </w:rPr>
                  </m:ctrlPr>
                </m:dPr>
                <m:e>
                  <m:r>
                    <w:rPr>
                      <w:rStyle w:val="hps"/>
                      <w:rFonts w:ascii="Cambria Math" w:eastAsia="Batang" w:hAnsi="Cambria Math"/>
                    </w:rPr>
                    <m:t>p-x</m:t>
                  </m:r>
                </m:e>
              </m:d>
            </m:e>
            <m:sup>
              <m:r>
                <w:rPr>
                  <w:rStyle w:val="hps"/>
                  <w:rFonts w:ascii="Cambria Math" w:eastAsia="Batang" w:hAnsi="Cambria Math"/>
                </w:rPr>
                <m:t>'</m:t>
              </m:r>
            </m:sup>
          </m:sSup>
          <m:r>
            <w:rPr>
              <w:rStyle w:val="hps"/>
              <w:rFonts w:ascii="Cambria Math" w:eastAsia="Batang" w:hAnsi="Cambria Math"/>
            </w:rPr>
            <m:t>Ψ</m:t>
          </m:r>
          <m:d>
            <m:dPr>
              <m:ctrlPr>
                <w:rPr>
                  <w:rStyle w:val="hps"/>
                  <w:rFonts w:ascii="Cambria Math" w:eastAsia="Batang" w:hAnsi="Cambria Math"/>
                  <w:i/>
                </w:rPr>
              </m:ctrlPr>
            </m:dPr>
            <m:e>
              <m:r>
                <w:rPr>
                  <w:rStyle w:val="hps"/>
                  <w:rFonts w:ascii="Cambria Math" w:eastAsia="Batang" w:hAnsi="Cambria Math"/>
                </w:rPr>
                <m:t>p-x</m:t>
              </m:r>
            </m:e>
          </m:d>
          <m:r>
            <w:rPr>
              <w:rStyle w:val="hps"/>
              <w:rFonts w:ascii="Cambria Math" w:eastAsia="Batang" w:hAnsi="Cambria Math"/>
            </w:rPr>
            <m:t>=</m:t>
          </m:r>
        </m:oMath>
      </m:oMathPara>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m:t>
          </m:r>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sSup>
            <m:sSupPr>
              <m:ctrlPr>
                <w:rPr>
                  <w:rStyle w:val="hps"/>
                  <w:rFonts w:ascii="Cambria Math" w:eastAsia="Batang" w:hAnsi="Cambria Math"/>
                  <w:i/>
                </w:rPr>
              </m:ctrlPr>
            </m:sSupPr>
            <m:e>
              <m:r>
                <w:rPr>
                  <w:rStyle w:val="hps"/>
                  <w:rFonts w:ascii="Cambria Math" w:eastAsia="Batang" w:hAnsi="Cambria Math"/>
                </w:rPr>
                <m:t>p</m:t>
              </m:r>
            </m:e>
            <m:sup>
              <m:r>
                <w:rPr>
                  <w:rStyle w:val="hps"/>
                  <w:rFonts w:ascii="Cambria Math" w:eastAsia="Batang" w:hAnsi="Cambria Math"/>
                </w:rPr>
                <m:t>'</m:t>
              </m:r>
            </m:sup>
          </m:sSup>
          <m:r>
            <w:rPr>
              <w:rStyle w:val="hps"/>
              <w:rFonts w:ascii="Cambria Math" w:eastAsia="Batang" w:hAnsi="Cambria Math"/>
            </w:rPr>
            <m:t>Ψp-2</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Ψp+x'Ψx</m:t>
          </m:r>
        </m:oMath>
      </m:oMathPara>
    </w:p>
    <w:p w:rsidR="008C5714" w:rsidRPr="00891E21" w:rsidRDefault="008C5714" w:rsidP="008C5714">
      <w:pPr>
        <w:spacing w:line="360" w:lineRule="auto"/>
        <w:ind w:firstLine="709"/>
        <w:rPr>
          <w:rStyle w:val="hps"/>
          <w:rFonts w:eastAsia="Batang"/>
        </w:rPr>
      </w:pPr>
      <w:r w:rsidRPr="00891E21">
        <w:rPr>
          <w:rStyle w:val="hps"/>
          <w:rFonts w:eastAsia="Batang"/>
        </w:rPr>
        <w:t>Na sequência de</w:t>
      </w:r>
      <w:r w:rsidRPr="00891E21">
        <w:rPr>
          <w:rStyle w:val="apple-converted-space"/>
        </w:rPr>
        <w:t> </w:t>
      </w:r>
      <w:r w:rsidRPr="00891E21">
        <w:rPr>
          <w:rStyle w:val="hps"/>
          <w:rFonts w:eastAsia="Batang"/>
        </w:rPr>
        <w:t>Ellison</w:t>
      </w:r>
      <w:r w:rsidRPr="00891E21">
        <w:rPr>
          <w:rStyle w:val="apple-converted-space"/>
        </w:rPr>
        <w:t> </w:t>
      </w:r>
      <w:r w:rsidRPr="00891E21">
        <w:rPr>
          <w:rStyle w:val="hps"/>
          <w:rFonts w:eastAsia="Batang"/>
        </w:rPr>
        <w:t>e</w:t>
      </w:r>
      <w:r w:rsidRPr="00891E21">
        <w:rPr>
          <w:rStyle w:val="apple-converted-space"/>
        </w:rPr>
        <w:t> </w:t>
      </w:r>
      <w:r w:rsidRPr="00891E21">
        <w:rPr>
          <w:rStyle w:val="hps"/>
          <w:rFonts w:eastAsia="Batang"/>
        </w:rPr>
        <w:t>Glaeser</w:t>
      </w:r>
      <w:r w:rsidRPr="00891E21">
        <w:rPr>
          <w:rStyle w:val="apple-converted-space"/>
        </w:rPr>
        <w:t> </w:t>
      </w:r>
      <w:r w:rsidRPr="00891E21">
        <w:rPr>
          <w:rStyle w:val="hps"/>
          <w:rFonts w:eastAsia="Batang"/>
        </w:rPr>
        <w:t>(1997</w:t>
      </w:r>
      <w:r w:rsidRPr="00891E21">
        <w:rPr>
          <w:rStyle w:val="apple-style-span"/>
        </w:rPr>
        <w:t xml:space="preserve">), assume-se </w:t>
      </w:r>
      <w:r w:rsidRPr="00891E21">
        <w:rPr>
          <w:rStyle w:val="hps"/>
          <w:rFonts w:eastAsia="Batang"/>
        </w:rPr>
        <w:t>que:</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r>
                <w:rPr>
                  <w:rStyle w:val="hps"/>
                  <w:rFonts w:ascii="Cambria Math" w:eastAsia="Batang" w:hAnsi="Cambria Math"/>
                </w:rPr>
                <m:t>p</m:t>
              </m:r>
            </m:e>
          </m:d>
          <m:r>
            <w:rPr>
              <w:rStyle w:val="hps"/>
              <w:rFonts w:ascii="Cambria Math" w:eastAsia="Batang" w:hAnsi="Cambria Math"/>
            </w:rPr>
            <m:t>=x</m:t>
          </m:r>
        </m:oMath>
      </m:oMathPara>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V</m:t>
          </m:r>
          <m:d>
            <m:dPr>
              <m:ctrlPr>
                <w:rPr>
                  <w:rStyle w:val="hps"/>
                  <w:rFonts w:ascii="Cambria Math" w:eastAsia="Batang" w:hAnsi="Cambria Math"/>
                  <w:i/>
                </w:rPr>
              </m:ctrlPr>
            </m:dPr>
            <m:e>
              <m:r>
                <w:rPr>
                  <w:rStyle w:val="hps"/>
                  <w:rFonts w:ascii="Cambria Math" w:eastAsia="Batang" w:hAnsi="Cambria Math"/>
                </w:rPr>
                <m:t>p</m:t>
              </m:r>
            </m:e>
          </m:d>
          <m:r>
            <w:rPr>
              <w:rStyle w:val="hps"/>
              <w:rFonts w:ascii="Cambria Math" w:eastAsia="Batang" w:hAnsi="Cambria Math"/>
            </w:rPr>
            <m:t>=γ[diag</m:t>
          </m:r>
          <m:d>
            <m:dPr>
              <m:ctrlPr>
                <w:rPr>
                  <w:rStyle w:val="hps"/>
                  <w:rFonts w:ascii="Cambria Math" w:eastAsia="Batang" w:hAnsi="Cambria Math"/>
                  <w:i/>
                </w:rPr>
              </m:ctrlPr>
            </m:dPr>
            <m:e>
              <m:r>
                <w:rPr>
                  <w:rStyle w:val="hps"/>
                  <w:rFonts w:ascii="Cambria Math" w:eastAsia="Batang" w:hAnsi="Cambria Math"/>
                </w:rPr>
                <m:t>x</m:t>
              </m:r>
            </m:e>
          </m:d>
          <m:r>
            <w:rPr>
              <w:rStyle w:val="hps"/>
              <w:rFonts w:ascii="Cambria Math" w:eastAsia="Batang" w:hAnsi="Cambria Math"/>
            </w:rPr>
            <m:t>-x</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m:t>
          </m:r>
        </m:oMath>
      </m:oMathPara>
    </w:p>
    <w:p w:rsidR="008C5714" w:rsidRPr="00891E21" w:rsidRDefault="008C5714" w:rsidP="00FF3D6E">
      <w:pPr>
        <w:rPr>
          <w:rStyle w:val="hps"/>
          <w:rFonts w:eastAsia="Batang"/>
        </w:rPr>
      </w:pPr>
      <w:r w:rsidRPr="00891E21">
        <w:rPr>
          <w:rStyle w:val="hps"/>
          <w:rFonts w:eastAsia="Batang"/>
        </w:rPr>
        <w:t xml:space="preserve">Que são necessários para calcular o valor esperado incondicional de </w:t>
      </w:r>
      <m:oMath>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oMath>
      <w:r w:rsidRPr="00891E21">
        <w:rPr>
          <w:rStyle w:val="hps"/>
          <w:rFonts w:eastAsia="Batang"/>
        </w:rPr>
        <w:t>. Utilizando a lei das expectativas esperadas:</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m:t>
          </m:r>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r>
            <w:rPr>
              <w:rStyle w:val="hps"/>
              <w:rFonts w:ascii="Cambria Math" w:eastAsia="Batang" w:hAnsi="Cambria Math"/>
            </w:rPr>
            <m:t>E</m:t>
          </m:r>
          <m:d>
            <m:dPr>
              <m:ctrlPr>
                <w:rPr>
                  <w:rStyle w:val="hps"/>
                  <w:rFonts w:ascii="Cambria Math" w:eastAsia="Batang" w:hAnsi="Cambria Math"/>
                  <w:i/>
                </w:rPr>
              </m:ctrlPr>
            </m:dPr>
            <m:e>
              <m:sSup>
                <m:sSupPr>
                  <m:ctrlPr>
                    <w:rPr>
                      <w:rStyle w:val="hps"/>
                      <w:rFonts w:ascii="Cambria Math" w:eastAsia="Batang" w:hAnsi="Cambria Math"/>
                      <w:i/>
                    </w:rPr>
                  </m:ctrlPr>
                </m:sSupPr>
                <m:e>
                  <m:r>
                    <w:rPr>
                      <w:rStyle w:val="hps"/>
                      <w:rFonts w:ascii="Cambria Math" w:eastAsia="Batang" w:hAnsi="Cambria Math"/>
                    </w:rPr>
                    <m:t>p</m:t>
                  </m:r>
                </m:e>
                <m:sup>
                  <m:r>
                    <w:rPr>
                      <w:rStyle w:val="hps"/>
                      <w:rFonts w:ascii="Cambria Math" w:eastAsia="Batang" w:hAnsi="Cambria Math"/>
                    </w:rPr>
                    <m:t>'</m:t>
                  </m:r>
                </m:sup>
              </m:sSup>
              <m:r>
                <w:rPr>
                  <w:rStyle w:val="hps"/>
                  <w:rFonts w:ascii="Cambria Math" w:eastAsia="Batang" w:hAnsi="Cambria Math"/>
                </w:rPr>
                <m:t>Ψp</m:t>
              </m:r>
            </m:e>
          </m:d>
          <m:r>
            <w:rPr>
              <w:rStyle w:val="hps"/>
              <w:rFonts w:ascii="Cambria Math" w:eastAsia="Batang" w:hAnsi="Cambria Math"/>
            </w:rPr>
            <m:t>-2</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Ψx+x'Ψx</m:t>
          </m:r>
        </m:oMath>
      </m:oMathPara>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sSup>
                <m:sSupPr>
                  <m:ctrlPr>
                    <w:rPr>
                      <w:rStyle w:val="hps"/>
                      <w:rFonts w:ascii="Cambria Math" w:eastAsia="Batang" w:hAnsi="Cambria Math"/>
                      <w:i/>
                    </w:rPr>
                  </m:ctrlPr>
                </m:sSupPr>
                <m:e>
                  <m:r>
                    <w:rPr>
                      <w:rStyle w:val="hps"/>
                      <w:rFonts w:ascii="Cambria Math" w:eastAsia="Batang" w:hAnsi="Cambria Math"/>
                    </w:rPr>
                    <m:t>p</m:t>
                  </m:r>
                </m:e>
                <m:sup>
                  <m:r>
                    <w:rPr>
                      <w:rStyle w:val="hps"/>
                      <w:rFonts w:ascii="Cambria Math" w:eastAsia="Batang" w:hAnsi="Cambria Math"/>
                    </w:rPr>
                    <m:t>'</m:t>
                  </m:r>
                </m:sup>
              </m:sSup>
              <m:r>
                <w:rPr>
                  <w:rStyle w:val="hps"/>
                  <w:rFonts w:ascii="Cambria Math" w:eastAsia="Batang" w:hAnsi="Cambria Math"/>
                </w:rPr>
                <m:t>Ψp</m:t>
              </m:r>
            </m:e>
          </m:d>
          <m:r>
            <w:rPr>
              <w:rStyle w:val="hps"/>
              <w:rFonts w:ascii="Cambria Math" w:eastAsia="Batang" w:hAnsi="Cambria Math"/>
            </w:rPr>
            <m:t>=tr</m:t>
          </m:r>
          <m:d>
            <m:dPr>
              <m:ctrlPr>
                <w:rPr>
                  <w:rStyle w:val="hps"/>
                  <w:rFonts w:ascii="Cambria Math" w:eastAsia="Batang" w:hAnsi="Cambria Math"/>
                  <w:i/>
                </w:rPr>
              </m:ctrlPr>
            </m:dPr>
            <m:e>
              <m:r>
                <w:rPr>
                  <w:rStyle w:val="hps"/>
                  <w:rFonts w:ascii="Cambria Math" w:eastAsia="Batang" w:hAnsi="Cambria Math"/>
                </w:rPr>
                <m:t>ΨV</m:t>
              </m:r>
              <m:d>
                <m:dPr>
                  <m:ctrlPr>
                    <w:rPr>
                      <w:rStyle w:val="hps"/>
                      <w:rFonts w:ascii="Cambria Math" w:eastAsia="Batang" w:hAnsi="Cambria Math"/>
                      <w:i/>
                    </w:rPr>
                  </m:ctrlPr>
                </m:dPr>
                <m:e>
                  <m:r>
                    <w:rPr>
                      <w:rStyle w:val="hps"/>
                      <w:rFonts w:ascii="Cambria Math" w:eastAsia="Batang" w:hAnsi="Cambria Math"/>
                    </w:rPr>
                    <m:t>p</m:t>
                  </m:r>
                </m:e>
              </m:d>
            </m:e>
          </m:d>
          <m:r>
            <w:rPr>
              <w:rStyle w:val="hps"/>
              <w:rFonts w:ascii="Cambria Math" w:eastAsia="Batang" w:hAnsi="Cambria Math"/>
            </w:rPr>
            <m:t>+</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Ψx=γ-γ</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Ψx+x'Ψx</m:t>
          </m:r>
        </m:oMath>
      </m:oMathPara>
    </w:p>
    <w:p w:rsidR="008C5714" w:rsidRPr="00891E21" w:rsidRDefault="008C5714" w:rsidP="008C5714">
      <w:pPr>
        <w:spacing w:line="360" w:lineRule="auto"/>
        <w:rPr>
          <w:rStyle w:val="hps"/>
          <w:rFonts w:eastAsia="Batang"/>
        </w:rPr>
      </w:pPr>
      <w:r w:rsidRPr="00891E21">
        <w:rPr>
          <w:rStyle w:val="hps"/>
          <w:rFonts w:eastAsia="Batang"/>
        </w:rPr>
        <w:t>Pode-se substituir</w:t>
      </w:r>
      <w:r w:rsidRPr="00891E21">
        <w:rPr>
          <w:rStyle w:val="apple-converted-space"/>
        </w:rPr>
        <w:t> </w:t>
      </w:r>
      <m:oMath>
        <m:r>
          <w:rPr>
            <w:rStyle w:val="apple-converted-space"/>
            <w:rFonts w:ascii="Cambria Math" w:hAnsi="Cambria Math"/>
          </w:rPr>
          <m:t>E</m:t>
        </m:r>
        <m:d>
          <m:dPr>
            <m:ctrlPr>
              <w:rPr>
                <w:rStyle w:val="apple-converted-space"/>
                <w:rFonts w:ascii="Cambria Math" w:hAnsi="Cambria Math"/>
                <w:i/>
              </w:rPr>
            </m:ctrlPr>
          </m:dPr>
          <m:e>
            <m:sSup>
              <m:sSupPr>
                <m:ctrlPr>
                  <w:rPr>
                    <w:rStyle w:val="apple-converted-space"/>
                    <w:rFonts w:ascii="Cambria Math" w:hAnsi="Cambria Math"/>
                    <w:i/>
                  </w:rPr>
                </m:ctrlPr>
              </m:sSupPr>
              <m:e>
                <m:r>
                  <w:rPr>
                    <w:rStyle w:val="apple-converted-space"/>
                    <w:rFonts w:ascii="Cambria Math" w:hAnsi="Cambria Math"/>
                  </w:rPr>
                  <m:t>p</m:t>
                </m:r>
              </m:e>
              <m:sup>
                <m:r>
                  <w:rPr>
                    <w:rStyle w:val="apple-converted-space"/>
                    <w:rFonts w:ascii="Cambria Math" w:hAnsi="Cambria Math"/>
                  </w:rPr>
                  <m:t>'</m:t>
                </m:r>
              </m:sup>
            </m:sSup>
            <m:r>
              <w:rPr>
                <w:rStyle w:val="apple-converted-space"/>
                <w:rFonts w:ascii="Cambria Math" w:hAnsi="Cambria Math"/>
              </w:rPr>
              <m:t>Ψp</m:t>
            </m:r>
          </m:e>
        </m:d>
      </m:oMath>
      <w:r w:rsidRPr="00891E21">
        <w:rPr>
          <w:rStyle w:val="apple-converted-space"/>
        </w:rPr>
        <w:t xml:space="preserve"> </w:t>
      </w:r>
      <w:r w:rsidRPr="00891E21">
        <w:rPr>
          <w:rStyle w:val="apple-style-span"/>
        </w:rPr>
        <w:t>para</w:t>
      </w:r>
      <w:r w:rsidRPr="00891E21">
        <w:rPr>
          <w:rStyle w:val="apple-converted-space"/>
        </w:rPr>
        <w:t> </w:t>
      </w:r>
      <w:r w:rsidRPr="00891E21">
        <w:rPr>
          <w:rStyle w:val="hps"/>
          <w:rFonts w:eastAsia="Batang"/>
        </w:rPr>
        <w:t>obter-se:</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+γ</m:t>
          </m:r>
          <m:d>
            <m:dPr>
              <m:begChr m:val="["/>
              <m:endChr m:val="]"/>
              <m:ctrlPr>
                <w:rPr>
                  <w:rStyle w:val="hps"/>
                  <w:rFonts w:ascii="Cambria Math" w:eastAsia="Batang" w:hAnsi="Cambria Math"/>
                  <w:i/>
                </w:rPr>
              </m:ctrlPr>
            </m:dPr>
            <m:e>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r>
                <w:rPr>
                  <w:rStyle w:val="hps"/>
                  <w:rFonts w:ascii="Cambria Math" w:eastAsia="Batang" w:hAnsi="Cambria Math"/>
                </w:rPr>
                <m:t>-</m:t>
              </m:r>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m:t>
              </m:r>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x'Ψx</m:t>
          </m:r>
        </m:oMath>
      </m:oMathPara>
    </w:p>
    <w:p w:rsidR="008C5714" w:rsidRPr="00891E21" w:rsidRDefault="008C5714" w:rsidP="008C5714">
      <w:pPr>
        <w:spacing w:line="360" w:lineRule="auto"/>
        <w:rPr>
          <w:rStyle w:val="hps"/>
          <w:rFonts w:eastAsia="Batang"/>
        </w:rPr>
      </w:pPr>
      <w:r w:rsidRPr="00891E21">
        <w:rPr>
          <w:rStyle w:val="hps"/>
          <w:rFonts w:eastAsia="Batang"/>
        </w:rPr>
        <w:t>Resolvendo</w:t>
      </w:r>
      <w:r w:rsidRPr="00891E21">
        <w:rPr>
          <w:rStyle w:val="apple-converted-space"/>
        </w:rPr>
        <w:t> </w:t>
      </w:r>
      <w:r w:rsidRPr="00891E21">
        <w:rPr>
          <w:rStyle w:val="hps"/>
          <w:rFonts w:eastAsia="Batang"/>
        </w:rPr>
        <w:t xml:space="preserve">para </w:t>
      </w:r>
      <m:oMath>
        <m:r>
          <w:rPr>
            <w:rStyle w:val="hps"/>
            <w:rFonts w:ascii="Cambria Math" w:eastAsia="Batang" w:hAnsi="Cambria Math"/>
          </w:rPr>
          <m:t>γ</m:t>
        </m:r>
      </m:oMath>
      <w:r w:rsidRPr="00891E21">
        <w:rPr>
          <w:rStyle w:val="hps"/>
          <w:rFonts w:eastAsia="Batang"/>
        </w:rPr>
        <w:t xml:space="preserve"> e a substituição de </w:t>
      </w:r>
      <m:oMath>
        <m:r>
          <w:rPr>
            <w:rStyle w:val="hps"/>
            <w:rFonts w:ascii="Cambria Math" w:eastAsia="Batang" w:hAnsi="Cambria Math"/>
          </w:rPr>
          <m:t>E</m:t>
        </m:r>
        <m:d>
          <m:dPr>
            <m:ctrlPr>
              <w:rPr>
                <w:rStyle w:val="hps"/>
                <w:rFonts w:ascii="Cambria Math" w:eastAsia="Batang" w:hAnsi="Cambria Math"/>
                <w:i/>
              </w:rPr>
            </m:ctrlPr>
          </m:dPr>
          <m:e>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e>
        </m:d>
      </m:oMath>
      <w:r w:rsidRPr="00891E21">
        <w:rPr>
          <w:rStyle w:val="hps"/>
          <w:rFonts w:eastAsia="Batang"/>
        </w:rPr>
        <w:t xml:space="preserve"> pelo seu valor real, </w:t>
      </w:r>
      <m:oMath>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oMath>
      <w:r w:rsidRPr="00891E21">
        <w:rPr>
          <w:rStyle w:val="hps"/>
          <w:rFonts w:eastAsia="Batang"/>
        </w:rPr>
        <w:t>:</w:t>
      </w:r>
    </w:p>
    <w:p w:rsidR="008C5714" w:rsidRPr="00891E21" w:rsidRDefault="00D2730E" w:rsidP="008C5714">
      <w:pPr>
        <w:spacing w:line="360" w:lineRule="auto"/>
        <w:jc w:val="center"/>
        <w:rPr>
          <w:rStyle w:val="hps"/>
          <w:rFonts w:eastAsia="Batang"/>
        </w:rPr>
      </w:pPr>
      <m:oMathPara>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Sub>
          <m:r>
            <w:rPr>
              <w:rStyle w:val="hps"/>
              <w:rFonts w:ascii="Cambria Math" w:eastAsia="Batang" w:hAnsi="Cambria Math"/>
            </w:rPr>
            <m:t>=</m:t>
          </m:r>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m:t>
              </m:r>
            </m:num>
            <m:den>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
                <m:dPr>
                  <m:ctrlPr>
                    <w:rPr>
                      <w:rStyle w:val="hps"/>
                      <w:rFonts w:ascii="Cambria Math" w:eastAsia="Batang" w:hAnsi="Cambria Math"/>
                      <w:i/>
                    </w:rPr>
                  </m:ctrlPr>
                </m:dPr>
                <m:e>
                  <m:r>
                    <w:rPr>
                      <w:rStyle w:val="hps"/>
                      <w:rFonts w:ascii="Cambria Math" w:eastAsia="Batang" w:hAnsi="Cambria Math"/>
                    </w:rPr>
                    <m:t>1-x'Ψx</m:t>
                  </m:r>
                </m:e>
              </m:d>
            </m:den>
          </m:f>
        </m:oMath>
      </m:oMathPara>
    </w:p>
    <w:p w:rsidR="008C5714" w:rsidRPr="00891E21" w:rsidRDefault="008C5714" w:rsidP="00FF3D6E">
      <w:pPr>
        <w:ind w:firstLine="709"/>
        <w:rPr>
          <w:rStyle w:val="hps"/>
          <w:rFonts w:eastAsia="Batang"/>
        </w:rPr>
      </w:pPr>
      <w:r w:rsidRPr="00891E21">
        <w:rPr>
          <w:rStyle w:val="hps"/>
          <w:rFonts w:eastAsia="Batang"/>
        </w:rPr>
        <w:t xml:space="preserve">Também, é importante pensar que, se </w:t>
      </w:r>
      <m:oMath>
        <m:sSub>
          <m:sSubPr>
            <m:ctrlPr>
              <w:rPr>
                <w:rStyle w:val="apple-converted-space"/>
                <w:rFonts w:ascii="Cambria Math" w:hAnsi="Cambria Math"/>
                <w:i/>
              </w:rPr>
            </m:ctrlPr>
          </m:sSubPr>
          <m:e>
            <m:r>
              <w:rPr>
                <w:rStyle w:val="apple-converted-space"/>
                <w:rFonts w:ascii="Cambria Math" w:hAnsi="Cambria Math"/>
              </w:rPr>
              <m:t>H</m:t>
            </m:r>
          </m:e>
          <m:sub>
            <m:r>
              <w:rPr>
                <w:rStyle w:val="apple-converted-space"/>
                <w:rFonts w:ascii="Cambria Math" w:hAnsi="Cambria Math"/>
              </w:rPr>
              <m:t>I</m:t>
            </m:r>
          </m:sub>
        </m:sSub>
        <m:r>
          <w:rPr>
            <w:rStyle w:val="apple-converted-space"/>
            <w:rFonts w:ascii="Cambria Math" w:hAnsi="Cambria Math"/>
          </w:rPr>
          <m:t>=</m:t>
        </m:r>
        <m:f>
          <m:fPr>
            <m:ctrlPr>
              <w:rPr>
                <w:rStyle w:val="apple-converted-space"/>
                <w:rFonts w:ascii="Cambria Math" w:hAnsi="Cambria Math"/>
                <w:i/>
              </w:rPr>
            </m:ctrlPr>
          </m:fPr>
          <m:num>
            <m:r>
              <w:rPr>
                <w:rStyle w:val="apple-converted-space"/>
                <w:rFonts w:ascii="Cambria Math" w:hAnsi="Cambria Math"/>
              </w:rPr>
              <m:t>1</m:t>
            </m:r>
          </m:num>
          <m:den>
            <m:r>
              <w:rPr>
                <w:rStyle w:val="apple-converted-space"/>
                <w:rFonts w:ascii="Cambria Math" w:hAnsi="Cambria Math"/>
              </w:rPr>
              <m:t>N</m:t>
            </m:r>
          </m:den>
        </m:f>
      </m:oMath>
      <w:r w:rsidRPr="00891E21">
        <w:rPr>
          <w:rStyle w:val="apple-converted-space"/>
        </w:rPr>
        <w:t xml:space="preserve">, obtém-se uma versão espacialmente ponderada do caso específico do “Índice de </w:t>
      </w:r>
      <w:r w:rsidRPr="00891E21">
        <w:rPr>
          <w:rStyle w:val="apple-converted-space"/>
          <w:i/>
        </w:rPr>
        <w:t>EG</w:t>
      </w:r>
      <w:r w:rsidRPr="00891E21">
        <w:rPr>
          <w:rStyle w:val="apple-converted-space"/>
        </w:rPr>
        <w:t xml:space="preserve"> para a contagem de plantas” derivados por Maurel e Sedillot (1999) e Guimarães </w:t>
      </w:r>
      <w:proofErr w:type="gramStart"/>
      <w:r w:rsidRPr="0061017C">
        <w:rPr>
          <w:rStyle w:val="apple-converted-space"/>
        </w:rPr>
        <w:t>et</w:t>
      </w:r>
      <w:proofErr w:type="gramEnd"/>
      <w:r w:rsidRPr="00891E21">
        <w:rPr>
          <w:rStyle w:val="apple-converted-space"/>
          <w:i/>
        </w:rPr>
        <w:t xml:space="preserve"> al.</w:t>
      </w:r>
      <w:r w:rsidRPr="00891E21">
        <w:rPr>
          <w:rStyle w:val="apple-converted-space"/>
        </w:rPr>
        <w:t xml:space="preserve"> (2007):</w:t>
      </w:r>
    </w:p>
    <w:p w:rsidR="008C5714" w:rsidRPr="00891E21" w:rsidRDefault="00D2730E" w:rsidP="008C5714">
      <w:pPr>
        <w:spacing w:line="360" w:lineRule="auto"/>
        <w:jc w:val="center"/>
        <w:rPr>
          <w:rStyle w:val="apple-style-span"/>
        </w:rPr>
      </w:pPr>
      <m:oMathPara>
        <m:oMath>
          <m:sSub>
            <m:sSubPr>
              <m:ctrlPr>
                <w:rPr>
                  <w:rStyle w:val="apple-style-span"/>
                  <w:rFonts w:ascii="Cambria Math" w:hAnsi="Cambria Math"/>
                  <w:i/>
                </w:rPr>
              </m:ctrlPr>
            </m:sSubPr>
            <m:e>
              <m:acc>
                <m:accPr>
                  <m:ctrlPr>
                    <w:rPr>
                      <w:rStyle w:val="apple-style-span"/>
                      <w:rFonts w:ascii="Cambria Math" w:hAnsi="Cambria Math"/>
                      <w:i/>
                    </w:rPr>
                  </m:ctrlPr>
                </m:accPr>
                <m:e>
                  <m:r>
                    <w:rPr>
                      <w:rStyle w:val="apple-style-span"/>
                      <w:rFonts w:ascii="Cambria Math" w:hAnsi="Cambria Math"/>
                    </w:rPr>
                    <m:t>γ</m:t>
                  </m:r>
                </m:e>
              </m:acc>
            </m:e>
            <m:sub>
              <m:r>
                <w:rPr>
                  <w:rStyle w:val="apple-style-span"/>
                  <w:rFonts w:ascii="Cambria Math" w:hAnsi="Cambria Math"/>
                </w:rPr>
                <m:t>s</m:t>
              </m:r>
            </m:sub>
          </m:sSub>
          <m:r>
            <w:rPr>
              <w:rStyle w:val="apple-style-span"/>
              <w:rFonts w:ascii="Cambria Math" w:hAnsi="Cambria Math"/>
            </w:rPr>
            <m:t>=</m:t>
          </m:r>
          <m:f>
            <m:fPr>
              <m:ctrlPr>
                <w:rPr>
                  <w:rStyle w:val="apple-style-span"/>
                  <w:rFonts w:ascii="Cambria Math" w:hAnsi="Cambria Math"/>
                  <w:i/>
                </w:rPr>
              </m:ctrlPr>
            </m:fPr>
            <m:num>
              <m:r>
                <w:rPr>
                  <w:rStyle w:val="apple-style-span"/>
                  <w:rFonts w:ascii="Cambria Math" w:hAnsi="Cambria Math"/>
                </w:rPr>
                <m:t>N</m:t>
              </m:r>
              <m:sSub>
                <m:sSubPr>
                  <m:ctrlPr>
                    <w:rPr>
                      <w:rStyle w:val="apple-style-span"/>
                      <w:rFonts w:ascii="Cambria Math" w:hAnsi="Cambria Math"/>
                      <w:i/>
                    </w:rPr>
                  </m:ctrlPr>
                </m:sSubPr>
                <m:e>
                  <m:r>
                    <w:rPr>
                      <w:rStyle w:val="apple-style-span"/>
                      <w:rFonts w:ascii="Cambria Math" w:hAnsi="Cambria Math"/>
                    </w:rPr>
                    <m:t>G</m:t>
                  </m:r>
                </m:e>
                <m:sub>
                  <m:r>
                    <w:rPr>
                      <w:rStyle w:val="apple-style-span"/>
                      <w:rFonts w:ascii="Cambria Math" w:hAnsi="Cambria Math"/>
                    </w:rPr>
                    <m:t>s</m:t>
                  </m:r>
                </m:sub>
              </m:sSub>
              <m:r>
                <w:rPr>
                  <w:rStyle w:val="apple-style-span"/>
                  <w:rFonts w:ascii="Cambria Math" w:hAnsi="Cambria Math"/>
                </w:rPr>
                <m:t>-(1-</m:t>
              </m:r>
              <m:sSup>
                <m:sSupPr>
                  <m:ctrlPr>
                    <w:rPr>
                      <w:rStyle w:val="apple-style-span"/>
                      <w:rFonts w:ascii="Cambria Math" w:hAnsi="Cambria Math"/>
                      <w:i/>
                    </w:rPr>
                  </m:ctrlPr>
                </m:sSupPr>
                <m:e>
                  <m:r>
                    <w:rPr>
                      <w:rStyle w:val="apple-style-span"/>
                      <w:rFonts w:ascii="Cambria Math" w:hAnsi="Cambria Math"/>
                    </w:rPr>
                    <m:t>x</m:t>
                  </m:r>
                </m:e>
                <m:sup>
                  <m:r>
                    <w:rPr>
                      <w:rStyle w:val="apple-style-span"/>
                      <w:rFonts w:ascii="Cambria Math" w:hAnsi="Cambria Math"/>
                    </w:rPr>
                    <m:t>'</m:t>
                  </m:r>
                </m:sup>
              </m:sSup>
              <m:r>
                <w:rPr>
                  <w:rStyle w:val="apple-style-span"/>
                  <w:rFonts w:ascii="Cambria Math" w:hAnsi="Cambria Math"/>
                </w:rPr>
                <m:t>Ψx)</m:t>
              </m:r>
            </m:num>
            <m:den>
              <m:d>
                <m:dPr>
                  <m:ctrlPr>
                    <w:rPr>
                      <w:rStyle w:val="apple-style-span"/>
                      <w:rFonts w:ascii="Cambria Math" w:hAnsi="Cambria Math"/>
                      <w:i/>
                    </w:rPr>
                  </m:ctrlPr>
                </m:dPr>
                <m:e>
                  <m:r>
                    <w:rPr>
                      <w:rStyle w:val="apple-style-span"/>
                      <w:rFonts w:ascii="Cambria Math" w:hAnsi="Cambria Math"/>
                    </w:rPr>
                    <m:t>N-1</m:t>
                  </m:r>
                </m:e>
              </m:d>
              <m:d>
                <m:dPr>
                  <m:ctrlPr>
                    <w:rPr>
                      <w:rStyle w:val="apple-style-span"/>
                      <w:rFonts w:ascii="Cambria Math" w:hAnsi="Cambria Math"/>
                      <w:i/>
                    </w:rPr>
                  </m:ctrlPr>
                </m:dPr>
                <m:e>
                  <m:r>
                    <w:rPr>
                      <w:rStyle w:val="apple-style-span"/>
                      <w:rFonts w:ascii="Cambria Math" w:hAnsi="Cambria Math"/>
                    </w:rPr>
                    <m:t>1-x'Ψx</m:t>
                  </m:r>
                </m:e>
              </m:d>
            </m:den>
          </m:f>
        </m:oMath>
      </m:oMathPara>
    </w:p>
    <w:p w:rsidR="008C5714" w:rsidRPr="00891E21" w:rsidRDefault="008C5714" w:rsidP="008C5714">
      <w:pPr>
        <w:spacing w:line="360" w:lineRule="auto"/>
      </w:pPr>
    </w:p>
    <w:p w:rsidR="008C5714" w:rsidRPr="00891E21" w:rsidRDefault="008C5714" w:rsidP="008C5714">
      <w:pPr>
        <w:spacing w:line="360" w:lineRule="auto"/>
        <w:rPr>
          <w:rStyle w:val="hps"/>
          <w:rFonts w:eastAsia="Batang"/>
        </w:rPr>
      </w:pPr>
    </w:p>
    <w:p w:rsidR="008C5714" w:rsidRPr="00891E21" w:rsidRDefault="008C5714" w:rsidP="008C5714">
      <w:pPr>
        <w:spacing w:line="360" w:lineRule="auto"/>
        <w:rPr>
          <w:rStyle w:val="hps"/>
          <w:rFonts w:eastAsia="Batang"/>
        </w:rPr>
      </w:pPr>
      <w:r>
        <w:rPr>
          <w:rStyle w:val="apple-style-span"/>
        </w:rPr>
        <w:t>B</w:t>
      </w:r>
      <w:r w:rsidRPr="00891E21">
        <w:rPr>
          <w:rStyle w:val="apple-style-span"/>
        </w:rPr>
        <w:t>.</w:t>
      </w:r>
      <w:r w:rsidRPr="00891E21">
        <w:rPr>
          <w:rStyle w:val="apple-converted-space"/>
        </w:rPr>
        <w:t> </w:t>
      </w:r>
      <w:r w:rsidRPr="00891E21">
        <w:rPr>
          <w:rStyle w:val="hps"/>
          <w:rFonts w:eastAsia="Batang"/>
        </w:rPr>
        <w:t>DETERMINAÇÃO</w:t>
      </w:r>
      <w:r w:rsidRPr="00891E21">
        <w:rPr>
          <w:rStyle w:val="apple-converted-space"/>
        </w:rPr>
        <w:t> </w:t>
      </w:r>
      <w:r w:rsidRPr="00891E21">
        <w:rPr>
          <w:rStyle w:val="hps"/>
          <w:rFonts w:eastAsia="Batang"/>
        </w:rPr>
        <w:t>DA RELAÇÃO</w:t>
      </w:r>
      <w:r w:rsidRPr="00891E21">
        <w:rPr>
          <w:rStyle w:val="apple-converted-space"/>
        </w:rPr>
        <w:t> </w:t>
      </w:r>
      <w:r w:rsidRPr="00891E21">
        <w:rPr>
          <w:rStyle w:val="hps"/>
          <w:rFonts w:eastAsia="Batang"/>
        </w:rPr>
        <w:t xml:space="preserve">ENTRE </w:t>
      </w:r>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Sub>
      </m:oMath>
      <w:r w:rsidRPr="00891E21">
        <w:rPr>
          <w:rStyle w:val="hps"/>
          <w:rFonts w:eastAsia="Batang"/>
        </w:rPr>
        <w:t xml:space="preserve">, </w:t>
      </w:r>
      <m:oMath>
        <m:acc>
          <m:accPr>
            <m:ctrlPr>
              <w:rPr>
                <w:rStyle w:val="hps"/>
                <w:rFonts w:ascii="Cambria Math" w:eastAsia="Batang" w:hAnsi="Cambria Math"/>
                <w:i/>
              </w:rPr>
            </m:ctrlPr>
          </m:accPr>
          <m:e>
            <m:r>
              <w:rPr>
                <w:rStyle w:val="hps"/>
                <w:rFonts w:ascii="Cambria Math" w:eastAsia="Batang" w:hAnsi="Cambria Math"/>
              </w:rPr>
              <m:t>γ</m:t>
            </m:r>
          </m:e>
        </m:acc>
      </m:oMath>
      <w:r w:rsidRPr="00891E21">
        <w:rPr>
          <w:rStyle w:val="hps"/>
          <w:rFonts w:eastAsia="Batang"/>
        </w:rPr>
        <w:t xml:space="preserve">e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oMath>
    </w:p>
    <w:p w:rsidR="008C5714" w:rsidRPr="00891E21" w:rsidRDefault="008C5714" w:rsidP="008C5714">
      <w:pPr>
        <w:spacing w:line="360" w:lineRule="auto"/>
        <w:ind w:firstLine="709"/>
        <w:rPr>
          <w:rStyle w:val="hps"/>
          <w:rFonts w:eastAsia="Batang"/>
        </w:rPr>
      </w:pPr>
      <w:r w:rsidRPr="00891E21">
        <w:t xml:space="preserve">De acordo com Guimarães </w:t>
      </w:r>
      <w:proofErr w:type="gramStart"/>
      <w:r w:rsidRPr="0061017C">
        <w:t>et</w:t>
      </w:r>
      <w:proofErr w:type="gramEnd"/>
      <w:r w:rsidRPr="00891E21">
        <w:rPr>
          <w:i/>
        </w:rPr>
        <w:t xml:space="preserve"> al.</w:t>
      </w:r>
      <w:r w:rsidRPr="00891E21">
        <w:t xml:space="preserve"> (2011), r</w:t>
      </w:r>
      <w:r w:rsidRPr="00891E21">
        <w:rPr>
          <w:rStyle w:val="hps"/>
          <w:rFonts w:eastAsia="Batang"/>
        </w:rPr>
        <w:t xml:space="preserve">eescrevendo </w:t>
      </w:r>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Sub>
      </m:oMath>
      <w:r w:rsidRPr="00891E21">
        <w:rPr>
          <w:rStyle w:val="hps"/>
          <w:rFonts w:eastAsia="Batang"/>
        </w:rPr>
        <w:t xml:space="preserve"> como:</w:t>
      </w:r>
    </w:p>
    <w:p w:rsidR="008C5714" w:rsidRPr="00891E21" w:rsidRDefault="00D2730E" w:rsidP="008C5714">
      <w:pPr>
        <w:spacing w:line="360" w:lineRule="auto"/>
        <w:rPr>
          <w:rStyle w:val="hps"/>
          <w:rFonts w:eastAsia="Batang"/>
        </w:rPr>
      </w:pPr>
      <m:oMathPara>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Sub>
          <m:r>
            <w:rPr>
              <w:rStyle w:val="hps"/>
              <w:rFonts w:ascii="Cambria Math" w:eastAsia="Batang" w:hAnsi="Cambria Math"/>
            </w:rPr>
            <m:t>=</m:t>
          </m:r>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num>
            <m:den>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
                <m:dPr>
                  <m:ctrlPr>
                    <w:rPr>
                      <w:rStyle w:val="hps"/>
                      <w:rFonts w:ascii="Cambria Math" w:eastAsia="Batang" w:hAnsi="Cambria Math"/>
                      <w:i/>
                    </w:rPr>
                  </m:ctrlPr>
                </m:dPr>
                <m:e>
                  <m:r>
                    <w:rPr>
                      <w:rStyle w:val="hps"/>
                      <w:rFonts w:ascii="Cambria Math" w:eastAsia="Batang" w:hAnsi="Cambria Math"/>
                    </w:rPr>
                    <m:t>1-x'Ψx</m:t>
                  </m:r>
                </m:e>
              </m:d>
            </m:den>
          </m:f>
          <m:r>
            <w:rPr>
              <w:rStyle w:val="hps"/>
              <w:rFonts w:ascii="Cambria Math" w:eastAsia="Batang" w:hAnsi="Cambria Math"/>
            </w:rPr>
            <m:t>-</m:t>
          </m:r>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num>
            <m:den>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en>
          </m:f>
        </m:oMath>
      </m:oMathPara>
    </w:p>
    <w:p w:rsidR="008C5714" w:rsidRPr="00891E21" w:rsidRDefault="008C5714" w:rsidP="008C5714">
      <w:pPr>
        <w:spacing w:line="360" w:lineRule="auto"/>
        <w:rPr>
          <w:rStyle w:val="hps"/>
          <w:rFonts w:eastAsia="Batang"/>
        </w:rPr>
      </w:pPr>
      <w:r w:rsidRPr="00891E21">
        <w:rPr>
          <w:rStyle w:val="hps"/>
          <w:rFonts w:eastAsia="Batang"/>
        </w:rPr>
        <w:t>E</w:t>
      </w:r>
      <w:r w:rsidRPr="00891E21">
        <w:rPr>
          <w:rStyle w:val="apple-converted-space"/>
        </w:rPr>
        <w:t> </w:t>
      </w:r>
      <w:r w:rsidRPr="00891E21">
        <w:rPr>
          <w:rStyle w:val="hps"/>
          <w:rFonts w:eastAsia="Batang"/>
        </w:rPr>
        <w:t>definir</w:t>
      </w:r>
      <w:r w:rsidRPr="00891E21">
        <w:rPr>
          <w:rStyle w:val="apple-converted-space"/>
        </w:rPr>
        <w:t> </w:t>
      </w:r>
      <w:r w:rsidRPr="00891E21">
        <w:rPr>
          <w:rStyle w:val="hps"/>
          <w:rFonts w:eastAsia="Batang"/>
        </w:rPr>
        <w:t>como</w:t>
      </w:r>
      <w:r w:rsidRPr="00891E21">
        <w:rPr>
          <w:rStyle w:val="apple-converted-space"/>
        </w:rPr>
        <w:t> </w:t>
      </w:r>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oMath>
      <w:r w:rsidRPr="00891E21">
        <w:rPr>
          <w:rStyle w:val="hps"/>
          <w:rFonts w:eastAsia="Batang"/>
        </w:rPr>
        <w:t xml:space="preserve"> e </w:t>
      </w:r>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Sub>
        <m:r>
          <w:rPr>
            <w:rStyle w:val="hps"/>
            <w:rFonts w:ascii="Cambria Math" w:eastAsia="Batang" w:hAnsi="Cambria Math"/>
          </w:rPr>
          <m:t>+</m:t>
        </m:r>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num>
          <m:den>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en>
        </m:f>
      </m:oMath>
      <w:r w:rsidRPr="00891E21">
        <w:rPr>
          <w:rStyle w:val="hps"/>
          <w:rFonts w:eastAsia="Batang"/>
        </w:rPr>
        <w:t>.</w:t>
      </w:r>
      <w:r w:rsidRPr="00891E21">
        <w:rPr>
          <w:rStyle w:val="apple-converted-space"/>
        </w:rPr>
        <w:t> </w:t>
      </w:r>
      <w:r w:rsidRPr="00891E21">
        <w:rPr>
          <w:rStyle w:val="hps"/>
          <w:rFonts w:eastAsia="Batang"/>
        </w:rPr>
        <w:t>Isso</w:t>
      </w:r>
      <w:r w:rsidRPr="00891E21">
        <w:rPr>
          <w:rStyle w:val="apple-converted-space"/>
        </w:rPr>
        <w:t> </w:t>
      </w:r>
      <w:r w:rsidRPr="00891E21">
        <w:rPr>
          <w:rStyle w:val="hps"/>
          <w:rFonts w:eastAsia="Batang"/>
        </w:rPr>
        <w:t>significa</w:t>
      </w:r>
      <w:r w:rsidRPr="00891E21">
        <w:rPr>
          <w:rStyle w:val="apple-converted-space"/>
        </w:rPr>
        <w:t> </w:t>
      </w:r>
      <w:r w:rsidRPr="00891E21">
        <w:rPr>
          <w:rStyle w:val="hps"/>
          <w:rFonts w:eastAsia="Batang"/>
        </w:rPr>
        <w:t xml:space="preserve">que </w:t>
      </w:r>
      <w:proofErr w:type="gramStart"/>
      <w:r w:rsidRPr="00891E21">
        <w:rPr>
          <w:rStyle w:val="hps"/>
          <w:rFonts w:eastAsia="Batang"/>
        </w:rPr>
        <w:t>pode-se</w:t>
      </w:r>
      <w:proofErr w:type="gramEnd"/>
      <w:r w:rsidRPr="00891E21">
        <w:rPr>
          <w:rStyle w:val="hps"/>
          <w:rFonts w:eastAsia="Batang"/>
        </w:rPr>
        <w:t xml:space="preserve"> expressar</w:t>
      </w:r>
      <w:r w:rsidRPr="00891E21">
        <w:rPr>
          <w:rStyle w:val="apple-converted-space"/>
        </w:rPr>
        <w:t> </w:t>
      </w:r>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r>
          <w:rPr>
            <w:rStyle w:val="hps"/>
            <w:rFonts w:ascii="Cambria Math" w:eastAsia="Batang" w:hAnsi="Cambria Math"/>
          </w:rPr>
          <m:t xml:space="preserve"> </m:t>
        </m:r>
      </m:oMath>
      <w:r w:rsidRPr="00891E21">
        <w:rPr>
          <w:rStyle w:val="hps"/>
          <w:rFonts w:eastAsia="Batang"/>
        </w:rPr>
        <w:t>como</w:t>
      </w:r>
      <w:r w:rsidRPr="00891E21">
        <w:rPr>
          <w:rStyle w:val="apple-converted-space"/>
        </w:rPr>
        <w:t>:</w:t>
      </w:r>
    </w:p>
    <w:p w:rsidR="008C5714" w:rsidRPr="00891E21" w:rsidRDefault="00D2730E" w:rsidP="008C5714">
      <w:pPr>
        <w:spacing w:line="360" w:lineRule="auto"/>
        <w:ind w:firstLine="709"/>
        <w:rPr>
          <w:rStyle w:val="hps"/>
          <w:rFonts w:eastAsia="Batang"/>
        </w:rPr>
      </w:pPr>
      <m:oMathPara>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G+</m:t>
              </m:r>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G</m:t>
              </m:r>
            </m:num>
            <m:den>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m:t>
              </m:r>
            </m:den>
          </m:f>
        </m:oMath>
      </m:oMathPara>
    </w:p>
    <w:p w:rsidR="008C5714" w:rsidRPr="00891E21" w:rsidRDefault="008C5714" w:rsidP="00FF3D6E">
      <w:pPr>
        <w:jc w:val="left"/>
        <w:rPr>
          <w:lang w:val="pt-PT"/>
        </w:rPr>
      </w:pPr>
      <w:r w:rsidRPr="00891E21">
        <w:rPr>
          <w:lang w:val="pt-PT"/>
        </w:rPr>
        <w:t xml:space="preserve">Onde </w:t>
      </w:r>
      <w:proofErr w:type="gramStart"/>
      <w:r w:rsidRPr="00891E21">
        <w:rPr>
          <w:lang w:val="pt-PT"/>
        </w:rPr>
        <w:t>faz-se</w:t>
      </w:r>
      <w:proofErr w:type="gramEnd"/>
      <w:r w:rsidRPr="00891E21">
        <w:rPr>
          <w:lang w:val="pt-PT"/>
        </w:rPr>
        <w:t xml:space="preserve"> o uso da relação de equivalência</w:t>
      </w:r>
      <w:r w:rsidR="00FF3D6E">
        <w:rPr>
          <w:lang w:val="pt-PT"/>
        </w:rPr>
        <w:t xml:space="preserve">, multiplica-se o numerador e o </w:t>
      </w:r>
      <w:r w:rsidRPr="00891E21">
        <w:rPr>
          <w:lang w:val="pt-PT"/>
        </w:rPr>
        <w:t xml:space="preserve">denominador por </w:t>
      </w:r>
      <m:oMath>
        <m:r>
          <w:rPr>
            <w:rFonts w:ascii="Cambria Math" w:hAnsi="Cambria Math"/>
            <w:lang w:val="pt-PT"/>
          </w:rPr>
          <m:t>(1-</m:t>
        </m:r>
        <m:sSup>
          <m:sSupPr>
            <m:ctrlPr>
              <w:rPr>
                <w:rFonts w:ascii="Cambria Math" w:hAnsi="Cambria Math"/>
                <w:i/>
                <w:lang w:val="pt-PT"/>
              </w:rPr>
            </m:ctrlPr>
          </m:sSupPr>
          <m:e>
            <m:r>
              <w:rPr>
                <w:rFonts w:ascii="Cambria Math" w:hAnsi="Cambria Math"/>
                <w:lang w:val="pt-PT"/>
              </w:rPr>
              <m:t>x</m:t>
            </m:r>
          </m:e>
          <m:sup>
            <m:r>
              <w:rPr>
                <w:rFonts w:ascii="Cambria Math" w:hAnsi="Cambria Math"/>
                <w:lang w:val="pt-PT"/>
              </w:rPr>
              <m:t>'</m:t>
            </m:r>
          </m:sup>
        </m:sSup>
        <m:r>
          <w:rPr>
            <w:rFonts w:ascii="Cambria Math" w:hAnsi="Cambria Math"/>
            <w:lang w:val="pt-PT"/>
          </w:rPr>
          <m:t>x)</m:t>
        </m:r>
      </m:oMath>
      <w:r w:rsidRPr="00891E21">
        <w:rPr>
          <w:lang w:val="pt-PT"/>
        </w:rPr>
        <w:t xml:space="preserve"> e deixa-se </w:t>
      </w:r>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m:t>
            </m:r>
          </m:sub>
        </m:sSub>
      </m:oMath>
      <w:r w:rsidRPr="00891E21">
        <w:rPr>
          <w:rStyle w:val="hps"/>
          <w:rFonts w:eastAsia="Batang"/>
        </w:rPr>
        <w:t xml:space="preserve"> em contrapartida para </w:t>
      </w:r>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oMath>
      <w:r w:rsidRPr="00891E21">
        <w:rPr>
          <w:rStyle w:val="hps"/>
          <w:rFonts w:eastAsia="Batang"/>
        </w:rPr>
        <w:t>:</w:t>
      </w:r>
    </w:p>
    <w:p w:rsidR="008C5714" w:rsidRPr="00891E21" w:rsidRDefault="00D2730E" w:rsidP="008C5714">
      <w:pPr>
        <w:spacing w:line="360" w:lineRule="auto"/>
        <w:ind w:firstLine="709"/>
        <w:rPr>
          <w:rStyle w:val="hps"/>
          <w:rFonts w:eastAsia="Batang"/>
        </w:rPr>
      </w:pPr>
      <m:oMathPara>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G(1-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num>
            <m:den>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den>
          </m:f>
          <m:r>
            <w:rPr>
              <w:rStyle w:val="hps"/>
              <w:rFonts w:ascii="Cambria Math" w:eastAsia="Batang" w:hAnsi="Cambria Math"/>
            </w:rPr>
            <m:t>+</m:t>
          </m:r>
          <m:f>
            <m:fPr>
              <m:ctrlPr>
                <w:rPr>
                  <w:rStyle w:val="hps"/>
                  <w:rFonts w:ascii="Cambria Math" w:eastAsia="Batang" w:hAnsi="Cambria Math"/>
                  <w:i/>
                </w:rPr>
              </m:ctrlPr>
            </m:fPr>
            <m:num>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G(1-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num>
            <m:den>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den>
          </m:f>
          <m:r>
            <w:rPr>
              <w:rStyle w:val="hps"/>
              <w:rFonts w:ascii="Cambria Math" w:eastAsia="Batang" w:hAnsi="Cambria Math"/>
            </w:rPr>
            <m:t>=</m:t>
          </m:r>
        </m:oMath>
      </m:oMathPara>
    </w:p>
    <w:p w:rsidR="008C5714" w:rsidRPr="00891E21" w:rsidRDefault="008C5714" w:rsidP="008C5714">
      <w:pPr>
        <w:spacing w:line="360" w:lineRule="auto"/>
        <w:ind w:firstLine="709"/>
        <w:rPr>
          <w:rStyle w:val="hps"/>
          <w:rFonts w:eastAsia="Batang"/>
        </w:rPr>
      </w:pPr>
      <m:oMathPara>
        <m:oMath>
          <m:r>
            <w:rPr>
              <w:rStyle w:val="hps"/>
              <w:rFonts w:ascii="Cambria Math" w:eastAsia="Batang" w:hAnsi="Cambria Math"/>
            </w:rPr>
            <m:t>=</m:t>
          </m:r>
          <m:d>
            <m:dPr>
              <m:ctrlPr>
                <w:rPr>
                  <w:rStyle w:val="hps"/>
                  <w:rFonts w:ascii="Cambria Math" w:eastAsia="Batang" w:hAnsi="Cambria Math"/>
                  <w:i/>
                </w:rPr>
              </m:ctrlPr>
            </m:dPr>
            <m:e>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m:t>
                  </m:r>
                </m:sub>
              </m:sSub>
              <m:r>
                <w:rPr>
                  <w:rStyle w:val="hps"/>
                  <w:rFonts w:ascii="Cambria Math" w:eastAsia="Batang" w:hAnsi="Cambria Math"/>
                </w:rPr>
                <m:t>+</m:t>
              </m:r>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m:t>
                  </m:r>
                </m:sub>
              </m:sSub>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e>
          </m:d>
          <m:f>
            <m:fPr>
              <m:ctrlPr>
                <w:rPr>
                  <w:rStyle w:val="hps"/>
                  <w:rFonts w:ascii="Cambria Math" w:eastAsia="Batang" w:hAnsi="Cambria Math"/>
                  <w:i/>
                </w:rPr>
              </m:ctrlPr>
            </m:fPr>
            <m:num>
              <m:d>
                <m:dPr>
                  <m:ctrlPr>
                    <w:rPr>
                      <w:rStyle w:val="hps"/>
                      <w:rFonts w:ascii="Cambria Math" w:eastAsia="Batang" w:hAnsi="Cambria Math"/>
                      <w:i/>
                    </w:rPr>
                  </m:ctrlPr>
                </m:dPr>
                <m:e>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e>
              </m:d>
            </m:num>
            <m:den>
              <m:d>
                <m:dPr>
                  <m:ctrlPr>
                    <w:rPr>
                      <w:rStyle w:val="hps"/>
                      <w:rFonts w:ascii="Cambria Math" w:eastAsia="Batang" w:hAnsi="Cambria Math"/>
                      <w:i/>
                    </w:rPr>
                  </m:ctrlPr>
                </m:dPr>
                <m:e>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Ψx</m:t>
                  </m:r>
                </m:e>
              </m:d>
            </m:den>
          </m:f>
          <m:r>
            <w:rPr>
              <w:rStyle w:val="hps"/>
              <w:rFonts w:ascii="Cambria Math" w:eastAsia="Batang" w:hAnsi="Cambria Math"/>
            </w:rPr>
            <m:t>=</m:t>
          </m:r>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m:t>
              </m:r>
            </m:sub>
          </m:sSub>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e>
          </m:d>
          <m:sSub>
            <m:sSubPr>
              <m:ctrlPr>
                <w:rPr>
                  <w:rStyle w:val="hps"/>
                  <w:rFonts w:ascii="Cambria Math" w:eastAsia="Batang" w:hAnsi="Cambria Math"/>
                  <w:i/>
                </w:rPr>
              </m:ctrlPr>
            </m:sSubPr>
            <m:e>
              <m:r>
                <w:rPr>
                  <w:rStyle w:val="hps"/>
                  <w:rFonts w:ascii="Cambria Math" w:eastAsia="Batang" w:hAnsi="Cambria Math"/>
                </w:rPr>
                <m:t>k</m:t>
              </m:r>
            </m:e>
            <m:sub>
              <m:r>
                <w:rPr>
                  <w:rStyle w:val="hps"/>
                  <w:rFonts w:ascii="Cambria Math" w:eastAsia="Batang" w:hAnsi="Cambria Math"/>
                </w:rPr>
                <m:t>2</m:t>
              </m:r>
            </m:sub>
          </m:sSub>
        </m:oMath>
      </m:oMathPara>
    </w:p>
    <w:p w:rsidR="008C5714" w:rsidRPr="00891E21" w:rsidRDefault="008C5714" w:rsidP="008C5714">
      <w:pPr>
        <w:spacing w:line="360" w:lineRule="auto"/>
        <w:rPr>
          <w:rStyle w:val="hps"/>
          <w:rFonts w:eastAsia="Batang"/>
        </w:rPr>
      </w:pPr>
      <w:r w:rsidRPr="00891E21">
        <w:rPr>
          <w:rStyle w:val="hps"/>
          <w:rFonts w:eastAsia="Batang"/>
        </w:rPr>
        <w:t xml:space="preserve">Onde: </w:t>
      </w:r>
      <m:oMath>
        <m:sSub>
          <m:sSubPr>
            <m:ctrlPr>
              <w:rPr>
                <w:rStyle w:val="hps"/>
                <w:rFonts w:ascii="Cambria Math" w:eastAsia="Batang" w:hAnsi="Cambria Math"/>
                <w:i/>
              </w:rPr>
            </m:ctrlPr>
          </m:sSubPr>
          <m:e>
            <m:r>
              <w:rPr>
                <w:rStyle w:val="hps"/>
                <w:rFonts w:ascii="Cambria Math" w:eastAsia="Batang" w:hAnsi="Cambria Math"/>
              </w:rPr>
              <m:t>k</m:t>
            </m:r>
          </m:e>
          <m:sub>
            <m:r>
              <w:rPr>
                <w:rStyle w:val="hps"/>
                <w:rFonts w:ascii="Cambria Math" w:eastAsia="Batang" w:hAnsi="Cambria Math"/>
              </w:rPr>
              <m:t>2</m:t>
            </m:r>
          </m:sub>
        </m:sSub>
        <m:r>
          <w:rPr>
            <w:rStyle w:val="hps"/>
            <w:rFonts w:ascii="Cambria Math" w:eastAsia="Batang" w:hAnsi="Cambria Math"/>
          </w:rPr>
          <m:t>=</m:t>
        </m:r>
        <m:f>
          <m:fPr>
            <m:ctrlPr>
              <w:rPr>
                <w:rStyle w:val="hps"/>
                <w:rFonts w:ascii="Cambria Math" w:eastAsia="Batang" w:hAnsi="Cambria Math"/>
                <w:i/>
              </w:rPr>
            </m:ctrlPr>
          </m:fPr>
          <m:num>
            <m:d>
              <m:dPr>
                <m:ctrlPr>
                  <w:rPr>
                    <w:rStyle w:val="hps"/>
                    <w:rFonts w:ascii="Cambria Math" w:eastAsia="Batang" w:hAnsi="Cambria Math"/>
                    <w:i/>
                  </w:rPr>
                </m:ctrlPr>
              </m:dPr>
              <m:e>
                <m:r>
                  <w:rPr>
                    <w:rStyle w:val="hps"/>
                    <w:rFonts w:ascii="Cambria Math" w:eastAsia="Batang" w:hAnsi="Cambria Math"/>
                  </w:rPr>
                  <m:t>1-x'x</m:t>
                </m:r>
              </m:e>
            </m:d>
          </m:num>
          <m:den>
            <m:d>
              <m:dPr>
                <m:ctrlPr>
                  <w:rPr>
                    <w:rStyle w:val="hps"/>
                    <w:rFonts w:ascii="Cambria Math" w:eastAsia="Batang" w:hAnsi="Cambria Math"/>
                    <w:i/>
                  </w:rPr>
                </m:ctrlPr>
              </m:dPr>
              <m:e>
                <m:r>
                  <w:rPr>
                    <w:rStyle w:val="hps"/>
                    <w:rFonts w:ascii="Cambria Math" w:eastAsia="Batang" w:hAnsi="Cambria Math"/>
                  </w:rPr>
                  <m:t>1-x'Ψx</m:t>
                </m:r>
              </m:e>
            </m:d>
          </m:den>
        </m:f>
      </m:oMath>
    </w:p>
    <w:p w:rsidR="008C5714" w:rsidRPr="00891E21" w:rsidRDefault="008C5714" w:rsidP="00CB7332">
      <w:pPr>
        <w:ind w:firstLine="709"/>
        <w:rPr>
          <w:rStyle w:val="hps"/>
          <w:rFonts w:eastAsia="Batang"/>
        </w:rPr>
      </w:pPr>
      <w:r w:rsidRPr="00891E21">
        <w:rPr>
          <w:rStyle w:val="hps"/>
          <w:rFonts w:eastAsia="Batang"/>
        </w:rPr>
        <w:t xml:space="preserve">Além disso, notou-se que, se assumir que o vetor </w:t>
      </w:r>
      <m:oMath>
        <m:d>
          <m:dPr>
            <m:ctrlPr>
              <w:rPr>
                <w:rStyle w:val="hps"/>
                <w:rFonts w:ascii="Cambria Math" w:eastAsia="Batang" w:hAnsi="Cambria Math"/>
                <w:i/>
              </w:rPr>
            </m:ctrlPr>
          </m:dPr>
          <m:e>
            <m:r>
              <w:rPr>
                <w:rStyle w:val="hps"/>
                <w:rFonts w:ascii="Cambria Math" w:eastAsia="Batang" w:hAnsi="Cambria Math"/>
              </w:rPr>
              <m:t>s-x</m:t>
            </m:r>
          </m:e>
        </m:d>
      </m:oMath>
      <w:r w:rsidRPr="00891E21">
        <w:rPr>
          <w:rStyle w:val="hps"/>
          <w:rFonts w:eastAsia="Batang"/>
        </w:rPr>
        <w:t xml:space="preserve"> é normalmente distribuído, então, sob a hipótese nula de não autocorrelação espacial, o valor esperado de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oMath>
      <w:r w:rsidRPr="00891E21">
        <w:rPr>
          <w:rStyle w:val="hps"/>
          <w:rFonts w:eastAsia="Batang"/>
        </w:rPr>
        <w:t xml:space="preserve"> pode ser facilmente calculado. Por meio da equação de Cliff e Ord (1981) pode-se reescrever o valor esperado de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oMath>
      <w:r w:rsidRPr="00891E21">
        <w:rPr>
          <w:rStyle w:val="hps"/>
          <w:rFonts w:eastAsia="Batang"/>
        </w:rPr>
        <w:t xml:space="preserve"> como:</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e>
          </m:d>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E[</m:t>
              </m:r>
              <m:sSup>
                <m:sSupPr>
                  <m:ctrlPr>
                    <w:rPr>
                      <w:rStyle w:val="hps"/>
                      <w:rFonts w:ascii="Cambria Math" w:eastAsia="Batang" w:hAnsi="Cambria Math"/>
                      <w:i/>
                    </w:rPr>
                  </m:ctrlPr>
                </m:sSupPr>
                <m:e>
                  <m:d>
                    <m:dPr>
                      <m:ctrlPr>
                        <w:rPr>
                          <w:rStyle w:val="hps"/>
                          <w:rFonts w:ascii="Cambria Math" w:eastAsia="Batang" w:hAnsi="Cambria Math"/>
                          <w:i/>
                        </w:rPr>
                      </m:ctrlPr>
                    </m:dPr>
                    <m:e>
                      <m:r>
                        <w:rPr>
                          <w:rStyle w:val="hps"/>
                          <w:rFonts w:ascii="Cambria Math" w:eastAsia="Batang" w:hAnsi="Cambria Math"/>
                        </w:rPr>
                        <m:t>s-x</m:t>
                      </m:r>
                    </m:e>
                  </m:d>
                </m:e>
                <m:sup>
                  <m:r>
                    <w:rPr>
                      <w:rStyle w:val="hps"/>
                      <w:rFonts w:ascii="Cambria Math" w:eastAsia="Batang" w:hAnsi="Cambria Math"/>
                    </w:rPr>
                    <m:t>'</m:t>
                  </m:r>
                </m:sup>
              </m:sSup>
              <m:r>
                <w:rPr>
                  <w:rStyle w:val="hps"/>
                  <w:rFonts w:ascii="Cambria Math" w:eastAsia="Batang" w:hAnsi="Cambria Math"/>
                </w:rPr>
                <m:t>W</m:t>
              </m:r>
              <m:d>
                <m:dPr>
                  <m:ctrlPr>
                    <w:rPr>
                      <w:rStyle w:val="hps"/>
                      <w:rFonts w:ascii="Cambria Math" w:eastAsia="Batang" w:hAnsi="Cambria Math"/>
                      <w:i/>
                    </w:rPr>
                  </m:ctrlPr>
                </m:dPr>
                <m:e>
                  <m:r>
                    <w:rPr>
                      <w:rStyle w:val="hps"/>
                      <w:rFonts w:ascii="Cambria Math" w:eastAsia="Batang" w:hAnsi="Cambria Math"/>
                    </w:rPr>
                    <m:t>s-x</m:t>
                  </m:r>
                </m:e>
              </m:d>
              <m:r>
                <w:rPr>
                  <w:rStyle w:val="hps"/>
                  <w:rFonts w:ascii="Cambria Math" w:eastAsia="Batang" w:hAnsi="Cambria Math"/>
                </w:rPr>
                <m:t>]</m:t>
              </m:r>
            </m:num>
            <m:den>
              <m:r>
                <w:rPr>
                  <w:rStyle w:val="hps"/>
                  <w:rFonts w:ascii="Cambria Math" w:eastAsia="Batang" w:hAnsi="Cambria Math"/>
                </w:rPr>
                <m:t>E[</m:t>
              </m:r>
              <m:sSup>
                <m:sSupPr>
                  <m:ctrlPr>
                    <w:rPr>
                      <w:rStyle w:val="hps"/>
                      <w:rFonts w:ascii="Cambria Math" w:eastAsia="Batang" w:hAnsi="Cambria Math"/>
                      <w:i/>
                    </w:rPr>
                  </m:ctrlPr>
                </m:sSupPr>
                <m:e>
                  <m:d>
                    <m:dPr>
                      <m:ctrlPr>
                        <w:rPr>
                          <w:rStyle w:val="hps"/>
                          <w:rFonts w:ascii="Cambria Math" w:eastAsia="Batang" w:hAnsi="Cambria Math"/>
                          <w:i/>
                        </w:rPr>
                      </m:ctrlPr>
                    </m:dPr>
                    <m:e>
                      <m:r>
                        <w:rPr>
                          <w:rStyle w:val="hps"/>
                          <w:rFonts w:ascii="Cambria Math" w:eastAsia="Batang" w:hAnsi="Cambria Math"/>
                        </w:rPr>
                        <m:t>s-x</m:t>
                      </m:r>
                    </m:e>
                  </m:d>
                </m:e>
                <m:sup>
                  <m:r>
                    <w:rPr>
                      <w:rStyle w:val="hps"/>
                      <w:rFonts w:ascii="Cambria Math" w:eastAsia="Batang" w:hAnsi="Cambria Math"/>
                    </w:rPr>
                    <m:t>'</m:t>
                  </m:r>
                </m:sup>
              </m:sSup>
              <m:d>
                <m:dPr>
                  <m:ctrlPr>
                    <w:rPr>
                      <w:rStyle w:val="hps"/>
                      <w:rFonts w:ascii="Cambria Math" w:eastAsia="Batang" w:hAnsi="Cambria Math"/>
                      <w:i/>
                    </w:rPr>
                  </m:ctrlPr>
                </m:dPr>
                <m:e>
                  <m:r>
                    <w:rPr>
                      <w:rStyle w:val="hps"/>
                      <w:rFonts w:ascii="Cambria Math" w:eastAsia="Batang" w:hAnsi="Cambria Math"/>
                    </w:rPr>
                    <m:t>s-x</m:t>
                  </m:r>
                </m:e>
              </m:d>
              <m:r>
                <w:rPr>
                  <w:rStyle w:val="hps"/>
                  <w:rFonts w:ascii="Cambria Math" w:eastAsia="Batang" w:hAnsi="Cambria Math"/>
                </w:rPr>
                <m:t>]</m:t>
              </m:r>
            </m:den>
          </m:f>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E(</m:t>
              </m:r>
              <m:sSub>
                <m:sSubPr>
                  <m:ctrlPr>
                    <w:rPr>
                      <w:rStyle w:val="hps"/>
                      <w:rFonts w:ascii="Cambria Math" w:eastAsia="Batang" w:hAnsi="Cambria Math"/>
                      <w:i/>
                    </w:rPr>
                  </m:ctrlPr>
                </m:sSubPr>
                <m:e>
                  <m:r>
                    <w:rPr>
                      <w:rStyle w:val="hps"/>
                      <w:rFonts w:ascii="Cambria Math" w:eastAsia="Batang" w:hAnsi="Cambria Math"/>
                    </w:rPr>
                    <m:t>G</m:t>
                  </m:r>
                </m:e>
                <m:sub>
                  <m:r>
                    <w:rPr>
                      <w:rStyle w:val="hps"/>
                      <w:rFonts w:ascii="Cambria Math" w:eastAsia="Batang" w:hAnsi="Cambria Math"/>
                    </w:rPr>
                    <m:t>s</m:t>
                  </m:r>
                </m:sub>
              </m:sSub>
              <m:r>
                <w:rPr>
                  <w:rStyle w:val="hps"/>
                  <w:rFonts w:ascii="Cambria Math" w:eastAsia="Batang" w:hAnsi="Cambria Math"/>
                </w:rPr>
                <m:t>-G)</m:t>
              </m:r>
            </m:num>
            <m:den>
              <m:r>
                <w:rPr>
                  <w:rStyle w:val="hps"/>
                  <w:rFonts w:ascii="Cambria Math" w:eastAsia="Batang" w:hAnsi="Cambria Math"/>
                </w:rPr>
                <m:t>E(G)</m:t>
              </m:r>
            </m:den>
          </m:f>
        </m:oMath>
      </m:oMathPara>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γ</m:t>
              </m:r>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
                <m:dPr>
                  <m:ctrlPr>
                    <w:rPr>
                      <w:rStyle w:val="hps"/>
                      <w:rFonts w:ascii="Cambria Math" w:eastAsia="Batang" w:hAnsi="Cambria Math"/>
                      <w:i/>
                    </w:rPr>
                  </m:ctrlPr>
                </m:dPr>
                <m:e>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Wx</m:t>
                  </m:r>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d>
                <m:dPr>
                  <m:ctrlPr>
                    <w:rPr>
                      <w:rStyle w:val="hps"/>
                      <w:rFonts w:ascii="Cambria Math" w:eastAsia="Batang" w:hAnsi="Cambria Math"/>
                      <w:i/>
                    </w:rPr>
                  </m:ctrlPr>
                </m:dPr>
                <m:e>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Wx</m:t>
                  </m:r>
                </m:e>
              </m:d>
            </m:num>
            <m:den>
              <m:r>
                <w:rPr>
                  <w:rStyle w:val="hps"/>
                  <w:rFonts w:ascii="Cambria Math" w:eastAsia="Batang" w:hAnsi="Cambria Math"/>
                </w:rPr>
                <m:t>γ</m:t>
              </m:r>
              <m:d>
                <m:dPr>
                  <m:ctrlPr>
                    <w:rPr>
                      <w:rStyle w:val="hps"/>
                      <w:rFonts w:ascii="Cambria Math" w:eastAsia="Batang" w:hAnsi="Cambria Math"/>
                      <w:i/>
                    </w:rPr>
                  </m:ctrlPr>
                </m:dPr>
                <m:e>
                  <m:r>
                    <w:rPr>
                      <w:rStyle w:val="hps"/>
                      <w:rFonts w:ascii="Cambria Math" w:eastAsia="Batang" w:hAnsi="Cambria Math"/>
                    </w:rPr>
                    <m:t>1-</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e>
              </m:d>
              <m:d>
                <m:dPr>
                  <m:ctrlPr>
                    <w:rPr>
                      <w:rStyle w:val="hps"/>
                      <w:rFonts w:ascii="Cambria Math" w:eastAsia="Batang" w:hAnsi="Cambria Math"/>
                      <w:i/>
                    </w:rPr>
                  </m:ctrlPr>
                </m:dPr>
                <m:e>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e>
              </m:d>
              <m:r>
                <w:rPr>
                  <w:rStyle w:val="hps"/>
                  <w:rFonts w:ascii="Cambria Math" w:eastAsia="Batang" w:hAnsi="Cambria Math"/>
                </w:rPr>
                <m:t>+</m:t>
              </m:r>
              <m:sSub>
                <m:sSubPr>
                  <m:ctrlPr>
                    <w:rPr>
                      <w:rStyle w:val="hps"/>
                      <w:rFonts w:ascii="Cambria Math" w:eastAsia="Batang" w:hAnsi="Cambria Math"/>
                      <w:i/>
                    </w:rPr>
                  </m:ctrlPr>
                </m:sSubPr>
                <m:e>
                  <m:r>
                    <w:rPr>
                      <w:rStyle w:val="hps"/>
                      <w:rFonts w:ascii="Cambria Math" w:eastAsia="Batang" w:hAnsi="Cambria Math"/>
                    </w:rPr>
                    <m:t>H</m:t>
                  </m:r>
                </m:e>
                <m:sub>
                  <m:r>
                    <w:rPr>
                      <w:rStyle w:val="hps"/>
                      <w:rFonts w:ascii="Cambria Math" w:eastAsia="Batang" w:hAnsi="Cambria Math"/>
                    </w:rPr>
                    <m:t>I</m:t>
                  </m:r>
                </m:sub>
              </m:sSub>
              <m:d>
                <m:dPr>
                  <m:ctrlPr>
                    <w:rPr>
                      <w:rStyle w:val="hps"/>
                      <w:rFonts w:ascii="Cambria Math" w:eastAsia="Batang" w:hAnsi="Cambria Math"/>
                      <w:i/>
                    </w:rPr>
                  </m:ctrlPr>
                </m:dPr>
                <m:e>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e>
              </m:d>
            </m:den>
          </m:f>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x'Wx</m:t>
              </m:r>
            </m:num>
            <m:den>
              <m:r>
                <w:rPr>
                  <w:rStyle w:val="hps"/>
                  <w:rFonts w:ascii="Cambria Math" w:eastAsia="Batang" w:hAnsi="Cambria Math"/>
                </w:rPr>
                <m:t>(1-</m:t>
              </m:r>
              <m:sSup>
                <m:sSupPr>
                  <m:ctrlPr>
                    <w:rPr>
                      <w:rStyle w:val="hps"/>
                      <w:rFonts w:ascii="Cambria Math" w:eastAsia="Batang" w:hAnsi="Cambria Math"/>
                      <w:i/>
                    </w:rPr>
                  </m:ctrlPr>
                </m:sSupPr>
                <m:e>
                  <m:r>
                    <w:rPr>
                      <w:rStyle w:val="hps"/>
                      <w:rFonts w:ascii="Cambria Math" w:eastAsia="Batang" w:hAnsi="Cambria Math"/>
                    </w:rPr>
                    <m:t>x</m:t>
                  </m:r>
                </m:e>
                <m:sup>
                  <m:r>
                    <w:rPr>
                      <w:rStyle w:val="hps"/>
                      <w:rFonts w:ascii="Cambria Math" w:eastAsia="Batang" w:hAnsi="Cambria Math"/>
                    </w:rPr>
                    <m:t>'</m:t>
                  </m:r>
                </m:sup>
              </m:sSup>
              <m:r>
                <w:rPr>
                  <w:rStyle w:val="hps"/>
                  <w:rFonts w:ascii="Cambria Math" w:eastAsia="Batang" w:hAnsi="Cambria Math"/>
                </w:rPr>
                <m:t>x)</m:t>
              </m:r>
            </m:den>
          </m:f>
        </m:oMath>
      </m:oMathPara>
    </w:p>
    <w:p w:rsidR="008C5714" w:rsidRPr="00891E21" w:rsidRDefault="008C5714" w:rsidP="00CB7332">
      <w:pPr>
        <w:ind w:firstLine="709"/>
        <w:rPr>
          <w:rStyle w:val="hps"/>
          <w:rFonts w:eastAsia="Batang"/>
        </w:rPr>
      </w:pPr>
      <w:r w:rsidRPr="00891E21">
        <w:rPr>
          <w:rStyle w:val="hps"/>
          <w:rFonts w:eastAsia="Batang"/>
        </w:rPr>
        <w:t xml:space="preserve">Se substituir os </w:t>
      </w:r>
      <m:oMath>
        <m:sSub>
          <m:sSubPr>
            <m:ctrlPr>
              <w:rPr>
                <w:rStyle w:val="hps"/>
                <w:rFonts w:ascii="Cambria Math" w:eastAsia="Batang" w:hAnsi="Cambria Math"/>
                <w:i/>
              </w:rPr>
            </m:ctrlPr>
          </m:sSubPr>
          <m:e>
            <m:r>
              <w:rPr>
                <w:rStyle w:val="hps"/>
                <w:rFonts w:ascii="Cambria Math" w:eastAsia="Batang" w:hAnsi="Cambria Math"/>
              </w:rPr>
              <m:t>x</m:t>
            </m:r>
          </m:e>
          <m:sub>
            <m:r>
              <w:rPr>
                <w:rStyle w:val="hps"/>
                <w:rFonts w:ascii="Cambria Math" w:eastAsia="Batang" w:hAnsi="Cambria Math"/>
              </w:rPr>
              <m:t>j</m:t>
            </m:r>
          </m:sub>
        </m:sSub>
      </m:oMath>
      <w:r w:rsidRPr="00891E21">
        <w:rPr>
          <w:rStyle w:val="hps"/>
          <w:rFonts w:eastAsia="Batang"/>
        </w:rPr>
        <w:t xml:space="preserve"> por </w:t>
      </w:r>
      <m:oMath>
        <m:sSup>
          <m:sSupPr>
            <m:ctrlPr>
              <w:rPr>
                <w:rStyle w:val="hps"/>
                <w:rFonts w:ascii="Cambria Math" w:eastAsia="Batang" w:hAnsi="Cambria Math"/>
                <w:i/>
              </w:rPr>
            </m:ctrlPr>
          </m:sSupPr>
          <m:e>
            <m:r>
              <w:rPr>
                <w:rStyle w:val="hps"/>
                <w:rFonts w:ascii="Cambria Math" w:eastAsia="Batang" w:hAnsi="Cambria Math"/>
              </w:rPr>
              <m:t>J</m:t>
            </m:r>
          </m:e>
          <m:sup>
            <m:r>
              <w:rPr>
                <w:rStyle w:val="hps"/>
                <w:rFonts w:ascii="Cambria Math" w:eastAsia="Batang" w:hAnsi="Cambria Math"/>
              </w:rPr>
              <m:t>-1</m:t>
            </m:r>
          </m:sup>
        </m:sSup>
      </m:oMath>
      <w:r w:rsidRPr="00891E21">
        <w:rPr>
          <w:rStyle w:val="hps"/>
          <w:rFonts w:eastAsia="Batang"/>
        </w:rPr>
        <w:t xml:space="preserve"> na expressão acima, transformando-a em </w:t>
      </w:r>
      <w:r w:rsidRPr="00891E21">
        <w:rPr>
          <w:rStyle w:val="hps"/>
          <w:rFonts w:eastAsia="Batang"/>
          <w:i/>
        </w:rPr>
        <w:t>I</w:t>
      </w:r>
      <w:r w:rsidRPr="00891E21">
        <w:rPr>
          <w:rStyle w:val="hps"/>
          <w:rFonts w:eastAsia="Batang"/>
        </w:rPr>
        <w:t xml:space="preserve"> de Moran aplicada sozinha, então o valor que se espera obter é:</w:t>
      </w:r>
    </w:p>
    <w:p w:rsidR="008C5714" w:rsidRPr="00891E21" w:rsidRDefault="008C5714" w:rsidP="008C5714">
      <w:pPr>
        <w:spacing w:line="360" w:lineRule="auto"/>
        <w:jc w:val="center"/>
        <w:rPr>
          <w:rStyle w:val="hps"/>
          <w:rFonts w:eastAsia="Batang"/>
        </w:rPr>
      </w:pPr>
      <m:oMathPara>
        <m:oMath>
          <m:r>
            <w:rPr>
              <w:rStyle w:val="hps"/>
              <w:rFonts w:ascii="Cambria Math" w:eastAsia="Batang" w:hAnsi="Cambria Math"/>
            </w:rPr>
            <m:t>E</m:t>
          </m:r>
          <m:d>
            <m:dPr>
              <m:ctrlPr>
                <w:rPr>
                  <w:rStyle w:val="hps"/>
                  <w:rFonts w:ascii="Cambria Math" w:eastAsia="Batang" w:hAnsi="Cambria Math"/>
                  <w:i/>
                </w:rPr>
              </m:ctrlPr>
            </m:dPr>
            <m:e>
              <m:r>
                <w:rPr>
                  <w:rStyle w:val="hps"/>
                  <w:rFonts w:ascii="Cambria Math" w:eastAsia="Batang" w:hAnsi="Cambria Math"/>
                </w:rPr>
                <m:t>M</m:t>
              </m:r>
            </m:e>
          </m:d>
          <m:r>
            <w:rPr>
              <w:rStyle w:val="hps"/>
              <w:rFonts w:ascii="Cambria Math" w:eastAsia="Batang" w:hAnsi="Cambria Math"/>
            </w:rPr>
            <m:t>=-</m:t>
          </m:r>
          <m:f>
            <m:fPr>
              <m:ctrlPr>
                <w:rPr>
                  <w:rStyle w:val="hps"/>
                  <w:rFonts w:ascii="Cambria Math" w:eastAsia="Batang" w:hAnsi="Cambria Math"/>
                  <w:i/>
                </w:rPr>
              </m:ctrlPr>
            </m:fPr>
            <m:num>
              <m:r>
                <w:rPr>
                  <w:rStyle w:val="hps"/>
                  <w:rFonts w:ascii="Cambria Math" w:eastAsia="Batang" w:hAnsi="Cambria Math"/>
                </w:rPr>
                <m:t>1</m:t>
              </m:r>
            </m:num>
            <m:den>
              <m:r>
                <w:rPr>
                  <w:rStyle w:val="hps"/>
                  <w:rFonts w:ascii="Cambria Math" w:eastAsia="Batang" w:hAnsi="Cambria Math"/>
                </w:rPr>
                <m:t>J-1</m:t>
              </m:r>
            </m:den>
          </m:f>
        </m:oMath>
      </m:oMathPara>
    </w:p>
    <w:p w:rsidR="008C5714" w:rsidRPr="00CB7332" w:rsidRDefault="008C5714" w:rsidP="00CB7332">
      <w:pPr>
        <w:ind w:firstLine="709"/>
        <w:rPr>
          <w:rFonts w:eastAsia="Batang"/>
        </w:rPr>
      </w:pPr>
      <w:r w:rsidRPr="00891E21">
        <w:rPr>
          <w:rStyle w:val="hps"/>
          <w:rFonts w:eastAsia="Batang"/>
        </w:rPr>
        <w:t xml:space="preserve">Utilizando a relação entre </w:t>
      </w:r>
      <m:oMath>
        <m:sSubSup>
          <m:sSubSupPr>
            <m:ctrlPr>
              <w:rPr>
                <w:rStyle w:val="hps"/>
                <w:rFonts w:ascii="Cambria Math" w:eastAsia="Batang" w:hAnsi="Cambria Math"/>
                <w:i/>
              </w:rPr>
            </m:ctrlPr>
          </m:sSubSup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s</m:t>
            </m:r>
          </m:sub>
          <m:sup>
            <m:r>
              <w:rPr>
                <w:rStyle w:val="hps"/>
                <w:rFonts w:ascii="Cambria Math" w:eastAsia="Batang" w:hAnsi="Cambria Math"/>
              </w:rPr>
              <m:t>*</m:t>
            </m:r>
          </m:sup>
        </m:sSubSup>
      </m:oMath>
      <w:r w:rsidRPr="00891E21">
        <w:rPr>
          <w:rStyle w:val="hps"/>
          <w:rFonts w:eastAsia="Batang"/>
        </w:rPr>
        <w:t xml:space="preserve"> e </w:t>
      </w:r>
      <m:oMath>
        <m:sSub>
          <m:sSubPr>
            <m:ctrlPr>
              <w:rPr>
                <w:rStyle w:val="hps"/>
                <w:rFonts w:ascii="Cambria Math" w:eastAsia="Batang" w:hAnsi="Cambria Math"/>
                <w:i/>
              </w:rPr>
            </m:ctrlPr>
          </m:sSubPr>
          <m:e>
            <m:acc>
              <m:accPr>
                <m:ctrlPr>
                  <w:rPr>
                    <w:rStyle w:val="hps"/>
                    <w:rFonts w:ascii="Cambria Math" w:eastAsia="Batang" w:hAnsi="Cambria Math"/>
                    <w:i/>
                  </w:rPr>
                </m:ctrlPr>
              </m:accPr>
              <m:e>
                <m:r>
                  <w:rPr>
                    <w:rStyle w:val="hps"/>
                    <w:rFonts w:ascii="Cambria Math" w:eastAsia="Batang" w:hAnsi="Cambria Math"/>
                  </w:rPr>
                  <m:t>γ</m:t>
                </m:r>
              </m:e>
            </m:acc>
          </m:e>
          <m:sub>
            <m:r>
              <w:rPr>
                <w:rStyle w:val="hps"/>
                <w:rFonts w:ascii="Cambria Math" w:eastAsia="Batang" w:hAnsi="Cambria Math"/>
              </w:rPr>
              <m:t>*</m:t>
            </m:r>
          </m:sub>
        </m:sSub>
      </m:oMath>
      <w:r w:rsidRPr="00891E21">
        <w:rPr>
          <w:rStyle w:val="hps"/>
          <w:rFonts w:eastAsia="Batang"/>
        </w:rPr>
        <w:t xml:space="preserve">, um derivado do anterior, deve ser evidente que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oMath>
      <w:r w:rsidRPr="00891E21">
        <w:rPr>
          <w:rStyle w:val="hps"/>
          <w:rFonts w:eastAsia="Batang"/>
        </w:rPr>
        <w:t xml:space="preserve"> sempre assuma o seu valor esperado sob a hipótese de ausência de autocorrelação espacial, então </w:t>
      </w:r>
      <m:oMath>
        <m:sSub>
          <m:sSubPr>
            <m:ctrlPr>
              <w:rPr>
                <w:rStyle w:val="apple-style-span"/>
                <w:rFonts w:ascii="Cambria Math" w:hAnsi="Cambria Math"/>
                <w:i/>
              </w:rPr>
            </m:ctrlPr>
          </m:sSubPr>
          <m:e>
            <m:acc>
              <m:accPr>
                <m:ctrlPr>
                  <w:rPr>
                    <w:rStyle w:val="apple-style-span"/>
                    <w:rFonts w:ascii="Cambria Math" w:hAnsi="Cambria Math"/>
                    <w:i/>
                  </w:rPr>
                </m:ctrlPr>
              </m:accPr>
              <m:e>
                <m:r>
                  <w:rPr>
                    <w:rStyle w:val="apple-style-span"/>
                    <w:rFonts w:ascii="Cambria Math" w:hAnsi="Cambria Math"/>
                  </w:rPr>
                  <m:t>γ</m:t>
                </m:r>
              </m:e>
            </m:acc>
          </m:e>
          <m:sub>
            <m:r>
              <w:rPr>
                <w:rStyle w:val="apple-style-span"/>
                <w:rFonts w:ascii="Cambria Math" w:hAnsi="Cambria Math"/>
              </w:rPr>
              <m:t>s</m:t>
            </m:r>
          </m:sub>
        </m:sSub>
      </m:oMath>
      <w:r w:rsidRPr="00891E21">
        <w:rPr>
          <w:rStyle w:val="apple-style-span"/>
        </w:rPr>
        <w:t xml:space="preserve"> e </w:t>
      </w:r>
      <m:oMath>
        <m:acc>
          <m:accPr>
            <m:ctrlPr>
              <w:rPr>
                <w:rStyle w:val="apple-style-span"/>
                <w:rFonts w:ascii="Cambria Math" w:hAnsi="Cambria Math"/>
                <w:i/>
              </w:rPr>
            </m:ctrlPr>
          </m:accPr>
          <m:e>
            <m:r>
              <w:rPr>
                <w:rStyle w:val="apple-style-span"/>
                <w:rFonts w:ascii="Cambria Math" w:hAnsi="Cambria Math"/>
              </w:rPr>
              <m:t>γ</m:t>
            </m:r>
          </m:e>
        </m:acc>
      </m:oMath>
      <w:r w:rsidRPr="00891E21">
        <w:rPr>
          <w:rStyle w:val="apple-style-span"/>
        </w:rPr>
        <w:t xml:space="preserve"> irá produzir valores idênticos. Também é verdade que quando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&gt;E(</m:t>
        </m:r>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m:t>
        </m:r>
      </m:oMath>
      <w:r w:rsidRPr="00891E21">
        <w:rPr>
          <w:rStyle w:val="hps"/>
          <w:rFonts w:eastAsia="Batang"/>
        </w:rPr>
        <w:t xml:space="preserve">, então </w:t>
      </w:r>
      <m:oMath>
        <m:sSub>
          <m:sSubPr>
            <m:ctrlPr>
              <w:rPr>
                <w:rStyle w:val="apple-style-span"/>
                <w:rFonts w:ascii="Cambria Math" w:hAnsi="Cambria Math"/>
                <w:i/>
              </w:rPr>
            </m:ctrlPr>
          </m:sSubPr>
          <m:e>
            <m:acc>
              <m:accPr>
                <m:ctrlPr>
                  <w:rPr>
                    <w:rStyle w:val="apple-style-span"/>
                    <w:rFonts w:ascii="Cambria Math" w:hAnsi="Cambria Math"/>
                    <w:i/>
                  </w:rPr>
                </m:ctrlPr>
              </m:accPr>
              <m:e>
                <m:r>
                  <w:rPr>
                    <w:rStyle w:val="apple-style-span"/>
                    <w:rFonts w:ascii="Cambria Math" w:hAnsi="Cambria Math"/>
                  </w:rPr>
                  <m:t>γ</m:t>
                </m:r>
              </m:e>
            </m:acc>
          </m:e>
          <m:sub>
            <m:r>
              <w:rPr>
                <w:rStyle w:val="apple-style-span"/>
                <w:rFonts w:ascii="Cambria Math" w:hAnsi="Cambria Math"/>
              </w:rPr>
              <m:t>s</m:t>
            </m:r>
          </m:sub>
        </m:sSub>
        <m:r>
          <w:rPr>
            <w:rStyle w:val="apple-style-span"/>
            <w:rFonts w:ascii="Cambria Math" w:hAnsi="Cambria Math"/>
          </w:rPr>
          <m:t>&gt;</m:t>
        </m:r>
      </m:oMath>
      <w:r w:rsidRPr="00891E21">
        <w:rPr>
          <w:rStyle w:val="apple-style-span"/>
        </w:rPr>
        <w:t xml:space="preserve"> </w:t>
      </w:r>
      <m:oMath>
        <m:acc>
          <m:accPr>
            <m:ctrlPr>
              <w:rPr>
                <w:rStyle w:val="apple-style-span"/>
                <w:rFonts w:ascii="Cambria Math" w:hAnsi="Cambria Math"/>
                <w:i/>
              </w:rPr>
            </m:ctrlPr>
          </m:accPr>
          <m:e>
            <m:r>
              <w:rPr>
                <w:rStyle w:val="apple-style-span"/>
                <w:rFonts w:ascii="Cambria Math" w:hAnsi="Cambria Math"/>
              </w:rPr>
              <m:t>γ</m:t>
            </m:r>
          </m:e>
        </m:acc>
      </m:oMath>
      <w:r w:rsidRPr="00891E21">
        <w:rPr>
          <w:rStyle w:val="apple-style-span"/>
        </w:rPr>
        <w:t xml:space="preserve"> enquanto</w:t>
      </w:r>
      <w:r w:rsidRPr="00891E21">
        <w:rPr>
          <w:rStyle w:val="hps"/>
          <w:rFonts w:eastAsia="Batang"/>
        </w:rPr>
        <w:t xml:space="preserve"> </w:t>
      </w:r>
      <m:oMath>
        <m:sSub>
          <m:sSubPr>
            <m:ctrlPr>
              <w:rPr>
                <w:rStyle w:val="apple-style-span"/>
                <w:rFonts w:ascii="Cambria Math" w:hAnsi="Cambria Math"/>
                <w:i/>
              </w:rPr>
            </m:ctrlPr>
          </m:sSubPr>
          <m:e>
            <m:acc>
              <m:accPr>
                <m:ctrlPr>
                  <w:rPr>
                    <w:rStyle w:val="apple-style-span"/>
                    <w:rFonts w:ascii="Cambria Math" w:hAnsi="Cambria Math"/>
                    <w:i/>
                  </w:rPr>
                </m:ctrlPr>
              </m:accPr>
              <m:e>
                <m:r>
                  <w:rPr>
                    <w:rStyle w:val="apple-style-span"/>
                    <w:rFonts w:ascii="Cambria Math" w:hAnsi="Cambria Math"/>
                  </w:rPr>
                  <m:t>γ</m:t>
                </m:r>
              </m:e>
            </m:acc>
          </m:e>
          <m:sub>
            <m:r>
              <w:rPr>
                <w:rStyle w:val="apple-style-span"/>
                <w:rFonts w:ascii="Cambria Math" w:hAnsi="Cambria Math"/>
              </w:rPr>
              <m:t>s</m:t>
            </m:r>
          </m:sub>
        </m:sSub>
        <m:r>
          <w:rPr>
            <w:rStyle w:val="apple-style-span"/>
            <w:rFonts w:ascii="Cambria Math" w:hAnsi="Cambria Math"/>
          </w:rPr>
          <m:t>&lt;</m:t>
        </m:r>
      </m:oMath>
      <w:r w:rsidRPr="00891E21">
        <w:rPr>
          <w:rStyle w:val="apple-style-span"/>
        </w:rPr>
        <w:t xml:space="preserve"> </w:t>
      </w:r>
      <m:oMath>
        <m:acc>
          <m:accPr>
            <m:ctrlPr>
              <w:rPr>
                <w:rStyle w:val="apple-style-span"/>
                <w:rFonts w:ascii="Cambria Math" w:hAnsi="Cambria Math"/>
                <w:i/>
              </w:rPr>
            </m:ctrlPr>
          </m:accPr>
          <m:e>
            <m:r>
              <w:rPr>
                <w:rStyle w:val="apple-style-span"/>
                <w:rFonts w:ascii="Cambria Math" w:hAnsi="Cambria Math"/>
              </w:rPr>
              <m:t>γ</m:t>
            </m:r>
          </m:e>
        </m:acc>
      </m:oMath>
      <w:r w:rsidRPr="00891E21">
        <w:rPr>
          <w:rStyle w:val="apple-style-span"/>
        </w:rPr>
        <w:t xml:space="preserve"> se </w:t>
      </w:r>
      <m:oMath>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&lt;E(</m:t>
        </m:r>
        <m:sSub>
          <m:sSubPr>
            <m:ctrlPr>
              <w:rPr>
                <w:rStyle w:val="hps"/>
                <w:rFonts w:ascii="Cambria Math" w:eastAsia="Batang" w:hAnsi="Cambria Math"/>
                <w:i/>
              </w:rPr>
            </m:ctrlPr>
          </m:sSubPr>
          <m:e>
            <m:r>
              <w:rPr>
                <w:rStyle w:val="hps"/>
                <w:rFonts w:ascii="Cambria Math" w:eastAsia="Batang" w:hAnsi="Cambria Math"/>
              </w:rPr>
              <m:t>M</m:t>
            </m:r>
          </m:e>
          <m:sub>
            <m:r>
              <w:rPr>
                <w:rStyle w:val="hps"/>
                <w:rFonts w:ascii="Cambria Math" w:eastAsia="Batang" w:hAnsi="Cambria Math"/>
              </w:rPr>
              <m:t>D</m:t>
            </m:r>
          </m:sub>
        </m:sSub>
        <m:r>
          <w:rPr>
            <w:rStyle w:val="hps"/>
            <w:rFonts w:ascii="Cambria Math" w:eastAsia="Batang" w:hAnsi="Cambria Math"/>
          </w:rPr>
          <m:t>)</m:t>
        </m:r>
      </m:oMath>
      <w:r w:rsidRPr="00891E21">
        <w:rPr>
          <w:rStyle w:val="hps"/>
          <w:rFonts w:eastAsia="Batang"/>
        </w:rPr>
        <w:t>.</w:t>
      </w:r>
    </w:p>
    <w:sectPr w:rsidR="008C5714" w:rsidRPr="00CB7332" w:rsidSect="00817EA9">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30E" w:rsidRDefault="00D2730E" w:rsidP="00FE71BB">
      <w:r>
        <w:separator/>
      </w:r>
    </w:p>
  </w:endnote>
  <w:endnote w:type="continuationSeparator" w:id="0">
    <w:p w:rsidR="00D2730E" w:rsidRDefault="00D2730E" w:rsidP="00FE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FOAHIF+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30E" w:rsidRDefault="00D2730E" w:rsidP="00FE71BB">
      <w:r>
        <w:separator/>
      </w:r>
    </w:p>
  </w:footnote>
  <w:footnote w:type="continuationSeparator" w:id="0">
    <w:p w:rsidR="00D2730E" w:rsidRDefault="00D2730E" w:rsidP="00FE71BB">
      <w:r>
        <w:continuationSeparator/>
      </w:r>
    </w:p>
  </w:footnote>
  <w:footnote w:id="1">
    <w:p w:rsidR="00DA15B8" w:rsidRDefault="00DA15B8" w:rsidP="00C507F7">
      <w:pPr>
        <w:pStyle w:val="Textodenotaderodap"/>
        <w:ind w:left="170" w:hanging="170"/>
        <w:jc w:val="both"/>
      </w:pPr>
      <w:r>
        <w:rPr>
          <w:rStyle w:val="Refdenotaderodap"/>
        </w:rPr>
        <w:footnoteRef/>
      </w:r>
      <w:r>
        <w:t xml:space="preserve"> A fórmula padrão deste indicador é expressa por: </w:t>
      </w:r>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 xml:space="preserve">i  </m:t>
                </m:r>
              </m:sub>
            </m:sSub>
          </m:e>
        </m:nary>
      </m:oMath>
      <w:r>
        <w:t xml:space="preserve">ou </w:t>
      </w:r>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procedendo assim   quando as parcelas de mercado de cada firma transformam-se nas ponderações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ou seja,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footnote>
  <w:footnote w:id="2">
    <w:p w:rsidR="00DA15B8" w:rsidRPr="001C161B" w:rsidRDefault="00DA15B8" w:rsidP="00BF6C4D">
      <w:pPr>
        <w:pStyle w:val="Textodenotaderodap"/>
        <w:ind w:left="170" w:hanging="170"/>
        <w:jc w:val="both"/>
      </w:pPr>
      <w:r>
        <w:rPr>
          <w:rStyle w:val="Refdenotaderodap"/>
        </w:rPr>
        <w:footnoteRef/>
      </w:r>
      <w:r>
        <w:t xml:space="preserve"> </w:t>
      </w:r>
      <w:r w:rsidRPr="00B462B1">
        <w:t xml:space="preserve">Note que </w:t>
      </w: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nary>
              </m:e>
            </m:d>
          </m:e>
          <m:sup>
            <m:r>
              <w:rPr>
                <w:rFonts w:ascii="Cambria Math" w:hAnsi="Cambria Math"/>
              </w:rPr>
              <m:t>2</m:t>
            </m:r>
          </m:sup>
        </m:sSup>
        <m:r>
          <w:rPr>
            <w:rFonts w:ascii="Cambria Math" w:hAnsi="Cambria Math"/>
          </w:rPr>
          <m:t>=</m:t>
        </m:r>
        <m:r>
          <w:rPr>
            <w:rFonts w:ascii="Cambria Math" w:hAnsi="Cambria Math"/>
            <w:lang w:val="en-US"/>
          </w:rPr>
          <m:t>H</m:t>
        </m:r>
        <m:r>
          <w:rPr>
            <w:rFonts w:ascii="Cambria Math" w:hAnsi="Cambria Math"/>
          </w:rPr>
          <m:t>+2</m:t>
        </m:r>
        <m:nary>
          <m:naryPr>
            <m:chr m:val="∑"/>
            <m:limLoc m:val="undOvr"/>
            <m:subHide m:val="1"/>
            <m:supHide m:val="1"/>
            <m:ctrlPr>
              <w:rPr>
                <w:rFonts w:ascii="Cambria Math" w:hAnsi="Cambria Math"/>
                <w:i/>
                <w:lang w:val="en-US"/>
              </w:rPr>
            </m:ctrlPr>
          </m:naryPr>
          <m:sub/>
          <m:sup/>
          <m:e>
            <m:nary>
              <m:naryPr>
                <m:chr m:val="∑"/>
                <m:limLoc m:val="subSup"/>
                <m:supHide m:val="1"/>
                <m:ctrlPr>
                  <w:rPr>
                    <w:rFonts w:ascii="Cambria Math" w:hAnsi="Cambria Math"/>
                    <w:i/>
                    <w:lang w:val="en-US"/>
                  </w:rPr>
                </m:ctrlPr>
              </m:naryPr>
              <m:sub>
                <m:r>
                  <w:rPr>
                    <w:rFonts w:ascii="Cambria Math" w:hAnsi="Cambria Math"/>
                    <w:lang w:val="en-US"/>
                  </w:rPr>
                  <m:t>i</m:t>
                </m:r>
                <m:r>
                  <w:rPr>
                    <w:rFonts w:ascii="Cambria Math" w:hAnsi="Cambria Math"/>
                  </w:rPr>
                  <m:t>≠</m:t>
                </m:r>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rPr>
                  <m:t>=1</m:t>
                </m:r>
              </m:e>
            </m:nary>
          </m:e>
        </m:nary>
      </m:oMath>
      <w:r w:rsidRPr="00B462B1">
        <w:t xml:space="preserve"> e que </w:t>
      </w: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=s'</m:t>
        </m:r>
        <m:d>
          <m:dPr>
            <m:ctrlPr>
              <w:rPr>
                <w:rFonts w:ascii="Cambria Math" w:hAnsi="Cambria Math"/>
                <w:i/>
              </w:rPr>
            </m:ctrlPr>
          </m:dPr>
          <m:e>
            <m:r>
              <w:rPr>
                <w:rFonts w:ascii="Cambria Math" w:hAnsi="Cambria Math"/>
              </w:rPr>
              <m:t>Id+W</m:t>
            </m:r>
          </m:e>
        </m:d>
        <m:r>
          <w:rPr>
            <w:rFonts w:ascii="Cambria Math" w:hAnsi="Cambria Math"/>
          </w:rPr>
          <m:t>s=H+s'Ws</m:t>
        </m:r>
      </m:oMath>
      <w:r>
        <w:t xml:space="preserve">. Dado que os elementos da diagonal de </w:t>
      </w:r>
      <w:r w:rsidRPr="001C161B">
        <w:rPr>
          <w:i/>
        </w:rPr>
        <w:t>W</w:t>
      </w:r>
      <w:r>
        <w:t xml:space="preserve"> são, no máximo, iguais a </w:t>
      </w:r>
      <w:proofErr w:type="gramStart"/>
      <w:r>
        <w:t>1</w:t>
      </w:r>
      <w:proofErr w:type="gramEnd"/>
      <w:r>
        <w:t xml:space="preserve">, segue-se que </w:t>
      </w:r>
      <w:r w:rsidRPr="001C161B">
        <w:rPr>
          <w:i/>
        </w:rPr>
        <w:t>H</w:t>
      </w:r>
      <w:r w:rsidRPr="001C161B">
        <w:rPr>
          <w:i/>
          <w:vertAlign w:val="subscript"/>
        </w:rPr>
        <w:t>s</w:t>
      </w:r>
      <w:r>
        <w:t xml:space="preserve"> nunca poderá ser superior a 1. Por outro lado, sabe-se que</w:t>
      </w:r>
      <w:r w:rsidRPr="001C161B">
        <w:rPr>
          <w:i/>
        </w:rPr>
        <w:t xml:space="preserve"> H</w:t>
      </w:r>
      <w:r>
        <w:t xml:space="preserve"> assume seu menor limite em </w:t>
      </w:r>
      <w:r w:rsidRPr="001C161B">
        <w:rPr>
          <w:i/>
        </w:rPr>
        <w:t>1/J</w:t>
      </w:r>
      <w:r>
        <w:t xml:space="preserve">, quando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r>
          <w:rPr>
            <w:rFonts w:ascii="Cambria Math" w:hAnsi="Cambria Math"/>
          </w:rPr>
          <m:t>s</m:t>
        </m:r>
      </m:oMath>
      <w:r>
        <w:t xml:space="preserve"> são iguais para todas as regiões e que </w:t>
      </w:r>
      <w:r w:rsidRPr="001C161B">
        <w:rPr>
          <w:i/>
        </w:rPr>
        <w:t>s</w:t>
      </w:r>
      <w:r>
        <w:t xml:space="preserve"> é uma forma definitiva quadrática positiva. Isso implica que </w:t>
      </w:r>
      <w:r w:rsidRPr="001C161B">
        <w:rPr>
          <w:i/>
        </w:rPr>
        <w:t>H</w:t>
      </w:r>
      <w:r w:rsidRPr="001C161B">
        <w:rPr>
          <w:i/>
          <w:vertAlign w:val="subscript"/>
        </w:rPr>
        <w:t>s</w:t>
      </w:r>
      <w:r>
        <w:t xml:space="preserve"> é sempre superior a </w:t>
      </w:r>
      <w:r w:rsidRPr="001C161B">
        <w:rPr>
          <w:i/>
        </w:rPr>
        <w:t>1/J</w:t>
      </w:r>
      <w:r>
        <w:t>.</w:t>
      </w:r>
    </w:p>
  </w:footnote>
  <w:footnote w:id="3">
    <w:p w:rsidR="00DA15B8" w:rsidRDefault="00DA15B8" w:rsidP="009D3CF2">
      <w:pPr>
        <w:pStyle w:val="Textodenotaderodap"/>
        <w:ind w:left="170" w:hanging="170"/>
        <w:jc w:val="both"/>
      </w:pPr>
      <w:r>
        <w:rPr>
          <w:rStyle w:val="Refdenotaderodap"/>
        </w:rPr>
        <w:footnoteRef/>
      </w:r>
      <w:r>
        <w:t xml:space="preserve"> A fórmula desenvolvimento por Ellison e Glaeser (1997, p.895) pode ser definida por: </w:t>
      </w:r>
      <m:oMath>
        <m:r>
          <w:rPr>
            <w:rFonts w:ascii="Cambria Math" w:hAnsi="Cambria Math"/>
          </w:rPr>
          <m:t>G=</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w:p>
  </w:footnote>
  <w:footnote w:id="4">
    <w:p w:rsidR="00DA15B8" w:rsidRDefault="00DA15B8">
      <w:pPr>
        <w:pStyle w:val="Textodenotaderodap"/>
      </w:pPr>
      <w:r>
        <w:rPr>
          <w:rStyle w:val="Refdenotaderodap"/>
        </w:rPr>
        <w:footnoteRef/>
      </w:r>
      <w:r>
        <w:t xml:space="preserve"> A versão não-ponderada espacialmente do índice de Ellison e Glaeser é expressa por: </w:t>
      </w:r>
      <m:oMath>
        <m:acc>
          <m:accPr>
            <m:ctrlPr>
              <w:rPr>
                <w:rFonts w:ascii="Cambria Math" w:hAnsi="Cambria Math"/>
                <w:i/>
              </w:rPr>
            </m:ctrlPr>
          </m:accPr>
          <m:e>
            <m:r>
              <w:rPr>
                <w:rFonts w:ascii="Cambria Math" w:hAnsi="Cambria Math"/>
              </w:rPr>
              <m:t>γ</m:t>
            </m:r>
          </m:e>
        </m:acc>
        <m:r>
          <w:rPr>
            <w:rFonts w:ascii="Cambria Math" w:hAnsi="Cambria Math"/>
          </w:rPr>
          <m:t>=</m:t>
        </m:r>
        <m:f>
          <m:fPr>
            <m:ctrlPr>
              <w:rPr>
                <w:rFonts w:ascii="Cambria Math" w:hAnsi="Cambria Math"/>
                <w:i/>
              </w:rPr>
            </m:ctrlPr>
          </m:fPr>
          <m:num>
            <m:r>
              <w:rPr>
                <w:rFonts w:ascii="Cambria Math" w:hAnsi="Cambria Math"/>
              </w:rPr>
              <m:t>G - H</m:t>
            </m:r>
            <m:d>
              <m:dPr>
                <m:ctrlPr>
                  <w:rPr>
                    <w:rFonts w:ascii="Cambria Math" w:hAnsi="Cambria Math"/>
                    <w:i/>
                  </w:rPr>
                </m:ctrlPr>
              </m:dP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num>
          <m:den>
            <m:d>
              <m:dPr>
                <m:ctrlPr>
                  <w:rPr>
                    <w:rFonts w:ascii="Cambria Math" w:hAnsi="Cambria Math"/>
                    <w:i/>
                  </w:rPr>
                </m:ctrlPr>
              </m:dPr>
              <m:e>
                <m:r>
                  <w:rPr>
                    <w:rFonts w:ascii="Cambria Math" w:hAnsi="Cambria Math"/>
                  </w:rPr>
                  <m:t>1-H</m:t>
                </m:r>
              </m:e>
            </m:d>
            <m:d>
              <m:dPr>
                <m:ctrlPr>
                  <w:rPr>
                    <w:rFonts w:ascii="Cambria Math" w:hAnsi="Cambria Math"/>
                    <w:i/>
                  </w:rPr>
                </m:ctrlPr>
              </m:dP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den>
        </m:f>
      </m:oMath>
    </w:p>
  </w:footnote>
  <w:footnote w:id="5">
    <w:p w:rsidR="00DA15B8" w:rsidRPr="00316920" w:rsidRDefault="00DA15B8" w:rsidP="00BF6C4D">
      <w:pPr>
        <w:pStyle w:val="Textodenotaderodap"/>
        <w:ind w:left="170" w:hanging="170"/>
        <w:jc w:val="both"/>
      </w:pPr>
      <w:r>
        <w:rPr>
          <w:rStyle w:val="Refdenotaderodap"/>
        </w:rPr>
        <w:footnoteRef/>
      </w:r>
      <w:r>
        <w:t xml:space="preserve"> </w:t>
      </w:r>
      <w:r w:rsidRPr="00316920">
        <w:t xml:space="preserve">A demonstração de como se chega a esta </w:t>
      </w:r>
      <w:r>
        <w:t xml:space="preserve">equação final ponderada de </w:t>
      </w:r>
      <w:r w:rsidRPr="006B6ABB">
        <w:rPr>
          <w:rStyle w:val="hps"/>
          <w:i/>
          <w:color w:val="000000"/>
        </w:rPr>
        <w:t>EG</w:t>
      </w:r>
      <w:r>
        <w:rPr>
          <w:rStyle w:val="hps"/>
          <w:color w:val="000000"/>
        </w:rPr>
        <w:t xml:space="preserve"> </w:t>
      </w:r>
      <m:oMath>
        <m:d>
          <m:dPr>
            <m:ctrlPr>
              <w:rPr>
                <w:rStyle w:val="hps"/>
                <w:rFonts w:ascii="Cambria Math" w:hAnsi="Cambria Math"/>
                <w:i/>
                <w:color w:val="000000"/>
              </w:rPr>
            </m:ctrlPr>
          </m:dPr>
          <m:e>
            <m:acc>
              <m:accPr>
                <m:ctrlPr>
                  <w:rPr>
                    <w:rStyle w:val="hps"/>
                    <w:rFonts w:ascii="Cambria Math" w:hAnsi="Cambria Math"/>
                    <w:i/>
                    <w:color w:val="000000"/>
                  </w:rPr>
                </m:ctrlPr>
              </m:accPr>
              <m:e>
                <m:sSub>
                  <m:sSubPr>
                    <m:ctrlPr>
                      <w:rPr>
                        <w:rStyle w:val="hps"/>
                        <w:rFonts w:ascii="Cambria Math" w:hAnsi="Cambria Math"/>
                        <w:i/>
                        <w:color w:val="000000"/>
                      </w:rPr>
                    </m:ctrlPr>
                  </m:sSubPr>
                  <m:e>
                    <m:r>
                      <w:rPr>
                        <w:rStyle w:val="hps"/>
                        <w:rFonts w:ascii="Cambria Math" w:hAnsi="Cambria Math"/>
                        <w:color w:val="000000"/>
                      </w:rPr>
                      <m:t>γ</m:t>
                    </m:r>
                  </m:e>
                  <m:sub>
                    <m:r>
                      <w:rPr>
                        <w:rStyle w:val="hps"/>
                        <w:rFonts w:ascii="Cambria Math" w:hAnsi="Cambria Math"/>
                        <w:color w:val="000000"/>
                      </w:rPr>
                      <m:t>s</m:t>
                    </m:r>
                  </m:sub>
                </m:sSub>
              </m:e>
            </m:acc>
          </m:e>
        </m:d>
        <m:r>
          <w:rPr>
            <w:rStyle w:val="hps"/>
            <w:rFonts w:ascii="Cambria Math" w:hAnsi="Cambria Math"/>
            <w:color w:val="000000"/>
          </w:rPr>
          <m:t xml:space="preserve"> </m:t>
        </m:r>
      </m:oMath>
      <w:r>
        <w:rPr>
          <w:rStyle w:val="hps"/>
          <w:color w:val="000000"/>
        </w:rPr>
        <w:t>pode ser verificada no Anexo A.</w:t>
      </w:r>
    </w:p>
  </w:footnote>
  <w:footnote w:id="6">
    <w:p w:rsidR="00DA15B8" w:rsidRPr="00D13284" w:rsidRDefault="00DA15B8" w:rsidP="00BF6C4D">
      <w:pPr>
        <w:pStyle w:val="Textodenotaderodap"/>
        <w:jc w:val="both"/>
      </w:pPr>
      <w:r>
        <w:rPr>
          <w:rStyle w:val="Refdenotaderodap"/>
        </w:rPr>
        <w:footnoteRef/>
      </w:r>
      <w:r>
        <w:t xml:space="preserve"> </w:t>
      </w:r>
      <w:r w:rsidRPr="00D13284">
        <w:t xml:space="preserve"> Ver A</w:t>
      </w:r>
      <w:r>
        <w:t xml:space="preserve">nexo </w:t>
      </w:r>
      <w:r w:rsidRPr="00D13284">
        <w:t>B para obter uma derivação destes resultados.</w:t>
      </w:r>
    </w:p>
  </w:footnote>
  <w:footnote w:id="7">
    <w:p w:rsidR="00DA15B8" w:rsidRDefault="00DA15B8" w:rsidP="00D72321">
      <w:pPr>
        <w:pStyle w:val="Textodenotaderodap"/>
        <w:ind w:left="170" w:hanging="170"/>
        <w:jc w:val="both"/>
      </w:pPr>
      <w:r>
        <w:rPr>
          <w:rStyle w:val="Refdenotaderodap"/>
        </w:rPr>
        <w:footnoteRef/>
      </w:r>
      <w:r>
        <w:t xml:space="preserve"> Essas divisões correspondem respectivamente à: Fabricação de Produtos Têxteis, Confecção de Artigos do Vestuário e Acessórios, </w:t>
      </w:r>
      <w:r w:rsidRPr="00441FA4">
        <w:t>Fabricação de Produtos de Madeir</w:t>
      </w:r>
      <w:r>
        <w:t>a,</w:t>
      </w:r>
      <w:r w:rsidRPr="001E2AD9">
        <w:t xml:space="preserve"> </w:t>
      </w:r>
      <w:r w:rsidRPr="00441FA4">
        <w:t>Fabricação de Celulose, Papel e Produtos de Pape</w:t>
      </w:r>
      <w:r>
        <w:t xml:space="preserve">l, </w:t>
      </w:r>
      <w:r w:rsidRPr="00FC6CA2">
        <w:t>Impressão e Reprodução de Gravações</w:t>
      </w:r>
      <w:r>
        <w:t xml:space="preserve">, </w:t>
      </w:r>
      <w:r w:rsidRPr="00FC6CA2">
        <w:t>Fabricação de Coque, Refino de Petróleo, Elaboração de Combustíveis Nucleares e</w:t>
      </w:r>
      <w:r>
        <w:t xml:space="preserve"> </w:t>
      </w:r>
      <w:r w:rsidRPr="00FC6CA2">
        <w:t>Produção de Álcoo</w:t>
      </w:r>
      <w:r>
        <w:t xml:space="preserve">l, </w:t>
      </w:r>
      <w:r w:rsidRPr="00FC6CA2">
        <w:t>Metalurgia Básic</w:t>
      </w:r>
      <w:r>
        <w:t xml:space="preserve">a, </w:t>
      </w:r>
      <w:r w:rsidRPr="00441FA4">
        <w:t>Fabricação de Máquinas, Aparelhos e Materiais Elétrico</w:t>
      </w:r>
      <w:r>
        <w:t xml:space="preserve">s e </w:t>
      </w:r>
      <w:r w:rsidRPr="00FC6CA2">
        <w:t>Fabricação de Material Eletrônico e de Aparelhos e Equipamentos de Comunicaçõe</w:t>
      </w:r>
      <w:r>
        <w:t>s.</w:t>
      </w:r>
    </w:p>
  </w:footnote>
  <w:footnote w:id="8">
    <w:p w:rsidR="00DA15B8" w:rsidRDefault="00DA15B8" w:rsidP="00D72321">
      <w:pPr>
        <w:pStyle w:val="Textodenotaderodap"/>
        <w:ind w:left="170" w:hanging="170"/>
        <w:jc w:val="both"/>
      </w:pPr>
      <w:r>
        <w:rPr>
          <w:rStyle w:val="Refdenotaderodap"/>
        </w:rPr>
        <w:footnoteRef/>
      </w:r>
      <w:r>
        <w:t xml:space="preserve"> As divisões, a saber, são: </w:t>
      </w:r>
      <w:r w:rsidRPr="00441FA4">
        <w:t>Fabricação de Produtos Alimentícios e Bebida</w:t>
      </w:r>
      <w:r>
        <w:t xml:space="preserve">s, </w:t>
      </w:r>
      <w:r w:rsidRPr="00441FA4">
        <w:t>Preparação de Couros e Fabricação de Artefatos de Couro, Artigos para Viagem e Calçado</w:t>
      </w:r>
      <w:r>
        <w:t xml:space="preserve">s, </w:t>
      </w:r>
      <w:r w:rsidRPr="00441FA4">
        <w:t>Fabricação de Produtos Químico</w:t>
      </w:r>
      <w:r>
        <w:t xml:space="preserve">s, </w:t>
      </w:r>
      <w:r w:rsidRPr="00441FA4">
        <w:t>Fabricação de Artigos de Borracha e de Material Plástic</w:t>
      </w:r>
      <w:r>
        <w:t xml:space="preserve">o, </w:t>
      </w:r>
      <w:r w:rsidRPr="00441FA4">
        <w:t>Fabricação de Produtos de Minerais Não-Metálico</w:t>
      </w:r>
      <w:r>
        <w:t xml:space="preserve">s, </w:t>
      </w:r>
      <w:r w:rsidRPr="00441FA4">
        <w:t>Fabricação de Produtos de Metal, Exceto Máquinas e Equipamento</w:t>
      </w:r>
      <w:r>
        <w:t xml:space="preserve">s, </w:t>
      </w:r>
      <w:r w:rsidRPr="00441FA4">
        <w:t>Fabricação de Máquinas e Equipamento</w:t>
      </w:r>
      <w:r>
        <w:t xml:space="preserve">s, </w:t>
      </w:r>
      <w:r w:rsidRPr="00441FA4">
        <w:t>Fabricação de Máquinas para Escritório e Equipamentos de Informátic</w:t>
      </w:r>
      <w:r>
        <w:t xml:space="preserve">a, </w:t>
      </w:r>
      <w:r w:rsidRPr="00441FA4">
        <w:t>Fabricação e Montagem de Veículos Automotores, Reboques e Carroceria</w:t>
      </w:r>
      <w:r>
        <w:t xml:space="preserve">s, </w:t>
      </w:r>
      <w:r w:rsidRPr="00441FA4">
        <w:t>Fabricação de Outros Equipamentos de Transport</w:t>
      </w:r>
      <w:r>
        <w:t xml:space="preserve">e e </w:t>
      </w:r>
      <w:r w:rsidRPr="00441FA4">
        <w:t>Reciclage</w:t>
      </w:r>
      <w:r>
        <w:t>m.</w:t>
      </w:r>
    </w:p>
  </w:footnote>
  <w:footnote w:id="9">
    <w:p w:rsidR="00DA15B8" w:rsidRDefault="00DA15B8" w:rsidP="00D72321">
      <w:pPr>
        <w:pStyle w:val="Textodenotaderodap"/>
        <w:ind w:left="170" w:hanging="170"/>
        <w:jc w:val="both"/>
      </w:pPr>
      <w:r>
        <w:rPr>
          <w:rStyle w:val="Refdenotaderodap"/>
        </w:rPr>
        <w:footnoteRef/>
      </w:r>
      <w:r>
        <w:t xml:space="preserve"> Tais divisões são compostas por: Fabricação de Produtos do Fumo, </w:t>
      </w:r>
      <w:r w:rsidRPr="00441FA4">
        <w:t>Fabricação de Equipamentos de Instrumentação Médico-Hospitalares, Instrumentos de Precisão e Ópticos, Equipamentos para Automação Industrial, Cronômetros e Relógio</w:t>
      </w:r>
      <w:r>
        <w:t xml:space="preserve">s e </w:t>
      </w:r>
      <w:r w:rsidRPr="00441FA4">
        <w:t>Fabricação de Móveis e Industriais Diversa</w:t>
      </w:r>
      <w:r>
        <w: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911573"/>
      <w:docPartObj>
        <w:docPartGallery w:val="Page Numbers (Top of Page)"/>
        <w:docPartUnique/>
      </w:docPartObj>
    </w:sdtPr>
    <w:sdtEndPr/>
    <w:sdtContent>
      <w:p w:rsidR="00DA15B8" w:rsidRDefault="00DA15B8">
        <w:pPr>
          <w:pStyle w:val="Cabealho"/>
          <w:jc w:val="right"/>
        </w:pPr>
        <w:r>
          <w:fldChar w:fldCharType="begin"/>
        </w:r>
        <w:r>
          <w:instrText>PAGE   \* MERGEFORMAT</w:instrText>
        </w:r>
        <w:r>
          <w:fldChar w:fldCharType="separate"/>
        </w:r>
        <w:r w:rsidR="00C03435">
          <w:rPr>
            <w:noProof/>
          </w:rPr>
          <w:t>2</w:t>
        </w:r>
        <w:r>
          <w:fldChar w:fldCharType="end"/>
        </w:r>
      </w:p>
    </w:sdtContent>
  </w:sdt>
  <w:p w:rsidR="00DA15B8" w:rsidRDefault="00DA15B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10A87"/>
    <w:multiLevelType w:val="hybridMultilevel"/>
    <w:tmpl w:val="84147328"/>
    <w:lvl w:ilvl="0" w:tplc="04160001">
      <w:start w:val="1"/>
      <w:numFmt w:val="bullet"/>
      <w:lvlText w:val=""/>
      <w:lvlJc w:val="left"/>
      <w:pPr>
        <w:ind w:left="788" w:hanging="360"/>
      </w:pPr>
      <w:rPr>
        <w:rFonts w:ascii="Symbol" w:hAnsi="Symbol"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1">
    <w:nsid w:val="35291F84"/>
    <w:multiLevelType w:val="multilevel"/>
    <w:tmpl w:val="970C2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53D0608"/>
    <w:multiLevelType w:val="hybridMultilevel"/>
    <w:tmpl w:val="B7A02C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9351546"/>
    <w:multiLevelType w:val="multilevel"/>
    <w:tmpl w:val="A1245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2DC51B7"/>
    <w:multiLevelType w:val="hybridMultilevel"/>
    <w:tmpl w:val="0108DE1E"/>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58CA"/>
    <w:rsid w:val="00006CC6"/>
    <w:rsid w:val="0003394D"/>
    <w:rsid w:val="00067325"/>
    <w:rsid w:val="00071590"/>
    <w:rsid w:val="00072D1B"/>
    <w:rsid w:val="0007666D"/>
    <w:rsid w:val="000812DF"/>
    <w:rsid w:val="000819BB"/>
    <w:rsid w:val="00093B0A"/>
    <w:rsid w:val="000A6815"/>
    <w:rsid w:val="000B1831"/>
    <w:rsid w:val="000B5362"/>
    <w:rsid w:val="000B594E"/>
    <w:rsid w:val="000D23B9"/>
    <w:rsid w:val="000D4D64"/>
    <w:rsid w:val="000E1A66"/>
    <w:rsid w:val="000E4BFF"/>
    <w:rsid w:val="000F3842"/>
    <w:rsid w:val="000F41A5"/>
    <w:rsid w:val="001101D5"/>
    <w:rsid w:val="00122A29"/>
    <w:rsid w:val="00124938"/>
    <w:rsid w:val="00133839"/>
    <w:rsid w:val="00161BF9"/>
    <w:rsid w:val="00172FF0"/>
    <w:rsid w:val="001A49E8"/>
    <w:rsid w:val="001B2730"/>
    <w:rsid w:val="001C7F26"/>
    <w:rsid w:val="001E7FFE"/>
    <w:rsid w:val="001F1399"/>
    <w:rsid w:val="001F67B1"/>
    <w:rsid w:val="002034A1"/>
    <w:rsid w:val="002040CE"/>
    <w:rsid w:val="00210ECB"/>
    <w:rsid w:val="002227F2"/>
    <w:rsid w:val="00223AD8"/>
    <w:rsid w:val="00231FAA"/>
    <w:rsid w:val="002375CB"/>
    <w:rsid w:val="002846FD"/>
    <w:rsid w:val="00290894"/>
    <w:rsid w:val="00295607"/>
    <w:rsid w:val="0029577E"/>
    <w:rsid w:val="002B18B8"/>
    <w:rsid w:val="002B7457"/>
    <w:rsid w:val="002B79A5"/>
    <w:rsid w:val="002D7417"/>
    <w:rsid w:val="002E25D0"/>
    <w:rsid w:val="002E30CD"/>
    <w:rsid w:val="002F753B"/>
    <w:rsid w:val="0031475C"/>
    <w:rsid w:val="00316E69"/>
    <w:rsid w:val="003177CF"/>
    <w:rsid w:val="00324B90"/>
    <w:rsid w:val="00325F08"/>
    <w:rsid w:val="00336245"/>
    <w:rsid w:val="00351B9A"/>
    <w:rsid w:val="00367F92"/>
    <w:rsid w:val="00381B55"/>
    <w:rsid w:val="003927AD"/>
    <w:rsid w:val="00393261"/>
    <w:rsid w:val="00393982"/>
    <w:rsid w:val="00394F01"/>
    <w:rsid w:val="003A0680"/>
    <w:rsid w:val="003A4135"/>
    <w:rsid w:val="003B3569"/>
    <w:rsid w:val="003C309A"/>
    <w:rsid w:val="003C37F8"/>
    <w:rsid w:val="003D6D80"/>
    <w:rsid w:val="003E4F3F"/>
    <w:rsid w:val="003F4244"/>
    <w:rsid w:val="003F74D9"/>
    <w:rsid w:val="00404DDD"/>
    <w:rsid w:val="00414474"/>
    <w:rsid w:val="004353B4"/>
    <w:rsid w:val="00435BE2"/>
    <w:rsid w:val="00450944"/>
    <w:rsid w:val="00452293"/>
    <w:rsid w:val="00474013"/>
    <w:rsid w:val="004917D6"/>
    <w:rsid w:val="004D72ED"/>
    <w:rsid w:val="004E1064"/>
    <w:rsid w:val="004F6C5D"/>
    <w:rsid w:val="005252E0"/>
    <w:rsid w:val="00562196"/>
    <w:rsid w:val="00575620"/>
    <w:rsid w:val="005A4DB6"/>
    <w:rsid w:val="005B54A6"/>
    <w:rsid w:val="005C5D1A"/>
    <w:rsid w:val="005D37C5"/>
    <w:rsid w:val="005D6C9F"/>
    <w:rsid w:val="005E3074"/>
    <w:rsid w:val="005F05F6"/>
    <w:rsid w:val="006013FB"/>
    <w:rsid w:val="00613C94"/>
    <w:rsid w:val="00634D1C"/>
    <w:rsid w:val="0067165C"/>
    <w:rsid w:val="006852E4"/>
    <w:rsid w:val="00691F22"/>
    <w:rsid w:val="006C22A8"/>
    <w:rsid w:val="006C686B"/>
    <w:rsid w:val="006F691A"/>
    <w:rsid w:val="00721FA4"/>
    <w:rsid w:val="007246ED"/>
    <w:rsid w:val="00745CAB"/>
    <w:rsid w:val="00752FF0"/>
    <w:rsid w:val="0076347E"/>
    <w:rsid w:val="00765630"/>
    <w:rsid w:val="0076663B"/>
    <w:rsid w:val="00781804"/>
    <w:rsid w:val="00783B7D"/>
    <w:rsid w:val="00785968"/>
    <w:rsid w:val="00791D62"/>
    <w:rsid w:val="007933BA"/>
    <w:rsid w:val="007D2017"/>
    <w:rsid w:val="007E177E"/>
    <w:rsid w:val="0081203A"/>
    <w:rsid w:val="00817EA9"/>
    <w:rsid w:val="008230FE"/>
    <w:rsid w:val="00834DA4"/>
    <w:rsid w:val="008464B7"/>
    <w:rsid w:val="008632A2"/>
    <w:rsid w:val="00881800"/>
    <w:rsid w:val="00881A65"/>
    <w:rsid w:val="008A6665"/>
    <w:rsid w:val="008B3398"/>
    <w:rsid w:val="008C1359"/>
    <w:rsid w:val="008C5714"/>
    <w:rsid w:val="008F04EC"/>
    <w:rsid w:val="008F0A0F"/>
    <w:rsid w:val="00900987"/>
    <w:rsid w:val="009124F3"/>
    <w:rsid w:val="0091253C"/>
    <w:rsid w:val="00913F73"/>
    <w:rsid w:val="00920A18"/>
    <w:rsid w:val="009430EC"/>
    <w:rsid w:val="00953B54"/>
    <w:rsid w:val="00982E76"/>
    <w:rsid w:val="009A24E9"/>
    <w:rsid w:val="009B58CA"/>
    <w:rsid w:val="009B70BC"/>
    <w:rsid w:val="009C6941"/>
    <w:rsid w:val="009D3CF2"/>
    <w:rsid w:val="009E291C"/>
    <w:rsid w:val="009E776B"/>
    <w:rsid w:val="009F7920"/>
    <w:rsid w:val="00A16DAE"/>
    <w:rsid w:val="00A26498"/>
    <w:rsid w:val="00A27499"/>
    <w:rsid w:val="00A55B7C"/>
    <w:rsid w:val="00A94DDF"/>
    <w:rsid w:val="00AA2FE6"/>
    <w:rsid w:val="00AB6EBF"/>
    <w:rsid w:val="00AC7E89"/>
    <w:rsid w:val="00AD0E21"/>
    <w:rsid w:val="00AE2547"/>
    <w:rsid w:val="00AF7421"/>
    <w:rsid w:val="00B167AA"/>
    <w:rsid w:val="00B17F3C"/>
    <w:rsid w:val="00B21611"/>
    <w:rsid w:val="00B82F57"/>
    <w:rsid w:val="00B84798"/>
    <w:rsid w:val="00B9001E"/>
    <w:rsid w:val="00BA235F"/>
    <w:rsid w:val="00BA35F8"/>
    <w:rsid w:val="00BA5E24"/>
    <w:rsid w:val="00BB5E56"/>
    <w:rsid w:val="00BD13AD"/>
    <w:rsid w:val="00BD4A56"/>
    <w:rsid w:val="00BD4D65"/>
    <w:rsid w:val="00BF00FB"/>
    <w:rsid w:val="00BF0FD3"/>
    <w:rsid w:val="00BF6C4D"/>
    <w:rsid w:val="00C022B3"/>
    <w:rsid w:val="00C03435"/>
    <w:rsid w:val="00C211D4"/>
    <w:rsid w:val="00C27A91"/>
    <w:rsid w:val="00C507F7"/>
    <w:rsid w:val="00C66C9A"/>
    <w:rsid w:val="00C71581"/>
    <w:rsid w:val="00C77DFE"/>
    <w:rsid w:val="00CA324F"/>
    <w:rsid w:val="00CA6FC0"/>
    <w:rsid w:val="00CB7332"/>
    <w:rsid w:val="00D05143"/>
    <w:rsid w:val="00D103AB"/>
    <w:rsid w:val="00D1577D"/>
    <w:rsid w:val="00D26972"/>
    <w:rsid w:val="00D2730E"/>
    <w:rsid w:val="00D50F13"/>
    <w:rsid w:val="00D55A00"/>
    <w:rsid w:val="00D72321"/>
    <w:rsid w:val="00D76F96"/>
    <w:rsid w:val="00D7728A"/>
    <w:rsid w:val="00D85E5C"/>
    <w:rsid w:val="00DA15B8"/>
    <w:rsid w:val="00DA5678"/>
    <w:rsid w:val="00DB0BFA"/>
    <w:rsid w:val="00DC4CAA"/>
    <w:rsid w:val="00DC63B3"/>
    <w:rsid w:val="00DC7DBB"/>
    <w:rsid w:val="00DE2B26"/>
    <w:rsid w:val="00E04531"/>
    <w:rsid w:val="00E11DBA"/>
    <w:rsid w:val="00E16310"/>
    <w:rsid w:val="00E21311"/>
    <w:rsid w:val="00E8039F"/>
    <w:rsid w:val="00E942E8"/>
    <w:rsid w:val="00E94DFD"/>
    <w:rsid w:val="00EA0525"/>
    <w:rsid w:val="00EA1FEE"/>
    <w:rsid w:val="00ED5FBB"/>
    <w:rsid w:val="00EF69AC"/>
    <w:rsid w:val="00F2418B"/>
    <w:rsid w:val="00F404FF"/>
    <w:rsid w:val="00F44A4E"/>
    <w:rsid w:val="00F568DB"/>
    <w:rsid w:val="00F77E19"/>
    <w:rsid w:val="00F83C5A"/>
    <w:rsid w:val="00F9786C"/>
    <w:rsid w:val="00FB1C76"/>
    <w:rsid w:val="00FC336C"/>
    <w:rsid w:val="00FC71DC"/>
    <w:rsid w:val="00FC76BF"/>
    <w:rsid w:val="00FD4FF0"/>
    <w:rsid w:val="00FE1820"/>
    <w:rsid w:val="00FE241E"/>
    <w:rsid w:val="00FE6822"/>
    <w:rsid w:val="00FE71BB"/>
    <w:rsid w:val="00FF0AF4"/>
    <w:rsid w:val="00FF23D3"/>
    <w:rsid w:val="00FF3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CA"/>
    <w:pPr>
      <w:spacing w:after="0" w:line="240" w:lineRule="auto"/>
      <w:jc w:val="both"/>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unhideWhenUsed/>
    <w:rsid w:val="009B58CA"/>
    <w:pPr>
      <w:spacing w:after="120"/>
      <w:ind w:left="283"/>
    </w:pPr>
  </w:style>
  <w:style w:type="character" w:customStyle="1" w:styleId="RecuodecorpodetextoChar">
    <w:name w:val="Recuo de corpo de texto Char"/>
    <w:basedOn w:val="Fontepargpadro"/>
    <w:link w:val="Recuodecorpodetexto"/>
    <w:uiPriority w:val="99"/>
    <w:rsid w:val="009B58CA"/>
    <w:rPr>
      <w:rFonts w:ascii="Times New Roman" w:eastAsia="Times New Roman" w:hAnsi="Times New Roman" w:cs="Times New Roman"/>
      <w:sz w:val="24"/>
      <w:szCs w:val="20"/>
      <w:lang w:eastAsia="pt-BR"/>
    </w:rPr>
  </w:style>
  <w:style w:type="character" w:customStyle="1" w:styleId="apple-converted-space">
    <w:name w:val="apple-converted-space"/>
    <w:rsid w:val="009B58CA"/>
  </w:style>
  <w:style w:type="paragraph" w:styleId="Textodebalo">
    <w:name w:val="Balloon Text"/>
    <w:basedOn w:val="Normal"/>
    <w:link w:val="TextodebaloChar"/>
    <w:uiPriority w:val="99"/>
    <w:semiHidden/>
    <w:unhideWhenUsed/>
    <w:rsid w:val="009B58CA"/>
    <w:rPr>
      <w:rFonts w:ascii="Tahoma" w:hAnsi="Tahoma" w:cs="Tahoma"/>
      <w:sz w:val="16"/>
      <w:szCs w:val="16"/>
    </w:rPr>
  </w:style>
  <w:style w:type="character" w:customStyle="1" w:styleId="TextodebaloChar">
    <w:name w:val="Texto de balão Char"/>
    <w:basedOn w:val="Fontepargpadro"/>
    <w:link w:val="Textodebalo"/>
    <w:uiPriority w:val="99"/>
    <w:semiHidden/>
    <w:rsid w:val="009B58CA"/>
    <w:rPr>
      <w:rFonts w:ascii="Tahoma" w:eastAsia="Times New Roman" w:hAnsi="Tahoma" w:cs="Tahoma"/>
      <w:sz w:val="16"/>
      <w:szCs w:val="16"/>
      <w:lang w:eastAsia="pt-BR"/>
    </w:rPr>
  </w:style>
  <w:style w:type="character" w:customStyle="1" w:styleId="hps">
    <w:name w:val="hps"/>
    <w:rsid w:val="00F44A4E"/>
  </w:style>
  <w:style w:type="paragraph" w:styleId="Textodenotaderodap">
    <w:name w:val="footnote text"/>
    <w:basedOn w:val="Normal"/>
    <w:link w:val="TextodenotaderodapChar"/>
    <w:uiPriority w:val="99"/>
    <w:rsid w:val="00E11DBA"/>
    <w:pPr>
      <w:jc w:val="left"/>
    </w:pPr>
    <w:rPr>
      <w:rFonts w:eastAsia="Batang"/>
      <w:sz w:val="20"/>
    </w:rPr>
  </w:style>
  <w:style w:type="character" w:customStyle="1" w:styleId="TextodenotaderodapChar">
    <w:name w:val="Texto de nota de rodapé Char"/>
    <w:basedOn w:val="Fontepargpadro"/>
    <w:link w:val="Textodenotaderodap"/>
    <w:uiPriority w:val="99"/>
    <w:rsid w:val="00E11DBA"/>
    <w:rPr>
      <w:rFonts w:ascii="Times New Roman" w:eastAsia="Batang" w:hAnsi="Times New Roman" w:cs="Times New Roman"/>
      <w:sz w:val="20"/>
      <w:szCs w:val="20"/>
      <w:lang w:eastAsia="pt-BR"/>
    </w:rPr>
  </w:style>
  <w:style w:type="paragraph" w:customStyle="1" w:styleId="Default">
    <w:name w:val="Default"/>
    <w:rsid w:val="00E11DBA"/>
    <w:pPr>
      <w:autoSpaceDE w:val="0"/>
      <w:autoSpaceDN w:val="0"/>
      <w:adjustRightInd w:val="0"/>
      <w:spacing w:after="0" w:line="240" w:lineRule="auto"/>
    </w:pPr>
    <w:rPr>
      <w:rFonts w:ascii="FOAHIF+TimesNewRoman,Italic" w:eastAsia="Times New Roman" w:hAnsi="FOAHIF+TimesNewRoman,Italic" w:cs="FOAHIF+TimesNewRoman,Italic"/>
      <w:color w:val="000000"/>
      <w:sz w:val="24"/>
      <w:szCs w:val="24"/>
    </w:rPr>
  </w:style>
  <w:style w:type="character" w:styleId="Refdenotaderodap">
    <w:name w:val="footnote reference"/>
    <w:uiPriority w:val="99"/>
    <w:rsid w:val="00FE71BB"/>
    <w:rPr>
      <w:vertAlign w:val="superscript"/>
    </w:rPr>
  </w:style>
  <w:style w:type="paragraph" w:styleId="PargrafodaLista">
    <w:name w:val="List Paragraph"/>
    <w:basedOn w:val="Normal"/>
    <w:uiPriority w:val="34"/>
    <w:qFormat/>
    <w:rsid w:val="00D72321"/>
    <w:pPr>
      <w:ind w:left="720"/>
      <w:contextualSpacing/>
    </w:pPr>
  </w:style>
  <w:style w:type="paragraph" w:styleId="Cabealho">
    <w:name w:val="header"/>
    <w:basedOn w:val="Normal"/>
    <w:link w:val="CabealhoChar"/>
    <w:uiPriority w:val="99"/>
    <w:unhideWhenUsed/>
    <w:rsid w:val="00D72321"/>
    <w:pPr>
      <w:tabs>
        <w:tab w:val="center" w:pos="4252"/>
        <w:tab w:val="right" w:pos="8504"/>
      </w:tabs>
    </w:pPr>
  </w:style>
  <w:style w:type="character" w:customStyle="1" w:styleId="CabealhoChar">
    <w:name w:val="Cabeçalho Char"/>
    <w:basedOn w:val="Fontepargpadro"/>
    <w:link w:val="Cabealho"/>
    <w:uiPriority w:val="99"/>
    <w:rsid w:val="00D72321"/>
    <w:rPr>
      <w:rFonts w:ascii="Times New Roman" w:eastAsia="Times New Roman" w:hAnsi="Times New Roman" w:cs="Times New Roman"/>
      <w:sz w:val="24"/>
      <w:szCs w:val="20"/>
      <w:lang w:eastAsia="pt-BR"/>
    </w:rPr>
  </w:style>
  <w:style w:type="paragraph" w:styleId="Rodap">
    <w:name w:val="footer"/>
    <w:basedOn w:val="Normal"/>
    <w:link w:val="RodapChar"/>
    <w:uiPriority w:val="99"/>
    <w:unhideWhenUsed/>
    <w:rsid w:val="00D72321"/>
    <w:pPr>
      <w:tabs>
        <w:tab w:val="center" w:pos="4252"/>
        <w:tab w:val="right" w:pos="8504"/>
      </w:tabs>
    </w:pPr>
  </w:style>
  <w:style w:type="character" w:customStyle="1" w:styleId="RodapChar">
    <w:name w:val="Rodapé Char"/>
    <w:basedOn w:val="Fontepargpadro"/>
    <w:link w:val="Rodap"/>
    <w:uiPriority w:val="99"/>
    <w:rsid w:val="00D72321"/>
    <w:rPr>
      <w:rFonts w:ascii="Times New Roman" w:eastAsia="Times New Roman" w:hAnsi="Times New Roman" w:cs="Times New Roman"/>
      <w:sz w:val="24"/>
      <w:szCs w:val="20"/>
      <w:lang w:eastAsia="pt-BR"/>
    </w:rPr>
  </w:style>
  <w:style w:type="character" w:customStyle="1" w:styleId="apple-style-span">
    <w:name w:val="apple-style-span"/>
    <w:rsid w:val="00D72321"/>
  </w:style>
  <w:style w:type="table" w:styleId="Tabelacomgrade">
    <w:name w:val="Table Grid"/>
    <w:basedOn w:val="Tabelanormal"/>
    <w:uiPriority w:val="59"/>
    <w:rsid w:val="00D72321"/>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72321"/>
    <w:pPr>
      <w:spacing w:before="100" w:beforeAutospacing="1" w:after="100" w:afterAutospacing="1"/>
      <w:jc w:val="left"/>
    </w:pPr>
    <w:rPr>
      <w:szCs w:val="24"/>
    </w:rPr>
  </w:style>
  <w:style w:type="character" w:styleId="nfase">
    <w:name w:val="Emphasis"/>
    <w:uiPriority w:val="20"/>
    <w:qFormat/>
    <w:rsid w:val="00D72321"/>
    <w:rPr>
      <w:i/>
      <w:iCs/>
    </w:rPr>
  </w:style>
  <w:style w:type="character" w:styleId="Hyperlink">
    <w:name w:val="Hyperlink"/>
    <w:basedOn w:val="Fontepargpadro"/>
    <w:uiPriority w:val="99"/>
    <w:unhideWhenUsed/>
    <w:rsid w:val="00D72321"/>
    <w:rPr>
      <w:color w:val="0000FF"/>
      <w:u w:val="single"/>
    </w:rPr>
  </w:style>
  <w:style w:type="character" w:styleId="TextodoEspaoReservado">
    <w:name w:val="Placeholder Text"/>
    <w:basedOn w:val="Fontepargpadro"/>
    <w:uiPriority w:val="99"/>
    <w:semiHidden/>
    <w:rsid w:val="00D72321"/>
    <w:rPr>
      <w:color w:val="808080"/>
    </w:rPr>
  </w:style>
  <w:style w:type="character" w:customStyle="1" w:styleId="highlightedsearchterm">
    <w:name w:val="highlightedsearchterm"/>
    <w:rsid w:val="00D72321"/>
  </w:style>
  <w:style w:type="paragraph" w:styleId="Corpodetexto2">
    <w:name w:val="Body Text 2"/>
    <w:basedOn w:val="Normal"/>
    <w:link w:val="Corpodetexto2Char"/>
    <w:uiPriority w:val="99"/>
    <w:semiHidden/>
    <w:unhideWhenUsed/>
    <w:rsid w:val="00D72321"/>
    <w:pPr>
      <w:spacing w:after="120" w:line="480" w:lineRule="auto"/>
    </w:pPr>
  </w:style>
  <w:style w:type="character" w:customStyle="1" w:styleId="Corpodetexto2Char">
    <w:name w:val="Corpo de texto 2 Char"/>
    <w:basedOn w:val="Fontepargpadro"/>
    <w:link w:val="Corpodetexto2"/>
    <w:uiPriority w:val="99"/>
    <w:semiHidden/>
    <w:rsid w:val="00D72321"/>
    <w:rPr>
      <w:rFonts w:ascii="Times New Roman" w:eastAsia="Times New Roman" w:hAnsi="Times New Roman" w:cs="Times New Roman"/>
      <w:sz w:val="24"/>
      <w:szCs w:val="20"/>
      <w:lang w:eastAsia="pt-BR"/>
    </w:rPr>
  </w:style>
  <w:style w:type="character" w:customStyle="1" w:styleId="TextodecomentrioChar">
    <w:name w:val="Texto de comentário Char"/>
    <w:basedOn w:val="Fontepargpadro"/>
    <w:link w:val="Textodecomentrio"/>
    <w:uiPriority w:val="99"/>
    <w:semiHidden/>
    <w:rsid w:val="00D72321"/>
    <w:rPr>
      <w:rFonts w:ascii="Times New Roman" w:eastAsiaTheme="minorEastAsia" w:hAnsi="Times New Roman"/>
      <w:sz w:val="20"/>
      <w:szCs w:val="20"/>
      <w:lang w:eastAsia="pt-BR"/>
    </w:rPr>
  </w:style>
  <w:style w:type="paragraph" w:styleId="Textodecomentrio">
    <w:name w:val="annotation text"/>
    <w:basedOn w:val="Normal"/>
    <w:link w:val="TextodecomentrioChar"/>
    <w:uiPriority w:val="99"/>
    <w:semiHidden/>
    <w:unhideWhenUsed/>
    <w:rsid w:val="00D72321"/>
    <w:pPr>
      <w:spacing w:after="200"/>
    </w:pPr>
    <w:rPr>
      <w:rFonts w:eastAsiaTheme="minorEastAsia" w:cstheme="minorBidi"/>
      <w:sz w:val="20"/>
    </w:rPr>
  </w:style>
  <w:style w:type="character" w:customStyle="1" w:styleId="TextodecomentrioChar1">
    <w:name w:val="Texto de comentário Char1"/>
    <w:basedOn w:val="Fontepargpadro"/>
    <w:uiPriority w:val="99"/>
    <w:semiHidden/>
    <w:rsid w:val="00D72321"/>
    <w:rPr>
      <w:rFonts w:ascii="Times New Roman" w:eastAsia="Times New Roman" w:hAnsi="Times New Roman" w:cs="Times New Roman"/>
      <w:sz w:val="20"/>
      <w:szCs w:val="20"/>
      <w:lang w:eastAsia="pt-BR"/>
    </w:rPr>
  </w:style>
  <w:style w:type="character" w:customStyle="1" w:styleId="AssuntodocomentrioChar">
    <w:name w:val="Assunto do comentário Char"/>
    <w:basedOn w:val="TextodecomentrioChar"/>
    <w:link w:val="Assuntodocomentrio"/>
    <w:uiPriority w:val="99"/>
    <w:semiHidden/>
    <w:rsid w:val="00D72321"/>
    <w:rPr>
      <w:rFonts w:ascii="Times New Roman" w:eastAsiaTheme="minorEastAsia" w:hAnsi="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D72321"/>
    <w:rPr>
      <w:b/>
      <w:bCs/>
    </w:rPr>
  </w:style>
  <w:style w:type="character" w:customStyle="1" w:styleId="AssuntodocomentrioChar1">
    <w:name w:val="Assunto do comentário Char1"/>
    <w:basedOn w:val="TextodecomentrioChar1"/>
    <w:uiPriority w:val="99"/>
    <w:semiHidden/>
    <w:rsid w:val="00D72321"/>
    <w:rPr>
      <w:rFonts w:ascii="Times New Roman" w:eastAsia="Times New Roman" w:hAnsi="Times New Roman" w:cs="Times New Roman"/>
      <w:b/>
      <w:bCs/>
      <w:sz w:val="20"/>
      <w:szCs w:val="20"/>
      <w:lang w:eastAsia="pt-BR"/>
    </w:rPr>
  </w:style>
  <w:style w:type="paragraph" w:customStyle="1" w:styleId="Estilo1">
    <w:name w:val="Estilo1"/>
    <w:basedOn w:val="Normal"/>
    <w:autoRedefine/>
    <w:qFormat/>
    <w:rsid w:val="00D72321"/>
    <w:pPr>
      <w:spacing w:line="360" w:lineRule="auto"/>
      <w:ind w:firstLine="709"/>
    </w:pPr>
    <w:rPr>
      <w:rFonts w:eastAsiaTheme="minorEastAsia"/>
      <w:szCs w:val="24"/>
    </w:rPr>
  </w:style>
  <w:style w:type="character" w:styleId="Refdecomentrio">
    <w:name w:val="annotation reference"/>
    <w:basedOn w:val="Fontepargpadro"/>
    <w:uiPriority w:val="99"/>
    <w:semiHidden/>
    <w:unhideWhenUsed/>
    <w:rsid w:val="002040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CA"/>
    <w:pPr>
      <w:spacing w:after="0" w:line="240" w:lineRule="auto"/>
      <w:jc w:val="both"/>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unhideWhenUsed/>
    <w:rsid w:val="009B58CA"/>
    <w:pPr>
      <w:spacing w:after="120"/>
      <w:ind w:left="283"/>
    </w:pPr>
  </w:style>
  <w:style w:type="character" w:customStyle="1" w:styleId="RecuodecorpodetextoChar">
    <w:name w:val="Recuo de corpo de texto Char"/>
    <w:basedOn w:val="Fontepargpadro"/>
    <w:link w:val="Recuodecorpodetexto"/>
    <w:uiPriority w:val="99"/>
    <w:rsid w:val="009B58CA"/>
    <w:rPr>
      <w:rFonts w:ascii="Times New Roman" w:eastAsia="Times New Roman" w:hAnsi="Times New Roman" w:cs="Times New Roman"/>
      <w:sz w:val="24"/>
      <w:szCs w:val="20"/>
      <w:lang w:eastAsia="pt-BR"/>
    </w:rPr>
  </w:style>
  <w:style w:type="character" w:customStyle="1" w:styleId="apple-converted-space">
    <w:name w:val="apple-converted-space"/>
    <w:rsid w:val="009B58CA"/>
  </w:style>
  <w:style w:type="paragraph" w:styleId="Textodebalo">
    <w:name w:val="Balloon Text"/>
    <w:basedOn w:val="Normal"/>
    <w:link w:val="TextodebaloChar"/>
    <w:uiPriority w:val="99"/>
    <w:semiHidden/>
    <w:unhideWhenUsed/>
    <w:rsid w:val="009B58CA"/>
    <w:rPr>
      <w:rFonts w:ascii="Tahoma" w:hAnsi="Tahoma" w:cs="Tahoma"/>
      <w:sz w:val="16"/>
      <w:szCs w:val="16"/>
    </w:rPr>
  </w:style>
  <w:style w:type="character" w:customStyle="1" w:styleId="TextodebaloChar">
    <w:name w:val="Texto de balão Char"/>
    <w:basedOn w:val="Fontepargpadro"/>
    <w:link w:val="Textodebalo"/>
    <w:uiPriority w:val="99"/>
    <w:semiHidden/>
    <w:rsid w:val="009B58CA"/>
    <w:rPr>
      <w:rFonts w:ascii="Tahoma" w:eastAsia="Times New Roman" w:hAnsi="Tahoma" w:cs="Tahoma"/>
      <w:sz w:val="16"/>
      <w:szCs w:val="16"/>
      <w:lang w:eastAsia="pt-BR"/>
    </w:rPr>
  </w:style>
  <w:style w:type="character" w:customStyle="1" w:styleId="hps">
    <w:name w:val="hps"/>
    <w:rsid w:val="00F44A4E"/>
  </w:style>
  <w:style w:type="paragraph" w:styleId="Textodenotaderodap">
    <w:name w:val="footnote text"/>
    <w:basedOn w:val="Normal"/>
    <w:link w:val="TextodenotaderodapChar"/>
    <w:uiPriority w:val="99"/>
    <w:rsid w:val="00E11DBA"/>
    <w:pPr>
      <w:jc w:val="left"/>
    </w:pPr>
    <w:rPr>
      <w:rFonts w:eastAsia="Batang"/>
      <w:sz w:val="20"/>
    </w:rPr>
  </w:style>
  <w:style w:type="character" w:customStyle="1" w:styleId="TextodenotaderodapChar">
    <w:name w:val="Texto de nota de rodapé Char"/>
    <w:basedOn w:val="Fontepargpadro"/>
    <w:link w:val="Textodenotaderodap"/>
    <w:uiPriority w:val="99"/>
    <w:rsid w:val="00E11DBA"/>
    <w:rPr>
      <w:rFonts w:ascii="Times New Roman" w:eastAsia="Batang" w:hAnsi="Times New Roman" w:cs="Times New Roman"/>
      <w:sz w:val="20"/>
      <w:szCs w:val="20"/>
      <w:lang w:eastAsia="pt-BR"/>
    </w:rPr>
  </w:style>
  <w:style w:type="paragraph" w:customStyle="1" w:styleId="Default">
    <w:name w:val="Default"/>
    <w:rsid w:val="00E11DBA"/>
    <w:pPr>
      <w:autoSpaceDE w:val="0"/>
      <w:autoSpaceDN w:val="0"/>
      <w:adjustRightInd w:val="0"/>
      <w:spacing w:after="0" w:line="240" w:lineRule="auto"/>
    </w:pPr>
    <w:rPr>
      <w:rFonts w:ascii="FOAHIF+TimesNewRoman,Italic" w:eastAsia="Times New Roman" w:hAnsi="FOAHIF+TimesNewRoman,Italic" w:cs="FOAHIF+TimesNewRoman,Italic"/>
      <w:color w:val="000000"/>
      <w:sz w:val="24"/>
      <w:szCs w:val="24"/>
    </w:rPr>
  </w:style>
  <w:style w:type="character" w:styleId="Refdenotaderodap">
    <w:name w:val="footnote reference"/>
    <w:uiPriority w:val="99"/>
    <w:rsid w:val="00FE71BB"/>
    <w:rPr>
      <w:vertAlign w:val="superscript"/>
    </w:rPr>
  </w:style>
  <w:style w:type="paragraph" w:styleId="PargrafodaLista">
    <w:name w:val="List Paragraph"/>
    <w:basedOn w:val="Normal"/>
    <w:uiPriority w:val="34"/>
    <w:qFormat/>
    <w:rsid w:val="00D72321"/>
    <w:pPr>
      <w:ind w:left="720"/>
      <w:contextualSpacing/>
    </w:pPr>
  </w:style>
  <w:style w:type="paragraph" w:styleId="Cabealho">
    <w:name w:val="header"/>
    <w:basedOn w:val="Normal"/>
    <w:link w:val="CabealhoChar"/>
    <w:uiPriority w:val="99"/>
    <w:unhideWhenUsed/>
    <w:rsid w:val="00D72321"/>
    <w:pPr>
      <w:tabs>
        <w:tab w:val="center" w:pos="4252"/>
        <w:tab w:val="right" w:pos="8504"/>
      </w:tabs>
    </w:pPr>
  </w:style>
  <w:style w:type="character" w:customStyle="1" w:styleId="CabealhoChar">
    <w:name w:val="Cabeçalho Char"/>
    <w:basedOn w:val="Fontepargpadro"/>
    <w:link w:val="Cabealho"/>
    <w:uiPriority w:val="99"/>
    <w:rsid w:val="00D72321"/>
    <w:rPr>
      <w:rFonts w:ascii="Times New Roman" w:eastAsia="Times New Roman" w:hAnsi="Times New Roman" w:cs="Times New Roman"/>
      <w:sz w:val="24"/>
      <w:szCs w:val="20"/>
      <w:lang w:eastAsia="pt-BR"/>
    </w:rPr>
  </w:style>
  <w:style w:type="paragraph" w:styleId="Rodap">
    <w:name w:val="footer"/>
    <w:basedOn w:val="Normal"/>
    <w:link w:val="RodapChar"/>
    <w:uiPriority w:val="99"/>
    <w:unhideWhenUsed/>
    <w:rsid w:val="00D72321"/>
    <w:pPr>
      <w:tabs>
        <w:tab w:val="center" w:pos="4252"/>
        <w:tab w:val="right" w:pos="8504"/>
      </w:tabs>
    </w:pPr>
  </w:style>
  <w:style w:type="character" w:customStyle="1" w:styleId="RodapChar">
    <w:name w:val="Rodapé Char"/>
    <w:basedOn w:val="Fontepargpadro"/>
    <w:link w:val="Rodap"/>
    <w:uiPriority w:val="99"/>
    <w:rsid w:val="00D72321"/>
    <w:rPr>
      <w:rFonts w:ascii="Times New Roman" w:eastAsia="Times New Roman" w:hAnsi="Times New Roman" w:cs="Times New Roman"/>
      <w:sz w:val="24"/>
      <w:szCs w:val="20"/>
      <w:lang w:eastAsia="pt-BR"/>
    </w:rPr>
  </w:style>
  <w:style w:type="character" w:customStyle="1" w:styleId="apple-style-span">
    <w:name w:val="apple-style-span"/>
    <w:rsid w:val="00D72321"/>
  </w:style>
  <w:style w:type="table" w:styleId="Tabelacomgrade">
    <w:name w:val="Table Grid"/>
    <w:basedOn w:val="Tabelanormal"/>
    <w:uiPriority w:val="59"/>
    <w:rsid w:val="00D72321"/>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72321"/>
    <w:pPr>
      <w:spacing w:before="100" w:beforeAutospacing="1" w:after="100" w:afterAutospacing="1"/>
      <w:jc w:val="left"/>
    </w:pPr>
    <w:rPr>
      <w:szCs w:val="24"/>
    </w:rPr>
  </w:style>
  <w:style w:type="character" w:styleId="nfase">
    <w:name w:val="Emphasis"/>
    <w:uiPriority w:val="20"/>
    <w:qFormat/>
    <w:rsid w:val="00D72321"/>
    <w:rPr>
      <w:i/>
      <w:iCs/>
    </w:rPr>
  </w:style>
  <w:style w:type="character" w:styleId="Hyperlink">
    <w:name w:val="Hyperlink"/>
    <w:basedOn w:val="Fontepargpadro"/>
    <w:uiPriority w:val="99"/>
    <w:unhideWhenUsed/>
    <w:rsid w:val="00D72321"/>
    <w:rPr>
      <w:color w:val="0000FF"/>
      <w:u w:val="single"/>
    </w:rPr>
  </w:style>
  <w:style w:type="character" w:styleId="TextodoEspaoReservado">
    <w:name w:val="Placeholder Text"/>
    <w:basedOn w:val="Fontepargpadro"/>
    <w:uiPriority w:val="99"/>
    <w:semiHidden/>
    <w:rsid w:val="00D72321"/>
    <w:rPr>
      <w:color w:val="808080"/>
    </w:rPr>
  </w:style>
  <w:style w:type="character" w:customStyle="1" w:styleId="highlightedsearchterm">
    <w:name w:val="highlightedsearchterm"/>
    <w:rsid w:val="00D72321"/>
  </w:style>
  <w:style w:type="paragraph" w:styleId="Corpodetexto2">
    <w:name w:val="Body Text 2"/>
    <w:basedOn w:val="Normal"/>
    <w:link w:val="Corpodetexto2Char"/>
    <w:uiPriority w:val="99"/>
    <w:semiHidden/>
    <w:unhideWhenUsed/>
    <w:rsid w:val="00D72321"/>
    <w:pPr>
      <w:spacing w:after="120" w:line="480" w:lineRule="auto"/>
    </w:pPr>
  </w:style>
  <w:style w:type="character" w:customStyle="1" w:styleId="Corpodetexto2Char">
    <w:name w:val="Corpo de texto 2 Char"/>
    <w:basedOn w:val="Fontepargpadro"/>
    <w:link w:val="Corpodetexto2"/>
    <w:uiPriority w:val="99"/>
    <w:semiHidden/>
    <w:rsid w:val="00D72321"/>
    <w:rPr>
      <w:rFonts w:ascii="Times New Roman" w:eastAsia="Times New Roman" w:hAnsi="Times New Roman" w:cs="Times New Roman"/>
      <w:sz w:val="24"/>
      <w:szCs w:val="20"/>
      <w:lang w:eastAsia="pt-BR"/>
    </w:rPr>
  </w:style>
  <w:style w:type="character" w:customStyle="1" w:styleId="TextodecomentrioChar">
    <w:name w:val="Texto de comentário Char"/>
    <w:basedOn w:val="Fontepargpadro"/>
    <w:link w:val="Textodecomentrio"/>
    <w:uiPriority w:val="99"/>
    <w:semiHidden/>
    <w:rsid w:val="00D72321"/>
    <w:rPr>
      <w:rFonts w:ascii="Times New Roman" w:eastAsiaTheme="minorEastAsia" w:hAnsi="Times New Roman"/>
      <w:sz w:val="20"/>
      <w:szCs w:val="20"/>
      <w:lang w:eastAsia="pt-BR"/>
    </w:rPr>
  </w:style>
  <w:style w:type="paragraph" w:styleId="Textodecomentrio">
    <w:name w:val="annotation text"/>
    <w:basedOn w:val="Normal"/>
    <w:link w:val="TextodecomentrioChar"/>
    <w:uiPriority w:val="99"/>
    <w:semiHidden/>
    <w:unhideWhenUsed/>
    <w:rsid w:val="00D72321"/>
    <w:pPr>
      <w:spacing w:after="200"/>
    </w:pPr>
    <w:rPr>
      <w:rFonts w:eastAsiaTheme="minorEastAsia" w:cstheme="minorBidi"/>
      <w:sz w:val="20"/>
    </w:rPr>
  </w:style>
  <w:style w:type="character" w:customStyle="1" w:styleId="TextodecomentrioChar1">
    <w:name w:val="Texto de comentário Char1"/>
    <w:basedOn w:val="Fontepargpadro"/>
    <w:uiPriority w:val="99"/>
    <w:semiHidden/>
    <w:rsid w:val="00D72321"/>
    <w:rPr>
      <w:rFonts w:ascii="Times New Roman" w:eastAsia="Times New Roman" w:hAnsi="Times New Roman" w:cs="Times New Roman"/>
      <w:sz w:val="20"/>
      <w:szCs w:val="20"/>
      <w:lang w:eastAsia="pt-BR"/>
    </w:rPr>
  </w:style>
  <w:style w:type="character" w:customStyle="1" w:styleId="AssuntodocomentrioChar">
    <w:name w:val="Assunto do comentário Char"/>
    <w:basedOn w:val="TextodecomentrioChar"/>
    <w:link w:val="Assuntodocomentrio"/>
    <w:uiPriority w:val="99"/>
    <w:semiHidden/>
    <w:rsid w:val="00D72321"/>
    <w:rPr>
      <w:rFonts w:ascii="Times New Roman" w:eastAsiaTheme="minorEastAsia" w:hAnsi="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D72321"/>
    <w:rPr>
      <w:b/>
      <w:bCs/>
    </w:rPr>
  </w:style>
  <w:style w:type="character" w:customStyle="1" w:styleId="AssuntodocomentrioChar1">
    <w:name w:val="Assunto do comentário Char1"/>
    <w:basedOn w:val="TextodecomentrioChar1"/>
    <w:uiPriority w:val="99"/>
    <w:semiHidden/>
    <w:rsid w:val="00D72321"/>
    <w:rPr>
      <w:rFonts w:ascii="Times New Roman" w:eastAsia="Times New Roman" w:hAnsi="Times New Roman" w:cs="Times New Roman"/>
      <w:b/>
      <w:bCs/>
      <w:sz w:val="20"/>
      <w:szCs w:val="20"/>
      <w:lang w:eastAsia="pt-BR"/>
    </w:rPr>
  </w:style>
  <w:style w:type="paragraph" w:customStyle="1" w:styleId="Estilo1">
    <w:name w:val="Estilo1"/>
    <w:basedOn w:val="Normal"/>
    <w:autoRedefine/>
    <w:qFormat/>
    <w:rsid w:val="00D72321"/>
    <w:pPr>
      <w:spacing w:line="360" w:lineRule="auto"/>
      <w:ind w:firstLine="709"/>
    </w:pPr>
    <w:rPr>
      <w:rFonts w:eastAsiaTheme="minorEastAsia"/>
      <w:szCs w:val="24"/>
    </w:rPr>
  </w:style>
  <w:style w:type="character" w:styleId="Refdecomentrio">
    <w:name w:val="annotation reference"/>
    <w:basedOn w:val="Fontepargpadro"/>
    <w:uiPriority w:val="99"/>
    <w:semiHidden/>
    <w:unhideWhenUsed/>
    <w:rsid w:val="002040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242">
      <w:bodyDiv w:val="1"/>
      <w:marLeft w:val="0"/>
      <w:marRight w:val="0"/>
      <w:marTop w:val="0"/>
      <w:marBottom w:val="0"/>
      <w:divBdr>
        <w:top w:val="none" w:sz="0" w:space="0" w:color="auto"/>
        <w:left w:val="none" w:sz="0" w:space="0" w:color="auto"/>
        <w:bottom w:val="none" w:sz="0" w:space="0" w:color="auto"/>
        <w:right w:val="none" w:sz="0" w:space="0" w:color="auto"/>
      </w:divBdr>
      <w:divsChild>
        <w:div w:id="1932467405">
          <w:marLeft w:val="0"/>
          <w:marRight w:val="0"/>
          <w:marTop w:val="0"/>
          <w:marBottom w:val="0"/>
          <w:divBdr>
            <w:top w:val="none" w:sz="0" w:space="0" w:color="auto"/>
            <w:left w:val="none" w:sz="0" w:space="0" w:color="auto"/>
            <w:bottom w:val="none" w:sz="0" w:space="0" w:color="auto"/>
            <w:right w:val="none" w:sz="0" w:space="0" w:color="auto"/>
          </w:divBdr>
        </w:div>
        <w:div w:id="179209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lparre@ue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2AEF-0F84-420E-93EF-C428D6AD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7925</Words>
  <Characters>42798</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50622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Rodrigues</cp:lastModifiedBy>
  <cp:revision>2</cp:revision>
  <dcterms:created xsi:type="dcterms:W3CDTF">2013-07-15T12:13:00Z</dcterms:created>
  <dcterms:modified xsi:type="dcterms:W3CDTF">2013-07-20T17:06:00Z</dcterms:modified>
</cp:coreProperties>
</file>