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6E8" w:rsidRPr="00D71CD1" w:rsidRDefault="005326E8" w:rsidP="00D71CD1">
      <w:pPr>
        <w:spacing w:after="0" w:line="240" w:lineRule="auto"/>
        <w:ind w:firstLine="708"/>
        <w:jc w:val="center"/>
        <w:rPr>
          <w:rFonts w:ascii="Times New Roman" w:hAnsi="Times New Roman" w:cs="Times New Roman"/>
          <w:b/>
          <w:sz w:val="24"/>
          <w:szCs w:val="24"/>
        </w:rPr>
      </w:pPr>
      <w:r w:rsidRPr="00D71CD1">
        <w:rPr>
          <w:rFonts w:ascii="Times New Roman" w:hAnsi="Times New Roman" w:cs="Times New Roman"/>
          <w:b/>
          <w:sz w:val="24"/>
          <w:szCs w:val="24"/>
        </w:rPr>
        <w:t xml:space="preserve">CUSTO DE LIQUIDEZ DO CONTRATO FUTURO DE SOJA DA </w:t>
      </w:r>
      <w:proofErr w:type="spellStart"/>
      <w:r w:rsidRPr="00D71CD1">
        <w:rPr>
          <w:rFonts w:ascii="Times New Roman" w:hAnsi="Times New Roman" w:cs="Times New Roman"/>
          <w:b/>
          <w:sz w:val="24"/>
          <w:szCs w:val="24"/>
        </w:rPr>
        <w:t>BM&amp;FBOVESPA</w:t>
      </w:r>
      <w:proofErr w:type="spellEnd"/>
      <w:r w:rsidRPr="00D71CD1">
        <w:rPr>
          <w:rFonts w:ascii="Times New Roman" w:hAnsi="Times New Roman" w:cs="Times New Roman"/>
          <w:b/>
          <w:sz w:val="24"/>
          <w:szCs w:val="24"/>
        </w:rPr>
        <w:t xml:space="preserve"> </w:t>
      </w:r>
    </w:p>
    <w:p w:rsidR="005326E8" w:rsidRPr="00D71CD1" w:rsidRDefault="005326E8" w:rsidP="00D71CD1">
      <w:pPr>
        <w:autoSpaceDE w:val="0"/>
        <w:autoSpaceDN w:val="0"/>
        <w:adjustRightInd w:val="0"/>
        <w:spacing w:after="0" w:line="240" w:lineRule="auto"/>
        <w:jc w:val="both"/>
        <w:rPr>
          <w:rFonts w:ascii="Times New Roman" w:eastAsia="Calibri" w:hAnsi="Times New Roman" w:cs="Times New Roman"/>
          <w:b/>
          <w:sz w:val="24"/>
          <w:szCs w:val="24"/>
        </w:rPr>
      </w:pPr>
    </w:p>
    <w:p w:rsidR="002470D3" w:rsidRDefault="00FC6BF2" w:rsidP="002470D3">
      <w:pPr>
        <w:pStyle w:val="Textodenotaderodap"/>
        <w:spacing w:line="480" w:lineRule="auto"/>
        <w:jc w:val="right"/>
        <w:rPr>
          <w:rFonts w:ascii="Times New Roman" w:hAnsi="Times New Roman" w:cs="Times New Roman"/>
          <w:b/>
          <w:sz w:val="24"/>
        </w:rPr>
      </w:pPr>
      <w:r w:rsidRPr="002470D3">
        <w:rPr>
          <w:rFonts w:ascii="Times New Roman" w:hAnsi="Times New Roman" w:cs="Times New Roman"/>
          <w:b/>
          <w:sz w:val="24"/>
        </w:rPr>
        <w:t xml:space="preserve">Charles </w:t>
      </w:r>
      <w:proofErr w:type="spellStart"/>
      <w:r w:rsidRPr="002470D3">
        <w:rPr>
          <w:rFonts w:ascii="Times New Roman" w:hAnsi="Times New Roman" w:cs="Times New Roman"/>
          <w:b/>
          <w:sz w:val="24"/>
        </w:rPr>
        <w:t>Luan</w:t>
      </w:r>
      <w:proofErr w:type="spellEnd"/>
      <w:r w:rsidRPr="002470D3">
        <w:rPr>
          <w:rFonts w:ascii="Times New Roman" w:hAnsi="Times New Roman" w:cs="Times New Roman"/>
          <w:b/>
          <w:sz w:val="24"/>
        </w:rPr>
        <w:t xml:space="preserve"> </w:t>
      </w:r>
      <w:proofErr w:type="spellStart"/>
      <w:r w:rsidRPr="002470D3">
        <w:rPr>
          <w:rFonts w:ascii="Times New Roman" w:hAnsi="Times New Roman" w:cs="Times New Roman"/>
          <w:b/>
          <w:sz w:val="24"/>
        </w:rPr>
        <w:t>Marquezin</w:t>
      </w:r>
      <w:proofErr w:type="spellEnd"/>
      <w:r w:rsidRPr="002470D3">
        <w:rPr>
          <w:rStyle w:val="Refdenotaderodap"/>
          <w:rFonts w:ascii="Times New Roman" w:hAnsi="Times New Roman" w:cs="Times New Roman"/>
          <w:b/>
          <w:sz w:val="24"/>
        </w:rPr>
        <w:footnoteReference w:customMarkFollows="1" w:id="1"/>
        <w:sym w:font="Symbol" w:char="F02A"/>
      </w:r>
      <w:r w:rsidRPr="002470D3">
        <w:rPr>
          <w:rFonts w:ascii="Times New Roman" w:hAnsi="Times New Roman" w:cs="Times New Roman"/>
          <w:b/>
          <w:sz w:val="24"/>
        </w:rPr>
        <w:t xml:space="preserve"> </w:t>
      </w:r>
    </w:p>
    <w:p w:rsidR="00FC6BF2" w:rsidRPr="002470D3" w:rsidRDefault="00FC6BF2" w:rsidP="002470D3">
      <w:pPr>
        <w:pStyle w:val="Textodenotaderodap"/>
        <w:spacing w:line="480" w:lineRule="auto"/>
        <w:jc w:val="right"/>
        <w:rPr>
          <w:rFonts w:ascii="Times New Roman" w:hAnsi="Times New Roman" w:cs="Times New Roman"/>
          <w:b/>
          <w:sz w:val="24"/>
        </w:rPr>
      </w:pPr>
      <w:r w:rsidRPr="002470D3">
        <w:rPr>
          <w:rFonts w:ascii="Times New Roman" w:hAnsi="Times New Roman" w:cs="Times New Roman"/>
          <w:b/>
          <w:sz w:val="24"/>
        </w:rPr>
        <w:t xml:space="preserve">Leonardo </w:t>
      </w:r>
      <w:proofErr w:type="spellStart"/>
      <w:r w:rsidRPr="002470D3">
        <w:rPr>
          <w:rFonts w:ascii="Times New Roman" w:hAnsi="Times New Roman" w:cs="Times New Roman"/>
          <w:b/>
          <w:sz w:val="24"/>
        </w:rPr>
        <w:t>Bornacki</w:t>
      </w:r>
      <w:proofErr w:type="spellEnd"/>
      <w:r w:rsidRPr="002470D3">
        <w:rPr>
          <w:rFonts w:ascii="Times New Roman" w:hAnsi="Times New Roman" w:cs="Times New Roman"/>
          <w:b/>
          <w:sz w:val="24"/>
        </w:rPr>
        <w:t xml:space="preserve"> de Mattos</w:t>
      </w:r>
      <w:r w:rsidRPr="002470D3">
        <w:rPr>
          <w:rStyle w:val="Refdenotaderodap"/>
          <w:rFonts w:ascii="Times New Roman" w:hAnsi="Times New Roman" w:cs="Times New Roman"/>
          <w:b/>
          <w:sz w:val="24"/>
        </w:rPr>
        <w:footnoteReference w:customMarkFollows="1" w:id="2"/>
        <w:t>**</w:t>
      </w:r>
    </w:p>
    <w:p w:rsidR="00FC6BF2" w:rsidRPr="00D71CD1" w:rsidRDefault="00FC6BF2" w:rsidP="00D71CD1">
      <w:pPr>
        <w:autoSpaceDE w:val="0"/>
        <w:autoSpaceDN w:val="0"/>
        <w:adjustRightInd w:val="0"/>
        <w:spacing w:after="0" w:line="240" w:lineRule="auto"/>
        <w:jc w:val="both"/>
        <w:rPr>
          <w:rFonts w:ascii="Times New Roman" w:eastAsia="Calibri" w:hAnsi="Times New Roman" w:cs="Times New Roman"/>
          <w:b/>
          <w:sz w:val="24"/>
          <w:szCs w:val="24"/>
        </w:rPr>
      </w:pPr>
    </w:p>
    <w:p w:rsidR="00BD488C" w:rsidRDefault="00CA596F" w:rsidP="00D71CD1">
      <w:pPr>
        <w:autoSpaceDE w:val="0"/>
        <w:autoSpaceDN w:val="0"/>
        <w:adjustRightInd w:val="0"/>
        <w:spacing w:after="0" w:line="240" w:lineRule="auto"/>
        <w:jc w:val="both"/>
        <w:rPr>
          <w:rFonts w:ascii="Times New Roman" w:eastAsia="Calibri" w:hAnsi="Times New Roman" w:cs="Times New Roman"/>
          <w:b/>
          <w:sz w:val="24"/>
          <w:szCs w:val="24"/>
        </w:rPr>
      </w:pPr>
      <w:r w:rsidRPr="00D71CD1">
        <w:rPr>
          <w:rFonts w:ascii="Times New Roman" w:eastAsia="Calibri" w:hAnsi="Times New Roman" w:cs="Times New Roman"/>
          <w:b/>
          <w:sz w:val="24"/>
          <w:szCs w:val="24"/>
        </w:rPr>
        <w:t>R</w:t>
      </w:r>
      <w:r w:rsidR="00BD488C">
        <w:rPr>
          <w:rFonts w:ascii="Times New Roman" w:eastAsia="Calibri" w:hAnsi="Times New Roman" w:cs="Times New Roman"/>
          <w:b/>
          <w:sz w:val="24"/>
          <w:szCs w:val="24"/>
        </w:rPr>
        <w:t>ESUMO</w:t>
      </w:r>
      <w:r w:rsidR="00304FB9" w:rsidRPr="00D71CD1">
        <w:rPr>
          <w:rFonts w:ascii="Times New Roman" w:eastAsia="Calibri" w:hAnsi="Times New Roman" w:cs="Times New Roman"/>
          <w:b/>
          <w:sz w:val="24"/>
          <w:szCs w:val="24"/>
        </w:rPr>
        <w:t xml:space="preserve"> </w:t>
      </w:r>
    </w:p>
    <w:p w:rsidR="00EF7A59" w:rsidRPr="00D71CD1" w:rsidRDefault="00C972CF" w:rsidP="00D71CD1">
      <w:pPr>
        <w:autoSpaceDE w:val="0"/>
        <w:autoSpaceDN w:val="0"/>
        <w:adjustRightInd w:val="0"/>
        <w:spacing w:after="0" w:line="240" w:lineRule="auto"/>
        <w:jc w:val="both"/>
        <w:rPr>
          <w:rFonts w:ascii="Times New Roman" w:eastAsia="Calibri" w:hAnsi="Times New Roman" w:cs="Times New Roman"/>
          <w:sz w:val="24"/>
          <w:szCs w:val="24"/>
        </w:rPr>
      </w:pPr>
      <w:r w:rsidRPr="00D71CD1">
        <w:rPr>
          <w:rFonts w:ascii="Times New Roman" w:hAnsi="Times New Roman" w:cs="Times New Roman"/>
          <w:sz w:val="24"/>
          <w:szCs w:val="24"/>
        </w:rPr>
        <w:t xml:space="preserve">O propósito do referente trabalho foi analisar o custo de liquidez envolvido no contrato futuro de soja da </w:t>
      </w:r>
      <w:proofErr w:type="spellStart"/>
      <w:r w:rsidRPr="00D71CD1">
        <w:rPr>
          <w:rFonts w:ascii="Times New Roman" w:hAnsi="Times New Roman" w:cs="Times New Roman"/>
          <w:sz w:val="24"/>
          <w:szCs w:val="24"/>
        </w:rPr>
        <w:t>BM&amp;FBOVESPA</w:t>
      </w:r>
      <w:proofErr w:type="spellEnd"/>
      <w:r w:rsidRPr="00D71CD1">
        <w:rPr>
          <w:rFonts w:ascii="Times New Roman" w:hAnsi="Times New Roman" w:cs="Times New Roman"/>
          <w:sz w:val="24"/>
          <w:szCs w:val="24"/>
        </w:rPr>
        <w:t xml:space="preserve"> e seus determinantes, no período de setembro de 2010 a fevereiro de 2013. </w:t>
      </w:r>
      <w:r w:rsidR="00EF7A59" w:rsidRPr="00D71CD1">
        <w:rPr>
          <w:rFonts w:ascii="Times New Roman" w:eastAsia="Calibri" w:hAnsi="Times New Roman" w:cs="Times New Roman"/>
          <w:sz w:val="24"/>
          <w:szCs w:val="24"/>
        </w:rPr>
        <w:t>Para tanto, utiliza</w:t>
      </w:r>
      <w:r w:rsidR="00567504" w:rsidRPr="00D71CD1">
        <w:rPr>
          <w:rFonts w:ascii="Times New Roman" w:eastAsia="Calibri" w:hAnsi="Times New Roman" w:cs="Times New Roman"/>
          <w:sz w:val="24"/>
          <w:szCs w:val="24"/>
        </w:rPr>
        <w:t>m</w:t>
      </w:r>
      <w:r w:rsidR="00EF7A59" w:rsidRPr="00D71CD1">
        <w:rPr>
          <w:rFonts w:ascii="Times New Roman" w:eastAsia="Calibri" w:hAnsi="Times New Roman" w:cs="Times New Roman"/>
          <w:sz w:val="24"/>
          <w:szCs w:val="24"/>
        </w:rPr>
        <w:t xml:space="preserve">-se </w:t>
      </w:r>
      <w:r w:rsidR="00567504" w:rsidRPr="00D71CD1">
        <w:rPr>
          <w:rFonts w:ascii="Times New Roman" w:eastAsia="Calibri" w:hAnsi="Times New Roman" w:cs="Times New Roman"/>
          <w:sz w:val="24"/>
          <w:szCs w:val="24"/>
        </w:rPr>
        <w:t>d</w:t>
      </w:r>
      <w:r w:rsidR="00EF7A59" w:rsidRPr="00D71CD1">
        <w:rPr>
          <w:rFonts w:ascii="Times New Roman" w:eastAsia="Calibri" w:hAnsi="Times New Roman" w:cs="Times New Roman"/>
          <w:sz w:val="24"/>
          <w:szCs w:val="24"/>
        </w:rPr>
        <w:t xml:space="preserve">a diferença entre </w:t>
      </w:r>
      <w:r w:rsidR="00EF7A59" w:rsidRPr="00D71CD1">
        <w:rPr>
          <w:rFonts w:ascii="Times New Roman" w:hAnsi="Times New Roman" w:cs="Times New Roman"/>
          <w:sz w:val="24"/>
          <w:szCs w:val="24"/>
        </w:rPr>
        <w:t>o preço ofertado para compra e o preço ofertado de venda do contrato em intervalos curtos,</w:t>
      </w:r>
      <w:r w:rsidRPr="00D71CD1">
        <w:rPr>
          <w:rFonts w:ascii="Times New Roman" w:hAnsi="Times New Roman" w:cs="Times New Roman"/>
          <w:sz w:val="24"/>
          <w:szCs w:val="24"/>
        </w:rPr>
        <w:t xml:space="preserve"> </w:t>
      </w:r>
      <w:r w:rsidR="00F71B09">
        <w:rPr>
          <w:rFonts w:ascii="Times New Roman" w:hAnsi="Times New Roman" w:cs="Times New Roman"/>
          <w:sz w:val="24"/>
          <w:szCs w:val="24"/>
        </w:rPr>
        <w:t>definido</w:t>
      </w:r>
      <w:r w:rsidRPr="00D71CD1">
        <w:rPr>
          <w:rFonts w:ascii="Times New Roman" w:hAnsi="Times New Roman" w:cs="Times New Roman"/>
          <w:sz w:val="24"/>
          <w:szCs w:val="24"/>
        </w:rPr>
        <w:t xml:space="preserve"> como </w:t>
      </w:r>
      <w:proofErr w:type="spellStart"/>
      <w:proofErr w:type="gramStart"/>
      <w:r w:rsidRPr="00D71CD1">
        <w:rPr>
          <w:rFonts w:ascii="Times New Roman" w:hAnsi="Times New Roman" w:cs="Times New Roman"/>
          <w:i/>
          <w:sz w:val="24"/>
          <w:szCs w:val="24"/>
        </w:rPr>
        <w:t>bid</w:t>
      </w:r>
      <w:proofErr w:type="gramEnd"/>
      <w:r w:rsidRPr="00D71CD1">
        <w:rPr>
          <w:rFonts w:ascii="Times New Roman" w:hAnsi="Times New Roman" w:cs="Times New Roman"/>
          <w:i/>
          <w:sz w:val="24"/>
          <w:szCs w:val="24"/>
        </w:rPr>
        <w:t>-ask</w:t>
      </w:r>
      <w:proofErr w:type="spellEnd"/>
      <w:r w:rsidRPr="00D71CD1">
        <w:rPr>
          <w:rFonts w:ascii="Times New Roman" w:hAnsi="Times New Roman" w:cs="Times New Roman"/>
          <w:i/>
          <w:sz w:val="24"/>
          <w:szCs w:val="24"/>
        </w:rPr>
        <w:t xml:space="preserve"> spread</w:t>
      </w:r>
      <w:r w:rsidRPr="00D71CD1">
        <w:rPr>
          <w:rFonts w:ascii="Times New Roman" w:hAnsi="Times New Roman" w:cs="Times New Roman"/>
          <w:sz w:val="24"/>
          <w:szCs w:val="24"/>
        </w:rPr>
        <w:t xml:space="preserve">. </w:t>
      </w:r>
      <w:r w:rsidR="00F71B09">
        <w:rPr>
          <w:rFonts w:ascii="Times New Roman" w:hAnsi="Times New Roman" w:cs="Times New Roman"/>
          <w:sz w:val="24"/>
          <w:szCs w:val="24"/>
        </w:rPr>
        <w:t xml:space="preserve">Outro objetivo deste trabalho é comparar as estimações do </w:t>
      </w:r>
      <w:proofErr w:type="spellStart"/>
      <w:proofErr w:type="gramStart"/>
      <w:r w:rsidRPr="00D71CD1">
        <w:rPr>
          <w:rFonts w:ascii="Times New Roman" w:hAnsi="Times New Roman" w:cs="Times New Roman"/>
          <w:i/>
          <w:sz w:val="24"/>
          <w:szCs w:val="24"/>
        </w:rPr>
        <w:t>bid</w:t>
      </w:r>
      <w:proofErr w:type="gramEnd"/>
      <w:r w:rsidRPr="00D71CD1">
        <w:rPr>
          <w:rFonts w:ascii="Times New Roman" w:hAnsi="Times New Roman" w:cs="Times New Roman"/>
          <w:i/>
          <w:sz w:val="24"/>
          <w:szCs w:val="24"/>
        </w:rPr>
        <w:t>-ask</w:t>
      </w:r>
      <w:proofErr w:type="spellEnd"/>
      <w:r w:rsidRPr="00D71CD1">
        <w:rPr>
          <w:rFonts w:ascii="Times New Roman" w:hAnsi="Times New Roman" w:cs="Times New Roman"/>
          <w:i/>
          <w:sz w:val="24"/>
          <w:szCs w:val="24"/>
        </w:rPr>
        <w:t xml:space="preserve"> spread</w:t>
      </w:r>
      <w:r w:rsidRPr="00D71CD1">
        <w:rPr>
          <w:rFonts w:ascii="Times New Roman" w:hAnsi="Times New Roman" w:cs="Times New Roman"/>
          <w:sz w:val="24"/>
          <w:szCs w:val="24"/>
        </w:rPr>
        <w:t xml:space="preserve"> com </w:t>
      </w:r>
      <w:r w:rsidR="00FC65D8" w:rsidRPr="00D71CD1">
        <w:rPr>
          <w:rFonts w:ascii="Times New Roman" w:hAnsi="Times New Roman" w:cs="Times New Roman"/>
          <w:sz w:val="24"/>
          <w:szCs w:val="24"/>
        </w:rPr>
        <w:t xml:space="preserve">as metodologias </w:t>
      </w:r>
      <w:r w:rsidR="00567504" w:rsidRPr="00D71CD1">
        <w:rPr>
          <w:rFonts w:ascii="Times New Roman" w:hAnsi="Times New Roman" w:cs="Times New Roman"/>
          <w:sz w:val="24"/>
          <w:szCs w:val="24"/>
        </w:rPr>
        <w:t>de</w:t>
      </w:r>
      <w:r w:rsidR="00EF7A59" w:rsidRPr="00D71CD1">
        <w:rPr>
          <w:rFonts w:ascii="Times New Roman" w:hAnsi="Times New Roman" w:cs="Times New Roman"/>
          <w:sz w:val="24"/>
          <w:szCs w:val="24"/>
        </w:rPr>
        <w:t xml:space="preserve"> </w:t>
      </w:r>
      <w:proofErr w:type="spellStart"/>
      <w:r w:rsidR="00EF7A59" w:rsidRPr="00D71CD1">
        <w:rPr>
          <w:rFonts w:ascii="Times New Roman" w:eastAsia="Calibri" w:hAnsi="Times New Roman" w:cs="Times New Roman"/>
          <w:sz w:val="24"/>
          <w:szCs w:val="24"/>
        </w:rPr>
        <w:t>Ro</w:t>
      </w:r>
      <w:r w:rsidR="00567504" w:rsidRPr="00D71CD1">
        <w:rPr>
          <w:rFonts w:ascii="Times New Roman" w:eastAsia="Calibri" w:hAnsi="Times New Roman" w:cs="Times New Roman"/>
          <w:sz w:val="24"/>
          <w:szCs w:val="24"/>
        </w:rPr>
        <w:t>ll</w:t>
      </w:r>
      <w:proofErr w:type="spellEnd"/>
      <w:r w:rsidR="00567504" w:rsidRPr="00D71CD1">
        <w:rPr>
          <w:rFonts w:ascii="Times New Roman" w:eastAsia="Calibri" w:hAnsi="Times New Roman" w:cs="Times New Roman"/>
          <w:sz w:val="24"/>
          <w:szCs w:val="24"/>
        </w:rPr>
        <w:t xml:space="preserve"> (1984), </w:t>
      </w:r>
      <w:r w:rsidR="00EF7A59" w:rsidRPr="00D71CD1">
        <w:rPr>
          <w:rFonts w:ascii="Times New Roman" w:eastAsia="Calibri" w:hAnsi="Times New Roman" w:cs="Times New Roman"/>
          <w:sz w:val="24"/>
          <w:szCs w:val="24"/>
        </w:rPr>
        <w:t xml:space="preserve">Chu </w:t>
      </w:r>
      <w:proofErr w:type="spellStart"/>
      <w:r w:rsidR="00EF7A59" w:rsidRPr="00D71CD1">
        <w:rPr>
          <w:rFonts w:ascii="Times New Roman" w:eastAsia="Calibri" w:hAnsi="Times New Roman" w:cs="Times New Roman"/>
          <w:i/>
          <w:sz w:val="24"/>
          <w:szCs w:val="24"/>
        </w:rPr>
        <w:t>et</w:t>
      </w:r>
      <w:proofErr w:type="spellEnd"/>
      <w:r w:rsidR="00EF7A59" w:rsidRPr="00D71CD1">
        <w:rPr>
          <w:rFonts w:ascii="Times New Roman" w:eastAsia="Calibri" w:hAnsi="Times New Roman" w:cs="Times New Roman"/>
          <w:i/>
          <w:sz w:val="24"/>
          <w:szCs w:val="24"/>
        </w:rPr>
        <w:t xml:space="preserve"> al.</w:t>
      </w:r>
      <w:r w:rsidR="00EF7A59" w:rsidRPr="00D71CD1">
        <w:rPr>
          <w:rFonts w:ascii="Times New Roman" w:eastAsia="Calibri" w:hAnsi="Times New Roman" w:cs="Times New Roman"/>
          <w:sz w:val="24"/>
          <w:szCs w:val="24"/>
        </w:rPr>
        <w:t xml:space="preserve"> (1996), Thompson </w:t>
      </w:r>
      <w:proofErr w:type="spellStart"/>
      <w:r w:rsidR="00EF7A59" w:rsidRPr="00D71CD1">
        <w:rPr>
          <w:rFonts w:ascii="Times New Roman" w:eastAsia="Calibri" w:hAnsi="Times New Roman" w:cs="Times New Roman"/>
          <w:i/>
          <w:iCs/>
          <w:color w:val="000000"/>
          <w:sz w:val="24"/>
          <w:szCs w:val="24"/>
        </w:rPr>
        <w:t>et</w:t>
      </w:r>
      <w:proofErr w:type="spellEnd"/>
      <w:r w:rsidR="00EF7A59" w:rsidRPr="00D71CD1">
        <w:rPr>
          <w:rFonts w:ascii="Times New Roman" w:eastAsia="Calibri" w:hAnsi="Times New Roman" w:cs="Times New Roman"/>
          <w:i/>
          <w:iCs/>
          <w:color w:val="000000"/>
          <w:sz w:val="24"/>
          <w:szCs w:val="24"/>
        </w:rPr>
        <w:t xml:space="preserve"> al.</w:t>
      </w:r>
      <w:r w:rsidR="00EF7A59" w:rsidRPr="00D71CD1">
        <w:rPr>
          <w:rFonts w:ascii="Times New Roman" w:eastAsia="Calibri" w:hAnsi="Times New Roman" w:cs="Times New Roman"/>
          <w:sz w:val="24"/>
          <w:szCs w:val="24"/>
        </w:rPr>
        <w:t xml:space="preserve"> (1987) e </w:t>
      </w:r>
      <w:proofErr w:type="spellStart"/>
      <w:r w:rsidR="00EF7A59" w:rsidRPr="00D71CD1">
        <w:rPr>
          <w:rFonts w:ascii="Times New Roman" w:eastAsia="Calibri" w:hAnsi="Times New Roman" w:cs="Times New Roman"/>
          <w:sz w:val="24"/>
          <w:szCs w:val="24"/>
        </w:rPr>
        <w:t>Wang</w:t>
      </w:r>
      <w:proofErr w:type="spellEnd"/>
      <w:r w:rsidR="00EF7A59" w:rsidRPr="00D71CD1">
        <w:rPr>
          <w:rFonts w:ascii="Times New Roman" w:eastAsia="Calibri" w:hAnsi="Times New Roman" w:cs="Times New Roman"/>
          <w:sz w:val="24"/>
          <w:szCs w:val="24"/>
        </w:rPr>
        <w:t xml:space="preserve"> </w:t>
      </w:r>
      <w:proofErr w:type="spellStart"/>
      <w:r w:rsidR="00EF7A59" w:rsidRPr="00D71CD1">
        <w:rPr>
          <w:rFonts w:ascii="Times New Roman" w:eastAsia="Calibri" w:hAnsi="Times New Roman" w:cs="Times New Roman"/>
          <w:i/>
          <w:sz w:val="24"/>
          <w:szCs w:val="24"/>
        </w:rPr>
        <w:t>et</w:t>
      </w:r>
      <w:proofErr w:type="spellEnd"/>
      <w:r w:rsidR="00EF7A59" w:rsidRPr="00D71CD1">
        <w:rPr>
          <w:rFonts w:ascii="Times New Roman" w:eastAsia="Calibri" w:hAnsi="Times New Roman" w:cs="Times New Roman"/>
          <w:i/>
          <w:sz w:val="24"/>
          <w:szCs w:val="24"/>
        </w:rPr>
        <w:t xml:space="preserve"> al.</w:t>
      </w:r>
      <w:r w:rsidR="00EF7A59" w:rsidRPr="00D71CD1">
        <w:rPr>
          <w:rFonts w:ascii="Times New Roman" w:eastAsia="Calibri" w:hAnsi="Times New Roman" w:cs="Times New Roman"/>
          <w:sz w:val="24"/>
          <w:szCs w:val="24"/>
        </w:rPr>
        <w:t xml:space="preserve"> (1997)</w:t>
      </w:r>
      <w:r w:rsidR="00F71B09">
        <w:rPr>
          <w:rFonts w:ascii="Times New Roman" w:eastAsia="Calibri" w:hAnsi="Times New Roman" w:cs="Times New Roman"/>
          <w:sz w:val="24"/>
          <w:szCs w:val="24"/>
        </w:rPr>
        <w:t>, que são</w:t>
      </w:r>
      <w:r w:rsidR="005A0429">
        <w:rPr>
          <w:rFonts w:ascii="Times New Roman" w:eastAsia="Calibri" w:hAnsi="Times New Roman" w:cs="Times New Roman"/>
          <w:sz w:val="24"/>
          <w:szCs w:val="24"/>
        </w:rPr>
        <w:t xml:space="preserve"> med</w:t>
      </w:r>
      <w:r w:rsidRPr="00D71CD1">
        <w:rPr>
          <w:rFonts w:ascii="Times New Roman" w:eastAsia="Calibri" w:hAnsi="Times New Roman" w:cs="Times New Roman"/>
          <w:sz w:val="24"/>
          <w:szCs w:val="24"/>
        </w:rPr>
        <w:t>ida</w:t>
      </w:r>
      <w:r w:rsidR="00F71B09">
        <w:rPr>
          <w:rFonts w:ascii="Times New Roman" w:eastAsia="Calibri" w:hAnsi="Times New Roman" w:cs="Times New Roman"/>
          <w:sz w:val="24"/>
          <w:szCs w:val="24"/>
        </w:rPr>
        <w:t>s</w:t>
      </w:r>
      <w:r w:rsidRPr="00D71CD1">
        <w:rPr>
          <w:rFonts w:ascii="Times New Roman" w:eastAsia="Calibri" w:hAnsi="Times New Roman" w:cs="Times New Roman"/>
          <w:sz w:val="24"/>
          <w:szCs w:val="24"/>
        </w:rPr>
        <w:t xml:space="preserve"> indireta</w:t>
      </w:r>
      <w:r w:rsidR="00F71B09">
        <w:rPr>
          <w:rFonts w:ascii="Times New Roman" w:eastAsia="Calibri" w:hAnsi="Times New Roman" w:cs="Times New Roman"/>
          <w:sz w:val="24"/>
          <w:szCs w:val="24"/>
        </w:rPr>
        <w:t>s</w:t>
      </w:r>
      <w:r w:rsidRPr="00D71CD1">
        <w:rPr>
          <w:rFonts w:ascii="Times New Roman" w:eastAsia="Calibri" w:hAnsi="Times New Roman" w:cs="Times New Roman"/>
          <w:sz w:val="24"/>
          <w:szCs w:val="24"/>
        </w:rPr>
        <w:t xml:space="preserve"> do </w:t>
      </w:r>
      <w:proofErr w:type="spellStart"/>
      <w:r w:rsidRPr="00D71CD1">
        <w:rPr>
          <w:rFonts w:ascii="Times New Roman" w:hAnsi="Times New Roman" w:cs="Times New Roman"/>
          <w:i/>
          <w:sz w:val="24"/>
          <w:szCs w:val="24"/>
        </w:rPr>
        <w:t>bid-ask</w:t>
      </w:r>
      <w:proofErr w:type="spellEnd"/>
      <w:r w:rsidRPr="00D71CD1">
        <w:rPr>
          <w:rFonts w:ascii="Times New Roman" w:hAnsi="Times New Roman" w:cs="Times New Roman"/>
          <w:i/>
          <w:sz w:val="24"/>
          <w:szCs w:val="24"/>
        </w:rPr>
        <w:t xml:space="preserve"> spread</w:t>
      </w:r>
      <w:r w:rsidR="00F71B09">
        <w:rPr>
          <w:rFonts w:ascii="Times New Roman" w:hAnsi="Times New Roman" w:cs="Times New Roman"/>
          <w:sz w:val="24"/>
          <w:szCs w:val="24"/>
        </w:rPr>
        <w:t>, pois adotam somente as variações nos preços efetivamente negociados, sendo</w:t>
      </w:r>
      <w:r w:rsidR="00C048A8" w:rsidRPr="00D71CD1">
        <w:rPr>
          <w:rFonts w:ascii="Times New Roman" w:eastAsia="Calibri" w:hAnsi="Times New Roman" w:cs="Times New Roman"/>
          <w:sz w:val="24"/>
          <w:szCs w:val="24"/>
        </w:rPr>
        <w:t xml:space="preserve"> bastante utilizados na literatura internacional</w:t>
      </w:r>
      <w:r w:rsidR="00EF7A59" w:rsidRPr="00D71CD1">
        <w:rPr>
          <w:rFonts w:ascii="Times New Roman" w:eastAsia="Calibri" w:hAnsi="Times New Roman" w:cs="Times New Roman"/>
          <w:sz w:val="24"/>
          <w:szCs w:val="24"/>
        </w:rPr>
        <w:t xml:space="preserve">. Os resultados mostram </w:t>
      </w:r>
      <w:r w:rsidR="00FC65D8" w:rsidRPr="00D71CD1">
        <w:rPr>
          <w:rFonts w:ascii="Times New Roman" w:eastAsia="Calibri" w:hAnsi="Times New Roman" w:cs="Times New Roman"/>
          <w:sz w:val="24"/>
          <w:szCs w:val="24"/>
        </w:rPr>
        <w:t xml:space="preserve">grande </w:t>
      </w:r>
      <w:r w:rsidR="00ED715A" w:rsidRPr="00D71CD1">
        <w:rPr>
          <w:rFonts w:ascii="Times New Roman" w:eastAsia="Calibri" w:hAnsi="Times New Roman" w:cs="Times New Roman"/>
          <w:sz w:val="24"/>
          <w:szCs w:val="24"/>
        </w:rPr>
        <w:t xml:space="preserve">concentração </w:t>
      </w:r>
      <w:r w:rsidR="00FC65D8" w:rsidRPr="00D71CD1">
        <w:rPr>
          <w:rFonts w:ascii="Times New Roman" w:eastAsia="Calibri" w:hAnsi="Times New Roman" w:cs="Times New Roman"/>
          <w:sz w:val="24"/>
          <w:szCs w:val="24"/>
        </w:rPr>
        <w:t xml:space="preserve">das negociações em poucos contratos, e os contratos mais negociados apresentaram menores custos de liquidez. </w:t>
      </w:r>
      <w:r w:rsidRPr="00D71CD1">
        <w:rPr>
          <w:rFonts w:ascii="Times New Roman" w:hAnsi="Times New Roman" w:cs="Times New Roman"/>
          <w:sz w:val="24"/>
          <w:szCs w:val="24"/>
        </w:rPr>
        <w:t>Quanto o</w:t>
      </w:r>
      <w:r w:rsidR="00EF7A59" w:rsidRPr="00D71CD1">
        <w:rPr>
          <w:rFonts w:ascii="Times New Roman" w:hAnsi="Times New Roman" w:cs="Times New Roman"/>
          <w:sz w:val="24"/>
          <w:szCs w:val="24"/>
        </w:rPr>
        <w:t>s determinantes estimados através do M</w:t>
      </w:r>
      <w:r w:rsidR="00EF7A59" w:rsidRPr="00D71CD1">
        <w:rPr>
          <w:rFonts w:ascii="Times New Roman" w:eastAsiaTheme="minorEastAsia" w:hAnsi="Times New Roman" w:cs="Times New Roman"/>
          <w:sz w:val="24"/>
          <w:szCs w:val="24"/>
        </w:rPr>
        <w:t xml:space="preserve">étodo dos Momentos Generalizado (GMM), </w:t>
      </w:r>
      <w:r w:rsidR="00EF7A59" w:rsidRPr="00D71CD1">
        <w:rPr>
          <w:rFonts w:ascii="Times New Roman" w:eastAsia="Calibri" w:hAnsi="Times New Roman" w:cs="Times New Roman"/>
          <w:sz w:val="24"/>
          <w:szCs w:val="24"/>
        </w:rPr>
        <w:t>identific</w:t>
      </w:r>
      <w:r w:rsidR="00C048A8" w:rsidRPr="00D71CD1">
        <w:rPr>
          <w:rFonts w:ascii="Times New Roman" w:eastAsia="Calibri" w:hAnsi="Times New Roman" w:cs="Times New Roman"/>
          <w:sz w:val="24"/>
          <w:szCs w:val="24"/>
        </w:rPr>
        <w:t xml:space="preserve">ou-se </w:t>
      </w:r>
      <w:r w:rsidR="00EF7A59" w:rsidRPr="00D71CD1">
        <w:rPr>
          <w:rFonts w:ascii="Times New Roman" w:eastAsia="Calibri" w:hAnsi="Times New Roman" w:cs="Times New Roman"/>
          <w:sz w:val="24"/>
          <w:szCs w:val="24"/>
        </w:rPr>
        <w:t xml:space="preserve">que </w:t>
      </w:r>
      <w:proofErr w:type="gramStart"/>
      <w:r w:rsidR="00EF7A59" w:rsidRPr="00D71CD1">
        <w:rPr>
          <w:rFonts w:ascii="Times New Roman" w:eastAsia="Calibri" w:hAnsi="Times New Roman" w:cs="Times New Roman"/>
          <w:sz w:val="24"/>
          <w:szCs w:val="24"/>
        </w:rPr>
        <w:t>o volume negociado, o número de contratos abertos, dias para a expiração do contrato e tendência positiva dos preç</w:t>
      </w:r>
      <w:r w:rsidR="00FC65D8" w:rsidRPr="00D71CD1">
        <w:rPr>
          <w:rFonts w:ascii="Times New Roman" w:eastAsia="Calibri" w:hAnsi="Times New Roman" w:cs="Times New Roman"/>
          <w:sz w:val="24"/>
          <w:szCs w:val="24"/>
        </w:rPr>
        <w:t>os são</w:t>
      </w:r>
      <w:proofErr w:type="gramEnd"/>
      <w:r w:rsidR="00FC65D8" w:rsidRPr="00D71CD1">
        <w:rPr>
          <w:rFonts w:ascii="Times New Roman" w:eastAsia="Calibri" w:hAnsi="Times New Roman" w:cs="Times New Roman"/>
          <w:sz w:val="24"/>
          <w:szCs w:val="24"/>
        </w:rPr>
        <w:t xml:space="preserve"> negativamente relacionado com o custo de liquidez</w:t>
      </w:r>
      <w:r w:rsidR="00EF7A59" w:rsidRPr="00D71CD1">
        <w:rPr>
          <w:rFonts w:ascii="Times New Roman" w:eastAsia="Calibri" w:hAnsi="Times New Roman" w:cs="Times New Roman"/>
          <w:sz w:val="24"/>
          <w:szCs w:val="24"/>
        </w:rPr>
        <w:t>, enquant</w:t>
      </w:r>
      <w:r w:rsidR="0038188D" w:rsidRPr="00D71CD1">
        <w:rPr>
          <w:rFonts w:ascii="Times New Roman" w:eastAsia="Calibri" w:hAnsi="Times New Roman" w:cs="Times New Roman"/>
          <w:sz w:val="24"/>
          <w:szCs w:val="24"/>
        </w:rPr>
        <w:t xml:space="preserve">o </w:t>
      </w:r>
      <w:r w:rsidR="00C048A8" w:rsidRPr="00D71CD1">
        <w:rPr>
          <w:rFonts w:ascii="Times New Roman" w:eastAsia="Calibri" w:hAnsi="Times New Roman" w:cs="Times New Roman"/>
          <w:sz w:val="24"/>
          <w:szCs w:val="24"/>
        </w:rPr>
        <w:t>o volume médio transacionado é</w:t>
      </w:r>
      <w:r w:rsidR="00EF7A59" w:rsidRPr="00D71CD1">
        <w:rPr>
          <w:rFonts w:ascii="Times New Roman" w:eastAsia="Calibri" w:hAnsi="Times New Roman" w:cs="Times New Roman"/>
          <w:sz w:val="24"/>
          <w:szCs w:val="24"/>
        </w:rPr>
        <w:t xml:space="preserve"> positivamente relacionado.</w:t>
      </w:r>
      <w:r w:rsidR="003C0151" w:rsidRPr="00D71CD1">
        <w:rPr>
          <w:rFonts w:ascii="Times New Roman" w:eastAsia="Calibri" w:hAnsi="Times New Roman" w:cs="Times New Roman"/>
          <w:sz w:val="24"/>
          <w:szCs w:val="24"/>
        </w:rPr>
        <w:t xml:space="preserve"> </w:t>
      </w:r>
      <w:r w:rsidR="0038188D" w:rsidRPr="00D71CD1">
        <w:rPr>
          <w:rFonts w:ascii="Times New Roman" w:eastAsia="Calibri" w:hAnsi="Times New Roman" w:cs="Times New Roman"/>
          <w:sz w:val="24"/>
          <w:szCs w:val="24"/>
        </w:rPr>
        <w:t xml:space="preserve">Quanto </w:t>
      </w:r>
      <w:proofErr w:type="gramStart"/>
      <w:r w:rsidR="0038188D" w:rsidRPr="00D71CD1">
        <w:rPr>
          <w:rFonts w:ascii="Times New Roman" w:eastAsia="Calibri" w:hAnsi="Times New Roman" w:cs="Times New Roman"/>
          <w:sz w:val="24"/>
          <w:szCs w:val="24"/>
        </w:rPr>
        <w:t>as</w:t>
      </w:r>
      <w:proofErr w:type="gramEnd"/>
      <w:r w:rsidR="0038188D" w:rsidRPr="00D71CD1">
        <w:rPr>
          <w:rFonts w:ascii="Times New Roman" w:eastAsia="Calibri" w:hAnsi="Times New Roman" w:cs="Times New Roman"/>
          <w:sz w:val="24"/>
          <w:szCs w:val="24"/>
        </w:rPr>
        <w:t xml:space="preserve"> metodologias</w:t>
      </w:r>
      <w:r w:rsidR="00C048A8" w:rsidRPr="00D71CD1">
        <w:rPr>
          <w:rFonts w:ascii="Times New Roman" w:eastAsia="Calibri" w:hAnsi="Times New Roman" w:cs="Times New Roman"/>
          <w:sz w:val="24"/>
          <w:szCs w:val="24"/>
        </w:rPr>
        <w:t xml:space="preserve"> adotadas</w:t>
      </w:r>
      <w:r w:rsidR="0038188D" w:rsidRPr="00D71CD1">
        <w:rPr>
          <w:rFonts w:ascii="Times New Roman" w:eastAsia="Calibri" w:hAnsi="Times New Roman" w:cs="Times New Roman"/>
          <w:sz w:val="24"/>
          <w:szCs w:val="24"/>
        </w:rPr>
        <w:t xml:space="preserve">, as quatro subestimam em média 60% o custo de liquidez. </w:t>
      </w:r>
    </w:p>
    <w:p w:rsidR="00304FB9" w:rsidRDefault="00304FB9" w:rsidP="00D71CD1">
      <w:pPr>
        <w:pStyle w:val="Ttulo"/>
        <w:jc w:val="both"/>
        <w:rPr>
          <w:rFonts w:ascii="Times New Roman" w:hAnsi="Times New Roman"/>
          <w:b w:val="0"/>
          <w:sz w:val="24"/>
          <w:szCs w:val="24"/>
        </w:rPr>
      </w:pPr>
      <w:r w:rsidRPr="00D71CD1">
        <w:rPr>
          <w:rFonts w:ascii="Times New Roman" w:hAnsi="Times New Roman"/>
          <w:sz w:val="24"/>
          <w:szCs w:val="24"/>
        </w:rPr>
        <w:t>Palavras-chave</w:t>
      </w:r>
      <w:r w:rsidRPr="00D71CD1">
        <w:rPr>
          <w:rFonts w:ascii="Times New Roman" w:hAnsi="Times New Roman"/>
          <w:b w:val="0"/>
          <w:sz w:val="24"/>
          <w:szCs w:val="24"/>
        </w:rPr>
        <w:t xml:space="preserve">: Soja, </w:t>
      </w:r>
      <w:r w:rsidRPr="00D71CD1">
        <w:rPr>
          <w:rFonts w:ascii="Times New Roman" w:hAnsi="Times New Roman"/>
          <w:b w:val="0"/>
          <w:i/>
          <w:sz w:val="24"/>
          <w:szCs w:val="24"/>
        </w:rPr>
        <w:t>Hedge</w:t>
      </w:r>
      <w:r w:rsidRPr="00D71CD1">
        <w:rPr>
          <w:rFonts w:ascii="Times New Roman" w:hAnsi="Times New Roman"/>
          <w:b w:val="0"/>
          <w:sz w:val="24"/>
          <w:szCs w:val="24"/>
        </w:rPr>
        <w:t xml:space="preserve">, Mercado Futuro, Custo de liquidez. </w:t>
      </w:r>
    </w:p>
    <w:p w:rsidR="00BD488C" w:rsidRDefault="00BD488C" w:rsidP="00D71CD1">
      <w:pPr>
        <w:pStyle w:val="Ttulo"/>
        <w:jc w:val="both"/>
        <w:rPr>
          <w:rFonts w:ascii="Times New Roman" w:hAnsi="Times New Roman"/>
          <w:b w:val="0"/>
          <w:sz w:val="24"/>
          <w:szCs w:val="24"/>
        </w:rPr>
      </w:pPr>
    </w:p>
    <w:p w:rsidR="00BD488C" w:rsidRPr="00BD488C" w:rsidRDefault="00BD488C" w:rsidP="00D71CD1">
      <w:pPr>
        <w:autoSpaceDE w:val="0"/>
        <w:autoSpaceDN w:val="0"/>
        <w:adjustRightInd w:val="0"/>
        <w:spacing w:after="0" w:line="240" w:lineRule="auto"/>
        <w:jc w:val="both"/>
        <w:rPr>
          <w:rFonts w:ascii="Times New Roman" w:eastAsia="Calibri" w:hAnsi="Times New Roman" w:cs="Times New Roman"/>
          <w:sz w:val="24"/>
          <w:szCs w:val="24"/>
          <w:lang w:val="en-US"/>
        </w:rPr>
      </w:pPr>
      <w:r w:rsidRPr="00BD488C">
        <w:rPr>
          <w:rFonts w:ascii="Times New Roman" w:eastAsia="Calibri" w:hAnsi="Times New Roman" w:cs="Times New Roman"/>
          <w:b/>
          <w:sz w:val="24"/>
          <w:szCs w:val="24"/>
          <w:lang w:val="en-US"/>
        </w:rPr>
        <w:t>ABSTRACT</w:t>
      </w:r>
    </w:p>
    <w:p w:rsidR="00304FB9" w:rsidRPr="00BD488C" w:rsidRDefault="00C048A8" w:rsidP="00D71CD1">
      <w:pPr>
        <w:autoSpaceDE w:val="0"/>
        <w:autoSpaceDN w:val="0"/>
        <w:adjustRightInd w:val="0"/>
        <w:spacing w:after="0" w:line="240" w:lineRule="auto"/>
        <w:jc w:val="both"/>
        <w:rPr>
          <w:rFonts w:ascii="Times New Roman" w:eastAsia="Calibri" w:hAnsi="Times New Roman" w:cs="Times New Roman"/>
          <w:sz w:val="24"/>
          <w:szCs w:val="24"/>
          <w:lang w:val="en-US"/>
        </w:rPr>
      </w:pPr>
      <w:r w:rsidRPr="00BD488C">
        <w:rPr>
          <w:rFonts w:ascii="Times New Roman" w:eastAsia="Calibri" w:hAnsi="Times New Roman" w:cs="Times New Roman"/>
          <w:sz w:val="24"/>
          <w:szCs w:val="24"/>
          <w:lang w:val="en-US"/>
        </w:rPr>
        <w:t>The purpose of the study was to analyze the related liquidity cost involved in soybe</w:t>
      </w:r>
      <w:r w:rsidR="00B235FC" w:rsidRPr="00BD488C">
        <w:rPr>
          <w:rFonts w:ascii="Times New Roman" w:eastAsia="Calibri" w:hAnsi="Times New Roman" w:cs="Times New Roman"/>
          <w:sz w:val="24"/>
          <w:szCs w:val="24"/>
          <w:lang w:val="en-US"/>
        </w:rPr>
        <w:t>an futures contract of the BM&amp;</w:t>
      </w:r>
      <w:r w:rsidRPr="00BD488C">
        <w:rPr>
          <w:rFonts w:ascii="Times New Roman" w:eastAsia="Calibri" w:hAnsi="Times New Roman" w:cs="Times New Roman"/>
          <w:sz w:val="24"/>
          <w:szCs w:val="24"/>
          <w:lang w:val="en-US"/>
        </w:rPr>
        <w:t>FBOVESPA and its determinants, from September 2010 to February 2013. To do so, we use the difference between the price offered and the price offered for purchase sales contract at short intervals, known as the bid-ask spread. Are then compared the bid-ask spread with the methodologies Roll (1984), Chu et al. (1996), Thompson et al. (1987) and Wang et al. (1997), which are an indirect tucked the bid-ask spread, created due to lack of information of offers to purchase and sale contract, being widely used in the international literature. The results show great concentration of trades in a few contracts, and most contracts had traded lower liquidity costs. Determinants as estimated by Generalized Method of Moments (GMM), it was identified that the trading volume, the number of open contracts, days to expiration of the contract and positive trend in prices are negatively related to the cost of liquidity, while average volume traded is positively related. As the methodologies adopted, the four underestimate on average 60% the cost of liquidity.</w:t>
      </w:r>
    </w:p>
    <w:p w:rsidR="00304FB9" w:rsidRPr="00BD488C" w:rsidRDefault="00304FB9" w:rsidP="00D71CD1">
      <w:pPr>
        <w:pStyle w:val="Ttulo"/>
        <w:jc w:val="both"/>
        <w:rPr>
          <w:rFonts w:ascii="Times New Roman" w:hAnsi="Times New Roman"/>
          <w:b w:val="0"/>
          <w:sz w:val="24"/>
          <w:szCs w:val="24"/>
          <w:lang w:val="en-US"/>
        </w:rPr>
      </w:pPr>
      <w:r w:rsidRPr="00BD488C">
        <w:rPr>
          <w:rFonts w:ascii="Times New Roman" w:hAnsi="Times New Roman"/>
          <w:sz w:val="24"/>
          <w:szCs w:val="24"/>
          <w:lang w:val="en-US"/>
        </w:rPr>
        <w:t xml:space="preserve">Key words: </w:t>
      </w:r>
      <w:r w:rsidR="00C048A8" w:rsidRPr="00BD488C">
        <w:rPr>
          <w:rFonts w:ascii="Times New Roman" w:hAnsi="Times New Roman"/>
          <w:b w:val="0"/>
          <w:sz w:val="24"/>
          <w:szCs w:val="24"/>
          <w:lang w:val="en-US"/>
        </w:rPr>
        <w:t>Soy, Hedge, Futures Market, Cost of liquidity.</w:t>
      </w:r>
    </w:p>
    <w:p w:rsidR="003C0151" w:rsidRPr="00D71CD1" w:rsidRDefault="003C0151" w:rsidP="00D71CD1">
      <w:pPr>
        <w:spacing w:after="0" w:line="240" w:lineRule="auto"/>
        <w:jc w:val="both"/>
        <w:rPr>
          <w:rFonts w:ascii="Times New Roman" w:hAnsi="Times New Roman" w:cs="Times New Roman"/>
          <w:b/>
          <w:sz w:val="24"/>
          <w:szCs w:val="24"/>
          <w:lang w:val="en-US"/>
        </w:rPr>
      </w:pPr>
    </w:p>
    <w:p w:rsidR="00BD488C" w:rsidRDefault="00BD488C" w:rsidP="00D71CD1">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Área ANPEC: </w:t>
      </w:r>
      <w:r w:rsidRPr="00BD488C">
        <w:rPr>
          <w:rFonts w:ascii="Times New Roman" w:eastAsia="Times New Roman" w:hAnsi="Times New Roman" w:cs="Times New Roman"/>
          <w:sz w:val="24"/>
          <w:szCs w:val="24"/>
        </w:rPr>
        <w:t>Área 10 – Economia Agrícola e do Meio Ambiente</w:t>
      </w:r>
      <w:r>
        <w:rPr>
          <w:rFonts w:ascii="Times New Roman" w:eastAsia="Times New Roman" w:hAnsi="Times New Roman" w:cs="Times New Roman"/>
          <w:b/>
          <w:sz w:val="24"/>
          <w:szCs w:val="24"/>
        </w:rPr>
        <w:t xml:space="preserve"> </w:t>
      </w:r>
    </w:p>
    <w:p w:rsidR="00F4387A" w:rsidRPr="00BD488C" w:rsidRDefault="00627501" w:rsidP="00D71CD1">
      <w:pPr>
        <w:spacing w:after="0" w:line="240" w:lineRule="auto"/>
        <w:jc w:val="both"/>
        <w:rPr>
          <w:rFonts w:ascii="Times New Roman" w:eastAsia="Times New Roman" w:hAnsi="Times New Roman" w:cs="Times New Roman"/>
          <w:sz w:val="24"/>
          <w:szCs w:val="24"/>
        </w:rPr>
      </w:pPr>
      <w:r w:rsidRPr="00D71CD1">
        <w:rPr>
          <w:rFonts w:ascii="Times New Roman" w:eastAsia="Times New Roman" w:hAnsi="Times New Roman" w:cs="Times New Roman"/>
          <w:b/>
          <w:sz w:val="24"/>
          <w:szCs w:val="24"/>
        </w:rPr>
        <w:t>Classificação JEL:</w:t>
      </w:r>
      <w:r w:rsidR="00F4387A" w:rsidRPr="00BD488C">
        <w:rPr>
          <w:rFonts w:ascii="Times New Roman" w:eastAsia="Times New Roman" w:hAnsi="Times New Roman" w:cs="Times New Roman"/>
          <w:sz w:val="24"/>
          <w:szCs w:val="24"/>
        </w:rPr>
        <w:t xml:space="preserve"> </w:t>
      </w:r>
      <w:r w:rsidR="001363C9">
        <w:rPr>
          <w:rFonts w:ascii="Times New Roman" w:eastAsia="Times New Roman" w:hAnsi="Times New Roman" w:cs="Times New Roman"/>
          <w:sz w:val="24"/>
          <w:szCs w:val="24"/>
        </w:rPr>
        <w:t>C26, G13, G14</w:t>
      </w:r>
      <w:r w:rsidRPr="00BD488C">
        <w:rPr>
          <w:rFonts w:ascii="Times New Roman" w:eastAsia="Times New Roman" w:hAnsi="Times New Roman" w:cs="Times New Roman"/>
          <w:sz w:val="24"/>
          <w:szCs w:val="24"/>
        </w:rPr>
        <w:t>.</w:t>
      </w:r>
    </w:p>
    <w:p w:rsidR="00F4387A" w:rsidRPr="00D71CD1" w:rsidRDefault="00F4387A" w:rsidP="00D71CD1">
      <w:pPr>
        <w:spacing w:after="0" w:line="240" w:lineRule="auto"/>
        <w:jc w:val="both"/>
        <w:rPr>
          <w:rFonts w:ascii="Times New Roman" w:hAnsi="Times New Roman" w:cs="Times New Roman"/>
          <w:b/>
          <w:sz w:val="24"/>
          <w:szCs w:val="24"/>
        </w:rPr>
      </w:pPr>
    </w:p>
    <w:p w:rsidR="00CA596F" w:rsidRPr="00D71CD1" w:rsidRDefault="00F4387A" w:rsidP="00B42757">
      <w:pPr>
        <w:pStyle w:val="PargrafodaLista"/>
        <w:numPr>
          <w:ilvl w:val="0"/>
          <w:numId w:val="2"/>
        </w:numPr>
        <w:spacing w:before="120" w:after="120" w:line="240" w:lineRule="auto"/>
        <w:jc w:val="both"/>
        <w:rPr>
          <w:rFonts w:ascii="Times New Roman" w:hAnsi="Times New Roman" w:cs="Times New Roman"/>
          <w:b/>
          <w:sz w:val="24"/>
          <w:szCs w:val="24"/>
        </w:rPr>
      </w:pPr>
      <w:r w:rsidRPr="00D71CD1">
        <w:rPr>
          <w:rFonts w:ascii="Times New Roman" w:hAnsi="Times New Roman" w:cs="Times New Roman"/>
          <w:b/>
          <w:sz w:val="24"/>
          <w:szCs w:val="24"/>
        </w:rPr>
        <w:t>INTRODUÇÃO</w:t>
      </w:r>
    </w:p>
    <w:p w:rsidR="00F4387A" w:rsidRPr="00D71CD1" w:rsidRDefault="00F4387A" w:rsidP="00D71CD1">
      <w:pPr>
        <w:spacing w:after="0" w:line="240" w:lineRule="auto"/>
        <w:jc w:val="both"/>
        <w:rPr>
          <w:rFonts w:ascii="Times New Roman" w:hAnsi="Times New Roman" w:cs="Times New Roman"/>
          <w:b/>
          <w:sz w:val="24"/>
          <w:szCs w:val="24"/>
        </w:rPr>
      </w:pPr>
    </w:p>
    <w:p w:rsidR="00CA596F" w:rsidRPr="00D71CD1" w:rsidRDefault="00CA596F" w:rsidP="00D71CD1">
      <w:pPr>
        <w:autoSpaceDE w:val="0"/>
        <w:autoSpaceDN w:val="0"/>
        <w:adjustRightInd w:val="0"/>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Atualmente, na </w:t>
      </w:r>
      <w:proofErr w:type="spellStart"/>
      <w:r w:rsidRPr="00D71CD1">
        <w:rPr>
          <w:rFonts w:ascii="Times New Roman" w:hAnsi="Times New Roman" w:cs="Times New Roman"/>
          <w:sz w:val="24"/>
          <w:szCs w:val="24"/>
        </w:rPr>
        <w:t>BM&amp;FBOVESPA</w:t>
      </w:r>
      <w:proofErr w:type="spellEnd"/>
      <w:r w:rsidRPr="00D71CD1">
        <w:rPr>
          <w:rFonts w:ascii="Times New Roman" w:hAnsi="Times New Roman" w:cs="Times New Roman"/>
          <w:sz w:val="24"/>
          <w:szCs w:val="24"/>
        </w:rPr>
        <w:t xml:space="preserve">, são negociados seis contratos futuros agropecuários, sendo eles açúcar, boi gordo, </w:t>
      </w:r>
      <w:proofErr w:type="gramStart"/>
      <w:r w:rsidRPr="00D71CD1">
        <w:rPr>
          <w:rFonts w:ascii="Times New Roman" w:hAnsi="Times New Roman" w:cs="Times New Roman"/>
          <w:sz w:val="24"/>
          <w:szCs w:val="24"/>
        </w:rPr>
        <w:t>caf</w:t>
      </w:r>
      <w:r w:rsidR="004460BE">
        <w:rPr>
          <w:rFonts w:ascii="Times New Roman" w:hAnsi="Times New Roman" w:cs="Times New Roman"/>
          <w:sz w:val="24"/>
          <w:szCs w:val="24"/>
        </w:rPr>
        <w:t>é arábica</w:t>
      </w:r>
      <w:proofErr w:type="gramEnd"/>
      <w:r w:rsidR="004460BE">
        <w:rPr>
          <w:rFonts w:ascii="Times New Roman" w:hAnsi="Times New Roman" w:cs="Times New Roman"/>
          <w:sz w:val="24"/>
          <w:szCs w:val="24"/>
        </w:rPr>
        <w:t xml:space="preserve">, etanol, milho e soja. </w:t>
      </w:r>
      <w:r w:rsidRPr="00D71CD1">
        <w:rPr>
          <w:rFonts w:ascii="Times New Roman" w:hAnsi="Times New Roman" w:cs="Times New Roman"/>
          <w:sz w:val="24"/>
          <w:szCs w:val="24"/>
        </w:rPr>
        <w:t xml:space="preserve">Alguns contratos apresentaram </w:t>
      </w:r>
      <w:r w:rsidRPr="00D71CD1">
        <w:rPr>
          <w:rFonts w:ascii="Times New Roman" w:hAnsi="Times New Roman" w:cs="Times New Roman"/>
          <w:sz w:val="24"/>
          <w:szCs w:val="24"/>
        </w:rPr>
        <w:lastRenderedPageBreak/>
        <w:t xml:space="preserve">desenvolvimento bastante expressivo nos últimos anos, como o caso do café, boi gordo e milho, enquanto os demais estão estagnados. Além dos contratos convencionais, para as </w:t>
      </w:r>
      <w:r w:rsidRPr="00D71CD1">
        <w:rPr>
          <w:rFonts w:ascii="Times New Roman" w:hAnsi="Times New Roman" w:cs="Times New Roman"/>
          <w:i/>
          <w:sz w:val="24"/>
          <w:szCs w:val="24"/>
        </w:rPr>
        <w:t>commodities</w:t>
      </w:r>
      <w:r w:rsidRPr="00D71CD1">
        <w:rPr>
          <w:rFonts w:ascii="Times New Roman" w:hAnsi="Times New Roman" w:cs="Times New Roman"/>
          <w:sz w:val="24"/>
          <w:szCs w:val="24"/>
        </w:rPr>
        <w:t xml:space="preserve"> boi gordo e </w:t>
      </w:r>
      <w:proofErr w:type="gramStart"/>
      <w:r w:rsidRPr="00D71CD1">
        <w:rPr>
          <w:rFonts w:ascii="Times New Roman" w:hAnsi="Times New Roman" w:cs="Times New Roman"/>
          <w:sz w:val="24"/>
          <w:szCs w:val="24"/>
        </w:rPr>
        <w:t>café arábica</w:t>
      </w:r>
      <w:proofErr w:type="gramEnd"/>
      <w:r w:rsidRPr="00D71CD1">
        <w:rPr>
          <w:rFonts w:ascii="Times New Roman" w:hAnsi="Times New Roman" w:cs="Times New Roman"/>
          <w:sz w:val="24"/>
          <w:szCs w:val="24"/>
        </w:rPr>
        <w:t xml:space="preserve"> existem também os minicontratos, que representam uma fração dos </w:t>
      </w:r>
      <w:proofErr w:type="spellStart"/>
      <w:r w:rsidRPr="00D71CD1">
        <w:rPr>
          <w:rFonts w:ascii="Times New Roman" w:hAnsi="Times New Roman" w:cs="Times New Roman"/>
          <w:sz w:val="24"/>
          <w:szCs w:val="24"/>
        </w:rPr>
        <w:t>contratos-padrão</w:t>
      </w:r>
      <w:proofErr w:type="spellEnd"/>
      <w:r w:rsidRPr="00D71CD1">
        <w:rPr>
          <w:rFonts w:ascii="Times New Roman" w:hAnsi="Times New Roman" w:cs="Times New Roman"/>
          <w:sz w:val="24"/>
          <w:szCs w:val="24"/>
        </w:rPr>
        <w:t>, sendo acessíveis a pequenos investidores.</w:t>
      </w:r>
    </w:p>
    <w:p w:rsidR="0024046C" w:rsidRPr="00D71CD1" w:rsidRDefault="00CA596F" w:rsidP="00D71CD1">
      <w:pPr>
        <w:autoSpaceDE w:val="0"/>
        <w:autoSpaceDN w:val="0"/>
        <w:adjustRightInd w:val="0"/>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O contrato futuro de soja no Brasil foi lançado pela </w:t>
      </w:r>
      <w:proofErr w:type="spellStart"/>
      <w:r w:rsidRPr="00D71CD1">
        <w:rPr>
          <w:rFonts w:ascii="Times New Roman" w:hAnsi="Times New Roman" w:cs="Times New Roman"/>
          <w:sz w:val="24"/>
          <w:szCs w:val="24"/>
        </w:rPr>
        <w:t>BM&amp;F</w:t>
      </w:r>
      <w:proofErr w:type="spellEnd"/>
      <w:r w:rsidRPr="00D71CD1">
        <w:rPr>
          <w:rFonts w:ascii="Times New Roman" w:hAnsi="Times New Roman" w:cs="Times New Roman"/>
          <w:sz w:val="24"/>
          <w:szCs w:val="24"/>
        </w:rPr>
        <w:t xml:space="preserve"> em 1993, passado por aprimoramentos ao longo do tempo, como em 1999, com a abertura do mercado ao investidor não residente, e em 2002, onde o local de formação do preço passou do interior para o porto de Paranaguá. Essas mudanças tiveram como finalidade a inserção do contrato futuro de soja da </w:t>
      </w:r>
      <w:proofErr w:type="spellStart"/>
      <w:r w:rsidRPr="00D71CD1">
        <w:rPr>
          <w:rFonts w:ascii="Times New Roman" w:hAnsi="Times New Roman" w:cs="Times New Roman"/>
          <w:sz w:val="24"/>
          <w:szCs w:val="24"/>
        </w:rPr>
        <w:t>BM&amp;F</w:t>
      </w:r>
      <w:proofErr w:type="spellEnd"/>
      <w:r w:rsidRPr="00D71CD1">
        <w:rPr>
          <w:rFonts w:ascii="Times New Roman" w:hAnsi="Times New Roman" w:cs="Times New Roman"/>
          <w:sz w:val="24"/>
          <w:szCs w:val="24"/>
        </w:rPr>
        <w:t xml:space="preserve"> no mercado internacional (</w:t>
      </w:r>
      <w:proofErr w:type="spellStart"/>
      <w:r w:rsidRPr="00D71CD1">
        <w:rPr>
          <w:rFonts w:ascii="Times New Roman" w:hAnsi="Times New Roman" w:cs="Times New Roman"/>
          <w:sz w:val="24"/>
          <w:szCs w:val="24"/>
        </w:rPr>
        <w:t>BM&amp;F</w:t>
      </w:r>
      <w:proofErr w:type="spellEnd"/>
      <w:r w:rsidRPr="00D71CD1">
        <w:rPr>
          <w:rFonts w:ascii="Times New Roman" w:hAnsi="Times New Roman" w:cs="Times New Roman"/>
          <w:sz w:val="24"/>
          <w:szCs w:val="24"/>
        </w:rPr>
        <w:t xml:space="preserve">, 2005, p. 12). </w:t>
      </w:r>
      <w:r w:rsidR="0024046C" w:rsidRPr="00D71CD1">
        <w:rPr>
          <w:rFonts w:ascii="Times New Roman" w:hAnsi="Times New Roman" w:cs="Times New Roman"/>
          <w:sz w:val="24"/>
          <w:szCs w:val="24"/>
        </w:rPr>
        <w:t xml:space="preserve">A fim de aumentar o volume de contratos de soja negociados em futuros, a </w:t>
      </w:r>
      <w:proofErr w:type="spellStart"/>
      <w:r w:rsidR="0024046C" w:rsidRPr="00D71CD1">
        <w:rPr>
          <w:rFonts w:ascii="Times New Roman" w:hAnsi="Times New Roman" w:cs="Times New Roman"/>
          <w:sz w:val="24"/>
          <w:szCs w:val="24"/>
        </w:rPr>
        <w:t>BM&amp;FBOVESPA</w:t>
      </w:r>
      <w:proofErr w:type="spellEnd"/>
      <w:r w:rsidR="0024046C" w:rsidRPr="00D71CD1">
        <w:rPr>
          <w:rFonts w:ascii="Times New Roman" w:hAnsi="Times New Roman" w:cs="Times New Roman"/>
          <w:sz w:val="24"/>
          <w:szCs w:val="24"/>
        </w:rPr>
        <w:t xml:space="preserve"> substituiu, em 27 de janeiro de 2011, os contratos de entrega física da mercadoria pela liquidação financeira, visando proporcionar maior eficiência na comercialização do produto (</w:t>
      </w:r>
      <w:proofErr w:type="spellStart"/>
      <w:r w:rsidR="0024046C" w:rsidRPr="00D71CD1">
        <w:rPr>
          <w:rFonts w:ascii="Times New Roman" w:hAnsi="Times New Roman" w:cs="Times New Roman"/>
          <w:sz w:val="24"/>
          <w:szCs w:val="24"/>
        </w:rPr>
        <w:t>BM&amp;FBOVESPA</w:t>
      </w:r>
      <w:proofErr w:type="spellEnd"/>
      <w:r w:rsidR="0024046C" w:rsidRPr="00D71CD1">
        <w:rPr>
          <w:rFonts w:ascii="Times New Roman" w:hAnsi="Times New Roman" w:cs="Times New Roman"/>
          <w:sz w:val="24"/>
          <w:szCs w:val="24"/>
        </w:rPr>
        <w:t>, 2012).</w:t>
      </w:r>
    </w:p>
    <w:p w:rsidR="002A44C6" w:rsidRDefault="00CA596F" w:rsidP="00D71CD1">
      <w:pPr>
        <w:autoSpaceDE w:val="0"/>
        <w:autoSpaceDN w:val="0"/>
        <w:adjustRightInd w:val="0"/>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O potencial de utilização de contratos futuros de soja na cadeia produtiva brasileira é muito grande, pois o país é o segundo maior produtor do mundo, atingindo 66 milhões de toneladas na safra 2011/2012, representando 27,85% da produção mundial, atrás somente dos Estados Unidos, com 84 milhões de toneladas (USDA, 2012). </w:t>
      </w:r>
    </w:p>
    <w:p w:rsidR="002E4EC6" w:rsidRPr="00D71CD1" w:rsidRDefault="002E4EC6" w:rsidP="00D71CD1">
      <w:pPr>
        <w:autoSpaceDE w:val="0"/>
        <w:autoSpaceDN w:val="0"/>
        <w:adjustRightInd w:val="0"/>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Além da grande produção do grão, o processamento interno da soja brasileira também foi elevado, atingindo aproximadamente 35 milhões de toneladas no ano de 2012, com consumo interno de 13 milhões de toneladas de farelo e </w:t>
      </w:r>
      <w:proofErr w:type="gramStart"/>
      <w:r w:rsidRPr="00D71CD1">
        <w:rPr>
          <w:rFonts w:ascii="Times New Roman" w:hAnsi="Times New Roman" w:cs="Times New Roman"/>
          <w:sz w:val="24"/>
          <w:szCs w:val="24"/>
        </w:rPr>
        <w:t>5</w:t>
      </w:r>
      <w:proofErr w:type="gramEnd"/>
      <w:r w:rsidRPr="00D71CD1">
        <w:rPr>
          <w:rFonts w:ascii="Times New Roman" w:hAnsi="Times New Roman" w:cs="Times New Roman"/>
          <w:sz w:val="24"/>
          <w:szCs w:val="24"/>
        </w:rPr>
        <w:t xml:space="preserve"> milhões de toneladas de óleo (ABIOVE, 2013), o que demonstra a grande dimensão da cadeia da oleaginosa no Brasil.</w:t>
      </w:r>
    </w:p>
    <w:p w:rsidR="00CA596F" w:rsidRPr="00D71CD1" w:rsidRDefault="00CA596F" w:rsidP="00D71CD1">
      <w:pPr>
        <w:autoSpaceDE w:val="0"/>
        <w:autoSpaceDN w:val="0"/>
        <w:adjustRightInd w:val="0"/>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A utilização do contrato futuro de soja na </w:t>
      </w:r>
      <w:proofErr w:type="spellStart"/>
      <w:r w:rsidRPr="00D71CD1">
        <w:rPr>
          <w:rFonts w:ascii="Times New Roman" w:hAnsi="Times New Roman" w:cs="Times New Roman"/>
          <w:sz w:val="24"/>
          <w:szCs w:val="24"/>
        </w:rPr>
        <w:t>BM&amp;FBOVESPA</w:t>
      </w:r>
      <w:proofErr w:type="spellEnd"/>
      <w:r w:rsidRPr="00D71CD1">
        <w:rPr>
          <w:rFonts w:ascii="Times New Roman" w:hAnsi="Times New Roman" w:cs="Times New Roman"/>
          <w:sz w:val="24"/>
          <w:szCs w:val="24"/>
        </w:rPr>
        <w:t xml:space="preserve"> ainda é pequena quando comparado à dimensão da cadeia produtiva brasileira da soja. O volume negociado da </w:t>
      </w:r>
      <w:r w:rsidRPr="00D71CD1">
        <w:rPr>
          <w:rFonts w:ascii="Times New Roman" w:hAnsi="Times New Roman" w:cs="Times New Roman"/>
          <w:i/>
          <w:sz w:val="24"/>
          <w:szCs w:val="24"/>
        </w:rPr>
        <w:t>commodity</w:t>
      </w:r>
      <w:r w:rsidRPr="00D71CD1">
        <w:rPr>
          <w:rFonts w:ascii="Times New Roman" w:hAnsi="Times New Roman" w:cs="Times New Roman"/>
          <w:sz w:val="24"/>
          <w:szCs w:val="24"/>
        </w:rPr>
        <w:t xml:space="preserve"> na </w:t>
      </w:r>
      <w:proofErr w:type="spellStart"/>
      <w:r w:rsidRPr="00D71CD1">
        <w:rPr>
          <w:rFonts w:ascii="Times New Roman" w:hAnsi="Times New Roman" w:cs="Times New Roman"/>
          <w:sz w:val="24"/>
          <w:szCs w:val="24"/>
        </w:rPr>
        <w:t>BM&amp;FBOVESPA</w:t>
      </w:r>
      <w:proofErr w:type="spellEnd"/>
      <w:r w:rsidRPr="00D71CD1">
        <w:rPr>
          <w:rFonts w:ascii="Times New Roman" w:hAnsi="Times New Roman" w:cs="Times New Roman"/>
          <w:sz w:val="24"/>
          <w:szCs w:val="24"/>
        </w:rPr>
        <w:t xml:space="preserve"> e a produção brasileira, no período de 2001 a 2012, estão apresentados na Tabela 1.</w:t>
      </w:r>
    </w:p>
    <w:p w:rsidR="00CA596F" w:rsidRPr="00D71CD1" w:rsidRDefault="00CA596F" w:rsidP="00D71CD1">
      <w:pPr>
        <w:autoSpaceDE w:val="0"/>
        <w:autoSpaceDN w:val="0"/>
        <w:adjustRightInd w:val="0"/>
        <w:spacing w:after="0" w:line="240" w:lineRule="auto"/>
        <w:ind w:firstLine="708"/>
        <w:jc w:val="both"/>
        <w:rPr>
          <w:rFonts w:ascii="Times New Roman" w:hAnsi="Times New Roman" w:cs="Times New Roman"/>
          <w:sz w:val="24"/>
          <w:szCs w:val="24"/>
        </w:rPr>
      </w:pPr>
    </w:p>
    <w:p w:rsidR="00CA596F" w:rsidRPr="00D71CD1" w:rsidRDefault="00CA596F" w:rsidP="00D71CD1">
      <w:pPr>
        <w:pStyle w:val="Legenda"/>
        <w:spacing w:after="0"/>
        <w:jc w:val="both"/>
        <w:rPr>
          <w:rFonts w:ascii="Times New Roman" w:hAnsi="Times New Roman" w:cs="Times New Roman"/>
          <w:b w:val="0"/>
          <w:bCs w:val="0"/>
          <w:color w:val="auto"/>
          <w:sz w:val="24"/>
          <w:szCs w:val="24"/>
        </w:rPr>
      </w:pPr>
      <w:bookmarkStart w:id="0" w:name="_Toc359857978"/>
      <w:r w:rsidRPr="00D71CD1">
        <w:rPr>
          <w:rFonts w:ascii="Times New Roman" w:hAnsi="Times New Roman" w:cs="Times New Roman"/>
          <w:color w:val="auto"/>
          <w:sz w:val="24"/>
          <w:szCs w:val="24"/>
        </w:rPr>
        <w:t xml:space="preserve">Tabela </w:t>
      </w:r>
      <w:r w:rsidR="003F1166" w:rsidRPr="00D71CD1">
        <w:rPr>
          <w:rFonts w:ascii="Times New Roman" w:hAnsi="Times New Roman" w:cs="Times New Roman"/>
          <w:sz w:val="24"/>
          <w:szCs w:val="24"/>
        </w:rPr>
        <w:fldChar w:fldCharType="begin"/>
      </w:r>
      <w:r w:rsidRPr="00D71CD1">
        <w:rPr>
          <w:rFonts w:ascii="Times New Roman" w:hAnsi="Times New Roman" w:cs="Times New Roman"/>
          <w:color w:val="auto"/>
          <w:sz w:val="24"/>
          <w:szCs w:val="24"/>
        </w:rPr>
        <w:instrText xml:space="preserve"> SEQ Tabela \* ARABIC </w:instrText>
      </w:r>
      <w:r w:rsidR="003F1166" w:rsidRPr="00D71CD1">
        <w:rPr>
          <w:rFonts w:ascii="Times New Roman" w:hAnsi="Times New Roman" w:cs="Times New Roman"/>
          <w:sz w:val="24"/>
          <w:szCs w:val="24"/>
        </w:rPr>
        <w:fldChar w:fldCharType="separate"/>
      </w:r>
      <w:r w:rsidR="002470D3">
        <w:rPr>
          <w:rFonts w:ascii="Times New Roman" w:hAnsi="Times New Roman" w:cs="Times New Roman"/>
          <w:noProof/>
          <w:color w:val="auto"/>
          <w:sz w:val="24"/>
          <w:szCs w:val="24"/>
        </w:rPr>
        <w:t>1</w:t>
      </w:r>
      <w:r w:rsidR="003F1166" w:rsidRPr="00D71CD1">
        <w:rPr>
          <w:rFonts w:ascii="Times New Roman" w:hAnsi="Times New Roman" w:cs="Times New Roman"/>
          <w:sz w:val="24"/>
          <w:szCs w:val="24"/>
        </w:rPr>
        <w:fldChar w:fldCharType="end"/>
      </w:r>
      <w:r w:rsidRPr="00D71CD1">
        <w:rPr>
          <w:rFonts w:ascii="Times New Roman" w:hAnsi="Times New Roman" w:cs="Times New Roman"/>
          <w:color w:val="auto"/>
          <w:sz w:val="24"/>
          <w:szCs w:val="24"/>
        </w:rPr>
        <w:t xml:space="preserve"> - Evolução da produção brasileira de soja, dos contratos negociados e do volume dos contratos futuros de soja da </w:t>
      </w:r>
      <w:proofErr w:type="spellStart"/>
      <w:r w:rsidRPr="00D71CD1">
        <w:rPr>
          <w:rFonts w:ascii="Times New Roman" w:hAnsi="Times New Roman" w:cs="Times New Roman"/>
          <w:color w:val="auto"/>
          <w:sz w:val="24"/>
          <w:szCs w:val="24"/>
        </w:rPr>
        <w:t>BM&amp;FBOVESPA</w:t>
      </w:r>
      <w:proofErr w:type="spellEnd"/>
      <w:r w:rsidRPr="00D71CD1">
        <w:rPr>
          <w:rFonts w:ascii="Times New Roman" w:hAnsi="Times New Roman" w:cs="Times New Roman"/>
          <w:color w:val="auto"/>
          <w:sz w:val="24"/>
          <w:szCs w:val="24"/>
        </w:rPr>
        <w:t>.</w:t>
      </w:r>
      <w:bookmarkEnd w:id="0"/>
    </w:p>
    <w:tbl>
      <w:tblPr>
        <w:tblW w:w="0" w:type="auto"/>
        <w:jc w:val="center"/>
        <w:tblBorders>
          <w:top w:val="single" w:sz="4" w:space="0" w:color="auto"/>
          <w:bottom w:val="single" w:sz="4" w:space="0" w:color="auto"/>
        </w:tblBorders>
        <w:tblLook w:val="04A0"/>
      </w:tblPr>
      <w:tblGrid>
        <w:gridCol w:w="1109"/>
        <w:gridCol w:w="1813"/>
        <w:gridCol w:w="2004"/>
        <w:gridCol w:w="2004"/>
        <w:gridCol w:w="2061"/>
      </w:tblGrid>
      <w:tr w:rsidR="00CA596F" w:rsidRPr="00D71CD1" w:rsidTr="00627501">
        <w:trPr>
          <w:jc w:val="center"/>
        </w:trPr>
        <w:tc>
          <w:tcPr>
            <w:tcW w:w="1109" w:type="dxa"/>
            <w:tcBorders>
              <w:top w:val="single" w:sz="4" w:space="0" w:color="auto"/>
              <w:left w:val="nil"/>
              <w:bottom w:val="single" w:sz="4" w:space="0" w:color="auto"/>
              <w:right w:val="nil"/>
            </w:tcBorders>
            <w:hideMark/>
          </w:tcPr>
          <w:p w:rsidR="00CA596F" w:rsidRPr="00D71CD1" w:rsidRDefault="00CA596F" w:rsidP="00D71CD1">
            <w:pPr>
              <w:autoSpaceDE w:val="0"/>
              <w:autoSpaceDN w:val="0"/>
              <w:adjustRightInd w:val="0"/>
              <w:spacing w:after="0" w:line="240" w:lineRule="auto"/>
              <w:jc w:val="center"/>
              <w:rPr>
                <w:rFonts w:ascii="Times New Roman" w:hAnsi="Times New Roman" w:cs="Times New Roman"/>
                <w:sz w:val="24"/>
                <w:szCs w:val="24"/>
              </w:rPr>
            </w:pPr>
            <w:r w:rsidRPr="00D71CD1">
              <w:rPr>
                <w:rFonts w:ascii="Times New Roman" w:hAnsi="Times New Roman" w:cs="Times New Roman"/>
                <w:sz w:val="24"/>
                <w:szCs w:val="24"/>
              </w:rPr>
              <w:t>Ano de colheita da produção</w:t>
            </w:r>
          </w:p>
        </w:tc>
        <w:tc>
          <w:tcPr>
            <w:tcW w:w="1813" w:type="dxa"/>
            <w:tcBorders>
              <w:top w:val="single" w:sz="4" w:space="0" w:color="auto"/>
              <w:left w:val="nil"/>
              <w:bottom w:val="single" w:sz="4" w:space="0" w:color="auto"/>
              <w:right w:val="nil"/>
            </w:tcBorders>
            <w:hideMark/>
          </w:tcPr>
          <w:p w:rsidR="00CA596F" w:rsidRPr="00D71CD1" w:rsidRDefault="00CA596F" w:rsidP="00D71CD1">
            <w:pPr>
              <w:autoSpaceDE w:val="0"/>
              <w:autoSpaceDN w:val="0"/>
              <w:adjustRightInd w:val="0"/>
              <w:spacing w:after="0" w:line="240" w:lineRule="auto"/>
              <w:jc w:val="center"/>
              <w:rPr>
                <w:rFonts w:ascii="Times New Roman" w:hAnsi="Times New Roman" w:cs="Times New Roman"/>
                <w:sz w:val="24"/>
                <w:szCs w:val="24"/>
              </w:rPr>
            </w:pPr>
            <w:r w:rsidRPr="00D71CD1">
              <w:rPr>
                <w:rFonts w:ascii="Times New Roman" w:hAnsi="Times New Roman" w:cs="Times New Roman"/>
                <w:sz w:val="24"/>
                <w:szCs w:val="24"/>
              </w:rPr>
              <w:t>Produção brasileira de soja (em toneladas)</w:t>
            </w:r>
          </w:p>
        </w:tc>
        <w:tc>
          <w:tcPr>
            <w:tcW w:w="2004" w:type="dxa"/>
            <w:tcBorders>
              <w:top w:val="single" w:sz="4" w:space="0" w:color="auto"/>
              <w:left w:val="nil"/>
              <w:bottom w:val="single" w:sz="4" w:space="0" w:color="auto"/>
              <w:right w:val="nil"/>
            </w:tcBorders>
            <w:hideMark/>
          </w:tcPr>
          <w:p w:rsidR="00CA596F" w:rsidRPr="00D71CD1" w:rsidRDefault="00CA596F" w:rsidP="00D71CD1">
            <w:pPr>
              <w:autoSpaceDE w:val="0"/>
              <w:autoSpaceDN w:val="0"/>
              <w:adjustRightInd w:val="0"/>
              <w:spacing w:after="0" w:line="240" w:lineRule="auto"/>
              <w:jc w:val="center"/>
              <w:rPr>
                <w:rFonts w:ascii="Times New Roman" w:hAnsi="Times New Roman" w:cs="Times New Roman"/>
                <w:sz w:val="24"/>
                <w:szCs w:val="24"/>
              </w:rPr>
            </w:pPr>
            <w:r w:rsidRPr="00D71CD1">
              <w:rPr>
                <w:rFonts w:ascii="Times New Roman" w:hAnsi="Times New Roman" w:cs="Times New Roman"/>
                <w:sz w:val="24"/>
                <w:szCs w:val="24"/>
              </w:rPr>
              <w:t xml:space="preserve">Contratos </w:t>
            </w:r>
            <w:proofErr w:type="gramStart"/>
            <w:r w:rsidRPr="00D71CD1">
              <w:rPr>
                <w:rFonts w:ascii="Times New Roman" w:hAnsi="Times New Roman" w:cs="Times New Roman"/>
                <w:sz w:val="24"/>
                <w:szCs w:val="24"/>
              </w:rPr>
              <w:t xml:space="preserve">futuro de soja negociados na </w:t>
            </w:r>
            <w:proofErr w:type="spellStart"/>
            <w:r w:rsidRPr="00D71CD1">
              <w:rPr>
                <w:rFonts w:ascii="Times New Roman" w:hAnsi="Times New Roman" w:cs="Times New Roman"/>
                <w:sz w:val="24"/>
                <w:szCs w:val="24"/>
              </w:rPr>
              <w:t>BM&amp;FBOVESPA</w:t>
            </w:r>
            <w:proofErr w:type="spellEnd"/>
            <w:proofErr w:type="gramEnd"/>
          </w:p>
        </w:tc>
        <w:tc>
          <w:tcPr>
            <w:tcW w:w="1957" w:type="dxa"/>
            <w:tcBorders>
              <w:top w:val="single" w:sz="4" w:space="0" w:color="auto"/>
              <w:left w:val="nil"/>
              <w:bottom w:val="single" w:sz="4" w:space="0" w:color="auto"/>
              <w:right w:val="nil"/>
            </w:tcBorders>
            <w:hideMark/>
          </w:tcPr>
          <w:p w:rsidR="00CA596F" w:rsidRPr="00D71CD1" w:rsidRDefault="00CA596F" w:rsidP="00D71CD1">
            <w:pPr>
              <w:autoSpaceDE w:val="0"/>
              <w:autoSpaceDN w:val="0"/>
              <w:adjustRightInd w:val="0"/>
              <w:spacing w:after="0" w:line="240" w:lineRule="auto"/>
              <w:jc w:val="center"/>
              <w:rPr>
                <w:rFonts w:ascii="Times New Roman" w:hAnsi="Times New Roman" w:cs="Times New Roman"/>
                <w:sz w:val="24"/>
                <w:szCs w:val="24"/>
              </w:rPr>
            </w:pPr>
            <w:proofErr w:type="gramStart"/>
            <w:r w:rsidRPr="00D71CD1">
              <w:rPr>
                <w:rFonts w:ascii="Times New Roman" w:hAnsi="Times New Roman" w:cs="Times New Roman"/>
                <w:sz w:val="24"/>
                <w:szCs w:val="24"/>
              </w:rPr>
              <w:t xml:space="preserve">Volume de soja negociados na </w:t>
            </w:r>
            <w:proofErr w:type="spellStart"/>
            <w:r w:rsidRPr="00D71CD1">
              <w:rPr>
                <w:rFonts w:ascii="Times New Roman" w:hAnsi="Times New Roman" w:cs="Times New Roman"/>
                <w:sz w:val="24"/>
                <w:szCs w:val="24"/>
              </w:rPr>
              <w:t>BM&amp;FBOVESPA</w:t>
            </w:r>
            <w:proofErr w:type="spellEnd"/>
            <w:proofErr w:type="gramEnd"/>
            <w:r w:rsidRPr="00D71CD1">
              <w:rPr>
                <w:rFonts w:ascii="Times New Roman" w:hAnsi="Times New Roman" w:cs="Times New Roman"/>
                <w:sz w:val="24"/>
                <w:szCs w:val="24"/>
              </w:rPr>
              <w:t xml:space="preserve"> (em toneladas)</w:t>
            </w:r>
          </w:p>
        </w:tc>
        <w:tc>
          <w:tcPr>
            <w:tcW w:w="2061" w:type="dxa"/>
            <w:tcBorders>
              <w:top w:val="single" w:sz="4" w:space="0" w:color="auto"/>
              <w:left w:val="nil"/>
              <w:bottom w:val="single" w:sz="4" w:space="0" w:color="auto"/>
              <w:right w:val="nil"/>
            </w:tcBorders>
            <w:hideMark/>
          </w:tcPr>
          <w:p w:rsidR="00CA596F" w:rsidRPr="00D71CD1" w:rsidRDefault="00CA596F" w:rsidP="00D71CD1">
            <w:pPr>
              <w:autoSpaceDE w:val="0"/>
              <w:autoSpaceDN w:val="0"/>
              <w:adjustRightInd w:val="0"/>
              <w:spacing w:after="0" w:line="240" w:lineRule="auto"/>
              <w:jc w:val="center"/>
              <w:rPr>
                <w:rFonts w:ascii="Times New Roman" w:hAnsi="Times New Roman" w:cs="Times New Roman"/>
                <w:sz w:val="24"/>
                <w:szCs w:val="24"/>
              </w:rPr>
            </w:pPr>
            <w:r w:rsidRPr="00D71CD1">
              <w:rPr>
                <w:rFonts w:ascii="Times New Roman" w:hAnsi="Times New Roman" w:cs="Times New Roman"/>
                <w:sz w:val="24"/>
                <w:szCs w:val="24"/>
              </w:rPr>
              <w:t>Porcentagem da produção brasileira coberta em futuros</w:t>
            </w:r>
          </w:p>
        </w:tc>
      </w:tr>
      <w:tr w:rsidR="00CA596F" w:rsidRPr="00D71CD1" w:rsidTr="00627501">
        <w:trPr>
          <w:jc w:val="center"/>
        </w:trPr>
        <w:tc>
          <w:tcPr>
            <w:tcW w:w="1109" w:type="dxa"/>
            <w:tcBorders>
              <w:top w:val="nil"/>
              <w:left w:val="nil"/>
              <w:bottom w:val="nil"/>
              <w:right w:val="nil"/>
            </w:tcBorders>
            <w:hideMark/>
          </w:tcPr>
          <w:p w:rsidR="00CA596F" w:rsidRPr="00D71CD1" w:rsidRDefault="00CA596F" w:rsidP="00D71CD1">
            <w:pPr>
              <w:autoSpaceDE w:val="0"/>
              <w:autoSpaceDN w:val="0"/>
              <w:adjustRightInd w:val="0"/>
              <w:spacing w:after="0" w:line="240" w:lineRule="auto"/>
              <w:jc w:val="center"/>
              <w:rPr>
                <w:rFonts w:ascii="Times New Roman" w:hAnsi="Times New Roman" w:cs="Times New Roman"/>
                <w:sz w:val="24"/>
                <w:szCs w:val="24"/>
              </w:rPr>
            </w:pPr>
            <w:r w:rsidRPr="00D71CD1">
              <w:rPr>
                <w:rFonts w:ascii="Times New Roman" w:hAnsi="Times New Roman" w:cs="Times New Roman"/>
                <w:sz w:val="24"/>
                <w:szCs w:val="24"/>
              </w:rPr>
              <w:t>2003</w:t>
            </w:r>
          </w:p>
        </w:tc>
        <w:tc>
          <w:tcPr>
            <w:tcW w:w="1813"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52.017.500</w:t>
            </w:r>
          </w:p>
        </w:tc>
        <w:tc>
          <w:tcPr>
            <w:tcW w:w="2004"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2.917</w:t>
            </w:r>
          </w:p>
        </w:tc>
        <w:tc>
          <w:tcPr>
            <w:tcW w:w="1957"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78.759</w:t>
            </w:r>
          </w:p>
        </w:tc>
        <w:tc>
          <w:tcPr>
            <w:tcW w:w="2061"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0,15</w:t>
            </w:r>
          </w:p>
        </w:tc>
      </w:tr>
      <w:tr w:rsidR="00CA596F" w:rsidRPr="00D71CD1" w:rsidTr="00627501">
        <w:trPr>
          <w:jc w:val="center"/>
        </w:trPr>
        <w:tc>
          <w:tcPr>
            <w:tcW w:w="1109" w:type="dxa"/>
            <w:tcBorders>
              <w:top w:val="nil"/>
              <w:left w:val="nil"/>
              <w:bottom w:val="nil"/>
              <w:right w:val="nil"/>
            </w:tcBorders>
            <w:hideMark/>
          </w:tcPr>
          <w:p w:rsidR="00CA596F" w:rsidRPr="00D71CD1" w:rsidRDefault="00CA596F" w:rsidP="00D71CD1">
            <w:pPr>
              <w:autoSpaceDE w:val="0"/>
              <w:autoSpaceDN w:val="0"/>
              <w:adjustRightInd w:val="0"/>
              <w:spacing w:after="0" w:line="240" w:lineRule="auto"/>
              <w:jc w:val="center"/>
              <w:rPr>
                <w:rFonts w:ascii="Times New Roman" w:hAnsi="Times New Roman" w:cs="Times New Roman"/>
                <w:sz w:val="24"/>
                <w:szCs w:val="24"/>
              </w:rPr>
            </w:pPr>
            <w:r w:rsidRPr="00D71CD1">
              <w:rPr>
                <w:rFonts w:ascii="Times New Roman" w:hAnsi="Times New Roman" w:cs="Times New Roman"/>
                <w:sz w:val="24"/>
                <w:szCs w:val="24"/>
              </w:rPr>
              <w:t>2004</w:t>
            </w:r>
          </w:p>
        </w:tc>
        <w:tc>
          <w:tcPr>
            <w:tcW w:w="1813"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49.792.700</w:t>
            </w:r>
          </w:p>
        </w:tc>
        <w:tc>
          <w:tcPr>
            <w:tcW w:w="2004"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13.005</w:t>
            </w:r>
          </w:p>
        </w:tc>
        <w:tc>
          <w:tcPr>
            <w:tcW w:w="1957"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351.135</w:t>
            </w:r>
          </w:p>
        </w:tc>
        <w:tc>
          <w:tcPr>
            <w:tcW w:w="2061"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0,70</w:t>
            </w:r>
          </w:p>
        </w:tc>
      </w:tr>
      <w:tr w:rsidR="00CA596F" w:rsidRPr="00D71CD1" w:rsidTr="00627501">
        <w:trPr>
          <w:jc w:val="center"/>
        </w:trPr>
        <w:tc>
          <w:tcPr>
            <w:tcW w:w="1109" w:type="dxa"/>
            <w:tcBorders>
              <w:top w:val="nil"/>
              <w:left w:val="nil"/>
              <w:bottom w:val="nil"/>
              <w:right w:val="nil"/>
            </w:tcBorders>
            <w:hideMark/>
          </w:tcPr>
          <w:p w:rsidR="00CA596F" w:rsidRPr="00D71CD1" w:rsidRDefault="00CA596F" w:rsidP="00D71CD1">
            <w:pPr>
              <w:autoSpaceDE w:val="0"/>
              <w:autoSpaceDN w:val="0"/>
              <w:adjustRightInd w:val="0"/>
              <w:spacing w:after="0" w:line="240" w:lineRule="auto"/>
              <w:jc w:val="center"/>
              <w:rPr>
                <w:rFonts w:ascii="Times New Roman" w:hAnsi="Times New Roman" w:cs="Times New Roman"/>
                <w:sz w:val="24"/>
                <w:szCs w:val="24"/>
              </w:rPr>
            </w:pPr>
            <w:r w:rsidRPr="00D71CD1">
              <w:rPr>
                <w:rFonts w:ascii="Times New Roman" w:hAnsi="Times New Roman" w:cs="Times New Roman"/>
                <w:sz w:val="24"/>
                <w:szCs w:val="24"/>
              </w:rPr>
              <w:t>2005</w:t>
            </w:r>
          </w:p>
        </w:tc>
        <w:tc>
          <w:tcPr>
            <w:tcW w:w="1813"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52.304.600</w:t>
            </w:r>
          </w:p>
        </w:tc>
        <w:tc>
          <w:tcPr>
            <w:tcW w:w="2004"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47.360</w:t>
            </w:r>
          </w:p>
        </w:tc>
        <w:tc>
          <w:tcPr>
            <w:tcW w:w="1957"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1.278.720</w:t>
            </w:r>
          </w:p>
        </w:tc>
        <w:tc>
          <w:tcPr>
            <w:tcW w:w="2061"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2,44</w:t>
            </w:r>
          </w:p>
        </w:tc>
      </w:tr>
      <w:tr w:rsidR="00CA596F" w:rsidRPr="00D71CD1" w:rsidTr="00627501">
        <w:trPr>
          <w:jc w:val="center"/>
        </w:trPr>
        <w:tc>
          <w:tcPr>
            <w:tcW w:w="1109" w:type="dxa"/>
            <w:tcBorders>
              <w:top w:val="nil"/>
              <w:left w:val="nil"/>
              <w:bottom w:val="nil"/>
              <w:right w:val="nil"/>
            </w:tcBorders>
            <w:hideMark/>
          </w:tcPr>
          <w:p w:rsidR="00CA596F" w:rsidRPr="00D71CD1" w:rsidRDefault="00CA596F" w:rsidP="00D71CD1">
            <w:pPr>
              <w:autoSpaceDE w:val="0"/>
              <w:autoSpaceDN w:val="0"/>
              <w:adjustRightInd w:val="0"/>
              <w:spacing w:after="0" w:line="240" w:lineRule="auto"/>
              <w:jc w:val="center"/>
              <w:rPr>
                <w:rFonts w:ascii="Times New Roman" w:hAnsi="Times New Roman" w:cs="Times New Roman"/>
                <w:sz w:val="24"/>
                <w:szCs w:val="24"/>
              </w:rPr>
            </w:pPr>
            <w:r w:rsidRPr="00D71CD1">
              <w:rPr>
                <w:rFonts w:ascii="Times New Roman" w:hAnsi="Times New Roman" w:cs="Times New Roman"/>
                <w:sz w:val="24"/>
                <w:szCs w:val="24"/>
              </w:rPr>
              <w:t>2006</w:t>
            </w:r>
          </w:p>
        </w:tc>
        <w:tc>
          <w:tcPr>
            <w:tcW w:w="1813"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55.027.100</w:t>
            </w:r>
          </w:p>
        </w:tc>
        <w:tc>
          <w:tcPr>
            <w:tcW w:w="2004"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98.112</w:t>
            </w:r>
          </w:p>
        </w:tc>
        <w:tc>
          <w:tcPr>
            <w:tcW w:w="1957"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2.649.024</w:t>
            </w:r>
          </w:p>
        </w:tc>
        <w:tc>
          <w:tcPr>
            <w:tcW w:w="2061"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4,81</w:t>
            </w:r>
          </w:p>
        </w:tc>
      </w:tr>
      <w:tr w:rsidR="00CA596F" w:rsidRPr="00D71CD1" w:rsidTr="00627501">
        <w:trPr>
          <w:jc w:val="center"/>
        </w:trPr>
        <w:tc>
          <w:tcPr>
            <w:tcW w:w="1109" w:type="dxa"/>
            <w:tcBorders>
              <w:top w:val="nil"/>
              <w:left w:val="nil"/>
              <w:bottom w:val="nil"/>
              <w:right w:val="nil"/>
            </w:tcBorders>
            <w:hideMark/>
          </w:tcPr>
          <w:p w:rsidR="00CA596F" w:rsidRPr="00D71CD1" w:rsidRDefault="00CA596F" w:rsidP="00D71CD1">
            <w:pPr>
              <w:autoSpaceDE w:val="0"/>
              <w:autoSpaceDN w:val="0"/>
              <w:adjustRightInd w:val="0"/>
              <w:spacing w:after="0" w:line="240" w:lineRule="auto"/>
              <w:jc w:val="center"/>
              <w:rPr>
                <w:rFonts w:ascii="Times New Roman" w:hAnsi="Times New Roman" w:cs="Times New Roman"/>
                <w:sz w:val="24"/>
                <w:szCs w:val="24"/>
              </w:rPr>
            </w:pPr>
            <w:r w:rsidRPr="00D71CD1">
              <w:rPr>
                <w:rFonts w:ascii="Times New Roman" w:hAnsi="Times New Roman" w:cs="Times New Roman"/>
                <w:sz w:val="24"/>
                <w:szCs w:val="24"/>
              </w:rPr>
              <w:t>2007</w:t>
            </w:r>
          </w:p>
        </w:tc>
        <w:tc>
          <w:tcPr>
            <w:tcW w:w="1813"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58.391.800</w:t>
            </w:r>
          </w:p>
        </w:tc>
        <w:tc>
          <w:tcPr>
            <w:tcW w:w="2004"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188.279</w:t>
            </w:r>
          </w:p>
        </w:tc>
        <w:tc>
          <w:tcPr>
            <w:tcW w:w="1957"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5.083.533</w:t>
            </w:r>
          </w:p>
        </w:tc>
        <w:tc>
          <w:tcPr>
            <w:tcW w:w="2061"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8,70</w:t>
            </w:r>
          </w:p>
        </w:tc>
      </w:tr>
      <w:tr w:rsidR="00CA596F" w:rsidRPr="00D71CD1" w:rsidTr="00627501">
        <w:trPr>
          <w:jc w:val="center"/>
        </w:trPr>
        <w:tc>
          <w:tcPr>
            <w:tcW w:w="1109" w:type="dxa"/>
            <w:tcBorders>
              <w:top w:val="nil"/>
              <w:left w:val="nil"/>
              <w:bottom w:val="nil"/>
              <w:right w:val="nil"/>
            </w:tcBorders>
            <w:hideMark/>
          </w:tcPr>
          <w:p w:rsidR="00CA596F" w:rsidRPr="00D71CD1" w:rsidRDefault="00CA596F" w:rsidP="00D71CD1">
            <w:pPr>
              <w:autoSpaceDE w:val="0"/>
              <w:autoSpaceDN w:val="0"/>
              <w:adjustRightInd w:val="0"/>
              <w:spacing w:after="0" w:line="240" w:lineRule="auto"/>
              <w:jc w:val="center"/>
              <w:rPr>
                <w:rFonts w:ascii="Times New Roman" w:hAnsi="Times New Roman" w:cs="Times New Roman"/>
                <w:sz w:val="24"/>
                <w:szCs w:val="24"/>
              </w:rPr>
            </w:pPr>
            <w:r w:rsidRPr="00D71CD1">
              <w:rPr>
                <w:rFonts w:ascii="Times New Roman" w:hAnsi="Times New Roman" w:cs="Times New Roman"/>
                <w:sz w:val="24"/>
                <w:szCs w:val="24"/>
              </w:rPr>
              <w:t>2008</w:t>
            </w:r>
          </w:p>
        </w:tc>
        <w:tc>
          <w:tcPr>
            <w:tcW w:w="1813"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60.017.700</w:t>
            </w:r>
          </w:p>
        </w:tc>
        <w:tc>
          <w:tcPr>
            <w:tcW w:w="2004"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284.382</w:t>
            </w:r>
          </w:p>
        </w:tc>
        <w:tc>
          <w:tcPr>
            <w:tcW w:w="1957"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7.678.314</w:t>
            </w:r>
          </w:p>
        </w:tc>
        <w:tc>
          <w:tcPr>
            <w:tcW w:w="2061"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12,79</w:t>
            </w:r>
          </w:p>
        </w:tc>
      </w:tr>
      <w:tr w:rsidR="00CA596F" w:rsidRPr="00D71CD1" w:rsidTr="00627501">
        <w:trPr>
          <w:jc w:val="center"/>
        </w:trPr>
        <w:tc>
          <w:tcPr>
            <w:tcW w:w="1109" w:type="dxa"/>
            <w:tcBorders>
              <w:top w:val="nil"/>
              <w:left w:val="nil"/>
              <w:bottom w:val="nil"/>
              <w:right w:val="nil"/>
            </w:tcBorders>
            <w:hideMark/>
          </w:tcPr>
          <w:p w:rsidR="00CA596F" w:rsidRPr="00D71CD1" w:rsidRDefault="00CA596F" w:rsidP="00D71CD1">
            <w:pPr>
              <w:autoSpaceDE w:val="0"/>
              <w:autoSpaceDN w:val="0"/>
              <w:adjustRightInd w:val="0"/>
              <w:spacing w:after="0" w:line="240" w:lineRule="auto"/>
              <w:jc w:val="center"/>
              <w:rPr>
                <w:rFonts w:ascii="Times New Roman" w:hAnsi="Times New Roman" w:cs="Times New Roman"/>
                <w:sz w:val="24"/>
                <w:szCs w:val="24"/>
              </w:rPr>
            </w:pPr>
            <w:r w:rsidRPr="00D71CD1">
              <w:rPr>
                <w:rFonts w:ascii="Times New Roman" w:hAnsi="Times New Roman" w:cs="Times New Roman"/>
                <w:sz w:val="24"/>
                <w:szCs w:val="24"/>
              </w:rPr>
              <w:t>2009</w:t>
            </w:r>
          </w:p>
        </w:tc>
        <w:tc>
          <w:tcPr>
            <w:tcW w:w="1813"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57.165.500</w:t>
            </w:r>
          </w:p>
        </w:tc>
        <w:tc>
          <w:tcPr>
            <w:tcW w:w="2004"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168.168</w:t>
            </w:r>
          </w:p>
        </w:tc>
        <w:tc>
          <w:tcPr>
            <w:tcW w:w="1957"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4.540.536</w:t>
            </w:r>
          </w:p>
        </w:tc>
        <w:tc>
          <w:tcPr>
            <w:tcW w:w="2061"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7,94</w:t>
            </w:r>
          </w:p>
        </w:tc>
      </w:tr>
      <w:tr w:rsidR="00CA596F" w:rsidRPr="00D71CD1" w:rsidTr="00627501">
        <w:trPr>
          <w:jc w:val="center"/>
        </w:trPr>
        <w:tc>
          <w:tcPr>
            <w:tcW w:w="1109" w:type="dxa"/>
            <w:tcBorders>
              <w:top w:val="nil"/>
              <w:left w:val="nil"/>
              <w:bottom w:val="nil"/>
              <w:right w:val="nil"/>
            </w:tcBorders>
            <w:hideMark/>
          </w:tcPr>
          <w:p w:rsidR="00CA596F" w:rsidRPr="00D71CD1" w:rsidRDefault="00CA596F" w:rsidP="00D71CD1">
            <w:pPr>
              <w:autoSpaceDE w:val="0"/>
              <w:autoSpaceDN w:val="0"/>
              <w:adjustRightInd w:val="0"/>
              <w:spacing w:after="0" w:line="240" w:lineRule="auto"/>
              <w:jc w:val="center"/>
              <w:rPr>
                <w:rFonts w:ascii="Times New Roman" w:hAnsi="Times New Roman" w:cs="Times New Roman"/>
                <w:sz w:val="24"/>
                <w:szCs w:val="24"/>
              </w:rPr>
            </w:pPr>
            <w:r w:rsidRPr="00D71CD1">
              <w:rPr>
                <w:rFonts w:ascii="Times New Roman" w:hAnsi="Times New Roman" w:cs="Times New Roman"/>
                <w:sz w:val="24"/>
                <w:szCs w:val="24"/>
              </w:rPr>
              <w:t>2010</w:t>
            </w:r>
          </w:p>
        </w:tc>
        <w:tc>
          <w:tcPr>
            <w:tcW w:w="1813"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68.688.200</w:t>
            </w:r>
          </w:p>
        </w:tc>
        <w:tc>
          <w:tcPr>
            <w:tcW w:w="2004"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95.598</w:t>
            </w:r>
          </w:p>
        </w:tc>
        <w:tc>
          <w:tcPr>
            <w:tcW w:w="1957"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2.581.146</w:t>
            </w:r>
          </w:p>
        </w:tc>
        <w:tc>
          <w:tcPr>
            <w:tcW w:w="2061"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3,75</w:t>
            </w:r>
          </w:p>
        </w:tc>
      </w:tr>
      <w:tr w:rsidR="00CA596F" w:rsidRPr="00D71CD1" w:rsidTr="00627501">
        <w:trPr>
          <w:jc w:val="center"/>
        </w:trPr>
        <w:tc>
          <w:tcPr>
            <w:tcW w:w="1109" w:type="dxa"/>
            <w:tcBorders>
              <w:top w:val="nil"/>
              <w:left w:val="nil"/>
              <w:bottom w:val="nil"/>
              <w:right w:val="nil"/>
            </w:tcBorders>
            <w:hideMark/>
          </w:tcPr>
          <w:p w:rsidR="00CA596F" w:rsidRPr="00D71CD1" w:rsidRDefault="00CA596F" w:rsidP="00D71CD1">
            <w:pPr>
              <w:autoSpaceDE w:val="0"/>
              <w:autoSpaceDN w:val="0"/>
              <w:adjustRightInd w:val="0"/>
              <w:spacing w:after="0" w:line="240" w:lineRule="auto"/>
              <w:jc w:val="center"/>
              <w:rPr>
                <w:rFonts w:ascii="Times New Roman" w:hAnsi="Times New Roman" w:cs="Times New Roman"/>
                <w:sz w:val="24"/>
                <w:szCs w:val="24"/>
              </w:rPr>
            </w:pPr>
            <w:r w:rsidRPr="00D71CD1">
              <w:rPr>
                <w:rFonts w:ascii="Times New Roman" w:hAnsi="Times New Roman" w:cs="Times New Roman"/>
                <w:sz w:val="24"/>
                <w:szCs w:val="24"/>
              </w:rPr>
              <w:t>2011</w:t>
            </w:r>
          </w:p>
        </w:tc>
        <w:tc>
          <w:tcPr>
            <w:tcW w:w="1813"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75.324.300</w:t>
            </w:r>
          </w:p>
        </w:tc>
        <w:tc>
          <w:tcPr>
            <w:tcW w:w="2004"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37.465</w:t>
            </w:r>
          </w:p>
        </w:tc>
        <w:tc>
          <w:tcPr>
            <w:tcW w:w="1957"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1.011.555</w:t>
            </w:r>
          </w:p>
        </w:tc>
        <w:tc>
          <w:tcPr>
            <w:tcW w:w="2061" w:type="dxa"/>
            <w:tcBorders>
              <w:top w:val="nil"/>
              <w:left w:val="nil"/>
              <w:bottom w:val="nil"/>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1,34</w:t>
            </w:r>
          </w:p>
        </w:tc>
      </w:tr>
      <w:tr w:rsidR="00CA596F" w:rsidRPr="00D71CD1" w:rsidTr="00627501">
        <w:trPr>
          <w:jc w:val="center"/>
        </w:trPr>
        <w:tc>
          <w:tcPr>
            <w:tcW w:w="1109" w:type="dxa"/>
            <w:tcBorders>
              <w:top w:val="nil"/>
              <w:left w:val="nil"/>
              <w:bottom w:val="single" w:sz="4" w:space="0" w:color="auto"/>
              <w:right w:val="nil"/>
            </w:tcBorders>
            <w:hideMark/>
          </w:tcPr>
          <w:p w:rsidR="00CA596F" w:rsidRPr="00D71CD1" w:rsidRDefault="00CA596F" w:rsidP="00D71CD1">
            <w:pPr>
              <w:autoSpaceDE w:val="0"/>
              <w:autoSpaceDN w:val="0"/>
              <w:adjustRightInd w:val="0"/>
              <w:spacing w:after="0" w:line="240" w:lineRule="auto"/>
              <w:jc w:val="center"/>
              <w:rPr>
                <w:rFonts w:ascii="Times New Roman" w:hAnsi="Times New Roman" w:cs="Times New Roman"/>
                <w:sz w:val="24"/>
                <w:szCs w:val="24"/>
              </w:rPr>
            </w:pPr>
            <w:r w:rsidRPr="00D71CD1">
              <w:rPr>
                <w:rFonts w:ascii="Times New Roman" w:hAnsi="Times New Roman" w:cs="Times New Roman"/>
                <w:sz w:val="24"/>
                <w:szCs w:val="24"/>
              </w:rPr>
              <w:t>2012</w:t>
            </w:r>
          </w:p>
        </w:tc>
        <w:tc>
          <w:tcPr>
            <w:tcW w:w="1813" w:type="dxa"/>
            <w:tcBorders>
              <w:top w:val="nil"/>
              <w:left w:val="nil"/>
              <w:bottom w:val="single" w:sz="4" w:space="0" w:color="auto"/>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66.383.000</w:t>
            </w:r>
          </w:p>
        </w:tc>
        <w:tc>
          <w:tcPr>
            <w:tcW w:w="2004" w:type="dxa"/>
            <w:tcBorders>
              <w:top w:val="nil"/>
              <w:left w:val="nil"/>
              <w:bottom w:val="single" w:sz="4" w:space="0" w:color="auto"/>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52.034</w:t>
            </w:r>
          </w:p>
        </w:tc>
        <w:tc>
          <w:tcPr>
            <w:tcW w:w="1957" w:type="dxa"/>
            <w:tcBorders>
              <w:top w:val="nil"/>
              <w:left w:val="nil"/>
              <w:bottom w:val="single" w:sz="4" w:space="0" w:color="auto"/>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1.404.918</w:t>
            </w:r>
          </w:p>
        </w:tc>
        <w:tc>
          <w:tcPr>
            <w:tcW w:w="2061" w:type="dxa"/>
            <w:tcBorders>
              <w:top w:val="nil"/>
              <w:left w:val="nil"/>
              <w:bottom w:val="single" w:sz="4" w:space="0" w:color="auto"/>
              <w:right w:val="nil"/>
            </w:tcBorders>
            <w:vAlign w:val="bottom"/>
            <w:hideMark/>
          </w:tcPr>
          <w:p w:rsidR="00CA596F" w:rsidRPr="00D71CD1" w:rsidRDefault="00CA596F"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2,11</w:t>
            </w:r>
          </w:p>
        </w:tc>
      </w:tr>
    </w:tbl>
    <w:p w:rsidR="00CA596F" w:rsidRPr="00D71CD1" w:rsidRDefault="00CA596F" w:rsidP="00D71CD1">
      <w:pPr>
        <w:autoSpaceDE w:val="0"/>
        <w:autoSpaceDN w:val="0"/>
        <w:adjustRightInd w:val="0"/>
        <w:spacing w:after="0" w:line="240" w:lineRule="auto"/>
        <w:jc w:val="both"/>
        <w:rPr>
          <w:rFonts w:ascii="Times New Roman" w:hAnsi="Times New Roman" w:cs="Times New Roman"/>
          <w:sz w:val="24"/>
          <w:szCs w:val="24"/>
        </w:rPr>
      </w:pPr>
      <w:r w:rsidRPr="00D71CD1">
        <w:rPr>
          <w:rFonts w:ascii="Times New Roman" w:hAnsi="Times New Roman" w:cs="Times New Roman"/>
          <w:sz w:val="24"/>
          <w:szCs w:val="24"/>
        </w:rPr>
        <w:t xml:space="preserve">Fonte: Conab (2013) e </w:t>
      </w:r>
      <w:proofErr w:type="spellStart"/>
      <w:r w:rsidRPr="00D71CD1">
        <w:rPr>
          <w:rFonts w:ascii="Times New Roman" w:hAnsi="Times New Roman" w:cs="Times New Roman"/>
          <w:sz w:val="24"/>
          <w:szCs w:val="24"/>
        </w:rPr>
        <w:t>BM&amp;FBOVESPA</w:t>
      </w:r>
      <w:proofErr w:type="spellEnd"/>
      <w:r w:rsidRPr="00D71CD1">
        <w:rPr>
          <w:rFonts w:ascii="Times New Roman" w:hAnsi="Times New Roman" w:cs="Times New Roman"/>
          <w:sz w:val="24"/>
          <w:szCs w:val="24"/>
        </w:rPr>
        <w:t xml:space="preserve"> (2013)</w:t>
      </w:r>
    </w:p>
    <w:p w:rsidR="00CA596F" w:rsidRPr="00D71CD1" w:rsidRDefault="00CA596F" w:rsidP="00D71CD1">
      <w:pPr>
        <w:spacing w:before="120" w:after="0" w:line="240" w:lineRule="auto"/>
        <w:jc w:val="both"/>
        <w:rPr>
          <w:rFonts w:ascii="Times New Roman" w:hAnsi="Times New Roman" w:cs="Times New Roman"/>
          <w:sz w:val="24"/>
          <w:szCs w:val="24"/>
        </w:rPr>
      </w:pPr>
    </w:p>
    <w:p w:rsidR="0024046C" w:rsidRPr="00D71CD1" w:rsidRDefault="00CA596F" w:rsidP="00D71CD1">
      <w:pPr>
        <w:autoSpaceDE w:val="0"/>
        <w:autoSpaceDN w:val="0"/>
        <w:adjustRightInd w:val="0"/>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Como ilustrado na Tabela 1, a </w:t>
      </w:r>
      <w:r w:rsidR="0024046C" w:rsidRPr="00D71CD1">
        <w:rPr>
          <w:rFonts w:ascii="Times New Roman" w:hAnsi="Times New Roman" w:cs="Times New Roman"/>
          <w:sz w:val="24"/>
          <w:szCs w:val="24"/>
        </w:rPr>
        <w:t xml:space="preserve">cadeia produtiva brasileira da soja, que inclui o sojicultor, o mercado doméstico de óleo e farelo, as empresas exportadoras, a indústria de insumo, o criador de aves e suínos, os frigoríficos, entre outros, apresentou grande crescimento nos últimos anos, e, consequentemente, houve aumento substancial no potencial de utilização do mercado futuro para o gerenciamento de risco, tanto para </w:t>
      </w:r>
      <w:proofErr w:type="spellStart"/>
      <w:r w:rsidR="0024046C" w:rsidRPr="00D71CD1">
        <w:rPr>
          <w:rFonts w:ascii="Times New Roman" w:hAnsi="Times New Roman" w:cs="Times New Roman"/>
          <w:i/>
          <w:sz w:val="24"/>
          <w:szCs w:val="24"/>
        </w:rPr>
        <w:t>hedger</w:t>
      </w:r>
      <w:proofErr w:type="spellEnd"/>
      <w:r w:rsidR="0024046C" w:rsidRPr="00D71CD1">
        <w:rPr>
          <w:rFonts w:ascii="Times New Roman" w:hAnsi="Times New Roman" w:cs="Times New Roman"/>
          <w:i/>
          <w:sz w:val="24"/>
          <w:szCs w:val="24"/>
        </w:rPr>
        <w:t xml:space="preserve"> </w:t>
      </w:r>
      <w:r w:rsidR="0024046C" w:rsidRPr="00D71CD1">
        <w:rPr>
          <w:rFonts w:ascii="Times New Roman" w:hAnsi="Times New Roman" w:cs="Times New Roman"/>
          <w:sz w:val="24"/>
          <w:szCs w:val="24"/>
        </w:rPr>
        <w:t>quanto para</w:t>
      </w:r>
      <w:r w:rsidR="0024046C" w:rsidRPr="00D71CD1">
        <w:rPr>
          <w:rFonts w:ascii="Times New Roman" w:hAnsi="Times New Roman" w:cs="Times New Roman"/>
          <w:i/>
          <w:sz w:val="24"/>
          <w:szCs w:val="24"/>
        </w:rPr>
        <w:t xml:space="preserve"> </w:t>
      </w:r>
      <w:proofErr w:type="spellStart"/>
      <w:r w:rsidR="0024046C" w:rsidRPr="00D71CD1">
        <w:rPr>
          <w:rFonts w:ascii="Times New Roman" w:hAnsi="Times New Roman" w:cs="Times New Roman"/>
          <w:i/>
          <w:sz w:val="24"/>
          <w:szCs w:val="24"/>
        </w:rPr>
        <w:t>cross-hedgers</w:t>
      </w:r>
      <w:proofErr w:type="spellEnd"/>
      <w:r w:rsidR="0024046C" w:rsidRPr="00D71CD1">
        <w:rPr>
          <w:rFonts w:ascii="Times New Roman" w:hAnsi="Times New Roman" w:cs="Times New Roman"/>
          <w:sz w:val="24"/>
          <w:szCs w:val="24"/>
        </w:rPr>
        <w:t xml:space="preserve">. Porém, esse aumento não foi acompanhado pelo volume negociado do contrato futuro de soja na </w:t>
      </w:r>
      <w:proofErr w:type="spellStart"/>
      <w:r w:rsidR="0024046C" w:rsidRPr="00D71CD1">
        <w:rPr>
          <w:rFonts w:ascii="Times New Roman" w:hAnsi="Times New Roman" w:cs="Times New Roman"/>
          <w:sz w:val="24"/>
          <w:szCs w:val="24"/>
        </w:rPr>
        <w:t>BM&amp;FBOVESPA</w:t>
      </w:r>
      <w:proofErr w:type="spellEnd"/>
      <w:r w:rsidR="0024046C" w:rsidRPr="00D71CD1">
        <w:rPr>
          <w:rFonts w:ascii="Times New Roman" w:hAnsi="Times New Roman" w:cs="Times New Roman"/>
          <w:sz w:val="24"/>
          <w:szCs w:val="24"/>
        </w:rPr>
        <w:t xml:space="preserve">. Nos últimos anos, o contrato da soja apresentou uma queda no volume negociado, passando de </w:t>
      </w:r>
      <w:r w:rsidR="0024046C" w:rsidRPr="00D71CD1">
        <w:rPr>
          <w:rFonts w:ascii="Times New Roman" w:hAnsi="Times New Roman" w:cs="Times New Roman"/>
          <w:sz w:val="24"/>
          <w:szCs w:val="24"/>
        </w:rPr>
        <w:lastRenderedPageBreak/>
        <w:t xml:space="preserve">aproximadamente 13% da produção brasileira coberta em futuros na </w:t>
      </w:r>
      <w:proofErr w:type="spellStart"/>
      <w:r w:rsidR="0024046C" w:rsidRPr="00D71CD1">
        <w:rPr>
          <w:rFonts w:ascii="Times New Roman" w:hAnsi="Times New Roman" w:cs="Times New Roman"/>
          <w:sz w:val="24"/>
          <w:szCs w:val="24"/>
        </w:rPr>
        <w:t>BM&amp;FBOVESPA</w:t>
      </w:r>
      <w:proofErr w:type="spellEnd"/>
      <w:r w:rsidR="0024046C" w:rsidRPr="00D71CD1">
        <w:rPr>
          <w:rFonts w:ascii="Times New Roman" w:hAnsi="Times New Roman" w:cs="Times New Roman"/>
          <w:sz w:val="24"/>
          <w:szCs w:val="24"/>
        </w:rPr>
        <w:t xml:space="preserve">, no ano de 2008, para 2,1%, em 2012. </w:t>
      </w:r>
    </w:p>
    <w:p w:rsidR="00CA596F" w:rsidRPr="00D71CD1" w:rsidRDefault="00CA596F" w:rsidP="00D71CD1">
      <w:pPr>
        <w:autoSpaceDE w:val="0"/>
        <w:autoSpaceDN w:val="0"/>
        <w:adjustRightInd w:val="0"/>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Para a utilização de um contrato futuro, os participantes enfrentam uma variedade de custos de transação, que incluem taxas de corretagem, taxa de câmbio, depósito de margem de garantia, que normalmente são conhecidos, e outros custos que não são diretamente apresentados, tais como aqueles associados ao risco de base</w:t>
      </w:r>
      <w:r w:rsidRPr="00D71CD1">
        <w:rPr>
          <w:rStyle w:val="Refdenotaderodap"/>
          <w:rFonts w:ascii="Times New Roman" w:hAnsi="Times New Roman" w:cs="Times New Roman"/>
          <w:sz w:val="24"/>
          <w:szCs w:val="24"/>
        </w:rPr>
        <w:footnoteReference w:id="3"/>
      </w:r>
      <w:r w:rsidRPr="00D71CD1">
        <w:rPr>
          <w:rFonts w:ascii="Times New Roman" w:hAnsi="Times New Roman" w:cs="Times New Roman"/>
          <w:sz w:val="24"/>
          <w:szCs w:val="24"/>
        </w:rPr>
        <w:t xml:space="preserve"> e ao grau de liquidez dos contratos negociados. </w:t>
      </w:r>
    </w:p>
    <w:p w:rsidR="00CA596F" w:rsidRPr="00D71CD1" w:rsidRDefault="00CA596F" w:rsidP="00D71CD1">
      <w:pPr>
        <w:autoSpaceDE w:val="0"/>
        <w:autoSpaceDN w:val="0"/>
        <w:adjustRightInd w:val="0"/>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A liquidez do mercado refere-se à capacidade de comprar ou vender um título rapidamente, sem provocar uma mudança significativa no preço de mercado. Um requisito essencial de liquidez é a ampla disponibilidade de contrapartes que estão dispostas a vender quando outros querem comprar e a comprar quando outros querem vender. Ao se negociar em um mercado pouco líquido ou mesmo sem liquidez, acaba-se por gerar um novo custo de transação, pois os preços de compra/venda ficam longe dos preços da contraparte, reduzindo o retorno esperado pelos investidores. Tal diminuição dos retornos é </w:t>
      </w:r>
      <w:proofErr w:type="gramStart"/>
      <w:r w:rsidRPr="00D71CD1">
        <w:rPr>
          <w:rFonts w:ascii="Times New Roman" w:hAnsi="Times New Roman" w:cs="Times New Roman"/>
          <w:sz w:val="24"/>
          <w:szCs w:val="24"/>
        </w:rPr>
        <w:t>conhecido</w:t>
      </w:r>
      <w:proofErr w:type="gramEnd"/>
      <w:r w:rsidRPr="00D71CD1">
        <w:rPr>
          <w:rFonts w:ascii="Times New Roman" w:hAnsi="Times New Roman" w:cs="Times New Roman"/>
          <w:sz w:val="24"/>
          <w:szCs w:val="24"/>
        </w:rPr>
        <w:t xml:space="preserve"> como custo de liquidez (FAGAN, 2010). </w:t>
      </w:r>
    </w:p>
    <w:p w:rsidR="00CA596F" w:rsidRDefault="00CA596F" w:rsidP="00D71CD1">
      <w:pPr>
        <w:pStyle w:val="Default"/>
        <w:ind w:firstLine="708"/>
        <w:jc w:val="both"/>
        <w:rPr>
          <w:shd w:val="clear" w:color="auto" w:fill="FFFFFF"/>
        </w:rPr>
      </w:pPr>
      <w:r w:rsidRPr="00D71CD1">
        <w:t xml:space="preserve">Quando o mercado apresenta elevado custo de liquidez, um dos principais problemas gerados está na diminuição de muitos participantes potenciais, que podem optar por outra bolsa de mercadoria ou até mesmo ser mais viável a não utilização de contratos futuros (THOMPSON </w:t>
      </w:r>
      <w:proofErr w:type="spellStart"/>
      <w:proofErr w:type="gramStart"/>
      <w:r w:rsidRPr="00D71CD1">
        <w:rPr>
          <w:i/>
          <w:iCs/>
        </w:rPr>
        <w:t>et</w:t>
      </w:r>
      <w:proofErr w:type="spellEnd"/>
      <w:proofErr w:type="gramEnd"/>
      <w:r w:rsidRPr="00D71CD1">
        <w:rPr>
          <w:i/>
          <w:iCs/>
        </w:rPr>
        <w:t xml:space="preserve"> al.</w:t>
      </w:r>
      <w:r w:rsidRPr="00D71CD1">
        <w:rPr>
          <w:iCs/>
        </w:rPr>
        <w:t xml:space="preserve"> 1993). Isso </w:t>
      </w:r>
      <w:r w:rsidRPr="00D71CD1">
        <w:t xml:space="preserve">prejudica muito o desempenho do mercado, uma vez que acaba gerando um </w:t>
      </w:r>
      <w:r w:rsidRPr="00D71CD1">
        <w:rPr>
          <w:shd w:val="clear" w:color="auto" w:fill="FFFFFF"/>
        </w:rPr>
        <w:t xml:space="preserve">movimento de bola de neve de perdas sucessivas, pois os altos custos de liquidez acabam inibindo a participação dos investidores no mercado, tornando o ativo ainda menos líquido, reduzindo ainda mais a participação dos agentes, e assim sucessivamente, até o ponto do ativo não ser mais viável como estratégia de investimento.  </w:t>
      </w:r>
    </w:p>
    <w:p w:rsidR="00CA596F" w:rsidRPr="00D71CD1" w:rsidRDefault="00CA596F" w:rsidP="00D71CD1">
      <w:pPr>
        <w:pStyle w:val="Default"/>
        <w:ind w:firstLine="708"/>
        <w:jc w:val="both"/>
      </w:pPr>
      <w:proofErr w:type="spellStart"/>
      <w:r w:rsidRPr="00D71CD1">
        <w:t>Bryant</w:t>
      </w:r>
      <w:proofErr w:type="spellEnd"/>
      <w:r w:rsidRPr="00D71CD1">
        <w:t xml:space="preserve"> e </w:t>
      </w:r>
      <w:proofErr w:type="spellStart"/>
      <w:r w:rsidRPr="00D71CD1">
        <w:t>Haigh</w:t>
      </w:r>
      <w:proofErr w:type="spellEnd"/>
      <w:r w:rsidRPr="00D71CD1">
        <w:t xml:space="preserve"> (2001) apontam que conhecer o custo de liquidez é extremamente importante para especuladores e </w:t>
      </w:r>
      <w:proofErr w:type="spellStart"/>
      <w:r w:rsidRPr="00D71CD1">
        <w:rPr>
          <w:i/>
        </w:rPr>
        <w:t>hedgers</w:t>
      </w:r>
      <w:proofErr w:type="spellEnd"/>
      <w:r w:rsidRPr="00D71CD1">
        <w:t>, tanto para cobertura do preço como para fazer arbitragem, pois ignorar o papel da liquidez do contrato pode levar os participantes do mercado a empreender algo que parece ser um negócio rentável, quando, após contabilizar os custos de liquidez, o negócio se torna inviável.</w:t>
      </w:r>
    </w:p>
    <w:p w:rsidR="00CA596F" w:rsidRPr="00D71CD1" w:rsidRDefault="00CA596F" w:rsidP="00D71CD1">
      <w:pPr>
        <w:pStyle w:val="Default"/>
        <w:ind w:firstLine="708"/>
        <w:jc w:val="both"/>
      </w:pPr>
      <w:r w:rsidRPr="00D71CD1">
        <w:t xml:space="preserve">A variável mais usada para medir o custo de liquidez do mercado é o </w:t>
      </w:r>
      <w:proofErr w:type="spellStart"/>
      <w:proofErr w:type="gramStart"/>
      <w:r w:rsidRPr="00D71CD1">
        <w:rPr>
          <w:i/>
        </w:rPr>
        <w:t>bid</w:t>
      </w:r>
      <w:proofErr w:type="gramEnd"/>
      <w:r w:rsidRPr="00D71CD1">
        <w:rPr>
          <w:i/>
        </w:rPr>
        <w:t>-ask</w:t>
      </w:r>
      <w:proofErr w:type="spellEnd"/>
      <w:r w:rsidRPr="00D71CD1">
        <w:rPr>
          <w:i/>
        </w:rPr>
        <w:t xml:space="preserve"> spread.</w:t>
      </w:r>
      <w:r w:rsidRPr="00D71CD1">
        <w:t xml:space="preserve"> Ele mede diretamente o custo de executar trocas em intervalos muito curtos, e é calculado como a diferença entre o preço ofertado para compra e o preço ofertado de venda de um título (BRYANT e HAIGH, 2002). Conforme </w:t>
      </w:r>
      <w:proofErr w:type="spellStart"/>
      <w:r w:rsidRPr="00D71CD1">
        <w:t>Shah</w:t>
      </w:r>
      <w:proofErr w:type="spellEnd"/>
      <w:r w:rsidRPr="00D71CD1">
        <w:t xml:space="preserve"> </w:t>
      </w:r>
      <w:proofErr w:type="spellStart"/>
      <w:proofErr w:type="gramStart"/>
      <w:r w:rsidRPr="00D71CD1">
        <w:rPr>
          <w:i/>
        </w:rPr>
        <w:t>et</w:t>
      </w:r>
      <w:proofErr w:type="spellEnd"/>
      <w:proofErr w:type="gramEnd"/>
      <w:r w:rsidRPr="00D71CD1">
        <w:rPr>
          <w:i/>
        </w:rPr>
        <w:t xml:space="preserve"> al. </w:t>
      </w:r>
      <w:r w:rsidRPr="00D71CD1">
        <w:t xml:space="preserve">(2009), como todas as transações ocorrem entre o preço da oferta de compra e o preço da oferta de venda, o </w:t>
      </w:r>
      <w:proofErr w:type="spellStart"/>
      <w:r w:rsidRPr="00D71CD1">
        <w:rPr>
          <w:i/>
        </w:rPr>
        <w:t>bid-ask</w:t>
      </w:r>
      <w:proofErr w:type="spellEnd"/>
      <w:r w:rsidRPr="00D71CD1">
        <w:rPr>
          <w:i/>
        </w:rPr>
        <w:t xml:space="preserve"> spread</w:t>
      </w:r>
      <w:r w:rsidRPr="00D71CD1">
        <w:t xml:space="preserve"> da a dimensão dos custos de liquidez no mercado. Com isso, o </w:t>
      </w:r>
      <w:proofErr w:type="spellStart"/>
      <w:proofErr w:type="gramStart"/>
      <w:r w:rsidRPr="00D71CD1">
        <w:rPr>
          <w:i/>
        </w:rPr>
        <w:t>bid</w:t>
      </w:r>
      <w:proofErr w:type="gramEnd"/>
      <w:r w:rsidRPr="00D71CD1">
        <w:rPr>
          <w:i/>
        </w:rPr>
        <w:t>-ask</w:t>
      </w:r>
      <w:proofErr w:type="spellEnd"/>
      <w:r w:rsidRPr="00D71CD1">
        <w:rPr>
          <w:i/>
        </w:rPr>
        <w:t xml:space="preserve"> spread</w:t>
      </w:r>
      <w:r w:rsidRPr="00D71CD1">
        <w:t xml:space="preserve"> é uma medida aceitável dos custos de liquidez em contratos futuros e um mercado líquido apresenta baixo valor de </w:t>
      </w:r>
      <w:proofErr w:type="spellStart"/>
      <w:r w:rsidRPr="00D71CD1">
        <w:rPr>
          <w:i/>
          <w:iCs/>
        </w:rPr>
        <w:t>bid-ask</w:t>
      </w:r>
      <w:proofErr w:type="spellEnd"/>
      <w:r w:rsidRPr="00D71CD1">
        <w:t xml:space="preserve"> </w:t>
      </w:r>
      <w:r w:rsidRPr="00D71CD1">
        <w:rPr>
          <w:i/>
        </w:rPr>
        <w:t>spread.</w:t>
      </w:r>
    </w:p>
    <w:p w:rsidR="00CA596F" w:rsidRPr="00D71CD1" w:rsidRDefault="00CA596F" w:rsidP="00D71CD1">
      <w:pPr>
        <w:pStyle w:val="Default"/>
        <w:ind w:firstLine="708"/>
        <w:jc w:val="both"/>
      </w:pPr>
      <w:r w:rsidRPr="00D71CD1">
        <w:t xml:space="preserve">Porém, os preços de todas as ofertas de compra e ofertas de venda não eram registrados, e, assim, criou-se a necessidade de uma medida indireta de </w:t>
      </w:r>
      <w:proofErr w:type="spellStart"/>
      <w:proofErr w:type="gramStart"/>
      <w:r w:rsidRPr="00D71CD1">
        <w:rPr>
          <w:i/>
        </w:rPr>
        <w:t>bid</w:t>
      </w:r>
      <w:proofErr w:type="gramEnd"/>
      <w:r w:rsidRPr="00D71CD1">
        <w:rPr>
          <w:i/>
        </w:rPr>
        <w:t>-ask</w:t>
      </w:r>
      <w:proofErr w:type="spellEnd"/>
      <w:r w:rsidRPr="00D71CD1">
        <w:rPr>
          <w:i/>
        </w:rPr>
        <w:t xml:space="preserve"> spread</w:t>
      </w:r>
      <w:r w:rsidRPr="00D71CD1">
        <w:t xml:space="preserve">. Essas medidas estão divididas em duas formas, que são as que utilizam séries de covariância dos preços negociados e as que utilizam somente as variações dos preços negociados. A estimação através das séries de covariância entre os preços negociados foram propostos por </w:t>
      </w:r>
      <w:proofErr w:type="spellStart"/>
      <w:r w:rsidRPr="00D71CD1">
        <w:t>Roll</w:t>
      </w:r>
      <w:proofErr w:type="spellEnd"/>
      <w:r w:rsidRPr="00D71CD1">
        <w:t xml:space="preserve"> (1984) e Chu </w:t>
      </w:r>
      <w:proofErr w:type="spellStart"/>
      <w:proofErr w:type="gramStart"/>
      <w:r w:rsidRPr="00D71CD1">
        <w:rPr>
          <w:i/>
        </w:rPr>
        <w:t>et</w:t>
      </w:r>
      <w:proofErr w:type="spellEnd"/>
      <w:proofErr w:type="gramEnd"/>
      <w:r w:rsidRPr="00D71CD1">
        <w:rPr>
          <w:i/>
        </w:rPr>
        <w:t xml:space="preserve"> al.</w:t>
      </w:r>
      <w:r w:rsidRPr="00D71CD1">
        <w:t xml:space="preserve"> (1996), enquanto as séries de variações nos preços absolutos, foram propostos por Thompson </w:t>
      </w:r>
      <w:proofErr w:type="spellStart"/>
      <w:r w:rsidRPr="00D71CD1">
        <w:rPr>
          <w:i/>
        </w:rPr>
        <w:t>et</w:t>
      </w:r>
      <w:proofErr w:type="spellEnd"/>
      <w:r w:rsidRPr="00D71CD1">
        <w:rPr>
          <w:i/>
        </w:rPr>
        <w:t xml:space="preserve"> al.</w:t>
      </w:r>
      <w:r w:rsidRPr="00D71CD1">
        <w:t xml:space="preserve"> (1987) e </w:t>
      </w:r>
      <w:proofErr w:type="spellStart"/>
      <w:r w:rsidRPr="00D71CD1">
        <w:t>Wang</w:t>
      </w:r>
      <w:proofErr w:type="spellEnd"/>
      <w:r w:rsidRPr="00D71CD1">
        <w:t xml:space="preserve"> </w:t>
      </w:r>
      <w:proofErr w:type="spellStart"/>
      <w:r w:rsidRPr="00D71CD1">
        <w:rPr>
          <w:i/>
        </w:rPr>
        <w:t>et</w:t>
      </w:r>
      <w:proofErr w:type="spellEnd"/>
      <w:r w:rsidRPr="00D71CD1">
        <w:rPr>
          <w:i/>
        </w:rPr>
        <w:t xml:space="preserve"> al.</w:t>
      </w:r>
      <w:r w:rsidRPr="00D71CD1">
        <w:t xml:space="preserve"> (1997)</w:t>
      </w:r>
      <w:r w:rsidRPr="00D71CD1">
        <w:rPr>
          <w:rStyle w:val="Refdenotaderodap"/>
        </w:rPr>
        <w:footnoteReference w:id="4"/>
      </w:r>
      <w:r w:rsidRPr="00D71CD1">
        <w:t xml:space="preserve">. </w:t>
      </w:r>
    </w:p>
    <w:p w:rsidR="00CA596F" w:rsidRPr="00D71CD1" w:rsidRDefault="00CA596F" w:rsidP="00D71CD1">
      <w:pPr>
        <w:pStyle w:val="Default"/>
        <w:ind w:firstLine="708"/>
        <w:jc w:val="both"/>
      </w:pPr>
      <w:r w:rsidRPr="00D71CD1">
        <w:rPr>
          <w:iCs/>
        </w:rPr>
        <w:t xml:space="preserve">Além da mensuração do custo de liquidez, Frank e Garcia (2007) apontam para a importância de identificar os fatores que </w:t>
      </w:r>
      <w:r w:rsidRPr="00D71CD1">
        <w:t>influenciam o custo de liquidez. Tais informações são importantes para as decisões dos participantes que operam no mercado, visto que há momentos em que compensa para o investidor encerrar sua participação algum tempo mais tarde, pois o custo de liquidez é menor, além de aumentar o nível e qualidade da especulação em mercado futuro.</w:t>
      </w:r>
    </w:p>
    <w:p w:rsidR="00CA596F" w:rsidRPr="00D71CD1" w:rsidRDefault="00CA596F" w:rsidP="00D71CD1">
      <w:pPr>
        <w:autoSpaceDE w:val="0"/>
        <w:autoSpaceDN w:val="0"/>
        <w:adjustRightInd w:val="0"/>
        <w:spacing w:after="0" w:line="240" w:lineRule="auto"/>
        <w:ind w:firstLine="708"/>
        <w:jc w:val="both"/>
        <w:rPr>
          <w:rFonts w:ascii="Times New Roman" w:hAnsi="Times New Roman" w:cs="Times New Roman"/>
          <w:iCs/>
          <w:color w:val="000000"/>
          <w:sz w:val="24"/>
          <w:szCs w:val="24"/>
        </w:rPr>
      </w:pPr>
      <w:r w:rsidRPr="00D71CD1">
        <w:rPr>
          <w:rFonts w:ascii="Times New Roman" w:hAnsi="Times New Roman" w:cs="Times New Roman"/>
          <w:sz w:val="24"/>
          <w:szCs w:val="24"/>
        </w:rPr>
        <w:t xml:space="preserve">Alguns determinantes podem ser fundamentais para a liquidez de um contrato, como a variabilidade dos preços, volume de negociação, troca dos contratos negociados, mês do contrato </w:t>
      </w:r>
      <w:r w:rsidRPr="00D71CD1">
        <w:rPr>
          <w:rFonts w:ascii="Times New Roman" w:hAnsi="Times New Roman" w:cs="Times New Roman"/>
          <w:sz w:val="24"/>
          <w:szCs w:val="24"/>
        </w:rPr>
        <w:lastRenderedPageBreak/>
        <w:t>negociado, o tempo de maturação do contrato e até a concentração de contratos em uma bolsa específica, que impossibilitam que bolsas concorrentes tenham liquidez em seu contrato, entre outros (</w:t>
      </w:r>
      <w:r w:rsidRPr="00D71CD1">
        <w:rPr>
          <w:rFonts w:ascii="Times New Roman" w:hAnsi="Times New Roman" w:cs="Times New Roman"/>
          <w:iCs/>
          <w:color w:val="000000"/>
          <w:sz w:val="24"/>
          <w:szCs w:val="24"/>
        </w:rPr>
        <w:t xml:space="preserve">THOMPSON </w:t>
      </w:r>
      <w:proofErr w:type="spellStart"/>
      <w:proofErr w:type="gramStart"/>
      <w:r w:rsidRPr="00D71CD1">
        <w:rPr>
          <w:rFonts w:ascii="Times New Roman" w:hAnsi="Times New Roman" w:cs="Times New Roman"/>
          <w:i/>
          <w:iCs/>
          <w:color w:val="000000"/>
          <w:sz w:val="24"/>
          <w:szCs w:val="24"/>
        </w:rPr>
        <w:t>et</w:t>
      </w:r>
      <w:proofErr w:type="spellEnd"/>
      <w:proofErr w:type="gramEnd"/>
      <w:r w:rsidRPr="00D71CD1">
        <w:rPr>
          <w:rFonts w:ascii="Times New Roman" w:hAnsi="Times New Roman" w:cs="Times New Roman"/>
          <w:i/>
          <w:iCs/>
          <w:color w:val="000000"/>
          <w:sz w:val="24"/>
          <w:szCs w:val="24"/>
        </w:rPr>
        <w:t xml:space="preserve"> al.</w:t>
      </w:r>
      <w:r w:rsidRPr="00D71CD1">
        <w:rPr>
          <w:rFonts w:ascii="Times New Roman" w:hAnsi="Times New Roman" w:cs="Times New Roman"/>
          <w:iCs/>
          <w:color w:val="000000"/>
          <w:sz w:val="24"/>
          <w:szCs w:val="24"/>
        </w:rPr>
        <w:t xml:space="preserve"> 1993).</w:t>
      </w:r>
    </w:p>
    <w:p w:rsidR="00CA596F" w:rsidRDefault="00CA596F" w:rsidP="00D71CD1">
      <w:pPr>
        <w:autoSpaceDE w:val="0"/>
        <w:autoSpaceDN w:val="0"/>
        <w:adjustRightInd w:val="0"/>
        <w:spacing w:after="0" w:line="240" w:lineRule="auto"/>
        <w:ind w:firstLine="708"/>
        <w:jc w:val="both"/>
        <w:rPr>
          <w:rFonts w:ascii="Times New Roman" w:hAnsi="Times New Roman" w:cs="Times New Roman"/>
          <w:iCs/>
          <w:color w:val="000000"/>
          <w:sz w:val="24"/>
          <w:szCs w:val="24"/>
        </w:rPr>
      </w:pPr>
      <w:proofErr w:type="spellStart"/>
      <w:r w:rsidRPr="00D71CD1">
        <w:rPr>
          <w:rFonts w:ascii="Times New Roman" w:hAnsi="Times New Roman" w:cs="Times New Roman"/>
          <w:iCs/>
          <w:color w:val="000000"/>
          <w:sz w:val="24"/>
          <w:szCs w:val="24"/>
        </w:rPr>
        <w:t>Wang</w:t>
      </w:r>
      <w:proofErr w:type="spellEnd"/>
      <w:r w:rsidRPr="00D71CD1">
        <w:rPr>
          <w:rFonts w:ascii="Times New Roman" w:hAnsi="Times New Roman" w:cs="Times New Roman"/>
          <w:iCs/>
          <w:color w:val="000000"/>
          <w:sz w:val="24"/>
          <w:szCs w:val="24"/>
        </w:rPr>
        <w:t xml:space="preserve"> </w:t>
      </w:r>
      <w:proofErr w:type="spellStart"/>
      <w:proofErr w:type="gramStart"/>
      <w:r w:rsidRPr="00D71CD1">
        <w:rPr>
          <w:rFonts w:ascii="Times New Roman" w:hAnsi="Times New Roman" w:cs="Times New Roman"/>
          <w:i/>
          <w:iCs/>
          <w:color w:val="000000"/>
          <w:sz w:val="24"/>
          <w:szCs w:val="24"/>
        </w:rPr>
        <w:t>et</w:t>
      </w:r>
      <w:proofErr w:type="spellEnd"/>
      <w:proofErr w:type="gramEnd"/>
      <w:r w:rsidRPr="00D71CD1">
        <w:rPr>
          <w:rFonts w:ascii="Times New Roman" w:hAnsi="Times New Roman" w:cs="Times New Roman"/>
          <w:i/>
          <w:iCs/>
          <w:color w:val="000000"/>
          <w:sz w:val="24"/>
          <w:szCs w:val="24"/>
        </w:rPr>
        <w:t xml:space="preserve"> al.</w:t>
      </w:r>
      <w:r w:rsidRPr="00D71CD1">
        <w:rPr>
          <w:rFonts w:ascii="Times New Roman" w:hAnsi="Times New Roman" w:cs="Times New Roman"/>
          <w:iCs/>
          <w:color w:val="000000"/>
          <w:sz w:val="24"/>
          <w:szCs w:val="24"/>
        </w:rPr>
        <w:t xml:space="preserve"> (2012) destacam, também, que mais alguns fatores são determinantes para a  liquidez do mercado, como os índices elaborados pelas bolsas, a data do relatório governamental sobre a produção do derivativo, que disponibiliza mais informações e afeta o volume e a volatilidade dos negócios, a sazonalidade do produto, além das tendências dos preços físicos da </w:t>
      </w:r>
      <w:r w:rsidRPr="00D71CD1">
        <w:rPr>
          <w:rFonts w:ascii="Times New Roman" w:hAnsi="Times New Roman" w:cs="Times New Roman"/>
          <w:i/>
          <w:iCs/>
          <w:color w:val="000000"/>
          <w:sz w:val="24"/>
          <w:szCs w:val="24"/>
        </w:rPr>
        <w:t>commodity</w:t>
      </w:r>
      <w:r w:rsidRPr="00D71CD1">
        <w:rPr>
          <w:rFonts w:ascii="Times New Roman" w:hAnsi="Times New Roman" w:cs="Times New Roman"/>
          <w:iCs/>
          <w:color w:val="000000"/>
          <w:sz w:val="24"/>
          <w:szCs w:val="24"/>
        </w:rPr>
        <w:t>, que muitas vezes inibe a utilização dos mercados futuros.</w:t>
      </w:r>
    </w:p>
    <w:p w:rsidR="0024046C" w:rsidRPr="00D71CD1" w:rsidRDefault="002A44C6" w:rsidP="002A44C6">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Dessa forma, devido o </w:t>
      </w:r>
      <w:r w:rsidRPr="00D71CD1">
        <w:rPr>
          <w:rFonts w:ascii="Times New Roman" w:hAnsi="Times New Roman" w:cs="Times New Roman"/>
          <w:sz w:val="24"/>
          <w:szCs w:val="24"/>
        </w:rPr>
        <w:t xml:space="preserve">fato de ocorrer queda no volume de negociações </w:t>
      </w:r>
      <w:r>
        <w:rPr>
          <w:rFonts w:ascii="Times New Roman" w:hAnsi="Times New Roman" w:cs="Times New Roman"/>
          <w:sz w:val="24"/>
          <w:szCs w:val="24"/>
        </w:rPr>
        <w:t xml:space="preserve">do contrato de soja da </w:t>
      </w:r>
      <w:proofErr w:type="spellStart"/>
      <w:r>
        <w:rPr>
          <w:rFonts w:ascii="Times New Roman" w:hAnsi="Times New Roman" w:cs="Times New Roman"/>
          <w:sz w:val="24"/>
          <w:szCs w:val="24"/>
        </w:rPr>
        <w:t>BM&amp;FBOVESPA</w:t>
      </w:r>
      <w:proofErr w:type="spellEnd"/>
      <w:r>
        <w:rPr>
          <w:rFonts w:ascii="Times New Roman" w:hAnsi="Times New Roman" w:cs="Times New Roman"/>
          <w:sz w:val="24"/>
          <w:szCs w:val="24"/>
        </w:rPr>
        <w:t xml:space="preserve"> </w:t>
      </w:r>
      <w:r w:rsidRPr="00D71CD1">
        <w:rPr>
          <w:rFonts w:ascii="Times New Roman" w:hAnsi="Times New Roman" w:cs="Times New Roman"/>
          <w:sz w:val="24"/>
          <w:szCs w:val="24"/>
        </w:rPr>
        <w:t>nos últimos anos</w:t>
      </w:r>
      <w:r>
        <w:rPr>
          <w:rFonts w:ascii="Times New Roman" w:hAnsi="Times New Roman" w:cs="Times New Roman"/>
          <w:sz w:val="24"/>
          <w:szCs w:val="24"/>
        </w:rPr>
        <w:t xml:space="preserve">, gera </w:t>
      </w:r>
      <w:r w:rsidRPr="00D71CD1">
        <w:rPr>
          <w:rFonts w:ascii="Times New Roman" w:hAnsi="Times New Roman" w:cs="Times New Roman"/>
          <w:sz w:val="24"/>
          <w:szCs w:val="24"/>
        </w:rPr>
        <w:t>fortes indícios da presença de elevado custo de liquidez</w:t>
      </w:r>
      <w:r w:rsidR="00495EC5">
        <w:rPr>
          <w:rFonts w:ascii="Times New Roman" w:hAnsi="Times New Roman" w:cs="Times New Roman"/>
          <w:sz w:val="24"/>
          <w:szCs w:val="24"/>
        </w:rPr>
        <w:t xml:space="preserve"> deste contrato</w:t>
      </w:r>
      <w:r>
        <w:rPr>
          <w:rFonts w:ascii="Times New Roman" w:hAnsi="Times New Roman" w:cs="Times New Roman"/>
          <w:sz w:val="24"/>
          <w:szCs w:val="24"/>
        </w:rPr>
        <w:t xml:space="preserve">. Sendo assim, o </w:t>
      </w:r>
      <w:r w:rsidR="0024046C" w:rsidRPr="00D71CD1">
        <w:rPr>
          <w:rFonts w:ascii="Times New Roman" w:hAnsi="Times New Roman" w:cs="Times New Roman"/>
          <w:sz w:val="24"/>
          <w:szCs w:val="24"/>
        </w:rPr>
        <w:t xml:space="preserve">presente trabalho propõe mensurar o custo de liquidez do derivativo agropecuário soja da </w:t>
      </w:r>
      <w:proofErr w:type="spellStart"/>
      <w:r w:rsidR="0024046C" w:rsidRPr="00D71CD1">
        <w:rPr>
          <w:rFonts w:ascii="Times New Roman" w:hAnsi="Times New Roman" w:cs="Times New Roman"/>
          <w:sz w:val="24"/>
          <w:szCs w:val="24"/>
        </w:rPr>
        <w:t>BM&amp;FBOVESPA</w:t>
      </w:r>
      <w:proofErr w:type="spellEnd"/>
      <w:r w:rsidR="0024046C" w:rsidRPr="00D71CD1">
        <w:rPr>
          <w:rFonts w:ascii="Times New Roman" w:hAnsi="Times New Roman" w:cs="Times New Roman"/>
          <w:sz w:val="24"/>
          <w:szCs w:val="24"/>
        </w:rPr>
        <w:t>, dos contratos negociados de setembro de 2010 a fevereiro de 2013, e, posteriormente, analisar os principais determinantes desse custo de liquidez, visando obter informações para políticas voltadas ao m</w:t>
      </w:r>
      <w:r>
        <w:rPr>
          <w:rFonts w:ascii="Times New Roman" w:hAnsi="Times New Roman" w:cs="Times New Roman"/>
          <w:sz w:val="24"/>
          <w:szCs w:val="24"/>
        </w:rPr>
        <w:t>elhor desenvolvimento do setor</w:t>
      </w:r>
      <w:r w:rsidRPr="00D71CD1">
        <w:rPr>
          <w:rFonts w:ascii="Times New Roman" w:hAnsi="Times New Roman" w:cs="Times New Roman"/>
          <w:sz w:val="24"/>
          <w:szCs w:val="24"/>
        </w:rPr>
        <w:t>.</w:t>
      </w:r>
      <w:r>
        <w:rPr>
          <w:rFonts w:ascii="Times New Roman" w:hAnsi="Times New Roman" w:cs="Times New Roman"/>
          <w:sz w:val="24"/>
          <w:szCs w:val="24"/>
        </w:rPr>
        <w:t xml:space="preserve"> </w:t>
      </w:r>
      <w:r w:rsidR="0024046C" w:rsidRPr="00D71CD1">
        <w:rPr>
          <w:rFonts w:ascii="Times New Roman" w:hAnsi="Times New Roman" w:cs="Times New Roman"/>
          <w:sz w:val="24"/>
          <w:szCs w:val="24"/>
        </w:rPr>
        <w:t>A definição do período está condicionada à disponibilidade dos dados necessários para a realização da pesquisa.</w:t>
      </w:r>
    </w:p>
    <w:p w:rsidR="0024046C" w:rsidRPr="00D71CD1" w:rsidRDefault="0024046C" w:rsidP="00D71CD1">
      <w:pPr>
        <w:autoSpaceDE w:val="0"/>
        <w:autoSpaceDN w:val="0"/>
        <w:adjustRightInd w:val="0"/>
        <w:spacing w:after="0" w:line="240" w:lineRule="auto"/>
        <w:ind w:firstLine="708"/>
        <w:jc w:val="both"/>
        <w:rPr>
          <w:rFonts w:ascii="Times New Roman" w:hAnsi="Times New Roman" w:cs="Times New Roman"/>
          <w:iCs/>
          <w:color w:val="000000"/>
          <w:sz w:val="24"/>
          <w:szCs w:val="24"/>
        </w:rPr>
      </w:pPr>
    </w:p>
    <w:p w:rsidR="009378EF" w:rsidRPr="00D71CD1" w:rsidRDefault="00D71CD1" w:rsidP="00D71CD1">
      <w:pPr>
        <w:autoSpaceDE w:val="0"/>
        <w:autoSpaceDN w:val="0"/>
        <w:adjustRightInd w:val="0"/>
        <w:spacing w:before="120" w:after="120" w:line="240" w:lineRule="auto"/>
        <w:jc w:val="both"/>
        <w:rPr>
          <w:rFonts w:ascii="Times New Roman" w:hAnsi="Times New Roman" w:cs="Times New Roman"/>
          <w:b/>
          <w:iCs/>
          <w:color w:val="000000"/>
          <w:sz w:val="24"/>
          <w:szCs w:val="24"/>
        </w:rPr>
      </w:pPr>
      <w:r w:rsidRPr="00D71CD1">
        <w:rPr>
          <w:rFonts w:ascii="Times New Roman" w:hAnsi="Times New Roman" w:cs="Times New Roman"/>
          <w:b/>
          <w:iCs/>
          <w:color w:val="000000"/>
          <w:sz w:val="24"/>
          <w:szCs w:val="24"/>
        </w:rPr>
        <w:t>2. REVISÃO DA LITERATURA</w:t>
      </w:r>
    </w:p>
    <w:p w:rsidR="009378EF" w:rsidRPr="00D71CD1" w:rsidRDefault="009378EF" w:rsidP="00D71CD1">
      <w:pPr>
        <w:autoSpaceDE w:val="0"/>
        <w:autoSpaceDN w:val="0"/>
        <w:adjustRightInd w:val="0"/>
        <w:spacing w:after="0" w:line="240" w:lineRule="auto"/>
        <w:ind w:firstLine="708"/>
        <w:jc w:val="both"/>
        <w:rPr>
          <w:rFonts w:ascii="Times New Roman" w:hAnsi="Times New Roman" w:cs="Times New Roman"/>
          <w:iCs/>
          <w:color w:val="000000"/>
          <w:sz w:val="24"/>
          <w:szCs w:val="24"/>
        </w:rPr>
      </w:pPr>
    </w:p>
    <w:p w:rsidR="009378EF" w:rsidRPr="00D71CD1" w:rsidRDefault="009378EF" w:rsidP="00D71CD1">
      <w:pPr>
        <w:autoSpaceDE w:val="0"/>
        <w:autoSpaceDN w:val="0"/>
        <w:adjustRightInd w:val="0"/>
        <w:spacing w:after="0" w:line="240" w:lineRule="auto"/>
        <w:ind w:firstLine="708"/>
        <w:jc w:val="both"/>
        <w:rPr>
          <w:rFonts w:ascii="Times New Roman" w:hAnsi="Times New Roman" w:cs="Times New Roman"/>
          <w:iCs/>
          <w:color w:val="000000"/>
          <w:sz w:val="24"/>
          <w:szCs w:val="24"/>
        </w:rPr>
      </w:pPr>
      <w:r w:rsidRPr="00D71CD1">
        <w:rPr>
          <w:rFonts w:ascii="Times New Roman" w:hAnsi="Times New Roman" w:cs="Times New Roman"/>
          <w:sz w:val="24"/>
          <w:szCs w:val="24"/>
        </w:rPr>
        <w:t xml:space="preserve">Na literatura internacional, estudos que buscaram quantificar os custos de liquidez e seus determinantes em mercados futuros foram feitos por Thompson </w:t>
      </w:r>
      <w:proofErr w:type="spellStart"/>
      <w:proofErr w:type="gramStart"/>
      <w:r w:rsidRPr="00D71CD1">
        <w:rPr>
          <w:rFonts w:ascii="Times New Roman" w:hAnsi="Times New Roman" w:cs="Times New Roman"/>
          <w:i/>
          <w:sz w:val="24"/>
          <w:szCs w:val="24"/>
        </w:rPr>
        <w:t>et</w:t>
      </w:r>
      <w:proofErr w:type="spellEnd"/>
      <w:proofErr w:type="gramEnd"/>
      <w:r w:rsidRPr="00D71CD1">
        <w:rPr>
          <w:rFonts w:ascii="Times New Roman" w:hAnsi="Times New Roman" w:cs="Times New Roman"/>
          <w:i/>
          <w:sz w:val="24"/>
          <w:szCs w:val="24"/>
        </w:rPr>
        <w:t xml:space="preserve"> al</w:t>
      </w:r>
      <w:r w:rsidRPr="00D71CD1">
        <w:rPr>
          <w:rFonts w:ascii="Times New Roman" w:hAnsi="Times New Roman" w:cs="Times New Roman"/>
          <w:sz w:val="24"/>
          <w:szCs w:val="24"/>
        </w:rPr>
        <w:t>. (1988), que analisam os contratos de milho e aveia da Bolsa de Chicago</w:t>
      </w:r>
      <w:r w:rsidR="004A53E5">
        <w:rPr>
          <w:rFonts w:ascii="Times New Roman" w:hAnsi="Times New Roman" w:cs="Times New Roman"/>
          <w:sz w:val="24"/>
          <w:szCs w:val="24"/>
        </w:rPr>
        <w:t>, adotando 2 estimadores como custo de liquidez</w:t>
      </w:r>
      <w:r w:rsidRPr="00D71CD1">
        <w:rPr>
          <w:rFonts w:ascii="Times New Roman" w:hAnsi="Times New Roman" w:cs="Times New Roman"/>
          <w:sz w:val="24"/>
          <w:szCs w:val="24"/>
        </w:rPr>
        <w:t xml:space="preserve">; </w:t>
      </w:r>
      <w:r w:rsidRPr="00D71CD1">
        <w:rPr>
          <w:rFonts w:ascii="Times New Roman" w:hAnsi="Times New Roman" w:cs="Times New Roman"/>
          <w:iCs/>
          <w:color w:val="000000"/>
          <w:sz w:val="24"/>
          <w:szCs w:val="24"/>
        </w:rPr>
        <w:t xml:space="preserve">Thompson </w:t>
      </w:r>
      <w:proofErr w:type="spellStart"/>
      <w:r w:rsidRPr="00D71CD1">
        <w:rPr>
          <w:rFonts w:ascii="Times New Roman" w:hAnsi="Times New Roman" w:cs="Times New Roman"/>
          <w:i/>
          <w:iCs/>
          <w:color w:val="000000"/>
          <w:sz w:val="24"/>
          <w:szCs w:val="24"/>
        </w:rPr>
        <w:t>et</w:t>
      </w:r>
      <w:proofErr w:type="spellEnd"/>
      <w:r w:rsidRPr="00D71CD1">
        <w:rPr>
          <w:rFonts w:ascii="Times New Roman" w:hAnsi="Times New Roman" w:cs="Times New Roman"/>
          <w:i/>
          <w:iCs/>
          <w:color w:val="000000"/>
          <w:sz w:val="24"/>
          <w:szCs w:val="24"/>
        </w:rPr>
        <w:t xml:space="preserve"> al.</w:t>
      </w:r>
      <w:r w:rsidRPr="00D71CD1">
        <w:rPr>
          <w:rFonts w:ascii="Times New Roman" w:hAnsi="Times New Roman" w:cs="Times New Roman"/>
          <w:iCs/>
          <w:color w:val="000000"/>
          <w:sz w:val="24"/>
          <w:szCs w:val="24"/>
        </w:rPr>
        <w:t xml:space="preserve"> (1993), que quantificaram os custos de liquidez dos contratos futuro de trigo para as bolsas de Chicago e Kansas City</w:t>
      </w:r>
      <w:r w:rsidR="004A53E5">
        <w:rPr>
          <w:rFonts w:ascii="Times New Roman" w:hAnsi="Times New Roman" w:cs="Times New Roman"/>
          <w:iCs/>
          <w:color w:val="000000"/>
          <w:sz w:val="24"/>
          <w:szCs w:val="24"/>
        </w:rPr>
        <w:t xml:space="preserve"> adotando 2 estimadores do custo de liquidez</w:t>
      </w:r>
      <w:r w:rsidRPr="00D71CD1">
        <w:rPr>
          <w:rFonts w:ascii="Times New Roman" w:hAnsi="Times New Roman" w:cs="Times New Roman"/>
          <w:iCs/>
          <w:color w:val="000000"/>
          <w:sz w:val="24"/>
          <w:szCs w:val="24"/>
        </w:rPr>
        <w:t xml:space="preserve">; </w:t>
      </w:r>
      <w:proofErr w:type="spellStart"/>
      <w:r w:rsidRPr="00D71CD1">
        <w:rPr>
          <w:rFonts w:ascii="Times New Roman" w:hAnsi="Times New Roman" w:cs="Times New Roman"/>
          <w:iCs/>
          <w:color w:val="000000"/>
          <w:sz w:val="24"/>
          <w:szCs w:val="24"/>
        </w:rPr>
        <w:t>Gwilym</w:t>
      </w:r>
      <w:proofErr w:type="spellEnd"/>
      <w:r w:rsidRPr="00D71CD1">
        <w:rPr>
          <w:rFonts w:ascii="Times New Roman" w:hAnsi="Times New Roman" w:cs="Times New Roman"/>
          <w:iCs/>
          <w:color w:val="000000"/>
          <w:sz w:val="24"/>
          <w:szCs w:val="24"/>
        </w:rPr>
        <w:t xml:space="preserve"> e Thomas (2002), que investigaram o desempenho de 4 estimadores de </w:t>
      </w:r>
      <w:proofErr w:type="spellStart"/>
      <w:r w:rsidRPr="00D71CD1">
        <w:rPr>
          <w:rFonts w:ascii="Times New Roman" w:hAnsi="Times New Roman" w:cs="Times New Roman"/>
          <w:i/>
          <w:iCs/>
          <w:color w:val="000000"/>
          <w:sz w:val="24"/>
          <w:szCs w:val="24"/>
        </w:rPr>
        <w:t>bid-ask</w:t>
      </w:r>
      <w:proofErr w:type="spellEnd"/>
      <w:r w:rsidRPr="00D71CD1">
        <w:rPr>
          <w:rFonts w:ascii="Times New Roman" w:hAnsi="Times New Roman" w:cs="Times New Roman"/>
          <w:i/>
          <w:iCs/>
          <w:color w:val="000000"/>
          <w:sz w:val="24"/>
          <w:szCs w:val="24"/>
        </w:rPr>
        <w:t xml:space="preserve"> spreads</w:t>
      </w:r>
      <w:r w:rsidRPr="00D71CD1">
        <w:rPr>
          <w:rFonts w:ascii="Times New Roman" w:hAnsi="Times New Roman" w:cs="Times New Roman"/>
          <w:iCs/>
          <w:color w:val="000000"/>
          <w:sz w:val="24"/>
          <w:szCs w:val="24"/>
        </w:rPr>
        <w:t xml:space="preserve"> para ativos negociado em futuro na Bolsa de Valores de Londres; </w:t>
      </w:r>
      <w:proofErr w:type="spellStart"/>
      <w:r w:rsidRPr="00D71CD1">
        <w:rPr>
          <w:rFonts w:ascii="Times New Roman" w:hAnsi="Times New Roman" w:cs="Times New Roman"/>
          <w:sz w:val="24"/>
          <w:szCs w:val="24"/>
        </w:rPr>
        <w:t>Bryant</w:t>
      </w:r>
      <w:proofErr w:type="spellEnd"/>
      <w:r w:rsidRPr="00D71CD1">
        <w:rPr>
          <w:rFonts w:ascii="Times New Roman" w:hAnsi="Times New Roman" w:cs="Times New Roman"/>
          <w:sz w:val="24"/>
          <w:szCs w:val="24"/>
        </w:rPr>
        <w:t xml:space="preserve"> e </w:t>
      </w:r>
      <w:proofErr w:type="spellStart"/>
      <w:r w:rsidRPr="00D71CD1">
        <w:rPr>
          <w:rFonts w:ascii="Times New Roman" w:hAnsi="Times New Roman" w:cs="Times New Roman"/>
          <w:sz w:val="24"/>
          <w:szCs w:val="24"/>
        </w:rPr>
        <w:t>Haigh</w:t>
      </w:r>
      <w:proofErr w:type="spellEnd"/>
      <w:r w:rsidRPr="00D71CD1">
        <w:rPr>
          <w:rFonts w:ascii="Times New Roman" w:hAnsi="Times New Roman" w:cs="Times New Roman"/>
          <w:sz w:val="24"/>
          <w:szCs w:val="24"/>
        </w:rPr>
        <w:t xml:space="preserve"> (2001), que mensuraram o </w:t>
      </w:r>
      <w:r w:rsidRPr="00D71CD1">
        <w:rPr>
          <w:rFonts w:ascii="Times New Roman" w:hAnsi="Times New Roman" w:cs="Times New Roman"/>
          <w:i/>
          <w:sz w:val="24"/>
          <w:szCs w:val="24"/>
        </w:rPr>
        <w:t xml:space="preserve">spread </w:t>
      </w:r>
      <w:proofErr w:type="spellStart"/>
      <w:r w:rsidRPr="00D71CD1">
        <w:rPr>
          <w:rFonts w:ascii="Times New Roman" w:hAnsi="Times New Roman" w:cs="Times New Roman"/>
          <w:i/>
          <w:sz w:val="24"/>
          <w:szCs w:val="24"/>
        </w:rPr>
        <w:t>bid-ask</w:t>
      </w:r>
      <w:proofErr w:type="spellEnd"/>
      <w:r w:rsidRPr="00D71CD1">
        <w:rPr>
          <w:rFonts w:ascii="Times New Roman" w:hAnsi="Times New Roman" w:cs="Times New Roman"/>
          <w:i/>
          <w:sz w:val="24"/>
          <w:szCs w:val="24"/>
        </w:rPr>
        <w:t xml:space="preserve"> </w:t>
      </w:r>
      <w:r w:rsidRPr="00D71CD1">
        <w:rPr>
          <w:rFonts w:ascii="Times New Roman" w:hAnsi="Times New Roman" w:cs="Times New Roman"/>
          <w:sz w:val="24"/>
          <w:szCs w:val="24"/>
        </w:rPr>
        <w:t>para os contratos de café e cacau nos Estados Unidos</w:t>
      </w:r>
      <w:r w:rsidR="004A53E5">
        <w:rPr>
          <w:rFonts w:ascii="Times New Roman" w:hAnsi="Times New Roman" w:cs="Times New Roman"/>
          <w:sz w:val="24"/>
          <w:szCs w:val="24"/>
        </w:rPr>
        <w:t>, adotando 5 estimadores</w:t>
      </w:r>
      <w:r w:rsidRPr="00D71CD1">
        <w:rPr>
          <w:rFonts w:ascii="Times New Roman" w:hAnsi="Times New Roman" w:cs="Times New Roman"/>
          <w:sz w:val="24"/>
          <w:szCs w:val="24"/>
        </w:rPr>
        <w:t xml:space="preserve">; </w:t>
      </w:r>
      <w:proofErr w:type="spellStart"/>
      <w:r w:rsidRPr="00D71CD1">
        <w:rPr>
          <w:rFonts w:ascii="Times New Roman" w:hAnsi="Times New Roman" w:cs="Times New Roman"/>
          <w:sz w:val="24"/>
          <w:szCs w:val="24"/>
        </w:rPr>
        <w:t>Anand</w:t>
      </w:r>
      <w:proofErr w:type="spellEnd"/>
      <w:r w:rsidRPr="00D71CD1">
        <w:rPr>
          <w:rFonts w:ascii="Times New Roman" w:hAnsi="Times New Roman" w:cs="Times New Roman"/>
          <w:sz w:val="24"/>
          <w:szCs w:val="24"/>
        </w:rPr>
        <w:t xml:space="preserve"> e </w:t>
      </w:r>
      <w:proofErr w:type="spellStart"/>
      <w:r w:rsidRPr="00D71CD1">
        <w:rPr>
          <w:rFonts w:ascii="Times New Roman" w:hAnsi="Times New Roman" w:cs="Times New Roman"/>
          <w:sz w:val="24"/>
          <w:szCs w:val="24"/>
        </w:rPr>
        <w:t>Karagozoglu</w:t>
      </w:r>
      <w:proofErr w:type="spellEnd"/>
      <w:r w:rsidRPr="00D71CD1">
        <w:rPr>
          <w:rFonts w:ascii="Times New Roman" w:hAnsi="Times New Roman" w:cs="Times New Roman"/>
          <w:sz w:val="24"/>
          <w:szCs w:val="24"/>
        </w:rPr>
        <w:t xml:space="preserve"> (2006), </w:t>
      </w:r>
      <w:r w:rsidR="004A53E5">
        <w:rPr>
          <w:rFonts w:ascii="Times New Roman" w:hAnsi="Times New Roman" w:cs="Times New Roman"/>
          <w:sz w:val="24"/>
          <w:szCs w:val="24"/>
        </w:rPr>
        <w:t>que compararam o desempenho de 4</w:t>
      </w:r>
      <w:r w:rsidRPr="00D71CD1">
        <w:rPr>
          <w:rFonts w:ascii="Times New Roman" w:hAnsi="Times New Roman" w:cs="Times New Roman"/>
          <w:sz w:val="24"/>
          <w:szCs w:val="24"/>
        </w:rPr>
        <w:t xml:space="preserve"> estimadores para dados da Bolsa de Futuro de Sydney; Frank e Garcia (2007), que buscaram quantificar os custos de liquidez para o mercado futuro de suínos e gado nos contratos na </w:t>
      </w:r>
      <w:r w:rsidRPr="00D71CD1">
        <w:rPr>
          <w:rFonts w:ascii="Times New Roman" w:hAnsi="Times New Roman" w:cs="Times New Roman"/>
          <w:iCs/>
          <w:color w:val="000000"/>
          <w:sz w:val="24"/>
          <w:szCs w:val="24"/>
        </w:rPr>
        <w:t xml:space="preserve">Chicago </w:t>
      </w:r>
      <w:proofErr w:type="spellStart"/>
      <w:r w:rsidRPr="00D71CD1">
        <w:rPr>
          <w:rFonts w:ascii="Times New Roman" w:hAnsi="Times New Roman" w:cs="Times New Roman"/>
          <w:iCs/>
          <w:color w:val="000000"/>
          <w:sz w:val="24"/>
          <w:szCs w:val="24"/>
        </w:rPr>
        <w:t>Mercantile</w:t>
      </w:r>
      <w:proofErr w:type="spellEnd"/>
      <w:r w:rsidRPr="00D71CD1">
        <w:rPr>
          <w:rFonts w:ascii="Times New Roman" w:hAnsi="Times New Roman" w:cs="Times New Roman"/>
          <w:iCs/>
          <w:color w:val="000000"/>
          <w:sz w:val="24"/>
          <w:szCs w:val="24"/>
        </w:rPr>
        <w:t xml:space="preserve"> Exchange</w:t>
      </w:r>
      <w:r w:rsidR="00F02656">
        <w:rPr>
          <w:rFonts w:ascii="Times New Roman" w:hAnsi="Times New Roman" w:cs="Times New Roman"/>
          <w:iCs/>
          <w:color w:val="000000"/>
          <w:sz w:val="24"/>
          <w:szCs w:val="24"/>
        </w:rPr>
        <w:t>, adotando 5 estimadores</w:t>
      </w:r>
      <w:r w:rsidRPr="00D71CD1">
        <w:rPr>
          <w:rFonts w:ascii="Times New Roman" w:hAnsi="Times New Roman" w:cs="Times New Roman"/>
          <w:iCs/>
          <w:color w:val="000000"/>
          <w:sz w:val="24"/>
          <w:szCs w:val="24"/>
        </w:rPr>
        <w:t xml:space="preserve">; Frank e Garcia (2010), que estimaram o custo de liquidez e seus determinantes para o mercado futuro de gado vivo e de suínos da CME (Chicago </w:t>
      </w:r>
      <w:proofErr w:type="spellStart"/>
      <w:r w:rsidRPr="00D71CD1">
        <w:rPr>
          <w:rFonts w:ascii="Times New Roman" w:hAnsi="Times New Roman" w:cs="Times New Roman"/>
          <w:iCs/>
          <w:color w:val="000000"/>
          <w:sz w:val="24"/>
          <w:szCs w:val="24"/>
        </w:rPr>
        <w:t>Mercantile</w:t>
      </w:r>
      <w:proofErr w:type="spellEnd"/>
      <w:r w:rsidRPr="00D71CD1">
        <w:rPr>
          <w:rFonts w:ascii="Times New Roman" w:hAnsi="Times New Roman" w:cs="Times New Roman"/>
          <w:iCs/>
          <w:color w:val="000000"/>
          <w:sz w:val="24"/>
          <w:szCs w:val="24"/>
        </w:rPr>
        <w:t xml:space="preserve"> Exchange); </w:t>
      </w:r>
      <w:proofErr w:type="spellStart"/>
      <w:r w:rsidRPr="00D71CD1">
        <w:rPr>
          <w:rFonts w:ascii="Times New Roman" w:hAnsi="Times New Roman" w:cs="Times New Roman"/>
          <w:sz w:val="24"/>
          <w:szCs w:val="24"/>
        </w:rPr>
        <w:t>Shah</w:t>
      </w:r>
      <w:proofErr w:type="spellEnd"/>
      <w:r w:rsidRPr="00D71CD1">
        <w:rPr>
          <w:rFonts w:ascii="Times New Roman" w:hAnsi="Times New Roman" w:cs="Times New Roman"/>
          <w:sz w:val="24"/>
          <w:szCs w:val="24"/>
        </w:rPr>
        <w:t xml:space="preserve"> </w:t>
      </w:r>
      <w:proofErr w:type="spellStart"/>
      <w:r w:rsidRPr="00D71CD1">
        <w:rPr>
          <w:rFonts w:ascii="Times New Roman" w:hAnsi="Times New Roman" w:cs="Times New Roman"/>
          <w:i/>
          <w:sz w:val="24"/>
          <w:szCs w:val="24"/>
        </w:rPr>
        <w:t>et</w:t>
      </w:r>
      <w:proofErr w:type="spellEnd"/>
      <w:r w:rsidRPr="00D71CD1">
        <w:rPr>
          <w:rFonts w:ascii="Times New Roman" w:hAnsi="Times New Roman" w:cs="Times New Roman"/>
          <w:i/>
          <w:sz w:val="24"/>
          <w:szCs w:val="24"/>
        </w:rPr>
        <w:t xml:space="preserve"> al.</w:t>
      </w:r>
      <w:r w:rsidRPr="00D71CD1">
        <w:rPr>
          <w:rFonts w:ascii="Times New Roman" w:hAnsi="Times New Roman" w:cs="Times New Roman"/>
          <w:sz w:val="24"/>
          <w:szCs w:val="24"/>
        </w:rPr>
        <w:t xml:space="preserve"> (2012), que </w:t>
      </w:r>
      <w:r w:rsidRPr="00D71CD1">
        <w:rPr>
          <w:rFonts w:ascii="Times New Roman" w:hAnsi="Times New Roman" w:cs="Times New Roman"/>
          <w:iCs/>
          <w:color w:val="000000"/>
          <w:sz w:val="24"/>
          <w:szCs w:val="24"/>
        </w:rPr>
        <w:t xml:space="preserve">investigaram o desempenho de 8 estimadores de </w:t>
      </w:r>
      <w:proofErr w:type="spellStart"/>
      <w:r w:rsidRPr="00D71CD1">
        <w:rPr>
          <w:rFonts w:ascii="Times New Roman" w:hAnsi="Times New Roman" w:cs="Times New Roman"/>
          <w:i/>
          <w:iCs/>
          <w:color w:val="000000"/>
          <w:sz w:val="24"/>
          <w:szCs w:val="24"/>
        </w:rPr>
        <w:t>bid-ask</w:t>
      </w:r>
      <w:proofErr w:type="spellEnd"/>
      <w:r w:rsidRPr="00D71CD1">
        <w:rPr>
          <w:rFonts w:ascii="Times New Roman" w:hAnsi="Times New Roman" w:cs="Times New Roman"/>
          <w:i/>
          <w:iCs/>
          <w:color w:val="000000"/>
          <w:sz w:val="24"/>
          <w:szCs w:val="24"/>
        </w:rPr>
        <w:t xml:space="preserve"> spreads</w:t>
      </w:r>
      <w:r w:rsidRPr="00D71CD1">
        <w:rPr>
          <w:rFonts w:ascii="Times New Roman" w:hAnsi="Times New Roman" w:cs="Times New Roman"/>
          <w:iCs/>
          <w:color w:val="000000"/>
          <w:sz w:val="24"/>
          <w:szCs w:val="24"/>
        </w:rPr>
        <w:t xml:space="preserve"> para contratos de opções e mercados futuros de trigo, na bolsa de Kansas City; e </w:t>
      </w:r>
      <w:proofErr w:type="spellStart"/>
      <w:r w:rsidRPr="00D71CD1">
        <w:rPr>
          <w:rFonts w:ascii="Times New Roman" w:hAnsi="Times New Roman" w:cs="Times New Roman"/>
          <w:iCs/>
          <w:color w:val="000000"/>
          <w:sz w:val="24"/>
          <w:szCs w:val="24"/>
        </w:rPr>
        <w:t>Wang</w:t>
      </w:r>
      <w:proofErr w:type="spellEnd"/>
      <w:r w:rsidRPr="00D71CD1">
        <w:rPr>
          <w:rFonts w:ascii="Times New Roman" w:hAnsi="Times New Roman" w:cs="Times New Roman"/>
          <w:iCs/>
          <w:color w:val="000000"/>
          <w:sz w:val="24"/>
          <w:szCs w:val="24"/>
        </w:rPr>
        <w:t xml:space="preserve"> </w:t>
      </w:r>
      <w:proofErr w:type="spellStart"/>
      <w:r w:rsidRPr="00D71CD1">
        <w:rPr>
          <w:rFonts w:ascii="Times New Roman" w:hAnsi="Times New Roman" w:cs="Times New Roman"/>
          <w:i/>
          <w:sz w:val="24"/>
          <w:szCs w:val="24"/>
        </w:rPr>
        <w:t>et</w:t>
      </w:r>
      <w:proofErr w:type="spellEnd"/>
      <w:r w:rsidRPr="00D71CD1">
        <w:rPr>
          <w:rFonts w:ascii="Times New Roman" w:hAnsi="Times New Roman" w:cs="Times New Roman"/>
          <w:i/>
          <w:sz w:val="24"/>
          <w:szCs w:val="24"/>
        </w:rPr>
        <w:t xml:space="preserve"> al</w:t>
      </w:r>
      <w:r w:rsidRPr="00D71CD1">
        <w:rPr>
          <w:rFonts w:ascii="Times New Roman" w:hAnsi="Times New Roman" w:cs="Times New Roman"/>
          <w:sz w:val="24"/>
          <w:szCs w:val="24"/>
        </w:rPr>
        <w:t xml:space="preserve">. </w:t>
      </w:r>
      <w:r w:rsidRPr="00D71CD1">
        <w:rPr>
          <w:rFonts w:ascii="Times New Roman" w:hAnsi="Times New Roman" w:cs="Times New Roman"/>
          <w:iCs/>
          <w:color w:val="000000"/>
          <w:sz w:val="24"/>
          <w:szCs w:val="24"/>
        </w:rPr>
        <w:t xml:space="preserve">(2012), que fizeram um estudo sobre o mercado futuro de milho da CME (Chicago </w:t>
      </w:r>
      <w:proofErr w:type="spellStart"/>
      <w:r w:rsidRPr="00D71CD1">
        <w:rPr>
          <w:rFonts w:ascii="Times New Roman" w:hAnsi="Times New Roman" w:cs="Times New Roman"/>
          <w:iCs/>
          <w:color w:val="000000"/>
          <w:sz w:val="24"/>
          <w:szCs w:val="24"/>
        </w:rPr>
        <w:t>Mercantile</w:t>
      </w:r>
      <w:proofErr w:type="spellEnd"/>
      <w:r w:rsidRPr="00D71CD1">
        <w:rPr>
          <w:rFonts w:ascii="Times New Roman" w:hAnsi="Times New Roman" w:cs="Times New Roman"/>
          <w:iCs/>
          <w:color w:val="000000"/>
          <w:sz w:val="24"/>
          <w:szCs w:val="24"/>
        </w:rPr>
        <w:t xml:space="preserve"> Exchange) </w:t>
      </w:r>
      <w:proofErr w:type="spellStart"/>
      <w:r w:rsidRPr="00D71CD1">
        <w:rPr>
          <w:rFonts w:ascii="Times New Roman" w:hAnsi="Times New Roman" w:cs="Times New Roman"/>
          <w:iCs/>
          <w:color w:val="000000"/>
          <w:sz w:val="24"/>
          <w:szCs w:val="24"/>
        </w:rPr>
        <w:t>Group</w:t>
      </w:r>
      <w:proofErr w:type="spellEnd"/>
      <w:r w:rsidRPr="00D71CD1">
        <w:rPr>
          <w:rFonts w:ascii="Times New Roman" w:hAnsi="Times New Roman" w:cs="Times New Roman"/>
          <w:iCs/>
          <w:color w:val="000000"/>
          <w:sz w:val="24"/>
          <w:szCs w:val="24"/>
        </w:rPr>
        <w:t xml:space="preserve">. </w:t>
      </w:r>
    </w:p>
    <w:p w:rsidR="005266FC" w:rsidRDefault="005266FC" w:rsidP="005266FC">
      <w:pPr>
        <w:autoSpaceDE w:val="0"/>
        <w:autoSpaceDN w:val="0"/>
        <w:adjustRightInd w:val="0"/>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iCs/>
          <w:color w:val="000000"/>
          <w:sz w:val="24"/>
          <w:szCs w:val="24"/>
        </w:rPr>
        <w:t xml:space="preserve">Na literatura nacional, há escassez de estudos destinados a mensurar os custos de liquidez de derivativos agropecuários. O único trabalho encontrado foi de Lazzarini </w:t>
      </w:r>
      <w:proofErr w:type="spellStart"/>
      <w:proofErr w:type="gramStart"/>
      <w:r w:rsidRPr="00D71CD1">
        <w:rPr>
          <w:rFonts w:ascii="Times New Roman" w:hAnsi="Times New Roman" w:cs="Times New Roman"/>
          <w:i/>
          <w:sz w:val="24"/>
          <w:szCs w:val="24"/>
        </w:rPr>
        <w:t>et</w:t>
      </w:r>
      <w:proofErr w:type="spellEnd"/>
      <w:proofErr w:type="gramEnd"/>
      <w:r w:rsidRPr="00D71CD1">
        <w:rPr>
          <w:rFonts w:ascii="Times New Roman" w:hAnsi="Times New Roman" w:cs="Times New Roman"/>
          <w:i/>
          <w:sz w:val="24"/>
          <w:szCs w:val="24"/>
        </w:rPr>
        <w:t xml:space="preserve"> al</w:t>
      </w:r>
      <w:r w:rsidRPr="00D71CD1">
        <w:rPr>
          <w:rFonts w:ascii="Times New Roman" w:hAnsi="Times New Roman" w:cs="Times New Roman"/>
          <w:sz w:val="24"/>
          <w:szCs w:val="24"/>
        </w:rPr>
        <w:t>. (</w:t>
      </w:r>
      <w:r w:rsidRPr="00D71CD1">
        <w:rPr>
          <w:rFonts w:ascii="Times New Roman" w:hAnsi="Times New Roman" w:cs="Times New Roman"/>
          <w:iCs/>
          <w:color w:val="000000"/>
          <w:sz w:val="24"/>
          <w:szCs w:val="24"/>
        </w:rPr>
        <w:t xml:space="preserve">1998), que criaram um indicador de liquidez para os contratos de boi gordo da </w:t>
      </w:r>
      <w:proofErr w:type="spellStart"/>
      <w:r w:rsidRPr="00D71CD1">
        <w:rPr>
          <w:rFonts w:ascii="Times New Roman" w:hAnsi="Times New Roman" w:cs="Times New Roman"/>
          <w:iCs/>
          <w:color w:val="000000"/>
          <w:sz w:val="24"/>
          <w:szCs w:val="24"/>
        </w:rPr>
        <w:t>BM&amp;F</w:t>
      </w:r>
      <w:proofErr w:type="spellEnd"/>
      <w:r w:rsidRPr="00D71CD1">
        <w:rPr>
          <w:rFonts w:ascii="Times New Roman" w:hAnsi="Times New Roman" w:cs="Times New Roman"/>
          <w:iCs/>
          <w:color w:val="000000"/>
          <w:sz w:val="24"/>
          <w:szCs w:val="24"/>
        </w:rPr>
        <w:t xml:space="preserve">, utilizando </w:t>
      </w:r>
      <w:r w:rsidRPr="00D71CD1">
        <w:rPr>
          <w:rFonts w:ascii="Times New Roman" w:hAnsi="Times New Roman" w:cs="Times New Roman"/>
          <w:sz w:val="24"/>
          <w:szCs w:val="24"/>
        </w:rPr>
        <w:t xml:space="preserve">a diferença dos preços máximos e mínimos do contrato mais próximo como indicador de liquidez, sendo uma simplificação da metodologia de Thompson </w:t>
      </w:r>
      <w:proofErr w:type="spellStart"/>
      <w:r w:rsidRPr="00D71CD1">
        <w:rPr>
          <w:rFonts w:ascii="Times New Roman" w:hAnsi="Times New Roman" w:cs="Times New Roman"/>
          <w:i/>
          <w:sz w:val="24"/>
          <w:szCs w:val="24"/>
        </w:rPr>
        <w:t>et</w:t>
      </w:r>
      <w:proofErr w:type="spellEnd"/>
      <w:r w:rsidRPr="00D71CD1">
        <w:rPr>
          <w:rFonts w:ascii="Times New Roman" w:hAnsi="Times New Roman" w:cs="Times New Roman"/>
          <w:i/>
          <w:sz w:val="24"/>
          <w:szCs w:val="24"/>
        </w:rPr>
        <w:t xml:space="preserve"> al.</w:t>
      </w:r>
      <w:r w:rsidRPr="00D71CD1">
        <w:rPr>
          <w:rFonts w:ascii="Times New Roman" w:hAnsi="Times New Roman" w:cs="Times New Roman"/>
          <w:sz w:val="24"/>
          <w:szCs w:val="24"/>
        </w:rPr>
        <w:t xml:space="preserve"> (1987). </w:t>
      </w:r>
    </w:p>
    <w:p w:rsidR="002470D3" w:rsidRDefault="005266FC" w:rsidP="002470D3">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Quanto aos determinantes</w:t>
      </w:r>
      <w:r w:rsidR="003D025E">
        <w:rPr>
          <w:rFonts w:ascii="Times New Roman" w:hAnsi="Times New Roman" w:cs="Times New Roman"/>
          <w:sz w:val="24"/>
          <w:szCs w:val="24"/>
        </w:rPr>
        <w:t xml:space="preserve"> do custo de liquidez</w:t>
      </w:r>
      <w:r>
        <w:rPr>
          <w:rFonts w:ascii="Times New Roman" w:hAnsi="Times New Roman" w:cs="Times New Roman"/>
          <w:sz w:val="24"/>
          <w:szCs w:val="24"/>
        </w:rPr>
        <w:t xml:space="preserve">, na Tabela 2 apresenta-se um resumo dos </w:t>
      </w:r>
      <w:r w:rsidR="003D025E">
        <w:rPr>
          <w:rFonts w:ascii="Times New Roman" w:hAnsi="Times New Roman" w:cs="Times New Roman"/>
          <w:sz w:val="24"/>
          <w:szCs w:val="24"/>
        </w:rPr>
        <w:t>principais utilizados na teoria</w:t>
      </w:r>
      <w:r>
        <w:rPr>
          <w:rFonts w:ascii="Times New Roman" w:hAnsi="Times New Roman" w:cs="Times New Roman"/>
          <w:sz w:val="24"/>
          <w:szCs w:val="24"/>
        </w:rPr>
        <w:t xml:space="preserve"> e seus possíveis impactos no custo de liquidez.</w:t>
      </w:r>
      <w:r w:rsidR="00CF698F">
        <w:rPr>
          <w:rFonts w:ascii="Times New Roman" w:hAnsi="Times New Roman" w:cs="Times New Roman"/>
          <w:sz w:val="24"/>
          <w:szCs w:val="24"/>
        </w:rPr>
        <w:t xml:space="preserve"> </w:t>
      </w:r>
      <w:r w:rsidR="002470D3" w:rsidRPr="004A42F6">
        <w:rPr>
          <w:rFonts w:ascii="Times New Roman" w:hAnsi="Times New Roman" w:cs="Times New Roman"/>
          <w:sz w:val="24"/>
          <w:szCs w:val="24"/>
        </w:rPr>
        <w:t xml:space="preserve">Para </w:t>
      </w:r>
      <w:proofErr w:type="spellStart"/>
      <w:r w:rsidR="002470D3" w:rsidRPr="004A42F6">
        <w:rPr>
          <w:rFonts w:ascii="Times New Roman" w:hAnsi="Times New Roman" w:cs="Times New Roman"/>
          <w:sz w:val="24"/>
          <w:szCs w:val="24"/>
        </w:rPr>
        <w:t>Demsetz</w:t>
      </w:r>
      <w:proofErr w:type="spellEnd"/>
      <w:r w:rsidR="002470D3" w:rsidRPr="004A42F6">
        <w:rPr>
          <w:rFonts w:ascii="Times New Roman" w:hAnsi="Times New Roman" w:cs="Times New Roman"/>
          <w:sz w:val="24"/>
          <w:szCs w:val="24"/>
        </w:rPr>
        <w:t xml:space="preserve"> (1968), se a atividade do comércio </w:t>
      </w:r>
      <w:proofErr w:type="gramStart"/>
      <w:r w:rsidR="002470D3" w:rsidRPr="004A42F6">
        <w:rPr>
          <w:rFonts w:ascii="Times New Roman" w:hAnsi="Times New Roman" w:cs="Times New Roman"/>
          <w:sz w:val="24"/>
          <w:szCs w:val="24"/>
        </w:rPr>
        <w:t>aumentou,</w:t>
      </w:r>
      <w:proofErr w:type="gramEnd"/>
      <w:r w:rsidR="002470D3" w:rsidRPr="004A42F6">
        <w:rPr>
          <w:rFonts w:ascii="Times New Roman" w:hAnsi="Times New Roman" w:cs="Times New Roman"/>
          <w:sz w:val="24"/>
          <w:szCs w:val="24"/>
        </w:rPr>
        <w:t xml:space="preserve"> novos preços serão ofertados e mais rápidos, reduzindo assim o tempo e o risco enfrentados pelos agentes que utilizam o mercado. Dessa forma, o custo de liquidez deverá diminuir na medida em que aumenta o volume negociado. </w:t>
      </w:r>
    </w:p>
    <w:p w:rsidR="002470D3" w:rsidRPr="004A42F6" w:rsidRDefault="002470D3" w:rsidP="002470D3">
      <w:pPr>
        <w:autoSpaceDE w:val="0"/>
        <w:autoSpaceDN w:val="0"/>
        <w:adjustRightInd w:val="0"/>
        <w:spacing w:after="0" w:line="240" w:lineRule="auto"/>
        <w:ind w:firstLine="708"/>
        <w:jc w:val="both"/>
        <w:rPr>
          <w:rFonts w:ascii="Times New Roman" w:hAnsi="Times New Roman" w:cs="Times New Roman"/>
          <w:sz w:val="24"/>
          <w:szCs w:val="24"/>
        </w:rPr>
      </w:pPr>
      <w:r w:rsidRPr="002470D3">
        <w:rPr>
          <w:rFonts w:ascii="Times New Roman" w:hAnsi="Times New Roman" w:cs="Times New Roman"/>
          <w:iCs/>
          <w:color w:val="000000"/>
          <w:sz w:val="24"/>
          <w:szCs w:val="24"/>
        </w:rPr>
        <w:t xml:space="preserve">Thompson </w:t>
      </w:r>
      <w:proofErr w:type="spellStart"/>
      <w:proofErr w:type="gramStart"/>
      <w:r w:rsidRPr="002470D3">
        <w:rPr>
          <w:rFonts w:ascii="Times New Roman" w:hAnsi="Times New Roman" w:cs="Times New Roman"/>
          <w:i/>
          <w:iCs/>
          <w:color w:val="000000"/>
          <w:sz w:val="24"/>
          <w:szCs w:val="24"/>
        </w:rPr>
        <w:t>et</w:t>
      </w:r>
      <w:proofErr w:type="spellEnd"/>
      <w:proofErr w:type="gramEnd"/>
      <w:r w:rsidRPr="002470D3">
        <w:rPr>
          <w:rFonts w:ascii="Times New Roman" w:hAnsi="Times New Roman" w:cs="Times New Roman"/>
          <w:i/>
          <w:iCs/>
          <w:color w:val="000000"/>
          <w:sz w:val="24"/>
          <w:szCs w:val="24"/>
        </w:rPr>
        <w:t xml:space="preserve"> al.</w:t>
      </w:r>
      <w:r w:rsidRPr="002470D3">
        <w:rPr>
          <w:rFonts w:ascii="Times New Roman" w:hAnsi="Times New Roman" w:cs="Times New Roman"/>
          <w:iCs/>
          <w:color w:val="000000"/>
          <w:sz w:val="24"/>
          <w:szCs w:val="24"/>
        </w:rPr>
        <w:t xml:space="preserve"> </w:t>
      </w:r>
      <w:r w:rsidRPr="004A42F6">
        <w:rPr>
          <w:rFonts w:ascii="Times New Roman" w:hAnsi="Times New Roman" w:cs="Times New Roman"/>
          <w:iCs/>
          <w:color w:val="000000"/>
          <w:sz w:val="24"/>
          <w:szCs w:val="24"/>
        </w:rPr>
        <w:t xml:space="preserve">(1988) relatam que </w:t>
      </w:r>
      <w:r w:rsidRPr="004A42F6">
        <w:rPr>
          <w:rFonts w:ascii="Times New Roman" w:hAnsi="Times New Roman" w:cs="Times New Roman"/>
          <w:sz w:val="24"/>
          <w:szCs w:val="24"/>
        </w:rPr>
        <w:t xml:space="preserve">quando ocorre uma maior variabilidade decorrente do aumento da incerteza, há maiores custos de liquidez. Outra variável destacada pelos autores é o volume negociado por transação, pois quanto maior é a quantidade negociada, maior é o custo de liquidez, pois ordens maiores criam riscos maiores para os agentes do mercado, dificultando assim em achar uma contraparte disposta a negociar. A troca dos contratos negociados também é um determinante, pois quanto mais vezes o contrato é negociado, provavelmente exista novas </w:t>
      </w:r>
      <w:r w:rsidRPr="004A42F6">
        <w:rPr>
          <w:rFonts w:ascii="Times New Roman" w:hAnsi="Times New Roman" w:cs="Times New Roman"/>
          <w:sz w:val="24"/>
          <w:szCs w:val="24"/>
        </w:rPr>
        <w:lastRenderedPageBreak/>
        <w:t xml:space="preserve">informações recebidas </w:t>
      </w:r>
      <w:proofErr w:type="gramStart"/>
      <w:r w:rsidRPr="004A42F6">
        <w:rPr>
          <w:rFonts w:ascii="Times New Roman" w:hAnsi="Times New Roman" w:cs="Times New Roman"/>
          <w:sz w:val="24"/>
          <w:szCs w:val="24"/>
        </w:rPr>
        <w:t>pelo participantes</w:t>
      </w:r>
      <w:proofErr w:type="gramEnd"/>
      <w:r w:rsidRPr="004A42F6">
        <w:rPr>
          <w:rFonts w:ascii="Times New Roman" w:hAnsi="Times New Roman" w:cs="Times New Roman"/>
          <w:sz w:val="24"/>
          <w:szCs w:val="24"/>
        </w:rPr>
        <w:t xml:space="preserve"> do mercado, o que pode influenciar o custo de liquidez do contrato. </w:t>
      </w:r>
    </w:p>
    <w:p w:rsidR="006A1557" w:rsidRPr="00D71CD1" w:rsidRDefault="006A1557" w:rsidP="005266FC">
      <w:pPr>
        <w:autoSpaceDE w:val="0"/>
        <w:autoSpaceDN w:val="0"/>
        <w:adjustRightInd w:val="0"/>
        <w:spacing w:after="0" w:line="240" w:lineRule="auto"/>
        <w:ind w:firstLine="708"/>
        <w:jc w:val="both"/>
        <w:rPr>
          <w:rFonts w:ascii="Times New Roman" w:hAnsi="Times New Roman" w:cs="Times New Roman"/>
          <w:sz w:val="24"/>
          <w:szCs w:val="24"/>
        </w:rPr>
      </w:pPr>
    </w:p>
    <w:p w:rsidR="006A1557" w:rsidRPr="001D52CD" w:rsidRDefault="006A1557" w:rsidP="006A1557">
      <w:pPr>
        <w:pStyle w:val="Legenda"/>
        <w:spacing w:after="0"/>
        <w:jc w:val="both"/>
        <w:rPr>
          <w:rFonts w:ascii="Times New Roman" w:hAnsi="Times New Roman" w:cs="Times New Roman"/>
          <w:color w:val="auto"/>
          <w:sz w:val="24"/>
          <w:szCs w:val="24"/>
        </w:rPr>
      </w:pPr>
      <w:bookmarkStart w:id="1" w:name="_Toc359857979"/>
      <w:bookmarkStart w:id="2" w:name="_Toc350771999"/>
      <w:r w:rsidRPr="001D52CD">
        <w:rPr>
          <w:rFonts w:ascii="Times New Roman" w:hAnsi="Times New Roman" w:cs="Times New Roman"/>
          <w:color w:val="auto"/>
          <w:sz w:val="24"/>
          <w:szCs w:val="24"/>
        </w:rPr>
        <w:t xml:space="preserve">Tabela </w:t>
      </w:r>
      <w:r w:rsidR="003F1166" w:rsidRPr="001D52CD">
        <w:rPr>
          <w:rFonts w:ascii="Times New Roman" w:hAnsi="Times New Roman" w:cs="Times New Roman"/>
          <w:color w:val="auto"/>
          <w:sz w:val="24"/>
          <w:szCs w:val="24"/>
        </w:rPr>
        <w:fldChar w:fldCharType="begin"/>
      </w:r>
      <w:r w:rsidRPr="001D52CD">
        <w:rPr>
          <w:rFonts w:ascii="Times New Roman" w:hAnsi="Times New Roman" w:cs="Times New Roman"/>
          <w:color w:val="auto"/>
          <w:sz w:val="24"/>
          <w:szCs w:val="24"/>
        </w:rPr>
        <w:instrText xml:space="preserve"> SEQ Tabela \* ARABIC </w:instrText>
      </w:r>
      <w:r w:rsidR="003F1166" w:rsidRPr="001D52CD">
        <w:rPr>
          <w:rFonts w:ascii="Times New Roman" w:hAnsi="Times New Roman" w:cs="Times New Roman"/>
          <w:color w:val="auto"/>
          <w:sz w:val="24"/>
          <w:szCs w:val="24"/>
        </w:rPr>
        <w:fldChar w:fldCharType="separate"/>
      </w:r>
      <w:r w:rsidR="002470D3">
        <w:rPr>
          <w:rFonts w:ascii="Times New Roman" w:hAnsi="Times New Roman" w:cs="Times New Roman"/>
          <w:noProof/>
          <w:color w:val="auto"/>
          <w:sz w:val="24"/>
          <w:szCs w:val="24"/>
        </w:rPr>
        <w:t>2</w:t>
      </w:r>
      <w:r w:rsidR="003F1166" w:rsidRPr="001D52CD">
        <w:rPr>
          <w:rFonts w:ascii="Times New Roman" w:hAnsi="Times New Roman" w:cs="Times New Roman"/>
          <w:color w:val="auto"/>
          <w:sz w:val="24"/>
          <w:szCs w:val="24"/>
        </w:rPr>
        <w:fldChar w:fldCharType="end"/>
      </w:r>
      <w:r w:rsidRPr="001D52CD">
        <w:rPr>
          <w:rFonts w:ascii="Times New Roman" w:hAnsi="Times New Roman" w:cs="Times New Roman"/>
          <w:color w:val="auto"/>
          <w:sz w:val="24"/>
          <w:szCs w:val="24"/>
        </w:rPr>
        <w:t xml:space="preserve"> - Principais determinantes do custo de liquidez.</w:t>
      </w:r>
      <w:bookmarkEnd w:id="1"/>
    </w:p>
    <w:tbl>
      <w:tblPr>
        <w:tblStyle w:val="SombreamentoClaro2"/>
        <w:tblW w:w="0" w:type="auto"/>
        <w:tblLook w:val="04A0"/>
      </w:tblPr>
      <w:tblGrid>
        <w:gridCol w:w="4644"/>
        <w:gridCol w:w="2835"/>
        <w:gridCol w:w="2268"/>
      </w:tblGrid>
      <w:tr w:rsidR="006A1557" w:rsidTr="00CF698F">
        <w:trPr>
          <w:cnfStyle w:val="100000000000"/>
        </w:trPr>
        <w:tc>
          <w:tcPr>
            <w:cnfStyle w:val="001000000000"/>
            <w:tcW w:w="4644" w:type="dxa"/>
          </w:tcPr>
          <w:bookmarkEnd w:id="2"/>
          <w:p w:rsidR="006A1557" w:rsidRDefault="006A1557" w:rsidP="00CF698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Determinante</w:t>
            </w:r>
          </w:p>
        </w:tc>
        <w:tc>
          <w:tcPr>
            <w:tcW w:w="2835" w:type="dxa"/>
          </w:tcPr>
          <w:p w:rsidR="006A1557" w:rsidRDefault="006A1557" w:rsidP="00CF698F">
            <w:pPr>
              <w:autoSpaceDE w:val="0"/>
              <w:autoSpaceDN w:val="0"/>
              <w:adjustRightInd w:val="0"/>
              <w:jc w:val="center"/>
              <w:cnfStyle w:val="100000000000"/>
              <w:rPr>
                <w:rFonts w:ascii="Times New Roman" w:hAnsi="Times New Roman" w:cs="Times New Roman"/>
                <w:sz w:val="24"/>
                <w:szCs w:val="24"/>
              </w:rPr>
            </w:pPr>
            <w:r>
              <w:rPr>
                <w:rFonts w:ascii="Times New Roman" w:hAnsi="Times New Roman" w:cs="Times New Roman"/>
                <w:sz w:val="24"/>
                <w:szCs w:val="24"/>
              </w:rPr>
              <w:t>Situação do Indicador</w:t>
            </w:r>
          </w:p>
        </w:tc>
        <w:tc>
          <w:tcPr>
            <w:tcW w:w="2268" w:type="dxa"/>
          </w:tcPr>
          <w:p w:rsidR="006A1557" w:rsidRDefault="006A1557" w:rsidP="00CF698F">
            <w:pPr>
              <w:autoSpaceDE w:val="0"/>
              <w:autoSpaceDN w:val="0"/>
              <w:adjustRightInd w:val="0"/>
              <w:jc w:val="center"/>
              <w:cnfStyle w:val="100000000000"/>
              <w:rPr>
                <w:rFonts w:ascii="Times New Roman" w:hAnsi="Times New Roman" w:cs="Times New Roman"/>
                <w:sz w:val="24"/>
                <w:szCs w:val="24"/>
              </w:rPr>
            </w:pPr>
            <w:r>
              <w:rPr>
                <w:rFonts w:ascii="Times New Roman" w:hAnsi="Times New Roman" w:cs="Times New Roman"/>
                <w:sz w:val="24"/>
                <w:szCs w:val="24"/>
              </w:rPr>
              <w:t>Custo de liquidez</w:t>
            </w:r>
          </w:p>
        </w:tc>
      </w:tr>
      <w:tr w:rsidR="006A1557" w:rsidTr="00CF698F">
        <w:trPr>
          <w:cnfStyle w:val="000000100000"/>
        </w:trPr>
        <w:tc>
          <w:tcPr>
            <w:cnfStyle w:val="001000000000"/>
            <w:tcW w:w="4644" w:type="dxa"/>
          </w:tcPr>
          <w:p w:rsidR="006A1557" w:rsidRPr="004A42F6" w:rsidRDefault="006A1557" w:rsidP="00CF698F">
            <w:pPr>
              <w:jc w:val="center"/>
              <w:rPr>
                <w:rFonts w:ascii="Times New Roman" w:hAnsi="Times New Roman" w:cs="Times New Roman"/>
                <w:b w:val="0"/>
                <w:color w:val="000000"/>
                <w:sz w:val="24"/>
                <w:szCs w:val="24"/>
              </w:rPr>
            </w:pPr>
            <w:r w:rsidRPr="004A42F6">
              <w:rPr>
                <w:rFonts w:ascii="Times New Roman" w:hAnsi="Times New Roman" w:cs="Times New Roman"/>
                <w:b w:val="0"/>
                <w:color w:val="000000"/>
                <w:sz w:val="24"/>
                <w:szCs w:val="24"/>
              </w:rPr>
              <w:t>Volume de negócios</w:t>
            </w:r>
          </w:p>
        </w:tc>
        <w:tc>
          <w:tcPr>
            <w:tcW w:w="2835" w:type="dxa"/>
          </w:tcPr>
          <w:p w:rsidR="006A1557" w:rsidRPr="001D52CD" w:rsidRDefault="006A1557" w:rsidP="00CF698F">
            <w:pPr>
              <w:autoSpaceDE w:val="0"/>
              <w:autoSpaceDN w:val="0"/>
              <w:adjustRightInd w:val="0"/>
              <w:jc w:val="center"/>
              <w:cnfStyle w:val="000000100000"/>
              <w:rPr>
                <w:rFonts w:ascii="Times New Roman" w:hAnsi="Times New Roman" w:cs="Times New Roman"/>
                <w:sz w:val="24"/>
                <w:szCs w:val="24"/>
              </w:rPr>
            </w:pPr>
            <w:r w:rsidRPr="001D52CD">
              <w:rPr>
                <w:rFonts w:ascii="Times New Roman" w:hAnsi="Times New Roman" w:cs="Times New Roman"/>
                <w:sz w:val="24"/>
                <w:szCs w:val="24"/>
              </w:rPr>
              <w:t>Quanto maior</w:t>
            </w:r>
          </w:p>
        </w:tc>
        <w:tc>
          <w:tcPr>
            <w:tcW w:w="2268" w:type="dxa"/>
          </w:tcPr>
          <w:p w:rsidR="006A1557" w:rsidRPr="001D52CD" w:rsidRDefault="006A1557" w:rsidP="00CF698F">
            <w:pPr>
              <w:autoSpaceDE w:val="0"/>
              <w:autoSpaceDN w:val="0"/>
              <w:adjustRightInd w:val="0"/>
              <w:jc w:val="center"/>
              <w:cnfStyle w:val="000000100000"/>
              <w:rPr>
                <w:rFonts w:ascii="Times New Roman" w:hAnsi="Times New Roman" w:cs="Times New Roman"/>
                <w:sz w:val="24"/>
                <w:szCs w:val="24"/>
              </w:rPr>
            </w:pPr>
            <w:r w:rsidRPr="001D52CD">
              <w:rPr>
                <w:rFonts w:ascii="Times New Roman" w:hAnsi="Times New Roman" w:cs="Times New Roman"/>
                <w:sz w:val="24"/>
                <w:szCs w:val="24"/>
              </w:rPr>
              <w:t>Menor</w:t>
            </w:r>
          </w:p>
        </w:tc>
      </w:tr>
      <w:tr w:rsidR="006A1557" w:rsidTr="00CF698F">
        <w:tc>
          <w:tcPr>
            <w:cnfStyle w:val="001000000000"/>
            <w:tcW w:w="4644" w:type="dxa"/>
          </w:tcPr>
          <w:p w:rsidR="006A1557" w:rsidRPr="004A42F6" w:rsidRDefault="006A1557" w:rsidP="00CF698F">
            <w:pPr>
              <w:jc w:val="center"/>
              <w:rPr>
                <w:rFonts w:ascii="Times New Roman" w:hAnsi="Times New Roman" w:cs="Times New Roman"/>
                <w:b w:val="0"/>
                <w:color w:val="000000"/>
                <w:sz w:val="24"/>
                <w:szCs w:val="24"/>
              </w:rPr>
            </w:pPr>
            <w:r w:rsidRPr="004A42F6">
              <w:rPr>
                <w:rFonts w:ascii="Times New Roman" w:hAnsi="Times New Roman" w:cs="Times New Roman"/>
                <w:b w:val="0"/>
                <w:color w:val="000000"/>
                <w:sz w:val="24"/>
                <w:szCs w:val="24"/>
              </w:rPr>
              <w:t>Volume por transação</w:t>
            </w:r>
          </w:p>
        </w:tc>
        <w:tc>
          <w:tcPr>
            <w:tcW w:w="2835" w:type="dxa"/>
          </w:tcPr>
          <w:p w:rsidR="006A1557" w:rsidRPr="001D52CD" w:rsidRDefault="006A1557" w:rsidP="00CF698F">
            <w:pPr>
              <w:autoSpaceDE w:val="0"/>
              <w:autoSpaceDN w:val="0"/>
              <w:adjustRightInd w:val="0"/>
              <w:jc w:val="center"/>
              <w:cnfStyle w:val="000000000000"/>
              <w:rPr>
                <w:rFonts w:ascii="Times New Roman" w:hAnsi="Times New Roman" w:cs="Times New Roman"/>
                <w:sz w:val="24"/>
                <w:szCs w:val="24"/>
              </w:rPr>
            </w:pPr>
            <w:r>
              <w:rPr>
                <w:rFonts w:ascii="Times New Roman" w:hAnsi="Times New Roman" w:cs="Times New Roman"/>
                <w:sz w:val="24"/>
                <w:szCs w:val="24"/>
              </w:rPr>
              <w:t>Quanto maior</w:t>
            </w:r>
          </w:p>
        </w:tc>
        <w:tc>
          <w:tcPr>
            <w:tcW w:w="2268" w:type="dxa"/>
          </w:tcPr>
          <w:p w:rsidR="006A1557" w:rsidRPr="001D52CD" w:rsidRDefault="006A1557" w:rsidP="00CF698F">
            <w:pPr>
              <w:autoSpaceDE w:val="0"/>
              <w:autoSpaceDN w:val="0"/>
              <w:adjustRightInd w:val="0"/>
              <w:jc w:val="center"/>
              <w:cnfStyle w:val="000000000000"/>
              <w:rPr>
                <w:rFonts w:ascii="Times New Roman" w:hAnsi="Times New Roman" w:cs="Times New Roman"/>
                <w:sz w:val="24"/>
                <w:szCs w:val="24"/>
              </w:rPr>
            </w:pPr>
            <w:r>
              <w:rPr>
                <w:rFonts w:ascii="Times New Roman" w:hAnsi="Times New Roman" w:cs="Times New Roman"/>
                <w:sz w:val="24"/>
                <w:szCs w:val="24"/>
              </w:rPr>
              <w:t>Maior</w:t>
            </w:r>
          </w:p>
        </w:tc>
      </w:tr>
      <w:tr w:rsidR="006A1557" w:rsidTr="00CF698F">
        <w:trPr>
          <w:cnfStyle w:val="000000100000"/>
        </w:trPr>
        <w:tc>
          <w:tcPr>
            <w:cnfStyle w:val="001000000000"/>
            <w:tcW w:w="4644" w:type="dxa"/>
          </w:tcPr>
          <w:p w:rsidR="006A1557" w:rsidRPr="004A42F6" w:rsidRDefault="006A1557" w:rsidP="00CF698F">
            <w:pPr>
              <w:jc w:val="center"/>
              <w:rPr>
                <w:rFonts w:ascii="Times New Roman" w:hAnsi="Times New Roman" w:cs="Times New Roman"/>
                <w:b w:val="0"/>
                <w:color w:val="000000"/>
                <w:sz w:val="24"/>
                <w:szCs w:val="24"/>
              </w:rPr>
            </w:pPr>
            <w:r w:rsidRPr="004A42F6">
              <w:rPr>
                <w:rFonts w:ascii="Times New Roman" w:hAnsi="Times New Roman" w:cs="Times New Roman"/>
                <w:b w:val="0"/>
                <w:color w:val="000000"/>
                <w:sz w:val="24"/>
                <w:szCs w:val="24"/>
              </w:rPr>
              <w:t>Variabilidade do preço</w:t>
            </w:r>
          </w:p>
        </w:tc>
        <w:tc>
          <w:tcPr>
            <w:tcW w:w="2835" w:type="dxa"/>
          </w:tcPr>
          <w:p w:rsidR="006A1557" w:rsidRPr="001D52CD" w:rsidRDefault="006A1557" w:rsidP="00CF698F">
            <w:pPr>
              <w:autoSpaceDE w:val="0"/>
              <w:autoSpaceDN w:val="0"/>
              <w:adjustRightInd w:val="0"/>
              <w:jc w:val="center"/>
              <w:cnfStyle w:val="000000100000"/>
              <w:rPr>
                <w:rFonts w:ascii="Times New Roman" w:hAnsi="Times New Roman" w:cs="Times New Roman"/>
                <w:sz w:val="24"/>
                <w:szCs w:val="24"/>
              </w:rPr>
            </w:pPr>
            <w:r w:rsidRPr="001D52CD">
              <w:rPr>
                <w:rFonts w:ascii="Times New Roman" w:hAnsi="Times New Roman" w:cs="Times New Roman"/>
                <w:sz w:val="24"/>
                <w:szCs w:val="24"/>
              </w:rPr>
              <w:t>Quanto maior</w:t>
            </w:r>
          </w:p>
        </w:tc>
        <w:tc>
          <w:tcPr>
            <w:tcW w:w="2268" w:type="dxa"/>
          </w:tcPr>
          <w:p w:rsidR="006A1557" w:rsidRPr="001D52CD" w:rsidRDefault="006A1557" w:rsidP="00CF698F">
            <w:pPr>
              <w:autoSpaceDE w:val="0"/>
              <w:autoSpaceDN w:val="0"/>
              <w:adjustRightInd w:val="0"/>
              <w:jc w:val="center"/>
              <w:cnfStyle w:val="000000100000"/>
              <w:rPr>
                <w:rFonts w:ascii="Times New Roman" w:hAnsi="Times New Roman" w:cs="Times New Roman"/>
                <w:sz w:val="24"/>
                <w:szCs w:val="24"/>
              </w:rPr>
            </w:pPr>
            <w:r w:rsidRPr="001D52CD">
              <w:rPr>
                <w:rFonts w:ascii="Times New Roman" w:hAnsi="Times New Roman" w:cs="Times New Roman"/>
                <w:sz w:val="24"/>
                <w:szCs w:val="24"/>
              </w:rPr>
              <w:t>Maior</w:t>
            </w:r>
          </w:p>
        </w:tc>
      </w:tr>
      <w:tr w:rsidR="006A1557" w:rsidTr="00CF698F">
        <w:tc>
          <w:tcPr>
            <w:cnfStyle w:val="001000000000"/>
            <w:tcW w:w="4644" w:type="dxa"/>
          </w:tcPr>
          <w:p w:rsidR="006A1557" w:rsidRPr="004A42F6" w:rsidRDefault="006A1557" w:rsidP="00CF698F">
            <w:pPr>
              <w:jc w:val="center"/>
              <w:rPr>
                <w:rFonts w:ascii="Times New Roman" w:hAnsi="Times New Roman" w:cs="Times New Roman"/>
                <w:b w:val="0"/>
                <w:color w:val="000000"/>
                <w:sz w:val="24"/>
                <w:szCs w:val="24"/>
              </w:rPr>
            </w:pPr>
            <w:r w:rsidRPr="004A42F6">
              <w:rPr>
                <w:rFonts w:ascii="Times New Roman" w:hAnsi="Times New Roman" w:cs="Times New Roman"/>
                <w:b w:val="0"/>
                <w:color w:val="000000"/>
                <w:sz w:val="24"/>
                <w:szCs w:val="24"/>
              </w:rPr>
              <w:t>Tamanho do contrato</w:t>
            </w:r>
          </w:p>
        </w:tc>
        <w:tc>
          <w:tcPr>
            <w:tcW w:w="2835" w:type="dxa"/>
          </w:tcPr>
          <w:p w:rsidR="006A1557" w:rsidRPr="001D52CD" w:rsidRDefault="006A1557" w:rsidP="00CF698F">
            <w:pPr>
              <w:autoSpaceDE w:val="0"/>
              <w:autoSpaceDN w:val="0"/>
              <w:adjustRightInd w:val="0"/>
              <w:jc w:val="center"/>
              <w:cnfStyle w:val="000000000000"/>
              <w:rPr>
                <w:rFonts w:ascii="Times New Roman" w:hAnsi="Times New Roman" w:cs="Times New Roman"/>
                <w:sz w:val="24"/>
                <w:szCs w:val="24"/>
              </w:rPr>
            </w:pPr>
            <w:r w:rsidRPr="001D52CD">
              <w:rPr>
                <w:rFonts w:ascii="Times New Roman" w:hAnsi="Times New Roman" w:cs="Times New Roman"/>
                <w:sz w:val="24"/>
                <w:szCs w:val="24"/>
              </w:rPr>
              <w:t>Quanto maior</w:t>
            </w:r>
          </w:p>
        </w:tc>
        <w:tc>
          <w:tcPr>
            <w:tcW w:w="2268" w:type="dxa"/>
          </w:tcPr>
          <w:p w:rsidR="006A1557" w:rsidRPr="001D52CD" w:rsidRDefault="006A1557" w:rsidP="00CF698F">
            <w:pPr>
              <w:autoSpaceDE w:val="0"/>
              <w:autoSpaceDN w:val="0"/>
              <w:adjustRightInd w:val="0"/>
              <w:jc w:val="center"/>
              <w:cnfStyle w:val="000000000000"/>
              <w:rPr>
                <w:rFonts w:ascii="Times New Roman" w:hAnsi="Times New Roman" w:cs="Times New Roman"/>
                <w:sz w:val="24"/>
                <w:szCs w:val="24"/>
              </w:rPr>
            </w:pPr>
            <w:r w:rsidRPr="001D52CD">
              <w:rPr>
                <w:rFonts w:ascii="Times New Roman" w:hAnsi="Times New Roman" w:cs="Times New Roman"/>
                <w:sz w:val="24"/>
                <w:szCs w:val="24"/>
              </w:rPr>
              <w:t>Maior</w:t>
            </w:r>
          </w:p>
        </w:tc>
      </w:tr>
      <w:tr w:rsidR="006A1557" w:rsidTr="00CF698F">
        <w:trPr>
          <w:cnfStyle w:val="000000100000"/>
        </w:trPr>
        <w:tc>
          <w:tcPr>
            <w:cnfStyle w:val="001000000000"/>
            <w:tcW w:w="4644" w:type="dxa"/>
          </w:tcPr>
          <w:p w:rsidR="006A1557" w:rsidRPr="004A42F6" w:rsidRDefault="006A1557" w:rsidP="00CF698F">
            <w:pPr>
              <w:jc w:val="center"/>
              <w:rPr>
                <w:rFonts w:ascii="Times New Roman" w:hAnsi="Times New Roman" w:cs="Times New Roman"/>
                <w:b w:val="0"/>
                <w:color w:val="000000"/>
                <w:sz w:val="24"/>
                <w:szCs w:val="24"/>
              </w:rPr>
            </w:pPr>
            <w:r w:rsidRPr="004A42F6">
              <w:rPr>
                <w:rFonts w:ascii="Times New Roman" w:hAnsi="Times New Roman" w:cs="Times New Roman"/>
                <w:b w:val="0"/>
                <w:color w:val="000000"/>
                <w:sz w:val="24"/>
                <w:szCs w:val="24"/>
              </w:rPr>
              <w:t>Troca de contratos negociados</w:t>
            </w:r>
          </w:p>
        </w:tc>
        <w:tc>
          <w:tcPr>
            <w:tcW w:w="2835" w:type="dxa"/>
          </w:tcPr>
          <w:p w:rsidR="006A1557" w:rsidRPr="001D52CD" w:rsidRDefault="006A1557" w:rsidP="00CF698F">
            <w:pPr>
              <w:autoSpaceDE w:val="0"/>
              <w:autoSpaceDN w:val="0"/>
              <w:adjustRightInd w:val="0"/>
              <w:jc w:val="center"/>
              <w:cnfStyle w:val="000000100000"/>
              <w:rPr>
                <w:rFonts w:ascii="Times New Roman" w:hAnsi="Times New Roman" w:cs="Times New Roman"/>
                <w:sz w:val="24"/>
                <w:szCs w:val="24"/>
              </w:rPr>
            </w:pPr>
            <w:r w:rsidRPr="001D52CD">
              <w:rPr>
                <w:rFonts w:ascii="Times New Roman" w:hAnsi="Times New Roman" w:cs="Times New Roman"/>
                <w:sz w:val="24"/>
                <w:szCs w:val="24"/>
              </w:rPr>
              <w:t>Quanto maior</w:t>
            </w:r>
          </w:p>
        </w:tc>
        <w:tc>
          <w:tcPr>
            <w:tcW w:w="2268" w:type="dxa"/>
          </w:tcPr>
          <w:p w:rsidR="006A1557" w:rsidRPr="001D52CD" w:rsidRDefault="006A1557" w:rsidP="00CF698F">
            <w:pPr>
              <w:autoSpaceDE w:val="0"/>
              <w:autoSpaceDN w:val="0"/>
              <w:adjustRightInd w:val="0"/>
              <w:jc w:val="center"/>
              <w:cnfStyle w:val="000000100000"/>
              <w:rPr>
                <w:rFonts w:ascii="Times New Roman" w:hAnsi="Times New Roman" w:cs="Times New Roman"/>
                <w:sz w:val="24"/>
                <w:szCs w:val="24"/>
              </w:rPr>
            </w:pPr>
            <w:r w:rsidRPr="001D52CD">
              <w:rPr>
                <w:rFonts w:ascii="Times New Roman" w:hAnsi="Times New Roman" w:cs="Times New Roman"/>
                <w:sz w:val="24"/>
                <w:szCs w:val="24"/>
              </w:rPr>
              <w:t>Menor</w:t>
            </w:r>
          </w:p>
        </w:tc>
      </w:tr>
      <w:tr w:rsidR="006A1557" w:rsidTr="00CF698F">
        <w:tc>
          <w:tcPr>
            <w:cnfStyle w:val="001000000000"/>
            <w:tcW w:w="4644" w:type="dxa"/>
          </w:tcPr>
          <w:p w:rsidR="006A1557" w:rsidRPr="004A42F6" w:rsidRDefault="006A1557" w:rsidP="00CF698F">
            <w:pPr>
              <w:jc w:val="center"/>
              <w:rPr>
                <w:rFonts w:ascii="Times New Roman" w:hAnsi="Times New Roman" w:cs="Times New Roman"/>
                <w:b w:val="0"/>
                <w:color w:val="000000"/>
                <w:sz w:val="24"/>
                <w:szCs w:val="24"/>
              </w:rPr>
            </w:pPr>
            <w:r w:rsidRPr="004A42F6">
              <w:rPr>
                <w:rFonts w:ascii="Times New Roman" w:hAnsi="Times New Roman" w:cs="Times New Roman"/>
                <w:b w:val="0"/>
                <w:color w:val="000000"/>
                <w:sz w:val="24"/>
                <w:szCs w:val="24"/>
              </w:rPr>
              <w:t>Tempo de maturação do contrato</w:t>
            </w:r>
          </w:p>
        </w:tc>
        <w:tc>
          <w:tcPr>
            <w:tcW w:w="2835" w:type="dxa"/>
          </w:tcPr>
          <w:p w:rsidR="006A1557" w:rsidRPr="001D52CD" w:rsidRDefault="006A1557" w:rsidP="00CF698F">
            <w:pPr>
              <w:autoSpaceDE w:val="0"/>
              <w:autoSpaceDN w:val="0"/>
              <w:adjustRightInd w:val="0"/>
              <w:jc w:val="center"/>
              <w:cnfStyle w:val="000000000000"/>
              <w:rPr>
                <w:rFonts w:ascii="Times New Roman" w:hAnsi="Times New Roman" w:cs="Times New Roman"/>
                <w:sz w:val="24"/>
                <w:szCs w:val="24"/>
              </w:rPr>
            </w:pPr>
            <w:r w:rsidRPr="001D52CD">
              <w:rPr>
                <w:rFonts w:ascii="Times New Roman" w:hAnsi="Times New Roman" w:cs="Times New Roman"/>
                <w:sz w:val="24"/>
                <w:szCs w:val="24"/>
              </w:rPr>
              <w:t>Quanto maior</w:t>
            </w:r>
          </w:p>
        </w:tc>
        <w:tc>
          <w:tcPr>
            <w:tcW w:w="2268" w:type="dxa"/>
          </w:tcPr>
          <w:p w:rsidR="006A1557" w:rsidRPr="001D52CD" w:rsidRDefault="006A1557" w:rsidP="00CF698F">
            <w:pPr>
              <w:autoSpaceDE w:val="0"/>
              <w:autoSpaceDN w:val="0"/>
              <w:adjustRightInd w:val="0"/>
              <w:jc w:val="center"/>
              <w:cnfStyle w:val="000000000000"/>
              <w:rPr>
                <w:rFonts w:ascii="Times New Roman" w:hAnsi="Times New Roman" w:cs="Times New Roman"/>
                <w:sz w:val="24"/>
                <w:szCs w:val="24"/>
              </w:rPr>
            </w:pPr>
            <w:r w:rsidRPr="001D52CD">
              <w:rPr>
                <w:rFonts w:ascii="Times New Roman" w:hAnsi="Times New Roman" w:cs="Times New Roman"/>
                <w:sz w:val="24"/>
                <w:szCs w:val="24"/>
              </w:rPr>
              <w:t>Maior</w:t>
            </w:r>
          </w:p>
        </w:tc>
      </w:tr>
      <w:tr w:rsidR="006A1557" w:rsidTr="00CF698F">
        <w:trPr>
          <w:cnfStyle w:val="000000100000"/>
        </w:trPr>
        <w:tc>
          <w:tcPr>
            <w:cnfStyle w:val="001000000000"/>
            <w:tcW w:w="4644" w:type="dxa"/>
          </w:tcPr>
          <w:p w:rsidR="006A1557" w:rsidRPr="004A42F6" w:rsidRDefault="006A1557" w:rsidP="00CF698F">
            <w:pPr>
              <w:jc w:val="center"/>
              <w:rPr>
                <w:rFonts w:ascii="Times New Roman" w:hAnsi="Times New Roman" w:cs="Times New Roman"/>
                <w:b w:val="0"/>
                <w:color w:val="000000"/>
                <w:sz w:val="24"/>
                <w:szCs w:val="24"/>
              </w:rPr>
            </w:pPr>
            <w:r w:rsidRPr="004A42F6">
              <w:rPr>
                <w:rFonts w:ascii="Times New Roman" w:hAnsi="Times New Roman" w:cs="Times New Roman"/>
                <w:b w:val="0"/>
                <w:color w:val="000000"/>
                <w:sz w:val="24"/>
                <w:szCs w:val="24"/>
              </w:rPr>
              <w:t>Concentração de contratos na bolsa específica</w:t>
            </w:r>
          </w:p>
        </w:tc>
        <w:tc>
          <w:tcPr>
            <w:tcW w:w="2835" w:type="dxa"/>
          </w:tcPr>
          <w:p w:rsidR="006A1557" w:rsidRPr="001D52CD" w:rsidRDefault="006A1557" w:rsidP="00CF698F">
            <w:pPr>
              <w:autoSpaceDE w:val="0"/>
              <w:autoSpaceDN w:val="0"/>
              <w:adjustRightInd w:val="0"/>
              <w:jc w:val="center"/>
              <w:cnfStyle w:val="000000100000"/>
              <w:rPr>
                <w:rFonts w:ascii="Times New Roman" w:hAnsi="Times New Roman" w:cs="Times New Roman"/>
                <w:sz w:val="24"/>
                <w:szCs w:val="24"/>
              </w:rPr>
            </w:pPr>
            <w:r w:rsidRPr="001D52CD">
              <w:rPr>
                <w:rFonts w:ascii="Times New Roman" w:hAnsi="Times New Roman" w:cs="Times New Roman"/>
                <w:sz w:val="24"/>
                <w:szCs w:val="24"/>
              </w:rPr>
              <w:t>Quanto maior</w:t>
            </w:r>
          </w:p>
        </w:tc>
        <w:tc>
          <w:tcPr>
            <w:tcW w:w="2268" w:type="dxa"/>
          </w:tcPr>
          <w:p w:rsidR="006A1557" w:rsidRPr="001D52CD" w:rsidRDefault="006A1557" w:rsidP="00CF698F">
            <w:pPr>
              <w:autoSpaceDE w:val="0"/>
              <w:autoSpaceDN w:val="0"/>
              <w:adjustRightInd w:val="0"/>
              <w:jc w:val="center"/>
              <w:cnfStyle w:val="000000100000"/>
              <w:rPr>
                <w:rFonts w:ascii="Times New Roman" w:hAnsi="Times New Roman" w:cs="Times New Roman"/>
                <w:sz w:val="24"/>
                <w:szCs w:val="24"/>
              </w:rPr>
            </w:pPr>
            <w:r w:rsidRPr="001D52CD">
              <w:rPr>
                <w:rFonts w:ascii="Times New Roman" w:hAnsi="Times New Roman" w:cs="Times New Roman"/>
                <w:sz w:val="24"/>
                <w:szCs w:val="24"/>
              </w:rPr>
              <w:t>Menor</w:t>
            </w:r>
          </w:p>
        </w:tc>
      </w:tr>
      <w:tr w:rsidR="006A1557" w:rsidTr="00CF698F">
        <w:tc>
          <w:tcPr>
            <w:cnfStyle w:val="001000000000"/>
            <w:tcW w:w="4644" w:type="dxa"/>
          </w:tcPr>
          <w:p w:rsidR="006A1557" w:rsidRPr="004A42F6" w:rsidRDefault="006A1557" w:rsidP="00CF698F">
            <w:pPr>
              <w:jc w:val="center"/>
              <w:rPr>
                <w:rFonts w:ascii="Times New Roman" w:hAnsi="Times New Roman" w:cs="Times New Roman"/>
                <w:b w:val="0"/>
                <w:color w:val="000000"/>
                <w:sz w:val="24"/>
                <w:szCs w:val="24"/>
              </w:rPr>
            </w:pPr>
            <w:r w:rsidRPr="004A42F6">
              <w:rPr>
                <w:rFonts w:ascii="Times New Roman" w:hAnsi="Times New Roman" w:cs="Times New Roman"/>
                <w:b w:val="0"/>
                <w:color w:val="000000"/>
                <w:sz w:val="24"/>
                <w:szCs w:val="24"/>
              </w:rPr>
              <w:t>Tendência dos preços</w:t>
            </w:r>
          </w:p>
        </w:tc>
        <w:tc>
          <w:tcPr>
            <w:tcW w:w="2835" w:type="dxa"/>
          </w:tcPr>
          <w:p w:rsidR="006A1557" w:rsidRPr="001D52CD" w:rsidRDefault="006A1557" w:rsidP="00CF698F">
            <w:pPr>
              <w:autoSpaceDE w:val="0"/>
              <w:autoSpaceDN w:val="0"/>
              <w:adjustRightInd w:val="0"/>
              <w:jc w:val="center"/>
              <w:cnfStyle w:val="000000000000"/>
              <w:rPr>
                <w:rFonts w:ascii="Times New Roman" w:hAnsi="Times New Roman" w:cs="Times New Roman"/>
                <w:sz w:val="24"/>
                <w:szCs w:val="24"/>
              </w:rPr>
            </w:pPr>
            <w:r w:rsidRPr="001D52CD">
              <w:rPr>
                <w:rFonts w:ascii="Times New Roman" w:hAnsi="Times New Roman" w:cs="Times New Roman"/>
                <w:sz w:val="24"/>
                <w:szCs w:val="24"/>
              </w:rPr>
              <w:t>Quanto maior</w:t>
            </w:r>
          </w:p>
        </w:tc>
        <w:tc>
          <w:tcPr>
            <w:tcW w:w="2268" w:type="dxa"/>
          </w:tcPr>
          <w:p w:rsidR="006A1557" w:rsidRPr="001D52CD" w:rsidRDefault="006A1557" w:rsidP="00CF698F">
            <w:pPr>
              <w:autoSpaceDE w:val="0"/>
              <w:autoSpaceDN w:val="0"/>
              <w:adjustRightInd w:val="0"/>
              <w:jc w:val="center"/>
              <w:cnfStyle w:val="000000000000"/>
              <w:rPr>
                <w:rFonts w:ascii="Times New Roman" w:hAnsi="Times New Roman" w:cs="Times New Roman"/>
                <w:sz w:val="24"/>
                <w:szCs w:val="24"/>
              </w:rPr>
            </w:pPr>
            <w:r w:rsidRPr="001D52CD">
              <w:rPr>
                <w:rFonts w:ascii="Times New Roman" w:hAnsi="Times New Roman" w:cs="Times New Roman"/>
                <w:sz w:val="24"/>
                <w:szCs w:val="24"/>
              </w:rPr>
              <w:t>Maior</w:t>
            </w:r>
          </w:p>
        </w:tc>
      </w:tr>
      <w:tr w:rsidR="006A1557" w:rsidTr="00CF698F">
        <w:trPr>
          <w:cnfStyle w:val="000000100000"/>
        </w:trPr>
        <w:tc>
          <w:tcPr>
            <w:cnfStyle w:val="001000000000"/>
            <w:tcW w:w="4644" w:type="dxa"/>
          </w:tcPr>
          <w:p w:rsidR="006A1557" w:rsidRPr="004A42F6" w:rsidRDefault="006A1557" w:rsidP="00CF698F">
            <w:pPr>
              <w:jc w:val="center"/>
              <w:rPr>
                <w:rFonts w:ascii="Times New Roman" w:hAnsi="Times New Roman" w:cs="Times New Roman"/>
                <w:b w:val="0"/>
                <w:color w:val="000000"/>
                <w:sz w:val="24"/>
                <w:szCs w:val="24"/>
              </w:rPr>
            </w:pPr>
            <w:r w:rsidRPr="004A42F6">
              <w:rPr>
                <w:rFonts w:ascii="Times New Roman" w:hAnsi="Times New Roman" w:cs="Times New Roman"/>
                <w:b w:val="0"/>
                <w:color w:val="000000"/>
                <w:sz w:val="24"/>
                <w:szCs w:val="24"/>
              </w:rPr>
              <w:t>Mês do contrato negociado</w:t>
            </w:r>
          </w:p>
        </w:tc>
        <w:tc>
          <w:tcPr>
            <w:tcW w:w="2835" w:type="dxa"/>
          </w:tcPr>
          <w:p w:rsidR="006A1557" w:rsidRPr="001D52CD" w:rsidRDefault="006A1557" w:rsidP="00CF698F">
            <w:pPr>
              <w:autoSpaceDE w:val="0"/>
              <w:autoSpaceDN w:val="0"/>
              <w:adjustRightInd w:val="0"/>
              <w:jc w:val="center"/>
              <w:cnfStyle w:val="000000100000"/>
              <w:rPr>
                <w:rFonts w:ascii="Times New Roman" w:hAnsi="Times New Roman" w:cs="Times New Roman"/>
                <w:sz w:val="24"/>
                <w:szCs w:val="24"/>
              </w:rPr>
            </w:pPr>
            <w:r w:rsidRPr="001D52CD">
              <w:rPr>
                <w:rFonts w:ascii="Times New Roman" w:hAnsi="Times New Roman" w:cs="Times New Roman"/>
                <w:sz w:val="24"/>
                <w:szCs w:val="24"/>
              </w:rPr>
              <w:t>Indefinido</w:t>
            </w:r>
          </w:p>
        </w:tc>
        <w:tc>
          <w:tcPr>
            <w:tcW w:w="2268" w:type="dxa"/>
          </w:tcPr>
          <w:p w:rsidR="006A1557" w:rsidRPr="001D52CD" w:rsidRDefault="006A1557" w:rsidP="00CF698F">
            <w:pPr>
              <w:autoSpaceDE w:val="0"/>
              <w:autoSpaceDN w:val="0"/>
              <w:adjustRightInd w:val="0"/>
              <w:jc w:val="center"/>
              <w:cnfStyle w:val="000000100000"/>
              <w:rPr>
                <w:rFonts w:ascii="Times New Roman" w:hAnsi="Times New Roman" w:cs="Times New Roman"/>
                <w:sz w:val="24"/>
                <w:szCs w:val="24"/>
              </w:rPr>
            </w:pPr>
            <w:r w:rsidRPr="001D52CD">
              <w:rPr>
                <w:rFonts w:ascii="Times New Roman" w:hAnsi="Times New Roman" w:cs="Times New Roman"/>
                <w:sz w:val="24"/>
                <w:szCs w:val="24"/>
              </w:rPr>
              <w:t>Indefinido</w:t>
            </w:r>
          </w:p>
        </w:tc>
      </w:tr>
      <w:tr w:rsidR="006A1557" w:rsidTr="00CF698F">
        <w:tc>
          <w:tcPr>
            <w:cnfStyle w:val="001000000000"/>
            <w:tcW w:w="4644" w:type="dxa"/>
          </w:tcPr>
          <w:p w:rsidR="006A1557" w:rsidRPr="004A42F6" w:rsidRDefault="006A1557" w:rsidP="00CF698F">
            <w:pPr>
              <w:jc w:val="center"/>
              <w:rPr>
                <w:rFonts w:ascii="Times New Roman" w:hAnsi="Times New Roman" w:cs="Times New Roman"/>
                <w:b w:val="0"/>
                <w:color w:val="000000"/>
                <w:sz w:val="24"/>
                <w:szCs w:val="24"/>
              </w:rPr>
            </w:pPr>
            <w:r w:rsidRPr="004A42F6">
              <w:rPr>
                <w:rFonts w:ascii="Times New Roman" w:hAnsi="Times New Roman" w:cs="Times New Roman"/>
                <w:b w:val="0"/>
                <w:color w:val="000000"/>
                <w:sz w:val="24"/>
                <w:szCs w:val="24"/>
              </w:rPr>
              <w:t>Dias da semana</w:t>
            </w:r>
          </w:p>
        </w:tc>
        <w:tc>
          <w:tcPr>
            <w:tcW w:w="2835" w:type="dxa"/>
          </w:tcPr>
          <w:p w:rsidR="006A1557" w:rsidRPr="001D52CD" w:rsidRDefault="006A1557" w:rsidP="00CF698F">
            <w:pPr>
              <w:autoSpaceDE w:val="0"/>
              <w:autoSpaceDN w:val="0"/>
              <w:adjustRightInd w:val="0"/>
              <w:jc w:val="center"/>
              <w:cnfStyle w:val="000000000000"/>
              <w:rPr>
                <w:rFonts w:ascii="Times New Roman" w:hAnsi="Times New Roman" w:cs="Times New Roman"/>
                <w:sz w:val="24"/>
                <w:szCs w:val="24"/>
              </w:rPr>
            </w:pPr>
            <w:r w:rsidRPr="001D52CD">
              <w:rPr>
                <w:rFonts w:ascii="Times New Roman" w:hAnsi="Times New Roman" w:cs="Times New Roman"/>
                <w:sz w:val="24"/>
                <w:szCs w:val="24"/>
              </w:rPr>
              <w:t>Indefinido</w:t>
            </w:r>
          </w:p>
        </w:tc>
        <w:tc>
          <w:tcPr>
            <w:tcW w:w="2268" w:type="dxa"/>
          </w:tcPr>
          <w:p w:rsidR="006A1557" w:rsidRPr="001D52CD" w:rsidRDefault="006A1557" w:rsidP="00CF698F">
            <w:pPr>
              <w:autoSpaceDE w:val="0"/>
              <w:autoSpaceDN w:val="0"/>
              <w:adjustRightInd w:val="0"/>
              <w:jc w:val="center"/>
              <w:cnfStyle w:val="000000000000"/>
              <w:rPr>
                <w:rFonts w:ascii="Times New Roman" w:hAnsi="Times New Roman" w:cs="Times New Roman"/>
                <w:sz w:val="24"/>
                <w:szCs w:val="24"/>
              </w:rPr>
            </w:pPr>
            <w:r w:rsidRPr="001D52CD">
              <w:rPr>
                <w:rFonts w:ascii="Times New Roman" w:hAnsi="Times New Roman" w:cs="Times New Roman"/>
                <w:sz w:val="24"/>
                <w:szCs w:val="24"/>
              </w:rPr>
              <w:t>Indefinido</w:t>
            </w:r>
          </w:p>
        </w:tc>
      </w:tr>
      <w:tr w:rsidR="006A1557" w:rsidTr="00CF698F">
        <w:trPr>
          <w:cnfStyle w:val="000000100000"/>
        </w:trPr>
        <w:tc>
          <w:tcPr>
            <w:cnfStyle w:val="001000000000"/>
            <w:tcW w:w="4644" w:type="dxa"/>
          </w:tcPr>
          <w:p w:rsidR="006A1557" w:rsidRPr="004A42F6" w:rsidRDefault="006A1557" w:rsidP="00CF698F">
            <w:pPr>
              <w:jc w:val="center"/>
              <w:rPr>
                <w:rFonts w:ascii="Times New Roman" w:hAnsi="Times New Roman" w:cs="Times New Roman"/>
                <w:b w:val="0"/>
                <w:color w:val="000000"/>
                <w:sz w:val="24"/>
                <w:szCs w:val="24"/>
              </w:rPr>
            </w:pPr>
            <w:r w:rsidRPr="004A42F6">
              <w:rPr>
                <w:rFonts w:ascii="Times New Roman" w:hAnsi="Times New Roman" w:cs="Times New Roman"/>
                <w:b w:val="0"/>
                <w:color w:val="000000"/>
                <w:sz w:val="24"/>
                <w:szCs w:val="24"/>
              </w:rPr>
              <w:t>Índices elaborados pelas bolsas</w:t>
            </w:r>
          </w:p>
        </w:tc>
        <w:tc>
          <w:tcPr>
            <w:tcW w:w="2835" w:type="dxa"/>
          </w:tcPr>
          <w:p w:rsidR="006A1557" w:rsidRPr="001D52CD" w:rsidRDefault="006A1557" w:rsidP="00CF698F">
            <w:pPr>
              <w:autoSpaceDE w:val="0"/>
              <w:autoSpaceDN w:val="0"/>
              <w:adjustRightInd w:val="0"/>
              <w:jc w:val="center"/>
              <w:cnfStyle w:val="000000100000"/>
              <w:rPr>
                <w:rFonts w:ascii="Times New Roman" w:hAnsi="Times New Roman" w:cs="Times New Roman"/>
                <w:sz w:val="24"/>
                <w:szCs w:val="24"/>
              </w:rPr>
            </w:pPr>
            <w:r w:rsidRPr="001D52CD">
              <w:rPr>
                <w:rFonts w:ascii="Times New Roman" w:hAnsi="Times New Roman" w:cs="Times New Roman"/>
                <w:sz w:val="24"/>
                <w:szCs w:val="24"/>
              </w:rPr>
              <w:t>Indefinido</w:t>
            </w:r>
          </w:p>
        </w:tc>
        <w:tc>
          <w:tcPr>
            <w:tcW w:w="2268" w:type="dxa"/>
          </w:tcPr>
          <w:p w:rsidR="006A1557" w:rsidRPr="001D52CD" w:rsidRDefault="006A1557" w:rsidP="00CF698F">
            <w:pPr>
              <w:autoSpaceDE w:val="0"/>
              <w:autoSpaceDN w:val="0"/>
              <w:adjustRightInd w:val="0"/>
              <w:jc w:val="center"/>
              <w:cnfStyle w:val="000000100000"/>
              <w:rPr>
                <w:rFonts w:ascii="Times New Roman" w:hAnsi="Times New Roman" w:cs="Times New Roman"/>
                <w:sz w:val="24"/>
                <w:szCs w:val="24"/>
              </w:rPr>
            </w:pPr>
            <w:r w:rsidRPr="001D52CD">
              <w:rPr>
                <w:rFonts w:ascii="Times New Roman" w:hAnsi="Times New Roman" w:cs="Times New Roman"/>
                <w:sz w:val="24"/>
                <w:szCs w:val="24"/>
              </w:rPr>
              <w:t>Indefinido</w:t>
            </w:r>
          </w:p>
        </w:tc>
      </w:tr>
      <w:tr w:rsidR="006A1557" w:rsidTr="00CF698F">
        <w:tc>
          <w:tcPr>
            <w:cnfStyle w:val="001000000000"/>
            <w:tcW w:w="4644" w:type="dxa"/>
          </w:tcPr>
          <w:p w:rsidR="006A1557" w:rsidRPr="004A42F6" w:rsidRDefault="006A1557" w:rsidP="00CF698F">
            <w:pPr>
              <w:jc w:val="center"/>
              <w:rPr>
                <w:rFonts w:ascii="Times New Roman" w:hAnsi="Times New Roman" w:cs="Times New Roman"/>
                <w:b w:val="0"/>
                <w:color w:val="000000"/>
                <w:sz w:val="24"/>
                <w:szCs w:val="24"/>
              </w:rPr>
            </w:pPr>
            <w:r w:rsidRPr="004A42F6">
              <w:rPr>
                <w:rFonts w:ascii="Times New Roman" w:hAnsi="Times New Roman" w:cs="Times New Roman"/>
                <w:b w:val="0"/>
                <w:color w:val="000000"/>
                <w:sz w:val="24"/>
                <w:szCs w:val="24"/>
              </w:rPr>
              <w:t>Relatório governamental</w:t>
            </w:r>
          </w:p>
        </w:tc>
        <w:tc>
          <w:tcPr>
            <w:tcW w:w="2835" w:type="dxa"/>
          </w:tcPr>
          <w:p w:rsidR="006A1557" w:rsidRPr="001D52CD" w:rsidRDefault="006A1557" w:rsidP="00CF698F">
            <w:pPr>
              <w:autoSpaceDE w:val="0"/>
              <w:autoSpaceDN w:val="0"/>
              <w:adjustRightInd w:val="0"/>
              <w:jc w:val="center"/>
              <w:cnfStyle w:val="000000000000"/>
              <w:rPr>
                <w:rFonts w:ascii="Times New Roman" w:hAnsi="Times New Roman" w:cs="Times New Roman"/>
                <w:sz w:val="24"/>
                <w:szCs w:val="24"/>
              </w:rPr>
            </w:pPr>
            <w:r w:rsidRPr="001D52CD">
              <w:rPr>
                <w:rFonts w:ascii="Times New Roman" w:hAnsi="Times New Roman" w:cs="Times New Roman"/>
                <w:sz w:val="24"/>
                <w:szCs w:val="24"/>
              </w:rPr>
              <w:t>Quanto maior</w:t>
            </w:r>
          </w:p>
        </w:tc>
        <w:tc>
          <w:tcPr>
            <w:tcW w:w="2268" w:type="dxa"/>
          </w:tcPr>
          <w:p w:rsidR="006A1557" w:rsidRPr="001D52CD" w:rsidRDefault="006A1557" w:rsidP="00CF698F">
            <w:pPr>
              <w:autoSpaceDE w:val="0"/>
              <w:autoSpaceDN w:val="0"/>
              <w:adjustRightInd w:val="0"/>
              <w:jc w:val="center"/>
              <w:cnfStyle w:val="000000000000"/>
              <w:rPr>
                <w:rFonts w:ascii="Times New Roman" w:hAnsi="Times New Roman" w:cs="Times New Roman"/>
                <w:sz w:val="24"/>
                <w:szCs w:val="24"/>
              </w:rPr>
            </w:pPr>
            <w:r w:rsidRPr="001D52CD">
              <w:rPr>
                <w:rFonts w:ascii="Times New Roman" w:hAnsi="Times New Roman" w:cs="Times New Roman"/>
                <w:sz w:val="24"/>
                <w:szCs w:val="24"/>
              </w:rPr>
              <w:t>Menor</w:t>
            </w:r>
          </w:p>
        </w:tc>
      </w:tr>
      <w:tr w:rsidR="006A1557" w:rsidTr="00CF698F">
        <w:trPr>
          <w:cnfStyle w:val="000000100000"/>
        </w:trPr>
        <w:tc>
          <w:tcPr>
            <w:cnfStyle w:val="001000000000"/>
            <w:tcW w:w="4644" w:type="dxa"/>
            <w:tcBorders>
              <w:bottom w:val="single" w:sz="8" w:space="0" w:color="000000" w:themeColor="text1"/>
            </w:tcBorders>
          </w:tcPr>
          <w:p w:rsidR="006A1557" w:rsidRPr="004A42F6" w:rsidRDefault="006A1557" w:rsidP="00CF698F">
            <w:pPr>
              <w:jc w:val="center"/>
              <w:rPr>
                <w:rFonts w:ascii="Times New Roman" w:hAnsi="Times New Roman" w:cs="Times New Roman"/>
                <w:b w:val="0"/>
                <w:color w:val="000000"/>
                <w:sz w:val="24"/>
                <w:szCs w:val="24"/>
              </w:rPr>
            </w:pPr>
            <w:r w:rsidRPr="004A42F6">
              <w:rPr>
                <w:rFonts w:ascii="Times New Roman" w:hAnsi="Times New Roman" w:cs="Times New Roman"/>
                <w:b w:val="0"/>
                <w:color w:val="000000"/>
                <w:sz w:val="24"/>
                <w:szCs w:val="24"/>
              </w:rPr>
              <w:t>A sazonalidade do produto</w:t>
            </w:r>
          </w:p>
        </w:tc>
        <w:tc>
          <w:tcPr>
            <w:tcW w:w="2835" w:type="dxa"/>
            <w:tcBorders>
              <w:bottom w:val="single" w:sz="8" w:space="0" w:color="000000" w:themeColor="text1"/>
            </w:tcBorders>
          </w:tcPr>
          <w:p w:rsidR="006A1557" w:rsidRPr="001D52CD" w:rsidRDefault="006A1557" w:rsidP="00CF698F">
            <w:pPr>
              <w:autoSpaceDE w:val="0"/>
              <w:autoSpaceDN w:val="0"/>
              <w:adjustRightInd w:val="0"/>
              <w:jc w:val="center"/>
              <w:cnfStyle w:val="000000100000"/>
              <w:rPr>
                <w:rFonts w:ascii="Times New Roman" w:hAnsi="Times New Roman" w:cs="Times New Roman"/>
                <w:sz w:val="24"/>
                <w:szCs w:val="24"/>
              </w:rPr>
            </w:pPr>
            <w:r w:rsidRPr="001D52CD">
              <w:rPr>
                <w:rFonts w:ascii="Times New Roman" w:hAnsi="Times New Roman" w:cs="Times New Roman"/>
                <w:sz w:val="24"/>
                <w:szCs w:val="24"/>
              </w:rPr>
              <w:t>Quanto maior</w:t>
            </w:r>
          </w:p>
        </w:tc>
        <w:tc>
          <w:tcPr>
            <w:tcW w:w="2268" w:type="dxa"/>
            <w:tcBorders>
              <w:bottom w:val="single" w:sz="8" w:space="0" w:color="000000" w:themeColor="text1"/>
            </w:tcBorders>
          </w:tcPr>
          <w:p w:rsidR="006A1557" w:rsidRPr="001D52CD" w:rsidRDefault="006A1557" w:rsidP="00CF698F">
            <w:pPr>
              <w:autoSpaceDE w:val="0"/>
              <w:autoSpaceDN w:val="0"/>
              <w:adjustRightInd w:val="0"/>
              <w:jc w:val="center"/>
              <w:cnfStyle w:val="000000100000"/>
              <w:rPr>
                <w:rFonts w:ascii="Times New Roman" w:hAnsi="Times New Roman" w:cs="Times New Roman"/>
                <w:sz w:val="24"/>
                <w:szCs w:val="24"/>
              </w:rPr>
            </w:pPr>
            <w:r w:rsidRPr="001D52CD">
              <w:rPr>
                <w:rFonts w:ascii="Times New Roman" w:hAnsi="Times New Roman" w:cs="Times New Roman"/>
                <w:sz w:val="24"/>
                <w:szCs w:val="24"/>
              </w:rPr>
              <w:t>Menor</w:t>
            </w:r>
          </w:p>
        </w:tc>
      </w:tr>
    </w:tbl>
    <w:p w:rsidR="006A1557" w:rsidRPr="002470D3" w:rsidRDefault="006A1557" w:rsidP="006A1557">
      <w:pPr>
        <w:autoSpaceDE w:val="0"/>
        <w:autoSpaceDN w:val="0"/>
        <w:adjustRightInd w:val="0"/>
        <w:spacing w:after="0" w:line="240" w:lineRule="auto"/>
        <w:jc w:val="both"/>
        <w:rPr>
          <w:rFonts w:ascii="Times New Roman" w:hAnsi="Times New Roman" w:cs="Times New Roman"/>
          <w:iCs/>
          <w:color w:val="000000"/>
          <w:sz w:val="24"/>
          <w:szCs w:val="24"/>
          <w:lang w:val="en-US"/>
        </w:rPr>
      </w:pPr>
      <w:r w:rsidRPr="004A42F6">
        <w:rPr>
          <w:rFonts w:ascii="Times New Roman" w:hAnsi="Times New Roman" w:cs="Times New Roman"/>
          <w:sz w:val="24"/>
          <w:szCs w:val="24"/>
        </w:rPr>
        <w:t xml:space="preserve">Fonte: </w:t>
      </w:r>
      <w:r w:rsidRPr="004A42F6">
        <w:rPr>
          <w:rFonts w:ascii="Times New Roman" w:hAnsi="Times New Roman" w:cs="Times New Roman"/>
          <w:sz w:val="24"/>
          <w:szCs w:val="24"/>
        </w:rPr>
        <w:tab/>
        <w:t xml:space="preserve">Elaborado pelo autor com base nos trabalhos de: </w:t>
      </w:r>
      <w:proofErr w:type="spellStart"/>
      <w:r w:rsidRPr="004A42F6">
        <w:rPr>
          <w:rFonts w:ascii="Times New Roman" w:hAnsi="Times New Roman" w:cs="Times New Roman"/>
          <w:sz w:val="24"/>
          <w:szCs w:val="24"/>
        </w:rPr>
        <w:t>Demsetz</w:t>
      </w:r>
      <w:proofErr w:type="spellEnd"/>
      <w:r w:rsidRPr="004A42F6">
        <w:rPr>
          <w:rFonts w:ascii="Times New Roman" w:hAnsi="Times New Roman" w:cs="Times New Roman"/>
          <w:sz w:val="24"/>
          <w:szCs w:val="24"/>
        </w:rPr>
        <w:t xml:space="preserve"> (1968), </w:t>
      </w:r>
      <w:r w:rsidRPr="004A42F6">
        <w:rPr>
          <w:rFonts w:ascii="Times New Roman" w:hAnsi="Times New Roman" w:cs="Times New Roman"/>
          <w:iCs/>
          <w:color w:val="000000"/>
          <w:sz w:val="24"/>
          <w:szCs w:val="24"/>
        </w:rPr>
        <w:t xml:space="preserve">Thompson </w:t>
      </w:r>
      <w:proofErr w:type="spellStart"/>
      <w:proofErr w:type="gramStart"/>
      <w:r w:rsidRPr="004A42F6">
        <w:rPr>
          <w:rFonts w:ascii="Times New Roman" w:hAnsi="Times New Roman" w:cs="Times New Roman"/>
          <w:i/>
          <w:iCs/>
          <w:color w:val="000000"/>
          <w:sz w:val="24"/>
          <w:szCs w:val="24"/>
        </w:rPr>
        <w:t>et</w:t>
      </w:r>
      <w:proofErr w:type="spellEnd"/>
      <w:proofErr w:type="gramEnd"/>
      <w:r w:rsidRPr="004A42F6">
        <w:rPr>
          <w:rFonts w:ascii="Times New Roman" w:hAnsi="Times New Roman" w:cs="Times New Roman"/>
          <w:i/>
          <w:iCs/>
          <w:color w:val="000000"/>
          <w:sz w:val="24"/>
          <w:szCs w:val="24"/>
        </w:rPr>
        <w:t xml:space="preserve"> al.</w:t>
      </w:r>
      <w:r w:rsidRPr="004A42F6">
        <w:rPr>
          <w:rFonts w:ascii="Times New Roman" w:hAnsi="Times New Roman" w:cs="Times New Roman"/>
          <w:iCs/>
          <w:color w:val="000000"/>
          <w:sz w:val="24"/>
          <w:szCs w:val="24"/>
        </w:rPr>
        <w:t xml:space="preserve"> </w:t>
      </w:r>
      <w:r w:rsidRPr="002470D3">
        <w:rPr>
          <w:rFonts w:ascii="Times New Roman" w:hAnsi="Times New Roman" w:cs="Times New Roman"/>
          <w:iCs/>
          <w:color w:val="000000"/>
          <w:sz w:val="24"/>
          <w:szCs w:val="24"/>
          <w:lang w:val="en-US"/>
        </w:rPr>
        <w:t xml:space="preserve">(1988), </w:t>
      </w:r>
      <w:r w:rsidRPr="002470D3">
        <w:rPr>
          <w:rFonts w:ascii="Times New Roman" w:hAnsi="Times New Roman" w:cs="Times New Roman"/>
          <w:sz w:val="24"/>
          <w:szCs w:val="24"/>
          <w:lang w:val="en-US"/>
        </w:rPr>
        <w:t xml:space="preserve">Thompson </w:t>
      </w:r>
      <w:r w:rsidRPr="002470D3">
        <w:rPr>
          <w:rFonts w:ascii="Times New Roman" w:hAnsi="Times New Roman" w:cs="Times New Roman"/>
          <w:i/>
          <w:sz w:val="24"/>
          <w:szCs w:val="24"/>
          <w:lang w:val="en-US"/>
        </w:rPr>
        <w:t>et al.</w:t>
      </w:r>
      <w:r w:rsidRPr="002470D3">
        <w:rPr>
          <w:rFonts w:ascii="Times New Roman" w:hAnsi="Times New Roman" w:cs="Times New Roman"/>
          <w:sz w:val="24"/>
          <w:szCs w:val="24"/>
          <w:lang w:val="en-US"/>
        </w:rPr>
        <w:t xml:space="preserve"> (1993), </w:t>
      </w:r>
      <w:r w:rsidRPr="002470D3">
        <w:rPr>
          <w:rFonts w:ascii="Times New Roman" w:hAnsi="Times New Roman" w:cs="Times New Roman"/>
          <w:iCs/>
          <w:color w:val="000000"/>
          <w:sz w:val="24"/>
          <w:szCs w:val="24"/>
          <w:lang w:val="en-US"/>
        </w:rPr>
        <w:t xml:space="preserve">Frank e Garcia (2010) e Wang </w:t>
      </w:r>
      <w:r w:rsidRPr="002470D3">
        <w:rPr>
          <w:rFonts w:ascii="Times New Roman" w:hAnsi="Times New Roman" w:cs="Times New Roman"/>
          <w:i/>
          <w:iCs/>
          <w:color w:val="000000"/>
          <w:sz w:val="24"/>
          <w:szCs w:val="24"/>
          <w:lang w:val="en-US"/>
        </w:rPr>
        <w:t>et al.</w:t>
      </w:r>
      <w:r w:rsidRPr="002470D3">
        <w:rPr>
          <w:rFonts w:ascii="Times New Roman" w:hAnsi="Times New Roman" w:cs="Times New Roman"/>
          <w:iCs/>
          <w:color w:val="000000"/>
          <w:sz w:val="24"/>
          <w:szCs w:val="24"/>
          <w:lang w:val="en-US"/>
        </w:rPr>
        <w:t xml:space="preserve"> (2012).</w:t>
      </w:r>
    </w:p>
    <w:p w:rsidR="00CF698F" w:rsidRPr="002470D3" w:rsidRDefault="00CF698F" w:rsidP="006A1557">
      <w:pPr>
        <w:autoSpaceDE w:val="0"/>
        <w:autoSpaceDN w:val="0"/>
        <w:adjustRightInd w:val="0"/>
        <w:spacing w:after="0" w:line="240" w:lineRule="auto"/>
        <w:ind w:firstLine="708"/>
        <w:jc w:val="both"/>
        <w:rPr>
          <w:rFonts w:ascii="Times New Roman" w:hAnsi="Times New Roman" w:cs="Times New Roman"/>
          <w:sz w:val="24"/>
          <w:szCs w:val="24"/>
          <w:highlight w:val="yellow"/>
          <w:lang w:val="en-US"/>
        </w:rPr>
      </w:pPr>
    </w:p>
    <w:p w:rsidR="006A1557" w:rsidRPr="004A42F6" w:rsidRDefault="006A1557" w:rsidP="006A1557">
      <w:pPr>
        <w:autoSpaceDE w:val="0"/>
        <w:autoSpaceDN w:val="0"/>
        <w:adjustRightInd w:val="0"/>
        <w:spacing w:after="0" w:line="240" w:lineRule="auto"/>
        <w:ind w:firstLine="708"/>
        <w:jc w:val="both"/>
        <w:rPr>
          <w:rFonts w:ascii="Times New Roman" w:hAnsi="Times New Roman" w:cs="Times New Roman"/>
          <w:sz w:val="24"/>
          <w:szCs w:val="24"/>
        </w:rPr>
      </w:pPr>
      <w:r w:rsidRPr="004A42F6">
        <w:rPr>
          <w:rFonts w:ascii="Times New Roman" w:hAnsi="Times New Roman" w:cs="Times New Roman"/>
          <w:sz w:val="24"/>
          <w:szCs w:val="24"/>
          <w:lang w:val="en-US"/>
        </w:rPr>
        <w:t xml:space="preserve">Para </w:t>
      </w:r>
      <w:proofErr w:type="spellStart"/>
      <w:r w:rsidRPr="004A42F6">
        <w:rPr>
          <w:rFonts w:ascii="Times New Roman" w:hAnsi="Times New Roman" w:cs="Times New Roman"/>
          <w:sz w:val="24"/>
          <w:szCs w:val="24"/>
          <w:lang w:val="en-US"/>
        </w:rPr>
        <w:t>Brorsen</w:t>
      </w:r>
      <w:proofErr w:type="spellEnd"/>
      <w:r w:rsidRPr="004A42F6">
        <w:rPr>
          <w:rFonts w:ascii="Times New Roman" w:hAnsi="Times New Roman" w:cs="Times New Roman"/>
          <w:sz w:val="24"/>
          <w:szCs w:val="24"/>
          <w:lang w:val="en-US"/>
        </w:rPr>
        <w:t xml:space="preserve"> e Freed, </w:t>
      </w:r>
      <w:proofErr w:type="spellStart"/>
      <w:r w:rsidRPr="004A42F6">
        <w:rPr>
          <w:rFonts w:ascii="Times New Roman" w:hAnsi="Times New Roman" w:cs="Times New Roman"/>
          <w:i/>
          <w:sz w:val="24"/>
          <w:szCs w:val="24"/>
          <w:lang w:val="en-US"/>
        </w:rPr>
        <w:t>apud</w:t>
      </w:r>
      <w:proofErr w:type="spellEnd"/>
      <w:r w:rsidRPr="004A42F6">
        <w:rPr>
          <w:rFonts w:ascii="Times New Roman" w:hAnsi="Times New Roman" w:cs="Times New Roman"/>
          <w:sz w:val="24"/>
          <w:szCs w:val="24"/>
          <w:lang w:val="en-US"/>
        </w:rPr>
        <w:t xml:space="preserve"> </w:t>
      </w:r>
      <w:r w:rsidRPr="004A42F6">
        <w:rPr>
          <w:rFonts w:ascii="Times New Roman" w:hAnsi="Times New Roman" w:cs="Times New Roman"/>
          <w:iCs/>
          <w:color w:val="000000"/>
          <w:sz w:val="24"/>
          <w:szCs w:val="24"/>
          <w:lang w:val="en-US"/>
        </w:rPr>
        <w:t xml:space="preserve">Thompson </w:t>
      </w:r>
      <w:r w:rsidRPr="004A42F6">
        <w:rPr>
          <w:rFonts w:ascii="Times New Roman" w:hAnsi="Times New Roman" w:cs="Times New Roman"/>
          <w:i/>
          <w:iCs/>
          <w:color w:val="000000"/>
          <w:sz w:val="24"/>
          <w:szCs w:val="24"/>
          <w:lang w:val="en-US"/>
        </w:rPr>
        <w:t>et al.</w:t>
      </w:r>
      <w:r w:rsidRPr="004A42F6">
        <w:rPr>
          <w:rFonts w:ascii="Times New Roman" w:hAnsi="Times New Roman" w:cs="Times New Roman"/>
          <w:iCs/>
          <w:color w:val="000000"/>
          <w:sz w:val="24"/>
          <w:szCs w:val="24"/>
          <w:lang w:val="en-US"/>
        </w:rPr>
        <w:t xml:space="preserve"> </w:t>
      </w:r>
      <w:r w:rsidRPr="004A42F6">
        <w:rPr>
          <w:rFonts w:ascii="Times New Roman" w:hAnsi="Times New Roman" w:cs="Times New Roman"/>
          <w:iCs/>
          <w:color w:val="000000"/>
          <w:sz w:val="24"/>
          <w:szCs w:val="24"/>
        </w:rPr>
        <w:t xml:space="preserve">(1988), a sazonalidade também pode interferir no custo de liquidez do mercado futuro, pois pode gerar novas informações, aumentando o risco do mercado e consequentemente o tamanho do </w:t>
      </w:r>
      <w:proofErr w:type="spellStart"/>
      <w:r w:rsidRPr="004A42F6">
        <w:rPr>
          <w:rFonts w:ascii="Times New Roman" w:hAnsi="Times New Roman" w:cs="Times New Roman"/>
          <w:i/>
          <w:iCs/>
          <w:color w:val="000000"/>
          <w:sz w:val="24"/>
          <w:szCs w:val="24"/>
        </w:rPr>
        <w:t>bid-ask</w:t>
      </w:r>
      <w:proofErr w:type="spellEnd"/>
      <w:r w:rsidRPr="004A42F6">
        <w:rPr>
          <w:rFonts w:ascii="Times New Roman" w:hAnsi="Times New Roman" w:cs="Times New Roman"/>
          <w:i/>
          <w:iCs/>
          <w:color w:val="000000"/>
          <w:sz w:val="24"/>
          <w:szCs w:val="24"/>
        </w:rPr>
        <w:t xml:space="preserve"> spread. </w:t>
      </w:r>
      <w:r w:rsidRPr="004A42F6">
        <w:rPr>
          <w:rFonts w:ascii="Times New Roman" w:hAnsi="Times New Roman" w:cs="Times New Roman"/>
          <w:sz w:val="24"/>
          <w:szCs w:val="24"/>
        </w:rPr>
        <w:t xml:space="preserve">Thompson </w:t>
      </w:r>
      <w:proofErr w:type="spellStart"/>
      <w:proofErr w:type="gramStart"/>
      <w:r w:rsidRPr="004A42F6">
        <w:rPr>
          <w:rFonts w:ascii="Times New Roman" w:hAnsi="Times New Roman" w:cs="Times New Roman"/>
          <w:i/>
          <w:sz w:val="24"/>
          <w:szCs w:val="24"/>
        </w:rPr>
        <w:t>et</w:t>
      </w:r>
      <w:proofErr w:type="spellEnd"/>
      <w:proofErr w:type="gramEnd"/>
      <w:r w:rsidRPr="004A42F6">
        <w:rPr>
          <w:rFonts w:ascii="Times New Roman" w:hAnsi="Times New Roman" w:cs="Times New Roman"/>
          <w:i/>
          <w:sz w:val="24"/>
          <w:szCs w:val="24"/>
        </w:rPr>
        <w:t xml:space="preserve"> al.</w:t>
      </w:r>
      <w:r w:rsidRPr="004A42F6">
        <w:rPr>
          <w:rFonts w:ascii="Times New Roman" w:hAnsi="Times New Roman" w:cs="Times New Roman"/>
          <w:sz w:val="24"/>
          <w:szCs w:val="24"/>
        </w:rPr>
        <w:t xml:space="preserve"> (1993) destacam também o mês do contrato negociado, uma vez que em alguns meses o contrato podem ser mais arriscados devido as expectativas do mercado. Por exemplo, os contratos futuros que expiram durante a estação de crescimento das plantas, podem ser particularmente não líquidos, devido </w:t>
      </w:r>
      <w:proofErr w:type="gramStart"/>
      <w:r w:rsidRPr="004A42F6">
        <w:rPr>
          <w:rFonts w:ascii="Times New Roman" w:hAnsi="Times New Roman" w:cs="Times New Roman"/>
          <w:sz w:val="24"/>
          <w:szCs w:val="24"/>
        </w:rPr>
        <w:t>a</w:t>
      </w:r>
      <w:proofErr w:type="gramEnd"/>
      <w:r w:rsidRPr="004A42F6">
        <w:rPr>
          <w:rFonts w:ascii="Times New Roman" w:hAnsi="Times New Roman" w:cs="Times New Roman"/>
          <w:sz w:val="24"/>
          <w:szCs w:val="24"/>
        </w:rPr>
        <w:t xml:space="preserve"> incerteza sobre o tamanho da nova safra.</w:t>
      </w:r>
    </w:p>
    <w:p w:rsidR="006A1557" w:rsidRPr="004A42F6" w:rsidRDefault="006A1557" w:rsidP="00CF698F">
      <w:pPr>
        <w:autoSpaceDE w:val="0"/>
        <w:autoSpaceDN w:val="0"/>
        <w:adjustRightInd w:val="0"/>
        <w:spacing w:after="0" w:line="240" w:lineRule="auto"/>
        <w:ind w:firstLine="708"/>
        <w:jc w:val="both"/>
        <w:rPr>
          <w:rFonts w:ascii="Times New Roman" w:hAnsi="Times New Roman" w:cs="Times New Roman"/>
          <w:iCs/>
          <w:color w:val="000000"/>
          <w:sz w:val="24"/>
          <w:szCs w:val="24"/>
        </w:rPr>
      </w:pPr>
      <w:r w:rsidRPr="004A42F6">
        <w:rPr>
          <w:rFonts w:ascii="Times New Roman" w:hAnsi="Times New Roman" w:cs="Times New Roman"/>
          <w:sz w:val="24"/>
          <w:szCs w:val="24"/>
          <w:lang w:val="en-US"/>
        </w:rPr>
        <w:t xml:space="preserve">Thompson </w:t>
      </w:r>
      <w:r w:rsidRPr="004A42F6">
        <w:rPr>
          <w:rFonts w:ascii="Times New Roman" w:hAnsi="Times New Roman" w:cs="Times New Roman"/>
          <w:i/>
          <w:sz w:val="24"/>
          <w:szCs w:val="24"/>
          <w:lang w:val="en-US"/>
        </w:rPr>
        <w:t>et al.</w:t>
      </w:r>
      <w:r w:rsidRPr="004A42F6">
        <w:rPr>
          <w:rFonts w:ascii="Times New Roman" w:hAnsi="Times New Roman" w:cs="Times New Roman"/>
          <w:sz w:val="24"/>
          <w:szCs w:val="24"/>
          <w:lang w:val="en-US"/>
        </w:rPr>
        <w:t xml:space="preserve"> (1988) e Thompson </w:t>
      </w:r>
      <w:r w:rsidRPr="004A42F6">
        <w:rPr>
          <w:rFonts w:ascii="Times New Roman" w:hAnsi="Times New Roman" w:cs="Times New Roman"/>
          <w:i/>
          <w:sz w:val="24"/>
          <w:szCs w:val="24"/>
          <w:lang w:val="en-US"/>
        </w:rPr>
        <w:t>et al.</w:t>
      </w:r>
      <w:r w:rsidRPr="004A42F6">
        <w:rPr>
          <w:rFonts w:ascii="Times New Roman" w:hAnsi="Times New Roman" w:cs="Times New Roman"/>
          <w:sz w:val="24"/>
          <w:szCs w:val="24"/>
          <w:lang w:val="en-US"/>
        </w:rPr>
        <w:t xml:space="preserve"> </w:t>
      </w:r>
      <w:r w:rsidRPr="004A42F6">
        <w:rPr>
          <w:rFonts w:ascii="Times New Roman" w:hAnsi="Times New Roman" w:cs="Times New Roman"/>
          <w:sz w:val="24"/>
          <w:szCs w:val="24"/>
        </w:rPr>
        <w:t xml:space="preserve">(1993) destacam também o tempo de maturação </w:t>
      </w:r>
      <w:proofErr w:type="gramStart"/>
      <w:r w:rsidRPr="004A42F6">
        <w:rPr>
          <w:rFonts w:ascii="Times New Roman" w:hAnsi="Times New Roman" w:cs="Times New Roman"/>
          <w:sz w:val="24"/>
          <w:szCs w:val="24"/>
        </w:rPr>
        <w:t>do</w:t>
      </w:r>
      <w:proofErr w:type="gramEnd"/>
      <w:r w:rsidRPr="004A42F6">
        <w:rPr>
          <w:rFonts w:ascii="Times New Roman" w:hAnsi="Times New Roman" w:cs="Times New Roman"/>
          <w:sz w:val="24"/>
          <w:szCs w:val="24"/>
        </w:rPr>
        <w:t xml:space="preserve"> contrato como sendo um dos determinantes do custo de liquidez. O contrato com vencimento muito distante pode apresentar maiores custos de liquidez, pois os participantes do mercado podem optar por ativos com vencimentos mais próximos. </w:t>
      </w:r>
      <w:r w:rsidR="00CF698F" w:rsidRPr="004A42F6">
        <w:rPr>
          <w:rFonts w:ascii="Times New Roman" w:hAnsi="Times New Roman" w:cs="Times New Roman"/>
          <w:sz w:val="24"/>
          <w:szCs w:val="24"/>
        </w:rPr>
        <w:t xml:space="preserve">Os autores também destacam que </w:t>
      </w:r>
      <w:r w:rsidRPr="004A42F6">
        <w:rPr>
          <w:rFonts w:ascii="Times New Roman" w:hAnsi="Times New Roman" w:cs="Times New Roman"/>
          <w:sz w:val="24"/>
          <w:szCs w:val="24"/>
        </w:rPr>
        <w:t xml:space="preserve">a concentração de contratos em uma bolsa específica pode ter </w:t>
      </w:r>
      <w:proofErr w:type="gramStart"/>
      <w:r w:rsidRPr="004A42F6">
        <w:rPr>
          <w:rFonts w:ascii="Times New Roman" w:hAnsi="Times New Roman" w:cs="Times New Roman"/>
          <w:sz w:val="24"/>
          <w:szCs w:val="24"/>
        </w:rPr>
        <w:t>forte impactos</w:t>
      </w:r>
      <w:proofErr w:type="gramEnd"/>
      <w:r w:rsidRPr="004A42F6">
        <w:rPr>
          <w:rFonts w:ascii="Times New Roman" w:hAnsi="Times New Roman" w:cs="Times New Roman"/>
          <w:sz w:val="24"/>
          <w:szCs w:val="24"/>
        </w:rPr>
        <w:t xml:space="preserve"> no custo de liquidez em outras bolsas, pois os contratos que tem opção de escolha de negociação em várias bolsas podem gerar concentração do volume de negociação em uma bolsa específica, o que acaba elevando o custo de liquidez nas demais bolsas</w:t>
      </w:r>
      <w:r w:rsidRPr="004A42F6">
        <w:rPr>
          <w:rStyle w:val="Refdenotaderodap"/>
          <w:rFonts w:ascii="Times New Roman" w:hAnsi="Times New Roman" w:cs="Times New Roman"/>
          <w:sz w:val="24"/>
          <w:szCs w:val="24"/>
        </w:rPr>
        <w:footnoteReference w:id="5"/>
      </w:r>
      <w:r w:rsidRPr="004A42F6">
        <w:rPr>
          <w:rFonts w:ascii="Times New Roman" w:hAnsi="Times New Roman" w:cs="Times New Roman"/>
          <w:sz w:val="24"/>
          <w:szCs w:val="24"/>
        </w:rPr>
        <w:t xml:space="preserve">. </w:t>
      </w:r>
    </w:p>
    <w:p w:rsidR="006A1557" w:rsidRPr="004A42F6" w:rsidRDefault="006A1557" w:rsidP="006A1557">
      <w:pPr>
        <w:autoSpaceDE w:val="0"/>
        <w:autoSpaceDN w:val="0"/>
        <w:adjustRightInd w:val="0"/>
        <w:spacing w:after="0" w:line="240" w:lineRule="auto"/>
        <w:ind w:firstLine="708"/>
        <w:jc w:val="both"/>
        <w:rPr>
          <w:rFonts w:ascii="Times New Roman" w:hAnsi="Times New Roman" w:cs="Times New Roman"/>
          <w:iCs/>
          <w:color w:val="000000"/>
          <w:sz w:val="24"/>
          <w:szCs w:val="24"/>
        </w:rPr>
      </w:pPr>
      <w:proofErr w:type="spellStart"/>
      <w:r w:rsidRPr="004A42F6">
        <w:rPr>
          <w:rFonts w:ascii="Times New Roman" w:hAnsi="Times New Roman" w:cs="Times New Roman"/>
          <w:iCs/>
          <w:color w:val="000000"/>
          <w:sz w:val="24"/>
          <w:szCs w:val="24"/>
        </w:rPr>
        <w:t>Wang</w:t>
      </w:r>
      <w:proofErr w:type="spellEnd"/>
      <w:r w:rsidRPr="004A42F6">
        <w:rPr>
          <w:rFonts w:ascii="Times New Roman" w:hAnsi="Times New Roman" w:cs="Times New Roman"/>
          <w:iCs/>
          <w:color w:val="000000"/>
          <w:sz w:val="24"/>
          <w:szCs w:val="24"/>
        </w:rPr>
        <w:t xml:space="preserve"> </w:t>
      </w:r>
      <w:proofErr w:type="spellStart"/>
      <w:proofErr w:type="gramStart"/>
      <w:r w:rsidRPr="004A42F6">
        <w:rPr>
          <w:rFonts w:ascii="Times New Roman" w:hAnsi="Times New Roman" w:cs="Times New Roman"/>
          <w:i/>
          <w:iCs/>
          <w:color w:val="000000"/>
          <w:sz w:val="24"/>
          <w:szCs w:val="24"/>
        </w:rPr>
        <w:t>et</w:t>
      </w:r>
      <w:proofErr w:type="spellEnd"/>
      <w:proofErr w:type="gramEnd"/>
      <w:r w:rsidRPr="004A42F6">
        <w:rPr>
          <w:rFonts w:ascii="Times New Roman" w:hAnsi="Times New Roman" w:cs="Times New Roman"/>
          <w:i/>
          <w:iCs/>
          <w:color w:val="000000"/>
          <w:sz w:val="24"/>
          <w:szCs w:val="24"/>
        </w:rPr>
        <w:t xml:space="preserve"> al.</w:t>
      </w:r>
      <w:r w:rsidRPr="004A42F6">
        <w:rPr>
          <w:rFonts w:ascii="Times New Roman" w:hAnsi="Times New Roman" w:cs="Times New Roman"/>
          <w:iCs/>
          <w:color w:val="000000"/>
          <w:sz w:val="24"/>
          <w:szCs w:val="24"/>
        </w:rPr>
        <w:t xml:space="preserve"> (2012) destacam que as datas dos relatórios governamentais de produção do derivativo, que disponibiliza mais informações e afeta o volume e a volatilidade dos negócios, pois criam expectativas quanto a comportamento de estoques, produção, e tendências dos preços da </w:t>
      </w:r>
      <w:r w:rsidRPr="004A42F6">
        <w:rPr>
          <w:rFonts w:ascii="Times New Roman" w:hAnsi="Times New Roman" w:cs="Times New Roman"/>
          <w:i/>
          <w:iCs/>
          <w:color w:val="000000"/>
          <w:sz w:val="24"/>
          <w:szCs w:val="24"/>
        </w:rPr>
        <w:t>commodity</w:t>
      </w:r>
      <w:r w:rsidRPr="004A42F6">
        <w:rPr>
          <w:rFonts w:ascii="Times New Roman" w:hAnsi="Times New Roman" w:cs="Times New Roman"/>
          <w:iCs/>
          <w:color w:val="000000"/>
          <w:sz w:val="24"/>
          <w:szCs w:val="24"/>
        </w:rPr>
        <w:t xml:space="preserve">, impactam no custo de liquidez do derivativo em mercados futuros. O autor também destaca os índices elaborados pelas bolsas, visto que quando as informações são boas, maiores são as probabilidades de contratos com posições longas, e assim, pode acontecer maior rolagem dos contratos. </w:t>
      </w:r>
    </w:p>
    <w:p w:rsidR="006A1557" w:rsidRPr="004A42F6" w:rsidRDefault="006A1557" w:rsidP="006A1557">
      <w:pPr>
        <w:autoSpaceDE w:val="0"/>
        <w:autoSpaceDN w:val="0"/>
        <w:adjustRightInd w:val="0"/>
        <w:spacing w:after="0" w:line="240" w:lineRule="auto"/>
        <w:ind w:firstLine="708"/>
        <w:jc w:val="both"/>
        <w:rPr>
          <w:rFonts w:ascii="Times New Roman" w:hAnsi="Times New Roman" w:cs="Times New Roman"/>
          <w:iCs/>
          <w:color w:val="000000"/>
          <w:sz w:val="24"/>
          <w:szCs w:val="24"/>
        </w:rPr>
      </w:pPr>
      <w:r w:rsidRPr="004A42F6">
        <w:rPr>
          <w:rFonts w:ascii="Times New Roman" w:hAnsi="Times New Roman" w:cs="Times New Roman"/>
          <w:iCs/>
          <w:color w:val="000000"/>
          <w:sz w:val="24"/>
          <w:szCs w:val="24"/>
        </w:rPr>
        <w:t xml:space="preserve">Outra abordagem citada por </w:t>
      </w:r>
      <w:proofErr w:type="spellStart"/>
      <w:r w:rsidRPr="004A42F6">
        <w:rPr>
          <w:rFonts w:ascii="Times New Roman" w:hAnsi="Times New Roman" w:cs="Times New Roman"/>
          <w:iCs/>
          <w:color w:val="000000"/>
          <w:sz w:val="24"/>
          <w:szCs w:val="24"/>
        </w:rPr>
        <w:t>Wang</w:t>
      </w:r>
      <w:proofErr w:type="spellEnd"/>
      <w:r w:rsidRPr="004A42F6">
        <w:rPr>
          <w:rFonts w:ascii="Times New Roman" w:hAnsi="Times New Roman" w:cs="Times New Roman"/>
          <w:iCs/>
          <w:color w:val="000000"/>
          <w:sz w:val="24"/>
          <w:szCs w:val="24"/>
        </w:rPr>
        <w:t xml:space="preserve"> </w:t>
      </w:r>
      <w:proofErr w:type="spellStart"/>
      <w:proofErr w:type="gramStart"/>
      <w:r w:rsidRPr="004A42F6">
        <w:rPr>
          <w:rFonts w:ascii="Times New Roman" w:hAnsi="Times New Roman" w:cs="Times New Roman"/>
          <w:i/>
          <w:iCs/>
          <w:color w:val="000000"/>
          <w:sz w:val="24"/>
          <w:szCs w:val="24"/>
        </w:rPr>
        <w:t>et</w:t>
      </w:r>
      <w:proofErr w:type="spellEnd"/>
      <w:proofErr w:type="gramEnd"/>
      <w:r w:rsidRPr="004A42F6">
        <w:rPr>
          <w:rFonts w:ascii="Times New Roman" w:hAnsi="Times New Roman" w:cs="Times New Roman"/>
          <w:i/>
          <w:iCs/>
          <w:color w:val="000000"/>
          <w:sz w:val="24"/>
          <w:szCs w:val="24"/>
        </w:rPr>
        <w:t xml:space="preserve"> al.</w:t>
      </w:r>
      <w:r w:rsidRPr="004A42F6">
        <w:rPr>
          <w:rFonts w:ascii="Times New Roman" w:hAnsi="Times New Roman" w:cs="Times New Roman"/>
          <w:iCs/>
          <w:color w:val="000000"/>
          <w:sz w:val="24"/>
          <w:szCs w:val="24"/>
        </w:rPr>
        <w:t xml:space="preserve"> (2012) são as tendências dos preços para alta ou para baixa, que pode mudar as expectativas dos participantes do mercado, e assim influenciar a liquidez de um contrato. Segundo Park e Irwin (2007), Park e Irwin (2010) </w:t>
      </w:r>
      <w:r w:rsidRPr="004A42F6">
        <w:rPr>
          <w:rFonts w:ascii="Times New Roman" w:hAnsi="Times New Roman" w:cs="Times New Roman"/>
          <w:i/>
          <w:iCs/>
          <w:color w:val="000000"/>
          <w:sz w:val="24"/>
          <w:szCs w:val="24"/>
        </w:rPr>
        <w:t>apud</w:t>
      </w:r>
      <w:r w:rsidRPr="004A42F6">
        <w:rPr>
          <w:rFonts w:ascii="Times New Roman" w:hAnsi="Times New Roman" w:cs="Times New Roman"/>
          <w:iCs/>
          <w:color w:val="000000"/>
          <w:sz w:val="24"/>
          <w:szCs w:val="24"/>
        </w:rPr>
        <w:t xml:space="preserve"> </w:t>
      </w:r>
      <w:proofErr w:type="spellStart"/>
      <w:r w:rsidRPr="004A42F6">
        <w:rPr>
          <w:rFonts w:ascii="Times New Roman" w:hAnsi="Times New Roman" w:cs="Times New Roman"/>
          <w:iCs/>
          <w:color w:val="000000"/>
          <w:sz w:val="24"/>
          <w:szCs w:val="24"/>
        </w:rPr>
        <w:t>Wang</w:t>
      </w:r>
      <w:proofErr w:type="spellEnd"/>
      <w:r w:rsidRPr="004A42F6">
        <w:rPr>
          <w:rFonts w:ascii="Times New Roman" w:hAnsi="Times New Roman" w:cs="Times New Roman"/>
          <w:iCs/>
          <w:color w:val="000000"/>
          <w:sz w:val="24"/>
          <w:szCs w:val="24"/>
        </w:rPr>
        <w:t xml:space="preserve"> </w:t>
      </w:r>
      <w:proofErr w:type="spellStart"/>
      <w:proofErr w:type="gramStart"/>
      <w:r w:rsidRPr="004A42F6">
        <w:rPr>
          <w:rFonts w:ascii="Times New Roman" w:hAnsi="Times New Roman" w:cs="Times New Roman"/>
          <w:i/>
          <w:iCs/>
          <w:color w:val="000000"/>
          <w:sz w:val="24"/>
          <w:szCs w:val="24"/>
        </w:rPr>
        <w:t>et</w:t>
      </w:r>
      <w:proofErr w:type="spellEnd"/>
      <w:proofErr w:type="gramEnd"/>
      <w:r w:rsidRPr="004A42F6">
        <w:rPr>
          <w:rFonts w:ascii="Times New Roman" w:hAnsi="Times New Roman" w:cs="Times New Roman"/>
          <w:i/>
          <w:iCs/>
          <w:color w:val="000000"/>
          <w:sz w:val="24"/>
          <w:szCs w:val="24"/>
        </w:rPr>
        <w:t xml:space="preserve"> al.</w:t>
      </w:r>
      <w:r w:rsidRPr="004A42F6">
        <w:rPr>
          <w:rFonts w:ascii="Times New Roman" w:hAnsi="Times New Roman" w:cs="Times New Roman"/>
          <w:iCs/>
          <w:color w:val="000000"/>
          <w:sz w:val="24"/>
          <w:szCs w:val="24"/>
        </w:rPr>
        <w:t xml:space="preserve"> (2012), uma parte importante do volume em mercados futuros são conduzidos por estratégias </w:t>
      </w:r>
      <w:r w:rsidRPr="004A42F6">
        <w:rPr>
          <w:rFonts w:ascii="Times New Roman" w:hAnsi="Times New Roman" w:cs="Times New Roman"/>
          <w:iCs/>
          <w:color w:val="000000"/>
          <w:sz w:val="24"/>
          <w:szCs w:val="24"/>
        </w:rPr>
        <w:lastRenderedPageBreak/>
        <w:t>técnicas de negociação que muitas vezes são baseadas em tendências sobre os preços, tornando assim uma variável importante para os determinantes do custo de liquidez.</w:t>
      </w:r>
    </w:p>
    <w:p w:rsidR="006A1557" w:rsidRDefault="006A1557" w:rsidP="006A1557">
      <w:pPr>
        <w:autoSpaceDE w:val="0"/>
        <w:autoSpaceDN w:val="0"/>
        <w:adjustRightInd w:val="0"/>
        <w:spacing w:after="0" w:line="240" w:lineRule="auto"/>
        <w:ind w:firstLine="708"/>
        <w:jc w:val="both"/>
        <w:rPr>
          <w:rFonts w:ascii="Times New Roman" w:hAnsi="Times New Roman" w:cs="Times New Roman"/>
          <w:iCs/>
          <w:color w:val="000000"/>
          <w:sz w:val="24"/>
          <w:szCs w:val="24"/>
        </w:rPr>
      </w:pPr>
      <w:r w:rsidRPr="004A42F6">
        <w:rPr>
          <w:rFonts w:ascii="Times New Roman" w:hAnsi="Times New Roman" w:cs="Times New Roman"/>
          <w:iCs/>
          <w:color w:val="000000"/>
          <w:sz w:val="24"/>
          <w:szCs w:val="24"/>
        </w:rPr>
        <w:t>Para Frank e Garcia (2010) os dias da semana também podem influenciar os custos de liquidez em mercados futuros, devido às expectativas do mercado, pois em seu trabalho foi detectado que no início da semana os custos de liquidez foram menores, devido a maiores negociações registradas.</w:t>
      </w:r>
    </w:p>
    <w:p w:rsidR="002470D3" w:rsidRDefault="002470D3" w:rsidP="006A1557">
      <w:pPr>
        <w:autoSpaceDE w:val="0"/>
        <w:autoSpaceDN w:val="0"/>
        <w:adjustRightInd w:val="0"/>
        <w:spacing w:after="0" w:line="240" w:lineRule="auto"/>
        <w:ind w:firstLine="708"/>
        <w:jc w:val="both"/>
        <w:rPr>
          <w:rFonts w:ascii="Times New Roman" w:hAnsi="Times New Roman" w:cs="Times New Roman"/>
          <w:iCs/>
          <w:color w:val="000000"/>
          <w:sz w:val="24"/>
          <w:szCs w:val="24"/>
        </w:rPr>
      </w:pPr>
    </w:p>
    <w:p w:rsidR="00D422E8" w:rsidRPr="00D71CD1" w:rsidRDefault="00D71CD1" w:rsidP="00F02656">
      <w:pPr>
        <w:pStyle w:val="PargrafodaLista"/>
        <w:numPr>
          <w:ilvl w:val="0"/>
          <w:numId w:val="3"/>
        </w:numPr>
        <w:spacing w:before="240" w:after="120" w:line="240" w:lineRule="auto"/>
        <w:jc w:val="both"/>
        <w:rPr>
          <w:rFonts w:ascii="Times New Roman" w:hAnsi="Times New Roman" w:cs="Times New Roman"/>
          <w:b/>
          <w:sz w:val="24"/>
          <w:szCs w:val="24"/>
        </w:rPr>
      </w:pPr>
      <w:r w:rsidRPr="00D71CD1">
        <w:rPr>
          <w:rFonts w:ascii="Times New Roman" w:hAnsi="Times New Roman" w:cs="Times New Roman"/>
          <w:b/>
          <w:sz w:val="24"/>
          <w:szCs w:val="24"/>
        </w:rPr>
        <w:t>METODOLOGIA</w:t>
      </w:r>
    </w:p>
    <w:p w:rsidR="00D71CD1" w:rsidRDefault="00D71CD1" w:rsidP="00D71CD1">
      <w:pPr>
        <w:spacing w:after="0" w:line="240" w:lineRule="auto"/>
        <w:ind w:left="720"/>
        <w:jc w:val="both"/>
        <w:rPr>
          <w:rFonts w:ascii="Times New Roman" w:hAnsi="Times New Roman" w:cs="Times New Roman"/>
          <w:sz w:val="24"/>
          <w:szCs w:val="24"/>
        </w:rPr>
      </w:pPr>
    </w:p>
    <w:p w:rsidR="00D71CD1" w:rsidRPr="00560FFC" w:rsidRDefault="00D71CD1" w:rsidP="002470D3">
      <w:pPr>
        <w:pStyle w:val="PargrafodaLista"/>
        <w:numPr>
          <w:ilvl w:val="1"/>
          <w:numId w:val="1"/>
        </w:numPr>
        <w:autoSpaceDE w:val="0"/>
        <w:autoSpaceDN w:val="0"/>
        <w:adjustRightInd w:val="0"/>
        <w:spacing w:after="0" w:line="360" w:lineRule="auto"/>
        <w:jc w:val="both"/>
        <w:rPr>
          <w:rFonts w:ascii="Times New Roman" w:eastAsiaTheme="majorEastAsia" w:hAnsi="Times New Roman" w:cs="Times New Roman"/>
          <w:b/>
          <w:bCs/>
          <w:sz w:val="24"/>
          <w:szCs w:val="24"/>
        </w:rPr>
      </w:pPr>
      <w:bookmarkStart w:id="3" w:name="_Toc360001428"/>
      <w:r w:rsidRPr="00E37EA8">
        <w:rPr>
          <w:rStyle w:val="Ttulo2Char"/>
          <w:rFonts w:ascii="Times New Roman" w:hAnsi="Times New Roman" w:cs="Times New Roman"/>
          <w:color w:val="auto"/>
          <w:sz w:val="24"/>
          <w:szCs w:val="24"/>
        </w:rPr>
        <w:t>M</w:t>
      </w:r>
      <w:r>
        <w:rPr>
          <w:rStyle w:val="Ttulo2Char"/>
          <w:rFonts w:ascii="Times New Roman" w:hAnsi="Times New Roman" w:cs="Times New Roman"/>
          <w:color w:val="auto"/>
          <w:sz w:val="24"/>
          <w:szCs w:val="24"/>
        </w:rPr>
        <w:t>étodos de m</w:t>
      </w:r>
      <w:r w:rsidRPr="00E37EA8">
        <w:rPr>
          <w:rStyle w:val="Ttulo2Char"/>
          <w:rFonts w:ascii="Times New Roman" w:hAnsi="Times New Roman" w:cs="Times New Roman"/>
          <w:color w:val="auto"/>
          <w:sz w:val="24"/>
          <w:szCs w:val="24"/>
        </w:rPr>
        <w:t>ensuração</w:t>
      </w:r>
      <w:r>
        <w:rPr>
          <w:rStyle w:val="Ttulo2Char"/>
          <w:rFonts w:ascii="Times New Roman" w:hAnsi="Times New Roman" w:cs="Times New Roman"/>
          <w:color w:val="auto"/>
          <w:sz w:val="24"/>
          <w:szCs w:val="24"/>
        </w:rPr>
        <w:t xml:space="preserve"> do custo de liquidez em mercado futuro</w:t>
      </w:r>
      <w:bookmarkEnd w:id="3"/>
    </w:p>
    <w:p w:rsidR="00D71CD1" w:rsidRDefault="00D71CD1" w:rsidP="00D71CD1">
      <w:pPr>
        <w:spacing w:after="0" w:line="240" w:lineRule="auto"/>
        <w:ind w:firstLine="708"/>
        <w:jc w:val="both"/>
        <w:rPr>
          <w:rFonts w:ascii="Times New Roman" w:hAnsi="Times New Roman" w:cs="Times New Roman"/>
          <w:sz w:val="24"/>
          <w:szCs w:val="24"/>
        </w:rPr>
      </w:pPr>
    </w:p>
    <w:p w:rsidR="00D422E8" w:rsidRPr="00D71CD1" w:rsidRDefault="00446895" w:rsidP="00D71CD1">
      <w:pPr>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Para desenvolver uma melhor compreensão da relação entre os custos de liquidez e seus determinantes, usamos como estimadores da </w:t>
      </w:r>
      <w:proofErr w:type="spellStart"/>
      <w:proofErr w:type="gramStart"/>
      <w:r w:rsidRPr="00D71CD1">
        <w:rPr>
          <w:rFonts w:ascii="Times New Roman" w:hAnsi="Times New Roman" w:cs="Times New Roman"/>
          <w:sz w:val="24"/>
          <w:szCs w:val="24"/>
        </w:rPr>
        <w:t>proxy</w:t>
      </w:r>
      <w:proofErr w:type="spellEnd"/>
      <w:proofErr w:type="gramEnd"/>
      <w:r w:rsidRPr="00D71CD1">
        <w:rPr>
          <w:rFonts w:ascii="Times New Roman" w:hAnsi="Times New Roman" w:cs="Times New Roman"/>
          <w:sz w:val="24"/>
          <w:szCs w:val="24"/>
        </w:rPr>
        <w:t xml:space="preserve"> do custo de liquidez o </w:t>
      </w:r>
      <w:proofErr w:type="spellStart"/>
      <w:r w:rsidRPr="00D71CD1">
        <w:rPr>
          <w:rFonts w:ascii="Times New Roman" w:hAnsi="Times New Roman" w:cs="Times New Roman"/>
          <w:i/>
          <w:sz w:val="24"/>
          <w:szCs w:val="24"/>
        </w:rPr>
        <w:t>bid-ask</w:t>
      </w:r>
      <w:proofErr w:type="spellEnd"/>
      <w:r w:rsidRPr="00D71CD1">
        <w:rPr>
          <w:rFonts w:ascii="Times New Roman" w:hAnsi="Times New Roman" w:cs="Times New Roman"/>
          <w:i/>
          <w:sz w:val="24"/>
          <w:szCs w:val="24"/>
        </w:rPr>
        <w:t xml:space="preserve"> spread</w:t>
      </w:r>
      <w:r w:rsidR="009378EF" w:rsidRPr="00D71CD1">
        <w:rPr>
          <w:rFonts w:ascii="Times New Roman" w:hAnsi="Times New Roman" w:cs="Times New Roman"/>
          <w:sz w:val="24"/>
          <w:szCs w:val="24"/>
        </w:rPr>
        <w:t xml:space="preserve">. </w:t>
      </w:r>
      <w:r w:rsidR="00D422E8" w:rsidRPr="00D71CD1">
        <w:rPr>
          <w:rFonts w:ascii="Times New Roman" w:hAnsi="Times New Roman" w:cs="Times New Roman"/>
          <w:sz w:val="24"/>
          <w:szCs w:val="24"/>
        </w:rPr>
        <w:t xml:space="preserve">O trabalho de </w:t>
      </w:r>
      <w:proofErr w:type="spellStart"/>
      <w:r w:rsidR="00D422E8" w:rsidRPr="00D71CD1">
        <w:rPr>
          <w:rFonts w:ascii="Times New Roman" w:hAnsi="Times New Roman" w:cs="Times New Roman"/>
          <w:sz w:val="24"/>
          <w:szCs w:val="24"/>
        </w:rPr>
        <w:t>Demsetz</w:t>
      </w:r>
      <w:proofErr w:type="spellEnd"/>
      <w:r w:rsidR="00D422E8" w:rsidRPr="00D71CD1">
        <w:rPr>
          <w:rFonts w:ascii="Times New Roman" w:hAnsi="Times New Roman" w:cs="Times New Roman"/>
          <w:sz w:val="24"/>
          <w:szCs w:val="24"/>
        </w:rPr>
        <w:t xml:space="preserve"> (1968) definiu o </w:t>
      </w:r>
      <w:proofErr w:type="spellStart"/>
      <w:proofErr w:type="gramStart"/>
      <w:r w:rsidR="00D422E8" w:rsidRPr="00D71CD1">
        <w:rPr>
          <w:rFonts w:ascii="Times New Roman" w:eastAsia="Calibri" w:hAnsi="Times New Roman" w:cs="Times New Roman"/>
          <w:i/>
          <w:sz w:val="24"/>
          <w:szCs w:val="24"/>
        </w:rPr>
        <w:t>bid</w:t>
      </w:r>
      <w:proofErr w:type="gramEnd"/>
      <w:r w:rsidR="00D422E8" w:rsidRPr="00D71CD1">
        <w:rPr>
          <w:rFonts w:ascii="Times New Roman" w:eastAsia="Calibri" w:hAnsi="Times New Roman" w:cs="Times New Roman"/>
          <w:i/>
          <w:sz w:val="24"/>
          <w:szCs w:val="24"/>
        </w:rPr>
        <w:t>-ask</w:t>
      </w:r>
      <w:proofErr w:type="spellEnd"/>
      <w:r w:rsidR="00D422E8" w:rsidRPr="00D71CD1">
        <w:rPr>
          <w:rFonts w:ascii="Times New Roman" w:eastAsia="Calibri" w:hAnsi="Times New Roman" w:cs="Times New Roman"/>
          <w:i/>
          <w:sz w:val="24"/>
          <w:szCs w:val="24"/>
        </w:rPr>
        <w:t xml:space="preserve"> spread</w:t>
      </w:r>
      <w:r w:rsidR="00D422E8" w:rsidRPr="00D71CD1">
        <w:rPr>
          <w:rFonts w:ascii="Times New Roman" w:eastAsia="Calibri" w:hAnsi="Times New Roman" w:cs="Times New Roman"/>
          <w:sz w:val="24"/>
          <w:szCs w:val="24"/>
        </w:rPr>
        <w:t xml:space="preserve"> como sendo  a </w:t>
      </w:r>
      <w:r w:rsidR="00D422E8" w:rsidRPr="00D71CD1">
        <w:rPr>
          <w:rFonts w:ascii="Times New Roman" w:hAnsi="Times New Roman" w:cs="Times New Roman"/>
          <w:sz w:val="24"/>
          <w:szCs w:val="24"/>
        </w:rPr>
        <w:t>diferença entre a oferta de compra e a oferta de venda de um título, em intervalos muitos curtos, definidos como:</w:t>
      </w:r>
    </w:p>
    <w:p w:rsidR="00D422E8" w:rsidRPr="00D71CD1" w:rsidRDefault="00D422E8" w:rsidP="00D71CD1">
      <w:pPr>
        <w:pStyle w:val="Corpodetexto2"/>
        <w:spacing w:after="0" w:line="240" w:lineRule="auto"/>
        <w:ind w:firstLine="708"/>
        <w:jc w:val="both"/>
        <w:rPr>
          <w:rFonts w:ascii="Times New Roman" w:hAnsi="Times New Roman" w:cs="Times New Roman"/>
          <w:sz w:val="24"/>
          <w:szCs w:val="24"/>
        </w:rPr>
      </w:pPr>
    </w:p>
    <w:p w:rsidR="00D422E8" w:rsidRPr="00D71CD1" w:rsidRDefault="003F1166" w:rsidP="00D71CD1">
      <w:pPr>
        <w:pStyle w:val="Corpodetexto2"/>
        <w:spacing w:after="0" w:line="240" w:lineRule="auto"/>
        <w:ind w:firstLine="720"/>
        <w:jc w:val="both"/>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eastAsia="Calibri" w:hAnsi="Cambria Math" w:cs="Times New Roman"/>
                <w:sz w:val="24"/>
                <w:szCs w:val="24"/>
              </w:rPr>
              <m:t>Spread</m:t>
            </m:r>
          </m:e>
          <m:sub>
            <m:r>
              <w:rPr>
                <w:rFonts w:ascii="Cambria Math" w:hAnsi="Cambria Math" w:cs="Times New Roman"/>
                <w:sz w:val="24"/>
                <w:szCs w:val="24"/>
              </w:rPr>
              <m:t>t</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ask</m:t>
            </m:r>
          </m:e>
          <m:sub>
            <m:r>
              <w:rPr>
                <w:rFonts w:ascii="Cambria Math" w:hAnsi="Cambria Math" w:cs="Times New Roman"/>
                <w:sz w:val="24"/>
                <w:szCs w:val="24"/>
              </w:rPr>
              <m:t>t</m:t>
            </m:r>
          </m:sub>
        </m:sSub>
        <m:r>
          <w:rPr>
            <w:rFonts w:ascii="Times New Roman" w:hAnsi="Times New Roman" w:cs="Times New Roman"/>
            <w:sz w:val="24"/>
            <w:szCs w:val="24"/>
          </w:rPr>
          <m:t>-</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bid</m:t>
            </m:r>
          </m:e>
          <m:sub>
            <m:r>
              <w:rPr>
                <w:rFonts w:ascii="Cambria Math" w:hAnsi="Cambria Math" w:cs="Times New Roman"/>
                <w:sz w:val="24"/>
                <w:szCs w:val="24"/>
              </w:rPr>
              <m:t>t</m:t>
            </m:r>
          </m:sub>
        </m:sSub>
      </m:oMath>
      <w:r w:rsidR="00D422E8" w:rsidRPr="00D71CD1">
        <w:rPr>
          <w:rFonts w:ascii="Times New Roman" w:hAnsi="Times New Roman" w:cs="Times New Roman"/>
          <w:sz w:val="24"/>
          <w:szCs w:val="24"/>
        </w:rPr>
        <w:t xml:space="preserve">      </w:t>
      </w:r>
      <w:r w:rsidR="00D422E8" w:rsidRPr="00D71CD1">
        <w:rPr>
          <w:rFonts w:ascii="Times New Roman" w:hAnsi="Times New Roman" w:cs="Times New Roman"/>
          <w:sz w:val="24"/>
          <w:szCs w:val="24"/>
        </w:rPr>
        <w:tab/>
      </w:r>
      <w:r w:rsidR="00D422E8" w:rsidRPr="00D71CD1">
        <w:rPr>
          <w:rFonts w:ascii="Times New Roman" w:hAnsi="Times New Roman" w:cs="Times New Roman"/>
          <w:sz w:val="24"/>
          <w:szCs w:val="24"/>
        </w:rPr>
        <w:tab/>
        <w:t xml:space="preserve">  </w:t>
      </w:r>
      <w:r w:rsidR="00D422E8" w:rsidRPr="00D71CD1">
        <w:rPr>
          <w:rFonts w:ascii="Times New Roman" w:hAnsi="Times New Roman" w:cs="Times New Roman"/>
          <w:sz w:val="24"/>
          <w:szCs w:val="24"/>
        </w:rPr>
        <w:tab/>
        <w:t xml:space="preserve">   </w:t>
      </w:r>
      <w:r w:rsidR="00D422E8" w:rsidRPr="00D71CD1">
        <w:rPr>
          <w:rFonts w:ascii="Times New Roman" w:hAnsi="Times New Roman" w:cs="Times New Roman"/>
          <w:sz w:val="24"/>
          <w:szCs w:val="24"/>
        </w:rPr>
        <w:tab/>
        <w:t xml:space="preserve">    </w:t>
      </w:r>
      <w:r w:rsidR="00D422E8" w:rsidRPr="00D71CD1">
        <w:rPr>
          <w:rFonts w:ascii="Times New Roman" w:hAnsi="Times New Roman" w:cs="Times New Roman"/>
          <w:sz w:val="24"/>
          <w:szCs w:val="24"/>
        </w:rPr>
        <w:tab/>
        <w:t xml:space="preserve">                      </w:t>
      </w:r>
      <w:r w:rsidR="009378EF" w:rsidRPr="00D71CD1">
        <w:rPr>
          <w:rFonts w:ascii="Times New Roman" w:hAnsi="Times New Roman" w:cs="Times New Roman"/>
          <w:sz w:val="24"/>
          <w:szCs w:val="24"/>
        </w:rPr>
        <w:tab/>
      </w:r>
      <w:r w:rsidR="009378EF" w:rsidRPr="00D71CD1">
        <w:rPr>
          <w:rFonts w:ascii="Times New Roman" w:hAnsi="Times New Roman" w:cs="Times New Roman"/>
          <w:sz w:val="24"/>
          <w:szCs w:val="24"/>
        </w:rPr>
        <w:tab/>
      </w:r>
      <w:r w:rsidR="00D422E8" w:rsidRPr="00D71CD1">
        <w:rPr>
          <w:rFonts w:ascii="Times New Roman" w:hAnsi="Times New Roman" w:cs="Times New Roman"/>
          <w:sz w:val="24"/>
          <w:szCs w:val="24"/>
        </w:rPr>
        <w:t xml:space="preserve">    (1)</w:t>
      </w:r>
    </w:p>
    <w:p w:rsidR="00D422E8" w:rsidRPr="00D71CD1" w:rsidRDefault="00D422E8" w:rsidP="00D71CD1">
      <w:pPr>
        <w:pStyle w:val="Corpodetexto2"/>
        <w:spacing w:after="0" w:line="240" w:lineRule="auto"/>
        <w:ind w:firstLine="720"/>
        <w:jc w:val="both"/>
        <w:rPr>
          <w:rFonts w:ascii="Times New Roman" w:hAnsi="Times New Roman" w:cs="Times New Roman"/>
          <w:sz w:val="24"/>
          <w:szCs w:val="24"/>
        </w:rPr>
      </w:pPr>
    </w:p>
    <w:p w:rsidR="00D422E8" w:rsidRPr="00D71CD1" w:rsidRDefault="00D422E8" w:rsidP="00D71CD1">
      <w:pPr>
        <w:pStyle w:val="Corpodetexto2"/>
        <w:spacing w:after="0" w:line="240" w:lineRule="auto"/>
        <w:jc w:val="both"/>
        <w:rPr>
          <w:rFonts w:ascii="Times New Roman" w:hAnsi="Times New Roman" w:cs="Times New Roman"/>
          <w:sz w:val="24"/>
          <w:szCs w:val="24"/>
        </w:rPr>
      </w:pPr>
      <w:proofErr w:type="gramStart"/>
      <w:r w:rsidRPr="00D71CD1">
        <w:rPr>
          <w:rFonts w:ascii="Times New Roman" w:hAnsi="Times New Roman" w:cs="Times New Roman"/>
          <w:sz w:val="24"/>
          <w:szCs w:val="24"/>
        </w:rPr>
        <w:t>em</w:t>
      </w:r>
      <w:proofErr w:type="gramEnd"/>
      <w:r w:rsidRPr="00D71CD1">
        <w:rPr>
          <w:rFonts w:ascii="Times New Roman" w:hAnsi="Times New Roman" w:cs="Times New Roman"/>
          <w:sz w:val="24"/>
          <w:szCs w:val="24"/>
        </w:rPr>
        <w:t xml:space="preserve"> que: </w:t>
      </w:r>
    </w:p>
    <w:p w:rsidR="00D422E8" w:rsidRPr="00D71CD1" w:rsidRDefault="003F1166" w:rsidP="00D71CD1">
      <w:pPr>
        <w:pStyle w:val="Corpodetexto2"/>
        <w:spacing w:after="0" w:line="240" w:lineRule="auto"/>
        <w:jc w:val="both"/>
        <w:rPr>
          <w:rFonts w:ascii="Times New Roman" w:eastAsiaTheme="minorEastAsia" w:hAnsi="Times New Roman" w:cs="Times New Roman"/>
          <w:sz w:val="24"/>
          <w:szCs w:val="24"/>
        </w:rPr>
      </w:pPr>
      <m:oMath>
        <m:sSub>
          <m:sSubPr>
            <m:ctrlPr>
              <w:rPr>
                <w:rFonts w:ascii="Cambria Math" w:hAnsi="Times New Roman" w:cs="Times New Roman"/>
                <w:i/>
                <w:sz w:val="24"/>
                <w:szCs w:val="24"/>
              </w:rPr>
            </m:ctrlPr>
          </m:sSubPr>
          <m:e>
            <m:r>
              <w:rPr>
                <w:rFonts w:ascii="Cambria Math" w:eastAsia="Calibri" w:hAnsi="Cambria Math" w:cs="Times New Roman"/>
                <w:sz w:val="24"/>
                <w:szCs w:val="24"/>
              </w:rPr>
              <m:t>Spread</m:t>
            </m:r>
          </m:e>
          <m:sub>
            <m:r>
              <w:rPr>
                <w:rFonts w:ascii="Cambria Math" w:hAnsi="Cambria Math" w:cs="Times New Roman"/>
                <w:sz w:val="24"/>
                <w:szCs w:val="24"/>
              </w:rPr>
              <m:t>t</m:t>
            </m:r>
          </m:sub>
        </m:sSub>
        <m:r>
          <w:rPr>
            <w:rFonts w:ascii="Cambria Math" w:hAnsi="Times New Roman" w:cs="Times New Roman"/>
            <w:sz w:val="24"/>
            <w:szCs w:val="24"/>
          </w:rPr>
          <m:t xml:space="preserve"> </m:t>
        </m:r>
      </m:oMath>
      <w:r w:rsidR="00D422E8" w:rsidRPr="00D71CD1">
        <w:rPr>
          <w:rFonts w:ascii="Times New Roman" w:eastAsiaTheme="minorEastAsia" w:hAnsi="Times New Roman" w:cs="Times New Roman"/>
          <w:sz w:val="24"/>
          <w:szCs w:val="24"/>
        </w:rPr>
        <w:t>- é a diferença entre o preço de oferta de venda e oferta de compra no tempo t;</w:t>
      </w:r>
    </w:p>
    <w:p w:rsidR="00D422E8" w:rsidRPr="00D71CD1" w:rsidRDefault="003F1166" w:rsidP="00D71CD1">
      <w:pPr>
        <w:pStyle w:val="Corpodetexto2"/>
        <w:spacing w:after="0" w:line="240" w:lineRule="auto"/>
        <w:jc w:val="both"/>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Ask</m:t>
            </m:r>
          </m:e>
          <m:sub>
            <m:r>
              <w:rPr>
                <w:rFonts w:ascii="Cambria Math" w:hAnsi="Cambria Math" w:cs="Times New Roman"/>
                <w:sz w:val="24"/>
                <w:szCs w:val="24"/>
              </w:rPr>
              <m:t>t</m:t>
            </m:r>
          </m:sub>
        </m:sSub>
      </m:oMath>
      <w:r w:rsidR="00D422E8" w:rsidRPr="00D71CD1">
        <w:rPr>
          <w:rFonts w:ascii="Times New Roman" w:hAnsi="Times New Roman" w:cs="Times New Roman"/>
          <w:i/>
          <w:sz w:val="24"/>
          <w:szCs w:val="24"/>
        </w:rPr>
        <w:t xml:space="preserve"> - </w:t>
      </w:r>
      <w:r w:rsidR="00D422E8" w:rsidRPr="00D71CD1">
        <w:rPr>
          <w:rFonts w:ascii="Times New Roman" w:hAnsi="Times New Roman" w:cs="Times New Roman"/>
          <w:sz w:val="24"/>
          <w:szCs w:val="24"/>
        </w:rPr>
        <w:t>é o preço de oferta de venda no tempo t;</w:t>
      </w:r>
    </w:p>
    <w:p w:rsidR="00D422E8" w:rsidRPr="00D71CD1" w:rsidRDefault="003F1166" w:rsidP="00D71CD1">
      <w:pPr>
        <w:pStyle w:val="Corpodetexto2"/>
        <w:spacing w:after="0" w:line="240" w:lineRule="auto"/>
        <w:jc w:val="both"/>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Bid</m:t>
            </m:r>
          </m:e>
          <m:sub>
            <m:r>
              <w:rPr>
                <w:rFonts w:ascii="Cambria Math" w:hAnsi="Cambria Math" w:cs="Times New Roman"/>
                <w:sz w:val="24"/>
                <w:szCs w:val="24"/>
              </w:rPr>
              <m:t>t</m:t>
            </m:r>
          </m:sub>
        </m:sSub>
      </m:oMath>
      <w:r w:rsidR="00D422E8" w:rsidRPr="00D71CD1">
        <w:rPr>
          <w:rFonts w:ascii="Times New Roman" w:hAnsi="Times New Roman" w:cs="Times New Roman"/>
          <w:i/>
          <w:sz w:val="24"/>
          <w:szCs w:val="24"/>
        </w:rPr>
        <w:t xml:space="preserve"> - </w:t>
      </w:r>
      <w:r w:rsidR="00D422E8" w:rsidRPr="00D71CD1">
        <w:rPr>
          <w:rFonts w:ascii="Times New Roman" w:hAnsi="Times New Roman" w:cs="Times New Roman"/>
          <w:sz w:val="24"/>
          <w:szCs w:val="24"/>
        </w:rPr>
        <w:t>é o preço de oferta de compra no tempo t;</w:t>
      </w:r>
    </w:p>
    <w:p w:rsidR="00D422E8" w:rsidRPr="00D71CD1" w:rsidRDefault="00D422E8" w:rsidP="00D71CD1">
      <w:pPr>
        <w:pStyle w:val="Corpodetexto2"/>
        <w:spacing w:after="0" w:line="240" w:lineRule="auto"/>
        <w:ind w:left="708" w:firstLine="720"/>
        <w:jc w:val="both"/>
        <w:rPr>
          <w:rFonts w:ascii="Times New Roman" w:hAnsi="Times New Roman" w:cs="Times New Roman"/>
          <w:sz w:val="24"/>
          <w:szCs w:val="24"/>
        </w:rPr>
      </w:pPr>
    </w:p>
    <w:p w:rsidR="00D422E8" w:rsidRPr="00D71CD1" w:rsidRDefault="00D422E8" w:rsidP="00D71CD1">
      <w:pPr>
        <w:pStyle w:val="Corpodetexto2"/>
        <w:spacing w:after="0" w:line="240" w:lineRule="auto"/>
        <w:ind w:firstLine="720"/>
        <w:jc w:val="both"/>
        <w:rPr>
          <w:rFonts w:ascii="Times New Roman" w:hAnsi="Times New Roman" w:cs="Times New Roman"/>
          <w:sz w:val="24"/>
          <w:szCs w:val="24"/>
        </w:rPr>
      </w:pPr>
      <w:r w:rsidRPr="00D71CD1">
        <w:rPr>
          <w:rFonts w:ascii="Times New Roman" w:hAnsi="Times New Roman" w:cs="Times New Roman"/>
          <w:sz w:val="24"/>
          <w:szCs w:val="24"/>
        </w:rPr>
        <w:t xml:space="preserve">Conforme </w:t>
      </w:r>
      <w:proofErr w:type="spellStart"/>
      <w:r w:rsidRPr="00D71CD1">
        <w:rPr>
          <w:rFonts w:ascii="Times New Roman" w:hAnsi="Times New Roman" w:cs="Times New Roman"/>
          <w:sz w:val="24"/>
          <w:szCs w:val="24"/>
        </w:rPr>
        <w:t>Shah</w:t>
      </w:r>
      <w:proofErr w:type="spellEnd"/>
      <w:r w:rsidRPr="00D71CD1">
        <w:rPr>
          <w:rFonts w:ascii="Times New Roman" w:hAnsi="Times New Roman" w:cs="Times New Roman"/>
          <w:sz w:val="24"/>
          <w:szCs w:val="24"/>
        </w:rPr>
        <w:t xml:space="preserve"> </w:t>
      </w:r>
      <w:proofErr w:type="spellStart"/>
      <w:proofErr w:type="gramStart"/>
      <w:r w:rsidRPr="00D71CD1">
        <w:rPr>
          <w:rFonts w:ascii="Times New Roman" w:hAnsi="Times New Roman" w:cs="Times New Roman"/>
          <w:i/>
          <w:sz w:val="24"/>
          <w:szCs w:val="24"/>
        </w:rPr>
        <w:t>et</w:t>
      </w:r>
      <w:proofErr w:type="spellEnd"/>
      <w:proofErr w:type="gramEnd"/>
      <w:r w:rsidRPr="00D71CD1">
        <w:rPr>
          <w:rFonts w:ascii="Times New Roman" w:hAnsi="Times New Roman" w:cs="Times New Roman"/>
          <w:i/>
          <w:sz w:val="24"/>
          <w:szCs w:val="24"/>
        </w:rPr>
        <w:t xml:space="preserve"> al. </w:t>
      </w:r>
      <w:r w:rsidRPr="00D71CD1">
        <w:rPr>
          <w:rFonts w:ascii="Times New Roman" w:hAnsi="Times New Roman" w:cs="Times New Roman"/>
          <w:sz w:val="24"/>
          <w:szCs w:val="24"/>
        </w:rPr>
        <w:t xml:space="preserve">(2009), a diferença no preço pago por um comprador urgente e recebido por um vendedor urgente é o custo de liquidez, pois todas as transações ocorrem entre o preço da oferta de compra e o preço da oferta de venda, e assim, o </w:t>
      </w:r>
      <w:proofErr w:type="spellStart"/>
      <w:r w:rsidRPr="00D71CD1">
        <w:rPr>
          <w:rFonts w:ascii="Times New Roman" w:hAnsi="Times New Roman" w:cs="Times New Roman"/>
          <w:i/>
          <w:sz w:val="24"/>
          <w:szCs w:val="24"/>
        </w:rPr>
        <w:t>bid-ask</w:t>
      </w:r>
      <w:proofErr w:type="spellEnd"/>
      <w:r w:rsidRPr="00D71CD1">
        <w:rPr>
          <w:rFonts w:ascii="Times New Roman" w:hAnsi="Times New Roman" w:cs="Times New Roman"/>
          <w:i/>
          <w:sz w:val="24"/>
          <w:szCs w:val="24"/>
        </w:rPr>
        <w:t xml:space="preserve"> spread</w:t>
      </w:r>
      <w:r w:rsidRPr="00D71CD1">
        <w:rPr>
          <w:rFonts w:ascii="Times New Roman" w:hAnsi="Times New Roman" w:cs="Times New Roman"/>
          <w:sz w:val="24"/>
          <w:szCs w:val="24"/>
        </w:rPr>
        <w:t xml:space="preserve"> da a dimensão dos custos de liquidez no mercado. Com isso, o </w:t>
      </w:r>
      <w:proofErr w:type="spellStart"/>
      <w:proofErr w:type="gramStart"/>
      <w:r w:rsidRPr="00D71CD1">
        <w:rPr>
          <w:rFonts w:ascii="Times New Roman" w:hAnsi="Times New Roman" w:cs="Times New Roman"/>
          <w:i/>
          <w:sz w:val="24"/>
          <w:szCs w:val="24"/>
        </w:rPr>
        <w:t>bid</w:t>
      </w:r>
      <w:proofErr w:type="gramEnd"/>
      <w:r w:rsidRPr="00D71CD1">
        <w:rPr>
          <w:rFonts w:ascii="Times New Roman" w:hAnsi="Times New Roman" w:cs="Times New Roman"/>
          <w:i/>
          <w:sz w:val="24"/>
          <w:szCs w:val="24"/>
        </w:rPr>
        <w:t>-ask</w:t>
      </w:r>
      <w:proofErr w:type="spellEnd"/>
      <w:r w:rsidRPr="00D71CD1">
        <w:rPr>
          <w:rFonts w:ascii="Times New Roman" w:hAnsi="Times New Roman" w:cs="Times New Roman"/>
          <w:i/>
          <w:sz w:val="24"/>
          <w:szCs w:val="24"/>
        </w:rPr>
        <w:t xml:space="preserve"> spread</w:t>
      </w:r>
      <w:r w:rsidRPr="00D71CD1">
        <w:rPr>
          <w:rFonts w:ascii="Times New Roman" w:hAnsi="Times New Roman" w:cs="Times New Roman"/>
          <w:sz w:val="24"/>
          <w:szCs w:val="24"/>
        </w:rPr>
        <w:t xml:space="preserve"> é uma medida aceitável dos custos de liquidez em contratos futuros. Para </w:t>
      </w:r>
      <w:proofErr w:type="spellStart"/>
      <w:r w:rsidRPr="00D71CD1">
        <w:rPr>
          <w:rFonts w:ascii="Times New Roman" w:hAnsi="Times New Roman" w:cs="Times New Roman"/>
          <w:sz w:val="24"/>
          <w:szCs w:val="24"/>
        </w:rPr>
        <w:t>Bryant</w:t>
      </w:r>
      <w:proofErr w:type="spellEnd"/>
      <w:r w:rsidRPr="00D71CD1">
        <w:rPr>
          <w:rFonts w:ascii="Times New Roman" w:hAnsi="Times New Roman" w:cs="Times New Roman"/>
          <w:sz w:val="24"/>
          <w:szCs w:val="24"/>
        </w:rPr>
        <w:t xml:space="preserve"> e </w:t>
      </w:r>
      <w:proofErr w:type="spellStart"/>
      <w:r w:rsidRPr="00D71CD1">
        <w:rPr>
          <w:rFonts w:ascii="Times New Roman" w:hAnsi="Times New Roman" w:cs="Times New Roman"/>
          <w:sz w:val="24"/>
          <w:szCs w:val="24"/>
        </w:rPr>
        <w:t>Haigh</w:t>
      </w:r>
      <w:proofErr w:type="spellEnd"/>
      <w:r w:rsidRPr="00D71CD1">
        <w:rPr>
          <w:rFonts w:ascii="Times New Roman" w:hAnsi="Times New Roman" w:cs="Times New Roman"/>
          <w:sz w:val="24"/>
          <w:szCs w:val="24"/>
        </w:rPr>
        <w:t xml:space="preserve"> (2002), o </w:t>
      </w:r>
      <w:proofErr w:type="spellStart"/>
      <w:proofErr w:type="gramStart"/>
      <w:r w:rsidRPr="00D71CD1">
        <w:rPr>
          <w:rFonts w:ascii="Times New Roman" w:hAnsi="Times New Roman" w:cs="Times New Roman"/>
          <w:i/>
          <w:sz w:val="24"/>
          <w:szCs w:val="24"/>
        </w:rPr>
        <w:t>bid</w:t>
      </w:r>
      <w:proofErr w:type="gramEnd"/>
      <w:r w:rsidRPr="00D71CD1">
        <w:rPr>
          <w:rFonts w:ascii="Times New Roman" w:hAnsi="Times New Roman" w:cs="Times New Roman"/>
          <w:i/>
          <w:sz w:val="24"/>
          <w:szCs w:val="24"/>
        </w:rPr>
        <w:t>-ask</w:t>
      </w:r>
      <w:proofErr w:type="spellEnd"/>
      <w:r w:rsidRPr="00D71CD1">
        <w:rPr>
          <w:rFonts w:ascii="Times New Roman" w:hAnsi="Times New Roman" w:cs="Times New Roman"/>
          <w:i/>
          <w:sz w:val="24"/>
          <w:szCs w:val="24"/>
        </w:rPr>
        <w:t xml:space="preserve"> spread</w:t>
      </w:r>
      <w:r w:rsidRPr="00D71CD1">
        <w:rPr>
          <w:rFonts w:ascii="Times New Roman" w:hAnsi="Times New Roman" w:cs="Times New Roman"/>
          <w:sz w:val="24"/>
          <w:szCs w:val="24"/>
        </w:rPr>
        <w:t xml:space="preserve"> é a variável mais usada para medir o custo de liquidez de um mercado, no qual apresenta baixo custo de liquidez se o </w:t>
      </w:r>
      <w:proofErr w:type="spellStart"/>
      <w:r w:rsidRPr="00D71CD1">
        <w:rPr>
          <w:rFonts w:ascii="Times New Roman" w:hAnsi="Times New Roman" w:cs="Times New Roman"/>
          <w:i/>
          <w:sz w:val="24"/>
          <w:szCs w:val="24"/>
        </w:rPr>
        <w:t>bid-ask</w:t>
      </w:r>
      <w:proofErr w:type="spellEnd"/>
      <w:r w:rsidRPr="00D71CD1">
        <w:rPr>
          <w:rFonts w:ascii="Times New Roman" w:hAnsi="Times New Roman" w:cs="Times New Roman"/>
          <w:i/>
          <w:sz w:val="24"/>
          <w:szCs w:val="24"/>
        </w:rPr>
        <w:t xml:space="preserve"> spread</w:t>
      </w:r>
      <w:r w:rsidRPr="00D71CD1">
        <w:rPr>
          <w:rFonts w:ascii="Times New Roman" w:hAnsi="Times New Roman" w:cs="Times New Roman"/>
          <w:sz w:val="24"/>
          <w:szCs w:val="24"/>
        </w:rPr>
        <w:t xml:space="preserve"> for baixo. </w:t>
      </w:r>
    </w:p>
    <w:p w:rsidR="00D422E8" w:rsidRPr="00D71CD1" w:rsidRDefault="009378EF" w:rsidP="00D71CD1">
      <w:pPr>
        <w:pStyle w:val="Corpodetexto2"/>
        <w:spacing w:after="0" w:line="240" w:lineRule="auto"/>
        <w:ind w:firstLine="720"/>
        <w:jc w:val="both"/>
        <w:rPr>
          <w:rFonts w:ascii="Times New Roman" w:hAnsi="Times New Roman" w:cs="Times New Roman"/>
          <w:sz w:val="24"/>
          <w:szCs w:val="24"/>
        </w:rPr>
      </w:pPr>
      <w:r w:rsidRPr="00D71CD1">
        <w:rPr>
          <w:rFonts w:ascii="Times New Roman" w:eastAsia="Calibri" w:hAnsi="Times New Roman" w:cs="Times New Roman"/>
          <w:sz w:val="24"/>
          <w:szCs w:val="24"/>
        </w:rPr>
        <w:t xml:space="preserve">Outras metodologias foram desenvolvidas buscando contornar a falta de informação dos preços de oferta de compra e oferta de venda do contrato, utilizando somente os valores dos preços efetivamente negociados. </w:t>
      </w:r>
      <w:r w:rsidR="00D422E8" w:rsidRPr="00D71CD1">
        <w:rPr>
          <w:rFonts w:ascii="Times New Roman" w:hAnsi="Times New Roman" w:cs="Times New Roman"/>
          <w:sz w:val="24"/>
          <w:szCs w:val="24"/>
        </w:rPr>
        <w:t xml:space="preserve">Um dos pioneiros nos estudos de previsão do valor de </w:t>
      </w:r>
      <w:proofErr w:type="spellStart"/>
      <w:proofErr w:type="gramStart"/>
      <w:r w:rsidR="00D422E8" w:rsidRPr="00D71CD1">
        <w:rPr>
          <w:rFonts w:ascii="Times New Roman" w:hAnsi="Times New Roman" w:cs="Times New Roman"/>
          <w:i/>
          <w:sz w:val="24"/>
          <w:szCs w:val="24"/>
        </w:rPr>
        <w:t>bid</w:t>
      </w:r>
      <w:proofErr w:type="gramEnd"/>
      <w:r w:rsidR="00D422E8" w:rsidRPr="00D71CD1">
        <w:rPr>
          <w:rFonts w:ascii="Times New Roman" w:hAnsi="Times New Roman" w:cs="Times New Roman"/>
          <w:i/>
          <w:sz w:val="24"/>
          <w:szCs w:val="24"/>
        </w:rPr>
        <w:t>-ask</w:t>
      </w:r>
      <w:proofErr w:type="spellEnd"/>
      <w:r w:rsidR="00D422E8" w:rsidRPr="00D71CD1">
        <w:rPr>
          <w:rFonts w:ascii="Times New Roman" w:hAnsi="Times New Roman" w:cs="Times New Roman"/>
          <w:i/>
          <w:sz w:val="24"/>
          <w:szCs w:val="24"/>
        </w:rPr>
        <w:t xml:space="preserve"> spread</w:t>
      </w:r>
      <w:r w:rsidR="00D422E8" w:rsidRPr="00D71CD1">
        <w:rPr>
          <w:rFonts w:ascii="Times New Roman" w:hAnsi="Times New Roman" w:cs="Times New Roman"/>
          <w:sz w:val="24"/>
          <w:szCs w:val="24"/>
        </w:rPr>
        <w:t xml:space="preserve"> foi o trabalho de </w:t>
      </w:r>
      <w:proofErr w:type="spellStart"/>
      <w:r w:rsidR="00D422E8" w:rsidRPr="00D71CD1">
        <w:rPr>
          <w:rFonts w:ascii="Times New Roman" w:hAnsi="Times New Roman" w:cs="Times New Roman"/>
          <w:sz w:val="24"/>
          <w:szCs w:val="24"/>
        </w:rPr>
        <w:t>Roll</w:t>
      </w:r>
      <w:proofErr w:type="spellEnd"/>
      <w:r w:rsidR="00D422E8" w:rsidRPr="00D71CD1">
        <w:rPr>
          <w:rFonts w:ascii="Times New Roman" w:hAnsi="Times New Roman" w:cs="Times New Roman"/>
          <w:sz w:val="24"/>
          <w:szCs w:val="24"/>
        </w:rPr>
        <w:t xml:space="preserve"> (1984). Para o autor a existência do </w:t>
      </w:r>
      <w:r w:rsidR="00D422E8" w:rsidRPr="00D71CD1">
        <w:rPr>
          <w:rFonts w:ascii="Times New Roman" w:hAnsi="Times New Roman" w:cs="Times New Roman"/>
          <w:i/>
          <w:sz w:val="24"/>
          <w:szCs w:val="24"/>
        </w:rPr>
        <w:t>spread</w:t>
      </w:r>
      <w:r w:rsidR="00D422E8" w:rsidRPr="00D71CD1">
        <w:rPr>
          <w:rFonts w:ascii="Times New Roman" w:hAnsi="Times New Roman" w:cs="Times New Roman"/>
          <w:sz w:val="24"/>
          <w:szCs w:val="24"/>
        </w:rPr>
        <w:t xml:space="preserve"> é verificada no mercado pelo negativo da covariância das séries sucessivas de retorno do ativo</w:t>
      </w:r>
      <w:r w:rsidR="002E4EC6" w:rsidRPr="00D71CD1">
        <w:rPr>
          <w:rFonts w:ascii="Times New Roman" w:hAnsi="Times New Roman" w:cs="Times New Roman"/>
          <w:sz w:val="24"/>
          <w:szCs w:val="24"/>
        </w:rPr>
        <w:t>. O</w:t>
      </w:r>
      <w:r w:rsidR="00B00D61" w:rsidRPr="00D71CD1">
        <w:rPr>
          <w:rFonts w:ascii="Times New Roman" w:hAnsi="Times New Roman" w:cs="Times New Roman"/>
          <w:sz w:val="24"/>
          <w:szCs w:val="24"/>
        </w:rPr>
        <w:t xml:space="preserve"> modelo de </w:t>
      </w:r>
      <w:proofErr w:type="spellStart"/>
      <w:r w:rsidR="00B00D61" w:rsidRPr="00D71CD1">
        <w:rPr>
          <w:rFonts w:ascii="Times New Roman" w:hAnsi="Times New Roman" w:cs="Times New Roman"/>
          <w:sz w:val="24"/>
          <w:szCs w:val="24"/>
        </w:rPr>
        <w:t>Roll</w:t>
      </w:r>
      <w:proofErr w:type="spellEnd"/>
      <w:r w:rsidR="00B00D61" w:rsidRPr="00D71CD1">
        <w:rPr>
          <w:rFonts w:ascii="Times New Roman" w:hAnsi="Times New Roman" w:cs="Times New Roman"/>
          <w:sz w:val="24"/>
          <w:szCs w:val="24"/>
        </w:rPr>
        <w:t xml:space="preserve"> pode ser apresentado, conforme destacado a seguir.</w:t>
      </w:r>
    </w:p>
    <w:p w:rsidR="00B00D61" w:rsidRPr="00D71CD1" w:rsidRDefault="00B00D61" w:rsidP="00D71CD1">
      <w:pPr>
        <w:spacing w:after="0" w:line="240" w:lineRule="auto"/>
        <w:ind w:firstLine="708"/>
        <w:jc w:val="both"/>
        <w:rPr>
          <w:rFonts w:ascii="Times New Roman" w:eastAsiaTheme="minorEastAsia" w:hAnsi="Times New Roman" w:cs="Times New Roman"/>
          <w:sz w:val="24"/>
          <w:szCs w:val="24"/>
        </w:rPr>
      </w:pPr>
    </w:p>
    <w:p w:rsidR="00D422E8" w:rsidRPr="00D71CD1" w:rsidRDefault="00D422E8" w:rsidP="00D71CD1">
      <w:pPr>
        <w:spacing w:after="0" w:line="240" w:lineRule="auto"/>
        <w:jc w:val="both"/>
        <w:rPr>
          <w:rFonts w:ascii="Times New Roman" w:eastAsiaTheme="minorEastAsia" w:hAnsi="Times New Roman" w:cs="Times New Roman"/>
          <w:sz w:val="24"/>
          <w:szCs w:val="24"/>
          <w:lang w:val="en-US"/>
        </w:rPr>
      </w:pPr>
      <w:r w:rsidRPr="00D71CD1">
        <w:rPr>
          <w:rFonts w:ascii="Times New Roman" w:hAnsi="Times New Roman" w:cs="Times New Roman"/>
          <w:sz w:val="24"/>
          <w:szCs w:val="24"/>
        </w:rPr>
        <w:t xml:space="preserve"> </w:t>
      </w:r>
      <w:r w:rsidRPr="00D71CD1">
        <w:rPr>
          <w:rFonts w:ascii="Times New Roman" w:hAnsi="Times New Roman" w:cs="Times New Roman"/>
          <w:sz w:val="24"/>
          <w:szCs w:val="24"/>
        </w:rPr>
        <w:tab/>
      </w:r>
      <w:proofErr w:type="spellStart"/>
      <w:proofErr w:type="gramStart"/>
      <w:r w:rsidRPr="00D71CD1">
        <w:rPr>
          <w:rFonts w:ascii="Times New Roman" w:hAnsi="Times New Roman" w:cs="Times New Roman"/>
          <w:sz w:val="24"/>
          <w:szCs w:val="24"/>
          <w:lang w:val="en-US"/>
        </w:rPr>
        <w:t>sRoll</w:t>
      </w:r>
      <w:proofErr w:type="spellEnd"/>
      <w:proofErr w:type="gramEnd"/>
      <w:r w:rsidRPr="00D71CD1">
        <w:rPr>
          <w:rFonts w:ascii="Times New Roman" w:hAnsi="Times New Roman" w:cs="Times New Roman"/>
          <w:sz w:val="24"/>
          <w:szCs w:val="24"/>
          <w:lang w:val="en-US"/>
        </w:rPr>
        <w:t xml:space="preserve"> = 2</w:t>
      </w:r>
      <m:oMath>
        <m:r>
          <w:rPr>
            <w:rFonts w:ascii="Cambria Math" w:hAnsi="Times New Roman" w:cs="Times New Roman"/>
            <w:sz w:val="24"/>
            <w:szCs w:val="24"/>
            <w:lang w:val="en-US"/>
          </w:rPr>
          <m:t xml:space="preserve"> </m:t>
        </m:r>
        <m:rad>
          <m:radPr>
            <m:degHide m:val="on"/>
            <m:ctrlPr>
              <w:rPr>
                <w:rFonts w:ascii="Cambria Math" w:hAnsi="Times New Roman" w:cs="Times New Roman"/>
                <w:i/>
                <w:sz w:val="24"/>
                <w:szCs w:val="24"/>
              </w:rPr>
            </m:ctrlPr>
          </m:radPr>
          <m:deg/>
          <m:e>
            <m:r>
              <w:rPr>
                <w:rFonts w:ascii="Times New Roman" w:hAnsi="Times New Roman" w:cs="Times New Roman"/>
                <w:sz w:val="24"/>
                <w:szCs w:val="24"/>
                <w:lang w:val="en-US"/>
              </w:rPr>
              <m:t>-</m:t>
            </m:r>
            <m:r>
              <w:rPr>
                <w:rFonts w:ascii="Cambria Math" w:hAnsi="Times New Roman" w:cs="Times New Roman"/>
                <w:sz w:val="24"/>
                <w:szCs w:val="24"/>
                <w:lang w:val="en-US"/>
              </w:rPr>
              <m:t xml:space="preserve"> </m:t>
            </m:r>
            <m:r>
              <w:rPr>
                <w:rFonts w:ascii="Cambria Math" w:hAnsi="Cambria Math" w:cs="Times New Roman"/>
                <w:sz w:val="24"/>
                <w:szCs w:val="24"/>
              </w:rPr>
              <m:t>Cov</m:t>
            </m:r>
            <m:r>
              <w:rPr>
                <w:rFonts w:ascii="Cambria Math" w:hAnsi="Times New Roman" w:cs="Times New Roman"/>
                <w:sz w:val="24"/>
                <w:szCs w:val="24"/>
                <w:lang w:val="en-US"/>
              </w:rPr>
              <m:t xml:space="preserve"> (</m:t>
            </m:r>
            <m:r>
              <w:rPr>
                <w:rFonts w:ascii="Times New Roman" w:hAnsi="Times New Roman" w:cs="Times New Roman"/>
                <w:sz w:val="24"/>
                <w:szCs w:val="24"/>
                <w:lang w:val="en-US"/>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w:rPr>
                <w:rFonts w:ascii="Cambria Math" w:hAnsi="Times New Roman" w:cs="Times New Roman"/>
                <w:sz w:val="24"/>
                <w:szCs w:val="24"/>
                <w:lang w:val="en-US"/>
              </w:rPr>
              <m:t xml:space="preserve"> ; </m:t>
            </m:r>
            <m:r>
              <w:rPr>
                <w:rFonts w:ascii="Times New Roman" w:hAnsi="Times New Roman" w:cs="Times New Roman"/>
                <w:sz w:val="24"/>
                <w:szCs w:val="24"/>
                <w:lang w:val="en-US"/>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r>
                  <w:rPr>
                    <w:rFonts w:ascii="Cambria Math" w:hAnsi="Times New Roman" w:cs="Times New Roman"/>
                    <w:sz w:val="24"/>
                    <w:szCs w:val="24"/>
                    <w:lang w:val="en-US"/>
                  </w:rPr>
                  <m:t>+1</m:t>
                </m:r>
              </m:sub>
            </m:sSub>
            <m:r>
              <w:rPr>
                <w:rFonts w:ascii="Cambria Math" w:hAnsi="Times New Roman" w:cs="Times New Roman"/>
                <w:sz w:val="24"/>
                <w:szCs w:val="24"/>
                <w:lang w:val="en-US"/>
              </w:rPr>
              <m:t>)</m:t>
            </m:r>
          </m:e>
        </m:rad>
      </m:oMath>
      <w:r w:rsidRPr="00D71CD1">
        <w:rPr>
          <w:rFonts w:ascii="Times New Roman" w:eastAsiaTheme="minorEastAsia" w:hAnsi="Times New Roman" w:cs="Times New Roman"/>
          <w:sz w:val="24"/>
          <w:szCs w:val="24"/>
          <w:lang w:val="en-US"/>
        </w:rPr>
        <w:t xml:space="preserve">                                                                       </w:t>
      </w:r>
      <w:r w:rsidR="00D71CD1">
        <w:rPr>
          <w:rFonts w:ascii="Times New Roman" w:eastAsiaTheme="minorEastAsia" w:hAnsi="Times New Roman" w:cs="Times New Roman"/>
          <w:sz w:val="24"/>
          <w:szCs w:val="24"/>
          <w:lang w:val="en-US"/>
        </w:rPr>
        <w:tab/>
        <w:t xml:space="preserve">    </w:t>
      </w:r>
      <w:r w:rsidRPr="00D71CD1">
        <w:rPr>
          <w:rFonts w:ascii="Times New Roman" w:eastAsiaTheme="minorEastAsia" w:hAnsi="Times New Roman" w:cs="Times New Roman"/>
          <w:sz w:val="24"/>
          <w:szCs w:val="24"/>
          <w:lang w:val="en-US"/>
        </w:rPr>
        <w:t>(</w:t>
      </w:r>
      <w:r w:rsidR="009378EF" w:rsidRPr="00D71CD1">
        <w:rPr>
          <w:rFonts w:ascii="Times New Roman" w:eastAsiaTheme="minorEastAsia" w:hAnsi="Times New Roman" w:cs="Times New Roman"/>
          <w:sz w:val="24"/>
          <w:szCs w:val="24"/>
          <w:lang w:val="en-US"/>
        </w:rPr>
        <w:t>2</w:t>
      </w:r>
      <w:r w:rsidRPr="00D71CD1">
        <w:rPr>
          <w:rFonts w:ascii="Times New Roman" w:eastAsiaTheme="minorEastAsia" w:hAnsi="Times New Roman" w:cs="Times New Roman"/>
          <w:sz w:val="24"/>
          <w:szCs w:val="24"/>
          <w:lang w:val="en-US"/>
        </w:rPr>
        <w:t>)</w:t>
      </w:r>
    </w:p>
    <w:p w:rsidR="00D422E8" w:rsidRPr="00D71CD1" w:rsidRDefault="00D422E8" w:rsidP="00D71CD1">
      <w:pPr>
        <w:spacing w:after="0" w:line="240" w:lineRule="auto"/>
        <w:jc w:val="both"/>
        <w:rPr>
          <w:rFonts w:ascii="Times New Roman" w:hAnsi="Times New Roman" w:cs="Times New Roman"/>
          <w:sz w:val="24"/>
          <w:szCs w:val="24"/>
          <w:lang w:val="en-US"/>
        </w:rPr>
      </w:pPr>
    </w:p>
    <w:p w:rsidR="00D422E8" w:rsidRPr="00D71CD1" w:rsidRDefault="00D422E8" w:rsidP="00D71CD1">
      <w:pPr>
        <w:autoSpaceDE w:val="0"/>
        <w:autoSpaceDN w:val="0"/>
        <w:adjustRightInd w:val="0"/>
        <w:spacing w:after="0" w:line="240" w:lineRule="auto"/>
        <w:jc w:val="both"/>
        <w:rPr>
          <w:rFonts w:ascii="Times New Roman" w:hAnsi="Times New Roman" w:cs="Times New Roman"/>
          <w:sz w:val="24"/>
          <w:szCs w:val="24"/>
        </w:rPr>
      </w:pPr>
      <w:proofErr w:type="gramStart"/>
      <w:r w:rsidRPr="00D71CD1">
        <w:rPr>
          <w:rFonts w:ascii="Times New Roman" w:hAnsi="Times New Roman" w:cs="Times New Roman"/>
          <w:sz w:val="24"/>
          <w:szCs w:val="24"/>
        </w:rPr>
        <w:t>em</w:t>
      </w:r>
      <w:proofErr w:type="gramEnd"/>
      <w:r w:rsidRPr="00D71CD1">
        <w:rPr>
          <w:rFonts w:ascii="Times New Roman" w:hAnsi="Times New Roman" w:cs="Times New Roman"/>
          <w:sz w:val="24"/>
          <w:szCs w:val="24"/>
        </w:rPr>
        <w:t xml:space="preserve"> que:</w:t>
      </w:r>
    </w:p>
    <w:p w:rsidR="00D422E8" w:rsidRPr="00D71CD1" w:rsidRDefault="00D422E8" w:rsidP="00D71CD1">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D71CD1">
        <w:rPr>
          <w:rFonts w:ascii="Times New Roman" w:hAnsi="Times New Roman" w:cs="Times New Roman"/>
          <w:sz w:val="24"/>
          <w:szCs w:val="24"/>
        </w:rPr>
        <w:t>SRoll</w:t>
      </w:r>
      <w:proofErr w:type="spellEnd"/>
      <w:proofErr w:type="gramEnd"/>
      <w:r w:rsidRPr="00D71CD1">
        <w:rPr>
          <w:rFonts w:ascii="Times New Roman" w:hAnsi="Times New Roman" w:cs="Times New Roman"/>
          <w:sz w:val="24"/>
          <w:szCs w:val="24"/>
        </w:rPr>
        <w:t xml:space="preserve"> =&gt; Medida implícita do </w:t>
      </w:r>
      <w:r w:rsidRPr="00D71CD1">
        <w:rPr>
          <w:rFonts w:ascii="Times New Roman" w:hAnsi="Times New Roman" w:cs="Times New Roman"/>
          <w:i/>
          <w:sz w:val="24"/>
          <w:szCs w:val="24"/>
        </w:rPr>
        <w:t>spread</w:t>
      </w:r>
      <w:r w:rsidRPr="00D71CD1">
        <w:rPr>
          <w:rFonts w:ascii="Times New Roman" w:hAnsi="Times New Roman" w:cs="Times New Roman"/>
          <w:sz w:val="24"/>
          <w:szCs w:val="24"/>
        </w:rPr>
        <w:t>;</w:t>
      </w:r>
    </w:p>
    <w:p w:rsidR="00D422E8" w:rsidRPr="00D71CD1" w:rsidRDefault="00D422E8" w:rsidP="00D71CD1">
      <w:pPr>
        <w:autoSpaceDE w:val="0"/>
        <w:autoSpaceDN w:val="0"/>
        <w:adjustRightInd w:val="0"/>
        <w:spacing w:after="0" w:line="240" w:lineRule="auto"/>
        <w:jc w:val="both"/>
        <w:rPr>
          <w:rFonts w:ascii="Times New Roman" w:hAnsi="Times New Roman" w:cs="Times New Roman"/>
          <w:sz w:val="24"/>
          <w:szCs w:val="24"/>
        </w:rPr>
      </w:pPr>
      <w:proofErr w:type="spellStart"/>
      <w:r w:rsidRPr="00D71CD1">
        <w:rPr>
          <w:rFonts w:ascii="Times New Roman" w:hAnsi="Times New Roman" w:cs="Times New Roman"/>
          <w:sz w:val="24"/>
          <w:szCs w:val="24"/>
        </w:rPr>
        <w:t>Cov</w:t>
      </w:r>
      <w:proofErr w:type="spellEnd"/>
      <w:r w:rsidRPr="00D71CD1">
        <w:rPr>
          <w:rFonts w:ascii="Times New Roman" w:hAnsi="Times New Roman" w:cs="Times New Roman"/>
          <w:sz w:val="24"/>
          <w:szCs w:val="24"/>
        </w:rPr>
        <w:t xml:space="preserve"> =&gt; Covariância serial de primeira ordem das variações dos preços observados;</w:t>
      </w:r>
    </w:p>
    <w:p w:rsidR="00D422E8" w:rsidRPr="00D71CD1" w:rsidRDefault="00D422E8" w:rsidP="00D71CD1">
      <w:pPr>
        <w:autoSpaceDE w:val="0"/>
        <w:autoSpaceDN w:val="0"/>
        <w:adjustRightInd w:val="0"/>
        <w:spacing w:after="0" w:line="240" w:lineRule="auto"/>
        <w:jc w:val="both"/>
        <w:rPr>
          <w:rFonts w:ascii="Times New Roman" w:hAnsi="Times New Roman" w:cs="Times New Roman"/>
          <w:sz w:val="24"/>
          <w:szCs w:val="24"/>
        </w:rPr>
      </w:pPr>
      <w:r w:rsidRPr="00D71CD1">
        <w:rPr>
          <w:rFonts w:ascii="Times New Roman" w:hAnsi="Times New Roman" w:cs="Times New Roman"/>
          <w:sz w:val="24"/>
          <w:szCs w:val="24"/>
        </w:rPr>
        <w:t xml:space="preserve">(-s) e (+s) – Valores do </w:t>
      </w:r>
      <w:r w:rsidRPr="00D71CD1">
        <w:rPr>
          <w:rFonts w:ascii="Times New Roman" w:hAnsi="Times New Roman" w:cs="Times New Roman"/>
          <w:i/>
          <w:sz w:val="24"/>
          <w:szCs w:val="24"/>
        </w:rPr>
        <w:t>spread</w:t>
      </w:r>
      <w:r w:rsidRPr="00D71CD1">
        <w:rPr>
          <w:rFonts w:ascii="Times New Roman" w:hAnsi="Times New Roman" w:cs="Times New Roman"/>
          <w:sz w:val="24"/>
          <w:szCs w:val="24"/>
        </w:rPr>
        <w:t xml:space="preserve">, partindo do preço do </w:t>
      </w:r>
      <w:proofErr w:type="spellStart"/>
      <w:proofErr w:type="gramStart"/>
      <w:r w:rsidRPr="00D71CD1">
        <w:rPr>
          <w:rFonts w:ascii="Times New Roman" w:hAnsi="Times New Roman" w:cs="Times New Roman"/>
          <w:i/>
          <w:sz w:val="24"/>
          <w:szCs w:val="24"/>
        </w:rPr>
        <w:t>bid</w:t>
      </w:r>
      <w:proofErr w:type="spellEnd"/>
      <w:proofErr w:type="gramEnd"/>
      <w:r w:rsidRPr="00D71CD1">
        <w:rPr>
          <w:rFonts w:ascii="Times New Roman" w:hAnsi="Times New Roman" w:cs="Times New Roman"/>
          <w:sz w:val="24"/>
          <w:szCs w:val="24"/>
        </w:rPr>
        <w:t xml:space="preserve"> ou do </w:t>
      </w:r>
      <w:proofErr w:type="spellStart"/>
      <w:r w:rsidRPr="00D71CD1">
        <w:rPr>
          <w:rFonts w:ascii="Times New Roman" w:hAnsi="Times New Roman" w:cs="Times New Roman"/>
          <w:i/>
          <w:sz w:val="24"/>
          <w:szCs w:val="24"/>
        </w:rPr>
        <w:t>ask</w:t>
      </w:r>
      <w:proofErr w:type="spellEnd"/>
      <w:r w:rsidRPr="00D71CD1">
        <w:rPr>
          <w:rFonts w:ascii="Times New Roman" w:hAnsi="Times New Roman" w:cs="Times New Roman"/>
          <w:sz w:val="24"/>
          <w:szCs w:val="24"/>
        </w:rPr>
        <w:t>;</w:t>
      </w:r>
    </w:p>
    <w:p w:rsidR="00D422E8" w:rsidRPr="00D71CD1" w:rsidRDefault="00D422E8" w:rsidP="00D71CD1">
      <w:pPr>
        <w:pStyle w:val="Corpodetexto2"/>
        <w:spacing w:after="0" w:line="240" w:lineRule="auto"/>
        <w:jc w:val="both"/>
        <w:rPr>
          <w:rFonts w:ascii="Times New Roman" w:eastAsia="Times New Roman" w:hAnsi="Times New Roman" w:cs="Times New Roman"/>
          <w:sz w:val="24"/>
          <w:szCs w:val="24"/>
        </w:rPr>
      </w:pPr>
      <m:oMath>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oMath>
      <w:r w:rsidRPr="00D71CD1">
        <w:rPr>
          <w:rFonts w:ascii="Times New Roman" w:eastAsia="Times New Roman" w:hAnsi="Times New Roman" w:cs="Times New Roman"/>
          <w:sz w:val="24"/>
          <w:szCs w:val="24"/>
        </w:rPr>
        <w:t xml:space="preserve"> = Variação do preço entre o último negócio efetuado </w:t>
      </w:r>
      <m:oMath>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P</m:t>
            </m:r>
          </m:e>
          <m:sub>
            <m:r>
              <w:rPr>
                <w:rFonts w:ascii="Cambria Math" w:hAnsi="Cambria Math" w:cs="Times New Roman"/>
                <w:sz w:val="24"/>
                <w:szCs w:val="24"/>
              </w:rPr>
              <m:t>t</m:t>
            </m:r>
          </m:sub>
        </m:sSub>
        <m:r>
          <w:rPr>
            <w:rFonts w:ascii="Cambria Math" w:hAnsi="Times New Roman" w:cs="Times New Roman"/>
            <w:sz w:val="24"/>
            <w:szCs w:val="24"/>
          </w:rPr>
          <m:t>)</m:t>
        </m:r>
      </m:oMath>
      <w:r w:rsidRPr="00D71CD1">
        <w:rPr>
          <w:rFonts w:ascii="Times New Roman" w:eastAsia="Times New Roman" w:hAnsi="Times New Roman" w:cs="Times New Roman"/>
          <w:sz w:val="24"/>
          <w:szCs w:val="24"/>
        </w:rPr>
        <w:t xml:space="preserve"> e o anterior ao último negócio efetuado (</w:t>
      </w:r>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r>
              <w:rPr>
                <w:rFonts w:ascii="Times New Roman" w:hAnsi="Times New Roman" w:cs="Times New Roman"/>
                <w:sz w:val="24"/>
                <w:szCs w:val="24"/>
              </w:rPr>
              <m:t>-</m:t>
            </m:r>
            <m:r>
              <w:rPr>
                <w:rFonts w:ascii="Cambria Math" w:hAnsi="Times New Roman" w:cs="Times New Roman"/>
                <w:sz w:val="24"/>
                <w:szCs w:val="24"/>
              </w:rPr>
              <m:t>1</m:t>
            </m:r>
          </m:sub>
        </m:sSub>
      </m:oMath>
      <w:r w:rsidRPr="00D71CD1">
        <w:rPr>
          <w:rFonts w:ascii="Times New Roman" w:eastAsia="Times New Roman" w:hAnsi="Times New Roman" w:cs="Times New Roman"/>
          <w:sz w:val="24"/>
          <w:szCs w:val="24"/>
        </w:rPr>
        <w:t>);</w:t>
      </w:r>
    </w:p>
    <w:p w:rsidR="00D422E8" w:rsidRPr="00D71CD1" w:rsidRDefault="00D422E8" w:rsidP="00D71CD1">
      <w:pPr>
        <w:pStyle w:val="Corpodetexto2"/>
        <w:spacing w:after="0" w:line="240" w:lineRule="auto"/>
        <w:jc w:val="both"/>
        <w:rPr>
          <w:rFonts w:ascii="Times New Roman" w:eastAsia="Times New Roman" w:hAnsi="Times New Roman" w:cs="Times New Roman"/>
          <w:sz w:val="24"/>
          <w:szCs w:val="24"/>
        </w:rPr>
      </w:pPr>
      <m:oMath>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r>
              <w:rPr>
                <w:rFonts w:ascii="Cambria Math" w:hAnsi="Times New Roman" w:cs="Times New Roman"/>
                <w:sz w:val="24"/>
                <w:szCs w:val="24"/>
              </w:rPr>
              <m:t>+1</m:t>
            </m:r>
          </m:sub>
        </m:sSub>
      </m:oMath>
      <w:r w:rsidRPr="00D71CD1">
        <w:rPr>
          <w:rFonts w:ascii="Times New Roman" w:eastAsia="Times New Roman" w:hAnsi="Times New Roman" w:cs="Times New Roman"/>
          <w:sz w:val="24"/>
          <w:szCs w:val="24"/>
        </w:rPr>
        <w:t xml:space="preserve"> = Variação do preço entre o próximo negócio efetuado </w:t>
      </w:r>
      <m:oMath>
        <m:r>
          <w:rPr>
            <w:rFonts w:ascii="Cambria Math" w:eastAsia="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r>
              <w:rPr>
                <w:rFonts w:ascii="Cambria Math" w:hAnsi="Times New Roman" w:cs="Times New Roman"/>
                <w:sz w:val="24"/>
                <w:szCs w:val="24"/>
              </w:rPr>
              <m:t>+1</m:t>
            </m:r>
          </m:sub>
        </m:sSub>
      </m:oMath>
      <w:r w:rsidRPr="00D71CD1">
        <w:rPr>
          <w:rFonts w:ascii="Times New Roman" w:eastAsia="Times New Roman" w:hAnsi="Times New Roman" w:cs="Times New Roman"/>
          <w:sz w:val="24"/>
          <w:szCs w:val="24"/>
        </w:rPr>
        <w:t>) e o último negócio registrado (</w:t>
      </w:r>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w:rPr>
            <w:rFonts w:ascii="Cambria Math" w:hAnsi="Times New Roman" w:cs="Times New Roman"/>
            <w:sz w:val="24"/>
            <w:szCs w:val="24"/>
          </w:rPr>
          <m:t>)</m:t>
        </m:r>
      </m:oMath>
      <w:r w:rsidRPr="00D71CD1">
        <w:rPr>
          <w:rFonts w:ascii="Times New Roman" w:eastAsia="Times New Roman" w:hAnsi="Times New Roman" w:cs="Times New Roman"/>
          <w:sz w:val="24"/>
          <w:szCs w:val="24"/>
        </w:rPr>
        <w:t>.</w:t>
      </w:r>
    </w:p>
    <w:p w:rsidR="00D422E8" w:rsidRPr="00D71CD1" w:rsidRDefault="00D422E8" w:rsidP="00D71CD1">
      <w:pPr>
        <w:spacing w:after="0" w:line="240" w:lineRule="auto"/>
        <w:jc w:val="both"/>
        <w:rPr>
          <w:rFonts w:ascii="Times New Roman" w:hAnsi="Times New Roman" w:cs="Times New Roman"/>
          <w:sz w:val="24"/>
          <w:szCs w:val="24"/>
        </w:rPr>
      </w:pPr>
      <w:r w:rsidRPr="00D71CD1">
        <w:rPr>
          <w:rFonts w:ascii="Times New Roman" w:hAnsi="Times New Roman" w:cs="Times New Roman"/>
          <w:sz w:val="24"/>
          <w:szCs w:val="24"/>
        </w:rPr>
        <w:tab/>
      </w:r>
    </w:p>
    <w:p w:rsidR="00D422E8" w:rsidRPr="00D71CD1" w:rsidRDefault="009378EF" w:rsidP="00D71CD1">
      <w:pPr>
        <w:autoSpaceDE w:val="0"/>
        <w:autoSpaceDN w:val="0"/>
        <w:adjustRightInd w:val="0"/>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O </w:t>
      </w:r>
      <w:r w:rsidR="00D422E8" w:rsidRPr="00D71CD1">
        <w:rPr>
          <w:rFonts w:ascii="Times New Roman" w:hAnsi="Times New Roman" w:cs="Times New Roman"/>
          <w:sz w:val="24"/>
          <w:szCs w:val="24"/>
        </w:rPr>
        <w:t>modelo</w:t>
      </w:r>
      <w:r w:rsidRPr="00D71CD1">
        <w:rPr>
          <w:rFonts w:ascii="Times New Roman" w:hAnsi="Times New Roman" w:cs="Times New Roman"/>
          <w:sz w:val="24"/>
          <w:szCs w:val="24"/>
        </w:rPr>
        <w:t xml:space="preserve"> de </w:t>
      </w:r>
      <w:proofErr w:type="spellStart"/>
      <w:r w:rsidRPr="00D71CD1">
        <w:rPr>
          <w:rFonts w:ascii="Times New Roman" w:hAnsi="Times New Roman" w:cs="Times New Roman"/>
          <w:sz w:val="24"/>
          <w:szCs w:val="24"/>
        </w:rPr>
        <w:t>Roll</w:t>
      </w:r>
      <w:proofErr w:type="spellEnd"/>
      <w:r w:rsidRPr="00D71CD1">
        <w:rPr>
          <w:rFonts w:ascii="Times New Roman" w:hAnsi="Times New Roman" w:cs="Times New Roman"/>
          <w:sz w:val="24"/>
          <w:szCs w:val="24"/>
        </w:rPr>
        <w:t xml:space="preserve"> (1984)</w:t>
      </w:r>
      <w:r w:rsidR="00D422E8" w:rsidRPr="00D71CD1">
        <w:rPr>
          <w:rFonts w:ascii="Times New Roman" w:hAnsi="Times New Roman" w:cs="Times New Roman"/>
          <w:sz w:val="24"/>
          <w:szCs w:val="24"/>
        </w:rPr>
        <w:t xml:space="preserve"> tem sido estimado em trabalhos recentes envolvendo mercados futuros, tais como </w:t>
      </w:r>
      <w:proofErr w:type="spellStart"/>
      <w:r w:rsidR="00D422E8" w:rsidRPr="00D71CD1">
        <w:rPr>
          <w:rFonts w:ascii="Times New Roman" w:hAnsi="Times New Roman" w:cs="Times New Roman"/>
          <w:iCs/>
          <w:color w:val="000000"/>
          <w:sz w:val="24"/>
          <w:szCs w:val="24"/>
        </w:rPr>
        <w:t>Gwilym</w:t>
      </w:r>
      <w:proofErr w:type="spellEnd"/>
      <w:r w:rsidR="00D422E8" w:rsidRPr="00D71CD1">
        <w:rPr>
          <w:rFonts w:ascii="Times New Roman" w:hAnsi="Times New Roman" w:cs="Times New Roman"/>
          <w:iCs/>
          <w:color w:val="000000"/>
          <w:sz w:val="24"/>
          <w:szCs w:val="24"/>
        </w:rPr>
        <w:t xml:space="preserve"> e Thomas (2002), </w:t>
      </w:r>
      <w:proofErr w:type="spellStart"/>
      <w:r w:rsidR="00D422E8" w:rsidRPr="00D71CD1">
        <w:rPr>
          <w:rFonts w:ascii="Times New Roman" w:hAnsi="Times New Roman" w:cs="Times New Roman"/>
          <w:sz w:val="24"/>
          <w:szCs w:val="24"/>
        </w:rPr>
        <w:t>Bryant</w:t>
      </w:r>
      <w:proofErr w:type="spellEnd"/>
      <w:r w:rsidR="00D422E8" w:rsidRPr="00D71CD1">
        <w:rPr>
          <w:rFonts w:ascii="Times New Roman" w:hAnsi="Times New Roman" w:cs="Times New Roman"/>
          <w:sz w:val="24"/>
          <w:szCs w:val="24"/>
        </w:rPr>
        <w:t xml:space="preserve"> e </w:t>
      </w:r>
      <w:proofErr w:type="spellStart"/>
      <w:r w:rsidR="00D422E8" w:rsidRPr="00D71CD1">
        <w:rPr>
          <w:rFonts w:ascii="Times New Roman" w:hAnsi="Times New Roman" w:cs="Times New Roman"/>
          <w:sz w:val="24"/>
          <w:szCs w:val="24"/>
        </w:rPr>
        <w:t>Haigh</w:t>
      </w:r>
      <w:proofErr w:type="spellEnd"/>
      <w:r w:rsidR="00D422E8" w:rsidRPr="00D71CD1">
        <w:rPr>
          <w:rFonts w:ascii="Times New Roman" w:hAnsi="Times New Roman" w:cs="Times New Roman"/>
          <w:sz w:val="24"/>
          <w:szCs w:val="24"/>
        </w:rPr>
        <w:t xml:space="preserve"> (2002), </w:t>
      </w:r>
      <w:proofErr w:type="spellStart"/>
      <w:r w:rsidR="00D422E8" w:rsidRPr="00D71CD1">
        <w:rPr>
          <w:rFonts w:ascii="Times New Roman" w:hAnsi="Times New Roman" w:cs="Times New Roman"/>
          <w:sz w:val="24"/>
          <w:szCs w:val="24"/>
        </w:rPr>
        <w:t>Anand</w:t>
      </w:r>
      <w:proofErr w:type="spellEnd"/>
      <w:r w:rsidR="00D422E8" w:rsidRPr="00D71CD1">
        <w:rPr>
          <w:rFonts w:ascii="Times New Roman" w:hAnsi="Times New Roman" w:cs="Times New Roman"/>
          <w:sz w:val="24"/>
          <w:szCs w:val="24"/>
        </w:rPr>
        <w:t xml:space="preserve"> e </w:t>
      </w:r>
      <w:proofErr w:type="spellStart"/>
      <w:r w:rsidR="00D422E8" w:rsidRPr="00D71CD1">
        <w:rPr>
          <w:rFonts w:ascii="Times New Roman" w:hAnsi="Times New Roman" w:cs="Times New Roman"/>
          <w:sz w:val="24"/>
          <w:szCs w:val="24"/>
        </w:rPr>
        <w:t>Karagozoglu</w:t>
      </w:r>
      <w:proofErr w:type="spellEnd"/>
      <w:r w:rsidR="00D422E8" w:rsidRPr="00D71CD1">
        <w:rPr>
          <w:rFonts w:ascii="Times New Roman" w:hAnsi="Times New Roman" w:cs="Times New Roman"/>
          <w:sz w:val="24"/>
          <w:szCs w:val="24"/>
        </w:rPr>
        <w:t xml:space="preserve"> (2006), </w:t>
      </w:r>
      <w:r w:rsidR="00D422E8" w:rsidRPr="00D71CD1">
        <w:rPr>
          <w:rFonts w:ascii="Times New Roman" w:hAnsi="Times New Roman" w:cs="Times New Roman"/>
          <w:sz w:val="24"/>
          <w:szCs w:val="24"/>
        </w:rPr>
        <w:lastRenderedPageBreak/>
        <w:t xml:space="preserve">Frank e Garcia (2007), Frank e Garcia (2010) e </w:t>
      </w:r>
      <w:proofErr w:type="spellStart"/>
      <w:r w:rsidR="00D422E8" w:rsidRPr="00D71CD1">
        <w:rPr>
          <w:rFonts w:ascii="Times New Roman" w:hAnsi="Times New Roman" w:cs="Times New Roman"/>
          <w:sz w:val="24"/>
          <w:szCs w:val="24"/>
        </w:rPr>
        <w:t>Shah</w:t>
      </w:r>
      <w:proofErr w:type="spellEnd"/>
      <w:r w:rsidR="00D422E8" w:rsidRPr="00D71CD1">
        <w:rPr>
          <w:rFonts w:ascii="Times New Roman" w:hAnsi="Times New Roman" w:cs="Times New Roman"/>
          <w:sz w:val="24"/>
          <w:szCs w:val="24"/>
        </w:rPr>
        <w:t xml:space="preserve"> </w:t>
      </w:r>
      <w:proofErr w:type="spellStart"/>
      <w:proofErr w:type="gramStart"/>
      <w:r w:rsidR="00D422E8" w:rsidRPr="00D71CD1">
        <w:rPr>
          <w:rFonts w:ascii="Times New Roman" w:hAnsi="Times New Roman" w:cs="Times New Roman"/>
          <w:i/>
          <w:sz w:val="24"/>
          <w:szCs w:val="24"/>
        </w:rPr>
        <w:t>et</w:t>
      </w:r>
      <w:proofErr w:type="spellEnd"/>
      <w:proofErr w:type="gramEnd"/>
      <w:r w:rsidR="00D422E8" w:rsidRPr="00D71CD1">
        <w:rPr>
          <w:rFonts w:ascii="Times New Roman" w:hAnsi="Times New Roman" w:cs="Times New Roman"/>
          <w:i/>
          <w:sz w:val="24"/>
          <w:szCs w:val="24"/>
        </w:rPr>
        <w:t xml:space="preserve"> al.</w:t>
      </w:r>
      <w:r w:rsidR="00D422E8" w:rsidRPr="00D71CD1">
        <w:rPr>
          <w:rFonts w:ascii="Times New Roman" w:hAnsi="Times New Roman" w:cs="Times New Roman"/>
          <w:sz w:val="24"/>
          <w:szCs w:val="24"/>
        </w:rPr>
        <w:t xml:space="preserve"> (2012), evidenciando a importância desse estimador para análise do custo de liquidez.</w:t>
      </w:r>
    </w:p>
    <w:p w:rsidR="00D422E8" w:rsidRPr="00D71CD1" w:rsidRDefault="00D422E8" w:rsidP="00D71CD1">
      <w:pPr>
        <w:pStyle w:val="Default"/>
        <w:ind w:firstLine="708"/>
        <w:jc w:val="both"/>
      </w:pPr>
      <w:r w:rsidRPr="00D71CD1">
        <w:t xml:space="preserve">O </w:t>
      </w:r>
      <w:r w:rsidR="00B00D61" w:rsidRPr="00D71CD1">
        <w:t xml:space="preserve">modelo </w:t>
      </w:r>
      <w:r w:rsidRPr="00D71CD1">
        <w:t xml:space="preserve">proposto por Chu </w:t>
      </w:r>
      <w:proofErr w:type="spellStart"/>
      <w:proofErr w:type="gramStart"/>
      <w:r w:rsidRPr="00D71CD1">
        <w:rPr>
          <w:i/>
        </w:rPr>
        <w:t>et</w:t>
      </w:r>
      <w:proofErr w:type="spellEnd"/>
      <w:proofErr w:type="gramEnd"/>
      <w:r w:rsidRPr="00D71CD1">
        <w:rPr>
          <w:i/>
        </w:rPr>
        <w:t xml:space="preserve"> al.</w:t>
      </w:r>
      <w:r w:rsidRPr="00D71CD1">
        <w:t xml:space="preserve"> (1996), é uma extensão do modelo de </w:t>
      </w:r>
      <w:proofErr w:type="spellStart"/>
      <w:r w:rsidRPr="00D71CD1">
        <w:t>Roll</w:t>
      </w:r>
      <w:proofErr w:type="spellEnd"/>
      <w:r w:rsidRPr="00D71CD1">
        <w:t xml:space="preserve"> (1984) nos estudos do valor implícito do </w:t>
      </w:r>
      <w:r w:rsidRPr="00D71CD1">
        <w:rPr>
          <w:i/>
        </w:rPr>
        <w:t>spread</w:t>
      </w:r>
      <w:r w:rsidRPr="00D71CD1">
        <w:t xml:space="preserve">, onde incorpora-se a probabilidade (δ) de que a transação ocorra no mesmo preço que a transação anterior, e a probabilidade (α) de que a transação ocorra ao mesmo preço para a próxima transação, pois para os autores, a medida </w:t>
      </w:r>
      <w:proofErr w:type="spellStart"/>
      <w:r w:rsidRPr="00D71CD1">
        <w:t>Roll</w:t>
      </w:r>
      <w:proofErr w:type="spellEnd"/>
      <w:r w:rsidRPr="00D71CD1">
        <w:t xml:space="preserve"> (1984) é muito simplista, e ignora informações incorporadas no </w:t>
      </w:r>
      <w:proofErr w:type="spellStart"/>
      <w:r w:rsidRPr="00D71CD1">
        <w:rPr>
          <w:i/>
        </w:rPr>
        <w:t>bid-ask</w:t>
      </w:r>
      <w:proofErr w:type="spellEnd"/>
      <w:r w:rsidRPr="00D71CD1">
        <w:rPr>
          <w:i/>
        </w:rPr>
        <w:t xml:space="preserve"> spread</w:t>
      </w:r>
      <w:r w:rsidRPr="00D71CD1">
        <w:t xml:space="preserve">. </w:t>
      </w:r>
    </w:p>
    <w:p w:rsidR="00D422E8" w:rsidRPr="00D71CD1" w:rsidRDefault="00D422E8" w:rsidP="00D71CD1">
      <w:pPr>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O modelo CDP proposto por Chu </w:t>
      </w:r>
      <w:proofErr w:type="spellStart"/>
      <w:proofErr w:type="gramStart"/>
      <w:r w:rsidRPr="00D71CD1">
        <w:rPr>
          <w:rFonts w:ascii="Times New Roman" w:hAnsi="Times New Roman" w:cs="Times New Roman"/>
          <w:i/>
          <w:sz w:val="24"/>
          <w:szCs w:val="24"/>
        </w:rPr>
        <w:t>et</w:t>
      </w:r>
      <w:proofErr w:type="spellEnd"/>
      <w:proofErr w:type="gramEnd"/>
      <w:r w:rsidRPr="00D71CD1">
        <w:rPr>
          <w:rFonts w:ascii="Times New Roman" w:hAnsi="Times New Roman" w:cs="Times New Roman"/>
          <w:i/>
          <w:sz w:val="24"/>
          <w:szCs w:val="24"/>
        </w:rPr>
        <w:t xml:space="preserve"> al.</w:t>
      </w:r>
      <w:r w:rsidRPr="00D71CD1">
        <w:rPr>
          <w:rFonts w:ascii="Times New Roman" w:hAnsi="Times New Roman" w:cs="Times New Roman"/>
          <w:sz w:val="24"/>
          <w:szCs w:val="24"/>
        </w:rPr>
        <w:t xml:space="preserve"> (1996) </w:t>
      </w:r>
      <w:r w:rsidR="00B00D61" w:rsidRPr="00D71CD1">
        <w:rPr>
          <w:rFonts w:ascii="Times New Roman" w:hAnsi="Times New Roman" w:cs="Times New Roman"/>
          <w:sz w:val="24"/>
          <w:szCs w:val="24"/>
        </w:rPr>
        <w:t xml:space="preserve">está apresentado a seguir: </w:t>
      </w:r>
    </w:p>
    <w:p w:rsidR="00D422E8" w:rsidRPr="00D71CD1" w:rsidRDefault="00D422E8" w:rsidP="00D71CD1">
      <w:pPr>
        <w:spacing w:after="0" w:line="240" w:lineRule="auto"/>
        <w:ind w:firstLine="708"/>
        <w:jc w:val="both"/>
        <w:rPr>
          <w:rFonts w:ascii="Times New Roman" w:eastAsiaTheme="minorEastAsia" w:hAnsi="Times New Roman" w:cs="Times New Roman"/>
          <w:sz w:val="24"/>
          <w:szCs w:val="24"/>
        </w:rPr>
      </w:pPr>
    </w:p>
    <w:p w:rsidR="00D422E8" w:rsidRPr="00D71CD1" w:rsidRDefault="00D422E8" w:rsidP="00D71CD1">
      <w:pPr>
        <w:spacing w:after="0" w:line="240" w:lineRule="auto"/>
        <w:jc w:val="both"/>
        <w:rPr>
          <w:rFonts w:ascii="Times New Roman" w:eastAsiaTheme="minorEastAsia" w:hAnsi="Times New Roman" w:cs="Times New Roman"/>
          <w:b/>
          <w:sz w:val="24"/>
          <w:szCs w:val="24"/>
        </w:rPr>
      </w:pPr>
    </w:p>
    <w:p w:rsidR="00D422E8" w:rsidRPr="00D71CD1" w:rsidRDefault="00D422E8" w:rsidP="00D71CD1">
      <w:pPr>
        <w:spacing w:after="0" w:line="240" w:lineRule="auto"/>
        <w:jc w:val="both"/>
        <w:rPr>
          <w:rFonts w:ascii="Times New Roman" w:hAnsi="Times New Roman" w:cs="Times New Roman"/>
          <w:sz w:val="24"/>
          <w:szCs w:val="24"/>
          <w:lang w:val="en-US"/>
        </w:rPr>
      </w:pPr>
      <w:r w:rsidRPr="00D71CD1">
        <w:rPr>
          <w:rFonts w:ascii="Times New Roman" w:hAnsi="Times New Roman" w:cs="Times New Roman"/>
          <w:sz w:val="24"/>
          <w:szCs w:val="24"/>
        </w:rPr>
        <w:tab/>
      </w:r>
      <w:proofErr w:type="spellStart"/>
      <w:proofErr w:type="gramStart"/>
      <w:r w:rsidRPr="00D71CD1">
        <w:rPr>
          <w:rFonts w:ascii="Times New Roman" w:hAnsi="Times New Roman" w:cs="Times New Roman"/>
          <w:sz w:val="24"/>
          <w:szCs w:val="24"/>
          <w:lang w:val="en-US"/>
        </w:rPr>
        <w:t>sCDP</w:t>
      </w:r>
      <w:proofErr w:type="spellEnd"/>
      <w:proofErr w:type="gramEnd"/>
      <w:r w:rsidRPr="00D71CD1">
        <w:rPr>
          <w:rFonts w:ascii="Times New Roman" w:hAnsi="Times New Roman" w:cs="Times New Roman"/>
          <w:sz w:val="24"/>
          <w:szCs w:val="24"/>
          <w:lang w:val="en-US"/>
        </w:rPr>
        <w:t xml:space="preserve"> = = </w:t>
      </w:r>
      <m:oMath>
        <m:r>
          <w:rPr>
            <w:rFonts w:ascii="Cambria Math" w:hAnsi="Times New Roman" w:cs="Times New Roman"/>
            <w:sz w:val="24"/>
            <w:szCs w:val="24"/>
            <w:lang w:val="en-US"/>
          </w:rPr>
          <m:t xml:space="preserve"> </m:t>
        </m:r>
        <m:rad>
          <m:radPr>
            <m:degHide m:val="on"/>
            <m:ctrlPr>
              <w:rPr>
                <w:rFonts w:ascii="Cambria Math" w:hAnsi="Times New Roman" w:cs="Times New Roman"/>
                <w:i/>
                <w:sz w:val="24"/>
                <w:szCs w:val="24"/>
              </w:rPr>
            </m:ctrlPr>
          </m:radPr>
          <m:deg/>
          <m:e>
            <m:f>
              <m:fPr>
                <m:ctrlPr>
                  <w:rPr>
                    <w:rFonts w:ascii="Cambria Math" w:hAnsi="Times New Roman" w:cs="Times New Roman"/>
                    <w:i/>
                    <w:sz w:val="24"/>
                    <w:szCs w:val="24"/>
                    <w:lang w:val="en-US"/>
                  </w:rPr>
                </m:ctrlPr>
              </m:fPr>
              <m:num>
                <m:r>
                  <w:rPr>
                    <w:rFonts w:ascii="Times New Roman" w:hAnsi="Times New Roman" w:cs="Times New Roman"/>
                    <w:sz w:val="24"/>
                    <w:szCs w:val="24"/>
                    <w:lang w:val="en-US"/>
                  </w:rPr>
                  <m:t>-</m:t>
                </m:r>
                <m:r>
                  <w:rPr>
                    <w:rFonts w:ascii="Cambria Math" w:hAnsi="Times New Roman" w:cs="Times New Roman"/>
                    <w:sz w:val="24"/>
                    <w:szCs w:val="24"/>
                    <w:lang w:val="en-US"/>
                  </w:rPr>
                  <m:t xml:space="preserve"> </m:t>
                </m:r>
                <m:r>
                  <w:rPr>
                    <w:rFonts w:ascii="Cambria Math" w:hAnsi="Cambria Math" w:cs="Times New Roman"/>
                    <w:sz w:val="24"/>
                    <w:szCs w:val="24"/>
                  </w:rPr>
                  <m:t>Cov</m:t>
                </m:r>
                <m:r>
                  <w:rPr>
                    <w:rFonts w:ascii="Cambria Math" w:hAnsi="Times New Roman" w:cs="Times New Roman"/>
                    <w:sz w:val="24"/>
                    <w:szCs w:val="24"/>
                    <w:lang w:val="en-US"/>
                  </w:rPr>
                  <m:t xml:space="preserve"> (</m:t>
                </m:r>
                <m:r>
                  <w:rPr>
                    <w:rFonts w:ascii="Times New Roman" w:hAnsi="Times New Roman" w:cs="Times New Roman"/>
                    <w:sz w:val="24"/>
                    <w:szCs w:val="24"/>
                    <w:lang w:val="en-US"/>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w:rPr>
                    <w:rFonts w:ascii="Cambria Math" w:hAnsi="Times New Roman" w:cs="Times New Roman"/>
                    <w:sz w:val="24"/>
                    <w:szCs w:val="24"/>
                    <w:lang w:val="en-US"/>
                  </w:rPr>
                  <m:t xml:space="preserve"> ; </m:t>
                </m:r>
                <m:r>
                  <w:rPr>
                    <w:rFonts w:ascii="Times New Roman" w:hAnsi="Times New Roman" w:cs="Times New Roman"/>
                    <w:sz w:val="24"/>
                    <w:szCs w:val="24"/>
                    <w:lang w:val="en-US"/>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r>
                      <w:rPr>
                        <w:rFonts w:ascii="Cambria Math" w:hAnsi="Times New Roman" w:cs="Times New Roman"/>
                        <w:sz w:val="24"/>
                        <w:szCs w:val="24"/>
                        <w:lang w:val="en-US"/>
                      </w:rPr>
                      <m:t>+1</m:t>
                    </m:r>
                  </m:sub>
                </m:sSub>
                <m:r>
                  <w:rPr>
                    <w:rFonts w:ascii="Cambria Math" w:hAnsi="Times New Roman" w:cs="Times New Roman"/>
                    <w:sz w:val="24"/>
                    <w:szCs w:val="24"/>
                    <w:lang w:val="en-US"/>
                  </w:rPr>
                  <m:t>)</m:t>
                </m:r>
              </m:num>
              <m:den>
                <m:d>
                  <m:dPr>
                    <m:ctrlPr>
                      <w:rPr>
                        <w:rFonts w:ascii="Cambria Math" w:hAnsi="Times New Roman" w:cs="Times New Roman"/>
                        <w:i/>
                        <w:sz w:val="24"/>
                        <w:szCs w:val="24"/>
                        <w:lang w:val="en-US"/>
                      </w:rPr>
                    </m:ctrlPr>
                  </m:dPr>
                  <m:e>
                    <m:r>
                      <w:rPr>
                        <w:rFonts w:ascii="Cambria Math" w:hAnsi="Times New Roman" w:cs="Times New Roman"/>
                        <w:sz w:val="24"/>
                        <w:szCs w:val="24"/>
                        <w:lang w:val="en-US"/>
                      </w:rPr>
                      <m:t>1</m:t>
                    </m:r>
                    <m:r>
                      <w:rPr>
                        <w:rFonts w:ascii="Times New Roman" w:hAnsi="Times New Roman" w:cs="Times New Roman"/>
                        <w:sz w:val="24"/>
                        <w:szCs w:val="24"/>
                        <w:lang w:val="en-US"/>
                      </w:rPr>
                      <m:t>-</m:t>
                    </m:r>
                    <m:r>
                      <w:rPr>
                        <w:rFonts w:ascii="Cambria Math" w:hAnsi="Times New Roman" w:cs="Times New Roman"/>
                        <w:sz w:val="24"/>
                        <w:szCs w:val="24"/>
                        <w:lang w:val="en-US"/>
                      </w:rPr>
                      <m:t xml:space="preserve"> </m:t>
                    </m:r>
                    <m:r>
                      <m:rPr>
                        <m:sty m:val="p"/>
                      </m:rPr>
                      <w:rPr>
                        <w:rFonts w:ascii="Times New Roman" w:hAnsi="Times New Roman" w:cs="Times New Roman"/>
                        <w:sz w:val="24"/>
                        <w:szCs w:val="24"/>
                      </w:rPr>
                      <m:t>δ</m:t>
                    </m:r>
                    <m:ctrlPr>
                      <w:rPr>
                        <w:rFonts w:ascii="Cambria Math" w:hAnsi="Times New Roman" w:cs="Times New Roman"/>
                        <w:sz w:val="24"/>
                        <w:szCs w:val="24"/>
                      </w:rPr>
                    </m:ctrlPr>
                  </m:e>
                </m:d>
                <m:r>
                  <m:rPr>
                    <m:sty m:val="p"/>
                  </m:rPr>
                  <w:rPr>
                    <w:rFonts w:ascii="Cambria Math" w:hAnsi="Times New Roman" w:cs="Times New Roman"/>
                    <w:sz w:val="24"/>
                    <w:szCs w:val="24"/>
                    <w:lang w:val="en-US"/>
                  </w:rPr>
                  <m:t>(1</m:t>
                </m:r>
                <m:r>
                  <m:rPr>
                    <m:sty m:val="p"/>
                  </m:rPr>
                  <w:rPr>
                    <w:rFonts w:ascii="Times New Roman" w:hAnsi="Times New Roman" w:cs="Times New Roman"/>
                    <w:sz w:val="24"/>
                    <w:szCs w:val="24"/>
                    <w:lang w:val="en-US"/>
                  </w:rPr>
                  <m:t>-</m:t>
                </m:r>
                <m:r>
                  <m:rPr>
                    <m:sty m:val="p"/>
                  </m:rPr>
                  <w:rPr>
                    <w:rFonts w:ascii="Cambria Math" w:hAnsi="Times New Roman" w:cs="Times New Roman"/>
                    <w:sz w:val="24"/>
                    <w:szCs w:val="24"/>
                  </w:rPr>
                  <m:t>α</m:t>
                </m:r>
                <m:r>
                  <m:rPr>
                    <m:sty m:val="p"/>
                  </m:rPr>
                  <w:rPr>
                    <w:rFonts w:ascii="Cambria Math" w:hAnsi="Times New Roman" w:cs="Times New Roman"/>
                    <w:sz w:val="24"/>
                    <w:szCs w:val="24"/>
                    <w:lang w:val="en-US"/>
                  </w:rPr>
                  <m:t>)</m:t>
                </m:r>
              </m:den>
            </m:f>
          </m:e>
        </m:rad>
      </m:oMath>
      <w:r w:rsidRPr="00D71CD1">
        <w:rPr>
          <w:rFonts w:ascii="Times New Roman" w:eastAsiaTheme="minorEastAsia" w:hAnsi="Times New Roman" w:cs="Times New Roman"/>
          <w:sz w:val="24"/>
          <w:szCs w:val="24"/>
          <w:lang w:val="en-US"/>
        </w:rPr>
        <w:t xml:space="preserve"> </w:t>
      </w:r>
      <w:r w:rsidRPr="00D71CD1">
        <w:rPr>
          <w:rFonts w:ascii="Times New Roman" w:eastAsiaTheme="minorEastAsia" w:hAnsi="Times New Roman" w:cs="Times New Roman"/>
          <w:sz w:val="24"/>
          <w:szCs w:val="24"/>
          <w:lang w:val="en-US"/>
        </w:rPr>
        <w:tab/>
      </w:r>
      <w:r w:rsidRPr="00D71CD1">
        <w:rPr>
          <w:rFonts w:ascii="Times New Roman" w:eastAsiaTheme="minorEastAsia" w:hAnsi="Times New Roman" w:cs="Times New Roman"/>
          <w:sz w:val="24"/>
          <w:szCs w:val="24"/>
          <w:lang w:val="en-US"/>
        </w:rPr>
        <w:tab/>
      </w:r>
      <w:r w:rsidRPr="00D71CD1">
        <w:rPr>
          <w:rFonts w:ascii="Times New Roman" w:eastAsiaTheme="minorEastAsia" w:hAnsi="Times New Roman" w:cs="Times New Roman"/>
          <w:sz w:val="24"/>
          <w:szCs w:val="24"/>
          <w:lang w:val="en-US"/>
        </w:rPr>
        <w:tab/>
      </w:r>
      <w:r w:rsidRPr="00D71CD1">
        <w:rPr>
          <w:rFonts w:ascii="Times New Roman" w:eastAsiaTheme="minorEastAsia" w:hAnsi="Times New Roman" w:cs="Times New Roman"/>
          <w:sz w:val="24"/>
          <w:szCs w:val="24"/>
          <w:lang w:val="en-US"/>
        </w:rPr>
        <w:tab/>
      </w:r>
      <w:r w:rsidRPr="00D71CD1">
        <w:rPr>
          <w:rFonts w:ascii="Times New Roman" w:eastAsiaTheme="minorEastAsia" w:hAnsi="Times New Roman" w:cs="Times New Roman"/>
          <w:sz w:val="24"/>
          <w:szCs w:val="24"/>
          <w:lang w:val="en-US"/>
        </w:rPr>
        <w:tab/>
      </w:r>
      <w:r w:rsidRPr="00D71CD1">
        <w:rPr>
          <w:rFonts w:ascii="Times New Roman" w:eastAsiaTheme="minorEastAsia" w:hAnsi="Times New Roman" w:cs="Times New Roman"/>
          <w:sz w:val="24"/>
          <w:szCs w:val="24"/>
          <w:lang w:val="en-US"/>
        </w:rPr>
        <w:tab/>
      </w:r>
      <w:r w:rsidRPr="00D71CD1">
        <w:rPr>
          <w:rFonts w:ascii="Times New Roman" w:eastAsiaTheme="minorEastAsia" w:hAnsi="Times New Roman" w:cs="Times New Roman"/>
          <w:sz w:val="24"/>
          <w:szCs w:val="24"/>
          <w:lang w:val="en-US"/>
        </w:rPr>
        <w:tab/>
      </w:r>
      <w:r w:rsidR="009378EF" w:rsidRPr="00D71CD1">
        <w:rPr>
          <w:rFonts w:ascii="Times New Roman" w:eastAsiaTheme="minorEastAsia" w:hAnsi="Times New Roman" w:cs="Times New Roman"/>
          <w:sz w:val="24"/>
          <w:szCs w:val="24"/>
          <w:lang w:val="en-US"/>
        </w:rPr>
        <w:tab/>
        <w:t xml:space="preserve">    (3</w:t>
      </w:r>
      <w:r w:rsidRPr="00D71CD1">
        <w:rPr>
          <w:rFonts w:ascii="Times New Roman" w:eastAsiaTheme="minorEastAsia" w:hAnsi="Times New Roman" w:cs="Times New Roman"/>
          <w:sz w:val="24"/>
          <w:szCs w:val="24"/>
          <w:lang w:val="en-US"/>
        </w:rPr>
        <w:t>)</w:t>
      </w:r>
    </w:p>
    <w:p w:rsidR="00D422E8" w:rsidRPr="00D71CD1" w:rsidRDefault="00D422E8" w:rsidP="00D71CD1">
      <w:pPr>
        <w:pStyle w:val="PargrafodaLista"/>
        <w:spacing w:after="0" w:line="240" w:lineRule="auto"/>
        <w:ind w:left="0"/>
        <w:jc w:val="both"/>
        <w:rPr>
          <w:rFonts w:ascii="Times New Roman" w:hAnsi="Times New Roman" w:cs="Times New Roman"/>
          <w:sz w:val="24"/>
          <w:szCs w:val="24"/>
          <w:lang w:val="en-US"/>
        </w:rPr>
      </w:pPr>
    </w:p>
    <w:p w:rsidR="00D422E8" w:rsidRPr="00D71CD1" w:rsidRDefault="00D422E8" w:rsidP="00D71CD1">
      <w:pPr>
        <w:autoSpaceDE w:val="0"/>
        <w:autoSpaceDN w:val="0"/>
        <w:adjustRightInd w:val="0"/>
        <w:spacing w:after="0" w:line="240" w:lineRule="auto"/>
        <w:jc w:val="both"/>
        <w:rPr>
          <w:rFonts w:ascii="Times New Roman" w:hAnsi="Times New Roman" w:cs="Times New Roman"/>
          <w:sz w:val="24"/>
          <w:szCs w:val="24"/>
        </w:rPr>
      </w:pPr>
      <w:proofErr w:type="gramStart"/>
      <w:r w:rsidRPr="00D71CD1">
        <w:rPr>
          <w:rFonts w:ascii="Times New Roman" w:hAnsi="Times New Roman" w:cs="Times New Roman"/>
          <w:sz w:val="24"/>
          <w:szCs w:val="24"/>
        </w:rPr>
        <w:t>em</w:t>
      </w:r>
      <w:proofErr w:type="gramEnd"/>
      <w:r w:rsidRPr="00D71CD1">
        <w:rPr>
          <w:rFonts w:ascii="Times New Roman" w:hAnsi="Times New Roman" w:cs="Times New Roman"/>
          <w:sz w:val="24"/>
          <w:szCs w:val="24"/>
        </w:rPr>
        <w:t xml:space="preserve"> que:</w:t>
      </w:r>
    </w:p>
    <w:p w:rsidR="00D422E8" w:rsidRPr="00D71CD1" w:rsidRDefault="00D422E8" w:rsidP="00D71CD1">
      <w:pPr>
        <w:autoSpaceDE w:val="0"/>
        <w:autoSpaceDN w:val="0"/>
        <w:adjustRightInd w:val="0"/>
        <w:spacing w:after="0" w:line="240" w:lineRule="auto"/>
        <w:jc w:val="both"/>
        <w:rPr>
          <w:rFonts w:ascii="Times New Roman" w:hAnsi="Times New Roman" w:cs="Times New Roman"/>
          <w:sz w:val="24"/>
          <w:szCs w:val="24"/>
        </w:rPr>
      </w:pPr>
      <w:r w:rsidRPr="00D71CD1">
        <w:rPr>
          <w:rFonts w:ascii="Times New Roman" w:hAnsi="Times New Roman" w:cs="Times New Roman"/>
          <w:sz w:val="24"/>
          <w:szCs w:val="24"/>
        </w:rPr>
        <w:t xml:space="preserve">Modelo </w:t>
      </w:r>
      <w:proofErr w:type="spellStart"/>
      <w:proofErr w:type="gramStart"/>
      <w:r w:rsidRPr="00D71CD1">
        <w:rPr>
          <w:rFonts w:ascii="Times New Roman" w:hAnsi="Times New Roman" w:cs="Times New Roman"/>
          <w:sz w:val="24"/>
          <w:szCs w:val="24"/>
        </w:rPr>
        <w:t>sCDP</w:t>
      </w:r>
      <w:proofErr w:type="spellEnd"/>
      <w:proofErr w:type="gramEnd"/>
      <w:r w:rsidRPr="00D71CD1">
        <w:rPr>
          <w:rFonts w:ascii="Times New Roman" w:hAnsi="Times New Roman" w:cs="Times New Roman"/>
          <w:sz w:val="24"/>
          <w:szCs w:val="24"/>
        </w:rPr>
        <w:t xml:space="preserve"> =&gt; Medida implícita do </w:t>
      </w:r>
      <w:r w:rsidRPr="00D71CD1">
        <w:rPr>
          <w:rFonts w:ascii="Times New Roman" w:hAnsi="Times New Roman" w:cs="Times New Roman"/>
          <w:i/>
          <w:sz w:val="24"/>
          <w:szCs w:val="24"/>
        </w:rPr>
        <w:t>spread</w:t>
      </w:r>
      <w:r w:rsidRPr="00D71CD1">
        <w:rPr>
          <w:rFonts w:ascii="Times New Roman" w:hAnsi="Times New Roman" w:cs="Times New Roman"/>
          <w:sz w:val="24"/>
          <w:szCs w:val="24"/>
        </w:rPr>
        <w:t>;</w:t>
      </w:r>
    </w:p>
    <w:p w:rsidR="00D422E8" w:rsidRPr="00D71CD1" w:rsidRDefault="00D422E8" w:rsidP="00D71CD1">
      <w:pPr>
        <w:autoSpaceDE w:val="0"/>
        <w:autoSpaceDN w:val="0"/>
        <w:adjustRightInd w:val="0"/>
        <w:spacing w:after="0" w:line="240" w:lineRule="auto"/>
        <w:jc w:val="both"/>
        <w:rPr>
          <w:rFonts w:ascii="Times New Roman" w:hAnsi="Times New Roman" w:cs="Times New Roman"/>
          <w:sz w:val="24"/>
          <w:szCs w:val="24"/>
        </w:rPr>
      </w:pPr>
      <w:proofErr w:type="spellStart"/>
      <w:r w:rsidRPr="00D71CD1">
        <w:rPr>
          <w:rFonts w:ascii="Times New Roman" w:hAnsi="Times New Roman" w:cs="Times New Roman"/>
          <w:sz w:val="24"/>
          <w:szCs w:val="24"/>
        </w:rPr>
        <w:t>Cov</w:t>
      </w:r>
      <w:proofErr w:type="spellEnd"/>
      <w:r w:rsidRPr="00D71CD1">
        <w:rPr>
          <w:rFonts w:ascii="Times New Roman" w:hAnsi="Times New Roman" w:cs="Times New Roman"/>
          <w:sz w:val="24"/>
          <w:szCs w:val="24"/>
        </w:rPr>
        <w:t xml:space="preserve"> =&gt; Covariância serial de primeira ordem das variações dos preços observados;</w:t>
      </w:r>
    </w:p>
    <w:p w:rsidR="00D422E8" w:rsidRPr="00D71CD1" w:rsidRDefault="00D422E8" w:rsidP="00D71CD1">
      <w:pPr>
        <w:pStyle w:val="Corpodetexto2"/>
        <w:spacing w:after="0" w:line="240" w:lineRule="auto"/>
        <w:jc w:val="both"/>
        <w:rPr>
          <w:rFonts w:ascii="Times New Roman" w:eastAsia="Times New Roman" w:hAnsi="Times New Roman" w:cs="Times New Roman"/>
          <w:sz w:val="24"/>
          <w:szCs w:val="24"/>
        </w:rPr>
      </w:pPr>
      <m:oMath>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oMath>
      <w:r w:rsidRPr="00D71CD1">
        <w:rPr>
          <w:rFonts w:ascii="Times New Roman" w:eastAsia="Times New Roman" w:hAnsi="Times New Roman" w:cs="Times New Roman"/>
          <w:sz w:val="24"/>
          <w:szCs w:val="24"/>
        </w:rPr>
        <w:t xml:space="preserve"> </w:t>
      </w:r>
      <w:r w:rsidRPr="00D71CD1">
        <w:rPr>
          <w:rFonts w:ascii="Times New Roman" w:hAnsi="Times New Roman" w:cs="Times New Roman"/>
          <w:sz w:val="24"/>
          <w:szCs w:val="24"/>
        </w:rPr>
        <w:t>=&gt;</w:t>
      </w:r>
      <w:r w:rsidRPr="00D71CD1">
        <w:rPr>
          <w:rFonts w:ascii="Times New Roman" w:eastAsia="Times New Roman" w:hAnsi="Times New Roman" w:cs="Times New Roman"/>
          <w:sz w:val="24"/>
          <w:szCs w:val="24"/>
        </w:rPr>
        <w:t xml:space="preserve"> Variação do preço entre o último negócio efetuado </w:t>
      </w:r>
      <m:oMath>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P</m:t>
            </m:r>
          </m:e>
          <m:sub>
            <m:r>
              <w:rPr>
                <w:rFonts w:ascii="Cambria Math" w:hAnsi="Cambria Math" w:cs="Times New Roman"/>
                <w:sz w:val="24"/>
                <w:szCs w:val="24"/>
              </w:rPr>
              <m:t>t</m:t>
            </m:r>
          </m:sub>
        </m:sSub>
        <m:r>
          <w:rPr>
            <w:rFonts w:ascii="Cambria Math" w:hAnsi="Times New Roman" w:cs="Times New Roman"/>
            <w:sz w:val="24"/>
            <w:szCs w:val="24"/>
          </w:rPr>
          <m:t>)</m:t>
        </m:r>
      </m:oMath>
      <w:r w:rsidRPr="00D71CD1">
        <w:rPr>
          <w:rFonts w:ascii="Times New Roman" w:eastAsia="Times New Roman" w:hAnsi="Times New Roman" w:cs="Times New Roman"/>
          <w:sz w:val="24"/>
          <w:szCs w:val="24"/>
        </w:rPr>
        <w:t xml:space="preserve"> e o anterior ao último negócio efetuado (</w:t>
      </w:r>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r>
              <w:rPr>
                <w:rFonts w:ascii="Times New Roman" w:hAnsi="Times New Roman" w:cs="Times New Roman"/>
                <w:sz w:val="24"/>
                <w:szCs w:val="24"/>
              </w:rPr>
              <m:t>-</m:t>
            </m:r>
            <m:r>
              <w:rPr>
                <w:rFonts w:ascii="Cambria Math" w:hAnsi="Times New Roman" w:cs="Times New Roman"/>
                <w:sz w:val="24"/>
                <w:szCs w:val="24"/>
              </w:rPr>
              <m:t>1</m:t>
            </m:r>
          </m:sub>
        </m:sSub>
      </m:oMath>
      <w:r w:rsidRPr="00D71CD1">
        <w:rPr>
          <w:rFonts w:ascii="Times New Roman" w:eastAsia="Times New Roman" w:hAnsi="Times New Roman" w:cs="Times New Roman"/>
          <w:sz w:val="24"/>
          <w:szCs w:val="24"/>
        </w:rPr>
        <w:t>);</w:t>
      </w:r>
    </w:p>
    <w:p w:rsidR="00D422E8" w:rsidRPr="00D71CD1" w:rsidRDefault="00D422E8" w:rsidP="00D71CD1">
      <w:pPr>
        <w:pStyle w:val="Corpodetexto2"/>
        <w:spacing w:after="0" w:line="240" w:lineRule="auto"/>
        <w:jc w:val="both"/>
        <w:rPr>
          <w:rFonts w:ascii="Times New Roman" w:eastAsia="Times New Roman" w:hAnsi="Times New Roman" w:cs="Times New Roman"/>
          <w:sz w:val="24"/>
          <w:szCs w:val="24"/>
        </w:rPr>
      </w:pPr>
      <m:oMath>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r>
              <w:rPr>
                <w:rFonts w:ascii="Cambria Math" w:hAnsi="Times New Roman" w:cs="Times New Roman"/>
                <w:sz w:val="24"/>
                <w:szCs w:val="24"/>
              </w:rPr>
              <m:t>+1</m:t>
            </m:r>
          </m:sub>
        </m:sSub>
      </m:oMath>
      <w:r w:rsidRPr="00D71CD1">
        <w:rPr>
          <w:rFonts w:ascii="Times New Roman" w:eastAsia="Times New Roman" w:hAnsi="Times New Roman" w:cs="Times New Roman"/>
          <w:sz w:val="24"/>
          <w:szCs w:val="24"/>
        </w:rPr>
        <w:t xml:space="preserve"> </w:t>
      </w:r>
      <w:r w:rsidRPr="00D71CD1">
        <w:rPr>
          <w:rFonts w:ascii="Times New Roman" w:hAnsi="Times New Roman" w:cs="Times New Roman"/>
          <w:sz w:val="24"/>
          <w:szCs w:val="24"/>
        </w:rPr>
        <w:t>=&gt;</w:t>
      </w:r>
      <w:r w:rsidRPr="00D71CD1">
        <w:rPr>
          <w:rFonts w:ascii="Times New Roman" w:eastAsia="Times New Roman" w:hAnsi="Times New Roman" w:cs="Times New Roman"/>
          <w:sz w:val="24"/>
          <w:szCs w:val="24"/>
        </w:rPr>
        <w:t xml:space="preserve"> Variação do preço entre o próximo negócio efetuado </w:t>
      </w:r>
      <m:oMath>
        <m:r>
          <w:rPr>
            <w:rFonts w:ascii="Cambria Math" w:eastAsia="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r>
              <w:rPr>
                <w:rFonts w:ascii="Cambria Math" w:hAnsi="Times New Roman" w:cs="Times New Roman"/>
                <w:sz w:val="24"/>
                <w:szCs w:val="24"/>
              </w:rPr>
              <m:t>+1</m:t>
            </m:r>
          </m:sub>
        </m:sSub>
      </m:oMath>
      <w:r w:rsidRPr="00D71CD1">
        <w:rPr>
          <w:rFonts w:ascii="Times New Roman" w:eastAsia="Times New Roman" w:hAnsi="Times New Roman" w:cs="Times New Roman"/>
          <w:sz w:val="24"/>
          <w:szCs w:val="24"/>
        </w:rPr>
        <w:t>) e o último negócio registrado (</w:t>
      </w:r>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w:rPr>
            <w:rFonts w:ascii="Cambria Math" w:hAnsi="Times New Roman" w:cs="Times New Roman"/>
            <w:sz w:val="24"/>
            <w:szCs w:val="24"/>
          </w:rPr>
          <m:t>)</m:t>
        </m:r>
      </m:oMath>
      <w:r w:rsidRPr="00D71CD1">
        <w:rPr>
          <w:rFonts w:ascii="Times New Roman" w:eastAsia="Times New Roman" w:hAnsi="Times New Roman" w:cs="Times New Roman"/>
          <w:sz w:val="24"/>
          <w:szCs w:val="24"/>
        </w:rPr>
        <w:t>;</w:t>
      </w:r>
    </w:p>
    <w:p w:rsidR="00D422E8" w:rsidRPr="00D71CD1" w:rsidRDefault="00D422E8" w:rsidP="00D71CD1">
      <w:pPr>
        <w:autoSpaceDE w:val="0"/>
        <w:autoSpaceDN w:val="0"/>
        <w:adjustRightInd w:val="0"/>
        <w:spacing w:after="0" w:line="240" w:lineRule="auto"/>
        <w:jc w:val="both"/>
        <w:rPr>
          <w:rFonts w:ascii="Times New Roman" w:hAnsi="Times New Roman" w:cs="Times New Roman"/>
          <w:sz w:val="24"/>
          <w:szCs w:val="24"/>
        </w:rPr>
      </w:pPr>
      <w:r w:rsidRPr="00D71CD1">
        <w:rPr>
          <w:rFonts w:ascii="Times New Roman" w:hAnsi="Times New Roman" w:cs="Times New Roman"/>
          <w:sz w:val="24"/>
          <w:szCs w:val="24"/>
        </w:rPr>
        <w:t>(δ) =&gt; probabilidade de a transação ocorrer no mesmo preço da transação anterior;</w:t>
      </w:r>
    </w:p>
    <w:p w:rsidR="00D422E8" w:rsidRPr="00D71CD1" w:rsidRDefault="00D422E8" w:rsidP="00D71CD1">
      <w:pPr>
        <w:autoSpaceDE w:val="0"/>
        <w:autoSpaceDN w:val="0"/>
        <w:adjustRightInd w:val="0"/>
        <w:spacing w:after="0" w:line="240" w:lineRule="auto"/>
        <w:jc w:val="both"/>
        <w:rPr>
          <w:rFonts w:ascii="Times New Roman" w:hAnsi="Times New Roman" w:cs="Times New Roman"/>
          <w:sz w:val="24"/>
          <w:szCs w:val="24"/>
        </w:rPr>
      </w:pPr>
      <w:r w:rsidRPr="00D71CD1">
        <w:rPr>
          <w:rFonts w:ascii="Times New Roman" w:hAnsi="Times New Roman" w:cs="Times New Roman"/>
          <w:sz w:val="24"/>
          <w:szCs w:val="24"/>
        </w:rPr>
        <w:t>(α) =&gt; probabilidade de a transação ocorrer no mesmo preço da próxima transação;</w:t>
      </w:r>
    </w:p>
    <w:p w:rsidR="00D422E8" w:rsidRPr="00D71CD1" w:rsidRDefault="00D422E8" w:rsidP="00D71CD1">
      <w:pPr>
        <w:autoSpaceDE w:val="0"/>
        <w:autoSpaceDN w:val="0"/>
        <w:adjustRightInd w:val="0"/>
        <w:spacing w:after="0" w:line="240" w:lineRule="auto"/>
        <w:ind w:firstLine="708"/>
        <w:jc w:val="both"/>
        <w:rPr>
          <w:rFonts w:ascii="Times New Roman" w:hAnsi="Times New Roman" w:cs="Times New Roman"/>
          <w:sz w:val="24"/>
          <w:szCs w:val="24"/>
        </w:rPr>
      </w:pPr>
    </w:p>
    <w:p w:rsidR="00D422E8" w:rsidRPr="00D71CD1" w:rsidRDefault="00D422E8" w:rsidP="00D71CD1">
      <w:pPr>
        <w:autoSpaceDE w:val="0"/>
        <w:autoSpaceDN w:val="0"/>
        <w:adjustRightInd w:val="0"/>
        <w:spacing w:after="0" w:line="240" w:lineRule="auto"/>
        <w:jc w:val="both"/>
        <w:rPr>
          <w:rFonts w:ascii="Times New Roman" w:hAnsi="Times New Roman" w:cs="Times New Roman"/>
          <w:sz w:val="24"/>
          <w:szCs w:val="24"/>
        </w:rPr>
      </w:pPr>
      <w:r w:rsidRPr="00D71CD1">
        <w:rPr>
          <w:rFonts w:ascii="Times New Roman" w:hAnsi="Times New Roman" w:cs="Times New Roman"/>
          <w:b/>
          <w:sz w:val="24"/>
          <w:szCs w:val="24"/>
        </w:rPr>
        <w:tab/>
      </w:r>
      <w:r w:rsidRPr="00D71CD1">
        <w:rPr>
          <w:rFonts w:ascii="Times New Roman" w:hAnsi="Times New Roman" w:cs="Times New Roman"/>
          <w:sz w:val="24"/>
          <w:szCs w:val="24"/>
        </w:rPr>
        <w:t xml:space="preserve">Para estudos envolvendo mercado futuro, </w:t>
      </w:r>
      <w:r w:rsidR="009378EF" w:rsidRPr="00D71CD1">
        <w:rPr>
          <w:rFonts w:ascii="Times New Roman" w:hAnsi="Times New Roman" w:cs="Times New Roman"/>
          <w:sz w:val="24"/>
          <w:szCs w:val="24"/>
        </w:rPr>
        <w:t xml:space="preserve">o estimador de Chu </w:t>
      </w:r>
      <w:proofErr w:type="spellStart"/>
      <w:proofErr w:type="gramStart"/>
      <w:r w:rsidR="009378EF" w:rsidRPr="00D71CD1">
        <w:rPr>
          <w:rFonts w:ascii="Times New Roman" w:hAnsi="Times New Roman" w:cs="Times New Roman"/>
          <w:i/>
          <w:sz w:val="24"/>
          <w:szCs w:val="24"/>
        </w:rPr>
        <w:t>et</w:t>
      </w:r>
      <w:proofErr w:type="spellEnd"/>
      <w:proofErr w:type="gramEnd"/>
      <w:r w:rsidR="009378EF" w:rsidRPr="00D71CD1">
        <w:rPr>
          <w:rFonts w:ascii="Times New Roman" w:hAnsi="Times New Roman" w:cs="Times New Roman"/>
          <w:i/>
          <w:sz w:val="24"/>
          <w:szCs w:val="24"/>
        </w:rPr>
        <w:t xml:space="preserve"> al.</w:t>
      </w:r>
      <w:r w:rsidR="009378EF" w:rsidRPr="00D71CD1">
        <w:rPr>
          <w:rFonts w:ascii="Times New Roman" w:hAnsi="Times New Roman" w:cs="Times New Roman"/>
          <w:sz w:val="24"/>
          <w:szCs w:val="24"/>
        </w:rPr>
        <w:t xml:space="preserve"> (1996) </w:t>
      </w:r>
      <w:r w:rsidRPr="00D71CD1">
        <w:rPr>
          <w:rFonts w:ascii="Times New Roman" w:hAnsi="Times New Roman" w:cs="Times New Roman"/>
          <w:sz w:val="24"/>
          <w:szCs w:val="24"/>
        </w:rPr>
        <w:t xml:space="preserve">foram utilizados nos trabalhos de </w:t>
      </w:r>
      <w:proofErr w:type="spellStart"/>
      <w:r w:rsidRPr="00D71CD1">
        <w:rPr>
          <w:rFonts w:ascii="Times New Roman" w:hAnsi="Times New Roman" w:cs="Times New Roman"/>
          <w:sz w:val="24"/>
          <w:szCs w:val="24"/>
        </w:rPr>
        <w:t>Bryant</w:t>
      </w:r>
      <w:proofErr w:type="spellEnd"/>
      <w:r w:rsidRPr="00D71CD1">
        <w:rPr>
          <w:rFonts w:ascii="Times New Roman" w:hAnsi="Times New Roman" w:cs="Times New Roman"/>
          <w:sz w:val="24"/>
          <w:szCs w:val="24"/>
        </w:rPr>
        <w:t xml:space="preserve"> e </w:t>
      </w:r>
      <w:proofErr w:type="spellStart"/>
      <w:r w:rsidRPr="00D71CD1">
        <w:rPr>
          <w:rFonts w:ascii="Times New Roman" w:hAnsi="Times New Roman" w:cs="Times New Roman"/>
          <w:sz w:val="24"/>
          <w:szCs w:val="24"/>
        </w:rPr>
        <w:t>Haigh</w:t>
      </w:r>
      <w:proofErr w:type="spellEnd"/>
      <w:r w:rsidRPr="00D71CD1">
        <w:rPr>
          <w:rFonts w:ascii="Times New Roman" w:hAnsi="Times New Roman" w:cs="Times New Roman"/>
          <w:sz w:val="24"/>
          <w:szCs w:val="24"/>
        </w:rPr>
        <w:t xml:space="preserve"> (2002) e </w:t>
      </w:r>
      <w:proofErr w:type="spellStart"/>
      <w:r w:rsidRPr="00D71CD1">
        <w:rPr>
          <w:rFonts w:ascii="Times New Roman" w:hAnsi="Times New Roman" w:cs="Times New Roman"/>
          <w:sz w:val="24"/>
          <w:szCs w:val="24"/>
        </w:rPr>
        <w:t>Shah</w:t>
      </w:r>
      <w:proofErr w:type="spellEnd"/>
      <w:r w:rsidRPr="00D71CD1">
        <w:rPr>
          <w:rFonts w:ascii="Times New Roman" w:hAnsi="Times New Roman" w:cs="Times New Roman"/>
          <w:sz w:val="24"/>
          <w:szCs w:val="24"/>
        </w:rPr>
        <w:t xml:space="preserve"> </w:t>
      </w:r>
      <w:proofErr w:type="spellStart"/>
      <w:r w:rsidRPr="00D71CD1">
        <w:rPr>
          <w:rFonts w:ascii="Times New Roman" w:hAnsi="Times New Roman" w:cs="Times New Roman"/>
          <w:i/>
          <w:sz w:val="24"/>
          <w:szCs w:val="24"/>
        </w:rPr>
        <w:t>et</w:t>
      </w:r>
      <w:proofErr w:type="spellEnd"/>
      <w:r w:rsidRPr="00D71CD1">
        <w:rPr>
          <w:rFonts w:ascii="Times New Roman" w:hAnsi="Times New Roman" w:cs="Times New Roman"/>
          <w:i/>
          <w:sz w:val="24"/>
          <w:szCs w:val="24"/>
        </w:rPr>
        <w:t xml:space="preserve"> al.</w:t>
      </w:r>
      <w:r w:rsidRPr="00D71CD1">
        <w:rPr>
          <w:rFonts w:ascii="Times New Roman" w:hAnsi="Times New Roman" w:cs="Times New Roman"/>
          <w:sz w:val="24"/>
          <w:szCs w:val="24"/>
        </w:rPr>
        <w:t xml:space="preserve"> (2012). O primeiro, buscou investigar a relação </w:t>
      </w:r>
      <w:proofErr w:type="spellStart"/>
      <w:proofErr w:type="gramStart"/>
      <w:r w:rsidRPr="00D71CD1">
        <w:rPr>
          <w:rFonts w:ascii="Times New Roman" w:hAnsi="Times New Roman" w:cs="Times New Roman"/>
          <w:i/>
          <w:sz w:val="24"/>
          <w:szCs w:val="24"/>
        </w:rPr>
        <w:t>bid</w:t>
      </w:r>
      <w:proofErr w:type="gramEnd"/>
      <w:r w:rsidRPr="00D71CD1">
        <w:rPr>
          <w:rFonts w:ascii="Times New Roman" w:hAnsi="Times New Roman" w:cs="Times New Roman"/>
          <w:i/>
          <w:sz w:val="24"/>
          <w:szCs w:val="24"/>
        </w:rPr>
        <w:t>-ask</w:t>
      </w:r>
      <w:proofErr w:type="spellEnd"/>
      <w:r w:rsidRPr="00D71CD1">
        <w:rPr>
          <w:rFonts w:ascii="Times New Roman" w:hAnsi="Times New Roman" w:cs="Times New Roman"/>
          <w:i/>
          <w:sz w:val="24"/>
          <w:szCs w:val="24"/>
        </w:rPr>
        <w:t xml:space="preserve"> spread </w:t>
      </w:r>
      <w:r w:rsidRPr="00D71CD1">
        <w:rPr>
          <w:rFonts w:ascii="Times New Roman" w:hAnsi="Times New Roman" w:cs="Times New Roman"/>
          <w:sz w:val="24"/>
          <w:szCs w:val="24"/>
        </w:rPr>
        <w:t xml:space="preserve">nos mercados futuros através de 5 estimadores diferentes, e o segundo onde buscou mensurar o </w:t>
      </w:r>
      <w:proofErr w:type="spellStart"/>
      <w:r w:rsidRPr="00D71CD1">
        <w:rPr>
          <w:rFonts w:ascii="Times New Roman" w:hAnsi="Times New Roman" w:cs="Times New Roman"/>
          <w:i/>
          <w:sz w:val="24"/>
          <w:szCs w:val="24"/>
        </w:rPr>
        <w:t>bid-ask</w:t>
      </w:r>
      <w:proofErr w:type="spellEnd"/>
      <w:r w:rsidRPr="00D71CD1">
        <w:rPr>
          <w:rFonts w:ascii="Times New Roman" w:hAnsi="Times New Roman" w:cs="Times New Roman"/>
          <w:i/>
          <w:sz w:val="24"/>
          <w:szCs w:val="24"/>
        </w:rPr>
        <w:t xml:space="preserve"> spread</w:t>
      </w:r>
      <w:r w:rsidRPr="00D71CD1">
        <w:rPr>
          <w:rFonts w:ascii="Times New Roman" w:hAnsi="Times New Roman" w:cs="Times New Roman"/>
          <w:sz w:val="24"/>
          <w:szCs w:val="24"/>
        </w:rPr>
        <w:t xml:space="preserve"> através de 8 estimadores.</w:t>
      </w:r>
    </w:p>
    <w:p w:rsidR="00D422E8" w:rsidRPr="00D71CD1" w:rsidRDefault="00D422E8" w:rsidP="00F02656">
      <w:pPr>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Thompson </w:t>
      </w:r>
      <w:proofErr w:type="spellStart"/>
      <w:proofErr w:type="gramStart"/>
      <w:r w:rsidRPr="00D71CD1">
        <w:rPr>
          <w:rFonts w:ascii="Times New Roman" w:hAnsi="Times New Roman" w:cs="Times New Roman"/>
          <w:i/>
          <w:sz w:val="24"/>
          <w:szCs w:val="24"/>
        </w:rPr>
        <w:t>et</w:t>
      </w:r>
      <w:proofErr w:type="spellEnd"/>
      <w:proofErr w:type="gramEnd"/>
      <w:r w:rsidRPr="00D71CD1">
        <w:rPr>
          <w:rFonts w:ascii="Times New Roman" w:hAnsi="Times New Roman" w:cs="Times New Roman"/>
          <w:i/>
          <w:sz w:val="24"/>
          <w:szCs w:val="24"/>
        </w:rPr>
        <w:t xml:space="preserve"> al.</w:t>
      </w:r>
      <w:r w:rsidRPr="00D71CD1">
        <w:rPr>
          <w:rFonts w:ascii="Times New Roman" w:hAnsi="Times New Roman" w:cs="Times New Roman"/>
          <w:sz w:val="24"/>
          <w:szCs w:val="24"/>
        </w:rPr>
        <w:t xml:space="preserve"> (1987) desenvolveram um estimador para medir o custo de execução da negociação, que conforme os autores, está diretamente relacionado com o </w:t>
      </w:r>
      <w:r w:rsidRPr="00D71CD1">
        <w:rPr>
          <w:rFonts w:ascii="Times New Roman" w:hAnsi="Times New Roman" w:cs="Times New Roman"/>
          <w:i/>
          <w:sz w:val="24"/>
          <w:szCs w:val="24"/>
        </w:rPr>
        <w:t xml:space="preserve">spread </w:t>
      </w:r>
      <w:proofErr w:type="spellStart"/>
      <w:r w:rsidRPr="00D71CD1">
        <w:rPr>
          <w:rFonts w:ascii="Times New Roman" w:hAnsi="Times New Roman" w:cs="Times New Roman"/>
          <w:i/>
          <w:sz w:val="24"/>
          <w:szCs w:val="24"/>
        </w:rPr>
        <w:t>bid-ask</w:t>
      </w:r>
      <w:proofErr w:type="spellEnd"/>
      <w:r w:rsidRPr="00D71CD1">
        <w:rPr>
          <w:rFonts w:ascii="Times New Roman" w:hAnsi="Times New Roman" w:cs="Times New Roman"/>
          <w:sz w:val="24"/>
          <w:szCs w:val="24"/>
        </w:rPr>
        <w:t>. O modelo é baseado somente na média das variações intradiárias de preços efetivamente negociados. A fórmula de TWM está apresentada na equaçã</w:t>
      </w:r>
      <w:r w:rsidR="009378EF" w:rsidRPr="00D71CD1">
        <w:rPr>
          <w:rFonts w:ascii="Times New Roman" w:hAnsi="Times New Roman" w:cs="Times New Roman"/>
          <w:sz w:val="24"/>
          <w:szCs w:val="24"/>
        </w:rPr>
        <w:t>o (4</w:t>
      </w:r>
      <w:r w:rsidRPr="00D71CD1">
        <w:rPr>
          <w:rFonts w:ascii="Times New Roman" w:hAnsi="Times New Roman" w:cs="Times New Roman"/>
          <w:sz w:val="24"/>
          <w:szCs w:val="24"/>
        </w:rPr>
        <w:t>) a seguir:</w:t>
      </w:r>
    </w:p>
    <w:p w:rsidR="00D422E8" w:rsidRPr="00D71CD1" w:rsidRDefault="00D422E8" w:rsidP="00D71CD1">
      <w:pPr>
        <w:autoSpaceDE w:val="0"/>
        <w:autoSpaceDN w:val="0"/>
        <w:adjustRightInd w:val="0"/>
        <w:spacing w:after="0" w:line="240" w:lineRule="auto"/>
        <w:ind w:firstLine="708"/>
        <w:jc w:val="both"/>
        <w:rPr>
          <w:rFonts w:ascii="Times New Roman" w:hAnsi="Times New Roman" w:cs="Times New Roman"/>
          <w:sz w:val="24"/>
          <w:szCs w:val="24"/>
        </w:rPr>
      </w:pPr>
    </w:p>
    <w:p w:rsidR="00D422E8" w:rsidRPr="00D71CD1" w:rsidRDefault="00D422E8" w:rsidP="00D71CD1">
      <w:pPr>
        <w:autoSpaceDE w:val="0"/>
        <w:autoSpaceDN w:val="0"/>
        <w:adjustRightInd w:val="0"/>
        <w:spacing w:after="0" w:line="240" w:lineRule="auto"/>
        <w:ind w:firstLine="708"/>
        <w:jc w:val="both"/>
        <w:rPr>
          <w:rFonts w:ascii="Times New Roman" w:eastAsia="Times New Roman" w:hAnsi="Times New Roman" w:cs="Times New Roman"/>
          <w:sz w:val="24"/>
          <w:szCs w:val="24"/>
        </w:rPr>
      </w:pPr>
      <w:r w:rsidRPr="00D71CD1">
        <w:rPr>
          <w:rFonts w:ascii="Times New Roman" w:hAnsi="Times New Roman" w:cs="Times New Roman"/>
          <w:sz w:val="24"/>
          <w:szCs w:val="24"/>
        </w:rPr>
        <w:t xml:space="preserve">TWM = </w:t>
      </w:r>
      <m:oMath>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Cambria Math" w:cs="Times New Roman"/>
                <w:sz w:val="24"/>
                <w:szCs w:val="24"/>
              </w:rPr>
              <m:t>T</m:t>
            </m:r>
          </m:den>
        </m:f>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t</m:t>
            </m:r>
            <m:r>
              <w:rPr>
                <w:rFonts w:ascii="Cambria Math" w:hAnsi="Times New Roman" w:cs="Times New Roman"/>
                <w:sz w:val="24"/>
                <w:szCs w:val="24"/>
              </w:rPr>
              <m:t>=1</m:t>
            </m:r>
          </m:sub>
          <m:sup>
            <m:r>
              <w:rPr>
                <w:rFonts w:ascii="Cambria Math" w:hAnsi="Cambria Math" w:cs="Times New Roman"/>
                <w:sz w:val="24"/>
                <w:szCs w:val="24"/>
              </w:rPr>
              <m:t>T</m:t>
            </m:r>
          </m:sup>
          <m:e>
            <m:r>
              <w:rPr>
                <w:rFonts w:ascii="Cambria Math" w:hAnsi="Times New Roman" w:cs="Times New Roman"/>
                <w:sz w:val="24"/>
                <w:szCs w:val="24"/>
              </w:rPr>
              <m:t>|</m:t>
            </m:r>
          </m:e>
        </m:nary>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w:rPr>
            <w:rFonts w:ascii="Cambria Math" w:hAnsi="Times New Roman" w:cs="Times New Roman"/>
            <w:sz w:val="24"/>
            <w:szCs w:val="24"/>
          </w:rPr>
          <m:t>|</m:t>
        </m:r>
      </m:oMath>
      <w:r w:rsidRPr="00D71CD1">
        <w:rPr>
          <w:rFonts w:ascii="Times New Roman" w:eastAsia="Times New Roman" w:hAnsi="Times New Roman" w:cs="Times New Roman"/>
          <w:sz w:val="24"/>
          <w:szCs w:val="24"/>
        </w:rPr>
        <w:tab/>
      </w:r>
      <w:r w:rsidRPr="00D71CD1">
        <w:rPr>
          <w:rFonts w:ascii="Times New Roman" w:eastAsia="Times New Roman" w:hAnsi="Times New Roman" w:cs="Times New Roman"/>
          <w:sz w:val="24"/>
          <w:szCs w:val="24"/>
        </w:rPr>
        <w:tab/>
      </w:r>
      <w:r w:rsidRPr="00D71CD1">
        <w:rPr>
          <w:rFonts w:ascii="Times New Roman" w:eastAsia="Times New Roman" w:hAnsi="Times New Roman" w:cs="Times New Roman"/>
          <w:sz w:val="24"/>
          <w:szCs w:val="24"/>
        </w:rPr>
        <w:tab/>
      </w:r>
      <w:r w:rsidRPr="00D71CD1">
        <w:rPr>
          <w:rFonts w:ascii="Times New Roman" w:eastAsia="Times New Roman" w:hAnsi="Times New Roman" w:cs="Times New Roman"/>
          <w:sz w:val="24"/>
          <w:szCs w:val="24"/>
        </w:rPr>
        <w:tab/>
      </w:r>
      <w:r w:rsidRPr="00D71CD1">
        <w:rPr>
          <w:rFonts w:ascii="Times New Roman" w:eastAsia="Times New Roman" w:hAnsi="Times New Roman" w:cs="Times New Roman"/>
          <w:sz w:val="24"/>
          <w:szCs w:val="24"/>
        </w:rPr>
        <w:tab/>
      </w:r>
      <w:r w:rsidRPr="00D71CD1">
        <w:rPr>
          <w:rFonts w:ascii="Times New Roman" w:eastAsia="Times New Roman" w:hAnsi="Times New Roman" w:cs="Times New Roman"/>
          <w:sz w:val="24"/>
          <w:szCs w:val="24"/>
        </w:rPr>
        <w:tab/>
      </w:r>
      <w:r w:rsidRPr="00D71CD1">
        <w:rPr>
          <w:rFonts w:ascii="Times New Roman" w:eastAsia="Times New Roman" w:hAnsi="Times New Roman" w:cs="Times New Roman"/>
          <w:sz w:val="24"/>
          <w:szCs w:val="24"/>
        </w:rPr>
        <w:tab/>
        <w:t xml:space="preserve">     </w:t>
      </w:r>
      <w:r w:rsidR="009378EF" w:rsidRPr="00D71CD1">
        <w:rPr>
          <w:rFonts w:ascii="Times New Roman" w:eastAsia="Times New Roman" w:hAnsi="Times New Roman" w:cs="Times New Roman"/>
          <w:sz w:val="24"/>
          <w:szCs w:val="24"/>
        </w:rPr>
        <w:tab/>
        <w:t xml:space="preserve">      </w:t>
      </w:r>
      <w:r w:rsidRPr="00D71CD1">
        <w:rPr>
          <w:rFonts w:ascii="Times New Roman" w:eastAsia="Times New Roman" w:hAnsi="Times New Roman" w:cs="Times New Roman"/>
          <w:sz w:val="24"/>
          <w:szCs w:val="24"/>
        </w:rPr>
        <w:t xml:space="preserve">       </w:t>
      </w:r>
      <w:r w:rsidR="009378EF" w:rsidRPr="00D71CD1">
        <w:rPr>
          <w:rFonts w:ascii="Times New Roman" w:eastAsia="Times New Roman" w:hAnsi="Times New Roman" w:cs="Times New Roman"/>
          <w:sz w:val="24"/>
          <w:szCs w:val="24"/>
        </w:rPr>
        <w:t xml:space="preserve"> </w:t>
      </w:r>
      <w:r w:rsidRPr="00D71CD1">
        <w:rPr>
          <w:rFonts w:ascii="Times New Roman" w:eastAsia="Times New Roman" w:hAnsi="Times New Roman" w:cs="Times New Roman"/>
          <w:sz w:val="24"/>
          <w:szCs w:val="24"/>
        </w:rPr>
        <w:t>(</w:t>
      </w:r>
      <w:r w:rsidR="009378EF" w:rsidRPr="00D71CD1">
        <w:rPr>
          <w:rFonts w:ascii="Times New Roman" w:eastAsia="Times New Roman" w:hAnsi="Times New Roman" w:cs="Times New Roman"/>
          <w:sz w:val="24"/>
          <w:szCs w:val="24"/>
        </w:rPr>
        <w:t>4</w:t>
      </w:r>
      <w:r w:rsidRPr="00D71CD1">
        <w:rPr>
          <w:rFonts w:ascii="Times New Roman" w:eastAsia="Times New Roman" w:hAnsi="Times New Roman" w:cs="Times New Roman"/>
          <w:sz w:val="24"/>
          <w:szCs w:val="24"/>
        </w:rPr>
        <w:t>)</w:t>
      </w:r>
    </w:p>
    <w:p w:rsidR="00D422E8" w:rsidRPr="00D71CD1" w:rsidRDefault="00D422E8" w:rsidP="00D71CD1">
      <w:pPr>
        <w:autoSpaceDE w:val="0"/>
        <w:autoSpaceDN w:val="0"/>
        <w:adjustRightInd w:val="0"/>
        <w:spacing w:after="0" w:line="240" w:lineRule="auto"/>
        <w:ind w:firstLine="708"/>
        <w:jc w:val="both"/>
        <w:rPr>
          <w:rFonts w:ascii="Times New Roman" w:hAnsi="Times New Roman" w:cs="Times New Roman"/>
          <w:sz w:val="24"/>
          <w:szCs w:val="24"/>
        </w:rPr>
      </w:pPr>
    </w:p>
    <w:p w:rsidR="00D422E8" w:rsidRPr="00D71CD1" w:rsidRDefault="00D422E8" w:rsidP="00D71CD1">
      <w:pPr>
        <w:autoSpaceDE w:val="0"/>
        <w:autoSpaceDN w:val="0"/>
        <w:adjustRightInd w:val="0"/>
        <w:spacing w:after="0" w:line="240" w:lineRule="auto"/>
        <w:jc w:val="both"/>
        <w:rPr>
          <w:rFonts w:ascii="Times New Roman" w:hAnsi="Times New Roman" w:cs="Times New Roman"/>
          <w:sz w:val="24"/>
          <w:szCs w:val="24"/>
        </w:rPr>
      </w:pPr>
      <w:proofErr w:type="gramStart"/>
      <w:r w:rsidRPr="00D71CD1">
        <w:rPr>
          <w:rFonts w:ascii="Times New Roman" w:hAnsi="Times New Roman" w:cs="Times New Roman"/>
          <w:sz w:val="24"/>
          <w:szCs w:val="24"/>
        </w:rPr>
        <w:t>em</w:t>
      </w:r>
      <w:proofErr w:type="gramEnd"/>
      <w:r w:rsidRPr="00D71CD1">
        <w:rPr>
          <w:rFonts w:ascii="Times New Roman" w:hAnsi="Times New Roman" w:cs="Times New Roman"/>
          <w:sz w:val="24"/>
          <w:szCs w:val="24"/>
        </w:rPr>
        <w:t xml:space="preserve"> que: </w:t>
      </w:r>
    </w:p>
    <w:p w:rsidR="00D422E8" w:rsidRPr="00D71CD1" w:rsidRDefault="00D422E8" w:rsidP="00D71CD1">
      <w:pPr>
        <w:pStyle w:val="Corpodetexto2"/>
        <w:spacing w:after="0" w:line="240" w:lineRule="auto"/>
        <w:ind w:firstLine="720"/>
        <w:jc w:val="both"/>
        <w:rPr>
          <w:rFonts w:ascii="Times New Roman" w:eastAsia="Times New Roman" w:hAnsi="Times New Roman" w:cs="Times New Roman"/>
          <w:sz w:val="24"/>
          <w:szCs w:val="24"/>
        </w:rPr>
      </w:pPr>
      <m:oMath>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oMath>
      <w:r w:rsidRPr="00D71CD1">
        <w:rPr>
          <w:rFonts w:ascii="Times New Roman" w:eastAsia="Times New Roman" w:hAnsi="Times New Roman" w:cs="Times New Roman"/>
          <w:sz w:val="24"/>
          <w:szCs w:val="24"/>
        </w:rPr>
        <w:t xml:space="preserve"> = Variação dos preços do último negócio efetuado </w:t>
      </w:r>
      <m:oMath>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P</m:t>
            </m:r>
          </m:e>
          <m:sub>
            <m:r>
              <w:rPr>
                <w:rFonts w:ascii="Cambria Math" w:hAnsi="Cambria Math" w:cs="Times New Roman"/>
                <w:sz w:val="24"/>
                <w:szCs w:val="24"/>
              </w:rPr>
              <m:t>t</m:t>
            </m:r>
          </m:sub>
        </m:sSub>
        <m:r>
          <w:rPr>
            <w:rFonts w:ascii="Cambria Math" w:hAnsi="Times New Roman" w:cs="Times New Roman"/>
            <w:sz w:val="24"/>
            <w:szCs w:val="24"/>
          </w:rPr>
          <m:t>)</m:t>
        </m:r>
      </m:oMath>
      <w:r w:rsidRPr="00D71CD1">
        <w:rPr>
          <w:rFonts w:ascii="Times New Roman" w:eastAsia="Times New Roman" w:hAnsi="Times New Roman" w:cs="Times New Roman"/>
          <w:sz w:val="24"/>
          <w:szCs w:val="24"/>
        </w:rPr>
        <w:t xml:space="preserve"> e do anterior ao último negócio efetuado (</w:t>
      </w:r>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r>
              <w:rPr>
                <w:rFonts w:ascii="Times New Roman" w:hAnsi="Times New Roman" w:cs="Times New Roman"/>
                <w:sz w:val="24"/>
                <w:szCs w:val="24"/>
              </w:rPr>
              <m:t>-</m:t>
            </m:r>
            <m:r>
              <w:rPr>
                <w:rFonts w:ascii="Cambria Math" w:hAnsi="Times New Roman" w:cs="Times New Roman"/>
                <w:sz w:val="24"/>
                <w:szCs w:val="24"/>
              </w:rPr>
              <m:t>1</m:t>
            </m:r>
          </m:sub>
        </m:sSub>
      </m:oMath>
      <w:r w:rsidRPr="00D71CD1">
        <w:rPr>
          <w:rFonts w:ascii="Times New Roman" w:eastAsia="Times New Roman" w:hAnsi="Times New Roman" w:cs="Times New Roman"/>
          <w:sz w:val="24"/>
          <w:szCs w:val="24"/>
        </w:rPr>
        <w:t>);</w:t>
      </w:r>
    </w:p>
    <w:p w:rsidR="00D422E8" w:rsidRPr="00D71CD1" w:rsidRDefault="00D422E8" w:rsidP="00D71CD1">
      <w:pPr>
        <w:autoSpaceDE w:val="0"/>
        <w:autoSpaceDN w:val="0"/>
        <w:adjustRightInd w:val="0"/>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T = número de séries de alterações nos preços diferente de zero.</w:t>
      </w:r>
    </w:p>
    <w:p w:rsidR="00D422E8" w:rsidRPr="00D71CD1" w:rsidRDefault="00D422E8" w:rsidP="00D71CD1">
      <w:pPr>
        <w:autoSpaceDE w:val="0"/>
        <w:autoSpaceDN w:val="0"/>
        <w:adjustRightInd w:val="0"/>
        <w:spacing w:after="0" w:line="240" w:lineRule="auto"/>
        <w:ind w:firstLine="708"/>
        <w:jc w:val="both"/>
        <w:rPr>
          <w:rFonts w:ascii="Times New Roman" w:hAnsi="Times New Roman" w:cs="Times New Roman"/>
          <w:sz w:val="24"/>
          <w:szCs w:val="24"/>
        </w:rPr>
      </w:pPr>
    </w:p>
    <w:p w:rsidR="00D422E8" w:rsidRPr="00D71CD1" w:rsidRDefault="00D422E8" w:rsidP="00D71CD1">
      <w:pPr>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Este modelo é um dos mais utilizados em trabalhos envolvendo mercados futuros, tais como Thompson </w:t>
      </w:r>
      <w:proofErr w:type="spellStart"/>
      <w:proofErr w:type="gramStart"/>
      <w:r w:rsidRPr="00D71CD1">
        <w:rPr>
          <w:rFonts w:ascii="Times New Roman" w:hAnsi="Times New Roman" w:cs="Times New Roman"/>
          <w:i/>
          <w:sz w:val="24"/>
          <w:szCs w:val="24"/>
        </w:rPr>
        <w:t>et</w:t>
      </w:r>
      <w:proofErr w:type="spellEnd"/>
      <w:proofErr w:type="gramEnd"/>
      <w:r w:rsidRPr="00D71CD1">
        <w:rPr>
          <w:rFonts w:ascii="Times New Roman" w:hAnsi="Times New Roman" w:cs="Times New Roman"/>
          <w:i/>
          <w:sz w:val="24"/>
          <w:szCs w:val="24"/>
        </w:rPr>
        <w:t xml:space="preserve"> al.</w:t>
      </w:r>
      <w:r w:rsidRPr="00D71CD1">
        <w:rPr>
          <w:rFonts w:ascii="Times New Roman" w:hAnsi="Times New Roman" w:cs="Times New Roman"/>
          <w:sz w:val="24"/>
          <w:szCs w:val="24"/>
        </w:rPr>
        <w:t xml:space="preserve"> (1988), Thompson </w:t>
      </w:r>
      <w:proofErr w:type="spellStart"/>
      <w:r w:rsidRPr="00D71CD1">
        <w:rPr>
          <w:rFonts w:ascii="Times New Roman" w:hAnsi="Times New Roman" w:cs="Times New Roman"/>
          <w:i/>
          <w:sz w:val="24"/>
          <w:szCs w:val="24"/>
        </w:rPr>
        <w:t>et</w:t>
      </w:r>
      <w:proofErr w:type="spellEnd"/>
      <w:r w:rsidRPr="00D71CD1">
        <w:rPr>
          <w:rFonts w:ascii="Times New Roman" w:hAnsi="Times New Roman" w:cs="Times New Roman"/>
          <w:i/>
          <w:sz w:val="24"/>
          <w:szCs w:val="24"/>
        </w:rPr>
        <w:t xml:space="preserve"> al.</w:t>
      </w:r>
      <w:r w:rsidRPr="00D71CD1">
        <w:rPr>
          <w:rFonts w:ascii="Times New Roman" w:hAnsi="Times New Roman" w:cs="Times New Roman"/>
          <w:sz w:val="24"/>
          <w:szCs w:val="24"/>
        </w:rPr>
        <w:t xml:space="preserve"> (1993), Lazzarini </w:t>
      </w:r>
      <w:proofErr w:type="spellStart"/>
      <w:r w:rsidRPr="00D71CD1">
        <w:rPr>
          <w:rFonts w:ascii="Times New Roman" w:hAnsi="Times New Roman" w:cs="Times New Roman"/>
          <w:i/>
          <w:sz w:val="24"/>
          <w:szCs w:val="24"/>
        </w:rPr>
        <w:t>et</w:t>
      </w:r>
      <w:proofErr w:type="spellEnd"/>
      <w:r w:rsidRPr="00D71CD1">
        <w:rPr>
          <w:rFonts w:ascii="Times New Roman" w:hAnsi="Times New Roman" w:cs="Times New Roman"/>
          <w:i/>
          <w:sz w:val="24"/>
          <w:szCs w:val="24"/>
        </w:rPr>
        <w:t xml:space="preserve"> al. </w:t>
      </w:r>
      <w:r w:rsidRPr="00D71CD1">
        <w:rPr>
          <w:rFonts w:ascii="Times New Roman" w:hAnsi="Times New Roman" w:cs="Times New Roman"/>
          <w:iCs/>
          <w:color w:val="000000"/>
          <w:sz w:val="24"/>
          <w:szCs w:val="24"/>
        </w:rPr>
        <w:t xml:space="preserve">(1998), </w:t>
      </w:r>
      <w:proofErr w:type="spellStart"/>
      <w:r w:rsidRPr="00D71CD1">
        <w:rPr>
          <w:rFonts w:ascii="Times New Roman" w:hAnsi="Times New Roman" w:cs="Times New Roman"/>
          <w:iCs/>
          <w:color w:val="000000"/>
          <w:sz w:val="24"/>
          <w:szCs w:val="24"/>
        </w:rPr>
        <w:t>Gwilym</w:t>
      </w:r>
      <w:proofErr w:type="spellEnd"/>
      <w:r w:rsidRPr="00D71CD1">
        <w:rPr>
          <w:rFonts w:ascii="Times New Roman" w:hAnsi="Times New Roman" w:cs="Times New Roman"/>
          <w:iCs/>
          <w:color w:val="000000"/>
          <w:sz w:val="24"/>
          <w:szCs w:val="24"/>
        </w:rPr>
        <w:t xml:space="preserve"> e Thomas (2002), </w:t>
      </w:r>
      <w:proofErr w:type="spellStart"/>
      <w:r w:rsidRPr="00D71CD1">
        <w:rPr>
          <w:rFonts w:ascii="Times New Roman" w:hAnsi="Times New Roman" w:cs="Times New Roman"/>
          <w:sz w:val="24"/>
          <w:szCs w:val="24"/>
        </w:rPr>
        <w:t>Bryant</w:t>
      </w:r>
      <w:proofErr w:type="spellEnd"/>
      <w:r w:rsidRPr="00D71CD1">
        <w:rPr>
          <w:rFonts w:ascii="Times New Roman" w:hAnsi="Times New Roman" w:cs="Times New Roman"/>
          <w:sz w:val="24"/>
          <w:szCs w:val="24"/>
        </w:rPr>
        <w:t xml:space="preserve"> e </w:t>
      </w:r>
      <w:proofErr w:type="spellStart"/>
      <w:r w:rsidRPr="00D71CD1">
        <w:rPr>
          <w:rFonts w:ascii="Times New Roman" w:hAnsi="Times New Roman" w:cs="Times New Roman"/>
          <w:sz w:val="24"/>
          <w:szCs w:val="24"/>
        </w:rPr>
        <w:t>Haigh</w:t>
      </w:r>
      <w:proofErr w:type="spellEnd"/>
      <w:r w:rsidRPr="00D71CD1">
        <w:rPr>
          <w:rFonts w:ascii="Times New Roman" w:hAnsi="Times New Roman" w:cs="Times New Roman"/>
          <w:sz w:val="24"/>
          <w:szCs w:val="24"/>
        </w:rPr>
        <w:t xml:space="preserve"> (2002), </w:t>
      </w:r>
      <w:proofErr w:type="spellStart"/>
      <w:r w:rsidRPr="00D71CD1">
        <w:rPr>
          <w:rFonts w:ascii="Times New Roman" w:hAnsi="Times New Roman" w:cs="Times New Roman"/>
          <w:sz w:val="24"/>
          <w:szCs w:val="24"/>
        </w:rPr>
        <w:t>Anand</w:t>
      </w:r>
      <w:proofErr w:type="spellEnd"/>
      <w:r w:rsidRPr="00D71CD1">
        <w:rPr>
          <w:rFonts w:ascii="Times New Roman" w:hAnsi="Times New Roman" w:cs="Times New Roman"/>
          <w:sz w:val="24"/>
          <w:szCs w:val="24"/>
        </w:rPr>
        <w:t xml:space="preserve"> e </w:t>
      </w:r>
      <w:proofErr w:type="spellStart"/>
      <w:r w:rsidRPr="00D71CD1">
        <w:rPr>
          <w:rFonts w:ascii="Times New Roman" w:hAnsi="Times New Roman" w:cs="Times New Roman"/>
          <w:sz w:val="24"/>
          <w:szCs w:val="24"/>
        </w:rPr>
        <w:t>Karagozoglu</w:t>
      </w:r>
      <w:proofErr w:type="spellEnd"/>
      <w:r w:rsidRPr="00D71CD1">
        <w:rPr>
          <w:rFonts w:ascii="Times New Roman" w:hAnsi="Times New Roman" w:cs="Times New Roman"/>
          <w:sz w:val="24"/>
          <w:szCs w:val="24"/>
        </w:rPr>
        <w:t xml:space="preserve"> (2006), Frank e Garcia (2007), Frank e Garcia (2010) e </w:t>
      </w:r>
      <w:proofErr w:type="spellStart"/>
      <w:r w:rsidRPr="00D71CD1">
        <w:rPr>
          <w:rFonts w:ascii="Times New Roman" w:hAnsi="Times New Roman" w:cs="Times New Roman"/>
          <w:sz w:val="24"/>
          <w:szCs w:val="24"/>
        </w:rPr>
        <w:t>Shah</w:t>
      </w:r>
      <w:proofErr w:type="spellEnd"/>
      <w:r w:rsidRPr="00D71CD1">
        <w:rPr>
          <w:rFonts w:ascii="Times New Roman" w:hAnsi="Times New Roman" w:cs="Times New Roman"/>
          <w:sz w:val="24"/>
          <w:szCs w:val="24"/>
        </w:rPr>
        <w:t xml:space="preserve"> </w:t>
      </w:r>
      <w:proofErr w:type="spellStart"/>
      <w:r w:rsidRPr="00D71CD1">
        <w:rPr>
          <w:rFonts w:ascii="Times New Roman" w:hAnsi="Times New Roman" w:cs="Times New Roman"/>
          <w:i/>
          <w:sz w:val="24"/>
          <w:szCs w:val="24"/>
        </w:rPr>
        <w:t>et</w:t>
      </w:r>
      <w:proofErr w:type="spellEnd"/>
      <w:r w:rsidRPr="00D71CD1">
        <w:rPr>
          <w:rFonts w:ascii="Times New Roman" w:hAnsi="Times New Roman" w:cs="Times New Roman"/>
          <w:i/>
          <w:sz w:val="24"/>
          <w:szCs w:val="24"/>
        </w:rPr>
        <w:t xml:space="preserve"> al.</w:t>
      </w:r>
      <w:r w:rsidRPr="00D71CD1">
        <w:rPr>
          <w:rFonts w:ascii="Times New Roman" w:hAnsi="Times New Roman" w:cs="Times New Roman"/>
          <w:sz w:val="24"/>
          <w:szCs w:val="24"/>
        </w:rPr>
        <w:t xml:space="preserve"> (2012), evidenciando a importância desse estimador para a medição do </w:t>
      </w:r>
      <w:r w:rsidR="00F02656">
        <w:rPr>
          <w:rFonts w:ascii="Times New Roman" w:hAnsi="Times New Roman" w:cs="Times New Roman"/>
          <w:sz w:val="24"/>
          <w:szCs w:val="24"/>
        </w:rPr>
        <w:t xml:space="preserve">custo de liquidez. </w:t>
      </w:r>
    </w:p>
    <w:p w:rsidR="00D422E8" w:rsidRPr="00D71CD1" w:rsidRDefault="00D422E8" w:rsidP="00D71CD1">
      <w:pPr>
        <w:autoSpaceDE w:val="0"/>
        <w:autoSpaceDN w:val="0"/>
        <w:adjustRightInd w:val="0"/>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Outra forma de abordagem de mensuração de custo de liquidez é proposto por </w:t>
      </w:r>
      <w:proofErr w:type="spellStart"/>
      <w:r w:rsidRPr="00D71CD1">
        <w:rPr>
          <w:rFonts w:ascii="Times New Roman" w:hAnsi="Times New Roman" w:cs="Times New Roman"/>
          <w:sz w:val="24"/>
          <w:szCs w:val="24"/>
        </w:rPr>
        <w:t>Wang</w:t>
      </w:r>
      <w:proofErr w:type="spellEnd"/>
      <w:r w:rsidRPr="00D71CD1">
        <w:rPr>
          <w:rFonts w:ascii="Times New Roman" w:hAnsi="Times New Roman" w:cs="Times New Roman"/>
          <w:sz w:val="24"/>
          <w:szCs w:val="24"/>
        </w:rPr>
        <w:t xml:space="preserve"> </w:t>
      </w:r>
      <w:proofErr w:type="spellStart"/>
      <w:proofErr w:type="gramStart"/>
      <w:r w:rsidRPr="00D71CD1">
        <w:rPr>
          <w:rFonts w:ascii="Times New Roman" w:hAnsi="Times New Roman" w:cs="Times New Roman"/>
          <w:i/>
          <w:sz w:val="24"/>
          <w:szCs w:val="24"/>
        </w:rPr>
        <w:t>et</w:t>
      </w:r>
      <w:proofErr w:type="spellEnd"/>
      <w:proofErr w:type="gramEnd"/>
      <w:r w:rsidRPr="00D71CD1">
        <w:rPr>
          <w:rFonts w:ascii="Times New Roman" w:hAnsi="Times New Roman" w:cs="Times New Roman"/>
          <w:i/>
          <w:sz w:val="24"/>
          <w:szCs w:val="24"/>
        </w:rPr>
        <w:t xml:space="preserve"> al.</w:t>
      </w:r>
      <w:r w:rsidRPr="00D71CD1">
        <w:rPr>
          <w:rFonts w:ascii="Times New Roman" w:hAnsi="Times New Roman" w:cs="Times New Roman"/>
          <w:sz w:val="24"/>
          <w:szCs w:val="24"/>
        </w:rPr>
        <w:t xml:space="preserve"> (1997) que visam buscar reduzir o viés do estimador de Thompson </w:t>
      </w:r>
      <w:proofErr w:type="spellStart"/>
      <w:r w:rsidRPr="00D71CD1">
        <w:rPr>
          <w:rFonts w:ascii="Times New Roman" w:hAnsi="Times New Roman" w:cs="Times New Roman"/>
          <w:i/>
          <w:sz w:val="24"/>
          <w:szCs w:val="24"/>
        </w:rPr>
        <w:t>et</w:t>
      </w:r>
      <w:proofErr w:type="spellEnd"/>
      <w:r w:rsidRPr="00D71CD1">
        <w:rPr>
          <w:rFonts w:ascii="Times New Roman" w:hAnsi="Times New Roman" w:cs="Times New Roman"/>
          <w:i/>
          <w:sz w:val="24"/>
          <w:szCs w:val="24"/>
        </w:rPr>
        <w:t xml:space="preserve"> al.</w:t>
      </w:r>
      <w:r w:rsidRPr="00D71CD1">
        <w:rPr>
          <w:rFonts w:ascii="Times New Roman" w:hAnsi="Times New Roman" w:cs="Times New Roman"/>
          <w:sz w:val="24"/>
          <w:szCs w:val="24"/>
        </w:rPr>
        <w:t xml:space="preserve"> (1987). Os autores utilizam apenas aquelas observações em que há uma reversão nos preços, e a média de preços de tais mudanças compreende o estimador  </w:t>
      </w:r>
      <w:proofErr w:type="spellStart"/>
      <w:proofErr w:type="gramStart"/>
      <w:r w:rsidRPr="00D71CD1">
        <w:rPr>
          <w:rFonts w:ascii="Times New Roman" w:hAnsi="Times New Roman" w:cs="Times New Roman"/>
          <w:i/>
          <w:sz w:val="24"/>
          <w:szCs w:val="24"/>
        </w:rPr>
        <w:t>bid</w:t>
      </w:r>
      <w:proofErr w:type="gramEnd"/>
      <w:r w:rsidRPr="00D71CD1">
        <w:rPr>
          <w:rFonts w:ascii="Times New Roman" w:hAnsi="Times New Roman" w:cs="Times New Roman"/>
          <w:i/>
          <w:sz w:val="24"/>
          <w:szCs w:val="24"/>
        </w:rPr>
        <w:t>-ask</w:t>
      </w:r>
      <w:proofErr w:type="spellEnd"/>
      <w:r w:rsidRPr="00D71CD1">
        <w:rPr>
          <w:rFonts w:ascii="Times New Roman" w:hAnsi="Times New Roman" w:cs="Times New Roman"/>
          <w:i/>
          <w:sz w:val="24"/>
          <w:szCs w:val="24"/>
        </w:rPr>
        <w:t xml:space="preserve"> spread</w:t>
      </w:r>
      <w:r w:rsidRPr="00D71CD1">
        <w:rPr>
          <w:rFonts w:ascii="Times New Roman" w:hAnsi="Times New Roman" w:cs="Times New Roman"/>
          <w:sz w:val="24"/>
          <w:szCs w:val="24"/>
        </w:rPr>
        <w:t xml:space="preserve">. Essa modificação é projetada para reduzir a chance de atribuir variabilidade devido a novas informações, pois </w:t>
      </w:r>
      <w:proofErr w:type="gramStart"/>
      <w:r w:rsidRPr="00D71CD1">
        <w:rPr>
          <w:rFonts w:ascii="Times New Roman" w:hAnsi="Times New Roman" w:cs="Times New Roman"/>
          <w:sz w:val="24"/>
          <w:szCs w:val="24"/>
        </w:rPr>
        <w:t>alterações de preços que exibem sequencia</w:t>
      </w:r>
      <w:proofErr w:type="gramEnd"/>
      <w:r w:rsidRPr="00D71CD1">
        <w:rPr>
          <w:rFonts w:ascii="Times New Roman" w:hAnsi="Times New Roman" w:cs="Times New Roman"/>
          <w:sz w:val="24"/>
          <w:szCs w:val="24"/>
        </w:rPr>
        <w:t xml:space="preserve"> de mudanças no mesmo sinal dos preços podem ser devido a novas informações.</w:t>
      </w:r>
    </w:p>
    <w:p w:rsidR="00D422E8" w:rsidRPr="00D71CD1" w:rsidRDefault="00D422E8" w:rsidP="00D71CD1">
      <w:pPr>
        <w:autoSpaceDE w:val="0"/>
        <w:autoSpaceDN w:val="0"/>
        <w:adjustRightInd w:val="0"/>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lastRenderedPageBreak/>
        <w:t xml:space="preserve">O modelo de </w:t>
      </w:r>
      <w:proofErr w:type="spellStart"/>
      <w:r w:rsidRPr="00D71CD1">
        <w:rPr>
          <w:rFonts w:ascii="Times New Roman" w:hAnsi="Times New Roman" w:cs="Times New Roman"/>
          <w:sz w:val="24"/>
          <w:szCs w:val="24"/>
        </w:rPr>
        <w:t>Wang</w:t>
      </w:r>
      <w:proofErr w:type="spellEnd"/>
      <w:r w:rsidRPr="00D71CD1">
        <w:rPr>
          <w:rFonts w:ascii="Times New Roman" w:hAnsi="Times New Roman" w:cs="Times New Roman"/>
          <w:sz w:val="24"/>
          <w:szCs w:val="24"/>
        </w:rPr>
        <w:t xml:space="preserve"> </w:t>
      </w:r>
      <w:proofErr w:type="spellStart"/>
      <w:proofErr w:type="gramStart"/>
      <w:r w:rsidRPr="00D71CD1">
        <w:rPr>
          <w:rFonts w:ascii="Times New Roman" w:hAnsi="Times New Roman" w:cs="Times New Roman"/>
          <w:i/>
          <w:sz w:val="24"/>
          <w:szCs w:val="24"/>
        </w:rPr>
        <w:t>et</w:t>
      </w:r>
      <w:proofErr w:type="spellEnd"/>
      <w:proofErr w:type="gramEnd"/>
      <w:r w:rsidRPr="00D71CD1">
        <w:rPr>
          <w:rFonts w:ascii="Times New Roman" w:hAnsi="Times New Roman" w:cs="Times New Roman"/>
          <w:i/>
          <w:sz w:val="24"/>
          <w:szCs w:val="24"/>
        </w:rPr>
        <w:t xml:space="preserve"> al.</w:t>
      </w:r>
      <w:r w:rsidRPr="00D71CD1">
        <w:rPr>
          <w:rFonts w:ascii="Times New Roman" w:hAnsi="Times New Roman" w:cs="Times New Roman"/>
          <w:sz w:val="24"/>
          <w:szCs w:val="24"/>
        </w:rPr>
        <w:t xml:space="preserve"> (1997) é usado pela </w:t>
      </w:r>
      <w:proofErr w:type="spellStart"/>
      <w:r w:rsidRPr="00D71CD1">
        <w:rPr>
          <w:rFonts w:ascii="Times New Roman" w:hAnsi="Times New Roman" w:cs="Times New Roman"/>
          <w:sz w:val="24"/>
          <w:szCs w:val="24"/>
        </w:rPr>
        <w:t>U.S.</w:t>
      </w:r>
      <w:proofErr w:type="spellEnd"/>
      <w:r w:rsidRPr="00D71CD1">
        <w:rPr>
          <w:rFonts w:ascii="Times New Roman" w:hAnsi="Times New Roman" w:cs="Times New Roman"/>
          <w:sz w:val="24"/>
          <w:szCs w:val="24"/>
        </w:rPr>
        <w:t xml:space="preserve"> Commodity Futures Trading </w:t>
      </w:r>
      <w:proofErr w:type="spellStart"/>
      <w:r w:rsidRPr="00D71CD1">
        <w:rPr>
          <w:rFonts w:ascii="Times New Roman" w:hAnsi="Times New Roman" w:cs="Times New Roman"/>
          <w:sz w:val="24"/>
          <w:szCs w:val="24"/>
        </w:rPr>
        <w:t>Commission</w:t>
      </w:r>
      <w:proofErr w:type="spellEnd"/>
      <w:r w:rsidRPr="00D71CD1">
        <w:rPr>
          <w:rFonts w:ascii="Times New Roman" w:hAnsi="Times New Roman" w:cs="Times New Roman"/>
          <w:sz w:val="24"/>
          <w:szCs w:val="24"/>
        </w:rPr>
        <w:t xml:space="preserve"> (CFTC), e está demonstrado na equação (</w:t>
      </w:r>
      <w:r w:rsidR="009378EF" w:rsidRPr="00D71CD1">
        <w:rPr>
          <w:rFonts w:ascii="Times New Roman" w:hAnsi="Times New Roman" w:cs="Times New Roman"/>
          <w:sz w:val="24"/>
          <w:szCs w:val="24"/>
        </w:rPr>
        <w:t>5</w:t>
      </w:r>
      <w:r w:rsidRPr="00D71CD1">
        <w:rPr>
          <w:rFonts w:ascii="Times New Roman" w:hAnsi="Times New Roman" w:cs="Times New Roman"/>
          <w:sz w:val="24"/>
          <w:szCs w:val="24"/>
        </w:rPr>
        <w:t>) a seguir:</w:t>
      </w:r>
    </w:p>
    <w:p w:rsidR="00D422E8" w:rsidRPr="00D71CD1" w:rsidRDefault="00D422E8" w:rsidP="00D71CD1">
      <w:pPr>
        <w:autoSpaceDE w:val="0"/>
        <w:autoSpaceDN w:val="0"/>
        <w:adjustRightInd w:val="0"/>
        <w:spacing w:after="0" w:line="240" w:lineRule="auto"/>
        <w:ind w:firstLine="708"/>
        <w:jc w:val="both"/>
        <w:rPr>
          <w:rFonts w:ascii="Times New Roman" w:hAnsi="Times New Roman" w:cs="Times New Roman"/>
          <w:sz w:val="24"/>
          <w:szCs w:val="24"/>
        </w:rPr>
      </w:pPr>
    </w:p>
    <w:p w:rsidR="00D422E8" w:rsidRPr="00D71CD1" w:rsidRDefault="00D422E8" w:rsidP="00D71CD1">
      <w:pPr>
        <w:autoSpaceDE w:val="0"/>
        <w:autoSpaceDN w:val="0"/>
        <w:adjustRightInd w:val="0"/>
        <w:spacing w:after="0" w:line="240" w:lineRule="auto"/>
        <w:ind w:firstLine="708"/>
        <w:jc w:val="both"/>
        <w:rPr>
          <w:rFonts w:ascii="Times New Roman" w:eastAsiaTheme="minorEastAsia" w:hAnsi="Times New Roman" w:cs="Times New Roman"/>
          <w:sz w:val="24"/>
          <w:szCs w:val="24"/>
        </w:rPr>
      </w:pPr>
      <w:r w:rsidRPr="00D71CD1">
        <w:rPr>
          <w:rFonts w:ascii="Times New Roman" w:hAnsi="Times New Roman" w:cs="Times New Roman"/>
          <w:sz w:val="24"/>
          <w:szCs w:val="24"/>
        </w:rPr>
        <w:t xml:space="preserve">CFTC = </w:t>
      </w:r>
      <m:oMath>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Cambria Math" w:cs="Times New Roman"/>
                <w:sz w:val="24"/>
                <w:szCs w:val="24"/>
              </w:rPr>
              <m:t>T</m:t>
            </m:r>
          </m:den>
        </m:f>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t</m:t>
            </m:r>
            <m:r>
              <w:rPr>
                <w:rFonts w:ascii="Cambria Math" w:hAnsi="Times New Roman" w:cs="Times New Roman"/>
                <w:sz w:val="24"/>
                <w:szCs w:val="24"/>
              </w:rPr>
              <m:t>=1</m:t>
            </m:r>
          </m:sub>
          <m:sup>
            <m:r>
              <w:rPr>
                <w:rFonts w:ascii="Cambria Math" w:hAnsi="Cambria Math" w:cs="Times New Roman"/>
                <w:sz w:val="24"/>
                <w:szCs w:val="24"/>
              </w:rPr>
              <m:t>T</m:t>
            </m:r>
          </m:sup>
          <m:e>
            <m:r>
              <w:rPr>
                <w:rFonts w:ascii="Cambria Math" w:hAnsi="Times New Roman" w:cs="Times New Roman"/>
                <w:sz w:val="24"/>
                <w:szCs w:val="24"/>
              </w:rPr>
              <m:t>|</m:t>
            </m:r>
          </m:e>
        </m:nary>
        <m:r>
          <w:rPr>
            <w:rFonts w:ascii="Times New Roman" w:hAnsi="Times New Roman" w:cs="Times New Roman"/>
            <w:sz w:val="24"/>
            <w:szCs w:val="24"/>
          </w:rPr>
          <m:t>∆</m:t>
        </m:r>
        <m:sSubSup>
          <m:sSubSupPr>
            <m:ctrlPr>
              <w:rPr>
                <w:rFonts w:ascii="Cambria Math" w:hAnsi="Times New Roman"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Times New Roman" w:hAnsi="Cambria Math" w:cs="Times New Roman"/>
                <w:sz w:val="24"/>
                <w:szCs w:val="24"/>
              </w:rPr>
              <m:t>*</m:t>
            </m:r>
          </m:sup>
        </m:sSubSup>
        <m:r>
          <w:rPr>
            <w:rFonts w:ascii="Cambria Math" w:hAnsi="Times New Roman" w:cs="Times New Roman"/>
            <w:sz w:val="24"/>
            <w:szCs w:val="24"/>
          </w:rPr>
          <m:t>|</m:t>
        </m:r>
      </m:oMath>
      <w:r w:rsidRPr="00D71CD1">
        <w:rPr>
          <w:rFonts w:ascii="Times New Roman" w:eastAsiaTheme="minorEastAsia" w:hAnsi="Times New Roman" w:cs="Times New Roman"/>
          <w:sz w:val="24"/>
          <w:szCs w:val="24"/>
        </w:rPr>
        <w:tab/>
      </w:r>
      <w:r w:rsidRPr="00D71CD1">
        <w:rPr>
          <w:rFonts w:ascii="Times New Roman" w:eastAsiaTheme="minorEastAsia" w:hAnsi="Times New Roman" w:cs="Times New Roman"/>
          <w:sz w:val="24"/>
          <w:szCs w:val="24"/>
        </w:rPr>
        <w:tab/>
      </w:r>
      <w:r w:rsidRPr="00D71CD1">
        <w:rPr>
          <w:rFonts w:ascii="Times New Roman" w:eastAsiaTheme="minorEastAsia" w:hAnsi="Times New Roman" w:cs="Times New Roman"/>
          <w:sz w:val="24"/>
          <w:szCs w:val="24"/>
        </w:rPr>
        <w:tab/>
      </w:r>
      <w:r w:rsidRPr="00D71CD1">
        <w:rPr>
          <w:rFonts w:ascii="Times New Roman" w:eastAsiaTheme="minorEastAsia" w:hAnsi="Times New Roman" w:cs="Times New Roman"/>
          <w:sz w:val="24"/>
          <w:szCs w:val="24"/>
        </w:rPr>
        <w:tab/>
      </w:r>
      <w:r w:rsidRPr="00D71CD1">
        <w:rPr>
          <w:rFonts w:ascii="Times New Roman" w:eastAsiaTheme="minorEastAsia" w:hAnsi="Times New Roman" w:cs="Times New Roman"/>
          <w:sz w:val="24"/>
          <w:szCs w:val="24"/>
        </w:rPr>
        <w:tab/>
      </w:r>
      <w:r w:rsidRPr="00D71CD1">
        <w:rPr>
          <w:rFonts w:ascii="Times New Roman" w:eastAsiaTheme="minorEastAsia" w:hAnsi="Times New Roman" w:cs="Times New Roman"/>
          <w:sz w:val="24"/>
          <w:szCs w:val="24"/>
        </w:rPr>
        <w:tab/>
        <w:t xml:space="preserve">                        </w:t>
      </w:r>
      <w:r w:rsidR="009378EF" w:rsidRPr="00D71CD1">
        <w:rPr>
          <w:rFonts w:ascii="Times New Roman" w:eastAsiaTheme="minorEastAsia" w:hAnsi="Times New Roman" w:cs="Times New Roman"/>
          <w:sz w:val="24"/>
          <w:szCs w:val="24"/>
        </w:rPr>
        <w:t xml:space="preserve"> </w:t>
      </w:r>
      <w:r w:rsidR="009378EF" w:rsidRPr="00D71CD1">
        <w:rPr>
          <w:rFonts w:ascii="Times New Roman" w:eastAsiaTheme="minorEastAsia" w:hAnsi="Times New Roman" w:cs="Times New Roman"/>
          <w:sz w:val="24"/>
          <w:szCs w:val="24"/>
        </w:rPr>
        <w:tab/>
      </w:r>
      <w:proofErr w:type="gramStart"/>
      <w:r w:rsidR="009378EF" w:rsidRPr="00D71CD1">
        <w:rPr>
          <w:rFonts w:ascii="Times New Roman" w:eastAsiaTheme="minorEastAsia" w:hAnsi="Times New Roman" w:cs="Times New Roman"/>
          <w:sz w:val="24"/>
          <w:szCs w:val="24"/>
        </w:rPr>
        <w:t xml:space="preserve">    </w:t>
      </w:r>
      <w:proofErr w:type="gramEnd"/>
      <w:r w:rsidRPr="00D71CD1">
        <w:rPr>
          <w:rFonts w:ascii="Times New Roman" w:eastAsiaTheme="minorEastAsia" w:hAnsi="Times New Roman" w:cs="Times New Roman"/>
          <w:sz w:val="24"/>
          <w:szCs w:val="24"/>
        </w:rPr>
        <w:t>(</w:t>
      </w:r>
      <w:r w:rsidR="009378EF" w:rsidRPr="00D71CD1">
        <w:rPr>
          <w:rFonts w:ascii="Times New Roman" w:eastAsiaTheme="minorEastAsia" w:hAnsi="Times New Roman" w:cs="Times New Roman"/>
          <w:sz w:val="24"/>
          <w:szCs w:val="24"/>
        </w:rPr>
        <w:t>5</w:t>
      </w:r>
      <w:r w:rsidRPr="00D71CD1">
        <w:rPr>
          <w:rFonts w:ascii="Times New Roman" w:eastAsiaTheme="minorEastAsia" w:hAnsi="Times New Roman" w:cs="Times New Roman"/>
          <w:sz w:val="24"/>
          <w:szCs w:val="24"/>
        </w:rPr>
        <w:t>)</w:t>
      </w:r>
    </w:p>
    <w:p w:rsidR="00D422E8" w:rsidRPr="00D71CD1" w:rsidRDefault="00D422E8" w:rsidP="00D71CD1">
      <w:pPr>
        <w:autoSpaceDE w:val="0"/>
        <w:autoSpaceDN w:val="0"/>
        <w:adjustRightInd w:val="0"/>
        <w:spacing w:after="0" w:line="240" w:lineRule="auto"/>
        <w:ind w:firstLine="708"/>
        <w:jc w:val="both"/>
        <w:rPr>
          <w:rFonts w:ascii="Times New Roman" w:eastAsiaTheme="minorEastAsia" w:hAnsi="Times New Roman" w:cs="Times New Roman"/>
          <w:sz w:val="24"/>
          <w:szCs w:val="24"/>
        </w:rPr>
      </w:pPr>
    </w:p>
    <w:p w:rsidR="00D422E8" w:rsidRPr="00D71CD1" w:rsidRDefault="00D422E8" w:rsidP="00D71CD1">
      <w:pPr>
        <w:autoSpaceDE w:val="0"/>
        <w:autoSpaceDN w:val="0"/>
        <w:adjustRightInd w:val="0"/>
        <w:spacing w:after="0" w:line="240" w:lineRule="auto"/>
        <w:ind w:firstLine="708"/>
        <w:jc w:val="both"/>
        <w:rPr>
          <w:rFonts w:ascii="Times New Roman" w:eastAsiaTheme="minorEastAsia" w:hAnsi="Times New Roman" w:cs="Times New Roman"/>
          <w:sz w:val="24"/>
          <w:szCs w:val="24"/>
        </w:rPr>
      </w:pPr>
      <w:proofErr w:type="gramStart"/>
      <w:r w:rsidRPr="00D71CD1">
        <w:rPr>
          <w:rFonts w:ascii="Times New Roman" w:eastAsiaTheme="minorEastAsia" w:hAnsi="Times New Roman" w:cs="Times New Roman"/>
          <w:sz w:val="24"/>
          <w:szCs w:val="24"/>
        </w:rPr>
        <w:t>em</w:t>
      </w:r>
      <w:proofErr w:type="gramEnd"/>
      <w:r w:rsidRPr="00D71CD1">
        <w:rPr>
          <w:rFonts w:ascii="Times New Roman" w:eastAsiaTheme="minorEastAsia" w:hAnsi="Times New Roman" w:cs="Times New Roman"/>
          <w:sz w:val="24"/>
          <w:szCs w:val="24"/>
        </w:rPr>
        <w:t xml:space="preserve"> que:</w:t>
      </w:r>
    </w:p>
    <w:p w:rsidR="00D422E8" w:rsidRPr="00D71CD1" w:rsidRDefault="00D422E8" w:rsidP="00D71CD1">
      <w:pPr>
        <w:autoSpaceDE w:val="0"/>
        <w:autoSpaceDN w:val="0"/>
        <w:adjustRightInd w:val="0"/>
        <w:spacing w:after="0" w:line="240" w:lineRule="auto"/>
        <w:ind w:firstLine="708"/>
        <w:jc w:val="both"/>
        <w:rPr>
          <w:rFonts w:ascii="Times New Roman" w:hAnsi="Times New Roman" w:cs="Times New Roman"/>
          <w:sz w:val="24"/>
          <w:szCs w:val="24"/>
        </w:rPr>
      </w:pPr>
      <m:oMath>
        <m:r>
          <w:rPr>
            <w:rFonts w:ascii="Times New Roman" w:hAnsi="Times New Roman" w:cs="Times New Roman"/>
            <w:sz w:val="24"/>
            <w:szCs w:val="24"/>
          </w:rPr>
          <m:t>∆</m:t>
        </m:r>
        <m:sSubSup>
          <m:sSubSupPr>
            <m:ctrlPr>
              <w:rPr>
                <w:rFonts w:ascii="Cambria Math" w:hAnsi="Times New Roman"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Times New Roman" w:hAnsi="Cambria Math" w:cs="Times New Roman"/>
                <w:sz w:val="24"/>
                <w:szCs w:val="24"/>
              </w:rPr>
              <m:t>*</m:t>
            </m:r>
          </m:sup>
        </m:sSubSup>
      </m:oMath>
      <w:r w:rsidRPr="00D71CD1">
        <w:rPr>
          <w:rFonts w:ascii="Times New Roman" w:eastAsiaTheme="minorEastAsia" w:hAnsi="Times New Roman" w:cs="Times New Roman"/>
          <w:sz w:val="24"/>
          <w:szCs w:val="24"/>
        </w:rPr>
        <w:t xml:space="preserve"> = </w:t>
      </w:r>
      <w:r w:rsidRPr="00D71CD1">
        <w:rPr>
          <w:rFonts w:ascii="Times New Roman" w:eastAsia="Times New Roman" w:hAnsi="Times New Roman" w:cs="Times New Roman"/>
          <w:sz w:val="24"/>
          <w:szCs w:val="24"/>
        </w:rPr>
        <w:t xml:space="preserve">Variação dos preços do último negócio efetuado </w:t>
      </w:r>
      <m:oMath>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P</m:t>
            </m:r>
          </m:e>
          <m:sub>
            <m:r>
              <w:rPr>
                <w:rFonts w:ascii="Cambria Math" w:hAnsi="Cambria Math" w:cs="Times New Roman"/>
                <w:sz w:val="24"/>
                <w:szCs w:val="24"/>
              </w:rPr>
              <m:t>t</m:t>
            </m:r>
          </m:sub>
        </m:sSub>
        <m:r>
          <w:rPr>
            <w:rFonts w:ascii="Cambria Math" w:hAnsi="Times New Roman" w:cs="Times New Roman"/>
            <w:sz w:val="24"/>
            <w:szCs w:val="24"/>
          </w:rPr>
          <m:t>)</m:t>
        </m:r>
      </m:oMath>
      <w:r w:rsidRPr="00D71CD1">
        <w:rPr>
          <w:rFonts w:ascii="Times New Roman" w:eastAsia="Times New Roman" w:hAnsi="Times New Roman" w:cs="Times New Roman"/>
          <w:sz w:val="24"/>
          <w:szCs w:val="24"/>
        </w:rPr>
        <w:t xml:space="preserve"> e do anterior ao último negócio efetuado (</w:t>
      </w:r>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r>
              <w:rPr>
                <w:rFonts w:ascii="Times New Roman" w:hAnsi="Times New Roman" w:cs="Times New Roman"/>
                <w:sz w:val="24"/>
                <w:szCs w:val="24"/>
              </w:rPr>
              <m:t>-</m:t>
            </m:r>
            <m:r>
              <w:rPr>
                <w:rFonts w:ascii="Cambria Math" w:hAnsi="Times New Roman" w:cs="Times New Roman"/>
                <w:sz w:val="24"/>
                <w:szCs w:val="24"/>
              </w:rPr>
              <m:t>1</m:t>
            </m:r>
          </m:sub>
        </m:sSub>
      </m:oMath>
      <w:r w:rsidRPr="00D71CD1">
        <w:rPr>
          <w:rFonts w:ascii="Times New Roman" w:eastAsia="Times New Roman" w:hAnsi="Times New Roman" w:cs="Times New Roman"/>
          <w:sz w:val="24"/>
          <w:szCs w:val="24"/>
        </w:rPr>
        <w:t xml:space="preserve">) </w:t>
      </w:r>
      <w:r w:rsidRPr="00D71CD1">
        <w:rPr>
          <w:rFonts w:ascii="Times New Roman" w:hAnsi="Times New Roman" w:cs="Times New Roman"/>
          <w:sz w:val="24"/>
          <w:szCs w:val="24"/>
        </w:rPr>
        <w:t>que ocorre inversões nos preços.</w:t>
      </w:r>
    </w:p>
    <w:p w:rsidR="00D422E8" w:rsidRPr="00D71CD1" w:rsidRDefault="00D422E8" w:rsidP="00D71CD1">
      <w:pPr>
        <w:autoSpaceDE w:val="0"/>
        <w:autoSpaceDN w:val="0"/>
        <w:adjustRightInd w:val="0"/>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T = </w:t>
      </w:r>
      <w:r w:rsidRPr="00D71CD1">
        <w:rPr>
          <w:rFonts w:ascii="Times New Roman" w:eastAsiaTheme="minorEastAsia" w:hAnsi="Times New Roman" w:cs="Times New Roman"/>
          <w:sz w:val="24"/>
          <w:szCs w:val="24"/>
        </w:rPr>
        <w:t xml:space="preserve">número de </w:t>
      </w:r>
      <w:r w:rsidRPr="00D71CD1">
        <w:rPr>
          <w:rFonts w:ascii="Times New Roman" w:hAnsi="Times New Roman" w:cs="Times New Roman"/>
          <w:sz w:val="24"/>
          <w:szCs w:val="24"/>
        </w:rPr>
        <w:t>séries de alterações nos preços diferente de zero, que ocorre inversões nos preços.</w:t>
      </w:r>
    </w:p>
    <w:p w:rsidR="00D422E8" w:rsidRPr="00D71CD1" w:rsidRDefault="00D422E8" w:rsidP="00D71CD1">
      <w:pPr>
        <w:autoSpaceDE w:val="0"/>
        <w:autoSpaceDN w:val="0"/>
        <w:adjustRightInd w:val="0"/>
        <w:spacing w:after="0" w:line="240" w:lineRule="auto"/>
        <w:ind w:firstLine="708"/>
        <w:jc w:val="both"/>
        <w:rPr>
          <w:rFonts w:ascii="Times New Roman" w:hAnsi="Times New Roman" w:cs="Times New Roman"/>
          <w:sz w:val="24"/>
          <w:szCs w:val="24"/>
        </w:rPr>
      </w:pPr>
    </w:p>
    <w:p w:rsidR="00D422E8" w:rsidRPr="00D71CD1" w:rsidRDefault="00D422E8" w:rsidP="00D71CD1">
      <w:pPr>
        <w:autoSpaceDE w:val="0"/>
        <w:autoSpaceDN w:val="0"/>
        <w:adjustRightInd w:val="0"/>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Esse modelo foi utilizado em trabalhos que envolvem mercados futuros, tais como </w:t>
      </w:r>
      <w:proofErr w:type="spellStart"/>
      <w:r w:rsidRPr="00D71CD1">
        <w:rPr>
          <w:rFonts w:ascii="Times New Roman" w:hAnsi="Times New Roman" w:cs="Times New Roman"/>
          <w:sz w:val="24"/>
          <w:szCs w:val="24"/>
        </w:rPr>
        <w:t>Bryant</w:t>
      </w:r>
      <w:proofErr w:type="spellEnd"/>
      <w:r w:rsidRPr="00D71CD1">
        <w:rPr>
          <w:rFonts w:ascii="Times New Roman" w:hAnsi="Times New Roman" w:cs="Times New Roman"/>
          <w:sz w:val="24"/>
          <w:szCs w:val="24"/>
        </w:rPr>
        <w:t xml:space="preserve"> e </w:t>
      </w:r>
      <w:proofErr w:type="spellStart"/>
      <w:r w:rsidRPr="00D71CD1">
        <w:rPr>
          <w:rFonts w:ascii="Times New Roman" w:hAnsi="Times New Roman" w:cs="Times New Roman"/>
          <w:sz w:val="24"/>
          <w:szCs w:val="24"/>
        </w:rPr>
        <w:t>Haigh</w:t>
      </w:r>
      <w:proofErr w:type="spellEnd"/>
      <w:r w:rsidRPr="00D71CD1">
        <w:rPr>
          <w:rFonts w:ascii="Times New Roman" w:hAnsi="Times New Roman" w:cs="Times New Roman"/>
          <w:sz w:val="24"/>
          <w:szCs w:val="24"/>
        </w:rPr>
        <w:t xml:space="preserve"> (2002) e </w:t>
      </w:r>
      <w:proofErr w:type="spellStart"/>
      <w:r w:rsidRPr="00D71CD1">
        <w:rPr>
          <w:rFonts w:ascii="Times New Roman" w:hAnsi="Times New Roman" w:cs="Times New Roman"/>
          <w:sz w:val="24"/>
          <w:szCs w:val="24"/>
        </w:rPr>
        <w:t>Shah</w:t>
      </w:r>
      <w:proofErr w:type="spellEnd"/>
      <w:r w:rsidRPr="00D71CD1">
        <w:rPr>
          <w:rFonts w:ascii="Times New Roman" w:hAnsi="Times New Roman" w:cs="Times New Roman"/>
          <w:sz w:val="24"/>
          <w:szCs w:val="24"/>
        </w:rPr>
        <w:t xml:space="preserve"> </w:t>
      </w:r>
      <w:proofErr w:type="spellStart"/>
      <w:proofErr w:type="gramStart"/>
      <w:r w:rsidRPr="00D71CD1">
        <w:rPr>
          <w:rFonts w:ascii="Times New Roman" w:hAnsi="Times New Roman" w:cs="Times New Roman"/>
          <w:i/>
          <w:sz w:val="24"/>
          <w:szCs w:val="24"/>
        </w:rPr>
        <w:t>et</w:t>
      </w:r>
      <w:proofErr w:type="spellEnd"/>
      <w:proofErr w:type="gramEnd"/>
      <w:r w:rsidRPr="00D71CD1">
        <w:rPr>
          <w:rFonts w:ascii="Times New Roman" w:hAnsi="Times New Roman" w:cs="Times New Roman"/>
          <w:i/>
          <w:sz w:val="24"/>
          <w:szCs w:val="24"/>
        </w:rPr>
        <w:t xml:space="preserve"> al.</w:t>
      </w:r>
      <w:r w:rsidRPr="00D71CD1">
        <w:rPr>
          <w:rFonts w:ascii="Times New Roman" w:hAnsi="Times New Roman" w:cs="Times New Roman"/>
          <w:sz w:val="24"/>
          <w:szCs w:val="24"/>
        </w:rPr>
        <w:t xml:space="preserve"> (2012). No trabalho de </w:t>
      </w:r>
      <w:proofErr w:type="spellStart"/>
      <w:r w:rsidRPr="00D71CD1">
        <w:rPr>
          <w:rFonts w:ascii="Times New Roman" w:hAnsi="Times New Roman" w:cs="Times New Roman"/>
          <w:sz w:val="24"/>
          <w:szCs w:val="24"/>
        </w:rPr>
        <w:t>Bryant</w:t>
      </w:r>
      <w:proofErr w:type="spellEnd"/>
      <w:r w:rsidRPr="00D71CD1">
        <w:rPr>
          <w:rFonts w:ascii="Times New Roman" w:hAnsi="Times New Roman" w:cs="Times New Roman"/>
          <w:sz w:val="24"/>
          <w:szCs w:val="24"/>
        </w:rPr>
        <w:t xml:space="preserve"> e </w:t>
      </w:r>
      <w:proofErr w:type="spellStart"/>
      <w:r w:rsidRPr="00D71CD1">
        <w:rPr>
          <w:rFonts w:ascii="Times New Roman" w:hAnsi="Times New Roman" w:cs="Times New Roman"/>
          <w:sz w:val="24"/>
          <w:szCs w:val="24"/>
        </w:rPr>
        <w:t>Haigh</w:t>
      </w:r>
      <w:proofErr w:type="spellEnd"/>
      <w:r w:rsidRPr="00D71CD1">
        <w:rPr>
          <w:rFonts w:ascii="Times New Roman" w:hAnsi="Times New Roman" w:cs="Times New Roman"/>
          <w:sz w:val="24"/>
          <w:szCs w:val="24"/>
        </w:rPr>
        <w:t xml:space="preserve"> (2002), o modelo de CFTC ficou entre os melhores estimadores investigados, pois, segundo os autores, os modelos de série de variações nos preços absolutos apresentaram melhores resultados quando comparados aos modelos de série de covariância na investigação do </w:t>
      </w:r>
      <w:proofErr w:type="spellStart"/>
      <w:proofErr w:type="gramStart"/>
      <w:r w:rsidRPr="00D71CD1">
        <w:rPr>
          <w:rFonts w:ascii="Times New Roman" w:hAnsi="Times New Roman" w:cs="Times New Roman"/>
          <w:i/>
          <w:sz w:val="24"/>
          <w:szCs w:val="24"/>
        </w:rPr>
        <w:t>bid</w:t>
      </w:r>
      <w:proofErr w:type="gramEnd"/>
      <w:r w:rsidRPr="00D71CD1">
        <w:rPr>
          <w:rFonts w:ascii="Times New Roman" w:hAnsi="Times New Roman" w:cs="Times New Roman"/>
          <w:i/>
          <w:sz w:val="24"/>
          <w:szCs w:val="24"/>
        </w:rPr>
        <w:t>-ask</w:t>
      </w:r>
      <w:proofErr w:type="spellEnd"/>
      <w:r w:rsidRPr="00D71CD1">
        <w:rPr>
          <w:rFonts w:ascii="Times New Roman" w:hAnsi="Times New Roman" w:cs="Times New Roman"/>
          <w:i/>
          <w:sz w:val="24"/>
          <w:szCs w:val="24"/>
        </w:rPr>
        <w:t xml:space="preserve"> spread </w:t>
      </w:r>
      <w:r w:rsidRPr="00D71CD1">
        <w:rPr>
          <w:rFonts w:ascii="Times New Roman" w:hAnsi="Times New Roman" w:cs="Times New Roman"/>
          <w:sz w:val="24"/>
          <w:szCs w:val="24"/>
        </w:rPr>
        <w:t xml:space="preserve">em mercados futuros. </w:t>
      </w:r>
    </w:p>
    <w:p w:rsidR="00D422E8" w:rsidRPr="00D71CD1" w:rsidRDefault="00D422E8" w:rsidP="00D71CD1">
      <w:pPr>
        <w:autoSpaceDE w:val="0"/>
        <w:autoSpaceDN w:val="0"/>
        <w:adjustRightInd w:val="0"/>
        <w:spacing w:after="0" w:line="240" w:lineRule="auto"/>
        <w:ind w:left="708"/>
        <w:jc w:val="both"/>
        <w:rPr>
          <w:rFonts w:ascii="Times New Roman" w:hAnsi="Times New Roman" w:cs="Times New Roman"/>
          <w:sz w:val="24"/>
          <w:szCs w:val="24"/>
        </w:rPr>
      </w:pPr>
    </w:p>
    <w:p w:rsidR="00D422E8" w:rsidRPr="00D71CD1" w:rsidRDefault="00D422E8" w:rsidP="00B42757">
      <w:pPr>
        <w:pStyle w:val="Ttulo2"/>
        <w:numPr>
          <w:ilvl w:val="1"/>
          <w:numId w:val="1"/>
        </w:numPr>
        <w:spacing w:before="120" w:after="120" w:line="240" w:lineRule="auto"/>
        <w:rPr>
          <w:rFonts w:ascii="Times New Roman" w:hAnsi="Times New Roman" w:cs="Times New Roman"/>
          <w:color w:val="auto"/>
          <w:sz w:val="24"/>
          <w:szCs w:val="24"/>
        </w:rPr>
      </w:pPr>
      <w:r w:rsidRPr="00D71CD1">
        <w:rPr>
          <w:rFonts w:ascii="Times New Roman" w:hAnsi="Times New Roman" w:cs="Times New Roman"/>
          <w:color w:val="auto"/>
          <w:sz w:val="24"/>
          <w:szCs w:val="24"/>
        </w:rPr>
        <w:t xml:space="preserve">  </w:t>
      </w:r>
      <w:bookmarkStart w:id="4" w:name="_Toc360001434"/>
      <w:r w:rsidRPr="00D71CD1">
        <w:rPr>
          <w:rFonts w:ascii="Times New Roman" w:hAnsi="Times New Roman" w:cs="Times New Roman"/>
          <w:color w:val="auto"/>
          <w:sz w:val="24"/>
          <w:szCs w:val="24"/>
        </w:rPr>
        <w:t>Modelo Analítico para análise dos determinantes do custo de liquidez</w:t>
      </w:r>
      <w:bookmarkEnd w:id="4"/>
    </w:p>
    <w:p w:rsidR="00D422E8" w:rsidRPr="00D71CD1" w:rsidRDefault="00D422E8" w:rsidP="00D71CD1">
      <w:pPr>
        <w:pStyle w:val="PargrafodaLista"/>
        <w:autoSpaceDE w:val="0"/>
        <w:autoSpaceDN w:val="0"/>
        <w:adjustRightInd w:val="0"/>
        <w:spacing w:after="0" w:line="240" w:lineRule="auto"/>
        <w:jc w:val="both"/>
        <w:rPr>
          <w:rFonts w:ascii="Times New Roman" w:hAnsi="Times New Roman" w:cs="Times New Roman"/>
          <w:sz w:val="24"/>
          <w:szCs w:val="24"/>
        </w:rPr>
      </w:pPr>
    </w:p>
    <w:p w:rsidR="00D422E8" w:rsidRPr="00D71CD1" w:rsidRDefault="00D422E8" w:rsidP="00D71CD1">
      <w:pPr>
        <w:pStyle w:val="Default"/>
        <w:ind w:firstLine="708"/>
        <w:jc w:val="both"/>
      </w:pPr>
      <w:r w:rsidRPr="00D71CD1">
        <w:rPr>
          <w:iCs/>
        </w:rPr>
        <w:t xml:space="preserve">Além da mensuração do custo de liquidez, a identificação dos determinantes do custo de liquidez também se torna importante para os agentes que operam no mercado. </w:t>
      </w:r>
      <w:r w:rsidRPr="00D71CD1">
        <w:t>Dessa forma, alguns principais determinantes discutidos na literatura são abordados, a partir da seguinte especificação:</w:t>
      </w:r>
    </w:p>
    <w:p w:rsidR="00D422E8" w:rsidRPr="00D71CD1" w:rsidRDefault="00D422E8" w:rsidP="00D71CD1">
      <w:pPr>
        <w:autoSpaceDE w:val="0"/>
        <w:autoSpaceDN w:val="0"/>
        <w:adjustRightInd w:val="0"/>
        <w:spacing w:after="0" w:line="240" w:lineRule="auto"/>
        <w:jc w:val="both"/>
        <w:rPr>
          <w:rFonts w:ascii="Times New Roman" w:hAnsi="Times New Roman" w:cs="Times New Roman"/>
          <w:sz w:val="24"/>
          <w:szCs w:val="24"/>
        </w:rPr>
      </w:pPr>
    </w:p>
    <w:p w:rsidR="00D422E8" w:rsidRPr="00D71CD1" w:rsidRDefault="003F1166" w:rsidP="00D71CD1">
      <w:pPr>
        <w:autoSpaceDE w:val="0"/>
        <w:autoSpaceDN w:val="0"/>
        <w:adjustRightInd w:val="0"/>
        <w:spacing w:after="0" w:line="240" w:lineRule="auto"/>
        <w:jc w:val="both"/>
        <w:rPr>
          <w:rFonts w:ascii="Times New Roman" w:eastAsiaTheme="minorEastAsia"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LOGCLQ</m:t>
            </m:r>
          </m:e>
          <m:sub>
            <m:r>
              <w:rPr>
                <w:rFonts w:ascii="Times New Roman" w:hAnsi="Cambria Math" w:cs="Times New Roman"/>
                <w:sz w:val="24"/>
                <w:szCs w:val="24"/>
              </w:rPr>
              <m:t>h</m:t>
            </m:r>
            <m:r>
              <w:rPr>
                <w:rFonts w:ascii="Cambria Math" w:hAnsi="Cambria Math" w:cs="Times New Roman"/>
                <w:sz w:val="24"/>
                <w:szCs w:val="24"/>
              </w:rPr>
              <m:t>t</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0</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1</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LOGVARP</m:t>
            </m:r>
          </m:e>
          <m:sub>
            <m:r>
              <w:rPr>
                <w:rFonts w:ascii="Times New Roman" w:hAnsi="Cambria Math" w:cs="Times New Roman"/>
                <w:sz w:val="24"/>
                <w:szCs w:val="24"/>
              </w:rPr>
              <m:t>h</m:t>
            </m:r>
            <m:r>
              <w:rPr>
                <w:rFonts w:ascii="Cambria Math" w:hAnsi="Cambria Math" w:cs="Times New Roman"/>
                <w:sz w:val="24"/>
                <w:szCs w:val="24"/>
              </w:rPr>
              <m:t>t</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2</m:t>
            </m:r>
          </m:sub>
        </m:sSub>
        <m:sSub>
          <m:sSubPr>
            <m:ctrlPr>
              <w:rPr>
                <w:rFonts w:ascii="Cambria Math" w:hAnsi="Times New Roman" w:cs="Times New Roman"/>
                <w:i/>
                <w:sz w:val="24"/>
                <w:szCs w:val="24"/>
              </w:rPr>
            </m:ctrlPr>
          </m:sSubPr>
          <m:e>
            <m:r>
              <w:rPr>
                <w:rFonts w:ascii="Cambria Math" w:hAnsi="Cambria Math" w:cs="Times New Roman"/>
                <w:sz w:val="24"/>
                <w:szCs w:val="24"/>
              </w:rPr>
              <m:t>LOGVOL</m:t>
            </m:r>
          </m:e>
          <m:sub>
            <m:r>
              <w:rPr>
                <w:rFonts w:ascii="Times New Roman" w:hAnsi="Cambria Math" w:cs="Times New Roman"/>
                <w:sz w:val="24"/>
                <w:szCs w:val="24"/>
              </w:rPr>
              <m:t>h</m:t>
            </m:r>
            <m:r>
              <w:rPr>
                <w:rFonts w:ascii="Cambria Math" w:hAnsi="Cambria Math" w:cs="Times New Roman"/>
                <w:sz w:val="24"/>
                <w:szCs w:val="24"/>
              </w:rPr>
              <m:t>t</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3</m:t>
            </m:r>
          </m:sub>
        </m:sSub>
        <m:sSub>
          <m:sSubPr>
            <m:ctrlPr>
              <w:rPr>
                <w:rFonts w:ascii="Cambria Math" w:hAnsi="Times New Roman" w:cs="Times New Roman"/>
                <w:i/>
                <w:sz w:val="24"/>
                <w:szCs w:val="24"/>
              </w:rPr>
            </m:ctrlPr>
          </m:sSubPr>
          <m:e>
            <m:r>
              <w:rPr>
                <w:rFonts w:ascii="Cambria Math" w:hAnsi="Cambria Math" w:cs="Times New Roman"/>
                <w:sz w:val="24"/>
                <w:szCs w:val="24"/>
              </w:rPr>
              <m:t>LOGCONTABER</m:t>
            </m:r>
          </m:e>
          <m:sub>
            <m:r>
              <w:rPr>
                <w:rFonts w:ascii="Times New Roman" w:hAnsi="Cambria Math" w:cs="Times New Roman"/>
                <w:sz w:val="24"/>
                <w:szCs w:val="24"/>
              </w:rPr>
              <m:t>h</m:t>
            </m:r>
            <m:r>
              <w:rPr>
                <w:rFonts w:ascii="Cambria Math" w:hAnsi="Cambria Math" w:cs="Times New Roman"/>
                <w:sz w:val="24"/>
                <w:szCs w:val="24"/>
              </w:rPr>
              <m:t>t</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4</m:t>
            </m:r>
          </m:sub>
        </m:sSub>
        <m:sSub>
          <m:sSubPr>
            <m:ctrlPr>
              <w:rPr>
                <w:rFonts w:ascii="Cambria Math" w:hAnsi="Times New Roman" w:cs="Times New Roman"/>
                <w:i/>
                <w:sz w:val="24"/>
                <w:szCs w:val="24"/>
              </w:rPr>
            </m:ctrlPr>
          </m:sSubPr>
          <m:e>
            <m:r>
              <w:rPr>
                <w:rFonts w:ascii="Cambria Math" w:hAnsi="Cambria Math" w:cs="Times New Roman"/>
                <w:sz w:val="24"/>
                <w:szCs w:val="24"/>
              </w:rPr>
              <m:t>EXP</m:t>
            </m:r>
          </m:e>
          <m:sub>
            <m:r>
              <w:rPr>
                <w:rFonts w:ascii="Times New Roman" w:hAnsi="Cambria Math" w:cs="Times New Roman"/>
                <w:sz w:val="24"/>
                <w:szCs w:val="24"/>
              </w:rPr>
              <m:t>h</m:t>
            </m:r>
            <m:r>
              <w:rPr>
                <w:rFonts w:ascii="Cambria Math" w:hAnsi="Cambria Math" w:cs="Times New Roman"/>
                <w:sz w:val="24"/>
                <w:szCs w:val="24"/>
              </w:rPr>
              <m:t>t</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5</m:t>
            </m:r>
          </m:sub>
        </m:sSub>
        <m:sSub>
          <m:sSubPr>
            <m:ctrlPr>
              <w:rPr>
                <w:rFonts w:ascii="Cambria Math" w:hAnsi="Times New Roman" w:cs="Times New Roman"/>
                <w:i/>
                <w:sz w:val="24"/>
                <w:szCs w:val="24"/>
              </w:rPr>
            </m:ctrlPr>
          </m:sSubPr>
          <m:e>
            <m:r>
              <w:rPr>
                <w:rFonts w:ascii="Cambria Math" w:hAnsi="Cambria Math" w:cs="Times New Roman"/>
                <w:sz w:val="24"/>
                <w:szCs w:val="24"/>
              </w:rPr>
              <m:t>tend</m:t>
            </m:r>
            <m:r>
              <w:rPr>
                <w:rFonts w:ascii="Cambria Math" w:hAnsi="Times New Roman" w:cs="Times New Roman"/>
                <w:sz w:val="24"/>
                <w:szCs w:val="24"/>
              </w:rPr>
              <m:t>1</m:t>
            </m:r>
          </m:e>
          <m:sub>
            <m:r>
              <w:rPr>
                <w:rFonts w:ascii="Cambria Math" w:hAnsi="Cambria Math" w:cs="Times New Roman"/>
                <w:sz w:val="24"/>
                <w:szCs w:val="24"/>
              </w:rPr>
              <m:t>t</m:t>
            </m:r>
            <m:r>
              <w:rPr>
                <w:rFonts w:ascii="Times New Roman" w:hAnsi="Times New Roman" w:cs="Times New Roman"/>
                <w:sz w:val="24"/>
                <w:szCs w:val="24"/>
              </w:rPr>
              <m:t>-</m:t>
            </m:r>
            <m:r>
              <w:rPr>
                <w:rFonts w:ascii="Cambria Math" w:hAnsi="Times New Roman" w:cs="Times New Roman"/>
                <w:sz w:val="24"/>
                <w:szCs w:val="24"/>
              </w:rPr>
              <m:t xml:space="preserve">5, </m:t>
            </m:r>
            <m:r>
              <w:rPr>
                <w:rFonts w:ascii="Cambria Math" w:hAnsi="Cambria Math" w:cs="Times New Roman"/>
                <w:sz w:val="24"/>
                <w:szCs w:val="24"/>
              </w:rPr>
              <m:t>h</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6</m:t>
            </m:r>
          </m:sub>
        </m:sSub>
        <m:sSub>
          <m:sSubPr>
            <m:ctrlPr>
              <w:rPr>
                <w:rFonts w:ascii="Cambria Math" w:hAnsi="Times New Roman" w:cs="Times New Roman"/>
                <w:i/>
                <w:sz w:val="24"/>
                <w:szCs w:val="24"/>
              </w:rPr>
            </m:ctrlPr>
          </m:sSubPr>
          <m:e>
            <m:r>
              <w:rPr>
                <w:rFonts w:ascii="Cambria Math" w:hAnsi="Cambria Math" w:cs="Times New Roman"/>
                <w:sz w:val="24"/>
                <w:szCs w:val="24"/>
              </w:rPr>
              <m:t>tend</m:t>
            </m:r>
            <m:r>
              <w:rPr>
                <w:rFonts w:ascii="Cambria Math" w:hAnsi="Times New Roman" w:cs="Times New Roman"/>
                <w:sz w:val="24"/>
                <w:szCs w:val="24"/>
              </w:rPr>
              <m:t>2</m:t>
            </m:r>
          </m:e>
          <m:sub>
            <m:r>
              <w:rPr>
                <w:rFonts w:ascii="Cambria Math" w:hAnsi="Cambria Math" w:cs="Times New Roman"/>
                <w:sz w:val="24"/>
                <w:szCs w:val="24"/>
              </w:rPr>
              <m:t>t</m:t>
            </m:r>
            <m:r>
              <w:rPr>
                <w:rFonts w:ascii="Times New Roman" w:hAnsi="Times New Roman" w:cs="Times New Roman"/>
                <w:sz w:val="24"/>
                <w:szCs w:val="24"/>
              </w:rPr>
              <m:t>-</m:t>
            </m:r>
            <m:r>
              <w:rPr>
                <w:rFonts w:ascii="Cambria Math" w:hAnsi="Times New Roman" w:cs="Times New Roman"/>
                <w:sz w:val="24"/>
                <w:szCs w:val="24"/>
              </w:rPr>
              <m:t>5,</m:t>
            </m:r>
            <m:r>
              <w:rPr>
                <w:rFonts w:ascii="Times New Roman" w:hAnsi="Cambria Math" w:cs="Times New Roman"/>
                <w:sz w:val="24"/>
                <w:szCs w:val="24"/>
              </w:rPr>
              <m:t>h</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7</m:t>
            </m:r>
          </m:sub>
        </m:sSub>
        <m:sSub>
          <m:sSubPr>
            <m:ctrlPr>
              <w:rPr>
                <w:rFonts w:ascii="Cambria Math" w:hAnsi="Times New Roman" w:cs="Times New Roman"/>
                <w:i/>
                <w:sz w:val="24"/>
                <w:szCs w:val="24"/>
              </w:rPr>
            </m:ctrlPr>
          </m:sSubPr>
          <m:e>
            <m:r>
              <w:rPr>
                <w:rFonts w:ascii="Cambria Math" w:hAnsi="Cambria Math" w:cs="Times New Roman"/>
                <w:sz w:val="24"/>
                <w:szCs w:val="24"/>
              </w:rPr>
              <m:t>LOGVOLMED</m:t>
            </m:r>
          </m:e>
          <m:sub>
            <m:r>
              <w:rPr>
                <w:rFonts w:ascii="Times New Roman" w:hAnsi="Cambria Math" w:cs="Times New Roman"/>
                <w:sz w:val="24"/>
                <w:szCs w:val="24"/>
              </w:rPr>
              <m:t>h</m:t>
            </m:r>
            <m:r>
              <w:rPr>
                <w:rFonts w:ascii="Cambria Math" w:hAnsi="Cambria Math" w:cs="Times New Roman"/>
                <w:sz w:val="24"/>
                <w:szCs w:val="24"/>
              </w:rPr>
              <m:t>t</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ε</m:t>
            </m:r>
          </m:e>
          <m:sub>
            <m:r>
              <w:rPr>
                <w:rFonts w:ascii="Times New Roman" w:hAnsi="Cambria Math" w:cs="Times New Roman"/>
                <w:sz w:val="24"/>
                <w:szCs w:val="24"/>
              </w:rPr>
              <m:t>h</m:t>
            </m:r>
            <m:r>
              <w:rPr>
                <w:rFonts w:ascii="Cambria Math" w:hAnsi="Cambria Math" w:cs="Times New Roman"/>
                <w:sz w:val="24"/>
                <w:szCs w:val="24"/>
              </w:rPr>
              <m:t>t</m:t>
            </m:r>
          </m:sub>
        </m:sSub>
      </m:oMath>
      <w:r w:rsidR="00D422E8" w:rsidRPr="00D71CD1">
        <w:rPr>
          <w:rFonts w:ascii="Times New Roman" w:eastAsiaTheme="minorEastAsia" w:hAnsi="Times New Roman" w:cs="Times New Roman"/>
          <w:sz w:val="24"/>
          <w:szCs w:val="24"/>
        </w:rPr>
        <w:t xml:space="preserve">     </w:t>
      </w:r>
      <w:r w:rsidR="009378EF" w:rsidRPr="00D71CD1">
        <w:rPr>
          <w:rFonts w:ascii="Times New Roman" w:eastAsiaTheme="minorEastAsia" w:hAnsi="Times New Roman" w:cs="Times New Roman"/>
          <w:sz w:val="24"/>
          <w:szCs w:val="24"/>
        </w:rPr>
        <w:t xml:space="preserve">                                       </w:t>
      </w:r>
      <w:r w:rsidR="00D422E8" w:rsidRPr="00D71CD1">
        <w:rPr>
          <w:rFonts w:ascii="Times New Roman" w:eastAsiaTheme="minorEastAsia" w:hAnsi="Times New Roman" w:cs="Times New Roman"/>
          <w:sz w:val="24"/>
          <w:szCs w:val="24"/>
        </w:rPr>
        <w:t xml:space="preserve">  </w:t>
      </w:r>
      <w:r w:rsidR="009378EF" w:rsidRPr="00D71CD1">
        <w:rPr>
          <w:rFonts w:ascii="Times New Roman" w:eastAsiaTheme="minorEastAsia" w:hAnsi="Times New Roman" w:cs="Times New Roman"/>
          <w:sz w:val="24"/>
          <w:szCs w:val="24"/>
        </w:rPr>
        <w:t xml:space="preserve">   </w:t>
      </w:r>
      <w:r w:rsidR="00D422E8" w:rsidRPr="00D71CD1">
        <w:rPr>
          <w:rFonts w:ascii="Times New Roman" w:eastAsiaTheme="minorEastAsia" w:hAnsi="Times New Roman" w:cs="Times New Roman"/>
          <w:sz w:val="24"/>
          <w:szCs w:val="24"/>
        </w:rPr>
        <w:t>(</w:t>
      </w:r>
      <w:r w:rsidR="009378EF" w:rsidRPr="00D71CD1">
        <w:rPr>
          <w:rFonts w:ascii="Times New Roman" w:eastAsiaTheme="minorEastAsia" w:hAnsi="Times New Roman" w:cs="Times New Roman"/>
          <w:sz w:val="24"/>
          <w:szCs w:val="24"/>
        </w:rPr>
        <w:t>6</w:t>
      </w:r>
      <w:r w:rsidR="00D422E8" w:rsidRPr="00D71CD1">
        <w:rPr>
          <w:rFonts w:ascii="Times New Roman" w:eastAsiaTheme="minorEastAsia" w:hAnsi="Times New Roman" w:cs="Times New Roman"/>
          <w:sz w:val="24"/>
          <w:szCs w:val="24"/>
        </w:rPr>
        <w:t>)</w:t>
      </w:r>
    </w:p>
    <w:p w:rsidR="00D422E8" w:rsidRPr="00D71CD1" w:rsidRDefault="00D422E8" w:rsidP="00D71CD1">
      <w:pPr>
        <w:autoSpaceDE w:val="0"/>
        <w:autoSpaceDN w:val="0"/>
        <w:adjustRightInd w:val="0"/>
        <w:spacing w:after="0" w:line="240" w:lineRule="auto"/>
        <w:jc w:val="both"/>
        <w:rPr>
          <w:rFonts w:ascii="Times New Roman" w:hAnsi="Times New Roman" w:cs="Times New Roman"/>
          <w:sz w:val="24"/>
          <w:szCs w:val="24"/>
        </w:rPr>
      </w:pPr>
    </w:p>
    <w:p w:rsidR="00D422E8" w:rsidRPr="00D71CD1" w:rsidRDefault="00D422E8" w:rsidP="00D71CD1">
      <w:pPr>
        <w:autoSpaceDE w:val="0"/>
        <w:autoSpaceDN w:val="0"/>
        <w:adjustRightInd w:val="0"/>
        <w:spacing w:after="0" w:line="240" w:lineRule="auto"/>
        <w:jc w:val="both"/>
        <w:rPr>
          <w:rFonts w:ascii="Times New Roman" w:hAnsi="Times New Roman" w:cs="Times New Roman"/>
          <w:sz w:val="24"/>
          <w:szCs w:val="24"/>
        </w:rPr>
      </w:pPr>
      <w:proofErr w:type="gramStart"/>
      <w:r w:rsidRPr="00D71CD1">
        <w:rPr>
          <w:rFonts w:ascii="Times New Roman" w:hAnsi="Times New Roman" w:cs="Times New Roman"/>
          <w:sz w:val="24"/>
          <w:szCs w:val="24"/>
        </w:rPr>
        <w:t>em</w:t>
      </w:r>
      <w:proofErr w:type="gramEnd"/>
      <w:r w:rsidRPr="00D71CD1">
        <w:rPr>
          <w:rFonts w:ascii="Times New Roman" w:hAnsi="Times New Roman" w:cs="Times New Roman"/>
          <w:sz w:val="24"/>
          <w:szCs w:val="24"/>
        </w:rPr>
        <w:t xml:space="preserve"> que:</w:t>
      </w:r>
    </w:p>
    <w:p w:rsidR="00D422E8" w:rsidRPr="00D71CD1" w:rsidRDefault="003F1166" w:rsidP="00D71CD1">
      <w:pPr>
        <w:autoSpaceDE w:val="0"/>
        <w:autoSpaceDN w:val="0"/>
        <w:adjustRightInd w:val="0"/>
        <w:spacing w:after="0" w:line="240" w:lineRule="auto"/>
        <w:jc w:val="both"/>
        <w:rPr>
          <w:rFonts w:ascii="Times New Roman" w:eastAsiaTheme="minorEastAsia"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LOGCLQ</m:t>
            </m:r>
          </m:e>
          <m:sub>
            <m:r>
              <w:rPr>
                <w:rFonts w:ascii="Times New Roman" w:hAnsi="Cambria Math" w:cs="Times New Roman"/>
                <w:sz w:val="24"/>
                <w:szCs w:val="24"/>
              </w:rPr>
              <m:t>h</m:t>
            </m:r>
            <m:r>
              <w:rPr>
                <w:rFonts w:ascii="Cambria Math" w:hAnsi="Cambria Math" w:cs="Times New Roman"/>
                <w:sz w:val="24"/>
                <w:szCs w:val="24"/>
              </w:rPr>
              <m:t>t</m:t>
            </m:r>
          </m:sub>
        </m:sSub>
      </m:oMath>
      <w:r w:rsidR="00D422E8" w:rsidRPr="00D71CD1">
        <w:rPr>
          <w:rFonts w:ascii="Times New Roman" w:eastAsiaTheme="minorEastAsia" w:hAnsi="Times New Roman" w:cs="Times New Roman"/>
          <w:sz w:val="24"/>
          <w:szCs w:val="24"/>
        </w:rPr>
        <w:t>: é o logaritmo da média do custo de liquidez diário estimado para o dia t, para o contrato com vencimento no mês h;</w:t>
      </w:r>
      <w:r w:rsidR="00203121" w:rsidRPr="00D71CD1">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LOGVARP</m:t>
            </m:r>
          </m:e>
          <m:sub>
            <m:r>
              <w:rPr>
                <w:rFonts w:ascii="Times New Roman" w:hAnsi="Cambria Math" w:cs="Times New Roman"/>
                <w:sz w:val="24"/>
                <w:szCs w:val="24"/>
              </w:rPr>
              <m:t>h</m:t>
            </m:r>
            <m:r>
              <w:rPr>
                <w:rFonts w:ascii="Cambria Math" w:hAnsi="Cambria Math" w:cs="Times New Roman"/>
                <w:sz w:val="24"/>
                <w:szCs w:val="24"/>
              </w:rPr>
              <m:t>t</m:t>
            </m:r>
          </m:sub>
        </m:sSub>
      </m:oMath>
      <w:r w:rsidR="00D422E8" w:rsidRPr="00D71CD1">
        <w:rPr>
          <w:rFonts w:ascii="Times New Roman" w:eastAsiaTheme="minorEastAsia" w:hAnsi="Times New Roman" w:cs="Times New Roman"/>
          <w:sz w:val="24"/>
          <w:szCs w:val="24"/>
        </w:rPr>
        <w:t>: é a variabilidade diária dos preços dos negócios realizados, sendo representado pelo logaritmo do desvio padrão diário dos preços dos negócios efetivamente realizados, do contrato de vencimento no mês h;</w:t>
      </w:r>
      <w:r w:rsidR="00203121" w:rsidRPr="00D71CD1">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LOGVOL</m:t>
            </m:r>
          </m:e>
          <m:sub>
            <m:r>
              <w:rPr>
                <w:rFonts w:ascii="Times New Roman" w:hAnsi="Cambria Math" w:cs="Times New Roman"/>
                <w:sz w:val="24"/>
                <w:szCs w:val="24"/>
              </w:rPr>
              <m:t>h</m:t>
            </m:r>
            <m:r>
              <w:rPr>
                <w:rFonts w:ascii="Cambria Math" w:hAnsi="Cambria Math" w:cs="Times New Roman"/>
                <w:sz w:val="24"/>
                <w:szCs w:val="24"/>
              </w:rPr>
              <m:t>t</m:t>
            </m:r>
          </m:sub>
        </m:sSub>
      </m:oMath>
      <w:r w:rsidR="00D422E8" w:rsidRPr="00D71CD1">
        <w:rPr>
          <w:rFonts w:ascii="Times New Roman" w:eastAsiaTheme="minorEastAsia" w:hAnsi="Times New Roman" w:cs="Times New Roman"/>
          <w:sz w:val="24"/>
          <w:szCs w:val="24"/>
        </w:rPr>
        <w:t>: é o logaritmo do volume diário de negociação do contrato de vencimento no mês h;</w:t>
      </w:r>
      <w:r w:rsidR="00203121" w:rsidRPr="00D71CD1">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LOGCON</m:t>
            </m:r>
            <m:r>
              <w:rPr>
                <w:rFonts w:ascii="Cambria Math" w:hAnsi="Cambria Math" w:cs="Times New Roman"/>
                <w:sz w:val="24"/>
                <w:szCs w:val="24"/>
              </w:rPr>
              <m:t>TABER</m:t>
            </m:r>
          </m:e>
          <m:sub>
            <m:r>
              <w:rPr>
                <w:rFonts w:ascii="Times New Roman" w:hAnsi="Cambria Math" w:cs="Times New Roman"/>
                <w:sz w:val="24"/>
                <w:szCs w:val="24"/>
              </w:rPr>
              <m:t>h</m:t>
            </m:r>
            <m:r>
              <w:rPr>
                <w:rFonts w:ascii="Cambria Math" w:hAnsi="Cambria Math" w:cs="Times New Roman"/>
                <w:sz w:val="24"/>
                <w:szCs w:val="24"/>
              </w:rPr>
              <m:t>t</m:t>
            </m:r>
          </m:sub>
        </m:sSub>
      </m:oMath>
      <w:r w:rsidR="00D422E8" w:rsidRPr="00D71CD1">
        <w:rPr>
          <w:rFonts w:ascii="Times New Roman" w:eastAsiaTheme="minorEastAsia" w:hAnsi="Times New Roman" w:cs="Times New Roman"/>
          <w:sz w:val="24"/>
          <w:szCs w:val="24"/>
        </w:rPr>
        <w:t>: é o logaritmo do número de contratos em aberto com vencimento no mês h;</w:t>
      </w:r>
      <w:r w:rsidR="00203121" w:rsidRPr="00D71CD1">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EXP</m:t>
            </m:r>
          </m:e>
          <m:sub>
            <m:r>
              <w:rPr>
                <w:rFonts w:ascii="Times New Roman" w:hAnsi="Cambria Math" w:cs="Times New Roman"/>
                <w:sz w:val="24"/>
                <w:szCs w:val="24"/>
              </w:rPr>
              <m:t>h</m:t>
            </m:r>
            <m:r>
              <w:rPr>
                <w:rFonts w:ascii="Cambria Math" w:hAnsi="Cambria Math" w:cs="Times New Roman"/>
                <w:sz w:val="24"/>
                <w:szCs w:val="24"/>
              </w:rPr>
              <m:t>t</m:t>
            </m:r>
          </m:sub>
        </m:sSub>
      </m:oMath>
      <w:r w:rsidR="00D422E8" w:rsidRPr="00D71CD1">
        <w:rPr>
          <w:rFonts w:ascii="Times New Roman" w:eastAsiaTheme="minorEastAsia" w:hAnsi="Times New Roman" w:cs="Times New Roman"/>
          <w:sz w:val="24"/>
          <w:szCs w:val="24"/>
        </w:rPr>
        <w:t>: número de dias úteis que faltam para expiração do contrato do mês h;</w:t>
      </w:r>
      <w:r w:rsidR="00203121" w:rsidRPr="00D71CD1">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tend</m:t>
            </m:r>
            <m:r>
              <w:rPr>
                <w:rFonts w:ascii="Cambria Math" w:hAnsi="Times New Roman" w:cs="Times New Roman"/>
                <w:sz w:val="24"/>
                <w:szCs w:val="24"/>
              </w:rPr>
              <m:t>1</m:t>
            </m:r>
          </m:e>
          <m:sub>
            <m:r>
              <w:rPr>
                <w:rFonts w:ascii="Cambria Math" w:hAnsi="Cambria Math" w:cs="Times New Roman"/>
                <w:sz w:val="24"/>
                <w:szCs w:val="24"/>
              </w:rPr>
              <m:t>t</m:t>
            </m:r>
            <m:r>
              <w:rPr>
                <w:rFonts w:ascii="Times New Roman" w:hAnsi="Times New Roman" w:cs="Times New Roman"/>
                <w:sz w:val="24"/>
                <w:szCs w:val="24"/>
              </w:rPr>
              <m:t>-</m:t>
            </m:r>
            <m:r>
              <w:rPr>
                <w:rFonts w:ascii="Cambria Math" w:hAnsi="Times New Roman" w:cs="Times New Roman"/>
                <w:sz w:val="24"/>
                <w:szCs w:val="24"/>
              </w:rPr>
              <m:t xml:space="preserve">5, </m:t>
            </m:r>
            <m:r>
              <w:rPr>
                <w:rFonts w:ascii="Cambria Math" w:hAnsi="Cambria Math" w:cs="Times New Roman"/>
                <w:sz w:val="24"/>
                <w:szCs w:val="24"/>
              </w:rPr>
              <m:t>h</m:t>
            </m:r>
          </m:sub>
        </m:sSub>
      </m:oMath>
      <w:r w:rsidR="00D422E8" w:rsidRPr="00D71CD1">
        <w:rPr>
          <w:rFonts w:ascii="Times New Roman" w:eastAsiaTheme="minorEastAsia" w:hAnsi="Times New Roman" w:cs="Times New Roman"/>
          <w:sz w:val="24"/>
          <w:szCs w:val="24"/>
        </w:rPr>
        <w:t xml:space="preserve">: </w:t>
      </w:r>
      <w:proofErr w:type="spellStart"/>
      <w:r w:rsidR="00D422E8" w:rsidRPr="00D71CD1">
        <w:rPr>
          <w:rFonts w:ascii="Times New Roman" w:eastAsiaTheme="minorEastAsia" w:hAnsi="Times New Roman" w:cs="Times New Roman"/>
          <w:i/>
          <w:sz w:val="24"/>
          <w:szCs w:val="24"/>
        </w:rPr>
        <w:t>dummy</w:t>
      </w:r>
      <w:proofErr w:type="spellEnd"/>
      <w:r w:rsidR="00D422E8" w:rsidRPr="00D71CD1">
        <w:rPr>
          <w:rFonts w:ascii="Times New Roman" w:eastAsiaTheme="minorEastAsia" w:hAnsi="Times New Roman" w:cs="Times New Roman"/>
          <w:sz w:val="24"/>
          <w:szCs w:val="24"/>
        </w:rPr>
        <w:t>, recebendo valor 1 quando ocorre evolução positiva dos preços dos negócios realizados em 5 fechamentos seguidos, para o contrato de vencimento no mês h, caso contrário assume valor zero;</w:t>
      </w:r>
      <w:r w:rsidR="00203121" w:rsidRPr="00D71CD1">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tend</m:t>
            </m:r>
            <m:r>
              <w:rPr>
                <w:rFonts w:ascii="Cambria Math" w:hAnsi="Times New Roman" w:cs="Times New Roman"/>
                <w:sz w:val="24"/>
                <w:szCs w:val="24"/>
              </w:rPr>
              <m:t>2</m:t>
            </m:r>
          </m:e>
          <m:sub>
            <m:r>
              <w:rPr>
                <w:rFonts w:ascii="Cambria Math" w:hAnsi="Cambria Math" w:cs="Times New Roman"/>
                <w:sz w:val="24"/>
                <w:szCs w:val="24"/>
              </w:rPr>
              <m:t>t</m:t>
            </m:r>
            <m:r>
              <w:rPr>
                <w:rFonts w:ascii="Times New Roman" w:hAnsi="Times New Roman" w:cs="Times New Roman"/>
                <w:sz w:val="24"/>
                <w:szCs w:val="24"/>
              </w:rPr>
              <m:t>-</m:t>
            </m:r>
            <m:r>
              <w:rPr>
                <w:rFonts w:ascii="Cambria Math" w:hAnsi="Times New Roman" w:cs="Times New Roman"/>
                <w:sz w:val="24"/>
                <w:szCs w:val="24"/>
              </w:rPr>
              <m:t>5,</m:t>
            </m:r>
            <m:r>
              <w:rPr>
                <w:rFonts w:ascii="Times New Roman" w:hAnsi="Cambria Math" w:cs="Times New Roman"/>
                <w:sz w:val="24"/>
                <w:szCs w:val="24"/>
              </w:rPr>
              <m:t>h</m:t>
            </m:r>
          </m:sub>
        </m:sSub>
      </m:oMath>
      <w:r w:rsidR="00D422E8" w:rsidRPr="00D71CD1">
        <w:rPr>
          <w:rFonts w:ascii="Times New Roman" w:eastAsiaTheme="minorEastAsia" w:hAnsi="Times New Roman" w:cs="Times New Roman"/>
          <w:sz w:val="24"/>
          <w:szCs w:val="24"/>
        </w:rPr>
        <w:t xml:space="preserve">: </w:t>
      </w:r>
      <w:proofErr w:type="spellStart"/>
      <w:r w:rsidR="00D422E8" w:rsidRPr="00D71CD1">
        <w:rPr>
          <w:rFonts w:ascii="Times New Roman" w:eastAsiaTheme="minorEastAsia" w:hAnsi="Times New Roman" w:cs="Times New Roman"/>
          <w:i/>
          <w:sz w:val="24"/>
          <w:szCs w:val="24"/>
        </w:rPr>
        <w:t>dummy</w:t>
      </w:r>
      <w:proofErr w:type="spellEnd"/>
      <w:r w:rsidR="00D422E8" w:rsidRPr="00D71CD1">
        <w:rPr>
          <w:rFonts w:ascii="Times New Roman" w:eastAsiaTheme="minorEastAsia" w:hAnsi="Times New Roman" w:cs="Times New Roman"/>
          <w:sz w:val="24"/>
          <w:szCs w:val="24"/>
        </w:rPr>
        <w:t>, recebendo valor 1 quando ocorre evolução negativa dos preços dos negócios realizados em 5 fechamentos seguidos, para o contrato de vencimento no mês h, caso contrário assume valor zero;</w:t>
      </w:r>
      <w:r w:rsidR="00203121" w:rsidRPr="00D71CD1">
        <w:rPr>
          <w:rFonts w:ascii="Times New Roman" w:eastAsiaTheme="minorEastAsia" w:hAnsi="Times New Roman" w:cs="Times New Roman"/>
          <w:sz w:val="24"/>
          <w:szCs w:val="24"/>
        </w:rPr>
        <w:t xml:space="preserve"> </w:t>
      </w:r>
      <m:oMath>
        <m:r>
          <w:rPr>
            <w:rFonts w:ascii="Cambria Math" w:hAnsi="Times New Roman" w:cs="Times New Roman"/>
            <w:sz w:val="24"/>
            <w:szCs w:val="24"/>
          </w:rPr>
          <m:t>LOG</m:t>
        </m:r>
        <m:sSub>
          <m:sSubPr>
            <m:ctrlPr>
              <w:rPr>
                <w:rFonts w:ascii="Cambria Math" w:hAnsi="Times New Roman" w:cs="Times New Roman"/>
                <w:i/>
                <w:sz w:val="24"/>
                <w:szCs w:val="24"/>
              </w:rPr>
            </m:ctrlPr>
          </m:sSubPr>
          <m:e>
            <m:r>
              <w:rPr>
                <w:rFonts w:ascii="Cambria Math" w:hAnsi="Cambria Math" w:cs="Times New Roman"/>
                <w:sz w:val="24"/>
                <w:szCs w:val="24"/>
              </w:rPr>
              <m:t>VOLMED</m:t>
            </m:r>
          </m:e>
          <m:sub>
            <m:r>
              <w:rPr>
                <w:rFonts w:ascii="Times New Roman" w:hAnsi="Cambria Math" w:cs="Times New Roman"/>
                <w:sz w:val="24"/>
                <w:szCs w:val="24"/>
              </w:rPr>
              <m:t>h</m:t>
            </m:r>
            <m:r>
              <w:rPr>
                <w:rFonts w:ascii="Cambria Math" w:hAnsi="Cambria Math" w:cs="Times New Roman"/>
                <w:sz w:val="24"/>
                <w:szCs w:val="24"/>
              </w:rPr>
              <m:t>t</m:t>
            </m:r>
          </m:sub>
        </m:sSub>
      </m:oMath>
      <w:r w:rsidR="00D422E8" w:rsidRPr="00D71CD1">
        <w:rPr>
          <w:rFonts w:ascii="Times New Roman" w:eastAsiaTheme="minorEastAsia" w:hAnsi="Times New Roman" w:cs="Times New Roman"/>
          <w:sz w:val="24"/>
          <w:szCs w:val="24"/>
        </w:rPr>
        <w:t xml:space="preserve">: é o logaritmo do volume médio transacionado para o dia t, para o contrato com vencimento no mês h, onde espera-se que maiores volume médio transacionado apresenta uma relação positiva com o custo de liquidez; </w:t>
      </w:r>
      <w:r w:rsidR="00203121" w:rsidRPr="00D71CD1">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ε</m:t>
            </m:r>
          </m:e>
          <m:sub>
            <m:r>
              <w:rPr>
                <w:rFonts w:ascii="Times New Roman" w:hAnsi="Cambria Math" w:cs="Times New Roman"/>
                <w:sz w:val="24"/>
                <w:szCs w:val="24"/>
              </w:rPr>
              <m:t>h</m:t>
            </m:r>
            <m:r>
              <w:rPr>
                <w:rFonts w:ascii="Cambria Math" w:hAnsi="Cambria Math" w:cs="Times New Roman"/>
                <w:sz w:val="24"/>
                <w:szCs w:val="24"/>
              </w:rPr>
              <m:t>t</m:t>
            </m:r>
          </m:sub>
        </m:sSub>
      </m:oMath>
      <w:r w:rsidR="00D422E8" w:rsidRPr="00D71CD1">
        <w:rPr>
          <w:rFonts w:ascii="Times New Roman" w:eastAsiaTheme="minorEastAsia" w:hAnsi="Times New Roman" w:cs="Times New Roman"/>
          <w:sz w:val="24"/>
          <w:szCs w:val="24"/>
        </w:rPr>
        <w:t>= erro aleatório.</w:t>
      </w:r>
    </w:p>
    <w:p w:rsidR="00D422E8" w:rsidRPr="00D71CD1" w:rsidRDefault="00D422E8" w:rsidP="00D71CD1">
      <w:pPr>
        <w:autoSpaceDE w:val="0"/>
        <w:autoSpaceDN w:val="0"/>
        <w:adjustRightInd w:val="0"/>
        <w:spacing w:after="0" w:line="240" w:lineRule="auto"/>
        <w:jc w:val="both"/>
        <w:rPr>
          <w:rFonts w:ascii="Times New Roman" w:hAnsi="Times New Roman" w:cs="Times New Roman"/>
          <w:b/>
          <w:sz w:val="24"/>
          <w:szCs w:val="24"/>
        </w:rPr>
      </w:pPr>
    </w:p>
    <w:p w:rsidR="00B00D61" w:rsidRPr="00D71CD1" w:rsidRDefault="00D422E8" w:rsidP="00D71CD1">
      <w:pPr>
        <w:autoSpaceDE w:val="0"/>
        <w:autoSpaceDN w:val="0"/>
        <w:adjustRightInd w:val="0"/>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A estratégia de estimação foi baseada nos contratos que registraram os maiores números de negociações no período, que inclui os contratos com vencimento em maio de </w:t>
      </w:r>
      <w:proofErr w:type="gramStart"/>
      <w:r w:rsidRPr="00D71CD1">
        <w:rPr>
          <w:rFonts w:ascii="Times New Roman" w:hAnsi="Times New Roman" w:cs="Times New Roman"/>
          <w:sz w:val="24"/>
          <w:szCs w:val="24"/>
        </w:rPr>
        <w:t>2011 (SOJK11), maio</w:t>
      </w:r>
      <w:proofErr w:type="gramEnd"/>
      <w:r w:rsidRPr="00D71CD1">
        <w:rPr>
          <w:rFonts w:ascii="Times New Roman" w:hAnsi="Times New Roman" w:cs="Times New Roman"/>
          <w:sz w:val="24"/>
          <w:szCs w:val="24"/>
        </w:rPr>
        <w:t xml:space="preserve"> de 2012 (SFIK12) e maio de 2013 (SFIK13)</w:t>
      </w:r>
      <w:r w:rsidR="00A156B7" w:rsidRPr="00D71CD1">
        <w:rPr>
          <w:rFonts w:ascii="Times New Roman" w:hAnsi="Times New Roman" w:cs="Times New Roman"/>
          <w:sz w:val="24"/>
          <w:szCs w:val="24"/>
        </w:rPr>
        <w:t>, contendo 607 observações diárias, apresentando 83% das negociações realizadas de setembro de 2010 até fevereiro de 2013.</w:t>
      </w:r>
      <w:r w:rsidRPr="00D71CD1">
        <w:rPr>
          <w:rFonts w:ascii="Times New Roman" w:hAnsi="Times New Roman" w:cs="Times New Roman"/>
          <w:sz w:val="24"/>
          <w:szCs w:val="24"/>
        </w:rPr>
        <w:t xml:space="preserve"> Esses contratos apresentaram as maiores porcentagens de dias úteis negociados em relação ao número de dias em que estiveram disponíveis para negociação, conforme </w:t>
      </w:r>
      <w:r w:rsidR="00B00D61" w:rsidRPr="00D71CD1">
        <w:rPr>
          <w:rFonts w:ascii="Times New Roman" w:hAnsi="Times New Roman" w:cs="Times New Roman"/>
          <w:sz w:val="24"/>
          <w:szCs w:val="24"/>
        </w:rPr>
        <w:t xml:space="preserve">verificado pelos autores. </w:t>
      </w:r>
    </w:p>
    <w:p w:rsidR="00D422E8" w:rsidRPr="00D71CD1" w:rsidRDefault="00D422E8" w:rsidP="00D71CD1">
      <w:pPr>
        <w:autoSpaceDE w:val="0"/>
        <w:autoSpaceDN w:val="0"/>
        <w:adjustRightInd w:val="0"/>
        <w:spacing w:after="0" w:line="240" w:lineRule="auto"/>
        <w:ind w:firstLine="708"/>
        <w:jc w:val="both"/>
        <w:rPr>
          <w:rFonts w:ascii="Times New Roman" w:eastAsiaTheme="minorEastAsia" w:hAnsi="Times New Roman" w:cs="Times New Roman"/>
          <w:sz w:val="24"/>
          <w:szCs w:val="24"/>
        </w:rPr>
      </w:pPr>
      <w:r w:rsidRPr="00D71CD1">
        <w:rPr>
          <w:rFonts w:ascii="Times New Roman" w:hAnsi="Times New Roman" w:cs="Times New Roman"/>
          <w:sz w:val="24"/>
          <w:szCs w:val="24"/>
        </w:rPr>
        <w:t xml:space="preserve">Os demais contratos existentes no período de análise foram excluídos da amostra, pois as porcentagens de dias úteis negociados em relação ao número de dias em que estiveram disponíveis </w:t>
      </w:r>
      <w:r w:rsidRPr="00D71CD1">
        <w:rPr>
          <w:rFonts w:ascii="Times New Roman" w:hAnsi="Times New Roman" w:cs="Times New Roman"/>
          <w:sz w:val="24"/>
          <w:szCs w:val="24"/>
        </w:rPr>
        <w:lastRenderedPageBreak/>
        <w:t xml:space="preserve">para negociação foram baixos, o que resultava em muitas variáveis com valores zero, tais como </w:t>
      </w:r>
      <w:r w:rsidRPr="00D71CD1">
        <w:rPr>
          <w:rFonts w:ascii="Times New Roman" w:eastAsiaTheme="minorEastAsia" w:hAnsi="Times New Roman" w:cs="Times New Roman"/>
          <w:sz w:val="24"/>
          <w:szCs w:val="24"/>
        </w:rPr>
        <w:t>volume diário de negociação (</w:t>
      </w:r>
      <m:oMath>
        <m:sSub>
          <m:sSubPr>
            <m:ctrlPr>
              <w:rPr>
                <w:rFonts w:ascii="Cambria Math" w:hAnsi="Times New Roman" w:cs="Times New Roman"/>
                <w:i/>
                <w:sz w:val="24"/>
                <w:szCs w:val="24"/>
              </w:rPr>
            </m:ctrlPr>
          </m:sSubPr>
          <m:e>
            <m:r>
              <w:rPr>
                <w:rFonts w:ascii="Cambria Math" w:hAnsi="Cambria Math" w:cs="Times New Roman"/>
                <w:sz w:val="24"/>
                <w:szCs w:val="24"/>
              </w:rPr>
              <m:t>VOL</m:t>
            </m:r>
          </m:e>
          <m:sub>
            <m:r>
              <w:rPr>
                <w:rFonts w:ascii="Cambria Math" w:hAnsi="Cambria Math" w:cs="Times New Roman"/>
                <w:sz w:val="24"/>
                <w:szCs w:val="24"/>
              </w:rPr>
              <m:t>t</m:t>
            </m:r>
          </m:sub>
        </m:sSub>
      </m:oMath>
      <w:r w:rsidRPr="00D71CD1">
        <w:rPr>
          <w:rFonts w:ascii="Times New Roman" w:eastAsiaTheme="minorEastAsia" w:hAnsi="Times New Roman" w:cs="Times New Roman"/>
          <w:sz w:val="24"/>
          <w:szCs w:val="24"/>
        </w:rPr>
        <w:t>), desvio padrão diário dos preços de cotação do contrato (</w:t>
      </w:r>
      <m:oMath>
        <m:sSub>
          <m:sSubPr>
            <m:ctrlPr>
              <w:rPr>
                <w:rFonts w:ascii="Cambria Math" w:hAnsi="Times New Roman" w:cs="Times New Roman"/>
                <w:i/>
                <w:sz w:val="24"/>
                <w:szCs w:val="24"/>
              </w:rPr>
            </m:ctrlPr>
          </m:sSubPr>
          <m:e>
            <m:r>
              <w:rPr>
                <w:rFonts w:ascii="Cambria Math" w:hAnsi="Cambria Math" w:cs="Times New Roman"/>
                <w:sz w:val="24"/>
                <w:szCs w:val="24"/>
              </w:rPr>
              <m:t>VARP</m:t>
            </m:r>
          </m:e>
          <m:sub>
            <m:r>
              <w:rPr>
                <w:rFonts w:ascii="Cambria Math" w:hAnsi="Cambria Math" w:cs="Times New Roman"/>
                <w:sz w:val="24"/>
                <w:szCs w:val="24"/>
              </w:rPr>
              <m:t>t</m:t>
            </m:r>
          </m:sub>
        </m:sSub>
        <m:r>
          <w:rPr>
            <w:rFonts w:ascii="Cambria Math" w:hAnsi="Times New Roman" w:cs="Times New Roman"/>
            <w:sz w:val="24"/>
            <w:szCs w:val="24"/>
          </w:rPr>
          <m:t>)</m:t>
        </m:r>
      </m:oMath>
      <w:r w:rsidRPr="00D71CD1">
        <w:rPr>
          <w:rFonts w:ascii="Times New Roman" w:eastAsiaTheme="minorEastAsia" w:hAnsi="Times New Roman" w:cs="Times New Roman"/>
          <w:sz w:val="24"/>
          <w:szCs w:val="24"/>
        </w:rPr>
        <w:t xml:space="preserve"> e volume médio transacionado (</w:t>
      </w:r>
      <m:oMath>
        <m:sSub>
          <m:sSubPr>
            <m:ctrlPr>
              <w:rPr>
                <w:rFonts w:ascii="Cambria Math" w:hAnsi="Times New Roman" w:cs="Times New Roman"/>
                <w:i/>
                <w:sz w:val="24"/>
                <w:szCs w:val="24"/>
              </w:rPr>
            </m:ctrlPr>
          </m:sSubPr>
          <m:e>
            <m:r>
              <w:rPr>
                <w:rFonts w:ascii="Cambria Math" w:hAnsi="Cambria Math" w:cs="Times New Roman"/>
                <w:sz w:val="24"/>
                <w:szCs w:val="24"/>
              </w:rPr>
              <m:t>VOLMED</m:t>
            </m:r>
          </m:e>
          <m:sub>
            <m:r>
              <w:rPr>
                <w:rFonts w:ascii="Cambria Math" w:hAnsi="Cambria Math" w:cs="Times New Roman"/>
                <w:sz w:val="24"/>
                <w:szCs w:val="24"/>
              </w:rPr>
              <m:t>t</m:t>
            </m:r>
          </m:sub>
        </m:sSub>
      </m:oMath>
      <w:r w:rsidRPr="00D71CD1">
        <w:rPr>
          <w:rFonts w:ascii="Times New Roman" w:eastAsiaTheme="minorEastAsia" w:hAnsi="Times New Roman" w:cs="Times New Roman"/>
          <w:sz w:val="24"/>
          <w:szCs w:val="24"/>
        </w:rPr>
        <w:t xml:space="preserve">), que resultava em estimações com baixos coeficientes significativos. </w:t>
      </w:r>
    </w:p>
    <w:p w:rsidR="00D422E8" w:rsidRPr="00D71CD1" w:rsidRDefault="00D422E8" w:rsidP="00D71CD1">
      <w:pPr>
        <w:autoSpaceDE w:val="0"/>
        <w:autoSpaceDN w:val="0"/>
        <w:adjustRightInd w:val="0"/>
        <w:spacing w:after="0" w:line="240" w:lineRule="auto"/>
        <w:jc w:val="both"/>
        <w:rPr>
          <w:rFonts w:ascii="Times New Roman" w:hAnsi="Times New Roman" w:cs="Times New Roman"/>
          <w:sz w:val="24"/>
          <w:szCs w:val="24"/>
        </w:rPr>
      </w:pPr>
      <w:r w:rsidRPr="00D71CD1">
        <w:rPr>
          <w:rFonts w:ascii="Times New Roman" w:hAnsi="Times New Roman" w:cs="Times New Roman"/>
          <w:b/>
          <w:sz w:val="24"/>
          <w:szCs w:val="24"/>
        </w:rPr>
        <w:tab/>
      </w:r>
      <w:r w:rsidRPr="00D71CD1">
        <w:rPr>
          <w:rFonts w:ascii="Times New Roman" w:hAnsi="Times New Roman" w:cs="Times New Roman"/>
          <w:sz w:val="24"/>
          <w:szCs w:val="24"/>
        </w:rPr>
        <w:t xml:space="preserve">A estratégia da utilização da base de dados foi de uma cotação por dia útil, de forma que para a mesma data não seja analisado </w:t>
      </w:r>
      <w:proofErr w:type="gramStart"/>
      <w:r w:rsidRPr="00D71CD1">
        <w:rPr>
          <w:rFonts w:ascii="Times New Roman" w:hAnsi="Times New Roman" w:cs="Times New Roman"/>
          <w:sz w:val="24"/>
          <w:szCs w:val="24"/>
        </w:rPr>
        <w:t>2</w:t>
      </w:r>
      <w:proofErr w:type="gramEnd"/>
      <w:r w:rsidRPr="00D71CD1">
        <w:rPr>
          <w:rFonts w:ascii="Times New Roman" w:hAnsi="Times New Roman" w:cs="Times New Roman"/>
          <w:sz w:val="24"/>
          <w:szCs w:val="24"/>
        </w:rPr>
        <w:t xml:space="preserve"> contratos, iniciando a partir do primeiro registro de negócios efetuados até a data do vencimento, e posteriormente com as informações do contrato com vencimento mais próximo, e assim sucessivamente. </w:t>
      </w:r>
    </w:p>
    <w:p w:rsidR="00D422E8" w:rsidRPr="00D71CD1" w:rsidRDefault="00D422E8" w:rsidP="00D71CD1">
      <w:pPr>
        <w:autoSpaceDE w:val="0"/>
        <w:autoSpaceDN w:val="0"/>
        <w:adjustRightInd w:val="0"/>
        <w:spacing w:after="0" w:line="240" w:lineRule="auto"/>
        <w:ind w:firstLine="708"/>
        <w:jc w:val="both"/>
        <w:rPr>
          <w:rFonts w:ascii="Times New Roman" w:eastAsiaTheme="minorEastAsia" w:hAnsi="Times New Roman" w:cs="Times New Roman"/>
          <w:sz w:val="24"/>
          <w:szCs w:val="24"/>
        </w:rPr>
      </w:pPr>
      <w:r w:rsidRPr="00D71CD1">
        <w:rPr>
          <w:rFonts w:ascii="Times New Roman" w:hAnsi="Times New Roman" w:cs="Times New Roman"/>
          <w:sz w:val="24"/>
          <w:szCs w:val="24"/>
        </w:rPr>
        <w:t>A equação (</w:t>
      </w:r>
      <w:r w:rsidR="00A156B7" w:rsidRPr="00D71CD1">
        <w:rPr>
          <w:rFonts w:ascii="Times New Roman" w:hAnsi="Times New Roman" w:cs="Times New Roman"/>
          <w:sz w:val="24"/>
          <w:szCs w:val="24"/>
        </w:rPr>
        <w:t>6</w:t>
      </w:r>
      <w:r w:rsidRPr="00D71CD1">
        <w:rPr>
          <w:rFonts w:ascii="Times New Roman" w:hAnsi="Times New Roman" w:cs="Times New Roman"/>
          <w:sz w:val="24"/>
          <w:szCs w:val="24"/>
        </w:rPr>
        <w:t xml:space="preserve">) </w:t>
      </w:r>
      <w:r w:rsidR="00A156B7" w:rsidRPr="00D71CD1">
        <w:rPr>
          <w:rFonts w:ascii="Times New Roman" w:hAnsi="Times New Roman" w:cs="Times New Roman"/>
          <w:sz w:val="24"/>
          <w:szCs w:val="24"/>
        </w:rPr>
        <w:t xml:space="preserve">foi </w:t>
      </w:r>
      <w:proofErr w:type="gramStart"/>
      <w:r w:rsidRPr="00D71CD1">
        <w:rPr>
          <w:rFonts w:ascii="Times New Roman" w:hAnsi="Times New Roman" w:cs="Times New Roman"/>
          <w:sz w:val="24"/>
          <w:szCs w:val="24"/>
        </w:rPr>
        <w:t>e</w:t>
      </w:r>
      <w:r w:rsidR="00F02656">
        <w:rPr>
          <w:rFonts w:ascii="Times New Roman" w:hAnsi="Times New Roman" w:cs="Times New Roman"/>
          <w:sz w:val="24"/>
          <w:szCs w:val="24"/>
        </w:rPr>
        <w:t>stimada utilizando o método de Mínimos Q</w:t>
      </w:r>
      <w:r w:rsidRPr="00D71CD1">
        <w:rPr>
          <w:rFonts w:ascii="Times New Roman" w:hAnsi="Times New Roman" w:cs="Times New Roman"/>
          <w:sz w:val="24"/>
          <w:szCs w:val="24"/>
        </w:rPr>
        <w:t xml:space="preserve">uadrados Ordinários (MQO), </w:t>
      </w:r>
      <w:r w:rsidR="00B00D61" w:rsidRPr="00D71CD1">
        <w:rPr>
          <w:rFonts w:ascii="Times New Roman" w:hAnsi="Times New Roman" w:cs="Times New Roman"/>
          <w:sz w:val="24"/>
          <w:szCs w:val="24"/>
        </w:rPr>
        <w:t>e realizado</w:t>
      </w:r>
      <w:proofErr w:type="gramEnd"/>
      <w:r w:rsidR="00B00D61" w:rsidRPr="00D71CD1">
        <w:rPr>
          <w:rFonts w:ascii="Times New Roman" w:hAnsi="Times New Roman" w:cs="Times New Roman"/>
          <w:sz w:val="24"/>
          <w:szCs w:val="24"/>
        </w:rPr>
        <w:t xml:space="preserve"> </w:t>
      </w:r>
      <w:r w:rsidRPr="00D71CD1">
        <w:rPr>
          <w:rFonts w:ascii="Times New Roman" w:hAnsi="Times New Roman" w:cs="Times New Roman"/>
          <w:iCs/>
          <w:color w:val="000000"/>
          <w:sz w:val="24"/>
          <w:szCs w:val="24"/>
        </w:rPr>
        <w:t xml:space="preserve">o teste de </w:t>
      </w:r>
      <w:proofErr w:type="spellStart"/>
      <w:r w:rsidRPr="00D71CD1">
        <w:rPr>
          <w:rFonts w:ascii="Times New Roman" w:hAnsi="Times New Roman" w:cs="Times New Roman"/>
          <w:iCs/>
          <w:color w:val="000000"/>
          <w:sz w:val="24"/>
          <w:szCs w:val="24"/>
        </w:rPr>
        <w:t>endogeneidade</w:t>
      </w:r>
      <w:proofErr w:type="spellEnd"/>
      <w:r w:rsidRPr="00D71CD1">
        <w:rPr>
          <w:rFonts w:ascii="Times New Roman" w:hAnsi="Times New Roman" w:cs="Times New Roman"/>
          <w:iCs/>
          <w:color w:val="000000"/>
          <w:sz w:val="24"/>
          <w:szCs w:val="24"/>
        </w:rPr>
        <w:t xml:space="preserve"> de </w:t>
      </w:r>
      <w:proofErr w:type="spellStart"/>
      <w:r w:rsidRPr="00D71CD1">
        <w:rPr>
          <w:rFonts w:ascii="Times New Roman" w:hAnsi="Times New Roman" w:cs="Times New Roman"/>
          <w:iCs/>
          <w:color w:val="000000"/>
          <w:sz w:val="24"/>
          <w:szCs w:val="24"/>
        </w:rPr>
        <w:t>Hausman</w:t>
      </w:r>
      <w:proofErr w:type="spellEnd"/>
      <w:r w:rsidRPr="00D71CD1">
        <w:rPr>
          <w:rStyle w:val="Refdenotaderodap"/>
          <w:rFonts w:ascii="Times New Roman" w:hAnsi="Times New Roman" w:cs="Times New Roman"/>
          <w:iCs/>
          <w:color w:val="000000"/>
          <w:sz w:val="24"/>
          <w:szCs w:val="24"/>
        </w:rPr>
        <w:footnoteReference w:id="6"/>
      </w:r>
      <w:r w:rsidRPr="00D71CD1">
        <w:rPr>
          <w:rFonts w:ascii="Times New Roman" w:hAnsi="Times New Roman" w:cs="Times New Roman"/>
          <w:iCs/>
          <w:color w:val="000000"/>
          <w:sz w:val="24"/>
          <w:szCs w:val="24"/>
        </w:rPr>
        <w:t xml:space="preserve">, tendo como hipótese nula que as variáveis são exógenas. Os resultados apontaram a presença de </w:t>
      </w:r>
      <w:proofErr w:type="spellStart"/>
      <w:r w:rsidRPr="00D71CD1">
        <w:rPr>
          <w:rFonts w:ascii="Times New Roman" w:hAnsi="Times New Roman" w:cs="Times New Roman"/>
          <w:iCs/>
          <w:color w:val="000000"/>
          <w:sz w:val="24"/>
          <w:szCs w:val="24"/>
        </w:rPr>
        <w:t>endogeneidade</w:t>
      </w:r>
      <w:proofErr w:type="spellEnd"/>
      <w:r w:rsidRPr="00D71CD1">
        <w:rPr>
          <w:rFonts w:ascii="Times New Roman" w:hAnsi="Times New Roman" w:cs="Times New Roman"/>
          <w:iCs/>
          <w:color w:val="000000"/>
          <w:sz w:val="24"/>
          <w:szCs w:val="24"/>
        </w:rPr>
        <w:t xml:space="preserve"> para </w:t>
      </w:r>
      <w:proofErr w:type="gramStart"/>
      <w:r w:rsidRPr="00D71CD1">
        <w:rPr>
          <w:rFonts w:ascii="Times New Roman" w:hAnsi="Times New Roman" w:cs="Times New Roman"/>
          <w:iCs/>
          <w:color w:val="000000"/>
          <w:sz w:val="24"/>
          <w:szCs w:val="24"/>
        </w:rPr>
        <w:t xml:space="preserve">as variáveis </w:t>
      </w:r>
      <w:r w:rsidRPr="00D71CD1">
        <w:rPr>
          <w:rFonts w:ascii="Times New Roman" w:eastAsiaTheme="minorEastAsia" w:hAnsi="Times New Roman" w:cs="Times New Roman"/>
          <w:sz w:val="24"/>
          <w:szCs w:val="24"/>
        </w:rPr>
        <w:t>volume</w:t>
      </w:r>
      <w:proofErr w:type="gramEnd"/>
      <w:r w:rsidRPr="00D71CD1">
        <w:rPr>
          <w:rFonts w:ascii="Times New Roman" w:eastAsiaTheme="minorEastAsia" w:hAnsi="Times New Roman" w:cs="Times New Roman"/>
          <w:sz w:val="24"/>
          <w:szCs w:val="24"/>
        </w:rPr>
        <w:t xml:space="preserve"> diário de negociação (</w:t>
      </w:r>
      <m:oMath>
        <m:sSub>
          <m:sSubPr>
            <m:ctrlPr>
              <w:rPr>
                <w:rFonts w:ascii="Cambria Math" w:hAnsi="Times New Roman" w:cs="Times New Roman"/>
                <w:i/>
                <w:sz w:val="24"/>
                <w:szCs w:val="24"/>
              </w:rPr>
            </m:ctrlPr>
          </m:sSubPr>
          <m:e>
            <m:r>
              <w:rPr>
                <w:rFonts w:ascii="Cambria Math" w:hAnsi="Cambria Math" w:cs="Times New Roman"/>
                <w:sz w:val="24"/>
                <w:szCs w:val="24"/>
              </w:rPr>
              <m:t>VOL</m:t>
            </m:r>
          </m:e>
          <m:sub>
            <m:r>
              <w:rPr>
                <w:rFonts w:ascii="Cambria Math" w:hAnsi="Cambria Math" w:cs="Times New Roman"/>
                <w:sz w:val="24"/>
                <w:szCs w:val="24"/>
              </w:rPr>
              <m:t>t</m:t>
            </m:r>
          </m:sub>
        </m:sSub>
      </m:oMath>
      <w:r w:rsidRPr="00D71CD1">
        <w:rPr>
          <w:rFonts w:ascii="Times New Roman" w:eastAsiaTheme="minorEastAsia" w:hAnsi="Times New Roman" w:cs="Times New Roman"/>
          <w:sz w:val="24"/>
          <w:szCs w:val="24"/>
        </w:rPr>
        <w:t>), desvio padrão diário dos preços de cotação do contrato (</w:t>
      </w:r>
      <m:oMath>
        <m:sSub>
          <m:sSubPr>
            <m:ctrlPr>
              <w:rPr>
                <w:rFonts w:ascii="Cambria Math" w:hAnsi="Times New Roman" w:cs="Times New Roman"/>
                <w:i/>
                <w:sz w:val="24"/>
                <w:szCs w:val="24"/>
              </w:rPr>
            </m:ctrlPr>
          </m:sSubPr>
          <m:e>
            <m:r>
              <w:rPr>
                <w:rFonts w:ascii="Cambria Math" w:hAnsi="Cambria Math" w:cs="Times New Roman"/>
                <w:sz w:val="24"/>
                <w:szCs w:val="24"/>
              </w:rPr>
              <m:t>VARP</m:t>
            </m:r>
          </m:e>
          <m:sub>
            <m:r>
              <w:rPr>
                <w:rFonts w:ascii="Cambria Math" w:hAnsi="Cambria Math" w:cs="Times New Roman"/>
                <w:sz w:val="24"/>
                <w:szCs w:val="24"/>
              </w:rPr>
              <m:t>t</m:t>
            </m:r>
          </m:sub>
        </m:sSub>
        <m:r>
          <w:rPr>
            <w:rFonts w:ascii="Cambria Math" w:hAnsi="Times New Roman" w:cs="Times New Roman"/>
            <w:sz w:val="24"/>
            <w:szCs w:val="24"/>
          </w:rPr>
          <m:t>)</m:t>
        </m:r>
      </m:oMath>
      <w:r w:rsidRPr="00D71CD1">
        <w:rPr>
          <w:rFonts w:ascii="Times New Roman" w:eastAsiaTheme="minorEastAsia" w:hAnsi="Times New Roman" w:cs="Times New Roman"/>
          <w:sz w:val="24"/>
          <w:szCs w:val="24"/>
        </w:rPr>
        <w:t xml:space="preserve"> e volume médio transacionado (</w:t>
      </w:r>
      <m:oMath>
        <m:sSub>
          <m:sSubPr>
            <m:ctrlPr>
              <w:rPr>
                <w:rFonts w:ascii="Cambria Math" w:hAnsi="Times New Roman" w:cs="Times New Roman"/>
                <w:i/>
                <w:sz w:val="24"/>
                <w:szCs w:val="24"/>
              </w:rPr>
            </m:ctrlPr>
          </m:sSubPr>
          <m:e>
            <m:r>
              <w:rPr>
                <w:rFonts w:ascii="Cambria Math" w:hAnsi="Cambria Math" w:cs="Times New Roman"/>
                <w:sz w:val="24"/>
                <w:szCs w:val="24"/>
              </w:rPr>
              <m:t>VOLMED</m:t>
            </m:r>
          </m:e>
          <m:sub>
            <m:r>
              <w:rPr>
                <w:rFonts w:ascii="Cambria Math" w:hAnsi="Cambria Math" w:cs="Times New Roman"/>
                <w:sz w:val="24"/>
                <w:szCs w:val="24"/>
              </w:rPr>
              <m:t>t</m:t>
            </m:r>
          </m:sub>
        </m:sSub>
        <m:r>
          <w:rPr>
            <w:rFonts w:ascii="Cambria Math" w:hAnsi="Times New Roman" w:cs="Times New Roman"/>
            <w:sz w:val="24"/>
            <w:szCs w:val="24"/>
          </w:rPr>
          <m:t>).</m:t>
        </m:r>
      </m:oMath>
      <w:r w:rsidRPr="00D71CD1">
        <w:rPr>
          <w:rFonts w:ascii="Times New Roman" w:eastAsiaTheme="minorEastAsia" w:hAnsi="Times New Roman" w:cs="Times New Roman"/>
          <w:sz w:val="24"/>
          <w:szCs w:val="24"/>
        </w:rPr>
        <w:t xml:space="preserve"> Dessa forma, </w:t>
      </w:r>
      <w:r w:rsidR="00B00D61" w:rsidRPr="00D71CD1">
        <w:rPr>
          <w:rFonts w:ascii="Times New Roman" w:eastAsiaTheme="minorEastAsia" w:hAnsi="Times New Roman" w:cs="Times New Roman"/>
          <w:sz w:val="24"/>
          <w:szCs w:val="24"/>
        </w:rPr>
        <w:t xml:space="preserve">devido </w:t>
      </w:r>
      <w:proofErr w:type="gramStart"/>
      <w:r w:rsidR="00B00D61" w:rsidRPr="00D71CD1">
        <w:rPr>
          <w:rFonts w:ascii="Times New Roman" w:eastAsiaTheme="minorEastAsia" w:hAnsi="Times New Roman" w:cs="Times New Roman"/>
          <w:sz w:val="24"/>
          <w:szCs w:val="24"/>
        </w:rPr>
        <w:t>a</w:t>
      </w:r>
      <w:proofErr w:type="gramEnd"/>
      <w:r w:rsidR="00B00D61" w:rsidRPr="00D71CD1">
        <w:rPr>
          <w:rFonts w:ascii="Times New Roman" w:eastAsiaTheme="minorEastAsia" w:hAnsi="Times New Roman" w:cs="Times New Roman"/>
          <w:sz w:val="24"/>
          <w:szCs w:val="24"/>
        </w:rPr>
        <w:t xml:space="preserve"> presença d</w:t>
      </w:r>
      <w:r w:rsidRPr="00D71CD1">
        <w:rPr>
          <w:rFonts w:ascii="Times New Roman" w:hAnsi="Times New Roman" w:cs="Times New Roman"/>
          <w:iCs/>
          <w:color w:val="000000"/>
          <w:sz w:val="24"/>
          <w:szCs w:val="24"/>
        </w:rPr>
        <w:t xml:space="preserve">e </w:t>
      </w:r>
      <w:proofErr w:type="spellStart"/>
      <w:r w:rsidRPr="00D71CD1">
        <w:rPr>
          <w:rFonts w:ascii="Times New Roman" w:hAnsi="Times New Roman" w:cs="Times New Roman"/>
          <w:iCs/>
          <w:color w:val="000000"/>
          <w:sz w:val="24"/>
          <w:szCs w:val="24"/>
        </w:rPr>
        <w:t>endogeneidade</w:t>
      </w:r>
      <w:proofErr w:type="spellEnd"/>
      <w:r w:rsidRPr="00D71CD1">
        <w:rPr>
          <w:rFonts w:ascii="Times New Roman" w:hAnsi="Times New Roman" w:cs="Times New Roman"/>
          <w:iCs/>
          <w:color w:val="000000"/>
          <w:sz w:val="24"/>
          <w:szCs w:val="24"/>
        </w:rPr>
        <w:t xml:space="preserve">, </w:t>
      </w:r>
      <w:r w:rsidR="00B00D61" w:rsidRPr="00D71CD1">
        <w:rPr>
          <w:rFonts w:ascii="Times New Roman" w:hAnsi="Times New Roman" w:cs="Times New Roman"/>
          <w:iCs/>
          <w:color w:val="000000"/>
          <w:sz w:val="24"/>
          <w:szCs w:val="24"/>
        </w:rPr>
        <w:t xml:space="preserve">utilizou-se o </w:t>
      </w:r>
      <w:r w:rsidRPr="00D71CD1">
        <w:rPr>
          <w:rFonts w:ascii="Times New Roman" w:eastAsiaTheme="minorEastAsia" w:hAnsi="Times New Roman" w:cs="Times New Roman"/>
          <w:sz w:val="24"/>
          <w:szCs w:val="24"/>
        </w:rPr>
        <w:t xml:space="preserve">Método dos Momentos Generalizados (GMM), proposto por </w:t>
      </w:r>
      <w:proofErr w:type="spellStart"/>
      <w:r w:rsidRPr="00D71CD1">
        <w:rPr>
          <w:rFonts w:ascii="Times New Roman" w:eastAsiaTheme="minorEastAsia" w:hAnsi="Times New Roman" w:cs="Times New Roman"/>
          <w:sz w:val="24"/>
          <w:szCs w:val="24"/>
        </w:rPr>
        <w:t>Hansen</w:t>
      </w:r>
      <w:proofErr w:type="spellEnd"/>
      <w:r w:rsidRPr="00D71CD1">
        <w:rPr>
          <w:rFonts w:ascii="Times New Roman" w:eastAsiaTheme="minorEastAsia" w:hAnsi="Times New Roman" w:cs="Times New Roman"/>
          <w:sz w:val="24"/>
          <w:szCs w:val="24"/>
        </w:rPr>
        <w:t xml:space="preserve"> (1982)</w:t>
      </w:r>
      <w:r w:rsidR="00B00D61" w:rsidRPr="00D71CD1">
        <w:rPr>
          <w:rFonts w:ascii="Times New Roman" w:eastAsiaTheme="minorEastAsia" w:hAnsi="Times New Roman" w:cs="Times New Roman"/>
          <w:sz w:val="24"/>
          <w:szCs w:val="24"/>
        </w:rPr>
        <w:t xml:space="preserve">. </w:t>
      </w:r>
    </w:p>
    <w:p w:rsidR="00D422E8" w:rsidRPr="00D71CD1" w:rsidRDefault="00D422E8" w:rsidP="00D71CD1">
      <w:pPr>
        <w:shd w:val="clear" w:color="auto" w:fill="FFFFFF"/>
        <w:spacing w:after="0" w:line="240" w:lineRule="auto"/>
        <w:ind w:firstLine="708"/>
        <w:jc w:val="both"/>
        <w:rPr>
          <w:rFonts w:ascii="Times New Roman" w:eastAsiaTheme="minorEastAsia" w:hAnsi="Times New Roman" w:cs="Times New Roman"/>
          <w:sz w:val="24"/>
          <w:szCs w:val="24"/>
        </w:rPr>
      </w:pPr>
      <w:r w:rsidRPr="00D71CD1">
        <w:rPr>
          <w:rFonts w:ascii="Times New Roman" w:eastAsiaTheme="minorEastAsia" w:hAnsi="Times New Roman" w:cs="Times New Roman"/>
          <w:sz w:val="24"/>
          <w:szCs w:val="24"/>
        </w:rPr>
        <w:t xml:space="preserve">Além do teste de </w:t>
      </w:r>
      <w:proofErr w:type="spellStart"/>
      <w:r w:rsidRPr="00D71CD1">
        <w:rPr>
          <w:rFonts w:ascii="Times New Roman" w:eastAsiaTheme="minorEastAsia" w:hAnsi="Times New Roman" w:cs="Times New Roman"/>
          <w:sz w:val="24"/>
          <w:szCs w:val="24"/>
        </w:rPr>
        <w:t>endogeneidade</w:t>
      </w:r>
      <w:proofErr w:type="spellEnd"/>
      <w:r w:rsidRPr="00D71CD1">
        <w:rPr>
          <w:rFonts w:ascii="Times New Roman" w:eastAsiaTheme="minorEastAsia" w:hAnsi="Times New Roman" w:cs="Times New Roman"/>
          <w:sz w:val="24"/>
          <w:szCs w:val="24"/>
        </w:rPr>
        <w:t xml:space="preserve"> de </w:t>
      </w:r>
      <w:proofErr w:type="spellStart"/>
      <w:r w:rsidRPr="00D71CD1">
        <w:rPr>
          <w:rFonts w:ascii="Times New Roman" w:eastAsiaTheme="minorEastAsia" w:hAnsi="Times New Roman" w:cs="Times New Roman"/>
          <w:sz w:val="24"/>
          <w:szCs w:val="24"/>
        </w:rPr>
        <w:t>Hausman</w:t>
      </w:r>
      <w:proofErr w:type="spellEnd"/>
      <w:r w:rsidRPr="00D71CD1">
        <w:rPr>
          <w:rFonts w:ascii="Times New Roman" w:eastAsiaTheme="minorEastAsia" w:hAnsi="Times New Roman" w:cs="Times New Roman"/>
          <w:sz w:val="24"/>
          <w:szCs w:val="24"/>
        </w:rPr>
        <w:t xml:space="preserve">, o teste de </w:t>
      </w:r>
      <w:proofErr w:type="spellStart"/>
      <w:r w:rsidRPr="00D71CD1">
        <w:rPr>
          <w:rFonts w:ascii="Times New Roman" w:eastAsiaTheme="minorEastAsia" w:hAnsi="Times New Roman" w:cs="Times New Roman"/>
          <w:sz w:val="24"/>
          <w:szCs w:val="24"/>
        </w:rPr>
        <w:t>Hansen</w:t>
      </w:r>
      <w:proofErr w:type="spellEnd"/>
      <w:r w:rsidRPr="00D71CD1">
        <w:rPr>
          <w:rStyle w:val="Refdenotaderodap"/>
          <w:rFonts w:ascii="Times New Roman" w:eastAsiaTheme="minorEastAsia" w:hAnsi="Times New Roman" w:cs="Times New Roman"/>
          <w:sz w:val="24"/>
          <w:szCs w:val="24"/>
        </w:rPr>
        <w:footnoteReference w:id="7"/>
      </w:r>
      <w:r w:rsidRPr="00D71CD1">
        <w:rPr>
          <w:rFonts w:ascii="Times New Roman" w:eastAsiaTheme="minorEastAsia" w:hAnsi="Times New Roman" w:cs="Times New Roman"/>
          <w:sz w:val="24"/>
          <w:szCs w:val="24"/>
        </w:rPr>
        <w:t xml:space="preserve"> de validade dos instrumentos também é realizado. Esse teste se baseia na ideia de que os resíduos devem ser não correlacionados com o conjunto de variáveis exógenas e que a exclusão dos instrumentos é feita corretamente na equação. Neste teste, a estatística J de </w:t>
      </w:r>
      <w:proofErr w:type="spellStart"/>
      <w:r w:rsidRPr="00D71CD1">
        <w:rPr>
          <w:rFonts w:ascii="Times New Roman" w:eastAsiaTheme="minorEastAsia" w:hAnsi="Times New Roman" w:cs="Times New Roman"/>
          <w:sz w:val="24"/>
          <w:szCs w:val="24"/>
        </w:rPr>
        <w:t>Hansen</w:t>
      </w:r>
      <w:proofErr w:type="spellEnd"/>
      <w:r w:rsidRPr="00D71CD1">
        <w:rPr>
          <w:rFonts w:ascii="Times New Roman" w:eastAsiaTheme="minorEastAsia" w:hAnsi="Times New Roman" w:cs="Times New Roman"/>
          <w:sz w:val="24"/>
          <w:szCs w:val="24"/>
        </w:rPr>
        <w:t xml:space="preserve"> possui distribuição assintótica </w:t>
      </w:r>
      <w:proofErr w:type="spellStart"/>
      <w:r w:rsidRPr="00D71CD1">
        <w:rPr>
          <w:rFonts w:ascii="Times New Roman" w:eastAsiaTheme="minorEastAsia" w:hAnsi="Times New Roman" w:cs="Times New Roman"/>
          <w:i/>
          <w:sz w:val="24"/>
          <w:szCs w:val="24"/>
        </w:rPr>
        <w:t>chi-quadrado</w:t>
      </w:r>
      <w:proofErr w:type="spellEnd"/>
      <w:r w:rsidRPr="00D71CD1">
        <w:rPr>
          <w:rFonts w:ascii="Times New Roman" w:eastAsiaTheme="minorEastAsia" w:hAnsi="Times New Roman" w:cs="Times New Roman"/>
          <w:sz w:val="24"/>
          <w:szCs w:val="24"/>
        </w:rPr>
        <w:t xml:space="preserve">, tendo como hipótese nula que os instrumentos são validos. Outro teste de relevância dos instrumentos utilizado é a estatística </w:t>
      </w:r>
      <w:proofErr w:type="spellStart"/>
      <w:r w:rsidRPr="00D71CD1">
        <w:rPr>
          <w:rFonts w:ascii="Times New Roman" w:eastAsiaTheme="minorEastAsia" w:hAnsi="Times New Roman" w:cs="Times New Roman"/>
          <w:i/>
          <w:sz w:val="24"/>
          <w:szCs w:val="24"/>
        </w:rPr>
        <w:t>Shea</w:t>
      </w:r>
      <w:proofErr w:type="spellEnd"/>
      <w:r w:rsidRPr="00D71CD1">
        <w:rPr>
          <w:rFonts w:ascii="Times New Roman" w:eastAsiaTheme="minorEastAsia" w:hAnsi="Times New Roman" w:cs="Times New Roman"/>
          <w:i/>
          <w:sz w:val="24"/>
          <w:szCs w:val="24"/>
        </w:rPr>
        <w:t xml:space="preserve"> </w:t>
      </w:r>
      <w:proofErr w:type="spellStart"/>
      <w:r w:rsidRPr="00D71CD1">
        <w:rPr>
          <w:rFonts w:ascii="Times New Roman" w:eastAsiaTheme="minorEastAsia" w:hAnsi="Times New Roman" w:cs="Times New Roman"/>
          <w:i/>
          <w:sz w:val="24"/>
          <w:szCs w:val="24"/>
        </w:rPr>
        <w:t>partial</w:t>
      </w:r>
      <w:proofErr w:type="spellEnd"/>
      <w:r w:rsidRPr="00D71CD1">
        <w:rPr>
          <w:rFonts w:ascii="Times New Roman" w:eastAsiaTheme="minorEastAsia" w:hAnsi="Times New Roman" w:cs="Times New Roman"/>
          <w:sz w:val="24"/>
          <w:szCs w:val="24"/>
        </w:rPr>
        <w:t xml:space="preserve">, do primeiro estágio da estimação, que é uma medida que toma as intercorrelações entre os instrumentos utilizados. Conforme </w:t>
      </w:r>
      <w:proofErr w:type="spellStart"/>
      <w:r w:rsidRPr="00D71CD1">
        <w:rPr>
          <w:rFonts w:ascii="Times New Roman" w:eastAsiaTheme="minorEastAsia" w:hAnsi="Times New Roman" w:cs="Times New Roman"/>
          <w:sz w:val="24"/>
          <w:szCs w:val="24"/>
        </w:rPr>
        <w:t>Baum</w:t>
      </w:r>
      <w:proofErr w:type="spellEnd"/>
      <w:r w:rsidRPr="00D71CD1">
        <w:rPr>
          <w:rFonts w:ascii="Times New Roman" w:eastAsiaTheme="minorEastAsia" w:hAnsi="Times New Roman" w:cs="Times New Roman"/>
          <w:sz w:val="24"/>
          <w:szCs w:val="24"/>
        </w:rPr>
        <w:t xml:space="preserve"> </w:t>
      </w:r>
      <w:proofErr w:type="spellStart"/>
      <w:proofErr w:type="gramStart"/>
      <w:r w:rsidRPr="00D71CD1">
        <w:rPr>
          <w:rFonts w:ascii="Times New Roman" w:eastAsiaTheme="minorEastAsia" w:hAnsi="Times New Roman" w:cs="Times New Roman"/>
          <w:i/>
          <w:sz w:val="24"/>
          <w:szCs w:val="24"/>
        </w:rPr>
        <w:t>et</w:t>
      </w:r>
      <w:proofErr w:type="spellEnd"/>
      <w:proofErr w:type="gramEnd"/>
      <w:r w:rsidRPr="00D71CD1">
        <w:rPr>
          <w:rFonts w:ascii="Times New Roman" w:eastAsiaTheme="minorEastAsia" w:hAnsi="Times New Roman" w:cs="Times New Roman"/>
          <w:i/>
          <w:sz w:val="24"/>
          <w:szCs w:val="24"/>
        </w:rPr>
        <w:t xml:space="preserve"> al.</w:t>
      </w:r>
      <w:r w:rsidRPr="00D71CD1">
        <w:rPr>
          <w:rFonts w:ascii="Times New Roman" w:eastAsiaTheme="minorEastAsia" w:hAnsi="Times New Roman" w:cs="Times New Roman"/>
          <w:sz w:val="24"/>
          <w:szCs w:val="24"/>
        </w:rPr>
        <w:t xml:space="preserve"> (2003, p.15), um pequeno valor da medida da estatística de </w:t>
      </w:r>
      <w:proofErr w:type="spellStart"/>
      <w:r w:rsidRPr="00D71CD1">
        <w:rPr>
          <w:rFonts w:ascii="Times New Roman" w:eastAsiaTheme="minorEastAsia" w:hAnsi="Times New Roman" w:cs="Times New Roman"/>
          <w:i/>
          <w:sz w:val="24"/>
          <w:szCs w:val="24"/>
        </w:rPr>
        <w:t>Shea</w:t>
      </w:r>
      <w:proofErr w:type="spellEnd"/>
      <w:r w:rsidRPr="00D71CD1">
        <w:rPr>
          <w:rFonts w:ascii="Times New Roman" w:eastAsiaTheme="minorEastAsia" w:hAnsi="Times New Roman" w:cs="Times New Roman"/>
          <w:sz w:val="24"/>
          <w:szCs w:val="24"/>
        </w:rPr>
        <w:t xml:space="preserve">, pode-se concluir que os instrumentos não possuem relevância suficientes para explicar todos os </w:t>
      </w:r>
      <w:proofErr w:type="spellStart"/>
      <w:r w:rsidRPr="00D71CD1">
        <w:rPr>
          <w:rFonts w:ascii="Times New Roman" w:eastAsiaTheme="minorEastAsia" w:hAnsi="Times New Roman" w:cs="Times New Roman"/>
          <w:sz w:val="24"/>
          <w:szCs w:val="24"/>
        </w:rPr>
        <w:t>regressores</w:t>
      </w:r>
      <w:proofErr w:type="spellEnd"/>
      <w:r w:rsidRPr="00D71CD1">
        <w:rPr>
          <w:rFonts w:ascii="Times New Roman" w:eastAsiaTheme="minorEastAsia" w:hAnsi="Times New Roman" w:cs="Times New Roman"/>
          <w:sz w:val="24"/>
          <w:szCs w:val="24"/>
        </w:rPr>
        <w:t xml:space="preserve"> endógenos do modelo.</w:t>
      </w:r>
      <w:r w:rsidRPr="00D71CD1">
        <w:rPr>
          <w:rFonts w:ascii="Times New Roman" w:eastAsia="+mn-ea" w:hAnsi="Times New Roman" w:cs="Times New Roman"/>
          <w:color w:val="000000"/>
          <w:kern w:val="24"/>
          <w:sz w:val="24"/>
          <w:szCs w:val="24"/>
        </w:rPr>
        <w:t xml:space="preserve"> </w:t>
      </w:r>
      <w:r w:rsidRPr="00D71CD1">
        <w:rPr>
          <w:rFonts w:ascii="Times New Roman" w:hAnsi="Times New Roman" w:cs="Times New Roman"/>
          <w:sz w:val="24"/>
          <w:szCs w:val="24"/>
        </w:rPr>
        <w:t>A estimaç</w:t>
      </w:r>
      <w:r w:rsidR="000F2A00">
        <w:rPr>
          <w:rFonts w:ascii="Times New Roman" w:hAnsi="Times New Roman" w:cs="Times New Roman"/>
          <w:sz w:val="24"/>
          <w:szCs w:val="24"/>
        </w:rPr>
        <w:t>ão</w:t>
      </w:r>
      <w:r w:rsidRPr="00D71CD1">
        <w:rPr>
          <w:rFonts w:ascii="Times New Roman" w:hAnsi="Times New Roman" w:cs="Times New Roman"/>
          <w:sz w:val="24"/>
          <w:szCs w:val="24"/>
        </w:rPr>
        <w:t xml:space="preserve"> do modelo fo</w:t>
      </w:r>
      <w:r w:rsidR="000F2A00">
        <w:rPr>
          <w:rFonts w:ascii="Times New Roman" w:hAnsi="Times New Roman" w:cs="Times New Roman"/>
          <w:sz w:val="24"/>
          <w:szCs w:val="24"/>
        </w:rPr>
        <w:t>i feita através do programa</w:t>
      </w:r>
      <w:r w:rsidRPr="00D71CD1">
        <w:rPr>
          <w:rFonts w:ascii="Times New Roman" w:hAnsi="Times New Roman" w:cs="Times New Roman"/>
          <w:sz w:val="24"/>
          <w:szCs w:val="24"/>
        </w:rPr>
        <w:t xml:space="preserve"> STATA 11</w:t>
      </w:r>
      <w:r w:rsidR="000F2A00">
        <w:rPr>
          <w:rFonts w:ascii="Times New Roman" w:hAnsi="Times New Roman" w:cs="Times New Roman"/>
          <w:sz w:val="24"/>
          <w:szCs w:val="24"/>
        </w:rPr>
        <w:t>.</w:t>
      </w:r>
      <w:r w:rsidRPr="00D71CD1">
        <w:rPr>
          <w:rFonts w:ascii="Times New Roman" w:hAnsi="Times New Roman" w:cs="Times New Roman"/>
          <w:sz w:val="24"/>
          <w:szCs w:val="24"/>
        </w:rPr>
        <w:t xml:space="preserve"> </w:t>
      </w:r>
      <w:r w:rsidRPr="00D71CD1">
        <w:rPr>
          <w:rFonts w:ascii="Times New Roman" w:hAnsi="Times New Roman" w:cs="Times New Roman"/>
          <w:iCs/>
          <w:color w:val="000000"/>
          <w:sz w:val="24"/>
          <w:szCs w:val="24"/>
        </w:rPr>
        <w:tab/>
      </w:r>
    </w:p>
    <w:p w:rsidR="00D422E8" w:rsidRPr="00D71CD1" w:rsidRDefault="00D422E8" w:rsidP="00D71CD1">
      <w:pPr>
        <w:pStyle w:val="Default"/>
        <w:ind w:firstLine="708"/>
        <w:jc w:val="both"/>
        <w:rPr>
          <w:shd w:val="clear" w:color="auto" w:fill="FFFFFF"/>
        </w:rPr>
      </w:pPr>
      <w:r w:rsidRPr="00D71CD1">
        <w:rPr>
          <w:color w:val="auto"/>
        </w:rPr>
        <w:t>Os</w:t>
      </w:r>
      <w:r w:rsidRPr="00D71CD1">
        <w:t xml:space="preserve"> dados “</w:t>
      </w:r>
      <w:proofErr w:type="spellStart"/>
      <w:r w:rsidRPr="00D71CD1">
        <w:rPr>
          <w:i/>
          <w:iCs/>
        </w:rPr>
        <w:t>tick-by-tick</w:t>
      </w:r>
      <w:proofErr w:type="spellEnd"/>
      <w:r w:rsidRPr="00D71CD1">
        <w:t xml:space="preserve">” intradiários de preços utilizados para análise foram obtidos juntos a </w:t>
      </w:r>
      <w:proofErr w:type="spellStart"/>
      <w:r w:rsidRPr="00D71CD1">
        <w:t>BM&amp;FBOVESPA</w:t>
      </w:r>
      <w:proofErr w:type="spellEnd"/>
      <w:r w:rsidRPr="00D71CD1">
        <w:t>, através do serviço de informação, onde foram d</w:t>
      </w:r>
      <w:r w:rsidRPr="00D71CD1">
        <w:rPr>
          <w:shd w:val="clear" w:color="auto" w:fill="FFFFFF"/>
        </w:rPr>
        <w:t xml:space="preserve">isponibilizados dados analíticos, oferta por oferta, dos negócios fechados do derivativo </w:t>
      </w:r>
      <w:proofErr w:type="gramStart"/>
      <w:r w:rsidRPr="00D71CD1">
        <w:rPr>
          <w:shd w:val="clear" w:color="auto" w:fill="FFFFFF"/>
        </w:rPr>
        <w:t>agropecuário soja</w:t>
      </w:r>
      <w:proofErr w:type="gramEnd"/>
      <w:r w:rsidRPr="00D71CD1">
        <w:rPr>
          <w:shd w:val="clear" w:color="auto" w:fill="FFFFFF"/>
        </w:rPr>
        <w:t>.</w:t>
      </w:r>
      <w:r w:rsidR="00203121" w:rsidRPr="00D71CD1">
        <w:rPr>
          <w:shd w:val="clear" w:color="auto" w:fill="FFFFFF"/>
        </w:rPr>
        <w:t xml:space="preserve"> </w:t>
      </w:r>
      <w:r w:rsidRPr="00D71CD1">
        <w:rPr>
          <w:shd w:val="clear" w:color="auto" w:fill="FFFFFF"/>
        </w:rPr>
        <w:t xml:space="preserve">As informações disponibilizadas são referentes ao período de </w:t>
      </w:r>
      <w:r w:rsidRPr="00D71CD1">
        <w:t>primeiro de setembro de 2010 a 28 de fevereiro de 2013, divididas</w:t>
      </w:r>
      <w:r w:rsidRPr="00D71CD1">
        <w:rPr>
          <w:shd w:val="clear" w:color="auto" w:fill="FFFFFF"/>
        </w:rPr>
        <w:t xml:space="preserve"> em três partes, sendo os de negócios, os de oferta de compra e os de oferta de venda. </w:t>
      </w:r>
    </w:p>
    <w:p w:rsidR="00B00D61" w:rsidRPr="00D71CD1" w:rsidRDefault="00B00D61" w:rsidP="00D71CD1">
      <w:pPr>
        <w:pStyle w:val="Default"/>
        <w:ind w:firstLine="708"/>
        <w:jc w:val="both"/>
        <w:rPr>
          <w:shd w:val="clear" w:color="auto" w:fill="FFFFFF"/>
        </w:rPr>
      </w:pPr>
    </w:p>
    <w:p w:rsidR="00B00D61" w:rsidRPr="00D71CD1" w:rsidRDefault="009F7C3E" w:rsidP="002470D3">
      <w:pPr>
        <w:pStyle w:val="Ttulo1"/>
        <w:numPr>
          <w:ilvl w:val="0"/>
          <w:numId w:val="1"/>
        </w:numPr>
        <w:spacing w:before="0" w:line="240" w:lineRule="auto"/>
        <w:rPr>
          <w:rFonts w:ascii="Times New Roman" w:hAnsi="Times New Roman" w:cs="Times New Roman"/>
          <w:color w:val="auto"/>
          <w:sz w:val="24"/>
          <w:szCs w:val="24"/>
        </w:rPr>
      </w:pPr>
      <w:bookmarkStart w:id="5" w:name="_Toc360001437"/>
      <w:r>
        <w:rPr>
          <w:rFonts w:ascii="Times New Roman" w:hAnsi="Times New Roman" w:cs="Times New Roman"/>
          <w:color w:val="auto"/>
          <w:sz w:val="24"/>
          <w:szCs w:val="24"/>
        </w:rPr>
        <w:t>RESULTADOS E DISCUSSÕ</w:t>
      </w:r>
      <w:r w:rsidR="00B00D61" w:rsidRPr="00D71CD1">
        <w:rPr>
          <w:rFonts w:ascii="Times New Roman" w:hAnsi="Times New Roman" w:cs="Times New Roman"/>
          <w:color w:val="auto"/>
          <w:sz w:val="24"/>
          <w:szCs w:val="24"/>
        </w:rPr>
        <w:t>ES</w:t>
      </w:r>
      <w:bookmarkEnd w:id="5"/>
      <w:r w:rsidR="00B00D61" w:rsidRPr="00D71CD1">
        <w:rPr>
          <w:rFonts w:ascii="Times New Roman" w:hAnsi="Times New Roman" w:cs="Times New Roman"/>
          <w:color w:val="auto"/>
          <w:sz w:val="24"/>
          <w:szCs w:val="24"/>
        </w:rPr>
        <w:t xml:space="preserve"> </w:t>
      </w:r>
    </w:p>
    <w:p w:rsidR="00B00D61" w:rsidRPr="00D71CD1" w:rsidRDefault="00B00D61" w:rsidP="00D71CD1">
      <w:pPr>
        <w:spacing w:line="240" w:lineRule="auto"/>
        <w:jc w:val="both"/>
        <w:rPr>
          <w:rFonts w:ascii="Times New Roman" w:hAnsi="Times New Roman" w:cs="Times New Roman"/>
          <w:sz w:val="24"/>
          <w:szCs w:val="24"/>
        </w:rPr>
      </w:pPr>
    </w:p>
    <w:p w:rsidR="00B00D61" w:rsidRPr="00D71CD1" w:rsidRDefault="00B00D61" w:rsidP="002470D3">
      <w:pPr>
        <w:pStyle w:val="Ttulo2"/>
        <w:spacing w:before="0" w:line="240" w:lineRule="auto"/>
        <w:rPr>
          <w:rFonts w:ascii="Times New Roman" w:hAnsi="Times New Roman" w:cs="Times New Roman"/>
          <w:color w:val="auto"/>
          <w:sz w:val="24"/>
          <w:szCs w:val="24"/>
        </w:rPr>
      </w:pPr>
      <w:bookmarkStart w:id="6" w:name="_Toc360001438"/>
      <w:r w:rsidRPr="00D71CD1">
        <w:rPr>
          <w:rFonts w:ascii="Times New Roman" w:hAnsi="Times New Roman" w:cs="Times New Roman"/>
          <w:color w:val="auto"/>
          <w:sz w:val="24"/>
          <w:szCs w:val="24"/>
        </w:rPr>
        <w:t>4.1.  Análise da base de dados utilizada</w:t>
      </w:r>
      <w:bookmarkEnd w:id="6"/>
      <w:r w:rsidRPr="00D71CD1">
        <w:rPr>
          <w:rFonts w:ascii="Times New Roman" w:hAnsi="Times New Roman" w:cs="Times New Roman"/>
          <w:color w:val="auto"/>
          <w:sz w:val="24"/>
          <w:szCs w:val="24"/>
        </w:rPr>
        <w:t xml:space="preserve"> </w:t>
      </w:r>
    </w:p>
    <w:p w:rsidR="00B00D61" w:rsidRPr="00D71CD1" w:rsidRDefault="00B00D61" w:rsidP="00D71CD1">
      <w:pPr>
        <w:pStyle w:val="Ttulo2"/>
        <w:spacing w:before="120" w:after="120" w:line="240" w:lineRule="auto"/>
        <w:rPr>
          <w:rFonts w:ascii="Times New Roman" w:hAnsi="Times New Roman" w:cs="Times New Roman"/>
          <w:color w:val="auto"/>
          <w:sz w:val="24"/>
          <w:szCs w:val="24"/>
        </w:rPr>
      </w:pPr>
    </w:p>
    <w:p w:rsidR="00B00D61" w:rsidRPr="00D71CD1" w:rsidRDefault="00B00D61" w:rsidP="00D71CD1">
      <w:pPr>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As estatísticas descritivas dos contratos de soja da </w:t>
      </w:r>
      <w:proofErr w:type="spellStart"/>
      <w:r w:rsidRPr="00D71CD1">
        <w:rPr>
          <w:rFonts w:ascii="Times New Roman" w:hAnsi="Times New Roman" w:cs="Times New Roman"/>
          <w:sz w:val="24"/>
          <w:szCs w:val="24"/>
        </w:rPr>
        <w:t>BM&amp;F</w:t>
      </w:r>
      <w:r w:rsidR="00A156B7" w:rsidRPr="00D71CD1">
        <w:rPr>
          <w:rFonts w:ascii="Times New Roman" w:hAnsi="Times New Roman" w:cs="Times New Roman"/>
          <w:sz w:val="24"/>
          <w:szCs w:val="24"/>
        </w:rPr>
        <w:t>BOVESPA</w:t>
      </w:r>
      <w:proofErr w:type="spellEnd"/>
      <w:r w:rsidR="00A156B7" w:rsidRPr="00D71CD1">
        <w:rPr>
          <w:rFonts w:ascii="Times New Roman" w:hAnsi="Times New Roman" w:cs="Times New Roman"/>
          <w:sz w:val="24"/>
          <w:szCs w:val="24"/>
        </w:rPr>
        <w:t xml:space="preserve"> apr</w:t>
      </w:r>
      <w:r w:rsidR="005A0429">
        <w:rPr>
          <w:rFonts w:ascii="Times New Roman" w:hAnsi="Times New Roman" w:cs="Times New Roman"/>
          <w:sz w:val="24"/>
          <w:szCs w:val="24"/>
        </w:rPr>
        <w:t>esentadas na Tabela 3</w:t>
      </w:r>
      <w:r w:rsidRPr="00D71CD1">
        <w:rPr>
          <w:rFonts w:ascii="Times New Roman" w:hAnsi="Times New Roman" w:cs="Times New Roman"/>
          <w:sz w:val="24"/>
          <w:szCs w:val="24"/>
        </w:rPr>
        <w:t xml:space="preserve"> evidenciam alguns pontos que devem ser destacados. O primeiro ponto está na grande concentração das negociações no período de análise, que ocorre principalmente em </w:t>
      </w:r>
      <w:proofErr w:type="gramStart"/>
      <w:r w:rsidRPr="00D71CD1">
        <w:rPr>
          <w:rFonts w:ascii="Times New Roman" w:hAnsi="Times New Roman" w:cs="Times New Roman"/>
          <w:sz w:val="24"/>
          <w:szCs w:val="24"/>
        </w:rPr>
        <w:t>5</w:t>
      </w:r>
      <w:proofErr w:type="gramEnd"/>
      <w:r w:rsidRPr="00D71CD1">
        <w:rPr>
          <w:rFonts w:ascii="Times New Roman" w:hAnsi="Times New Roman" w:cs="Times New Roman"/>
          <w:sz w:val="24"/>
          <w:szCs w:val="24"/>
        </w:rPr>
        <w:t xml:space="preserve"> contratos, sendo eles maio de 2011 (SOJK11), maio de 2012 (SFIK12), julho de 2012 (SFIN12) setembro de 2012 (SFIU12), e maio de 2013 (SFIK13). Esses </w:t>
      </w:r>
      <w:proofErr w:type="gramStart"/>
      <w:r w:rsidRPr="00D71CD1">
        <w:rPr>
          <w:rFonts w:ascii="Times New Roman" w:hAnsi="Times New Roman" w:cs="Times New Roman"/>
          <w:sz w:val="24"/>
          <w:szCs w:val="24"/>
        </w:rPr>
        <w:t>5</w:t>
      </w:r>
      <w:proofErr w:type="gramEnd"/>
      <w:r w:rsidRPr="00D71CD1">
        <w:rPr>
          <w:rFonts w:ascii="Times New Roman" w:hAnsi="Times New Roman" w:cs="Times New Roman"/>
          <w:sz w:val="24"/>
          <w:szCs w:val="24"/>
        </w:rPr>
        <w:t xml:space="preserve"> contratos representam 96% das negociações ocorridas nos 2 anos e meio de análise, o que gera problema para os demais contratos, pois baixo número de negociação pode resultar em elevados custos de liquidez, uma vez que são menores as contrapartes dispostas a negociar.</w:t>
      </w:r>
    </w:p>
    <w:p w:rsidR="0022255F" w:rsidRPr="00D71CD1" w:rsidRDefault="0022255F" w:rsidP="00D71CD1">
      <w:pPr>
        <w:spacing w:after="0" w:line="240" w:lineRule="auto"/>
        <w:ind w:firstLine="708"/>
        <w:jc w:val="both"/>
        <w:rPr>
          <w:rStyle w:val="apple-converted-space"/>
          <w:rFonts w:ascii="Times New Roman" w:hAnsi="Times New Roman" w:cs="Times New Roman"/>
          <w:color w:val="000000"/>
          <w:sz w:val="24"/>
          <w:szCs w:val="24"/>
          <w:shd w:val="clear" w:color="auto" w:fill="FFFFFF"/>
        </w:rPr>
      </w:pPr>
      <w:r w:rsidRPr="00D71CD1">
        <w:rPr>
          <w:rFonts w:ascii="Times New Roman" w:hAnsi="Times New Roman" w:cs="Times New Roman"/>
          <w:sz w:val="24"/>
          <w:szCs w:val="24"/>
        </w:rPr>
        <w:t xml:space="preserve">Sobre os preços médios analisados, observa-se grande aumento nos valores para os contratos com vencimento em julho de </w:t>
      </w:r>
      <w:proofErr w:type="gramStart"/>
      <w:r w:rsidRPr="00D71CD1">
        <w:rPr>
          <w:rFonts w:ascii="Times New Roman" w:hAnsi="Times New Roman" w:cs="Times New Roman"/>
          <w:sz w:val="24"/>
          <w:szCs w:val="24"/>
        </w:rPr>
        <w:t>2012 (SFIN12), setembro</w:t>
      </w:r>
      <w:proofErr w:type="gramEnd"/>
      <w:r w:rsidRPr="00D71CD1">
        <w:rPr>
          <w:rFonts w:ascii="Times New Roman" w:hAnsi="Times New Roman" w:cs="Times New Roman"/>
          <w:sz w:val="24"/>
          <w:szCs w:val="24"/>
        </w:rPr>
        <w:t xml:space="preserve"> de 2012 (SFIU12), novembro de 2012 (SFIX12) e março de 2013 (SFIH13). Essa elevação nos preços foi </w:t>
      </w:r>
      <w:proofErr w:type="gramStart"/>
      <w:r w:rsidRPr="00D71CD1">
        <w:rPr>
          <w:rFonts w:ascii="Times New Roman" w:hAnsi="Times New Roman" w:cs="Times New Roman"/>
          <w:sz w:val="24"/>
          <w:szCs w:val="24"/>
        </w:rPr>
        <w:t>devido</w:t>
      </w:r>
      <w:proofErr w:type="gramEnd"/>
      <w:r w:rsidRPr="00D71CD1">
        <w:rPr>
          <w:rFonts w:ascii="Times New Roman" w:hAnsi="Times New Roman" w:cs="Times New Roman"/>
          <w:sz w:val="24"/>
          <w:szCs w:val="24"/>
        </w:rPr>
        <w:t xml:space="preserve">, principalmente, </w:t>
      </w:r>
      <w:r w:rsidRPr="00D71CD1">
        <w:rPr>
          <w:rFonts w:ascii="Times New Roman" w:hAnsi="Times New Roman" w:cs="Times New Roman"/>
          <w:color w:val="000000"/>
          <w:sz w:val="24"/>
          <w:szCs w:val="24"/>
          <w:shd w:val="clear" w:color="auto" w:fill="FFFFFF"/>
        </w:rPr>
        <w:t xml:space="preserve">a diminuição na produção dos cultivos provocada pela seca nos Estados Unidos, além de várias </w:t>
      </w:r>
      <w:r w:rsidRPr="00D71CD1">
        <w:rPr>
          <w:rFonts w:ascii="Times New Roman" w:hAnsi="Times New Roman" w:cs="Times New Roman"/>
          <w:color w:val="000000"/>
          <w:sz w:val="24"/>
          <w:szCs w:val="24"/>
          <w:shd w:val="clear" w:color="auto" w:fill="FFFFFF"/>
        </w:rPr>
        <w:lastRenderedPageBreak/>
        <w:t>regiões da América Central ter apresentado condições de seca, afetando a produção agrícola (INSTITUTO INTERAMERICANO DE COOPERAÇÃO PARA A AGRICULTURA, 2012).</w:t>
      </w:r>
      <w:r w:rsidRPr="00D71CD1">
        <w:rPr>
          <w:rStyle w:val="apple-converted-space"/>
          <w:rFonts w:ascii="Times New Roman" w:hAnsi="Times New Roman" w:cs="Times New Roman"/>
          <w:color w:val="000000"/>
          <w:sz w:val="24"/>
          <w:szCs w:val="24"/>
          <w:shd w:val="clear" w:color="auto" w:fill="FFFFFF"/>
        </w:rPr>
        <w:t> </w:t>
      </w:r>
    </w:p>
    <w:p w:rsidR="0022255F" w:rsidRPr="00D71CD1" w:rsidRDefault="0022255F" w:rsidP="00D71CD1">
      <w:pPr>
        <w:autoSpaceDE w:val="0"/>
        <w:autoSpaceDN w:val="0"/>
        <w:adjustRightInd w:val="0"/>
        <w:spacing w:after="0" w:line="240" w:lineRule="auto"/>
        <w:ind w:firstLine="708"/>
        <w:jc w:val="both"/>
        <w:rPr>
          <w:rFonts w:ascii="Times New Roman" w:hAnsi="Times New Roman" w:cs="Times New Roman"/>
          <w:sz w:val="24"/>
          <w:szCs w:val="24"/>
        </w:rPr>
      </w:pPr>
      <w:r w:rsidRPr="00D71CD1">
        <w:rPr>
          <w:rStyle w:val="apple-converted-space"/>
          <w:rFonts w:ascii="Times New Roman" w:hAnsi="Times New Roman" w:cs="Times New Roman"/>
          <w:color w:val="000000"/>
          <w:sz w:val="24"/>
          <w:szCs w:val="24"/>
          <w:shd w:val="clear" w:color="auto" w:fill="FFFFFF"/>
        </w:rPr>
        <w:t xml:space="preserve">Em relação ao desvio padrão apresentado nos preços negociados, os valores ficaram entre 0,53 e 3,13, sendo que para o contrato mais negociado (SOJK11) o valor apresentou 2,04. Como o desvio padrão representa a volatilidade dos preços, esses resultados são importantes para os especuladores que pretendem atuar no mercado, pois quanto maior é a volatilidade, maiores são as oportunidades de lucro dos especuladores com o movimento dos preços. Quando a média dos preços foram mais </w:t>
      </w:r>
      <w:proofErr w:type="gramStart"/>
      <w:r w:rsidRPr="00D71CD1">
        <w:rPr>
          <w:rStyle w:val="apple-converted-space"/>
          <w:rFonts w:ascii="Times New Roman" w:hAnsi="Times New Roman" w:cs="Times New Roman"/>
          <w:color w:val="000000"/>
          <w:sz w:val="24"/>
          <w:szCs w:val="24"/>
          <w:shd w:val="clear" w:color="auto" w:fill="FFFFFF"/>
        </w:rPr>
        <w:t>elevadas</w:t>
      </w:r>
      <w:proofErr w:type="gramEnd"/>
      <w:r w:rsidRPr="00D71CD1">
        <w:rPr>
          <w:rStyle w:val="apple-converted-space"/>
          <w:rFonts w:ascii="Times New Roman" w:hAnsi="Times New Roman" w:cs="Times New Roman"/>
          <w:color w:val="000000"/>
          <w:sz w:val="24"/>
          <w:szCs w:val="24"/>
          <w:shd w:val="clear" w:color="auto" w:fill="FFFFFF"/>
        </w:rPr>
        <w:t>, como os contratos com vencimentos SFIU12 e SFIX12, as volatilidades foram maiores.</w:t>
      </w:r>
    </w:p>
    <w:p w:rsidR="0022255F" w:rsidRPr="00D71CD1" w:rsidRDefault="0022255F" w:rsidP="00D71CD1">
      <w:pPr>
        <w:autoSpaceDE w:val="0"/>
        <w:autoSpaceDN w:val="0"/>
        <w:adjustRightInd w:val="0"/>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A despeito da média de contratos por negociação, para os vencimentos que possuíram maiores negociações totais, como os contratos de maio de 2011 (SOJK11), maio de 2012 (SFIK12), julho de 2012 (SFIN12) setembro de 2012 (SFIU12), e maio de 2013 (SFIK13), os valores médios ficaram em torno de </w:t>
      </w:r>
      <w:proofErr w:type="gramStart"/>
      <w:r w:rsidRPr="00D71CD1">
        <w:rPr>
          <w:rFonts w:ascii="Times New Roman" w:hAnsi="Times New Roman" w:cs="Times New Roman"/>
          <w:sz w:val="24"/>
          <w:szCs w:val="24"/>
        </w:rPr>
        <w:t>5</w:t>
      </w:r>
      <w:proofErr w:type="gramEnd"/>
      <w:r w:rsidRPr="00D71CD1">
        <w:rPr>
          <w:rFonts w:ascii="Times New Roman" w:hAnsi="Times New Roman" w:cs="Times New Roman"/>
          <w:sz w:val="24"/>
          <w:szCs w:val="24"/>
        </w:rPr>
        <w:t xml:space="preserve"> contratos por negociação, o que representa volume de 2.300 sacas de 60 kg de soja, equivalente a produção de uma propriedade de aproximadamente de 48 hectares</w:t>
      </w:r>
      <w:r w:rsidRPr="00D71CD1">
        <w:rPr>
          <w:rStyle w:val="Refdenotaderodap"/>
          <w:rFonts w:ascii="Times New Roman" w:hAnsi="Times New Roman" w:cs="Times New Roman"/>
          <w:sz w:val="24"/>
          <w:szCs w:val="24"/>
        </w:rPr>
        <w:footnoteReference w:id="8"/>
      </w:r>
      <w:r w:rsidRPr="00D71CD1">
        <w:rPr>
          <w:rFonts w:ascii="Times New Roman" w:hAnsi="Times New Roman" w:cs="Times New Roman"/>
          <w:sz w:val="24"/>
          <w:szCs w:val="24"/>
        </w:rPr>
        <w:t xml:space="preserve">. O contrato que possuiu a maior média de quantidade de contrato por negócio foi com vencimento em novembro de 2011 (SFIX11), com média de 63 contratos por negociação, representando volume de aproximadamente 28.500 sacas de 60 kg, equivalente à produção de uma propriedade de aproximadamente 600 hectares.  </w:t>
      </w:r>
    </w:p>
    <w:p w:rsidR="0022255F" w:rsidRPr="00D71CD1" w:rsidRDefault="0022255F" w:rsidP="00D71CD1">
      <w:pPr>
        <w:pStyle w:val="NormalWeb"/>
        <w:spacing w:before="0" w:beforeAutospacing="0" w:after="0" w:afterAutospacing="0"/>
        <w:ind w:firstLine="708"/>
        <w:jc w:val="both"/>
      </w:pPr>
      <w:r w:rsidRPr="00D71CD1">
        <w:t xml:space="preserve">O volume médio negociado apresentou uma relação negativa com o número de negociações por contrato, pois os registros maiores de negociações foram os que apresentaram </w:t>
      </w:r>
      <w:proofErr w:type="gramStart"/>
      <w:r w:rsidRPr="00D71CD1">
        <w:t>menores médias de volume financeiro por negócio</w:t>
      </w:r>
      <w:proofErr w:type="gramEnd"/>
      <w:r w:rsidRPr="00D71CD1">
        <w:t xml:space="preserve">. Esse resultado gera indício que o minicontrato futuro de soja pode ser bem demandado, pois representam uma fração do tamanho do </w:t>
      </w:r>
      <w:proofErr w:type="spellStart"/>
      <w:r w:rsidRPr="00D71CD1">
        <w:t>contrato-padrão</w:t>
      </w:r>
      <w:proofErr w:type="spellEnd"/>
      <w:r w:rsidRPr="00D71CD1">
        <w:t xml:space="preserve">, e assim menores volumes financeiros podem atrair mais participantes no mercado. Outra possibilidade seria a diminuição do tamanho de cada contrato, que são 450 sacas de 60 kg de soja, o que também diminui o volume financeiro por negociação. </w:t>
      </w:r>
    </w:p>
    <w:p w:rsidR="00F02656" w:rsidRPr="00D71CD1" w:rsidRDefault="00A156B7" w:rsidP="00F02656">
      <w:pPr>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O número de lances de compra para cada negócio efetuado apresentou uma média total de 6,06, enquanto a quantidade de lance de venda para cada negócio efetuado apresentou uma média total de 5,62. Em mercados com elevadas quantidades de lances para cada negócio efetuado, tanto de compra como de venda, é característico de mercados que apresentam</w:t>
      </w:r>
      <w:r w:rsidR="008C31B3" w:rsidRPr="00D71CD1">
        <w:rPr>
          <w:rFonts w:ascii="Times New Roman" w:hAnsi="Times New Roman" w:cs="Times New Roman"/>
          <w:sz w:val="24"/>
          <w:szCs w:val="24"/>
        </w:rPr>
        <w:t xml:space="preserve"> elevados custos de liquidez, uma vez que existem poucas contrapartes dispostas a negociar </w:t>
      </w:r>
      <w:r w:rsidR="00F02656" w:rsidRPr="00D71CD1">
        <w:rPr>
          <w:rFonts w:ascii="Times New Roman" w:hAnsi="Times New Roman" w:cs="Times New Roman"/>
          <w:sz w:val="24"/>
          <w:szCs w:val="24"/>
        </w:rPr>
        <w:t>pelos preços ofertados. O contrato que possuiu a menor média de custo de liquidez, que foi com vencimento em maio de 2011 (SOJK11), apresentou média total de 4,18 lances de compra para cada negócio, enquanto a quantidade de lance de venda para cada negócio efetuado apresentou uma média total de 4,17. O vencimento que possuiu um número maior de lances de compra e venda por negócio foi o contrato de maio de 2013 (SFIK13), com respectivamente 14,6 e 12, apresentando custo de liquidez médio de 0,60 dólares por saca de 60 kg.</w:t>
      </w:r>
    </w:p>
    <w:p w:rsidR="003F4033" w:rsidRPr="00D71CD1" w:rsidRDefault="003F4033" w:rsidP="003F4033">
      <w:pPr>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A média geral apresentada de preço de lance para compra foi de U$$ 31,44 enquanto o preço de lance para venda foi de U$$ 32,57, apresentando uma diferença de U$$ 1,13. Essa distância entre as médias de preços de lance para compra e preço de lance para venda mostram a dimensão do custo de liquidez do mercado, uma vez que para contratos com baixos custos de liquidez, essa diferença é menor. O contrato que possuiu a maior diferença entre os preços médios de lance de compra e venda foi o contrato com vencimento em março de 2013 (SFIH13), apresentando U$$ 5,53, o que justifica o baixo número de negociações. O contrato que possuiu a menor diferença foi o contrato maio de 2011 (SOJK11), com U$$ 0,20, sendo este o contrato mais negociado no período de análise. </w:t>
      </w:r>
    </w:p>
    <w:p w:rsidR="00CF698F" w:rsidRDefault="00CF698F" w:rsidP="00CF698F">
      <w:pPr>
        <w:pStyle w:val="Corpodetexto2"/>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Assumindo-se que o </w:t>
      </w:r>
      <w:proofErr w:type="spellStart"/>
      <w:proofErr w:type="gramStart"/>
      <w:r w:rsidRPr="00D71CD1">
        <w:rPr>
          <w:rFonts w:ascii="Times New Roman" w:hAnsi="Times New Roman" w:cs="Times New Roman"/>
          <w:i/>
          <w:sz w:val="24"/>
          <w:szCs w:val="24"/>
        </w:rPr>
        <w:t>bid</w:t>
      </w:r>
      <w:proofErr w:type="gramEnd"/>
      <w:r w:rsidRPr="00D71CD1">
        <w:rPr>
          <w:rFonts w:ascii="Times New Roman" w:hAnsi="Times New Roman" w:cs="Times New Roman"/>
          <w:i/>
          <w:sz w:val="24"/>
          <w:szCs w:val="24"/>
        </w:rPr>
        <w:t>-ask</w:t>
      </w:r>
      <w:proofErr w:type="spellEnd"/>
      <w:r w:rsidRPr="00D71CD1">
        <w:rPr>
          <w:rFonts w:ascii="Times New Roman" w:hAnsi="Times New Roman" w:cs="Times New Roman"/>
          <w:i/>
          <w:sz w:val="24"/>
          <w:szCs w:val="24"/>
        </w:rPr>
        <w:t xml:space="preserve"> spread</w:t>
      </w:r>
      <w:r w:rsidRPr="00D71CD1">
        <w:rPr>
          <w:rFonts w:ascii="Times New Roman" w:hAnsi="Times New Roman" w:cs="Times New Roman"/>
          <w:sz w:val="24"/>
          <w:szCs w:val="24"/>
        </w:rPr>
        <w:t xml:space="preserve"> é a </w:t>
      </w:r>
      <w:proofErr w:type="spellStart"/>
      <w:r w:rsidRPr="00D71CD1">
        <w:rPr>
          <w:rFonts w:ascii="Times New Roman" w:hAnsi="Times New Roman" w:cs="Times New Roman"/>
          <w:sz w:val="24"/>
          <w:szCs w:val="24"/>
        </w:rPr>
        <w:t>proxy</w:t>
      </w:r>
      <w:proofErr w:type="spellEnd"/>
      <w:r w:rsidRPr="00D71CD1">
        <w:rPr>
          <w:rFonts w:ascii="Times New Roman" w:hAnsi="Times New Roman" w:cs="Times New Roman"/>
          <w:sz w:val="24"/>
          <w:szCs w:val="24"/>
        </w:rPr>
        <w:t xml:space="preserve"> mais adequada para a variável custo de liquidez</w:t>
      </w:r>
      <w:r w:rsidRPr="00D71CD1">
        <w:rPr>
          <w:rStyle w:val="Refdenotaderodap"/>
          <w:rFonts w:ascii="Times New Roman" w:hAnsi="Times New Roman" w:cs="Times New Roman"/>
          <w:sz w:val="24"/>
          <w:szCs w:val="24"/>
        </w:rPr>
        <w:footnoteReference w:id="9"/>
      </w:r>
      <w:r w:rsidRPr="00D71CD1">
        <w:rPr>
          <w:rFonts w:ascii="Times New Roman" w:hAnsi="Times New Roman" w:cs="Times New Roman"/>
          <w:sz w:val="24"/>
          <w:szCs w:val="24"/>
        </w:rPr>
        <w:t xml:space="preserve">, os resultados apresentados na Tabela </w:t>
      </w:r>
      <w:r>
        <w:rPr>
          <w:rFonts w:ascii="Times New Roman" w:hAnsi="Times New Roman" w:cs="Times New Roman"/>
          <w:sz w:val="24"/>
          <w:szCs w:val="24"/>
        </w:rPr>
        <w:t>3</w:t>
      </w:r>
      <w:r w:rsidRPr="00D71CD1">
        <w:rPr>
          <w:rFonts w:ascii="Times New Roman" w:hAnsi="Times New Roman" w:cs="Times New Roman"/>
          <w:sz w:val="24"/>
          <w:szCs w:val="24"/>
        </w:rPr>
        <w:t xml:space="preserve"> mostram que o contrato futuro de soja da </w:t>
      </w:r>
    </w:p>
    <w:p w:rsidR="00CF698F" w:rsidRPr="00D71CD1" w:rsidRDefault="00CF698F" w:rsidP="00D71CD1">
      <w:pPr>
        <w:spacing w:after="0" w:line="240" w:lineRule="auto"/>
        <w:ind w:firstLine="708"/>
        <w:jc w:val="both"/>
        <w:rPr>
          <w:rFonts w:ascii="Times New Roman" w:hAnsi="Times New Roman" w:cs="Times New Roman"/>
          <w:sz w:val="24"/>
          <w:szCs w:val="24"/>
        </w:rPr>
        <w:sectPr w:rsidR="00CF698F" w:rsidRPr="00D71CD1" w:rsidSect="00FC6BF2">
          <w:footerReference w:type="default" r:id="rId8"/>
          <w:type w:val="continuous"/>
          <w:pgSz w:w="11906" w:h="16838"/>
          <w:pgMar w:top="1134" w:right="1134" w:bottom="1134" w:left="1134" w:header="709" w:footer="709" w:gutter="0"/>
          <w:pgNumType w:start="1"/>
          <w:cols w:space="708"/>
          <w:docGrid w:linePitch="360"/>
        </w:sectPr>
      </w:pPr>
    </w:p>
    <w:p w:rsidR="0022255F" w:rsidRPr="00D71CD1" w:rsidRDefault="0022255F" w:rsidP="00D71CD1">
      <w:pPr>
        <w:pStyle w:val="Legenda"/>
        <w:spacing w:after="0"/>
        <w:jc w:val="both"/>
        <w:rPr>
          <w:rFonts w:ascii="Times New Roman" w:hAnsi="Times New Roman" w:cs="Times New Roman"/>
          <w:color w:val="auto"/>
          <w:sz w:val="24"/>
          <w:szCs w:val="24"/>
        </w:rPr>
      </w:pPr>
      <w:bookmarkStart w:id="7" w:name="_Toc359857987"/>
      <w:r w:rsidRPr="00D71CD1">
        <w:rPr>
          <w:rFonts w:ascii="Times New Roman" w:hAnsi="Times New Roman" w:cs="Times New Roman"/>
          <w:color w:val="auto"/>
          <w:sz w:val="24"/>
          <w:szCs w:val="24"/>
        </w:rPr>
        <w:lastRenderedPageBreak/>
        <w:t xml:space="preserve">Tabela </w:t>
      </w:r>
      <w:r w:rsidR="005A0429">
        <w:rPr>
          <w:rFonts w:ascii="Times New Roman" w:hAnsi="Times New Roman" w:cs="Times New Roman"/>
          <w:color w:val="auto"/>
          <w:sz w:val="24"/>
          <w:szCs w:val="24"/>
        </w:rPr>
        <w:t>3</w:t>
      </w:r>
      <w:r w:rsidRPr="00D71CD1">
        <w:rPr>
          <w:rFonts w:ascii="Times New Roman" w:hAnsi="Times New Roman" w:cs="Times New Roman"/>
          <w:color w:val="auto"/>
          <w:sz w:val="24"/>
          <w:szCs w:val="24"/>
        </w:rPr>
        <w:t xml:space="preserve"> - Resumo estatístico dos principais contratos de soja referentes ao período de setembro de 2010 a fevereiro de 2013.</w:t>
      </w:r>
      <w:bookmarkEnd w:id="7"/>
    </w:p>
    <w:tbl>
      <w:tblPr>
        <w:tblStyle w:val="SombreamentoClaro2"/>
        <w:tblW w:w="14709" w:type="dxa"/>
        <w:tblLayout w:type="fixed"/>
        <w:tblLook w:val="04A0"/>
      </w:tblPr>
      <w:tblGrid>
        <w:gridCol w:w="817"/>
        <w:gridCol w:w="1134"/>
        <w:gridCol w:w="1134"/>
        <w:gridCol w:w="992"/>
        <w:gridCol w:w="1134"/>
        <w:gridCol w:w="993"/>
        <w:gridCol w:w="1015"/>
        <w:gridCol w:w="969"/>
        <w:gridCol w:w="142"/>
        <w:gridCol w:w="850"/>
        <w:gridCol w:w="142"/>
        <w:gridCol w:w="851"/>
        <w:gridCol w:w="141"/>
        <w:gridCol w:w="851"/>
        <w:gridCol w:w="142"/>
        <w:gridCol w:w="992"/>
        <w:gridCol w:w="1134"/>
        <w:gridCol w:w="1276"/>
      </w:tblGrid>
      <w:tr w:rsidR="009F7C3E" w:rsidRPr="000F2A00" w:rsidTr="003D025E">
        <w:trPr>
          <w:cnfStyle w:val="100000000000"/>
        </w:trPr>
        <w:tc>
          <w:tcPr>
            <w:cnfStyle w:val="001000000000"/>
            <w:tcW w:w="817" w:type="dxa"/>
          </w:tcPr>
          <w:p w:rsidR="0022255F" w:rsidRPr="000F2A00" w:rsidRDefault="0022255F" w:rsidP="00D71CD1">
            <w:pPr>
              <w:jc w:val="center"/>
              <w:rPr>
                <w:rFonts w:ascii="Times New Roman" w:hAnsi="Times New Roman" w:cs="Times New Roman"/>
                <w:b w:val="0"/>
                <w:bCs w:val="0"/>
                <w:color w:val="000000"/>
                <w:sz w:val="24"/>
                <w:szCs w:val="24"/>
              </w:rPr>
            </w:pPr>
          </w:p>
        </w:tc>
        <w:tc>
          <w:tcPr>
            <w:tcW w:w="1134" w:type="dxa"/>
          </w:tcPr>
          <w:p w:rsidR="0022255F" w:rsidRPr="000F2A00" w:rsidRDefault="0022255F" w:rsidP="00D71CD1">
            <w:pPr>
              <w:jc w:val="center"/>
              <w:cnfStyle w:val="100000000000"/>
              <w:rPr>
                <w:rFonts w:ascii="Times New Roman" w:hAnsi="Times New Roman" w:cs="Times New Roman"/>
                <w:b w:val="0"/>
                <w:bCs w:val="0"/>
                <w:color w:val="000000"/>
                <w:sz w:val="24"/>
                <w:szCs w:val="24"/>
              </w:rPr>
            </w:pPr>
            <w:r w:rsidRPr="000F2A00">
              <w:rPr>
                <w:rFonts w:ascii="Times New Roman" w:eastAsia="Calibri" w:hAnsi="Times New Roman" w:cs="Times New Roman"/>
                <w:b w:val="0"/>
                <w:color w:val="000000"/>
                <w:sz w:val="24"/>
                <w:szCs w:val="24"/>
              </w:rPr>
              <w:t>SOJH11</w:t>
            </w:r>
          </w:p>
        </w:tc>
        <w:tc>
          <w:tcPr>
            <w:tcW w:w="1134" w:type="dxa"/>
          </w:tcPr>
          <w:p w:rsidR="0022255F" w:rsidRPr="000F2A00" w:rsidRDefault="0022255F" w:rsidP="00D71CD1">
            <w:pPr>
              <w:jc w:val="center"/>
              <w:cnfStyle w:val="100000000000"/>
              <w:rPr>
                <w:rFonts w:ascii="Times New Roman" w:hAnsi="Times New Roman" w:cs="Times New Roman"/>
                <w:b w:val="0"/>
                <w:bCs w:val="0"/>
                <w:color w:val="000000"/>
                <w:sz w:val="24"/>
                <w:szCs w:val="24"/>
              </w:rPr>
            </w:pPr>
            <w:r w:rsidRPr="000F2A00">
              <w:rPr>
                <w:rFonts w:ascii="Times New Roman" w:eastAsia="Calibri" w:hAnsi="Times New Roman" w:cs="Times New Roman"/>
                <w:b w:val="0"/>
                <w:color w:val="000000"/>
                <w:sz w:val="24"/>
                <w:szCs w:val="24"/>
              </w:rPr>
              <w:t>SOJK</w:t>
            </w:r>
            <w:r w:rsidR="008C31B3" w:rsidRPr="000F2A00">
              <w:rPr>
                <w:rFonts w:ascii="Times New Roman" w:eastAsia="Calibri" w:hAnsi="Times New Roman" w:cs="Times New Roman"/>
                <w:b w:val="0"/>
                <w:color w:val="000000"/>
                <w:sz w:val="24"/>
                <w:szCs w:val="24"/>
              </w:rPr>
              <w:t>1</w:t>
            </w:r>
            <w:r w:rsidRPr="000F2A00">
              <w:rPr>
                <w:rFonts w:ascii="Times New Roman" w:eastAsia="Calibri" w:hAnsi="Times New Roman" w:cs="Times New Roman"/>
                <w:b w:val="0"/>
                <w:color w:val="000000"/>
                <w:sz w:val="24"/>
                <w:szCs w:val="24"/>
              </w:rPr>
              <w:t>1</w:t>
            </w:r>
          </w:p>
        </w:tc>
        <w:tc>
          <w:tcPr>
            <w:tcW w:w="992" w:type="dxa"/>
          </w:tcPr>
          <w:p w:rsidR="0022255F" w:rsidRPr="000F2A00" w:rsidRDefault="0022255F" w:rsidP="00D71CD1">
            <w:pPr>
              <w:jc w:val="center"/>
              <w:cnfStyle w:val="100000000000"/>
              <w:rPr>
                <w:rFonts w:ascii="Times New Roman" w:hAnsi="Times New Roman" w:cs="Times New Roman"/>
                <w:b w:val="0"/>
                <w:bCs w:val="0"/>
                <w:color w:val="000000"/>
                <w:sz w:val="24"/>
                <w:szCs w:val="24"/>
              </w:rPr>
            </w:pPr>
            <w:r w:rsidRPr="000F2A00">
              <w:rPr>
                <w:rFonts w:ascii="Times New Roman" w:eastAsia="Calibri" w:hAnsi="Times New Roman" w:cs="Times New Roman"/>
                <w:b w:val="0"/>
                <w:color w:val="000000"/>
                <w:sz w:val="24"/>
                <w:szCs w:val="24"/>
              </w:rPr>
              <w:t>SFIK11</w:t>
            </w:r>
          </w:p>
        </w:tc>
        <w:tc>
          <w:tcPr>
            <w:tcW w:w="1134" w:type="dxa"/>
          </w:tcPr>
          <w:p w:rsidR="0022255F" w:rsidRPr="000F2A00" w:rsidRDefault="0022255F" w:rsidP="00D71CD1">
            <w:pPr>
              <w:jc w:val="center"/>
              <w:cnfStyle w:val="100000000000"/>
              <w:rPr>
                <w:rFonts w:ascii="Times New Roman" w:hAnsi="Times New Roman" w:cs="Times New Roman"/>
                <w:b w:val="0"/>
                <w:bCs w:val="0"/>
                <w:color w:val="000000"/>
                <w:sz w:val="24"/>
                <w:szCs w:val="24"/>
              </w:rPr>
            </w:pPr>
            <w:r w:rsidRPr="000F2A00">
              <w:rPr>
                <w:rFonts w:ascii="Times New Roman" w:eastAsia="Calibri" w:hAnsi="Times New Roman" w:cs="Times New Roman"/>
                <w:b w:val="0"/>
                <w:color w:val="000000"/>
                <w:sz w:val="24"/>
                <w:szCs w:val="24"/>
              </w:rPr>
              <w:t>SOJM11</w:t>
            </w:r>
          </w:p>
        </w:tc>
        <w:tc>
          <w:tcPr>
            <w:tcW w:w="993" w:type="dxa"/>
          </w:tcPr>
          <w:p w:rsidR="0022255F" w:rsidRPr="000F2A00" w:rsidRDefault="0022255F" w:rsidP="00D71CD1">
            <w:pPr>
              <w:jc w:val="center"/>
              <w:cnfStyle w:val="100000000000"/>
              <w:rPr>
                <w:rFonts w:ascii="Times New Roman" w:hAnsi="Times New Roman" w:cs="Times New Roman"/>
                <w:b w:val="0"/>
                <w:bCs w:val="0"/>
                <w:color w:val="000000"/>
                <w:sz w:val="24"/>
                <w:szCs w:val="24"/>
              </w:rPr>
            </w:pPr>
            <w:r w:rsidRPr="000F2A00">
              <w:rPr>
                <w:rFonts w:ascii="Times New Roman" w:eastAsia="Calibri" w:hAnsi="Times New Roman" w:cs="Times New Roman"/>
                <w:b w:val="0"/>
                <w:color w:val="000000"/>
                <w:sz w:val="24"/>
                <w:szCs w:val="24"/>
              </w:rPr>
              <w:t>SFIN11</w:t>
            </w:r>
          </w:p>
        </w:tc>
        <w:tc>
          <w:tcPr>
            <w:tcW w:w="1015" w:type="dxa"/>
          </w:tcPr>
          <w:p w:rsidR="0022255F" w:rsidRPr="000F2A00" w:rsidRDefault="0022255F" w:rsidP="00D71CD1">
            <w:pPr>
              <w:jc w:val="center"/>
              <w:cnfStyle w:val="100000000000"/>
              <w:rPr>
                <w:rFonts w:ascii="Times New Roman" w:hAnsi="Times New Roman" w:cs="Times New Roman"/>
                <w:b w:val="0"/>
                <w:bCs w:val="0"/>
                <w:color w:val="000000"/>
                <w:sz w:val="24"/>
                <w:szCs w:val="24"/>
              </w:rPr>
            </w:pPr>
            <w:r w:rsidRPr="000F2A00">
              <w:rPr>
                <w:rFonts w:ascii="Times New Roman" w:eastAsia="Calibri" w:hAnsi="Times New Roman" w:cs="Times New Roman"/>
                <w:b w:val="0"/>
                <w:color w:val="000000"/>
                <w:sz w:val="24"/>
                <w:szCs w:val="24"/>
              </w:rPr>
              <w:t>SFIQ11</w:t>
            </w:r>
          </w:p>
        </w:tc>
        <w:tc>
          <w:tcPr>
            <w:tcW w:w="1111" w:type="dxa"/>
            <w:gridSpan w:val="2"/>
          </w:tcPr>
          <w:p w:rsidR="0022255F" w:rsidRPr="000F2A00" w:rsidRDefault="0022255F" w:rsidP="00D71CD1">
            <w:pPr>
              <w:jc w:val="center"/>
              <w:cnfStyle w:val="100000000000"/>
              <w:rPr>
                <w:rFonts w:ascii="Times New Roman" w:hAnsi="Times New Roman" w:cs="Times New Roman"/>
                <w:b w:val="0"/>
                <w:bCs w:val="0"/>
                <w:color w:val="000000"/>
                <w:sz w:val="24"/>
                <w:szCs w:val="24"/>
              </w:rPr>
            </w:pPr>
            <w:r w:rsidRPr="000F2A00">
              <w:rPr>
                <w:rFonts w:ascii="Times New Roman" w:eastAsia="Calibri" w:hAnsi="Times New Roman" w:cs="Times New Roman"/>
                <w:b w:val="0"/>
                <w:color w:val="000000"/>
                <w:sz w:val="24"/>
                <w:szCs w:val="24"/>
              </w:rPr>
              <w:t>SFIX11</w:t>
            </w:r>
          </w:p>
        </w:tc>
        <w:tc>
          <w:tcPr>
            <w:tcW w:w="992" w:type="dxa"/>
            <w:gridSpan w:val="2"/>
          </w:tcPr>
          <w:p w:rsidR="0022255F" w:rsidRPr="000F2A00" w:rsidRDefault="0022255F" w:rsidP="00D71CD1">
            <w:pPr>
              <w:jc w:val="center"/>
              <w:cnfStyle w:val="100000000000"/>
              <w:rPr>
                <w:rFonts w:ascii="Times New Roman" w:hAnsi="Times New Roman" w:cs="Times New Roman"/>
                <w:b w:val="0"/>
                <w:bCs w:val="0"/>
                <w:color w:val="000000"/>
                <w:sz w:val="24"/>
                <w:szCs w:val="24"/>
              </w:rPr>
            </w:pPr>
            <w:r w:rsidRPr="000F2A00">
              <w:rPr>
                <w:rFonts w:ascii="Times New Roman" w:eastAsia="Calibri" w:hAnsi="Times New Roman" w:cs="Times New Roman"/>
                <w:b w:val="0"/>
                <w:color w:val="000000"/>
                <w:sz w:val="24"/>
                <w:szCs w:val="24"/>
              </w:rPr>
              <w:t>SFIK12</w:t>
            </w:r>
          </w:p>
        </w:tc>
        <w:tc>
          <w:tcPr>
            <w:tcW w:w="992" w:type="dxa"/>
            <w:gridSpan w:val="2"/>
          </w:tcPr>
          <w:p w:rsidR="0022255F" w:rsidRPr="000F2A00" w:rsidRDefault="0022255F" w:rsidP="00D71CD1">
            <w:pPr>
              <w:jc w:val="center"/>
              <w:cnfStyle w:val="100000000000"/>
              <w:rPr>
                <w:rFonts w:ascii="Times New Roman" w:hAnsi="Times New Roman" w:cs="Times New Roman"/>
                <w:b w:val="0"/>
                <w:bCs w:val="0"/>
                <w:color w:val="000000"/>
                <w:sz w:val="24"/>
                <w:szCs w:val="24"/>
              </w:rPr>
            </w:pPr>
            <w:r w:rsidRPr="000F2A00">
              <w:rPr>
                <w:rFonts w:ascii="Times New Roman" w:eastAsia="Calibri" w:hAnsi="Times New Roman" w:cs="Times New Roman"/>
                <w:b w:val="0"/>
                <w:color w:val="000000"/>
                <w:sz w:val="24"/>
                <w:szCs w:val="24"/>
              </w:rPr>
              <w:t>SFIN12</w:t>
            </w:r>
          </w:p>
        </w:tc>
        <w:tc>
          <w:tcPr>
            <w:tcW w:w="993" w:type="dxa"/>
            <w:gridSpan w:val="2"/>
          </w:tcPr>
          <w:p w:rsidR="0022255F" w:rsidRPr="000F2A00" w:rsidRDefault="008C31B3" w:rsidP="00D71CD1">
            <w:pPr>
              <w:jc w:val="center"/>
              <w:cnfStyle w:val="100000000000"/>
              <w:rPr>
                <w:rFonts w:ascii="Times New Roman" w:hAnsi="Times New Roman" w:cs="Times New Roman"/>
                <w:b w:val="0"/>
                <w:bCs w:val="0"/>
                <w:color w:val="000000"/>
                <w:sz w:val="24"/>
                <w:szCs w:val="24"/>
              </w:rPr>
            </w:pPr>
            <w:r w:rsidRPr="000F2A00">
              <w:rPr>
                <w:rFonts w:ascii="Times New Roman" w:eastAsia="Calibri" w:hAnsi="Times New Roman" w:cs="Times New Roman"/>
                <w:b w:val="0"/>
                <w:color w:val="000000"/>
                <w:sz w:val="24"/>
                <w:szCs w:val="24"/>
              </w:rPr>
              <w:t>SFIU</w:t>
            </w:r>
            <w:r w:rsidR="0022255F" w:rsidRPr="000F2A00">
              <w:rPr>
                <w:rFonts w:ascii="Times New Roman" w:eastAsia="Calibri" w:hAnsi="Times New Roman" w:cs="Times New Roman"/>
                <w:b w:val="0"/>
                <w:color w:val="000000"/>
                <w:sz w:val="24"/>
                <w:szCs w:val="24"/>
              </w:rPr>
              <w:t>12</w:t>
            </w:r>
          </w:p>
        </w:tc>
        <w:tc>
          <w:tcPr>
            <w:tcW w:w="992" w:type="dxa"/>
          </w:tcPr>
          <w:p w:rsidR="0022255F" w:rsidRPr="000F2A00" w:rsidRDefault="0022255F" w:rsidP="00D71CD1">
            <w:pPr>
              <w:jc w:val="center"/>
              <w:cnfStyle w:val="100000000000"/>
              <w:rPr>
                <w:rFonts w:ascii="Times New Roman" w:hAnsi="Times New Roman" w:cs="Times New Roman"/>
                <w:b w:val="0"/>
                <w:bCs w:val="0"/>
                <w:color w:val="000000"/>
                <w:sz w:val="24"/>
                <w:szCs w:val="24"/>
              </w:rPr>
            </w:pPr>
            <w:r w:rsidRPr="000F2A00">
              <w:rPr>
                <w:rFonts w:ascii="Times New Roman" w:eastAsia="Calibri" w:hAnsi="Times New Roman" w:cs="Times New Roman"/>
                <w:b w:val="0"/>
                <w:color w:val="000000"/>
                <w:sz w:val="24"/>
                <w:szCs w:val="24"/>
              </w:rPr>
              <w:t>SFIX12</w:t>
            </w:r>
          </w:p>
        </w:tc>
        <w:tc>
          <w:tcPr>
            <w:tcW w:w="1134" w:type="dxa"/>
          </w:tcPr>
          <w:p w:rsidR="0022255F" w:rsidRPr="000F2A00" w:rsidRDefault="0022255F" w:rsidP="00D71CD1">
            <w:pPr>
              <w:jc w:val="center"/>
              <w:cnfStyle w:val="100000000000"/>
              <w:rPr>
                <w:rFonts w:ascii="Times New Roman" w:hAnsi="Times New Roman" w:cs="Times New Roman"/>
                <w:b w:val="0"/>
                <w:bCs w:val="0"/>
                <w:color w:val="000000"/>
                <w:sz w:val="24"/>
                <w:szCs w:val="24"/>
              </w:rPr>
            </w:pPr>
            <w:r w:rsidRPr="000F2A00">
              <w:rPr>
                <w:rFonts w:ascii="Times New Roman" w:eastAsia="Calibri" w:hAnsi="Times New Roman" w:cs="Times New Roman"/>
                <w:b w:val="0"/>
                <w:color w:val="000000"/>
                <w:sz w:val="24"/>
                <w:szCs w:val="24"/>
              </w:rPr>
              <w:t>SFIH13</w:t>
            </w:r>
          </w:p>
        </w:tc>
        <w:tc>
          <w:tcPr>
            <w:tcW w:w="1276" w:type="dxa"/>
          </w:tcPr>
          <w:p w:rsidR="0022255F" w:rsidRPr="000F2A00" w:rsidRDefault="0022255F" w:rsidP="00D71CD1">
            <w:pPr>
              <w:jc w:val="center"/>
              <w:cnfStyle w:val="100000000000"/>
              <w:rPr>
                <w:rFonts w:ascii="Times New Roman" w:hAnsi="Times New Roman" w:cs="Times New Roman"/>
                <w:b w:val="0"/>
                <w:bCs w:val="0"/>
                <w:color w:val="000000"/>
                <w:sz w:val="24"/>
                <w:szCs w:val="24"/>
              </w:rPr>
            </w:pPr>
            <w:r w:rsidRPr="000F2A00">
              <w:rPr>
                <w:rFonts w:ascii="Times New Roman" w:eastAsia="Calibri" w:hAnsi="Times New Roman" w:cs="Times New Roman"/>
                <w:b w:val="0"/>
                <w:color w:val="000000"/>
                <w:sz w:val="24"/>
                <w:szCs w:val="24"/>
              </w:rPr>
              <w:t>SFIK13</w:t>
            </w:r>
          </w:p>
        </w:tc>
      </w:tr>
      <w:tr w:rsidR="008C31B3" w:rsidRPr="000F2A00" w:rsidTr="003D025E">
        <w:trPr>
          <w:cnfStyle w:val="000000100000"/>
        </w:trPr>
        <w:tc>
          <w:tcPr>
            <w:cnfStyle w:val="001000000000"/>
            <w:tcW w:w="817" w:type="dxa"/>
          </w:tcPr>
          <w:p w:rsidR="0022255F" w:rsidRPr="000F2A00" w:rsidRDefault="0022255F" w:rsidP="00D71CD1">
            <w:pPr>
              <w:jc w:val="center"/>
              <w:rPr>
                <w:rFonts w:ascii="Times New Roman" w:hAnsi="Times New Roman" w:cs="Times New Roman"/>
                <w:b w:val="0"/>
                <w:bCs w:val="0"/>
                <w:color w:val="000000"/>
                <w:sz w:val="24"/>
                <w:szCs w:val="24"/>
              </w:rPr>
            </w:pPr>
            <w:r w:rsidRPr="000F2A00">
              <w:rPr>
                <w:rFonts w:ascii="Times New Roman" w:hAnsi="Times New Roman" w:cs="Times New Roman"/>
                <w:b w:val="0"/>
                <w:color w:val="000000"/>
                <w:sz w:val="24"/>
                <w:szCs w:val="24"/>
              </w:rPr>
              <w:t>(1)</w:t>
            </w:r>
          </w:p>
        </w:tc>
        <w:tc>
          <w:tcPr>
            <w:tcW w:w="1134"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45</w:t>
            </w:r>
          </w:p>
        </w:tc>
        <w:tc>
          <w:tcPr>
            <w:tcW w:w="1134"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11.304</w:t>
            </w:r>
          </w:p>
        </w:tc>
        <w:tc>
          <w:tcPr>
            <w:tcW w:w="992"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392</w:t>
            </w:r>
          </w:p>
        </w:tc>
        <w:tc>
          <w:tcPr>
            <w:tcW w:w="1134"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127</w:t>
            </w:r>
          </w:p>
        </w:tc>
        <w:tc>
          <w:tcPr>
            <w:tcW w:w="993"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143</w:t>
            </w:r>
          </w:p>
        </w:tc>
        <w:tc>
          <w:tcPr>
            <w:tcW w:w="1015"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60</w:t>
            </w:r>
          </w:p>
        </w:tc>
        <w:tc>
          <w:tcPr>
            <w:tcW w:w="969"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28</w:t>
            </w:r>
          </w:p>
        </w:tc>
        <w:tc>
          <w:tcPr>
            <w:tcW w:w="992" w:type="dxa"/>
            <w:gridSpan w:val="2"/>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7.961</w:t>
            </w:r>
          </w:p>
        </w:tc>
        <w:tc>
          <w:tcPr>
            <w:tcW w:w="993" w:type="dxa"/>
            <w:gridSpan w:val="2"/>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1.681</w:t>
            </w:r>
          </w:p>
        </w:tc>
        <w:tc>
          <w:tcPr>
            <w:tcW w:w="992" w:type="dxa"/>
            <w:gridSpan w:val="2"/>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1.957</w:t>
            </w:r>
          </w:p>
        </w:tc>
        <w:tc>
          <w:tcPr>
            <w:tcW w:w="1134" w:type="dxa"/>
            <w:gridSpan w:val="2"/>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240</w:t>
            </w:r>
          </w:p>
        </w:tc>
        <w:tc>
          <w:tcPr>
            <w:tcW w:w="1134"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163</w:t>
            </w:r>
          </w:p>
        </w:tc>
        <w:tc>
          <w:tcPr>
            <w:tcW w:w="1276"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4.245</w:t>
            </w:r>
          </w:p>
        </w:tc>
      </w:tr>
      <w:tr w:rsidR="008C31B3" w:rsidRPr="000F2A00" w:rsidTr="003D025E">
        <w:tc>
          <w:tcPr>
            <w:cnfStyle w:val="001000000000"/>
            <w:tcW w:w="817" w:type="dxa"/>
          </w:tcPr>
          <w:p w:rsidR="0022255F" w:rsidRPr="000F2A00" w:rsidRDefault="0022255F" w:rsidP="00D71CD1">
            <w:pPr>
              <w:jc w:val="center"/>
              <w:rPr>
                <w:rFonts w:ascii="Times New Roman" w:hAnsi="Times New Roman" w:cs="Times New Roman"/>
                <w:b w:val="0"/>
                <w:bCs w:val="0"/>
                <w:color w:val="000000"/>
                <w:sz w:val="24"/>
                <w:szCs w:val="24"/>
              </w:rPr>
            </w:pPr>
            <w:r w:rsidRPr="000F2A00">
              <w:rPr>
                <w:rFonts w:ascii="Times New Roman" w:hAnsi="Times New Roman" w:cs="Times New Roman"/>
                <w:b w:val="0"/>
                <w:color w:val="000000"/>
                <w:sz w:val="24"/>
                <w:szCs w:val="24"/>
              </w:rPr>
              <w:t>(2)</w:t>
            </w:r>
          </w:p>
        </w:tc>
        <w:tc>
          <w:tcPr>
            <w:tcW w:w="1134"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28,59</w:t>
            </w:r>
          </w:p>
        </w:tc>
        <w:tc>
          <w:tcPr>
            <w:tcW w:w="1134"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29,37</w:t>
            </w:r>
          </w:p>
        </w:tc>
        <w:tc>
          <w:tcPr>
            <w:tcW w:w="992"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30,07</w:t>
            </w:r>
          </w:p>
        </w:tc>
        <w:tc>
          <w:tcPr>
            <w:tcW w:w="1134"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29,99</w:t>
            </w:r>
          </w:p>
        </w:tc>
        <w:tc>
          <w:tcPr>
            <w:tcW w:w="993"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30,33</w:t>
            </w:r>
          </w:p>
        </w:tc>
        <w:tc>
          <w:tcPr>
            <w:tcW w:w="1015"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30,60</w:t>
            </w:r>
          </w:p>
        </w:tc>
        <w:tc>
          <w:tcPr>
            <w:tcW w:w="969"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29,46</w:t>
            </w:r>
          </w:p>
        </w:tc>
        <w:tc>
          <w:tcPr>
            <w:tcW w:w="992" w:type="dxa"/>
            <w:gridSpan w:val="2"/>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29,03</w:t>
            </w:r>
          </w:p>
        </w:tc>
        <w:tc>
          <w:tcPr>
            <w:tcW w:w="993" w:type="dxa"/>
            <w:gridSpan w:val="2"/>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32,49</w:t>
            </w:r>
          </w:p>
        </w:tc>
        <w:tc>
          <w:tcPr>
            <w:tcW w:w="992" w:type="dxa"/>
            <w:gridSpan w:val="2"/>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38,29</w:t>
            </w:r>
          </w:p>
        </w:tc>
        <w:tc>
          <w:tcPr>
            <w:tcW w:w="1134" w:type="dxa"/>
            <w:gridSpan w:val="2"/>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40,91</w:t>
            </w:r>
          </w:p>
        </w:tc>
        <w:tc>
          <w:tcPr>
            <w:tcW w:w="1134"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32,39</w:t>
            </w:r>
          </w:p>
        </w:tc>
        <w:tc>
          <w:tcPr>
            <w:tcW w:w="1276"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30,73</w:t>
            </w:r>
          </w:p>
        </w:tc>
      </w:tr>
      <w:tr w:rsidR="008C31B3" w:rsidRPr="000F2A00" w:rsidTr="003D025E">
        <w:trPr>
          <w:cnfStyle w:val="000000100000"/>
        </w:trPr>
        <w:tc>
          <w:tcPr>
            <w:cnfStyle w:val="001000000000"/>
            <w:tcW w:w="817" w:type="dxa"/>
          </w:tcPr>
          <w:p w:rsidR="0022255F" w:rsidRPr="000F2A00" w:rsidRDefault="0022255F" w:rsidP="00D71CD1">
            <w:pPr>
              <w:jc w:val="center"/>
              <w:rPr>
                <w:rFonts w:ascii="Times New Roman" w:hAnsi="Times New Roman" w:cs="Times New Roman"/>
                <w:b w:val="0"/>
                <w:bCs w:val="0"/>
                <w:color w:val="000000"/>
                <w:sz w:val="24"/>
                <w:szCs w:val="24"/>
              </w:rPr>
            </w:pPr>
            <w:r w:rsidRPr="000F2A00">
              <w:rPr>
                <w:rFonts w:ascii="Times New Roman" w:hAnsi="Times New Roman" w:cs="Times New Roman"/>
                <w:b w:val="0"/>
                <w:color w:val="000000"/>
                <w:sz w:val="24"/>
                <w:szCs w:val="24"/>
              </w:rPr>
              <w:t>(3)</w:t>
            </w:r>
          </w:p>
        </w:tc>
        <w:tc>
          <w:tcPr>
            <w:tcW w:w="1134"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3,13</w:t>
            </w:r>
          </w:p>
        </w:tc>
        <w:tc>
          <w:tcPr>
            <w:tcW w:w="1134"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2,04</w:t>
            </w:r>
          </w:p>
        </w:tc>
        <w:tc>
          <w:tcPr>
            <w:tcW w:w="992"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0,53</w:t>
            </w:r>
          </w:p>
        </w:tc>
        <w:tc>
          <w:tcPr>
            <w:tcW w:w="1134"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1,40</w:t>
            </w:r>
          </w:p>
        </w:tc>
        <w:tc>
          <w:tcPr>
            <w:tcW w:w="993"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0,54</w:t>
            </w:r>
          </w:p>
        </w:tc>
        <w:tc>
          <w:tcPr>
            <w:tcW w:w="1015"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0,58</w:t>
            </w:r>
          </w:p>
        </w:tc>
        <w:tc>
          <w:tcPr>
            <w:tcW w:w="969"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1,82</w:t>
            </w:r>
          </w:p>
        </w:tc>
        <w:tc>
          <w:tcPr>
            <w:tcW w:w="992" w:type="dxa"/>
            <w:gridSpan w:val="2"/>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1,91</w:t>
            </w:r>
          </w:p>
        </w:tc>
        <w:tc>
          <w:tcPr>
            <w:tcW w:w="993" w:type="dxa"/>
            <w:gridSpan w:val="2"/>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0,94</w:t>
            </w:r>
          </w:p>
        </w:tc>
        <w:tc>
          <w:tcPr>
            <w:tcW w:w="992" w:type="dxa"/>
            <w:gridSpan w:val="2"/>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2,75</w:t>
            </w:r>
          </w:p>
        </w:tc>
        <w:tc>
          <w:tcPr>
            <w:tcW w:w="1134" w:type="dxa"/>
            <w:gridSpan w:val="2"/>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2,39</w:t>
            </w:r>
          </w:p>
        </w:tc>
        <w:tc>
          <w:tcPr>
            <w:tcW w:w="1134"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1,62</w:t>
            </w:r>
          </w:p>
        </w:tc>
        <w:tc>
          <w:tcPr>
            <w:tcW w:w="1276"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1,20</w:t>
            </w:r>
          </w:p>
        </w:tc>
      </w:tr>
      <w:tr w:rsidR="008C31B3" w:rsidRPr="000F2A00" w:rsidTr="003D025E">
        <w:tc>
          <w:tcPr>
            <w:cnfStyle w:val="001000000000"/>
            <w:tcW w:w="817" w:type="dxa"/>
          </w:tcPr>
          <w:p w:rsidR="0022255F" w:rsidRPr="000F2A00" w:rsidRDefault="0022255F" w:rsidP="00D71CD1">
            <w:pPr>
              <w:jc w:val="center"/>
              <w:rPr>
                <w:rFonts w:ascii="Times New Roman" w:hAnsi="Times New Roman" w:cs="Times New Roman"/>
                <w:b w:val="0"/>
                <w:bCs w:val="0"/>
                <w:color w:val="000000"/>
                <w:sz w:val="24"/>
                <w:szCs w:val="24"/>
              </w:rPr>
            </w:pPr>
            <w:r w:rsidRPr="000F2A00">
              <w:rPr>
                <w:rFonts w:ascii="Times New Roman" w:hAnsi="Times New Roman" w:cs="Times New Roman"/>
                <w:b w:val="0"/>
                <w:color w:val="000000"/>
                <w:sz w:val="24"/>
                <w:szCs w:val="24"/>
              </w:rPr>
              <w:t>(4)</w:t>
            </w:r>
          </w:p>
        </w:tc>
        <w:tc>
          <w:tcPr>
            <w:tcW w:w="1134"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18,64</w:t>
            </w:r>
          </w:p>
        </w:tc>
        <w:tc>
          <w:tcPr>
            <w:tcW w:w="1134"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4,98</w:t>
            </w:r>
          </w:p>
        </w:tc>
        <w:tc>
          <w:tcPr>
            <w:tcW w:w="992"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4,98</w:t>
            </w:r>
          </w:p>
        </w:tc>
        <w:tc>
          <w:tcPr>
            <w:tcW w:w="1134"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11,23</w:t>
            </w:r>
          </w:p>
        </w:tc>
        <w:tc>
          <w:tcPr>
            <w:tcW w:w="993"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19,95</w:t>
            </w:r>
          </w:p>
        </w:tc>
        <w:tc>
          <w:tcPr>
            <w:tcW w:w="1015"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49,06</w:t>
            </w:r>
          </w:p>
        </w:tc>
        <w:tc>
          <w:tcPr>
            <w:tcW w:w="969"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63,21</w:t>
            </w:r>
          </w:p>
        </w:tc>
        <w:tc>
          <w:tcPr>
            <w:tcW w:w="992" w:type="dxa"/>
            <w:gridSpan w:val="2"/>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6,49</w:t>
            </w:r>
          </w:p>
        </w:tc>
        <w:tc>
          <w:tcPr>
            <w:tcW w:w="993" w:type="dxa"/>
            <w:gridSpan w:val="2"/>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5,49</w:t>
            </w:r>
          </w:p>
        </w:tc>
        <w:tc>
          <w:tcPr>
            <w:tcW w:w="992" w:type="dxa"/>
            <w:gridSpan w:val="2"/>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4,52</w:t>
            </w:r>
          </w:p>
        </w:tc>
        <w:tc>
          <w:tcPr>
            <w:tcW w:w="1134" w:type="dxa"/>
            <w:gridSpan w:val="2"/>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4,21</w:t>
            </w:r>
          </w:p>
        </w:tc>
        <w:tc>
          <w:tcPr>
            <w:tcW w:w="1134"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3,59</w:t>
            </w:r>
          </w:p>
        </w:tc>
        <w:tc>
          <w:tcPr>
            <w:tcW w:w="1276"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4,04</w:t>
            </w:r>
          </w:p>
        </w:tc>
      </w:tr>
      <w:tr w:rsidR="008C31B3" w:rsidRPr="000F2A00" w:rsidTr="003D025E">
        <w:trPr>
          <w:cnfStyle w:val="000000100000"/>
        </w:trPr>
        <w:tc>
          <w:tcPr>
            <w:cnfStyle w:val="001000000000"/>
            <w:tcW w:w="817" w:type="dxa"/>
          </w:tcPr>
          <w:p w:rsidR="0022255F" w:rsidRPr="000F2A00" w:rsidRDefault="0022255F" w:rsidP="00D71CD1">
            <w:pPr>
              <w:jc w:val="center"/>
              <w:rPr>
                <w:rFonts w:ascii="Times New Roman" w:hAnsi="Times New Roman" w:cs="Times New Roman"/>
                <w:b w:val="0"/>
                <w:bCs w:val="0"/>
                <w:color w:val="000000"/>
                <w:sz w:val="24"/>
                <w:szCs w:val="24"/>
              </w:rPr>
            </w:pPr>
            <w:r w:rsidRPr="000F2A00">
              <w:rPr>
                <w:rFonts w:ascii="Times New Roman" w:hAnsi="Times New Roman" w:cs="Times New Roman"/>
                <w:b w:val="0"/>
                <w:color w:val="000000"/>
                <w:sz w:val="24"/>
                <w:szCs w:val="24"/>
              </w:rPr>
              <w:t>(5)</w:t>
            </w:r>
          </w:p>
        </w:tc>
        <w:tc>
          <w:tcPr>
            <w:tcW w:w="1134"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239,9</w:t>
            </w:r>
          </w:p>
        </w:tc>
        <w:tc>
          <w:tcPr>
            <w:tcW w:w="1134"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65,9</w:t>
            </w:r>
          </w:p>
        </w:tc>
        <w:tc>
          <w:tcPr>
            <w:tcW w:w="992"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67,4</w:t>
            </w:r>
          </w:p>
        </w:tc>
        <w:tc>
          <w:tcPr>
            <w:tcW w:w="1134"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151,6</w:t>
            </w:r>
          </w:p>
        </w:tc>
        <w:tc>
          <w:tcPr>
            <w:tcW w:w="993"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272,3</w:t>
            </w:r>
          </w:p>
        </w:tc>
        <w:tc>
          <w:tcPr>
            <w:tcW w:w="1015"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675,6</w:t>
            </w:r>
          </w:p>
        </w:tc>
        <w:tc>
          <w:tcPr>
            <w:tcW w:w="969"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838</w:t>
            </w:r>
          </w:p>
        </w:tc>
        <w:tc>
          <w:tcPr>
            <w:tcW w:w="992" w:type="dxa"/>
            <w:gridSpan w:val="2"/>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84,8</w:t>
            </w:r>
          </w:p>
        </w:tc>
        <w:tc>
          <w:tcPr>
            <w:tcW w:w="993" w:type="dxa"/>
            <w:gridSpan w:val="2"/>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80,3</w:t>
            </w:r>
          </w:p>
        </w:tc>
        <w:tc>
          <w:tcPr>
            <w:tcW w:w="992" w:type="dxa"/>
            <w:gridSpan w:val="2"/>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77,90</w:t>
            </w:r>
          </w:p>
        </w:tc>
        <w:tc>
          <w:tcPr>
            <w:tcW w:w="1134" w:type="dxa"/>
            <w:gridSpan w:val="2"/>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77,62</w:t>
            </w:r>
          </w:p>
        </w:tc>
        <w:tc>
          <w:tcPr>
            <w:tcW w:w="1134"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52,41</w:t>
            </w:r>
          </w:p>
        </w:tc>
        <w:tc>
          <w:tcPr>
            <w:tcW w:w="1276"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56</w:t>
            </w:r>
          </w:p>
        </w:tc>
      </w:tr>
      <w:tr w:rsidR="008C31B3" w:rsidRPr="000F2A00" w:rsidTr="003D025E">
        <w:tc>
          <w:tcPr>
            <w:cnfStyle w:val="001000000000"/>
            <w:tcW w:w="817" w:type="dxa"/>
          </w:tcPr>
          <w:p w:rsidR="0022255F" w:rsidRPr="000F2A00" w:rsidRDefault="0022255F" w:rsidP="00D71CD1">
            <w:pPr>
              <w:jc w:val="center"/>
              <w:rPr>
                <w:rFonts w:ascii="Times New Roman" w:hAnsi="Times New Roman" w:cs="Times New Roman"/>
                <w:b w:val="0"/>
                <w:bCs w:val="0"/>
                <w:color w:val="000000"/>
                <w:sz w:val="24"/>
                <w:szCs w:val="24"/>
              </w:rPr>
            </w:pPr>
            <w:r w:rsidRPr="000F2A00">
              <w:rPr>
                <w:rFonts w:ascii="Times New Roman" w:hAnsi="Times New Roman" w:cs="Times New Roman"/>
                <w:b w:val="0"/>
                <w:color w:val="000000"/>
                <w:sz w:val="24"/>
                <w:szCs w:val="24"/>
              </w:rPr>
              <w:t>(6)</w:t>
            </w:r>
          </w:p>
        </w:tc>
        <w:tc>
          <w:tcPr>
            <w:tcW w:w="1134" w:type="dxa"/>
          </w:tcPr>
          <w:p w:rsidR="0022255F" w:rsidRPr="000F2A00" w:rsidRDefault="0022255F" w:rsidP="00D71CD1">
            <w:pPr>
              <w:jc w:val="center"/>
              <w:cnfStyle w:val="000000000000"/>
              <w:rPr>
                <w:rFonts w:ascii="Times New Roman" w:hAnsi="Times New Roman" w:cs="Times New Roman"/>
                <w:bCs/>
                <w:color w:val="000000"/>
                <w:sz w:val="24"/>
                <w:szCs w:val="24"/>
              </w:rPr>
            </w:pPr>
            <w:r w:rsidRPr="000F2A00">
              <w:rPr>
                <w:rFonts w:ascii="Times New Roman" w:hAnsi="Times New Roman" w:cs="Times New Roman"/>
                <w:bCs/>
                <w:color w:val="000000"/>
                <w:sz w:val="24"/>
                <w:szCs w:val="24"/>
              </w:rPr>
              <w:t>1.094</w:t>
            </w:r>
          </w:p>
        </w:tc>
        <w:tc>
          <w:tcPr>
            <w:tcW w:w="1134" w:type="dxa"/>
          </w:tcPr>
          <w:p w:rsidR="0022255F" w:rsidRPr="000F2A00" w:rsidRDefault="0022255F" w:rsidP="00D71CD1">
            <w:pPr>
              <w:jc w:val="center"/>
              <w:cnfStyle w:val="000000000000"/>
              <w:rPr>
                <w:rFonts w:ascii="Times New Roman" w:hAnsi="Times New Roman" w:cs="Times New Roman"/>
                <w:bCs/>
                <w:color w:val="000000"/>
                <w:sz w:val="24"/>
                <w:szCs w:val="24"/>
              </w:rPr>
            </w:pPr>
            <w:r w:rsidRPr="000F2A00">
              <w:rPr>
                <w:rFonts w:ascii="Times New Roman" w:hAnsi="Times New Roman" w:cs="Times New Roman"/>
                <w:bCs/>
                <w:color w:val="000000"/>
                <w:sz w:val="24"/>
                <w:szCs w:val="24"/>
              </w:rPr>
              <w:t>47.275</w:t>
            </w:r>
          </w:p>
        </w:tc>
        <w:tc>
          <w:tcPr>
            <w:tcW w:w="992" w:type="dxa"/>
          </w:tcPr>
          <w:p w:rsidR="0022255F" w:rsidRPr="000F2A00" w:rsidRDefault="0022255F" w:rsidP="00D71CD1">
            <w:pPr>
              <w:jc w:val="center"/>
              <w:cnfStyle w:val="000000000000"/>
              <w:rPr>
                <w:rFonts w:ascii="Times New Roman" w:hAnsi="Times New Roman" w:cs="Times New Roman"/>
                <w:bCs/>
                <w:color w:val="000000"/>
                <w:sz w:val="24"/>
                <w:szCs w:val="24"/>
              </w:rPr>
            </w:pPr>
            <w:r w:rsidRPr="000F2A00">
              <w:rPr>
                <w:rFonts w:ascii="Times New Roman" w:hAnsi="Times New Roman" w:cs="Times New Roman"/>
                <w:bCs/>
                <w:color w:val="000000"/>
                <w:sz w:val="24"/>
                <w:szCs w:val="24"/>
              </w:rPr>
              <w:t>2.318</w:t>
            </w:r>
          </w:p>
        </w:tc>
        <w:tc>
          <w:tcPr>
            <w:tcW w:w="1134" w:type="dxa"/>
          </w:tcPr>
          <w:p w:rsidR="0022255F" w:rsidRPr="000F2A00" w:rsidRDefault="0022255F" w:rsidP="00D71CD1">
            <w:pPr>
              <w:jc w:val="center"/>
              <w:cnfStyle w:val="000000000000"/>
              <w:rPr>
                <w:rFonts w:ascii="Times New Roman" w:hAnsi="Times New Roman" w:cs="Times New Roman"/>
                <w:bCs/>
                <w:color w:val="000000"/>
                <w:sz w:val="24"/>
                <w:szCs w:val="24"/>
              </w:rPr>
            </w:pPr>
            <w:r w:rsidRPr="000F2A00">
              <w:rPr>
                <w:rFonts w:ascii="Times New Roman" w:hAnsi="Times New Roman" w:cs="Times New Roman"/>
                <w:bCs/>
                <w:color w:val="000000"/>
                <w:sz w:val="24"/>
                <w:szCs w:val="24"/>
              </w:rPr>
              <w:t>1.330</w:t>
            </w:r>
          </w:p>
        </w:tc>
        <w:tc>
          <w:tcPr>
            <w:tcW w:w="993" w:type="dxa"/>
          </w:tcPr>
          <w:p w:rsidR="0022255F" w:rsidRPr="000F2A00" w:rsidRDefault="0022255F" w:rsidP="00D71CD1">
            <w:pPr>
              <w:jc w:val="center"/>
              <w:cnfStyle w:val="000000000000"/>
              <w:rPr>
                <w:rFonts w:ascii="Times New Roman" w:hAnsi="Times New Roman" w:cs="Times New Roman"/>
                <w:bCs/>
                <w:color w:val="000000"/>
                <w:sz w:val="24"/>
                <w:szCs w:val="24"/>
              </w:rPr>
            </w:pPr>
            <w:r w:rsidRPr="000F2A00">
              <w:rPr>
                <w:rFonts w:ascii="Times New Roman" w:hAnsi="Times New Roman" w:cs="Times New Roman"/>
                <w:bCs/>
                <w:color w:val="000000"/>
                <w:sz w:val="24"/>
                <w:szCs w:val="24"/>
              </w:rPr>
              <w:t>1.242</w:t>
            </w:r>
          </w:p>
        </w:tc>
        <w:tc>
          <w:tcPr>
            <w:tcW w:w="1015" w:type="dxa"/>
          </w:tcPr>
          <w:p w:rsidR="0022255F" w:rsidRPr="000F2A00" w:rsidRDefault="0022255F" w:rsidP="00D71CD1">
            <w:pPr>
              <w:jc w:val="center"/>
              <w:cnfStyle w:val="000000000000"/>
              <w:rPr>
                <w:rFonts w:ascii="Times New Roman" w:hAnsi="Times New Roman" w:cs="Times New Roman"/>
                <w:bCs/>
                <w:color w:val="000000"/>
                <w:sz w:val="24"/>
                <w:szCs w:val="24"/>
              </w:rPr>
            </w:pPr>
            <w:r w:rsidRPr="000F2A00">
              <w:rPr>
                <w:rFonts w:ascii="Times New Roman" w:hAnsi="Times New Roman" w:cs="Times New Roman"/>
                <w:bCs/>
                <w:color w:val="000000"/>
                <w:sz w:val="24"/>
                <w:szCs w:val="24"/>
              </w:rPr>
              <w:t>828</w:t>
            </w:r>
          </w:p>
        </w:tc>
        <w:tc>
          <w:tcPr>
            <w:tcW w:w="969" w:type="dxa"/>
          </w:tcPr>
          <w:p w:rsidR="0022255F" w:rsidRPr="000F2A00" w:rsidRDefault="0022255F" w:rsidP="00D71CD1">
            <w:pPr>
              <w:jc w:val="center"/>
              <w:cnfStyle w:val="000000000000"/>
              <w:rPr>
                <w:rFonts w:ascii="Times New Roman" w:hAnsi="Times New Roman" w:cs="Times New Roman"/>
                <w:bCs/>
                <w:color w:val="000000"/>
                <w:sz w:val="24"/>
                <w:szCs w:val="24"/>
              </w:rPr>
            </w:pPr>
            <w:r w:rsidRPr="000F2A00">
              <w:rPr>
                <w:rFonts w:ascii="Times New Roman" w:hAnsi="Times New Roman" w:cs="Times New Roman"/>
                <w:bCs/>
                <w:color w:val="000000"/>
                <w:sz w:val="24"/>
                <w:szCs w:val="24"/>
              </w:rPr>
              <w:t>312</w:t>
            </w:r>
          </w:p>
        </w:tc>
        <w:tc>
          <w:tcPr>
            <w:tcW w:w="992" w:type="dxa"/>
            <w:gridSpan w:val="2"/>
          </w:tcPr>
          <w:p w:rsidR="0022255F" w:rsidRPr="000F2A00" w:rsidRDefault="0022255F" w:rsidP="00D71CD1">
            <w:pPr>
              <w:jc w:val="center"/>
              <w:cnfStyle w:val="000000000000"/>
              <w:rPr>
                <w:rFonts w:ascii="Times New Roman" w:hAnsi="Times New Roman" w:cs="Times New Roman"/>
                <w:bCs/>
                <w:color w:val="000000"/>
                <w:sz w:val="24"/>
                <w:szCs w:val="24"/>
              </w:rPr>
            </w:pPr>
            <w:r w:rsidRPr="000F2A00">
              <w:rPr>
                <w:rFonts w:ascii="Times New Roman" w:hAnsi="Times New Roman" w:cs="Times New Roman"/>
                <w:bCs/>
                <w:color w:val="000000"/>
                <w:sz w:val="24"/>
                <w:szCs w:val="24"/>
              </w:rPr>
              <w:t>39.602</w:t>
            </w:r>
          </w:p>
        </w:tc>
        <w:tc>
          <w:tcPr>
            <w:tcW w:w="993" w:type="dxa"/>
            <w:gridSpan w:val="2"/>
          </w:tcPr>
          <w:p w:rsidR="0022255F" w:rsidRPr="000F2A00" w:rsidRDefault="0022255F" w:rsidP="00D71CD1">
            <w:pPr>
              <w:jc w:val="center"/>
              <w:cnfStyle w:val="000000000000"/>
              <w:rPr>
                <w:rFonts w:ascii="Times New Roman" w:hAnsi="Times New Roman" w:cs="Times New Roman"/>
                <w:bCs/>
                <w:color w:val="000000"/>
                <w:sz w:val="24"/>
                <w:szCs w:val="24"/>
              </w:rPr>
            </w:pPr>
            <w:r w:rsidRPr="000F2A00">
              <w:rPr>
                <w:rFonts w:ascii="Times New Roman" w:hAnsi="Times New Roman" w:cs="Times New Roman"/>
                <w:bCs/>
                <w:color w:val="000000"/>
                <w:sz w:val="24"/>
                <w:szCs w:val="24"/>
              </w:rPr>
              <w:t>6.822</w:t>
            </w:r>
          </w:p>
        </w:tc>
        <w:tc>
          <w:tcPr>
            <w:tcW w:w="992" w:type="dxa"/>
            <w:gridSpan w:val="2"/>
          </w:tcPr>
          <w:p w:rsidR="0022255F" w:rsidRPr="000F2A00" w:rsidRDefault="0022255F" w:rsidP="00D71CD1">
            <w:pPr>
              <w:jc w:val="center"/>
              <w:cnfStyle w:val="000000000000"/>
              <w:rPr>
                <w:rFonts w:ascii="Times New Roman" w:hAnsi="Times New Roman" w:cs="Times New Roman"/>
                <w:bCs/>
                <w:color w:val="000000"/>
                <w:sz w:val="24"/>
                <w:szCs w:val="24"/>
              </w:rPr>
            </w:pPr>
            <w:r w:rsidRPr="000F2A00">
              <w:rPr>
                <w:rFonts w:ascii="Times New Roman" w:hAnsi="Times New Roman" w:cs="Times New Roman"/>
                <w:bCs/>
                <w:color w:val="000000"/>
                <w:sz w:val="24"/>
                <w:szCs w:val="24"/>
              </w:rPr>
              <w:t>7.050</w:t>
            </w:r>
          </w:p>
        </w:tc>
        <w:tc>
          <w:tcPr>
            <w:tcW w:w="1134" w:type="dxa"/>
            <w:gridSpan w:val="2"/>
          </w:tcPr>
          <w:p w:rsidR="0022255F" w:rsidRPr="000F2A00" w:rsidRDefault="0022255F" w:rsidP="00D71CD1">
            <w:pPr>
              <w:jc w:val="center"/>
              <w:cnfStyle w:val="000000000000"/>
              <w:rPr>
                <w:rFonts w:ascii="Times New Roman" w:hAnsi="Times New Roman" w:cs="Times New Roman"/>
                <w:bCs/>
                <w:color w:val="000000"/>
                <w:sz w:val="24"/>
                <w:szCs w:val="24"/>
              </w:rPr>
            </w:pPr>
            <w:r w:rsidRPr="000F2A00">
              <w:rPr>
                <w:rFonts w:ascii="Times New Roman" w:hAnsi="Times New Roman" w:cs="Times New Roman"/>
                <w:bCs/>
                <w:color w:val="000000"/>
                <w:sz w:val="24"/>
                <w:szCs w:val="24"/>
              </w:rPr>
              <w:t>1.478</w:t>
            </w:r>
          </w:p>
        </w:tc>
        <w:tc>
          <w:tcPr>
            <w:tcW w:w="1134" w:type="dxa"/>
          </w:tcPr>
          <w:p w:rsidR="0022255F" w:rsidRPr="000F2A00" w:rsidRDefault="0022255F" w:rsidP="00D71CD1">
            <w:pPr>
              <w:jc w:val="center"/>
              <w:cnfStyle w:val="000000000000"/>
              <w:rPr>
                <w:rFonts w:ascii="Times New Roman" w:hAnsi="Times New Roman" w:cs="Times New Roman"/>
                <w:bCs/>
                <w:color w:val="000000"/>
                <w:sz w:val="24"/>
                <w:szCs w:val="24"/>
              </w:rPr>
            </w:pPr>
            <w:r w:rsidRPr="000F2A00">
              <w:rPr>
                <w:rFonts w:ascii="Times New Roman" w:hAnsi="Times New Roman" w:cs="Times New Roman"/>
                <w:bCs/>
                <w:color w:val="000000"/>
                <w:sz w:val="24"/>
                <w:szCs w:val="24"/>
              </w:rPr>
              <w:t>1.462</w:t>
            </w:r>
          </w:p>
        </w:tc>
        <w:tc>
          <w:tcPr>
            <w:tcW w:w="1276" w:type="dxa"/>
          </w:tcPr>
          <w:p w:rsidR="0022255F" w:rsidRPr="000F2A00" w:rsidRDefault="0022255F" w:rsidP="00D71CD1">
            <w:pPr>
              <w:jc w:val="center"/>
              <w:cnfStyle w:val="000000000000"/>
              <w:rPr>
                <w:rFonts w:ascii="Times New Roman" w:hAnsi="Times New Roman" w:cs="Times New Roman"/>
                <w:bCs/>
                <w:color w:val="000000"/>
                <w:sz w:val="24"/>
                <w:szCs w:val="24"/>
              </w:rPr>
            </w:pPr>
            <w:r w:rsidRPr="000F2A00">
              <w:rPr>
                <w:rFonts w:ascii="Times New Roman" w:hAnsi="Times New Roman" w:cs="Times New Roman"/>
                <w:bCs/>
                <w:color w:val="000000"/>
                <w:sz w:val="24"/>
                <w:szCs w:val="24"/>
              </w:rPr>
              <w:t>62.255</w:t>
            </w:r>
          </w:p>
        </w:tc>
      </w:tr>
      <w:tr w:rsidR="008C31B3" w:rsidRPr="000F2A00" w:rsidTr="003D025E">
        <w:trPr>
          <w:cnfStyle w:val="000000100000"/>
        </w:trPr>
        <w:tc>
          <w:tcPr>
            <w:cnfStyle w:val="001000000000"/>
            <w:tcW w:w="817" w:type="dxa"/>
          </w:tcPr>
          <w:p w:rsidR="0022255F" w:rsidRPr="000F2A00" w:rsidRDefault="0022255F" w:rsidP="00D71CD1">
            <w:pPr>
              <w:jc w:val="center"/>
              <w:rPr>
                <w:rFonts w:ascii="Times New Roman" w:hAnsi="Times New Roman" w:cs="Times New Roman"/>
                <w:b w:val="0"/>
                <w:sz w:val="24"/>
                <w:szCs w:val="24"/>
              </w:rPr>
            </w:pPr>
            <w:r w:rsidRPr="000F2A00">
              <w:rPr>
                <w:rFonts w:ascii="Times New Roman" w:hAnsi="Times New Roman" w:cs="Times New Roman"/>
                <w:b w:val="0"/>
                <w:color w:val="000000"/>
                <w:sz w:val="24"/>
                <w:szCs w:val="24"/>
              </w:rPr>
              <w:t>(7)</w:t>
            </w:r>
          </w:p>
        </w:tc>
        <w:tc>
          <w:tcPr>
            <w:tcW w:w="1134" w:type="dxa"/>
          </w:tcPr>
          <w:p w:rsidR="0022255F" w:rsidRPr="000F2A00" w:rsidRDefault="0022255F" w:rsidP="00D71CD1">
            <w:pPr>
              <w:jc w:val="center"/>
              <w:cnfStyle w:val="000000100000"/>
              <w:rPr>
                <w:rFonts w:ascii="Times New Roman" w:hAnsi="Times New Roman" w:cs="Times New Roman"/>
                <w:sz w:val="24"/>
                <w:szCs w:val="24"/>
              </w:rPr>
            </w:pPr>
            <w:r w:rsidRPr="000F2A00">
              <w:rPr>
                <w:rFonts w:ascii="Times New Roman" w:hAnsi="Times New Roman" w:cs="Times New Roman"/>
                <w:sz w:val="24"/>
                <w:szCs w:val="24"/>
              </w:rPr>
              <w:t>660</w:t>
            </w:r>
          </w:p>
        </w:tc>
        <w:tc>
          <w:tcPr>
            <w:tcW w:w="1134" w:type="dxa"/>
          </w:tcPr>
          <w:p w:rsidR="0022255F" w:rsidRPr="000F2A00" w:rsidRDefault="0022255F" w:rsidP="00D71CD1">
            <w:pPr>
              <w:jc w:val="center"/>
              <w:cnfStyle w:val="000000100000"/>
              <w:rPr>
                <w:rFonts w:ascii="Times New Roman" w:hAnsi="Times New Roman" w:cs="Times New Roman"/>
                <w:sz w:val="24"/>
                <w:szCs w:val="24"/>
              </w:rPr>
            </w:pPr>
            <w:r w:rsidRPr="000F2A00">
              <w:rPr>
                <w:rFonts w:ascii="Times New Roman" w:hAnsi="Times New Roman" w:cs="Times New Roman"/>
                <w:sz w:val="24"/>
                <w:szCs w:val="24"/>
              </w:rPr>
              <w:t>47.155</w:t>
            </w:r>
          </w:p>
        </w:tc>
        <w:tc>
          <w:tcPr>
            <w:tcW w:w="992" w:type="dxa"/>
          </w:tcPr>
          <w:p w:rsidR="0022255F" w:rsidRPr="000F2A00" w:rsidRDefault="0022255F" w:rsidP="00D71CD1">
            <w:pPr>
              <w:jc w:val="center"/>
              <w:cnfStyle w:val="000000100000"/>
              <w:rPr>
                <w:rFonts w:ascii="Times New Roman" w:hAnsi="Times New Roman" w:cs="Times New Roman"/>
                <w:sz w:val="24"/>
                <w:szCs w:val="24"/>
              </w:rPr>
            </w:pPr>
            <w:r w:rsidRPr="000F2A00">
              <w:rPr>
                <w:rFonts w:ascii="Times New Roman" w:hAnsi="Times New Roman" w:cs="Times New Roman"/>
                <w:sz w:val="24"/>
                <w:szCs w:val="24"/>
              </w:rPr>
              <w:t>2.238</w:t>
            </w:r>
          </w:p>
        </w:tc>
        <w:tc>
          <w:tcPr>
            <w:tcW w:w="1134" w:type="dxa"/>
          </w:tcPr>
          <w:p w:rsidR="0022255F" w:rsidRPr="000F2A00" w:rsidRDefault="0022255F" w:rsidP="00D71CD1">
            <w:pPr>
              <w:jc w:val="center"/>
              <w:cnfStyle w:val="000000100000"/>
              <w:rPr>
                <w:rFonts w:ascii="Times New Roman" w:hAnsi="Times New Roman" w:cs="Times New Roman"/>
                <w:sz w:val="24"/>
                <w:szCs w:val="24"/>
              </w:rPr>
            </w:pPr>
            <w:r w:rsidRPr="000F2A00">
              <w:rPr>
                <w:rFonts w:ascii="Times New Roman" w:hAnsi="Times New Roman" w:cs="Times New Roman"/>
                <w:sz w:val="24"/>
                <w:szCs w:val="24"/>
              </w:rPr>
              <w:t>971</w:t>
            </w:r>
          </w:p>
        </w:tc>
        <w:tc>
          <w:tcPr>
            <w:tcW w:w="993" w:type="dxa"/>
          </w:tcPr>
          <w:p w:rsidR="0022255F" w:rsidRPr="000F2A00" w:rsidRDefault="0022255F" w:rsidP="00D71CD1">
            <w:pPr>
              <w:jc w:val="center"/>
              <w:cnfStyle w:val="000000100000"/>
              <w:rPr>
                <w:rFonts w:ascii="Times New Roman" w:hAnsi="Times New Roman" w:cs="Times New Roman"/>
                <w:sz w:val="24"/>
                <w:szCs w:val="24"/>
              </w:rPr>
            </w:pPr>
            <w:r w:rsidRPr="000F2A00">
              <w:rPr>
                <w:rFonts w:ascii="Times New Roman" w:hAnsi="Times New Roman" w:cs="Times New Roman"/>
                <w:sz w:val="24"/>
                <w:szCs w:val="24"/>
              </w:rPr>
              <w:t>956</w:t>
            </w:r>
          </w:p>
        </w:tc>
        <w:tc>
          <w:tcPr>
            <w:tcW w:w="1015" w:type="dxa"/>
          </w:tcPr>
          <w:p w:rsidR="0022255F" w:rsidRPr="000F2A00" w:rsidRDefault="0022255F" w:rsidP="00D71CD1">
            <w:pPr>
              <w:jc w:val="center"/>
              <w:cnfStyle w:val="000000100000"/>
              <w:rPr>
                <w:rFonts w:ascii="Times New Roman" w:hAnsi="Times New Roman" w:cs="Times New Roman"/>
                <w:sz w:val="24"/>
                <w:szCs w:val="24"/>
              </w:rPr>
            </w:pPr>
            <w:r w:rsidRPr="000F2A00">
              <w:rPr>
                <w:rFonts w:ascii="Times New Roman" w:hAnsi="Times New Roman" w:cs="Times New Roman"/>
                <w:sz w:val="24"/>
                <w:szCs w:val="24"/>
              </w:rPr>
              <w:t>387</w:t>
            </w:r>
          </w:p>
        </w:tc>
        <w:tc>
          <w:tcPr>
            <w:tcW w:w="969" w:type="dxa"/>
          </w:tcPr>
          <w:p w:rsidR="0022255F" w:rsidRPr="000F2A00" w:rsidRDefault="0022255F" w:rsidP="00D71CD1">
            <w:pPr>
              <w:jc w:val="center"/>
              <w:cnfStyle w:val="000000100000"/>
              <w:rPr>
                <w:rFonts w:ascii="Times New Roman" w:hAnsi="Times New Roman" w:cs="Times New Roman"/>
                <w:sz w:val="24"/>
                <w:szCs w:val="24"/>
              </w:rPr>
            </w:pPr>
            <w:r w:rsidRPr="000F2A00">
              <w:rPr>
                <w:rFonts w:ascii="Times New Roman" w:hAnsi="Times New Roman" w:cs="Times New Roman"/>
                <w:sz w:val="24"/>
                <w:szCs w:val="24"/>
              </w:rPr>
              <w:t>245</w:t>
            </w:r>
          </w:p>
        </w:tc>
        <w:tc>
          <w:tcPr>
            <w:tcW w:w="992" w:type="dxa"/>
            <w:gridSpan w:val="2"/>
          </w:tcPr>
          <w:p w:rsidR="0022255F" w:rsidRPr="000F2A00" w:rsidRDefault="0022255F" w:rsidP="00D71CD1">
            <w:pPr>
              <w:jc w:val="center"/>
              <w:cnfStyle w:val="000000100000"/>
              <w:rPr>
                <w:rFonts w:ascii="Times New Roman" w:hAnsi="Times New Roman" w:cs="Times New Roman"/>
                <w:sz w:val="24"/>
                <w:szCs w:val="24"/>
              </w:rPr>
            </w:pPr>
            <w:r w:rsidRPr="000F2A00">
              <w:rPr>
                <w:rFonts w:ascii="Times New Roman" w:hAnsi="Times New Roman" w:cs="Times New Roman"/>
                <w:sz w:val="24"/>
                <w:szCs w:val="24"/>
              </w:rPr>
              <w:t>38.731</w:t>
            </w:r>
          </w:p>
        </w:tc>
        <w:tc>
          <w:tcPr>
            <w:tcW w:w="993" w:type="dxa"/>
            <w:gridSpan w:val="2"/>
          </w:tcPr>
          <w:p w:rsidR="0022255F" w:rsidRPr="000F2A00" w:rsidRDefault="0022255F" w:rsidP="00D71CD1">
            <w:pPr>
              <w:jc w:val="center"/>
              <w:cnfStyle w:val="000000100000"/>
              <w:rPr>
                <w:rFonts w:ascii="Times New Roman" w:hAnsi="Times New Roman" w:cs="Times New Roman"/>
                <w:sz w:val="24"/>
                <w:szCs w:val="24"/>
              </w:rPr>
            </w:pPr>
            <w:r w:rsidRPr="000F2A00">
              <w:rPr>
                <w:rFonts w:ascii="Times New Roman" w:hAnsi="Times New Roman" w:cs="Times New Roman"/>
                <w:sz w:val="24"/>
                <w:szCs w:val="24"/>
              </w:rPr>
              <w:t>6.474</w:t>
            </w:r>
          </w:p>
        </w:tc>
        <w:tc>
          <w:tcPr>
            <w:tcW w:w="992" w:type="dxa"/>
            <w:gridSpan w:val="2"/>
          </w:tcPr>
          <w:p w:rsidR="0022255F" w:rsidRPr="000F2A00" w:rsidRDefault="0022255F" w:rsidP="00D71CD1">
            <w:pPr>
              <w:jc w:val="center"/>
              <w:cnfStyle w:val="000000100000"/>
              <w:rPr>
                <w:rFonts w:ascii="Times New Roman" w:hAnsi="Times New Roman" w:cs="Times New Roman"/>
                <w:sz w:val="24"/>
                <w:szCs w:val="24"/>
              </w:rPr>
            </w:pPr>
            <w:r w:rsidRPr="000F2A00">
              <w:rPr>
                <w:rFonts w:ascii="Times New Roman" w:hAnsi="Times New Roman" w:cs="Times New Roman"/>
                <w:sz w:val="24"/>
                <w:szCs w:val="24"/>
              </w:rPr>
              <w:t>7.278</w:t>
            </w:r>
          </w:p>
        </w:tc>
        <w:tc>
          <w:tcPr>
            <w:tcW w:w="1134" w:type="dxa"/>
            <w:gridSpan w:val="2"/>
          </w:tcPr>
          <w:p w:rsidR="0022255F" w:rsidRPr="000F2A00" w:rsidRDefault="0022255F" w:rsidP="00D71CD1">
            <w:pPr>
              <w:jc w:val="center"/>
              <w:cnfStyle w:val="000000100000"/>
              <w:rPr>
                <w:rFonts w:ascii="Times New Roman" w:hAnsi="Times New Roman" w:cs="Times New Roman"/>
                <w:sz w:val="24"/>
                <w:szCs w:val="24"/>
              </w:rPr>
            </w:pPr>
            <w:r w:rsidRPr="000F2A00">
              <w:rPr>
                <w:rFonts w:ascii="Times New Roman" w:hAnsi="Times New Roman" w:cs="Times New Roman"/>
                <w:sz w:val="24"/>
                <w:szCs w:val="24"/>
              </w:rPr>
              <w:t>1.667</w:t>
            </w:r>
          </w:p>
        </w:tc>
        <w:tc>
          <w:tcPr>
            <w:tcW w:w="1134" w:type="dxa"/>
          </w:tcPr>
          <w:p w:rsidR="0022255F" w:rsidRPr="000F2A00" w:rsidRDefault="0022255F" w:rsidP="00D71CD1">
            <w:pPr>
              <w:jc w:val="center"/>
              <w:cnfStyle w:val="000000100000"/>
              <w:rPr>
                <w:rFonts w:ascii="Times New Roman" w:hAnsi="Times New Roman" w:cs="Times New Roman"/>
                <w:sz w:val="24"/>
                <w:szCs w:val="24"/>
              </w:rPr>
            </w:pPr>
            <w:r w:rsidRPr="000F2A00">
              <w:rPr>
                <w:rFonts w:ascii="Times New Roman" w:hAnsi="Times New Roman" w:cs="Times New Roman"/>
                <w:sz w:val="24"/>
                <w:szCs w:val="24"/>
              </w:rPr>
              <w:t>1.511</w:t>
            </w:r>
          </w:p>
        </w:tc>
        <w:tc>
          <w:tcPr>
            <w:tcW w:w="1276" w:type="dxa"/>
          </w:tcPr>
          <w:p w:rsidR="0022255F" w:rsidRPr="000F2A00" w:rsidRDefault="0022255F" w:rsidP="00D71CD1">
            <w:pPr>
              <w:jc w:val="center"/>
              <w:cnfStyle w:val="000000100000"/>
              <w:rPr>
                <w:rFonts w:ascii="Times New Roman" w:hAnsi="Times New Roman" w:cs="Times New Roman"/>
                <w:sz w:val="24"/>
                <w:szCs w:val="24"/>
              </w:rPr>
            </w:pPr>
            <w:r w:rsidRPr="000F2A00">
              <w:rPr>
                <w:rFonts w:ascii="Times New Roman" w:hAnsi="Times New Roman" w:cs="Times New Roman"/>
                <w:sz w:val="24"/>
                <w:szCs w:val="24"/>
              </w:rPr>
              <w:t>51.205</w:t>
            </w:r>
          </w:p>
        </w:tc>
      </w:tr>
      <w:tr w:rsidR="008C31B3" w:rsidRPr="000F2A00" w:rsidTr="003D025E">
        <w:tc>
          <w:tcPr>
            <w:cnfStyle w:val="001000000000"/>
            <w:tcW w:w="817" w:type="dxa"/>
          </w:tcPr>
          <w:p w:rsidR="0022255F" w:rsidRPr="000F2A00" w:rsidRDefault="0022255F" w:rsidP="00D71CD1">
            <w:pPr>
              <w:jc w:val="center"/>
              <w:rPr>
                <w:rFonts w:ascii="Times New Roman" w:hAnsi="Times New Roman" w:cs="Times New Roman"/>
                <w:b w:val="0"/>
                <w:bCs w:val="0"/>
                <w:color w:val="000000"/>
                <w:sz w:val="24"/>
                <w:szCs w:val="24"/>
              </w:rPr>
            </w:pPr>
            <w:r w:rsidRPr="000F2A00">
              <w:rPr>
                <w:rFonts w:ascii="Times New Roman" w:hAnsi="Times New Roman" w:cs="Times New Roman"/>
                <w:b w:val="0"/>
                <w:color w:val="000000"/>
                <w:sz w:val="24"/>
                <w:szCs w:val="24"/>
              </w:rPr>
              <w:t>(8)</w:t>
            </w:r>
          </w:p>
        </w:tc>
        <w:tc>
          <w:tcPr>
            <w:tcW w:w="1134"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24,3</w:t>
            </w:r>
          </w:p>
        </w:tc>
        <w:tc>
          <w:tcPr>
            <w:tcW w:w="1134"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4,1</w:t>
            </w:r>
          </w:p>
        </w:tc>
        <w:tc>
          <w:tcPr>
            <w:tcW w:w="992"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5,9</w:t>
            </w:r>
          </w:p>
        </w:tc>
        <w:tc>
          <w:tcPr>
            <w:tcW w:w="1134"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10,4</w:t>
            </w:r>
          </w:p>
        </w:tc>
        <w:tc>
          <w:tcPr>
            <w:tcW w:w="993"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8,6</w:t>
            </w:r>
          </w:p>
        </w:tc>
        <w:tc>
          <w:tcPr>
            <w:tcW w:w="1015"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13,8</w:t>
            </w:r>
          </w:p>
        </w:tc>
        <w:tc>
          <w:tcPr>
            <w:tcW w:w="969"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11,1</w:t>
            </w:r>
          </w:p>
        </w:tc>
        <w:tc>
          <w:tcPr>
            <w:tcW w:w="992" w:type="dxa"/>
            <w:gridSpan w:val="2"/>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4,9</w:t>
            </w:r>
          </w:p>
        </w:tc>
        <w:tc>
          <w:tcPr>
            <w:tcW w:w="993" w:type="dxa"/>
            <w:gridSpan w:val="2"/>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4,0</w:t>
            </w:r>
          </w:p>
        </w:tc>
        <w:tc>
          <w:tcPr>
            <w:tcW w:w="992" w:type="dxa"/>
            <w:gridSpan w:val="2"/>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3,6</w:t>
            </w:r>
          </w:p>
        </w:tc>
        <w:tc>
          <w:tcPr>
            <w:tcW w:w="1134" w:type="dxa"/>
            <w:gridSpan w:val="2"/>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6,1</w:t>
            </w:r>
          </w:p>
        </w:tc>
        <w:tc>
          <w:tcPr>
            <w:tcW w:w="1134"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8,9</w:t>
            </w:r>
          </w:p>
        </w:tc>
        <w:tc>
          <w:tcPr>
            <w:tcW w:w="1276"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14,6</w:t>
            </w:r>
          </w:p>
        </w:tc>
      </w:tr>
      <w:tr w:rsidR="008C31B3" w:rsidRPr="000F2A00" w:rsidTr="003D025E">
        <w:trPr>
          <w:cnfStyle w:val="000000100000"/>
        </w:trPr>
        <w:tc>
          <w:tcPr>
            <w:cnfStyle w:val="001000000000"/>
            <w:tcW w:w="817" w:type="dxa"/>
          </w:tcPr>
          <w:p w:rsidR="0022255F" w:rsidRPr="000F2A00" w:rsidRDefault="0022255F" w:rsidP="00D71CD1">
            <w:pPr>
              <w:jc w:val="center"/>
              <w:rPr>
                <w:rFonts w:ascii="Times New Roman" w:hAnsi="Times New Roman" w:cs="Times New Roman"/>
                <w:b w:val="0"/>
                <w:bCs w:val="0"/>
                <w:color w:val="000000"/>
                <w:sz w:val="24"/>
                <w:szCs w:val="24"/>
              </w:rPr>
            </w:pPr>
            <w:r w:rsidRPr="000F2A00">
              <w:rPr>
                <w:rFonts w:ascii="Times New Roman" w:hAnsi="Times New Roman" w:cs="Times New Roman"/>
                <w:b w:val="0"/>
                <w:color w:val="000000"/>
                <w:sz w:val="24"/>
                <w:szCs w:val="24"/>
              </w:rPr>
              <w:t>(9)</w:t>
            </w:r>
          </w:p>
        </w:tc>
        <w:tc>
          <w:tcPr>
            <w:tcW w:w="1134"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14,6</w:t>
            </w:r>
          </w:p>
        </w:tc>
        <w:tc>
          <w:tcPr>
            <w:tcW w:w="1134"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4,1</w:t>
            </w:r>
          </w:p>
        </w:tc>
        <w:tc>
          <w:tcPr>
            <w:tcW w:w="992"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5,7</w:t>
            </w:r>
          </w:p>
        </w:tc>
        <w:tc>
          <w:tcPr>
            <w:tcW w:w="1134"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7,6</w:t>
            </w:r>
          </w:p>
        </w:tc>
        <w:tc>
          <w:tcPr>
            <w:tcW w:w="993"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6,6</w:t>
            </w:r>
          </w:p>
        </w:tc>
        <w:tc>
          <w:tcPr>
            <w:tcW w:w="1015"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6,4</w:t>
            </w:r>
          </w:p>
        </w:tc>
        <w:tc>
          <w:tcPr>
            <w:tcW w:w="969"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8,7</w:t>
            </w:r>
          </w:p>
        </w:tc>
        <w:tc>
          <w:tcPr>
            <w:tcW w:w="992" w:type="dxa"/>
            <w:gridSpan w:val="2"/>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4,8</w:t>
            </w:r>
          </w:p>
        </w:tc>
        <w:tc>
          <w:tcPr>
            <w:tcW w:w="993" w:type="dxa"/>
            <w:gridSpan w:val="2"/>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3,8</w:t>
            </w:r>
          </w:p>
        </w:tc>
        <w:tc>
          <w:tcPr>
            <w:tcW w:w="992" w:type="dxa"/>
            <w:gridSpan w:val="2"/>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3,7</w:t>
            </w:r>
          </w:p>
        </w:tc>
        <w:tc>
          <w:tcPr>
            <w:tcW w:w="1134" w:type="dxa"/>
            <w:gridSpan w:val="2"/>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6,9</w:t>
            </w:r>
          </w:p>
        </w:tc>
        <w:tc>
          <w:tcPr>
            <w:tcW w:w="1134"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9,2</w:t>
            </w:r>
          </w:p>
        </w:tc>
        <w:tc>
          <w:tcPr>
            <w:tcW w:w="1276"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12</w:t>
            </w:r>
          </w:p>
        </w:tc>
      </w:tr>
      <w:tr w:rsidR="008C31B3" w:rsidRPr="000F2A00" w:rsidTr="003D025E">
        <w:tc>
          <w:tcPr>
            <w:cnfStyle w:val="001000000000"/>
            <w:tcW w:w="817" w:type="dxa"/>
          </w:tcPr>
          <w:p w:rsidR="0022255F" w:rsidRPr="000F2A00" w:rsidRDefault="0022255F" w:rsidP="00D71CD1">
            <w:pPr>
              <w:jc w:val="center"/>
              <w:rPr>
                <w:rFonts w:ascii="Times New Roman" w:hAnsi="Times New Roman" w:cs="Times New Roman"/>
                <w:b w:val="0"/>
                <w:bCs w:val="0"/>
                <w:color w:val="000000"/>
                <w:sz w:val="24"/>
                <w:szCs w:val="24"/>
              </w:rPr>
            </w:pPr>
            <w:r w:rsidRPr="000F2A00">
              <w:rPr>
                <w:rFonts w:ascii="Times New Roman" w:hAnsi="Times New Roman" w:cs="Times New Roman"/>
                <w:b w:val="0"/>
                <w:color w:val="000000"/>
                <w:sz w:val="24"/>
                <w:szCs w:val="24"/>
              </w:rPr>
              <w:t>(10)</w:t>
            </w:r>
          </w:p>
        </w:tc>
        <w:tc>
          <w:tcPr>
            <w:tcW w:w="1134"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27,66</w:t>
            </w:r>
          </w:p>
        </w:tc>
        <w:tc>
          <w:tcPr>
            <w:tcW w:w="1134"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29,26</w:t>
            </w:r>
          </w:p>
        </w:tc>
        <w:tc>
          <w:tcPr>
            <w:tcW w:w="992"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30,23</w:t>
            </w:r>
          </w:p>
        </w:tc>
        <w:tc>
          <w:tcPr>
            <w:tcW w:w="1134"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30,25</w:t>
            </w:r>
          </w:p>
        </w:tc>
        <w:tc>
          <w:tcPr>
            <w:tcW w:w="993"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30,13</w:t>
            </w:r>
          </w:p>
        </w:tc>
        <w:tc>
          <w:tcPr>
            <w:tcW w:w="1015"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30,29</w:t>
            </w:r>
          </w:p>
        </w:tc>
        <w:tc>
          <w:tcPr>
            <w:tcW w:w="969"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29,72</w:t>
            </w:r>
          </w:p>
        </w:tc>
        <w:tc>
          <w:tcPr>
            <w:tcW w:w="992" w:type="dxa"/>
            <w:gridSpan w:val="2"/>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28,84</w:t>
            </w:r>
          </w:p>
        </w:tc>
        <w:tc>
          <w:tcPr>
            <w:tcW w:w="993" w:type="dxa"/>
            <w:gridSpan w:val="2"/>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32,28</w:t>
            </w:r>
          </w:p>
        </w:tc>
        <w:tc>
          <w:tcPr>
            <w:tcW w:w="992" w:type="dxa"/>
            <w:gridSpan w:val="2"/>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37,78</w:t>
            </w:r>
          </w:p>
        </w:tc>
        <w:tc>
          <w:tcPr>
            <w:tcW w:w="1134" w:type="dxa"/>
            <w:gridSpan w:val="2"/>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40,20</w:t>
            </w:r>
          </w:p>
        </w:tc>
        <w:tc>
          <w:tcPr>
            <w:tcW w:w="1134"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31,97</w:t>
            </w:r>
          </w:p>
        </w:tc>
        <w:tc>
          <w:tcPr>
            <w:tcW w:w="1276"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30,15</w:t>
            </w:r>
          </w:p>
        </w:tc>
      </w:tr>
      <w:tr w:rsidR="008C31B3" w:rsidRPr="000F2A00" w:rsidTr="003D025E">
        <w:trPr>
          <w:cnfStyle w:val="000000100000"/>
        </w:trPr>
        <w:tc>
          <w:tcPr>
            <w:cnfStyle w:val="001000000000"/>
            <w:tcW w:w="817" w:type="dxa"/>
          </w:tcPr>
          <w:p w:rsidR="0022255F" w:rsidRPr="000F2A00" w:rsidRDefault="0022255F" w:rsidP="00D71CD1">
            <w:pPr>
              <w:jc w:val="center"/>
              <w:rPr>
                <w:rFonts w:ascii="Times New Roman" w:hAnsi="Times New Roman" w:cs="Times New Roman"/>
                <w:b w:val="0"/>
                <w:sz w:val="24"/>
                <w:szCs w:val="24"/>
              </w:rPr>
            </w:pPr>
            <w:r w:rsidRPr="000F2A00">
              <w:rPr>
                <w:rFonts w:ascii="Times New Roman" w:hAnsi="Times New Roman" w:cs="Times New Roman"/>
                <w:b w:val="0"/>
                <w:color w:val="000000"/>
                <w:sz w:val="24"/>
                <w:szCs w:val="24"/>
              </w:rPr>
              <w:t>(11)</w:t>
            </w:r>
          </w:p>
        </w:tc>
        <w:tc>
          <w:tcPr>
            <w:tcW w:w="1134" w:type="dxa"/>
          </w:tcPr>
          <w:p w:rsidR="0022255F" w:rsidRPr="000F2A00" w:rsidRDefault="0022255F" w:rsidP="00D71CD1">
            <w:pPr>
              <w:jc w:val="center"/>
              <w:cnfStyle w:val="000000100000"/>
              <w:rPr>
                <w:rFonts w:ascii="Times New Roman" w:hAnsi="Times New Roman" w:cs="Times New Roman"/>
                <w:sz w:val="24"/>
                <w:szCs w:val="24"/>
              </w:rPr>
            </w:pPr>
            <w:r w:rsidRPr="000F2A00">
              <w:rPr>
                <w:rFonts w:ascii="Times New Roman" w:hAnsi="Times New Roman" w:cs="Times New Roman"/>
                <w:sz w:val="24"/>
                <w:szCs w:val="24"/>
              </w:rPr>
              <w:t>29,44</w:t>
            </w:r>
          </w:p>
        </w:tc>
        <w:tc>
          <w:tcPr>
            <w:tcW w:w="1134" w:type="dxa"/>
          </w:tcPr>
          <w:p w:rsidR="0022255F" w:rsidRPr="000F2A00" w:rsidRDefault="0022255F" w:rsidP="00D71CD1">
            <w:pPr>
              <w:jc w:val="center"/>
              <w:cnfStyle w:val="000000100000"/>
              <w:rPr>
                <w:rFonts w:ascii="Times New Roman" w:hAnsi="Times New Roman" w:cs="Times New Roman"/>
                <w:sz w:val="24"/>
                <w:szCs w:val="24"/>
              </w:rPr>
            </w:pPr>
            <w:r w:rsidRPr="000F2A00">
              <w:rPr>
                <w:rFonts w:ascii="Times New Roman" w:hAnsi="Times New Roman" w:cs="Times New Roman"/>
                <w:sz w:val="24"/>
                <w:szCs w:val="24"/>
              </w:rPr>
              <w:t>29,46</w:t>
            </w:r>
          </w:p>
        </w:tc>
        <w:tc>
          <w:tcPr>
            <w:tcW w:w="992" w:type="dxa"/>
          </w:tcPr>
          <w:p w:rsidR="0022255F" w:rsidRPr="000F2A00" w:rsidRDefault="0022255F" w:rsidP="00D71CD1">
            <w:pPr>
              <w:jc w:val="center"/>
              <w:cnfStyle w:val="000000100000"/>
              <w:rPr>
                <w:rFonts w:ascii="Times New Roman" w:hAnsi="Times New Roman" w:cs="Times New Roman"/>
                <w:sz w:val="24"/>
                <w:szCs w:val="24"/>
              </w:rPr>
            </w:pPr>
            <w:r w:rsidRPr="000F2A00">
              <w:rPr>
                <w:rFonts w:ascii="Times New Roman" w:hAnsi="Times New Roman" w:cs="Times New Roman"/>
                <w:sz w:val="24"/>
                <w:szCs w:val="24"/>
              </w:rPr>
              <w:t>30,52</w:t>
            </w:r>
          </w:p>
        </w:tc>
        <w:tc>
          <w:tcPr>
            <w:tcW w:w="1134" w:type="dxa"/>
          </w:tcPr>
          <w:p w:rsidR="0022255F" w:rsidRPr="000F2A00" w:rsidRDefault="0022255F" w:rsidP="00D71CD1">
            <w:pPr>
              <w:jc w:val="center"/>
              <w:cnfStyle w:val="000000100000"/>
              <w:rPr>
                <w:rFonts w:ascii="Times New Roman" w:hAnsi="Times New Roman" w:cs="Times New Roman"/>
                <w:sz w:val="24"/>
                <w:szCs w:val="24"/>
              </w:rPr>
            </w:pPr>
            <w:r w:rsidRPr="000F2A00">
              <w:rPr>
                <w:rFonts w:ascii="Times New Roman" w:hAnsi="Times New Roman" w:cs="Times New Roman"/>
                <w:sz w:val="24"/>
                <w:szCs w:val="24"/>
              </w:rPr>
              <w:t>30,51</w:t>
            </w:r>
          </w:p>
        </w:tc>
        <w:tc>
          <w:tcPr>
            <w:tcW w:w="993" w:type="dxa"/>
          </w:tcPr>
          <w:p w:rsidR="0022255F" w:rsidRPr="000F2A00" w:rsidRDefault="0022255F" w:rsidP="00D71CD1">
            <w:pPr>
              <w:jc w:val="center"/>
              <w:cnfStyle w:val="000000100000"/>
              <w:rPr>
                <w:rFonts w:ascii="Times New Roman" w:hAnsi="Times New Roman" w:cs="Times New Roman"/>
                <w:sz w:val="24"/>
                <w:szCs w:val="24"/>
              </w:rPr>
            </w:pPr>
            <w:r w:rsidRPr="000F2A00">
              <w:rPr>
                <w:rFonts w:ascii="Times New Roman" w:hAnsi="Times New Roman" w:cs="Times New Roman"/>
                <w:sz w:val="24"/>
                <w:szCs w:val="24"/>
              </w:rPr>
              <w:t>30,54</w:t>
            </w:r>
          </w:p>
        </w:tc>
        <w:tc>
          <w:tcPr>
            <w:tcW w:w="1015" w:type="dxa"/>
          </w:tcPr>
          <w:p w:rsidR="0022255F" w:rsidRPr="000F2A00" w:rsidRDefault="0022255F" w:rsidP="00D71CD1">
            <w:pPr>
              <w:jc w:val="center"/>
              <w:cnfStyle w:val="000000100000"/>
              <w:rPr>
                <w:rFonts w:ascii="Times New Roman" w:hAnsi="Times New Roman" w:cs="Times New Roman"/>
                <w:sz w:val="24"/>
                <w:szCs w:val="24"/>
              </w:rPr>
            </w:pPr>
            <w:r w:rsidRPr="000F2A00">
              <w:rPr>
                <w:rFonts w:ascii="Times New Roman" w:hAnsi="Times New Roman" w:cs="Times New Roman"/>
                <w:sz w:val="24"/>
                <w:szCs w:val="24"/>
              </w:rPr>
              <w:t>30,76</w:t>
            </w:r>
          </w:p>
        </w:tc>
        <w:tc>
          <w:tcPr>
            <w:tcW w:w="969" w:type="dxa"/>
          </w:tcPr>
          <w:p w:rsidR="0022255F" w:rsidRPr="000F2A00" w:rsidRDefault="0022255F" w:rsidP="00D71CD1">
            <w:pPr>
              <w:jc w:val="center"/>
              <w:cnfStyle w:val="000000100000"/>
              <w:rPr>
                <w:rFonts w:ascii="Times New Roman" w:hAnsi="Times New Roman" w:cs="Times New Roman"/>
                <w:sz w:val="24"/>
                <w:szCs w:val="24"/>
              </w:rPr>
            </w:pPr>
            <w:r w:rsidRPr="000F2A00">
              <w:rPr>
                <w:rFonts w:ascii="Times New Roman" w:hAnsi="Times New Roman" w:cs="Times New Roman"/>
                <w:sz w:val="24"/>
                <w:szCs w:val="24"/>
              </w:rPr>
              <w:t>30,60</w:t>
            </w:r>
          </w:p>
        </w:tc>
        <w:tc>
          <w:tcPr>
            <w:tcW w:w="992" w:type="dxa"/>
            <w:gridSpan w:val="2"/>
          </w:tcPr>
          <w:p w:rsidR="0022255F" w:rsidRPr="000F2A00" w:rsidRDefault="0022255F" w:rsidP="00D71CD1">
            <w:pPr>
              <w:jc w:val="center"/>
              <w:cnfStyle w:val="000000100000"/>
              <w:rPr>
                <w:rFonts w:ascii="Times New Roman" w:hAnsi="Times New Roman" w:cs="Times New Roman"/>
                <w:sz w:val="24"/>
                <w:szCs w:val="24"/>
              </w:rPr>
            </w:pPr>
            <w:r w:rsidRPr="000F2A00">
              <w:rPr>
                <w:rFonts w:ascii="Times New Roman" w:hAnsi="Times New Roman" w:cs="Times New Roman"/>
                <w:sz w:val="24"/>
                <w:szCs w:val="24"/>
              </w:rPr>
              <w:t>29,11</w:t>
            </w:r>
          </w:p>
        </w:tc>
        <w:tc>
          <w:tcPr>
            <w:tcW w:w="993" w:type="dxa"/>
            <w:gridSpan w:val="2"/>
          </w:tcPr>
          <w:p w:rsidR="0022255F" w:rsidRPr="000F2A00" w:rsidRDefault="0022255F" w:rsidP="00D71CD1">
            <w:pPr>
              <w:jc w:val="center"/>
              <w:cnfStyle w:val="000000100000"/>
              <w:rPr>
                <w:rFonts w:ascii="Times New Roman" w:hAnsi="Times New Roman" w:cs="Times New Roman"/>
                <w:sz w:val="24"/>
                <w:szCs w:val="24"/>
              </w:rPr>
            </w:pPr>
            <w:r w:rsidRPr="000F2A00">
              <w:rPr>
                <w:rFonts w:ascii="Times New Roman" w:hAnsi="Times New Roman" w:cs="Times New Roman"/>
                <w:sz w:val="24"/>
                <w:szCs w:val="24"/>
              </w:rPr>
              <w:t>32,56</w:t>
            </w:r>
          </w:p>
        </w:tc>
        <w:tc>
          <w:tcPr>
            <w:tcW w:w="992" w:type="dxa"/>
            <w:gridSpan w:val="2"/>
          </w:tcPr>
          <w:p w:rsidR="0022255F" w:rsidRPr="000F2A00" w:rsidRDefault="0022255F" w:rsidP="00D71CD1">
            <w:pPr>
              <w:jc w:val="center"/>
              <w:cnfStyle w:val="000000100000"/>
              <w:rPr>
                <w:rFonts w:ascii="Times New Roman" w:hAnsi="Times New Roman" w:cs="Times New Roman"/>
                <w:sz w:val="24"/>
                <w:szCs w:val="24"/>
              </w:rPr>
            </w:pPr>
            <w:r w:rsidRPr="000F2A00">
              <w:rPr>
                <w:rFonts w:ascii="Times New Roman" w:hAnsi="Times New Roman" w:cs="Times New Roman"/>
                <w:sz w:val="24"/>
                <w:szCs w:val="24"/>
              </w:rPr>
              <w:t>38,30</w:t>
            </w:r>
          </w:p>
        </w:tc>
        <w:tc>
          <w:tcPr>
            <w:tcW w:w="1134" w:type="dxa"/>
            <w:gridSpan w:val="2"/>
          </w:tcPr>
          <w:p w:rsidR="0022255F" w:rsidRPr="000F2A00" w:rsidRDefault="0022255F" w:rsidP="00D71CD1">
            <w:pPr>
              <w:jc w:val="center"/>
              <w:cnfStyle w:val="000000100000"/>
              <w:rPr>
                <w:rFonts w:ascii="Times New Roman" w:hAnsi="Times New Roman" w:cs="Times New Roman"/>
                <w:sz w:val="24"/>
                <w:szCs w:val="24"/>
              </w:rPr>
            </w:pPr>
            <w:r w:rsidRPr="000F2A00">
              <w:rPr>
                <w:rFonts w:ascii="Times New Roman" w:hAnsi="Times New Roman" w:cs="Times New Roman"/>
                <w:sz w:val="24"/>
                <w:szCs w:val="24"/>
              </w:rPr>
              <w:t>41,46</w:t>
            </w:r>
          </w:p>
        </w:tc>
        <w:tc>
          <w:tcPr>
            <w:tcW w:w="1134" w:type="dxa"/>
          </w:tcPr>
          <w:p w:rsidR="0022255F" w:rsidRPr="000F2A00" w:rsidRDefault="0022255F" w:rsidP="00D71CD1">
            <w:pPr>
              <w:jc w:val="center"/>
              <w:cnfStyle w:val="000000100000"/>
              <w:rPr>
                <w:rFonts w:ascii="Times New Roman" w:hAnsi="Times New Roman" w:cs="Times New Roman"/>
                <w:sz w:val="24"/>
                <w:szCs w:val="24"/>
              </w:rPr>
            </w:pPr>
            <w:r w:rsidRPr="000F2A00">
              <w:rPr>
                <w:rFonts w:ascii="Times New Roman" w:hAnsi="Times New Roman" w:cs="Times New Roman"/>
                <w:sz w:val="24"/>
                <w:szCs w:val="24"/>
              </w:rPr>
              <w:t>37,50</w:t>
            </w:r>
          </w:p>
        </w:tc>
        <w:tc>
          <w:tcPr>
            <w:tcW w:w="1276" w:type="dxa"/>
          </w:tcPr>
          <w:p w:rsidR="0022255F" w:rsidRPr="000F2A00" w:rsidRDefault="0022255F" w:rsidP="00D71CD1">
            <w:pPr>
              <w:jc w:val="center"/>
              <w:cnfStyle w:val="000000100000"/>
              <w:rPr>
                <w:rFonts w:ascii="Times New Roman" w:hAnsi="Times New Roman" w:cs="Times New Roman"/>
                <w:sz w:val="24"/>
                <w:szCs w:val="24"/>
              </w:rPr>
            </w:pPr>
            <w:r w:rsidRPr="000F2A00">
              <w:rPr>
                <w:rFonts w:ascii="Times New Roman" w:hAnsi="Times New Roman" w:cs="Times New Roman"/>
                <w:sz w:val="24"/>
                <w:szCs w:val="24"/>
              </w:rPr>
              <w:t>32,72</w:t>
            </w:r>
          </w:p>
        </w:tc>
      </w:tr>
      <w:tr w:rsidR="008C31B3" w:rsidRPr="000F2A00" w:rsidTr="003D025E">
        <w:tc>
          <w:tcPr>
            <w:cnfStyle w:val="001000000000"/>
            <w:tcW w:w="817" w:type="dxa"/>
          </w:tcPr>
          <w:p w:rsidR="0022255F" w:rsidRPr="000F2A00" w:rsidRDefault="0022255F" w:rsidP="00D71CD1">
            <w:pPr>
              <w:jc w:val="center"/>
              <w:rPr>
                <w:rFonts w:ascii="Times New Roman" w:hAnsi="Times New Roman" w:cs="Times New Roman"/>
                <w:b w:val="0"/>
                <w:bCs w:val="0"/>
                <w:color w:val="000000"/>
                <w:sz w:val="24"/>
                <w:szCs w:val="24"/>
              </w:rPr>
            </w:pPr>
            <w:r w:rsidRPr="000F2A00">
              <w:rPr>
                <w:rFonts w:ascii="Times New Roman" w:hAnsi="Times New Roman" w:cs="Times New Roman"/>
                <w:b w:val="0"/>
                <w:color w:val="000000"/>
                <w:sz w:val="24"/>
                <w:szCs w:val="24"/>
              </w:rPr>
              <w:t>(12)</w:t>
            </w:r>
          </w:p>
        </w:tc>
        <w:tc>
          <w:tcPr>
            <w:tcW w:w="1134"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2,20</w:t>
            </w:r>
          </w:p>
        </w:tc>
        <w:tc>
          <w:tcPr>
            <w:tcW w:w="1134"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0,73</w:t>
            </w:r>
          </w:p>
        </w:tc>
        <w:tc>
          <w:tcPr>
            <w:tcW w:w="992"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0,89</w:t>
            </w:r>
          </w:p>
        </w:tc>
        <w:tc>
          <w:tcPr>
            <w:tcW w:w="1134"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1,57</w:t>
            </w:r>
          </w:p>
        </w:tc>
        <w:tc>
          <w:tcPr>
            <w:tcW w:w="993"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1,56</w:t>
            </w:r>
          </w:p>
        </w:tc>
        <w:tc>
          <w:tcPr>
            <w:tcW w:w="1015"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1,86</w:t>
            </w:r>
          </w:p>
        </w:tc>
        <w:tc>
          <w:tcPr>
            <w:tcW w:w="969"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2,20</w:t>
            </w:r>
          </w:p>
        </w:tc>
        <w:tc>
          <w:tcPr>
            <w:tcW w:w="992" w:type="dxa"/>
            <w:gridSpan w:val="2"/>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1,90</w:t>
            </w:r>
          </w:p>
        </w:tc>
        <w:tc>
          <w:tcPr>
            <w:tcW w:w="993" w:type="dxa"/>
            <w:gridSpan w:val="2"/>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0,91</w:t>
            </w:r>
          </w:p>
        </w:tc>
        <w:tc>
          <w:tcPr>
            <w:tcW w:w="992" w:type="dxa"/>
            <w:gridSpan w:val="2"/>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1,96</w:t>
            </w:r>
          </w:p>
        </w:tc>
        <w:tc>
          <w:tcPr>
            <w:tcW w:w="1134" w:type="dxa"/>
            <w:gridSpan w:val="2"/>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1,96</w:t>
            </w:r>
          </w:p>
        </w:tc>
        <w:tc>
          <w:tcPr>
            <w:tcW w:w="1134"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2,36</w:t>
            </w:r>
          </w:p>
        </w:tc>
        <w:tc>
          <w:tcPr>
            <w:tcW w:w="1276"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2,55</w:t>
            </w:r>
          </w:p>
        </w:tc>
      </w:tr>
      <w:tr w:rsidR="008C31B3" w:rsidRPr="000F2A00" w:rsidTr="003D025E">
        <w:trPr>
          <w:cnfStyle w:val="000000100000"/>
        </w:trPr>
        <w:tc>
          <w:tcPr>
            <w:cnfStyle w:val="001000000000"/>
            <w:tcW w:w="817" w:type="dxa"/>
          </w:tcPr>
          <w:p w:rsidR="0022255F" w:rsidRPr="000F2A00" w:rsidRDefault="0022255F" w:rsidP="00D71CD1">
            <w:pPr>
              <w:jc w:val="center"/>
              <w:rPr>
                <w:rFonts w:ascii="Times New Roman" w:hAnsi="Times New Roman" w:cs="Times New Roman"/>
                <w:b w:val="0"/>
                <w:bCs w:val="0"/>
                <w:color w:val="000000"/>
                <w:sz w:val="24"/>
                <w:szCs w:val="24"/>
              </w:rPr>
            </w:pPr>
            <w:r w:rsidRPr="000F2A00">
              <w:rPr>
                <w:rFonts w:ascii="Times New Roman" w:hAnsi="Times New Roman" w:cs="Times New Roman"/>
                <w:b w:val="0"/>
                <w:color w:val="000000"/>
                <w:sz w:val="24"/>
                <w:szCs w:val="24"/>
              </w:rPr>
              <w:t>(13)</w:t>
            </w:r>
          </w:p>
        </w:tc>
        <w:tc>
          <w:tcPr>
            <w:tcW w:w="1134"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0,05</w:t>
            </w:r>
          </w:p>
        </w:tc>
        <w:tc>
          <w:tcPr>
            <w:tcW w:w="1134"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0,03</w:t>
            </w:r>
          </w:p>
        </w:tc>
        <w:tc>
          <w:tcPr>
            <w:tcW w:w="992"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0,00</w:t>
            </w:r>
          </w:p>
        </w:tc>
        <w:tc>
          <w:tcPr>
            <w:tcW w:w="1134"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0,04</w:t>
            </w:r>
          </w:p>
        </w:tc>
        <w:tc>
          <w:tcPr>
            <w:tcW w:w="993"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0,02</w:t>
            </w:r>
          </w:p>
        </w:tc>
        <w:tc>
          <w:tcPr>
            <w:tcW w:w="1015"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0,00</w:t>
            </w:r>
          </w:p>
        </w:tc>
        <w:tc>
          <w:tcPr>
            <w:tcW w:w="969"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0,01</w:t>
            </w:r>
          </w:p>
        </w:tc>
        <w:tc>
          <w:tcPr>
            <w:tcW w:w="992" w:type="dxa"/>
            <w:gridSpan w:val="2"/>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0,04</w:t>
            </w:r>
          </w:p>
        </w:tc>
        <w:tc>
          <w:tcPr>
            <w:tcW w:w="993" w:type="dxa"/>
            <w:gridSpan w:val="2"/>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0,10</w:t>
            </w:r>
          </w:p>
        </w:tc>
        <w:tc>
          <w:tcPr>
            <w:tcW w:w="992" w:type="dxa"/>
            <w:gridSpan w:val="2"/>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0,11</w:t>
            </w:r>
          </w:p>
        </w:tc>
        <w:tc>
          <w:tcPr>
            <w:tcW w:w="1134" w:type="dxa"/>
            <w:gridSpan w:val="2"/>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0,11</w:t>
            </w:r>
          </w:p>
        </w:tc>
        <w:tc>
          <w:tcPr>
            <w:tcW w:w="1134"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0,06</w:t>
            </w:r>
          </w:p>
        </w:tc>
        <w:tc>
          <w:tcPr>
            <w:tcW w:w="1276"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0,00</w:t>
            </w:r>
          </w:p>
        </w:tc>
      </w:tr>
      <w:tr w:rsidR="008C31B3" w:rsidRPr="000F2A00" w:rsidTr="003D025E">
        <w:tc>
          <w:tcPr>
            <w:cnfStyle w:val="001000000000"/>
            <w:tcW w:w="817" w:type="dxa"/>
          </w:tcPr>
          <w:p w:rsidR="0022255F" w:rsidRPr="000F2A00" w:rsidRDefault="0022255F" w:rsidP="00D71CD1">
            <w:pPr>
              <w:jc w:val="center"/>
              <w:rPr>
                <w:rFonts w:ascii="Times New Roman" w:hAnsi="Times New Roman" w:cs="Times New Roman"/>
                <w:b w:val="0"/>
                <w:bCs w:val="0"/>
                <w:color w:val="000000"/>
                <w:sz w:val="24"/>
                <w:szCs w:val="24"/>
              </w:rPr>
            </w:pPr>
            <w:r w:rsidRPr="000F2A00">
              <w:rPr>
                <w:rFonts w:ascii="Times New Roman" w:hAnsi="Times New Roman" w:cs="Times New Roman"/>
                <w:b w:val="0"/>
                <w:color w:val="000000"/>
                <w:sz w:val="24"/>
                <w:szCs w:val="24"/>
              </w:rPr>
              <w:t>(14)</w:t>
            </w:r>
          </w:p>
        </w:tc>
        <w:tc>
          <w:tcPr>
            <w:tcW w:w="1134"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0,79</w:t>
            </w:r>
          </w:p>
        </w:tc>
        <w:tc>
          <w:tcPr>
            <w:tcW w:w="1134"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0,16</w:t>
            </w:r>
          </w:p>
        </w:tc>
        <w:tc>
          <w:tcPr>
            <w:tcW w:w="992"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0,29</w:t>
            </w:r>
          </w:p>
        </w:tc>
        <w:tc>
          <w:tcPr>
            <w:tcW w:w="1134"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0,45</w:t>
            </w:r>
          </w:p>
        </w:tc>
        <w:tc>
          <w:tcPr>
            <w:tcW w:w="993"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0,41</w:t>
            </w:r>
          </w:p>
        </w:tc>
        <w:tc>
          <w:tcPr>
            <w:tcW w:w="1015"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0,46</w:t>
            </w:r>
          </w:p>
        </w:tc>
        <w:tc>
          <w:tcPr>
            <w:tcW w:w="969"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0,88</w:t>
            </w:r>
          </w:p>
        </w:tc>
        <w:tc>
          <w:tcPr>
            <w:tcW w:w="992" w:type="dxa"/>
            <w:gridSpan w:val="2"/>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0,26</w:t>
            </w:r>
          </w:p>
        </w:tc>
        <w:tc>
          <w:tcPr>
            <w:tcW w:w="993" w:type="dxa"/>
            <w:gridSpan w:val="2"/>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0,28</w:t>
            </w:r>
          </w:p>
        </w:tc>
        <w:tc>
          <w:tcPr>
            <w:tcW w:w="992" w:type="dxa"/>
            <w:gridSpan w:val="2"/>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0,46</w:t>
            </w:r>
          </w:p>
        </w:tc>
        <w:tc>
          <w:tcPr>
            <w:tcW w:w="1134" w:type="dxa"/>
            <w:gridSpan w:val="2"/>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0,80</w:t>
            </w:r>
          </w:p>
        </w:tc>
        <w:tc>
          <w:tcPr>
            <w:tcW w:w="1134"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0,79</w:t>
            </w:r>
          </w:p>
        </w:tc>
        <w:tc>
          <w:tcPr>
            <w:tcW w:w="1276"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0,60</w:t>
            </w:r>
          </w:p>
        </w:tc>
      </w:tr>
      <w:tr w:rsidR="008C31B3" w:rsidRPr="000F2A00" w:rsidTr="003D025E">
        <w:trPr>
          <w:cnfStyle w:val="000000100000"/>
        </w:trPr>
        <w:tc>
          <w:tcPr>
            <w:cnfStyle w:val="001000000000"/>
            <w:tcW w:w="817" w:type="dxa"/>
          </w:tcPr>
          <w:p w:rsidR="0022255F" w:rsidRPr="000F2A00" w:rsidRDefault="0022255F" w:rsidP="00D71CD1">
            <w:pPr>
              <w:jc w:val="center"/>
              <w:rPr>
                <w:rFonts w:ascii="Times New Roman" w:hAnsi="Times New Roman" w:cs="Times New Roman"/>
                <w:b w:val="0"/>
                <w:bCs w:val="0"/>
                <w:color w:val="000000"/>
                <w:sz w:val="24"/>
                <w:szCs w:val="24"/>
              </w:rPr>
            </w:pPr>
            <w:r w:rsidRPr="000F2A00">
              <w:rPr>
                <w:rFonts w:ascii="Times New Roman" w:hAnsi="Times New Roman" w:cs="Times New Roman"/>
                <w:b w:val="0"/>
                <w:color w:val="000000"/>
                <w:sz w:val="24"/>
                <w:szCs w:val="24"/>
              </w:rPr>
              <w:t>(15)</w:t>
            </w:r>
          </w:p>
        </w:tc>
        <w:tc>
          <w:tcPr>
            <w:tcW w:w="1134"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0,79</w:t>
            </w:r>
          </w:p>
        </w:tc>
        <w:tc>
          <w:tcPr>
            <w:tcW w:w="1134"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0,18</w:t>
            </w:r>
          </w:p>
        </w:tc>
        <w:tc>
          <w:tcPr>
            <w:tcW w:w="992"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0,29</w:t>
            </w:r>
          </w:p>
        </w:tc>
        <w:tc>
          <w:tcPr>
            <w:tcW w:w="1134"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0,45</w:t>
            </w:r>
          </w:p>
        </w:tc>
        <w:tc>
          <w:tcPr>
            <w:tcW w:w="993"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0,41</w:t>
            </w:r>
          </w:p>
        </w:tc>
        <w:tc>
          <w:tcPr>
            <w:tcW w:w="1015"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0,46</w:t>
            </w:r>
          </w:p>
        </w:tc>
        <w:tc>
          <w:tcPr>
            <w:tcW w:w="969"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0,82</w:t>
            </w:r>
          </w:p>
        </w:tc>
        <w:tc>
          <w:tcPr>
            <w:tcW w:w="992" w:type="dxa"/>
            <w:gridSpan w:val="2"/>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0,21</w:t>
            </w:r>
          </w:p>
        </w:tc>
        <w:tc>
          <w:tcPr>
            <w:tcW w:w="993" w:type="dxa"/>
            <w:gridSpan w:val="2"/>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0,28</w:t>
            </w:r>
          </w:p>
        </w:tc>
        <w:tc>
          <w:tcPr>
            <w:tcW w:w="992" w:type="dxa"/>
            <w:gridSpan w:val="2"/>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0,46</w:t>
            </w:r>
          </w:p>
        </w:tc>
        <w:tc>
          <w:tcPr>
            <w:tcW w:w="1134" w:type="dxa"/>
            <w:gridSpan w:val="2"/>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0,80</w:t>
            </w:r>
          </w:p>
        </w:tc>
        <w:tc>
          <w:tcPr>
            <w:tcW w:w="1134"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0,79</w:t>
            </w:r>
          </w:p>
        </w:tc>
        <w:tc>
          <w:tcPr>
            <w:tcW w:w="1276"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0,29</w:t>
            </w:r>
          </w:p>
        </w:tc>
      </w:tr>
      <w:tr w:rsidR="008C31B3" w:rsidRPr="000F2A00" w:rsidTr="003D025E">
        <w:tc>
          <w:tcPr>
            <w:cnfStyle w:val="001000000000"/>
            <w:tcW w:w="817" w:type="dxa"/>
          </w:tcPr>
          <w:p w:rsidR="0022255F" w:rsidRPr="000F2A00" w:rsidRDefault="0022255F" w:rsidP="00D71CD1">
            <w:pPr>
              <w:jc w:val="center"/>
              <w:rPr>
                <w:rFonts w:ascii="Times New Roman" w:hAnsi="Times New Roman" w:cs="Times New Roman"/>
                <w:b w:val="0"/>
                <w:bCs w:val="0"/>
                <w:color w:val="000000"/>
                <w:sz w:val="24"/>
                <w:szCs w:val="24"/>
              </w:rPr>
            </w:pPr>
            <w:r w:rsidRPr="000F2A00">
              <w:rPr>
                <w:rFonts w:ascii="Times New Roman" w:hAnsi="Times New Roman" w:cs="Times New Roman"/>
                <w:b w:val="0"/>
                <w:color w:val="000000"/>
                <w:sz w:val="24"/>
                <w:szCs w:val="24"/>
              </w:rPr>
              <w:t>(16)</w:t>
            </w:r>
          </w:p>
        </w:tc>
        <w:tc>
          <w:tcPr>
            <w:tcW w:w="1134"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0,76</w:t>
            </w:r>
          </w:p>
        </w:tc>
        <w:tc>
          <w:tcPr>
            <w:tcW w:w="1134"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0,20</w:t>
            </w:r>
          </w:p>
        </w:tc>
        <w:tc>
          <w:tcPr>
            <w:tcW w:w="992"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0,29</w:t>
            </w:r>
          </w:p>
        </w:tc>
        <w:tc>
          <w:tcPr>
            <w:tcW w:w="1134"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0,44</w:t>
            </w:r>
          </w:p>
        </w:tc>
        <w:tc>
          <w:tcPr>
            <w:tcW w:w="993"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0,41</w:t>
            </w:r>
          </w:p>
        </w:tc>
        <w:tc>
          <w:tcPr>
            <w:tcW w:w="1015"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0,50</w:t>
            </w:r>
          </w:p>
        </w:tc>
        <w:tc>
          <w:tcPr>
            <w:tcW w:w="969"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0,96</w:t>
            </w:r>
          </w:p>
        </w:tc>
        <w:tc>
          <w:tcPr>
            <w:tcW w:w="992" w:type="dxa"/>
            <w:gridSpan w:val="2"/>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0,20</w:t>
            </w:r>
          </w:p>
        </w:tc>
        <w:tc>
          <w:tcPr>
            <w:tcW w:w="993" w:type="dxa"/>
            <w:gridSpan w:val="2"/>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0,28</w:t>
            </w:r>
          </w:p>
        </w:tc>
        <w:tc>
          <w:tcPr>
            <w:tcW w:w="992" w:type="dxa"/>
            <w:gridSpan w:val="2"/>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0,46</w:t>
            </w:r>
          </w:p>
        </w:tc>
        <w:tc>
          <w:tcPr>
            <w:tcW w:w="1134" w:type="dxa"/>
            <w:gridSpan w:val="2"/>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0,80</w:t>
            </w:r>
          </w:p>
        </w:tc>
        <w:tc>
          <w:tcPr>
            <w:tcW w:w="1134"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0,73</w:t>
            </w:r>
          </w:p>
        </w:tc>
        <w:tc>
          <w:tcPr>
            <w:tcW w:w="1276" w:type="dxa"/>
          </w:tcPr>
          <w:p w:rsidR="0022255F" w:rsidRPr="000F2A00" w:rsidRDefault="0022255F" w:rsidP="00D71CD1">
            <w:pPr>
              <w:jc w:val="center"/>
              <w:cnfStyle w:val="0000000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0,29</w:t>
            </w:r>
          </w:p>
        </w:tc>
      </w:tr>
      <w:tr w:rsidR="008C31B3" w:rsidRPr="000F2A00" w:rsidTr="003D025E">
        <w:trPr>
          <w:cnfStyle w:val="000000100000"/>
        </w:trPr>
        <w:tc>
          <w:tcPr>
            <w:cnfStyle w:val="001000000000"/>
            <w:tcW w:w="817" w:type="dxa"/>
          </w:tcPr>
          <w:p w:rsidR="0022255F" w:rsidRPr="000F2A00" w:rsidRDefault="0022255F" w:rsidP="00D71CD1">
            <w:pPr>
              <w:jc w:val="center"/>
              <w:rPr>
                <w:rFonts w:ascii="Times New Roman" w:hAnsi="Times New Roman" w:cs="Times New Roman"/>
                <w:b w:val="0"/>
                <w:bCs w:val="0"/>
                <w:color w:val="000000"/>
                <w:sz w:val="24"/>
                <w:szCs w:val="24"/>
              </w:rPr>
            </w:pPr>
            <w:r w:rsidRPr="000F2A00">
              <w:rPr>
                <w:rFonts w:ascii="Times New Roman" w:hAnsi="Times New Roman" w:cs="Times New Roman"/>
                <w:b w:val="0"/>
                <w:color w:val="000000"/>
                <w:sz w:val="24"/>
                <w:szCs w:val="24"/>
              </w:rPr>
              <w:t>(17)</w:t>
            </w:r>
          </w:p>
        </w:tc>
        <w:tc>
          <w:tcPr>
            <w:tcW w:w="1134"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0,47</w:t>
            </w:r>
          </w:p>
        </w:tc>
        <w:tc>
          <w:tcPr>
            <w:tcW w:w="1134"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0,07</w:t>
            </w:r>
          </w:p>
        </w:tc>
        <w:tc>
          <w:tcPr>
            <w:tcW w:w="992"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0,19</w:t>
            </w:r>
          </w:p>
        </w:tc>
        <w:tc>
          <w:tcPr>
            <w:tcW w:w="1134"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0,34</w:t>
            </w:r>
          </w:p>
        </w:tc>
        <w:tc>
          <w:tcPr>
            <w:tcW w:w="993"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0,30</w:t>
            </w:r>
          </w:p>
        </w:tc>
        <w:tc>
          <w:tcPr>
            <w:tcW w:w="1015"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0,35</w:t>
            </w:r>
          </w:p>
        </w:tc>
        <w:tc>
          <w:tcPr>
            <w:tcW w:w="969"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0,68</w:t>
            </w:r>
          </w:p>
        </w:tc>
        <w:tc>
          <w:tcPr>
            <w:tcW w:w="992" w:type="dxa"/>
            <w:gridSpan w:val="2"/>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0,23</w:t>
            </w:r>
          </w:p>
        </w:tc>
        <w:tc>
          <w:tcPr>
            <w:tcW w:w="993" w:type="dxa"/>
            <w:gridSpan w:val="2"/>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0,14</w:t>
            </w:r>
          </w:p>
        </w:tc>
        <w:tc>
          <w:tcPr>
            <w:tcW w:w="992" w:type="dxa"/>
            <w:gridSpan w:val="2"/>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0,41</w:t>
            </w:r>
          </w:p>
        </w:tc>
        <w:tc>
          <w:tcPr>
            <w:tcW w:w="1134" w:type="dxa"/>
            <w:gridSpan w:val="2"/>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0,43</w:t>
            </w:r>
          </w:p>
        </w:tc>
        <w:tc>
          <w:tcPr>
            <w:tcW w:w="1134"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0,45</w:t>
            </w:r>
          </w:p>
        </w:tc>
        <w:tc>
          <w:tcPr>
            <w:tcW w:w="1276" w:type="dxa"/>
          </w:tcPr>
          <w:p w:rsidR="0022255F" w:rsidRPr="000F2A00" w:rsidRDefault="0022255F" w:rsidP="00D71CD1">
            <w:pPr>
              <w:jc w:val="center"/>
              <w:cnfStyle w:val="000000100000"/>
              <w:rPr>
                <w:rFonts w:ascii="Times New Roman" w:hAnsi="Times New Roman" w:cs="Times New Roman"/>
                <w:color w:val="000000"/>
                <w:sz w:val="24"/>
                <w:szCs w:val="24"/>
              </w:rPr>
            </w:pPr>
            <w:r w:rsidRPr="000F2A00">
              <w:rPr>
                <w:rFonts w:ascii="Times New Roman" w:hAnsi="Times New Roman" w:cs="Times New Roman"/>
                <w:color w:val="000000"/>
                <w:sz w:val="24"/>
                <w:szCs w:val="24"/>
              </w:rPr>
              <w:t>0,55</w:t>
            </w:r>
          </w:p>
        </w:tc>
      </w:tr>
    </w:tbl>
    <w:p w:rsidR="0022255F" w:rsidRPr="00D71CD1" w:rsidRDefault="0022255F" w:rsidP="00D71CD1">
      <w:pPr>
        <w:spacing w:after="0" w:line="240" w:lineRule="auto"/>
        <w:jc w:val="both"/>
        <w:rPr>
          <w:rFonts w:ascii="Times New Roman" w:eastAsia="Calibri" w:hAnsi="Times New Roman" w:cs="Times New Roman"/>
          <w:sz w:val="24"/>
          <w:szCs w:val="24"/>
        </w:rPr>
      </w:pPr>
      <w:r w:rsidRPr="00D71CD1">
        <w:rPr>
          <w:rFonts w:ascii="Times New Roman" w:hAnsi="Times New Roman" w:cs="Times New Roman"/>
          <w:b/>
          <w:sz w:val="24"/>
          <w:szCs w:val="24"/>
        </w:rPr>
        <w:t xml:space="preserve">Fonte: </w:t>
      </w:r>
      <w:r w:rsidRPr="00D71CD1">
        <w:rPr>
          <w:rFonts w:ascii="Times New Roman" w:eastAsia="Calibri" w:hAnsi="Times New Roman" w:cs="Times New Roman"/>
          <w:bCs/>
          <w:sz w:val="24"/>
          <w:szCs w:val="24"/>
        </w:rPr>
        <w:t xml:space="preserve">dados da pesquisa e </w:t>
      </w:r>
      <w:proofErr w:type="spellStart"/>
      <w:r w:rsidRPr="00D71CD1">
        <w:rPr>
          <w:rFonts w:ascii="Times New Roman" w:eastAsia="Calibri" w:hAnsi="Times New Roman" w:cs="Times New Roman"/>
          <w:sz w:val="24"/>
          <w:szCs w:val="24"/>
        </w:rPr>
        <w:t>BM&amp;FBOVESPA</w:t>
      </w:r>
      <w:proofErr w:type="spellEnd"/>
      <w:r w:rsidRPr="00D71CD1">
        <w:rPr>
          <w:rFonts w:ascii="Times New Roman" w:eastAsia="Calibri" w:hAnsi="Times New Roman" w:cs="Times New Roman"/>
          <w:sz w:val="24"/>
          <w:szCs w:val="24"/>
        </w:rPr>
        <w:t xml:space="preserve"> (2012).</w:t>
      </w:r>
    </w:p>
    <w:p w:rsidR="0022255F" w:rsidRPr="00D71CD1" w:rsidRDefault="0022255F" w:rsidP="00D71CD1">
      <w:pPr>
        <w:pStyle w:val="PargrafodaLista"/>
        <w:spacing w:after="0" w:line="240" w:lineRule="auto"/>
        <w:ind w:left="0"/>
        <w:jc w:val="both"/>
        <w:rPr>
          <w:rFonts w:ascii="Times New Roman" w:hAnsi="Times New Roman" w:cs="Times New Roman"/>
          <w:bCs/>
          <w:color w:val="000000"/>
          <w:sz w:val="24"/>
          <w:szCs w:val="24"/>
        </w:rPr>
      </w:pPr>
      <w:r w:rsidRPr="00D71CD1">
        <w:rPr>
          <w:rFonts w:ascii="Times New Roman" w:hAnsi="Times New Roman" w:cs="Times New Roman"/>
          <w:b/>
          <w:bCs/>
          <w:color w:val="000000"/>
          <w:sz w:val="24"/>
          <w:szCs w:val="24"/>
        </w:rPr>
        <w:t>Legenda:</w:t>
      </w:r>
      <w:r w:rsidRPr="00D71CD1">
        <w:rPr>
          <w:rFonts w:ascii="Times New Roman" w:hAnsi="Times New Roman" w:cs="Times New Roman"/>
          <w:bCs/>
          <w:color w:val="000000"/>
          <w:sz w:val="24"/>
          <w:szCs w:val="24"/>
        </w:rPr>
        <w:t xml:space="preserve"> </w:t>
      </w:r>
      <w:r w:rsidRPr="00D71CD1">
        <w:rPr>
          <w:rFonts w:ascii="Times New Roman" w:hAnsi="Times New Roman" w:cs="Times New Roman"/>
          <w:b/>
          <w:bCs/>
          <w:color w:val="000000"/>
          <w:sz w:val="24"/>
          <w:szCs w:val="24"/>
        </w:rPr>
        <w:t>(1)</w:t>
      </w:r>
      <w:r w:rsidRPr="00D71CD1">
        <w:rPr>
          <w:rFonts w:ascii="Times New Roman" w:hAnsi="Times New Roman" w:cs="Times New Roman"/>
          <w:bCs/>
          <w:color w:val="000000"/>
          <w:sz w:val="24"/>
          <w:szCs w:val="24"/>
        </w:rPr>
        <w:t xml:space="preserve"> Negociações; </w:t>
      </w:r>
      <w:r w:rsidRPr="00D71CD1">
        <w:rPr>
          <w:rFonts w:ascii="Times New Roman" w:hAnsi="Times New Roman" w:cs="Times New Roman"/>
          <w:b/>
          <w:bCs/>
          <w:color w:val="000000"/>
          <w:sz w:val="24"/>
          <w:szCs w:val="24"/>
        </w:rPr>
        <w:t>(2)</w:t>
      </w:r>
      <w:r w:rsidRPr="00D71CD1">
        <w:rPr>
          <w:rFonts w:ascii="Times New Roman" w:hAnsi="Times New Roman" w:cs="Times New Roman"/>
          <w:bCs/>
          <w:color w:val="000000"/>
          <w:sz w:val="24"/>
          <w:szCs w:val="24"/>
        </w:rPr>
        <w:t xml:space="preserve"> Preço Médio (U$$); </w:t>
      </w:r>
      <w:r w:rsidRPr="00D71CD1">
        <w:rPr>
          <w:rFonts w:ascii="Times New Roman" w:hAnsi="Times New Roman" w:cs="Times New Roman"/>
          <w:b/>
          <w:bCs/>
          <w:color w:val="000000"/>
          <w:sz w:val="24"/>
          <w:szCs w:val="24"/>
        </w:rPr>
        <w:t>(3)</w:t>
      </w:r>
      <w:r w:rsidRPr="00D71CD1">
        <w:rPr>
          <w:rFonts w:ascii="Times New Roman" w:hAnsi="Times New Roman" w:cs="Times New Roman"/>
          <w:bCs/>
          <w:color w:val="000000"/>
          <w:sz w:val="24"/>
          <w:szCs w:val="24"/>
        </w:rPr>
        <w:t xml:space="preserve"> Desvio Padrão do preço negociado; </w:t>
      </w:r>
      <w:r w:rsidRPr="00D71CD1">
        <w:rPr>
          <w:rFonts w:ascii="Times New Roman" w:hAnsi="Times New Roman" w:cs="Times New Roman"/>
          <w:b/>
          <w:bCs/>
          <w:color w:val="000000"/>
          <w:sz w:val="24"/>
          <w:szCs w:val="24"/>
        </w:rPr>
        <w:t>(4)</w:t>
      </w:r>
      <w:r w:rsidRPr="00D71CD1">
        <w:rPr>
          <w:rFonts w:ascii="Times New Roman" w:hAnsi="Times New Roman" w:cs="Times New Roman"/>
          <w:bCs/>
          <w:color w:val="000000"/>
          <w:sz w:val="24"/>
          <w:szCs w:val="24"/>
        </w:rPr>
        <w:t xml:space="preserve"> Média de quantidade de contrato por negócio; </w:t>
      </w:r>
      <w:r w:rsidRPr="00D71CD1">
        <w:rPr>
          <w:rFonts w:ascii="Times New Roman" w:hAnsi="Times New Roman" w:cs="Times New Roman"/>
          <w:b/>
          <w:bCs/>
          <w:color w:val="000000"/>
          <w:sz w:val="24"/>
          <w:szCs w:val="24"/>
        </w:rPr>
        <w:t>(5)</w:t>
      </w:r>
      <w:r w:rsidRPr="00D71CD1">
        <w:rPr>
          <w:rFonts w:ascii="Times New Roman" w:hAnsi="Times New Roman" w:cs="Times New Roman"/>
          <w:bCs/>
          <w:color w:val="000000"/>
          <w:sz w:val="24"/>
          <w:szCs w:val="24"/>
        </w:rPr>
        <w:t xml:space="preserve"> Média do volume por negócio em mil dólares; </w:t>
      </w:r>
      <w:r w:rsidRPr="00D71CD1">
        <w:rPr>
          <w:rFonts w:ascii="Times New Roman" w:hAnsi="Times New Roman" w:cs="Times New Roman"/>
          <w:b/>
          <w:bCs/>
          <w:color w:val="000000"/>
          <w:sz w:val="24"/>
          <w:szCs w:val="24"/>
        </w:rPr>
        <w:t>(6)</w:t>
      </w:r>
      <w:r w:rsidRPr="00D71CD1">
        <w:rPr>
          <w:rFonts w:ascii="Times New Roman" w:hAnsi="Times New Roman" w:cs="Times New Roman"/>
          <w:bCs/>
          <w:color w:val="000000"/>
          <w:sz w:val="24"/>
          <w:szCs w:val="24"/>
        </w:rPr>
        <w:t xml:space="preserve"> Quantidade de lances de oferta para compra; </w:t>
      </w:r>
      <w:r w:rsidRPr="00D71CD1">
        <w:rPr>
          <w:rFonts w:ascii="Times New Roman" w:hAnsi="Times New Roman" w:cs="Times New Roman"/>
          <w:b/>
          <w:bCs/>
          <w:color w:val="000000"/>
          <w:sz w:val="24"/>
          <w:szCs w:val="24"/>
        </w:rPr>
        <w:t>(7)</w:t>
      </w:r>
      <w:r w:rsidRPr="00D71CD1">
        <w:rPr>
          <w:rFonts w:ascii="Times New Roman" w:hAnsi="Times New Roman" w:cs="Times New Roman"/>
          <w:bCs/>
          <w:color w:val="000000"/>
          <w:sz w:val="24"/>
          <w:szCs w:val="24"/>
        </w:rPr>
        <w:t xml:space="preserve"> Quantidade de lances de oferta para venda; </w:t>
      </w:r>
      <w:r w:rsidRPr="00D71CD1">
        <w:rPr>
          <w:rFonts w:ascii="Times New Roman" w:hAnsi="Times New Roman" w:cs="Times New Roman"/>
          <w:b/>
          <w:bCs/>
          <w:color w:val="000000"/>
          <w:sz w:val="24"/>
          <w:szCs w:val="24"/>
        </w:rPr>
        <w:t>(8)</w:t>
      </w:r>
      <w:r w:rsidRPr="00D71CD1">
        <w:rPr>
          <w:rFonts w:ascii="Times New Roman" w:hAnsi="Times New Roman" w:cs="Times New Roman"/>
          <w:bCs/>
          <w:color w:val="000000"/>
          <w:sz w:val="24"/>
          <w:szCs w:val="24"/>
        </w:rPr>
        <w:t xml:space="preserve"> Quantidade de oferta de compra / negócios; </w:t>
      </w:r>
      <w:r w:rsidRPr="00D71CD1">
        <w:rPr>
          <w:rFonts w:ascii="Times New Roman" w:hAnsi="Times New Roman" w:cs="Times New Roman"/>
          <w:b/>
          <w:bCs/>
          <w:color w:val="000000"/>
          <w:sz w:val="24"/>
          <w:szCs w:val="24"/>
        </w:rPr>
        <w:t>(9)</w:t>
      </w:r>
      <w:r w:rsidRPr="00D71CD1">
        <w:rPr>
          <w:rFonts w:ascii="Times New Roman" w:hAnsi="Times New Roman" w:cs="Times New Roman"/>
          <w:bCs/>
          <w:color w:val="000000"/>
          <w:sz w:val="24"/>
          <w:szCs w:val="24"/>
        </w:rPr>
        <w:t xml:space="preserve"> Quantidade de oferta de venda / negócios; </w:t>
      </w:r>
      <w:r w:rsidRPr="00D71CD1">
        <w:rPr>
          <w:rFonts w:ascii="Times New Roman" w:hAnsi="Times New Roman" w:cs="Times New Roman"/>
          <w:b/>
          <w:bCs/>
          <w:color w:val="000000"/>
          <w:sz w:val="24"/>
          <w:szCs w:val="24"/>
        </w:rPr>
        <w:t>(10)</w:t>
      </w:r>
      <w:r w:rsidRPr="00D71CD1">
        <w:rPr>
          <w:rFonts w:ascii="Times New Roman" w:hAnsi="Times New Roman" w:cs="Times New Roman"/>
          <w:bCs/>
          <w:color w:val="000000"/>
          <w:sz w:val="24"/>
          <w:szCs w:val="24"/>
        </w:rPr>
        <w:t xml:space="preserve"> Média do preço de lance de oferta para compra; </w:t>
      </w:r>
      <w:r w:rsidRPr="00D71CD1">
        <w:rPr>
          <w:rFonts w:ascii="Times New Roman" w:hAnsi="Times New Roman" w:cs="Times New Roman"/>
          <w:b/>
          <w:bCs/>
          <w:color w:val="000000"/>
          <w:sz w:val="24"/>
          <w:szCs w:val="24"/>
        </w:rPr>
        <w:t>(11)</w:t>
      </w:r>
      <w:r w:rsidRPr="00D71CD1">
        <w:rPr>
          <w:rFonts w:ascii="Times New Roman" w:hAnsi="Times New Roman" w:cs="Times New Roman"/>
          <w:bCs/>
          <w:color w:val="000000"/>
          <w:sz w:val="24"/>
          <w:szCs w:val="24"/>
        </w:rPr>
        <w:t xml:space="preserve"> Média do preço de lance de oferta para venda; </w:t>
      </w:r>
      <w:r w:rsidRPr="00D71CD1">
        <w:rPr>
          <w:rFonts w:ascii="Times New Roman" w:hAnsi="Times New Roman" w:cs="Times New Roman"/>
          <w:b/>
          <w:bCs/>
          <w:color w:val="000000"/>
          <w:sz w:val="24"/>
          <w:szCs w:val="24"/>
        </w:rPr>
        <w:t>(12)</w:t>
      </w:r>
      <w:r w:rsidRPr="00D71CD1">
        <w:rPr>
          <w:rFonts w:ascii="Times New Roman" w:hAnsi="Times New Roman" w:cs="Times New Roman"/>
          <w:bCs/>
          <w:color w:val="000000"/>
          <w:sz w:val="24"/>
          <w:szCs w:val="24"/>
        </w:rPr>
        <w:t xml:space="preserve"> Maior média de custo de liquidez diário (U$$/saca); </w:t>
      </w:r>
      <w:r w:rsidRPr="00D71CD1">
        <w:rPr>
          <w:rFonts w:ascii="Times New Roman" w:hAnsi="Times New Roman" w:cs="Times New Roman"/>
          <w:b/>
          <w:bCs/>
          <w:color w:val="000000"/>
          <w:sz w:val="24"/>
          <w:szCs w:val="24"/>
        </w:rPr>
        <w:t>(13)</w:t>
      </w:r>
      <w:r w:rsidRPr="00D71CD1">
        <w:rPr>
          <w:rFonts w:ascii="Times New Roman" w:hAnsi="Times New Roman" w:cs="Times New Roman"/>
          <w:bCs/>
          <w:color w:val="000000"/>
          <w:sz w:val="24"/>
          <w:szCs w:val="24"/>
        </w:rPr>
        <w:t xml:space="preserve"> Menor média de custo de liquidez diário (U$$/saca); </w:t>
      </w:r>
      <w:r w:rsidRPr="00D71CD1">
        <w:rPr>
          <w:rFonts w:ascii="Times New Roman" w:hAnsi="Times New Roman" w:cs="Times New Roman"/>
          <w:b/>
          <w:bCs/>
          <w:color w:val="000000"/>
          <w:sz w:val="24"/>
          <w:szCs w:val="24"/>
        </w:rPr>
        <w:t>(14)</w:t>
      </w:r>
      <w:r w:rsidRPr="00D71CD1">
        <w:rPr>
          <w:rFonts w:ascii="Times New Roman" w:hAnsi="Times New Roman" w:cs="Times New Roman"/>
          <w:bCs/>
          <w:color w:val="000000"/>
          <w:sz w:val="24"/>
          <w:szCs w:val="24"/>
        </w:rPr>
        <w:t xml:space="preserve"> Média geral do custo de liquidez diário (U$$/saca); </w:t>
      </w:r>
      <w:r w:rsidRPr="00D71CD1">
        <w:rPr>
          <w:rFonts w:ascii="Times New Roman" w:hAnsi="Times New Roman" w:cs="Times New Roman"/>
          <w:b/>
          <w:bCs/>
          <w:color w:val="000000"/>
          <w:sz w:val="24"/>
          <w:szCs w:val="24"/>
        </w:rPr>
        <w:t>(15)</w:t>
      </w:r>
      <w:r w:rsidRPr="00D71CD1">
        <w:rPr>
          <w:rFonts w:ascii="Times New Roman" w:hAnsi="Times New Roman" w:cs="Times New Roman"/>
          <w:bCs/>
          <w:color w:val="000000"/>
          <w:sz w:val="24"/>
          <w:szCs w:val="24"/>
        </w:rPr>
        <w:t xml:space="preserve"> Média do custo de liquidez diário de até </w:t>
      </w:r>
      <w:proofErr w:type="gramStart"/>
      <w:r w:rsidRPr="00D71CD1">
        <w:rPr>
          <w:rFonts w:ascii="Times New Roman" w:hAnsi="Times New Roman" w:cs="Times New Roman"/>
          <w:bCs/>
          <w:color w:val="000000"/>
          <w:sz w:val="24"/>
          <w:szCs w:val="24"/>
        </w:rPr>
        <w:t>6</w:t>
      </w:r>
      <w:proofErr w:type="gramEnd"/>
      <w:r w:rsidRPr="00D71CD1">
        <w:rPr>
          <w:rFonts w:ascii="Times New Roman" w:hAnsi="Times New Roman" w:cs="Times New Roman"/>
          <w:bCs/>
          <w:color w:val="000000"/>
          <w:sz w:val="24"/>
          <w:szCs w:val="24"/>
        </w:rPr>
        <w:t xml:space="preserve"> meses antes do vencimento (U$$/saca); </w:t>
      </w:r>
      <w:r w:rsidRPr="00D71CD1">
        <w:rPr>
          <w:rFonts w:ascii="Times New Roman" w:hAnsi="Times New Roman" w:cs="Times New Roman"/>
          <w:b/>
          <w:bCs/>
          <w:color w:val="000000"/>
          <w:sz w:val="24"/>
          <w:szCs w:val="24"/>
        </w:rPr>
        <w:t>(16)</w:t>
      </w:r>
      <w:r w:rsidRPr="00D71CD1">
        <w:rPr>
          <w:rFonts w:ascii="Times New Roman" w:hAnsi="Times New Roman" w:cs="Times New Roman"/>
          <w:bCs/>
          <w:color w:val="000000"/>
          <w:sz w:val="24"/>
          <w:szCs w:val="24"/>
        </w:rPr>
        <w:t xml:space="preserve"> Média do custo de liquidez diário de até 3 meses antes do vencimento (U$$/saca); e </w:t>
      </w:r>
      <w:r w:rsidRPr="00D71CD1">
        <w:rPr>
          <w:rFonts w:ascii="Times New Roman" w:hAnsi="Times New Roman" w:cs="Times New Roman"/>
          <w:b/>
          <w:bCs/>
          <w:color w:val="000000"/>
          <w:sz w:val="24"/>
          <w:szCs w:val="24"/>
        </w:rPr>
        <w:t>(17)</w:t>
      </w:r>
      <w:r w:rsidRPr="00D71CD1">
        <w:rPr>
          <w:rFonts w:ascii="Times New Roman" w:hAnsi="Times New Roman" w:cs="Times New Roman"/>
          <w:bCs/>
          <w:color w:val="000000"/>
          <w:sz w:val="24"/>
          <w:szCs w:val="24"/>
        </w:rPr>
        <w:t xml:space="preserve"> Desvio Padrão do custo de liquidez.</w:t>
      </w:r>
    </w:p>
    <w:p w:rsidR="0022255F" w:rsidRPr="00D71CD1" w:rsidRDefault="0022255F" w:rsidP="00D71CD1">
      <w:pPr>
        <w:spacing w:after="0" w:line="240" w:lineRule="auto"/>
        <w:jc w:val="both"/>
        <w:rPr>
          <w:rFonts w:ascii="Times New Roman" w:hAnsi="Times New Roman" w:cs="Times New Roman"/>
          <w:sz w:val="24"/>
          <w:szCs w:val="24"/>
        </w:rPr>
      </w:pPr>
      <w:proofErr w:type="gramStart"/>
      <w:r w:rsidRPr="00D71CD1">
        <w:rPr>
          <w:rFonts w:ascii="Times New Roman" w:hAnsi="Times New Roman" w:cs="Times New Roman"/>
          <w:b/>
          <w:sz w:val="24"/>
          <w:szCs w:val="24"/>
        </w:rPr>
        <w:t>Legenda :</w:t>
      </w:r>
      <w:proofErr w:type="gramEnd"/>
      <w:r w:rsidRPr="00D71CD1">
        <w:rPr>
          <w:rFonts w:ascii="Times New Roman" w:hAnsi="Times New Roman" w:cs="Times New Roman"/>
          <w:sz w:val="24"/>
          <w:szCs w:val="24"/>
        </w:rPr>
        <w:t xml:space="preserve"> Os contratos analisados são com vencimento em março de 2011 (SOJH11), maio de 2011 (SOJK11), maio de 2011 (SFIK11), junho de 2011 (SOJM11), julho de 2011 (SFIN11), agosto de 2011 (SFIQ11), novembro de 2011 (SFIX11), maio de 2012 (SFIK12), julho de 2012 (SFIN12), setembro de 2012 (SFIU12), novembro de 2012 (SFIX12), março de 2013 (SFIH13) e maio de 2013 (SFIK13).</w:t>
      </w:r>
    </w:p>
    <w:p w:rsidR="0022255F" w:rsidRPr="00D71CD1" w:rsidRDefault="0022255F" w:rsidP="00D71CD1">
      <w:pPr>
        <w:spacing w:after="0" w:line="240" w:lineRule="auto"/>
        <w:jc w:val="both"/>
        <w:rPr>
          <w:rFonts w:ascii="Times New Roman" w:eastAsia="Calibri" w:hAnsi="Times New Roman" w:cs="Times New Roman"/>
          <w:sz w:val="24"/>
          <w:szCs w:val="24"/>
        </w:rPr>
      </w:pPr>
      <w:proofErr w:type="gramStart"/>
      <w:r w:rsidRPr="00D71CD1">
        <w:rPr>
          <w:rFonts w:ascii="Times New Roman" w:eastAsia="Calibri" w:hAnsi="Times New Roman" w:cs="Times New Roman"/>
          <w:b/>
          <w:sz w:val="24"/>
          <w:szCs w:val="24"/>
        </w:rPr>
        <w:t>Observação :</w:t>
      </w:r>
      <w:proofErr w:type="gramEnd"/>
      <w:r w:rsidRPr="00D71CD1">
        <w:rPr>
          <w:rFonts w:ascii="Times New Roman" w:eastAsia="Calibri" w:hAnsi="Times New Roman" w:cs="Times New Roman"/>
          <w:sz w:val="24"/>
          <w:szCs w:val="24"/>
        </w:rPr>
        <w:t xml:space="preserve"> O custo de liquidez utilizado é definido pelo </w:t>
      </w:r>
      <w:proofErr w:type="spellStart"/>
      <w:r w:rsidRPr="00D71CD1">
        <w:rPr>
          <w:rFonts w:ascii="Times New Roman" w:eastAsia="Calibri" w:hAnsi="Times New Roman" w:cs="Times New Roman"/>
          <w:i/>
          <w:sz w:val="24"/>
          <w:szCs w:val="24"/>
        </w:rPr>
        <w:t>bid-ask</w:t>
      </w:r>
      <w:proofErr w:type="spellEnd"/>
      <w:r w:rsidRPr="00D71CD1">
        <w:rPr>
          <w:rFonts w:ascii="Times New Roman" w:eastAsia="Calibri" w:hAnsi="Times New Roman" w:cs="Times New Roman"/>
          <w:i/>
          <w:sz w:val="24"/>
          <w:szCs w:val="24"/>
        </w:rPr>
        <w:t xml:space="preserve"> spread</w:t>
      </w:r>
      <w:r w:rsidRPr="00D71CD1">
        <w:rPr>
          <w:rFonts w:ascii="Times New Roman" w:eastAsia="Calibri" w:hAnsi="Times New Roman" w:cs="Times New Roman"/>
          <w:sz w:val="24"/>
          <w:szCs w:val="24"/>
        </w:rPr>
        <w:t xml:space="preserve">, sendo a diferença entre a média da oferta de compra diária e a média da oferta de venda diária do contrato.  </w:t>
      </w:r>
    </w:p>
    <w:p w:rsidR="00B00D61" w:rsidRPr="00D71CD1" w:rsidRDefault="00B00D61" w:rsidP="00D71CD1">
      <w:pPr>
        <w:spacing w:after="0" w:line="240" w:lineRule="auto"/>
        <w:jc w:val="both"/>
        <w:rPr>
          <w:rFonts w:ascii="Times New Roman" w:eastAsia="Calibri" w:hAnsi="Times New Roman" w:cs="Times New Roman"/>
          <w:sz w:val="24"/>
          <w:szCs w:val="24"/>
        </w:rPr>
        <w:sectPr w:rsidR="00B00D61" w:rsidRPr="00D71CD1" w:rsidSect="003F4033">
          <w:type w:val="nextColumn"/>
          <w:pgSz w:w="16838" w:h="11906" w:orient="landscape"/>
          <w:pgMar w:top="1134" w:right="1134" w:bottom="1134" w:left="1134" w:header="708" w:footer="708" w:gutter="0"/>
          <w:cols w:space="708"/>
          <w:docGrid w:linePitch="360"/>
        </w:sectPr>
      </w:pPr>
    </w:p>
    <w:p w:rsidR="002470D3" w:rsidRDefault="002470D3" w:rsidP="002470D3">
      <w:pPr>
        <w:pStyle w:val="Corpodetexto2"/>
        <w:spacing w:after="0" w:line="240" w:lineRule="auto"/>
        <w:jc w:val="both"/>
        <w:rPr>
          <w:rFonts w:ascii="Times New Roman" w:hAnsi="Times New Roman" w:cs="Times New Roman"/>
          <w:sz w:val="24"/>
          <w:szCs w:val="24"/>
        </w:rPr>
      </w:pPr>
      <w:proofErr w:type="spellStart"/>
      <w:r w:rsidRPr="00D71CD1">
        <w:rPr>
          <w:rFonts w:ascii="Times New Roman" w:hAnsi="Times New Roman" w:cs="Times New Roman"/>
          <w:sz w:val="24"/>
          <w:szCs w:val="24"/>
        </w:rPr>
        <w:lastRenderedPageBreak/>
        <w:t>BM&amp;FBOVESPA</w:t>
      </w:r>
      <w:proofErr w:type="spellEnd"/>
      <w:r w:rsidRPr="00D71CD1">
        <w:rPr>
          <w:rFonts w:ascii="Times New Roman" w:hAnsi="Times New Roman" w:cs="Times New Roman"/>
          <w:sz w:val="24"/>
          <w:szCs w:val="24"/>
        </w:rPr>
        <w:t xml:space="preserve"> apresentam custos bastante heterogêneos, com registros entre zero e U$$ 2,55. A menor média de custo de liquidez do contrato foi de U$$ 0,16 e a maior foi de U$$ 0,88, com variação de 450%. Esse resultado é importante para os agentes que pretendem atuar neste mercado, pois os mesmos devem ficar atentos ao contrato a ser utilizado, a fim de não resultar em grande perda do retorno esperado, devido o alto custo de liquidez.</w:t>
      </w:r>
    </w:p>
    <w:p w:rsidR="003D025E" w:rsidRPr="00D71CD1" w:rsidRDefault="00BB041D" w:rsidP="00BB041D">
      <w:pPr>
        <w:pStyle w:val="Corpodetexto2"/>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Os contratos que tiveram menores custos de liquidez, antecedendo </w:t>
      </w:r>
      <w:proofErr w:type="gramStart"/>
      <w:r w:rsidRPr="00D71CD1">
        <w:rPr>
          <w:rFonts w:ascii="Times New Roman" w:hAnsi="Times New Roman" w:cs="Times New Roman"/>
          <w:sz w:val="24"/>
          <w:szCs w:val="24"/>
        </w:rPr>
        <w:t>3</w:t>
      </w:r>
      <w:proofErr w:type="gramEnd"/>
      <w:r w:rsidRPr="00D71CD1">
        <w:rPr>
          <w:rFonts w:ascii="Times New Roman" w:hAnsi="Times New Roman" w:cs="Times New Roman"/>
          <w:sz w:val="24"/>
          <w:szCs w:val="24"/>
        </w:rPr>
        <w:t xml:space="preserve"> e 6 meses para o vencimento, foram os contratos que tiveram maiores negócios efetuados, menores médias de</w:t>
      </w:r>
      <w:r>
        <w:rPr>
          <w:rFonts w:ascii="Times New Roman" w:hAnsi="Times New Roman" w:cs="Times New Roman"/>
          <w:sz w:val="24"/>
          <w:szCs w:val="24"/>
        </w:rPr>
        <w:t xml:space="preserve"> </w:t>
      </w:r>
      <w:r w:rsidR="003D025E" w:rsidRPr="00D71CD1">
        <w:rPr>
          <w:rFonts w:ascii="Times New Roman" w:hAnsi="Times New Roman" w:cs="Times New Roman"/>
          <w:sz w:val="24"/>
          <w:szCs w:val="24"/>
        </w:rPr>
        <w:t>contratos por negócio, menores quantidades de ofertas de compra e venda para cada negócio efetuado. Fica evidente que a maior participação dos agentes de mercado em determinados contratos acabam gerando maiores contrapartes dispostas a negociar, ocorrendo em menor custo de liquidez do contrato.</w:t>
      </w:r>
    </w:p>
    <w:p w:rsidR="00B00D61" w:rsidRPr="00D71CD1" w:rsidRDefault="00B00D61" w:rsidP="00D71CD1">
      <w:pPr>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Embora os contratos que registraram os menores custos de liquidez também apresentaram </w:t>
      </w:r>
      <w:proofErr w:type="gramStart"/>
      <w:r w:rsidRPr="00D71CD1">
        <w:rPr>
          <w:rFonts w:ascii="Times New Roman" w:hAnsi="Times New Roman" w:cs="Times New Roman"/>
          <w:sz w:val="24"/>
          <w:szCs w:val="24"/>
        </w:rPr>
        <w:t>as menores</w:t>
      </w:r>
      <w:proofErr w:type="gramEnd"/>
      <w:r w:rsidRPr="00D71CD1">
        <w:rPr>
          <w:rFonts w:ascii="Times New Roman" w:hAnsi="Times New Roman" w:cs="Times New Roman"/>
          <w:sz w:val="24"/>
          <w:szCs w:val="24"/>
        </w:rPr>
        <w:t xml:space="preserve"> médias de quantidades de contratos por negociação e menores médias de volume em dólares por negociação, não se pode afirmar se essas são características para menores custos de liquidez, pois o grande número de negociações podem ter levado a média das quantidades para baixo, uma vez que aumentam a probabilidade de nessas negociações estarem incluídos os pequenos produtores, que negociaram baixas quantidades.</w:t>
      </w:r>
    </w:p>
    <w:p w:rsidR="00B00D61" w:rsidRPr="00D71CD1" w:rsidRDefault="00B00D61" w:rsidP="00D71CD1">
      <w:pPr>
        <w:autoSpaceDE w:val="0"/>
        <w:autoSpaceDN w:val="0"/>
        <w:adjustRightInd w:val="0"/>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Quando analisado o custo de liquidez do contrato em relação ao volume financeiro, para os contratos com menores negociações no período de análise, o valor médio de custo de liquidez chegou a atingir em média 2,76%, 0,96%, 1,50%, 1,35%, 1,50%, 2,98%, 1,95% e 2,43% do total volume do contrato, para os contratos de março de </w:t>
      </w:r>
      <w:proofErr w:type="gramStart"/>
      <w:r w:rsidRPr="00D71CD1">
        <w:rPr>
          <w:rFonts w:ascii="Times New Roman" w:hAnsi="Times New Roman" w:cs="Times New Roman"/>
          <w:sz w:val="24"/>
          <w:szCs w:val="24"/>
        </w:rPr>
        <w:t>2011 (SOJH11), maio</w:t>
      </w:r>
      <w:proofErr w:type="gramEnd"/>
      <w:r w:rsidRPr="00D71CD1">
        <w:rPr>
          <w:rFonts w:ascii="Times New Roman" w:hAnsi="Times New Roman" w:cs="Times New Roman"/>
          <w:sz w:val="24"/>
          <w:szCs w:val="24"/>
        </w:rPr>
        <w:t xml:space="preserve"> de 2011 (SFIK11), junho de 2011 (SOJM11), julho de 2011 (SFIN11), agosto de 2011 (SFIQ11), novembro de 2011 (SFIX11), novembro de 2012 (SFIX12) e março de 2013 (SFIH13) respectivamente. </w:t>
      </w:r>
    </w:p>
    <w:p w:rsidR="00B00D61" w:rsidRPr="00D71CD1" w:rsidRDefault="00B00D61" w:rsidP="00D71CD1">
      <w:pPr>
        <w:autoSpaceDE w:val="0"/>
        <w:autoSpaceDN w:val="0"/>
        <w:adjustRightInd w:val="0"/>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Para os contratos com maiores negociações, o preço médio de custo de liquidez chegou a atingir em média de 0,54%, 0,89%, 0,86%, 1,20% e 1,95% do total volume do contrato, para os contratos de maio de </w:t>
      </w:r>
      <w:proofErr w:type="gramStart"/>
      <w:r w:rsidRPr="00D71CD1">
        <w:rPr>
          <w:rFonts w:ascii="Times New Roman" w:hAnsi="Times New Roman" w:cs="Times New Roman"/>
          <w:sz w:val="24"/>
          <w:szCs w:val="24"/>
        </w:rPr>
        <w:t>2011 (SOJK11), maio</w:t>
      </w:r>
      <w:proofErr w:type="gramEnd"/>
      <w:r w:rsidRPr="00D71CD1">
        <w:rPr>
          <w:rFonts w:ascii="Times New Roman" w:hAnsi="Times New Roman" w:cs="Times New Roman"/>
          <w:sz w:val="24"/>
          <w:szCs w:val="24"/>
        </w:rPr>
        <w:t xml:space="preserve"> de 2012 (SFIK12), julho de 2012 (SFIN12), setembro de 2012 (SFIU12), e maio de 2013 (SFIK13) respectivamente. Porém, para o de maio de 2013 (SFIK13) a porcentagem caiu de 1,95% para 0,94% quando o tempo de maturação é de até </w:t>
      </w:r>
      <w:proofErr w:type="gramStart"/>
      <w:r w:rsidRPr="00D71CD1">
        <w:rPr>
          <w:rFonts w:ascii="Times New Roman" w:hAnsi="Times New Roman" w:cs="Times New Roman"/>
          <w:sz w:val="24"/>
          <w:szCs w:val="24"/>
        </w:rPr>
        <w:t>6</w:t>
      </w:r>
      <w:proofErr w:type="gramEnd"/>
      <w:r w:rsidRPr="00D71CD1">
        <w:rPr>
          <w:rFonts w:ascii="Times New Roman" w:hAnsi="Times New Roman" w:cs="Times New Roman"/>
          <w:sz w:val="24"/>
          <w:szCs w:val="24"/>
        </w:rPr>
        <w:t xml:space="preserve"> meses para o vencimento do contrato. </w:t>
      </w:r>
    </w:p>
    <w:p w:rsidR="00B00D61" w:rsidRPr="00D71CD1" w:rsidRDefault="00B00D61" w:rsidP="00D71CD1">
      <w:pPr>
        <w:autoSpaceDE w:val="0"/>
        <w:autoSpaceDN w:val="0"/>
        <w:adjustRightInd w:val="0"/>
        <w:spacing w:after="0" w:line="240" w:lineRule="auto"/>
        <w:ind w:firstLine="708"/>
        <w:jc w:val="both"/>
        <w:rPr>
          <w:rFonts w:ascii="Times New Roman" w:hAnsi="Times New Roman" w:cs="Times New Roman"/>
          <w:iCs/>
          <w:color w:val="000000"/>
          <w:sz w:val="24"/>
          <w:szCs w:val="24"/>
        </w:rPr>
      </w:pPr>
      <w:r w:rsidRPr="00D71CD1">
        <w:rPr>
          <w:rFonts w:ascii="Times New Roman" w:hAnsi="Times New Roman" w:cs="Times New Roman"/>
          <w:sz w:val="24"/>
          <w:szCs w:val="24"/>
        </w:rPr>
        <w:t xml:space="preserve">Quando comparados os valores dos custos de liquidez dos contratos futuro de soja da </w:t>
      </w:r>
      <w:proofErr w:type="spellStart"/>
      <w:r w:rsidRPr="00D71CD1">
        <w:rPr>
          <w:rFonts w:ascii="Times New Roman" w:hAnsi="Times New Roman" w:cs="Times New Roman"/>
          <w:sz w:val="24"/>
          <w:szCs w:val="24"/>
        </w:rPr>
        <w:t>BM&amp;FBOVESPA</w:t>
      </w:r>
      <w:proofErr w:type="spellEnd"/>
      <w:r w:rsidRPr="00D71CD1">
        <w:rPr>
          <w:rFonts w:ascii="Times New Roman" w:hAnsi="Times New Roman" w:cs="Times New Roman"/>
          <w:sz w:val="24"/>
          <w:szCs w:val="24"/>
        </w:rPr>
        <w:t xml:space="preserve"> com os trabalhos internacionais, conclui-se que o contrato brasileiro possui custos de liquidez elevados, uma vez que o estudo de </w:t>
      </w:r>
      <w:r w:rsidRPr="00D71CD1">
        <w:rPr>
          <w:rFonts w:ascii="Times New Roman" w:hAnsi="Times New Roman" w:cs="Times New Roman"/>
          <w:iCs/>
          <w:color w:val="000000"/>
          <w:sz w:val="24"/>
          <w:szCs w:val="24"/>
        </w:rPr>
        <w:t xml:space="preserve">Thompson </w:t>
      </w:r>
      <w:proofErr w:type="spellStart"/>
      <w:proofErr w:type="gramStart"/>
      <w:r w:rsidRPr="00D71CD1">
        <w:rPr>
          <w:rFonts w:ascii="Times New Roman" w:hAnsi="Times New Roman" w:cs="Times New Roman"/>
          <w:i/>
          <w:iCs/>
          <w:color w:val="000000"/>
          <w:sz w:val="24"/>
          <w:szCs w:val="24"/>
        </w:rPr>
        <w:t>et</w:t>
      </w:r>
      <w:proofErr w:type="spellEnd"/>
      <w:proofErr w:type="gramEnd"/>
      <w:r w:rsidRPr="00D71CD1">
        <w:rPr>
          <w:rFonts w:ascii="Times New Roman" w:hAnsi="Times New Roman" w:cs="Times New Roman"/>
          <w:i/>
          <w:iCs/>
          <w:color w:val="000000"/>
          <w:sz w:val="24"/>
          <w:szCs w:val="24"/>
        </w:rPr>
        <w:t xml:space="preserve"> al.</w:t>
      </w:r>
      <w:r w:rsidRPr="00D71CD1">
        <w:rPr>
          <w:rFonts w:ascii="Times New Roman" w:hAnsi="Times New Roman" w:cs="Times New Roman"/>
          <w:iCs/>
          <w:color w:val="000000"/>
          <w:sz w:val="24"/>
          <w:szCs w:val="24"/>
        </w:rPr>
        <w:t xml:space="preserve"> (1993) estimou os custos de liquidez entre U$$ 0,54 e U$$ 14,01 por contrato de trigo, que possui 5 mil </w:t>
      </w:r>
      <w:proofErr w:type="spellStart"/>
      <w:r w:rsidRPr="00D71CD1">
        <w:rPr>
          <w:rFonts w:ascii="Times New Roman" w:hAnsi="Times New Roman" w:cs="Times New Roman"/>
          <w:iCs/>
          <w:color w:val="000000"/>
          <w:sz w:val="24"/>
          <w:szCs w:val="24"/>
        </w:rPr>
        <w:t>bushels</w:t>
      </w:r>
      <w:proofErr w:type="spellEnd"/>
      <w:r w:rsidRPr="00D71CD1">
        <w:rPr>
          <w:rFonts w:ascii="Times New Roman" w:hAnsi="Times New Roman" w:cs="Times New Roman"/>
          <w:iCs/>
          <w:color w:val="000000"/>
          <w:sz w:val="24"/>
          <w:szCs w:val="24"/>
        </w:rPr>
        <w:t xml:space="preserve">. </w:t>
      </w:r>
      <w:r w:rsidRPr="00D71CD1">
        <w:rPr>
          <w:rFonts w:ascii="Times New Roman" w:hAnsi="Times New Roman" w:cs="Times New Roman"/>
          <w:sz w:val="24"/>
          <w:szCs w:val="24"/>
        </w:rPr>
        <w:t xml:space="preserve">A porcentagem do custo de liquidez comparado ao volume financeiro foi de aproximadamente 0,08% para o contrato de trigo. </w:t>
      </w:r>
      <w:r w:rsidRPr="00D71CD1">
        <w:rPr>
          <w:rFonts w:ascii="Times New Roman" w:hAnsi="Times New Roman" w:cs="Times New Roman"/>
          <w:iCs/>
          <w:color w:val="000000"/>
          <w:sz w:val="24"/>
          <w:szCs w:val="24"/>
        </w:rPr>
        <w:t xml:space="preserve">Para </w:t>
      </w:r>
      <w:proofErr w:type="spellStart"/>
      <w:r w:rsidRPr="00D71CD1">
        <w:rPr>
          <w:rFonts w:ascii="Times New Roman" w:hAnsi="Times New Roman" w:cs="Times New Roman"/>
          <w:sz w:val="24"/>
          <w:szCs w:val="24"/>
        </w:rPr>
        <w:t>Bryant</w:t>
      </w:r>
      <w:proofErr w:type="spellEnd"/>
      <w:r w:rsidRPr="00D71CD1">
        <w:rPr>
          <w:rFonts w:ascii="Times New Roman" w:hAnsi="Times New Roman" w:cs="Times New Roman"/>
          <w:sz w:val="24"/>
          <w:szCs w:val="24"/>
        </w:rPr>
        <w:t xml:space="preserve"> e </w:t>
      </w:r>
      <w:proofErr w:type="spellStart"/>
      <w:r w:rsidRPr="00D71CD1">
        <w:rPr>
          <w:rFonts w:ascii="Times New Roman" w:hAnsi="Times New Roman" w:cs="Times New Roman"/>
          <w:sz w:val="24"/>
          <w:szCs w:val="24"/>
        </w:rPr>
        <w:t>Haigh</w:t>
      </w:r>
      <w:proofErr w:type="spellEnd"/>
      <w:r w:rsidRPr="00D71CD1">
        <w:rPr>
          <w:rFonts w:ascii="Times New Roman" w:hAnsi="Times New Roman" w:cs="Times New Roman"/>
          <w:sz w:val="24"/>
          <w:szCs w:val="24"/>
        </w:rPr>
        <w:t xml:space="preserve"> (2002) os resultados dos custos de liquidez foram de U$$ 1,97 e U$$ 2,07 por tonelada para o contrato de café, correspondendo aproximadamente 0,19% e 0,20% de custo de liquidez em relação ao volume do contrato. Já para o contrato de cacau, o custo de liquidez médio apresentado foi de aproximadamente U$$ 4,29 por toneladas, equivalente a aproximadamente 0,47% do volume do contrato. Para </w:t>
      </w:r>
      <w:proofErr w:type="spellStart"/>
      <w:r w:rsidRPr="00D71CD1">
        <w:rPr>
          <w:rFonts w:ascii="Times New Roman" w:hAnsi="Times New Roman" w:cs="Times New Roman"/>
          <w:iCs/>
          <w:color w:val="000000"/>
          <w:sz w:val="24"/>
          <w:szCs w:val="24"/>
        </w:rPr>
        <w:t>Wang</w:t>
      </w:r>
      <w:proofErr w:type="spellEnd"/>
      <w:r w:rsidRPr="00D71CD1">
        <w:rPr>
          <w:rFonts w:ascii="Times New Roman" w:hAnsi="Times New Roman" w:cs="Times New Roman"/>
          <w:iCs/>
          <w:color w:val="000000"/>
          <w:sz w:val="24"/>
          <w:szCs w:val="24"/>
        </w:rPr>
        <w:t xml:space="preserve"> </w:t>
      </w:r>
      <w:proofErr w:type="spellStart"/>
      <w:proofErr w:type="gramStart"/>
      <w:r w:rsidRPr="00D71CD1">
        <w:rPr>
          <w:rFonts w:ascii="Times New Roman" w:hAnsi="Times New Roman" w:cs="Times New Roman"/>
          <w:i/>
          <w:sz w:val="24"/>
          <w:szCs w:val="24"/>
        </w:rPr>
        <w:t>et</w:t>
      </w:r>
      <w:proofErr w:type="spellEnd"/>
      <w:proofErr w:type="gramEnd"/>
      <w:r w:rsidRPr="00D71CD1">
        <w:rPr>
          <w:rFonts w:ascii="Times New Roman" w:hAnsi="Times New Roman" w:cs="Times New Roman"/>
          <w:i/>
          <w:sz w:val="24"/>
          <w:szCs w:val="24"/>
        </w:rPr>
        <w:t xml:space="preserve"> al</w:t>
      </w:r>
      <w:r w:rsidRPr="00D71CD1">
        <w:rPr>
          <w:rFonts w:ascii="Times New Roman" w:hAnsi="Times New Roman" w:cs="Times New Roman"/>
          <w:sz w:val="24"/>
          <w:szCs w:val="24"/>
        </w:rPr>
        <w:t xml:space="preserve">. </w:t>
      </w:r>
      <w:r w:rsidRPr="00D71CD1">
        <w:rPr>
          <w:rFonts w:ascii="Times New Roman" w:hAnsi="Times New Roman" w:cs="Times New Roman"/>
          <w:iCs/>
          <w:color w:val="000000"/>
          <w:sz w:val="24"/>
          <w:szCs w:val="24"/>
        </w:rPr>
        <w:t xml:space="preserve">(2012) os contratos de milho tiveram uma média de 0,31 e 0,37 </w:t>
      </w:r>
      <w:proofErr w:type="spellStart"/>
      <w:r w:rsidRPr="00D71CD1">
        <w:rPr>
          <w:rFonts w:ascii="Times New Roman" w:hAnsi="Times New Roman" w:cs="Times New Roman"/>
          <w:iCs/>
          <w:color w:val="000000"/>
          <w:sz w:val="24"/>
          <w:szCs w:val="24"/>
        </w:rPr>
        <w:t>cents</w:t>
      </w:r>
      <w:proofErr w:type="spellEnd"/>
      <w:r w:rsidRPr="00D71CD1">
        <w:rPr>
          <w:rFonts w:ascii="Times New Roman" w:hAnsi="Times New Roman" w:cs="Times New Roman"/>
          <w:iCs/>
          <w:color w:val="000000"/>
          <w:sz w:val="24"/>
          <w:szCs w:val="24"/>
        </w:rPr>
        <w:t>/</w:t>
      </w:r>
      <w:proofErr w:type="spellStart"/>
      <w:r w:rsidRPr="00D71CD1">
        <w:rPr>
          <w:rFonts w:ascii="Times New Roman" w:hAnsi="Times New Roman" w:cs="Times New Roman"/>
          <w:iCs/>
          <w:color w:val="000000"/>
          <w:sz w:val="24"/>
          <w:szCs w:val="24"/>
        </w:rPr>
        <w:t>bushel</w:t>
      </w:r>
      <w:proofErr w:type="spellEnd"/>
      <w:r w:rsidRPr="00D71CD1">
        <w:rPr>
          <w:rFonts w:ascii="Times New Roman" w:hAnsi="Times New Roman" w:cs="Times New Roman"/>
          <w:iCs/>
          <w:color w:val="000000"/>
          <w:sz w:val="24"/>
          <w:szCs w:val="24"/>
        </w:rPr>
        <w:t xml:space="preserve">, correspondente a 0,07% e 0,08% do volume do contrato, que conforme os autores, o contrato de milho é altamente liquido. Para Martinez </w:t>
      </w:r>
      <w:proofErr w:type="spellStart"/>
      <w:proofErr w:type="gramStart"/>
      <w:r w:rsidRPr="00D71CD1">
        <w:rPr>
          <w:rFonts w:ascii="Times New Roman" w:hAnsi="Times New Roman" w:cs="Times New Roman"/>
          <w:i/>
          <w:iCs/>
          <w:color w:val="000000"/>
          <w:sz w:val="24"/>
          <w:szCs w:val="24"/>
        </w:rPr>
        <w:t>et</w:t>
      </w:r>
      <w:proofErr w:type="spellEnd"/>
      <w:proofErr w:type="gramEnd"/>
      <w:r w:rsidRPr="00D71CD1">
        <w:rPr>
          <w:rFonts w:ascii="Times New Roman" w:hAnsi="Times New Roman" w:cs="Times New Roman"/>
          <w:i/>
          <w:iCs/>
          <w:color w:val="000000"/>
          <w:sz w:val="24"/>
          <w:szCs w:val="24"/>
        </w:rPr>
        <w:t xml:space="preserve"> al.</w:t>
      </w:r>
      <w:r w:rsidRPr="00D71CD1">
        <w:rPr>
          <w:rFonts w:ascii="Times New Roman" w:hAnsi="Times New Roman" w:cs="Times New Roman"/>
          <w:iCs/>
          <w:color w:val="000000"/>
          <w:sz w:val="24"/>
          <w:szCs w:val="24"/>
        </w:rPr>
        <w:t xml:space="preserve"> (2011) </w:t>
      </w:r>
      <w:r w:rsidRPr="00D71CD1">
        <w:rPr>
          <w:rFonts w:ascii="Times New Roman" w:hAnsi="Times New Roman" w:cs="Times New Roman"/>
          <w:i/>
          <w:iCs/>
          <w:color w:val="000000"/>
          <w:sz w:val="24"/>
          <w:szCs w:val="24"/>
        </w:rPr>
        <w:t>apud</w:t>
      </w:r>
      <w:r w:rsidRPr="00D71CD1">
        <w:rPr>
          <w:rFonts w:ascii="Times New Roman" w:hAnsi="Times New Roman" w:cs="Times New Roman"/>
          <w:iCs/>
          <w:color w:val="000000"/>
          <w:sz w:val="24"/>
          <w:szCs w:val="24"/>
        </w:rPr>
        <w:t xml:space="preserve"> </w:t>
      </w:r>
      <w:proofErr w:type="spellStart"/>
      <w:r w:rsidRPr="00D71CD1">
        <w:rPr>
          <w:rFonts w:ascii="Times New Roman" w:hAnsi="Times New Roman" w:cs="Times New Roman"/>
          <w:iCs/>
          <w:color w:val="000000"/>
          <w:sz w:val="24"/>
          <w:szCs w:val="24"/>
        </w:rPr>
        <w:t>Wang</w:t>
      </w:r>
      <w:proofErr w:type="spellEnd"/>
      <w:r w:rsidRPr="00D71CD1">
        <w:rPr>
          <w:rFonts w:ascii="Times New Roman" w:hAnsi="Times New Roman" w:cs="Times New Roman"/>
          <w:iCs/>
          <w:color w:val="000000"/>
          <w:sz w:val="24"/>
          <w:szCs w:val="24"/>
        </w:rPr>
        <w:t xml:space="preserve"> </w:t>
      </w:r>
      <w:proofErr w:type="spellStart"/>
      <w:r w:rsidRPr="00D71CD1">
        <w:rPr>
          <w:rFonts w:ascii="Times New Roman" w:hAnsi="Times New Roman" w:cs="Times New Roman"/>
          <w:i/>
          <w:sz w:val="24"/>
          <w:szCs w:val="24"/>
        </w:rPr>
        <w:t>et</w:t>
      </w:r>
      <w:proofErr w:type="spellEnd"/>
      <w:r w:rsidRPr="00D71CD1">
        <w:rPr>
          <w:rFonts w:ascii="Times New Roman" w:hAnsi="Times New Roman" w:cs="Times New Roman"/>
          <w:i/>
          <w:sz w:val="24"/>
          <w:szCs w:val="24"/>
        </w:rPr>
        <w:t xml:space="preserve"> al</w:t>
      </w:r>
      <w:r w:rsidRPr="00D71CD1">
        <w:rPr>
          <w:rFonts w:ascii="Times New Roman" w:hAnsi="Times New Roman" w:cs="Times New Roman"/>
          <w:sz w:val="24"/>
          <w:szCs w:val="24"/>
        </w:rPr>
        <w:t xml:space="preserve">. </w:t>
      </w:r>
      <w:r w:rsidRPr="00D71CD1">
        <w:rPr>
          <w:rFonts w:ascii="Times New Roman" w:hAnsi="Times New Roman" w:cs="Times New Roman"/>
          <w:iCs/>
          <w:color w:val="000000"/>
          <w:sz w:val="24"/>
          <w:szCs w:val="24"/>
        </w:rPr>
        <w:t xml:space="preserve">(2012) foram encontrados custo de liquidez de 0,25 </w:t>
      </w:r>
      <w:proofErr w:type="spellStart"/>
      <w:r w:rsidRPr="00D71CD1">
        <w:rPr>
          <w:rFonts w:ascii="Times New Roman" w:hAnsi="Times New Roman" w:cs="Times New Roman"/>
          <w:iCs/>
          <w:color w:val="000000"/>
          <w:sz w:val="24"/>
          <w:szCs w:val="24"/>
        </w:rPr>
        <w:t>cents</w:t>
      </w:r>
      <w:proofErr w:type="spellEnd"/>
      <w:r w:rsidRPr="00D71CD1">
        <w:rPr>
          <w:rFonts w:ascii="Times New Roman" w:hAnsi="Times New Roman" w:cs="Times New Roman"/>
          <w:iCs/>
          <w:color w:val="000000"/>
          <w:sz w:val="24"/>
          <w:szCs w:val="24"/>
        </w:rPr>
        <w:t>/</w:t>
      </w:r>
      <w:proofErr w:type="spellStart"/>
      <w:r w:rsidRPr="00D71CD1">
        <w:rPr>
          <w:rFonts w:ascii="Times New Roman" w:hAnsi="Times New Roman" w:cs="Times New Roman"/>
          <w:iCs/>
          <w:color w:val="000000"/>
          <w:sz w:val="24"/>
          <w:szCs w:val="24"/>
        </w:rPr>
        <w:t>bushel</w:t>
      </w:r>
      <w:proofErr w:type="spellEnd"/>
      <w:r w:rsidRPr="00D71CD1">
        <w:rPr>
          <w:rFonts w:ascii="Times New Roman" w:hAnsi="Times New Roman" w:cs="Times New Roman"/>
          <w:iCs/>
          <w:color w:val="000000"/>
          <w:sz w:val="24"/>
          <w:szCs w:val="24"/>
        </w:rPr>
        <w:t xml:space="preserve"> para o contrato de milho, equivalente a 0,05% do volume total do contrato.</w:t>
      </w:r>
    </w:p>
    <w:p w:rsidR="00B00D61" w:rsidRPr="00D71CD1" w:rsidRDefault="00B00D61" w:rsidP="00D71CD1">
      <w:pPr>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Na seção a seguir </w:t>
      </w:r>
      <w:proofErr w:type="gramStart"/>
      <w:r w:rsidRPr="00D71CD1">
        <w:rPr>
          <w:rFonts w:ascii="Times New Roman" w:hAnsi="Times New Roman" w:cs="Times New Roman"/>
          <w:sz w:val="24"/>
          <w:szCs w:val="24"/>
        </w:rPr>
        <w:t>são</w:t>
      </w:r>
      <w:proofErr w:type="gramEnd"/>
      <w:r w:rsidRPr="00D71CD1">
        <w:rPr>
          <w:rFonts w:ascii="Times New Roman" w:hAnsi="Times New Roman" w:cs="Times New Roman"/>
          <w:sz w:val="24"/>
          <w:szCs w:val="24"/>
        </w:rPr>
        <w:t xml:space="preserve"> abordados a eficiência dos modelos de </w:t>
      </w:r>
      <w:proofErr w:type="spellStart"/>
      <w:r w:rsidRPr="00D71CD1">
        <w:rPr>
          <w:rFonts w:ascii="Times New Roman" w:hAnsi="Times New Roman" w:cs="Times New Roman"/>
          <w:sz w:val="24"/>
          <w:szCs w:val="24"/>
        </w:rPr>
        <w:t>Roll</w:t>
      </w:r>
      <w:proofErr w:type="spellEnd"/>
      <w:r w:rsidRPr="00D71CD1">
        <w:rPr>
          <w:rFonts w:ascii="Times New Roman" w:hAnsi="Times New Roman" w:cs="Times New Roman"/>
          <w:sz w:val="24"/>
          <w:szCs w:val="24"/>
        </w:rPr>
        <w:t xml:space="preserve">, CDP, TWM e CFTC para a estimação do custo de liquidez do mercado futuro de soja da </w:t>
      </w:r>
      <w:proofErr w:type="spellStart"/>
      <w:r w:rsidRPr="00D71CD1">
        <w:rPr>
          <w:rFonts w:ascii="Times New Roman" w:hAnsi="Times New Roman" w:cs="Times New Roman"/>
          <w:sz w:val="24"/>
          <w:szCs w:val="24"/>
        </w:rPr>
        <w:t>BM&amp;FBOVESPA</w:t>
      </w:r>
      <w:proofErr w:type="spellEnd"/>
      <w:r w:rsidRPr="00D71CD1">
        <w:rPr>
          <w:rFonts w:ascii="Times New Roman" w:hAnsi="Times New Roman" w:cs="Times New Roman"/>
          <w:sz w:val="24"/>
          <w:szCs w:val="24"/>
        </w:rPr>
        <w:t>.</w:t>
      </w:r>
    </w:p>
    <w:p w:rsidR="00B00D61" w:rsidRPr="00D71CD1" w:rsidRDefault="00B00D61" w:rsidP="00D71CD1">
      <w:pPr>
        <w:autoSpaceDE w:val="0"/>
        <w:autoSpaceDN w:val="0"/>
        <w:adjustRightInd w:val="0"/>
        <w:spacing w:after="0" w:line="240" w:lineRule="auto"/>
        <w:ind w:firstLine="708"/>
        <w:jc w:val="both"/>
        <w:rPr>
          <w:rFonts w:ascii="Times New Roman" w:eastAsiaTheme="minorEastAsia" w:hAnsi="Times New Roman" w:cs="Times New Roman"/>
          <w:sz w:val="24"/>
          <w:szCs w:val="24"/>
        </w:rPr>
      </w:pPr>
    </w:p>
    <w:p w:rsidR="00B00D61" w:rsidRPr="00D71CD1" w:rsidRDefault="00B00D61" w:rsidP="00D71CD1">
      <w:pPr>
        <w:pStyle w:val="Ttulo2"/>
        <w:spacing w:before="120" w:after="120" w:line="240" w:lineRule="auto"/>
        <w:jc w:val="both"/>
        <w:rPr>
          <w:rFonts w:ascii="Times New Roman" w:hAnsi="Times New Roman" w:cs="Times New Roman"/>
          <w:color w:val="auto"/>
          <w:sz w:val="24"/>
          <w:szCs w:val="24"/>
        </w:rPr>
      </w:pPr>
      <w:bookmarkStart w:id="8" w:name="_Toc360001439"/>
      <w:r w:rsidRPr="00D71CD1">
        <w:rPr>
          <w:rFonts w:ascii="Times New Roman" w:hAnsi="Times New Roman" w:cs="Times New Roman"/>
          <w:color w:val="auto"/>
          <w:sz w:val="24"/>
          <w:szCs w:val="24"/>
        </w:rPr>
        <w:t xml:space="preserve">4.2. Análise das metodologias de </w:t>
      </w:r>
      <w:proofErr w:type="spellStart"/>
      <w:r w:rsidRPr="00D71CD1">
        <w:rPr>
          <w:rFonts w:ascii="Times New Roman" w:hAnsi="Times New Roman" w:cs="Times New Roman"/>
          <w:color w:val="auto"/>
          <w:sz w:val="24"/>
          <w:szCs w:val="24"/>
        </w:rPr>
        <w:t>Roll</w:t>
      </w:r>
      <w:proofErr w:type="spellEnd"/>
      <w:r w:rsidRPr="00D71CD1">
        <w:rPr>
          <w:rFonts w:ascii="Times New Roman" w:hAnsi="Times New Roman" w:cs="Times New Roman"/>
          <w:color w:val="auto"/>
          <w:sz w:val="24"/>
          <w:szCs w:val="24"/>
        </w:rPr>
        <w:t xml:space="preserve">, CDP, TWM e CFTC com o custo de liquidez estimado através do </w:t>
      </w:r>
      <w:proofErr w:type="spellStart"/>
      <w:proofErr w:type="gramStart"/>
      <w:r w:rsidRPr="00D71CD1">
        <w:rPr>
          <w:rFonts w:ascii="Times New Roman" w:hAnsi="Times New Roman" w:cs="Times New Roman"/>
          <w:i/>
          <w:color w:val="auto"/>
          <w:sz w:val="24"/>
          <w:szCs w:val="24"/>
        </w:rPr>
        <w:t>bid</w:t>
      </w:r>
      <w:proofErr w:type="gramEnd"/>
      <w:r w:rsidRPr="00D71CD1">
        <w:rPr>
          <w:rFonts w:ascii="Times New Roman" w:hAnsi="Times New Roman" w:cs="Times New Roman"/>
          <w:i/>
          <w:color w:val="auto"/>
          <w:sz w:val="24"/>
          <w:szCs w:val="24"/>
        </w:rPr>
        <w:t>-ask</w:t>
      </w:r>
      <w:proofErr w:type="spellEnd"/>
      <w:r w:rsidRPr="00D71CD1">
        <w:rPr>
          <w:rFonts w:ascii="Times New Roman" w:hAnsi="Times New Roman" w:cs="Times New Roman"/>
          <w:i/>
          <w:color w:val="auto"/>
          <w:sz w:val="24"/>
          <w:szCs w:val="24"/>
        </w:rPr>
        <w:t xml:space="preserve"> spread</w:t>
      </w:r>
      <w:r w:rsidRPr="00D71CD1">
        <w:rPr>
          <w:rFonts w:ascii="Times New Roman" w:hAnsi="Times New Roman" w:cs="Times New Roman"/>
          <w:color w:val="auto"/>
          <w:sz w:val="24"/>
          <w:szCs w:val="24"/>
        </w:rPr>
        <w:t xml:space="preserve">, para o contrato futuro de soja da </w:t>
      </w:r>
      <w:proofErr w:type="spellStart"/>
      <w:r w:rsidRPr="00D71CD1">
        <w:rPr>
          <w:rFonts w:ascii="Times New Roman" w:hAnsi="Times New Roman" w:cs="Times New Roman"/>
          <w:color w:val="auto"/>
          <w:sz w:val="24"/>
          <w:szCs w:val="24"/>
        </w:rPr>
        <w:t>BM&amp;FBOVESPA</w:t>
      </w:r>
      <w:proofErr w:type="spellEnd"/>
      <w:r w:rsidRPr="00D71CD1">
        <w:rPr>
          <w:rFonts w:ascii="Times New Roman" w:hAnsi="Times New Roman" w:cs="Times New Roman"/>
          <w:color w:val="auto"/>
          <w:sz w:val="24"/>
          <w:szCs w:val="24"/>
        </w:rPr>
        <w:t>.</w:t>
      </w:r>
      <w:bookmarkEnd w:id="8"/>
    </w:p>
    <w:p w:rsidR="00B00D61" w:rsidRPr="00D71CD1" w:rsidRDefault="00B00D61" w:rsidP="00D71CD1">
      <w:pPr>
        <w:spacing w:after="0" w:line="240" w:lineRule="auto"/>
        <w:jc w:val="both"/>
        <w:rPr>
          <w:rFonts w:ascii="Times New Roman" w:hAnsi="Times New Roman" w:cs="Times New Roman"/>
          <w:b/>
          <w:sz w:val="24"/>
          <w:szCs w:val="24"/>
        </w:rPr>
      </w:pPr>
    </w:p>
    <w:p w:rsidR="00B00D61" w:rsidRPr="00D71CD1" w:rsidRDefault="00B00D61" w:rsidP="00D71CD1">
      <w:pPr>
        <w:pStyle w:val="Corpodetexto2"/>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Assumindo-se que o </w:t>
      </w:r>
      <w:proofErr w:type="spellStart"/>
      <w:proofErr w:type="gramStart"/>
      <w:r w:rsidRPr="00D71CD1">
        <w:rPr>
          <w:rFonts w:ascii="Times New Roman" w:hAnsi="Times New Roman" w:cs="Times New Roman"/>
          <w:i/>
          <w:sz w:val="24"/>
          <w:szCs w:val="24"/>
        </w:rPr>
        <w:t>bid</w:t>
      </w:r>
      <w:proofErr w:type="gramEnd"/>
      <w:r w:rsidRPr="00D71CD1">
        <w:rPr>
          <w:rFonts w:ascii="Times New Roman" w:hAnsi="Times New Roman" w:cs="Times New Roman"/>
          <w:i/>
          <w:sz w:val="24"/>
          <w:szCs w:val="24"/>
        </w:rPr>
        <w:t>-ask</w:t>
      </w:r>
      <w:proofErr w:type="spellEnd"/>
      <w:r w:rsidRPr="00D71CD1">
        <w:rPr>
          <w:rFonts w:ascii="Times New Roman" w:hAnsi="Times New Roman" w:cs="Times New Roman"/>
          <w:i/>
          <w:sz w:val="24"/>
          <w:szCs w:val="24"/>
        </w:rPr>
        <w:t xml:space="preserve"> spread</w:t>
      </w:r>
      <w:r w:rsidRPr="00D71CD1">
        <w:rPr>
          <w:rFonts w:ascii="Times New Roman" w:hAnsi="Times New Roman" w:cs="Times New Roman"/>
          <w:sz w:val="24"/>
          <w:szCs w:val="24"/>
        </w:rPr>
        <w:t xml:space="preserve"> é a </w:t>
      </w:r>
      <w:proofErr w:type="spellStart"/>
      <w:r w:rsidRPr="00D71CD1">
        <w:rPr>
          <w:rFonts w:ascii="Times New Roman" w:hAnsi="Times New Roman" w:cs="Times New Roman"/>
          <w:sz w:val="24"/>
          <w:szCs w:val="24"/>
        </w:rPr>
        <w:t>proxy</w:t>
      </w:r>
      <w:proofErr w:type="spellEnd"/>
      <w:r w:rsidRPr="00D71CD1">
        <w:rPr>
          <w:rFonts w:ascii="Times New Roman" w:hAnsi="Times New Roman" w:cs="Times New Roman"/>
          <w:sz w:val="24"/>
          <w:szCs w:val="24"/>
        </w:rPr>
        <w:t xml:space="preserve"> mais adequada para a variável custo de liquidez, este tópico busca comparar a estimação dessa </w:t>
      </w:r>
      <w:proofErr w:type="spellStart"/>
      <w:r w:rsidRPr="00D71CD1">
        <w:rPr>
          <w:rFonts w:ascii="Times New Roman" w:hAnsi="Times New Roman" w:cs="Times New Roman"/>
          <w:sz w:val="24"/>
          <w:szCs w:val="24"/>
        </w:rPr>
        <w:t>proxy</w:t>
      </w:r>
      <w:proofErr w:type="spellEnd"/>
      <w:r w:rsidRPr="00D71CD1">
        <w:rPr>
          <w:rFonts w:ascii="Times New Roman" w:hAnsi="Times New Roman" w:cs="Times New Roman"/>
          <w:sz w:val="24"/>
          <w:szCs w:val="24"/>
        </w:rPr>
        <w:t xml:space="preserve"> com as metodologias de </w:t>
      </w:r>
      <w:proofErr w:type="spellStart"/>
      <w:r w:rsidRPr="00D71CD1">
        <w:rPr>
          <w:rFonts w:ascii="Times New Roman" w:hAnsi="Times New Roman" w:cs="Times New Roman"/>
          <w:sz w:val="24"/>
          <w:szCs w:val="24"/>
        </w:rPr>
        <w:t>Roll</w:t>
      </w:r>
      <w:proofErr w:type="spellEnd"/>
      <w:r w:rsidRPr="00D71CD1">
        <w:rPr>
          <w:rFonts w:ascii="Times New Roman" w:hAnsi="Times New Roman" w:cs="Times New Roman"/>
          <w:sz w:val="24"/>
          <w:szCs w:val="24"/>
        </w:rPr>
        <w:t xml:space="preserve">, CDP, </w:t>
      </w:r>
      <w:r w:rsidRPr="00D71CD1">
        <w:rPr>
          <w:rFonts w:ascii="Times New Roman" w:hAnsi="Times New Roman" w:cs="Times New Roman"/>
          <w:sz w:val="24"/>
          <w:szCs w:val="24"/>
        </w:rPr>
        <w:lastRenderedPageBreak/>
        <w:t xml:space="preserve">TWM e CFTC, buscando investigar a eficiência dessas metodologias na estimação do custo de liquidez dos contratos futuros de soja da </w:t>
      </w:r>
      <w:proofErr w:type="spellStart"/>
      <w:r w:rsidRPr="00D71CD1">
        <w:rPr>
          <w:rFonts w:ascii="Times New Roman" w:hAnsi="Times New Roman" w:cs="Times New Roman"/>
          <w:sz w:val="24"/>
          <w:szCs w:val="24"/>
        </w:rPr>
        <w:t>BM&amp;FBOVESPA</w:t>
      </w:r>
      <w:proofErr w:type="spellEnd"/>
      <w:r w:rsidRPr="00D71CD1">
        <w:rPr>
          <w:rFonts w:ascii="Times New Roman" w:hAnsi="Times New Roman" w:cs="Times New Roman"/>
          <w:sz w:val="24"/>
          <w:szCs w:val="24"/>
        </w:rPr>
        <w:t xml:space="preserve">. </w:t>
      </w:r>
    </w:p>
    <w:p w:rsidR="00B00D61" w:rsidRPr="00D71CD1" w:rsidRDefault="00B00D61" w:rsidP="00D71CD1">
      <w:pPr>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Como os contratos abordados apresentam grande concentração, optou-se em utilizar somente os contratos com maiores números de negociações, tais como os de maio de </w:t>
      </w:r>
      <w:proofErr w:type="gramStart"/>
      <w:r w:rsidRPr="00D71CD1">
        <w:rPr>
          <w:rFonts w:ascii="Times New Roman" w:hAnsi="Times New Roman" w:cs="Times New Roman"/>
          <w:sz w:val="24"/>
          <w:szCs w:val="24"/>
        </w:rPr>
        <w:t xml:space="preserve">2011 </w:t>
      </w:r>
      <w:r w:rsidR="00A156B7" w:rsidRPr="00D71CD1">
        <w:rPr>
          <w:rFonts w:ascii="Times New Roman" w:hAnsi="Times New Roman" w:cs="Times New Roman"/>
          <w:sz w:val="24"/>
          <w:szCs w:val="24"/>
        </w:rPr>
        <w:t>(SOJK11), maio</w:t>
      </w:r>
      <w:proofErr w:type="gramEnd"/>
      <w:r w:rsidR="00A156B7" w:rsidRPr="00D71CD1">
        <w:rPr>
          <w:rFonts w:ascii="Times New Roman" w:hAnsi="Times New Roman" w:cs="Times New Roman"/>
          <w:sz w:val="24"/>
          <w:szCs w:val="24"/>
        </w:rPr>
        <w:t xml:space="preserve"> de 2012 (SFIK12)</w:t>
      </w:r>
      <w:r w:rsidRPr="00D71CD1">
        <w:rPr>
          <w:rFonts w:ascii="Times New Roman" w:hAnsi="Times New Roman" w:cs="Times New Roman"/>
          <w:sz w:val="24"/>
          <w:szCs w:val="24"/>
        </w:rPr>
        <w:t xml:space="preserve"> e maio de 2013 (SFIK13) onde representaram </w:t>
      </w:r>
      <w:r w:rsidR="00A156B7" w:rsidRPr="00D71CD1">
        <w:rPr>
          <w:rFonts w:ascii="Times New Roman" w:hAnsi="Times New Roman" w:cs="Times New Roman"/>
          <w:sz w:val="24"/>
          <w:szCs w:val="24"/>
        </w:rPr>
        <w:t>83</w:t>
      </w:r>
      <w:r w:rsidRPr="00D71CD1">
        <w:rPr>
          <w:rFonts w:ascii="Times New Roman" w:hAnsi="Times New Roman" w:cs="Times New Roman"/>
          <w:sz w:val="24"/>
          <w:szCs w:val="24"/>
        </w:rPr>
        <w:t>% das negociações que ocorreram no período de análise proposto neste estudo.</w:t>
      </w:r>
      <w:r w:rsidRPr="00D71CD1">
        <w:rPr>
          <w:rStyle w:val="Refdenotaderodap"/>
          <w:rFonts w:ascii="Times New Roman" w:hAnsi="Times New Roman" w:cs="Times New Roman"/>
          <w:sz w:val="24"/>
          <w:szCs w:val="24"/>
        </w:rPr>
        <w:footnoteReference w:id="10"/>
      </w:r>
      <w:r w:rsidRPr="00D71CD1">
        <w:rPr>
          <w:rFonts w:ascii="Times New Roman" w:hAnsi="Times New Roman" w:cs="Times New Roman"/>
          <w:sz w:val="24"/>
          <w:szCs w:val="24"/>
        </w:rPr>
        <w:t xml:space="preserve"> As estimativa</w:t>
      </w:r>
      <w:r w:rsidR="00A156B7" w:rsidRPr="00D71CD1">
        <w:rPr>
          <w:rFonts w:ascii="Times New Roman" w:hAnsi="Times New Roman" w:cs="Times New Roman"/>
          <w:sz w:val="24"/>
          <w:szCs w:val="24"/>
        </w:rPr>
        <w:t>s estão apresentadas na Figura 1</w:t>
      </w:r>
      <w:r w:rsidRPr="00D71CD1">
        <w:rPr>
          <w:rFonts w:ascii="Times New Roman" w:hAnsi="Times New Roman" w:cs="Times New Roman"/>
          <w:sz w:val="24"/>
          <w:szCs w:val="24"/>
        </w:rPr>
        <w:t>.</w:t>
      </w:r>
    </w:p>
    <w:p w:rsidR="00056997" w:rsidRPr="00D71CD1" w:rsidRDefault="00056997" w:rsidP="00D71CD1">
      <w:pPr>
        <w:spacing w:after="0" w:line="240" w:lineRule="auto"/>
        <w:ind w:firstLine="708"/>
        <w:jc w:val="both"/>
        <w:rPr>
          <w:rFonts w:ascii="Times New Roman" w:hAnsi="Times New Roman" w:cs="Times New Roman"/>
          <w:sz w:val="24"/>
          <w:szCs w:val="24"/>
        </w:rPr>
      </w:pPr>
    </w:p>
    <w:p w:rsidR="00056997" w:rsidRPr="00D71CD1" w:rsidRDefault="00056997" w:rsidP="00D71CD1">
      <w:pPr>
        <w:spacing w:after="0" w:line="240" w:lineRule="auto"/>
        <w:jc w:val="both"/>
        <w:rPr>
          <w:rFonts w:ascii="Times New Roman" w:hAnsi="Times New Roman" w:cs="Times New Roman"/>
          <w:sz w:val="24"/>
          <w:szCs w:val="24"/>
        </w:rPr>
      </w:pPr>
      <w:r w:rsidRPr="00D71CD1">
        <w:rPr>
          <w:rFonts w:ascii="Times New Roman" w:hAnsi="Times New Roman" w:cs="Times New Roman"/>
          <w:noProof/>
          <w:sz w:val="24"/>
          <w:szCs w:val="24"/>
          <w:lang w:eastAsia="pt-BR"/>
        </w:rPr>
        <w:drawing>
          <wp:inline distT="0" distB="0" distL="0" distR="0">
            <wp:extent cx="5819775" cy="14478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00D61" w:rsidRPr="00D71CD1" w:rsidRDefault="00056997" w:rsidP="00D71CD1">
      <w:pPr>
        <w:pStyle w:val="Legenda"/>
        <w:spacing w:after="0"/>
        <w:jc w:val="both"/>
        <w:rPr>
          <w:rFonts w:ascii="Times New Roman" w:hAnsi="Times New Roman" w:cs="Times New Roman"/>
          <w:color w:val="auto"/>
          <w:sz w:val="24"/>
          <w:szCs w:val="24"/>
        </w:rPr>
      </w:pPr>
      <w:r w:rsidRPr="00D71CD1">
        <w:rPr>
          <w:rFonts w:ascii="Times New Roman" w:hAnsi="Times New Roman" w:cs="Times New Roman"/>
          <w:noProof/>
          <w:color w:val="auto"/>
          <w:sz w:val="24"/>
          <w:szCs w:val="24"/>
          <w:lang w:eastAsia="pt-BR"/>
        </w:rPr>
        <w:drawing>
          <wp:inline distT="0" distB="0" distL="0" distR="0">
            <wp:extent cx="5705475" cy="1847850"/>
            <wp:effectExtent l="0" t="0" r="0" b="0"/>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00D61" w:rsidRPr="00D71CD1" w:rsidRDefault="00056997" w:rsidP="00D71CD1">
      <w:pPr>
        <w:pStyle w:val="Legenda"/>
        <w:spacing w:after="0"/>
        <w:jc w:val="both"/>
        <w:rPr>
          <w:rFonts w:ascii="Times New Roman" w:hAnsi="Times New Roman" w:cs="Times New Roman"/>
          <w:color w:val="auto"/>
          <w:sz w:val="24"/>
          <w:szCs w:val="24"/>
        </w:rPr>
      </w:pPr>
      <w:r w:rsidRPr="00D71CD1">
        <w:rPr>
          <w:rFonts w:ascii="Times New Roman" w:hAnsi="Times New Roman" w:cs="Times New Roman"/>
          <w:noProof/>
          <w:color w:val="auto"/>
          <w:sz w:val="24"/>
          <w:szCs w:val="24"/>
          <w:lang w:eastAsia="pt-BR"/>
        </w:rPr>
        <w:drawing>
          <wp:inline distT="0" distB="0" distL="0" distR="0">
            <wp:extent cx="5705475" cy="1933575"/>
            <wp:effectExtent l="0" t="0" r="0" b="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00D61" w:rsidRPr="00D71CD1" w:rsidRDefault="00B00D61" w:rsidP="00D71CD1">
      <w:pPr>
        <w:pStyle w:val="Legenda"/>
        <w:spacing w:after="0"/>
        <w:jc w:val="both"/>
        <w:rPr>
          <w:rFonts w:ascii="Times New Roman" w:hAnsi="Times New Roman" w:cs="Times New Roman"/>
          <w:color w:val="auto"/>
          <w:sz w:val="24"/>
          <w:szCs w:val="24"/>
        </w:rPr>
      </w:pPr>
      <w:bookmarkStart w:id="9" w:name="_Toc358786583"/>
      <w:r w:rsidRPr="00D71CD1">
        <w:rPr>
          <w:rFonts w:ascii="Times New Roman" w:hAnsi="Times New Roman" w:cs="Times New Roman"/>
          <w:color w:val="auto"/>
          <w:sz w:val="24"/>
          <w:szCs w:val="24"/>
        </w:rPr>
        <w:t xml:space="preserve">Figura </w:t>
      </w:r>
      <w:r w:rsidR="00056997" w:rsidRPr="00D71CD1">
        <w:rPr>
          <w:rFonts w:ascii="Times New Roman" w:hAnsi="Times New Roman" w:cs="Times New Roman"/>
          <w:color w:val="auto"/>
          <w:sz w:val="24"/>
          <w:szCs w:val="24"/>
        </w:rPr>
        <w:t>1</w:t>
      </w:r>
      <w:r w:rsidRPr="00D71CD1">
        <w:rPr>
          <w:rFonts w:ascii="Times New Roman" w:hAnsi="Times New Roman" w:cs="Times New Roman"/>
          <w:color w:val="auto"/>
          <w:sz w:val="24"/>
          <w:szCs w:val="24"/>
        </w:rPr>
        <w:t xml:space="preserve"> – Média quinzenal da eficiência da mensuração do custo de liquidez das metodologias de </w:t>
      </w:r>
      <w:proofErr w:type="spellStart"/>
      <w:r w:rsidRPr="00D71CD1">
        <w:rPr>
          <w:rFonts w:ascii="Times New Roman" w:hAnsi="Times New Roman" w:cs="Times New Roman"/>
          <w:color w:val="auto"/>
          <w:sz w:val="24"/>
          <w:szCs w:val="24"/>
        </w:rPr>
        <w:t>Roll</w:t>
      </w:r>
      <w:proofErr w:type="spellEnd"/>
      <w:r w:rsidRPr="00D71CD1">
        <w:rPr>
          <w:rFonts w:ascii="Times New Roman" w:hAnsi="Times New Roman" w:cs="Times New Roman"/>
          <w:color w:val="auto"/>
          <w:sz w:val="24"/>
          <w:szCs w:val="24"/>
        </w:rPr>
        <w:t xml:space="preserve">, CDP, TWM e CFTC, em dólares, para os contratos com vencimentos em maio de </w:t>
      </w:r>
      <w:proofErr w:type="gramStart"/>
      <w:r w:rsidRPr="00D71CD1">
        <w:rPr>
          <w:rFonts w:ascii="Times New Roman" w:hAnsi="Times New Roman" w:cs="Times New Roman"/>
          <w:color w:val="auto"/>
          <w:sz w:val="24"/>
          <w:szCs w:val="24"/>
        </w:rPr>
        <w:t>2011 (SOJK11), maio</w:t>
      </w:r>
      <w:proofErr w:type="gramEnd"/>
      <w:r w:rsidRPr="00D71CD1">
        <w:rPr>
          <w:rFonts w:ascii="Times New Roman" w:hAnsi="Times New Roman" w:cs="Times New Roman"/>
          <w:color w:val="auto"/>
          <w:sz w:val="24"/>
          <w:szCs w:val="24"/>
        </w:rPr>
        <w:t xml:space="preserve"> de 2012 (SFIK12) e maio de 2013 (SFIK13)</w:t>
      </w:r>
      <w:r w:rsidR="0007629D" w:rsidRPr="00D71CD1">
        <w:rPr>
          <w:rFonts w:ascii="Times New Roman" w:hAnsi="Times New Roman" w:cs="Times New Roman"/>
          <w:color w:val="auto"/>
          <w:sz w:val="24"/>
          <w:szCs w:val="24"/>
        </w:rPr>
        <w:t xml:space="preserve"> respectivamente</w:t>
      </w:r>
      <w:r w:rsidRPr="00D71CD1">
        <w:rPr>
          <w:rFonts w:ascii="Times New Roman" w:hAnsi="Times New Roman" w:cs="Times New Roman"/>
          <w:color w:val="auto"/>
          <w:sz w:val="24"/>
          <w:szCs w:val="24"/>
        </w:rPr>
        <w:t>.</w:t>
      </w:r>
      <w:bookmarkEnd w:id="9"/>
    </w:p>
    <w:p w:rsidR="00B00D61" w:rsidRPr="00D71CD1" w:rsidRDefault="00B00D61" w:rsidP="00D71CD1">
      <w:pPr>
        <w:spacing w:after="0" w:line="240" w:lineRule="auto"/>
        <w:jc w:val="both"/>
        <w:rPr>
          <w:rFonts w:ascii="Times New Roman" w:hAnsi="Times New Roman" w:cs="Times New Roman"/>
          <w:sz w:val="24"/>
          <w:szCs w:val="24"/>
        </w:rPr>
      </w:pPr>
      <w:r w:rsidRPr="00D71CD1">
        <w:rPr>
          <w:rFonts w:ascii="Times New Roman" w:hAnsi="Times New Roman" w:cs="Times New Roman"/>
          <w:sz w:val="24"/>
          <w:szCs w:val="24"/>
        </w:rPr>
        <w:t>Fonte: Dados da pesquisa</w:t>
      </w:r>
    </w:p>
    <w:p w:rsidR="00B00D61" w:rsidRPr="00D71CD1" w:rsidRDefault="00B00D61" w:rsidP="00D71CD1">
      <w:pPr>
        <w:spacing w:after="0" w:line="240" w:lineRule="auto"/>
        <w:rPr>
          <w:rFonts w:ascii="Times New Roman" w:hAnsi="Times New Roman" w:cs="Times New Roman"/>
          <w:sz w:val="24"/>
          <w:szCs w:val="24"/>
        </w:rPr>
      </w:pPr>
    </w:p>
    <w:p w:rsidR="00B00D61" w:rsidRPr="00D71CD1" w:rsidRDefault="00B00D61" w:rsidP="00D71CD1">
      <w:pPr>
        <w:spacing w:after="0" w:line="240" w:lineRule="auto"/>
        <w:jc w:val="both"/>
        <w:rPr>
          <w:rFonts w:ascii="Times New Roman" w:hAnsi="Times New Roman" w:cs="Times New Roman"/>
          <w:sz w:val="24"/>
          <w:szCs w:val="24"/>
        </w:rPr>
      </w:pPr>
      <w:r w:rsidRPr="00D71CD1">
        <w:rPr>
          <w:rFonts w:ascii="Times New Roman" w:hAnsi="Times New Roman" w:cs="Times New Roman"/>
          <w:sz w:val="24"/>
          <w:szCs w:val="24"/>
        </w:rPr>
        <w:tab/>
        <w:t xml:space="preserve">Pela análise da Figura </w:t>
      </w:r>
      <w:r w:rsidR="00F43988" w:rsidRPr="00D71CD1">
        <w:rPr>
          <w:rFonts w:ascii="Times New Roman" w:hAnsi="Times New Roman" w:cs="Times New Roman"/>
          <w:sz w:val="24"/>
          <w:szCs w:val="24"/>
        </w:rPr>
        <w:t>1</w:t>
      </w:r>
      <w:r w:rsidRPr="00D71CD1">
        <w:rPr>
          <w:rFonts w:ascii="Times New Roman" w:hAnsi="Times New Roman" w:cs="Times New Roman"/>
          <w:sz w:val="24"/>
          <w:szCs w:val="24"/>
        </w:rPr>
        <w:t>, observa-se que nas quatro metodologias adotadas, as metodologias subestimam o valor do custo de liquidez, pois apresentam estimativas muito inferiores, indicando que tanto as correlações entre as covariâncias das variações de preços (</w:t>
      </w:r>
      <w:proofErr w:type="spellStart"/>
      <w:r w:rsidRPr="00D71CD1">
        <w:rPr>
          <w:rFonts w:ascii="Times New Roman" w:hAnsi="Times New Roman" w:cs="Times New Roman"/>
          <w:sz w:val="24"/>
          <w:szCs w:val="24"/>
        </w:rPr>
        <w:t>Roll</w:t>
      </w:r>
      <w:proofErr w:type="spellEnd"/>
      <w:r w:rsidRPr="00D71CD1">
        <w:rPr>
          <w:rFonts w:ascii="Times New Roman" w:hAnsi="Times New Roman" w:cs="Times New Roman"/>
          <w:sz w:val="24"/>
          <w:szCs w:val="24"/>
        </w:rPr>
        <w:t xml:space="preserve"> e CDP) quanto às </w:t>
      </w:r>
      <w:r w:rsidRPr="00D71CD1">
        <w:rPr>
          <w:rFonts w:ascii="Times New Roman" w:hAnsi="Times New Roman" w:cs="Times New Roman"/>
          <w:sz w:val="24"/>
          <w:szCs w:val="24"/>
        </w:rPr>
        <w:lastRenderedPageBreak/>
        <w:t xml:space="preserve">variações absolutas nos preços (TWM e CFTC) não são tão precisas para captar o custo de liquidez do contrato da soja. </w:t>
      </w:r>
    </w:p>
    <w:p w:rsidR="00B00D61" w:rsidRDefault="00B00D61" w:rsidP="00D71CD1">
      <w:pPr>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Além das metodologias subestimarem o custo de liquidez, outra análise está na oscilação que ocorre no custo de liquidez que não é captado pelas metodologias, tais como no contrato com vencimento em maio de 2011 (SOJK11) para o mês de março, onde o custo teve </w:t>
      </w:r>
      <w:proofErr w:type="gramStart"/>
      <w:r w:rsidRPr="00D71CD1">
        <w:rPr>
          <w:rFonts w:ascii="Times New Roman" w:hAnsi="Times New Roman" w:cs="Times New Roman"/>
          <w:sz w:val="24"/>
          <w:szCs w:val="24"/>
        </w:rPr>
        <w:t>uma leve queda seguido de uma leve alta</w:t>
      </w:r>
      <w:proofErr w:type="gramEnd"/>
      <w:r w:rsidRPr="00D71CD1">
        <w:rPr>
          <w:rFonts w:ascii="Times New Roman" w:hAnsi="Times New Roman" w:cs="Times New Roman"/>
          <w:sz w:val="24"/>
          <w:szCs w:val="24"/>
        </w:rPr>
        <w:t xml:space="preserve">. Para as metodologias de TWM e CFTC as variações para o mês de março foram opostas, e para </w:t>
      </w:r>
      <w:proofErr w:type="spellStart"/>
      <w:r w:rsidRPr="00D71CD1">
        <w:rPr>
          <w:rFonts w:ascii="Times New Roman" w:hAnsi="Times New Roman" w:cs="Times New Roman"/>
          <w:sz w:val="24"/>
          <w:szCs w:val="24"/>
        </w:rPr>
        <w:t>Roll</w:t>
      </w:r>
      <w:proofErr w:type="spellEnd"/>
      <w:r w:rsidRPr="00D71CD1">
        <w:rPr>
          <w:rFonts w:ascii="Times New Roman" w:hAnsi="Times New Roman" w:cs="Times New Roman"/>
          <w:sz w:val="24"/>
          <w:szCs w:val="24"/>
        </w:rPr>
        <w:t xml:space="preserve"> e CDP as variações foram duas quedas seguidas. </w:t>
      </w:r>
      <w:r w:rsidR="00F43988" w:rsidRPr="00D71CD1">
        <w:rPr>
          <w:rFonts w:ascii="Times New Roman" w:hAnsi="Times New Roman" w:cs="Times New Roman"/>
          <w:sz w:val="24"/>
          <w:szCs w:val="24"/>
        </w:rPr>
        <w:t xml:space="preserve">Assim, na Tabela </w:t>
      </w:r>
      <w:r w:rsidR="005A0429">
        <w:rPr>
          <w:rFonts w:ascii="Times New Roman" w:hAnsi="Times New Roman" w:cs="Times New Roman"/>
          <w:sz w:val="24"/>
          <w:szCs w:val="24"/>
        </w:rPr>
        <w:t>4</w:t>
      </w:r>
      <w:r w:rsidRPr="00D71CD1">
        <w:rPr>
          <w:rFonts w:ascii="Times New Roman" w:hAnsi="Times New Roman" w:cs="Times New Roman"/>
          <w:sz w:val="24"/>
          <w:szCs w:val="24"/>
        </w:rPr>
        <w:t>, estão apresentadas as correlações das metodologias adotadas.</w:t>
      </w:r>
    </w:p>
    <w:p w:rsidR="00B00D61" w:rsidRPr="00D71CD1" w:rsidRDefault="00B00D61" w:rsidP="00D71CD1">
      <w:pPr>
        <w:spacing w:after="0" w:line="240" w:lineRule="auto"/>
        <w:jc w:val="both"/>
        <w:rPr>
          <w:rFonts w:ascii="Times New Roman" w:hAnsi="Times New Roman" w:cs="Times New Roman"/>
          <w:sz w:val="24"/>
          <w:szCs w:val="24"/>
        </w:rPr>
      </w:pPr>
    </w:p>
    <w:p w:rsidR="00B00D61" w:rsidRPr="00D71CD1" w:rsidRDefault="00B00D61" w:rsidP="00D71CD1">
      <w:pPr>
        <w:pStyle w:val="Legenda"/>
        <w:spacing w:after="0"/>
        <w:jc w:val="both"/>
        <w:rPr>
          <w:rFonts w:ascii="Times New Roman" w:hAnsi="Times New Roman" w:cs="Times New Roman"/>
          <w:color w:val="auto"/>
          <w:sz w:val="24"/>
          <w:szCs w:val="24"/>
        </w:rPr>
      </w:pPr>
      <w:bookmarkStart w:id="10" w:name="_Toc359857988"/>
      <w:r w:rsidRPr="00D71CD1">
        <w:rPr>
          <w:rFonts w:ascii="Times New Roman" w:hAnsi="Times New Roman" w:cs="Times New Roman"/>
          <w:color w:val="auto"/>
          <w:sz w:val="24"/>
          <w:szCs w:val="24"/>
        </w:rPr>
        <w:t xml:space="preserve">Tabela </w:t>
      </w:r>
      <w:r w:rsidR="005A0429">
        <w:rPr>
          <w:rFonts w:ascii="Times New Roman" w:hAnsi="Times New Roman" w:cs="Times New Roman"/>
          <w:color w:val="auto"/>
          <w:sz w:val="24"/>
          <w:szCs w:val="24"/>
        </w:rPr>
        <w:t>4</w:t>
      </w:r>
      <w:r w:rsidRPr="00D71CD1">
        <w:rPr>
          <w:rFonts w:ascii="Times New Roman" w:hAnsi="Times New Roman" w:cs="Times New Roman"/>
          <w:color w:val="auto"/>
          <w:sz w:val="24"/>
          <w:szCs w:val="24"/>
        </w:rPr>
        <w:t xml:space="preserve"> - Correlação das estimativas de custo de liquidez das metodologias de </w:t>
      </w:r>
      <w:proofErr w:type="spellStart"/>
      <w:r w:rsidRPr="00D71CD1">
        <w:rPr>
          <w:rFonts w:ascii="Times New Roman" w:hAnsi="Times New Roman" w:cs="Times New Roman"/>
          <w:color w:val="auto"/>
          <w:sz w:val="24"/>
          <w:szCs w:val="24"/>
        </w:rPr>
        <w:t>Roll</w:t>
      </w:r>
      <w:proofErr w:type="spellEnd"/>
      <w:r w:rsidRPr="00D71CD1">
        <w:rPr>
          <w:rFonts w:ascii="Times New Roman" w:hAnsi="Times New Roman" w:cs="Times New Roman"/>
          <w:color w:val="auto"/>
          <w:sz w:val="24"/>
          <w:szCs w:val="24"/>
        </w:rPr>
        <w:t>, CDP, TWM e CFTC, em dólares, para os contratos de maio de 2011, maio de 2012, julho de 2012, setembro de 2012 e maio de 2013.</w:t>
      </w:r>
      <w:bookmarkEnd w:id="10"/>
    </w:p>
    <w:tbl>
      <w:tblPr>
        <w:tblW w:w="0" w:type="auto"/>
        <w:tblBorders>
          <w:top w:val="single" w:sz="4" w:space="0" w:color="auto"/>
          <w:bottom w:val="single" w:sz="4" w:space="0" w:color="auto"/>
        </w:tblBorders>
        <w:tblLook w:val="04A0"/>
      </w:tblPr>
      <w:tblGrid>
        <w:gridCol w:w="2376"/>
        <w:gridCol w:w="2552"/>
        <w:gridCol w:w="992"/>
        <w:gridCol w:w="1134"/>
        <w:gridCol w:w="992"/>
        <w:gridCol w:w="1134"/>
      </w:tblGrid>
      <w:tr w:rsidR="00B00D61" w:rsidRPr="00D71CD1" w:rsidTr="00F43988">
        <w:tc>
          <w:tcPr>
            <w:tcW w:w="2376" w:type="dxa"/>
            <w:tcBorders>
              <w:top w:val="single" w:sz="4" w:space="0" w:color="auto"/>
              <w:bottom w:val="single" w:sz="4" w:space="0" w:color="auto"/>
            </w:tcBorders>
          </w:tcPr>
          <w:p w:rsidR="00B00D61" w:rsidRPr="00D71CD1" w:rsidRDefault="00B00D61" w:rsidP="00D71CD1">
            <w:pPr>
              <w:spacing w:after="0" w:line="240" w:lineRule="auto"/>
              <w:jc w:val="center"/>
              <w:rPr>
                <w:rFonts w:ascii="Times New Roman" w:hAnsi="Times New Roman" w:cs="Times New Roman"/>
                <w:bCs/>
                <w:color w:val="000000"/>
                <w:sz w:val="24"/>
                <w:szCs w:val="24"/>
              </w:rPr>
            </w:pPr>
          </w:p>
        </w:tc>
        <w:tc>
          <w:tcPr>
            <w:tcW w:w="2552" w:type="dxa"/>
            <w:tcBorders>
              <w:top w:val="single" w:sz="4" w:space="0" w:color="auto"/>
              <w:bottom w:val="single" w:sz="4" w:space="0" w:color="auto"/>
            </w:tcBorders>
          </w:tcPr>
          <w:p w:rsidR="00B00D61" w:rsidRPr="00D71CD1" w:rsidRDefault="00B00D61" w:rsidP="00D71CD1">
            <w:pPr>
              <w:spacing w:after="0" w:line="240" w:lineRule="auto"/>
              <w:jc w:val="center"/>
              <w:rPr>
                <w:rFonts w:ascii="Times New Roman" w:hAnsi="Times New Roman" w:cs="Times New Roman"/>
                <w:sz w:val="24"/>
                <w:szCs w:val="24"/>
              </w:rPr>
            </w:pPr>
            <w:r w:rsidRPr="00D71CD1">
              <w:rPr>
                <w:rFonts w:ascii="Times New Roman" w:hAnsi="Times New Roman" w:cs="Times New Roman"/>
                <w:bCs/>
                <w:color w:val="000000"/>
                <w:sz w:val="24"/>
                <w:szCs w:val="24"/>
              </w:rPr>
              <w:t>Custo de liquidez</w:t>
            </w:r>
          </w:p>
        </w:tc>
        <w:tc>
          <w:tcPr>
            <w:tcW w:w="992" w:type="dxa"/>
            <w:tcBorders>
              <w:top w:val="single" w:sz="4" w:space="0" w:color="auto"/>
              <w:bottom w:val="single" w:sz="4" w:space="0" w:color="auto"/>
            </w:tcBorders>
          </w:tcPr>
          <w:p w:rsidR="00B00D61" w:rsidRPr="00D71CD1" w:rsidRDefault="00B00D61" w:rsidP="00D71CD1">
            <w:pPr>
              <w:spacing w:after="0" w:line="240" w:lineRule="auto"/>
              <w:jc w:val="center"/>
              <w:rPr>
                <w:rFonts w:ascii="Times New Roman" w:hAnsi="Times New Roman" w:cs="Times New Roman"/>
                <w:sz w:val="24"/>
                <w:szCs w:val="24"/>
              </w:rPr>
            </w:pPr>
            <w:proofErr w:type="spellStart"/>
            <w:r w:rsidRPr="00D71CD1">
              <w:rPr>
                <w:rFonts w:ascii="Times New Roman" w:hAnsi="Times New Roman" w:cs="Times New Roman"/>
                <w:sz w:val="24"/>
                <w:szCs w:val="24"/>
              </w:rPr>
              <w:t>Roll</w:t>
            </w:r>
            <w:proofErr w:type="spellEnd"/>
          </w:p>
        </w:tc>
        <w:tc>
          <w:tcPr>
            <w:tcW w:w="1134" w:type="dxa"/>
            <w:tcBorders>
              <w:top w:val="single" w:sz="4" w:space="0" w:color="auto"/>
              <w:bottom w:val="single" w:sz="4" w:space="0" w:color="auto"/>
            </w:tcBorders>
          </w:tcPr>
          <w:p w:rsidR="00B00D61" w:rsidRPr="00D71CD1" w:rsidRDefault="00B00D61" w:rsidP="00D71CD1">
            <w:pPr>
              <w:spacing w:after="0" w:line="240" w:lineRule="auto"/>
              <w:jc w:val="center"/>
              <w:rPr>
                <w:rFonts w:ascii="Times New Roman" w:hAnsi="Times New Roman" w:cs="Times New Roman"/>
                <w:sz w:val="24"/>
                <w:szCs w:val="24"/>
              </w:rPr>
            </w:pPr>
            <w:r w:rsidRPr="00D71CD1">
              <w:rPr>
                <w:rFonts w:ascii="Times New Roman" w:hAnsi="Times New Roman" w:cs="Times New Roman"/>
                <w:sz w:val="24"/>
                <w:szCs w:val="24"/>
              </w:rPr>
              <w:t>CDP</w:t>
            </w:r>
          </w:p>
        </w:tc>
        <w:tc>
          <w:tcPr>
            <w:tcW w:w="992" w:type="dxa"/>
            <w:tcBorders>
              <w:top w:val="single" w:sz="4" w:space="0" w:color="auto"/>
              <w:bottom w:val="single" w:sz="4" w:space="0" w:color="auto"/>
            </w:tcBorders>
          </w:tcPr>
          <w:p w:rsidR="00B00D61" w:rsidRPr="00D71CD1" w:rsidRDefault="00B00D61" w:rsidP="00D71CD1">
            <w:pPr>
              <w:spacing w:after="0" w:line="240" w:lineRule="auto"/>
              <w:jc w:val="center"/>
              <w:rPr>
                <w:rFonts w:ascii="Times New Roman" w:hAnsi="Times New Roman" w:cs="Times New Roman"/>
                <w:sz w:val="24"/>
                <w:szCs w:val="24"/>
              </w:rPr>
            </w:pPr>
            <w:r w:rsidRPr="00D71CD1">
              <w:rPr>
                <w:rFonts w:ascii="Times New Roman" w:hAnsi="Times New Roman" w:cs="Times New Roman"/>
                <w:sz w:val="24"/>
                <w:szCs w:val="24"/>
              </w:rPr>
              <w:t>TWM</w:t>
            </w:r>
          </w:p>
        </w:tc>
        <w:tc>
          <w:tcPr>
            <w:tcW w:w="1134" w:type="dxa"/>
            <w:tcBorders>
              <w:top w:val="single" w:sz="4" w:space="0" w:color="auto"/>
              <w:bottom w:val="single" w:sz="4" w:space="0" w:color="auto"/>
            </w:tcBorders>
          </w:tcPr>
          <w:p w:rsidR="00B00D61" w:rsidRPr="00D71CD1" w:rsidRDefault="00B00D61" w:rsidP="00D71CD1">
            <w:pPr>
              <w:spacing w:after="0" w:line="240" w:lineRule="auto"/>
              <w:jc w:val="center"/>
              <w:rPr>
                <w:rFonts w:ascii="Times New Roman" w:hAnsi="Times New Roman" w:cs="Times New Roman"/>
                <w:sz w:val="24"/>
                <w:szCs w:val="24"/>
              </w:rPr>
            </w:pPr>
            <w:r w:rsidRPr="00D71CD1">
              <w:rPr>
                <w:rFonts w:ascii="Times New Roman" w:hAnsi="Times New Roman" w:cs="Times New Roman"/>
                <w:sz w:val="24"/>
                <w:szCs w:val="24"/>
              </w:rPr>
              <w:t>CFTC</w:t>
            </w:r>
          </w:p>
        </w:tc>
      </w:tr>
      <w:tr w:rsidR="00B00D61" w:rsidRPr="00D71CD1" w:rsidTr="00F43988">
        <w:tc>
          <w:tcPr>
            <w:tcW w:w="2376" w:type="dxa"/>
            <w:tcBorders>
              <w:top w:val="single" w:sz="4" w:space="0" w:color="auto"/>
            </w:tcBorders>
          </w:tcPr>
          <w:p w:rsidR="00B00D61" w:rsidRPr="00D71CD1" w:rsidRDefault="00B00D61" w:rsidP="00D71CD1">
            <w:pPr>
              <w:spacing w:after="0" w:line="240" w:lineRule="auto"/>
              <w:jc w:val="center"/>
              <w:rPr>
                <w:rFonts w:ascii="Times New Roman" w:hAnsi="Times New Roman" w:cs="Times New Roman"/>
                <w:bCs/>
                <w:color w:val="000000"/>
                <w:sz w:val="24"/>
                <w:szCs w:val="24"/>
              </w:rPr>
            </w:pPr>
            <w:r w:rsidRPr="00D71CD1">
              <w:rPr>
                <w:rFonts w:ascii="Times New Roman" w:hAnsi="Times New Roman" w:cs="Times New Roman"/>
                <w:bCs/>
                <w:color w:val="000000"/>
                <w:sz w:val="24"/>
                <w:szCs w:val="24"/>
              </w:rPr>
              <w:t>Custo de liquidez</w:t>
            </w:r>
          </w:p>
        </w:tc>
        <w:tc>
          <w:tcPr>
            <w:tcW w:w="2552" w:type="dxa"/>
            <w:tcBorders>
              <w:top w:val="single" w:sz="4" w:space="0" w:color="auto"/>
            </w:tcBorders>
          </w:tcPr>
          <w:p w:rsidR="00B00D61" w:rsidRPr="00D71CD1" w:rsidRDefault="00B00D61" w:rsidP="00D71CD1">
            <w:pPr>
              <w:spacing w:after="0" w:line="240" w:lineRule="auto"/>
              <w:jc w:val="center"/>
              <w:rPr>
                <w:rFonts w:ascii="Times New Roman" w:hAnsi="Times New Roman" w:cs="Times New Roman"/>
                <w:color w:val="000000"/>
                <w:sz w:val="24"/>
                <w:szCs w:val="24"/>
              </w:rPr>
            </w:pPr>
            <w:proofErr w:type="gramStart"/>
            <w:r w:rsidRPr="00D71CD1">
              <w:rPr>
                <w:rFonts w:ascii="Times New Roman" w:hAnsi="Times New Roman" w:cs="Times New Roman"/>
                <w:bCs/>
                <w:color w:val="000000"/>
                <w:sz w:val="24"/>
                <w:szCs w:val="24"/>
              </w:rPr>
              <w:t>1</w:t>
            </w:r>
            <w:proofErr w:type="gramEnd"/>
          </w:p>
        </w:tc>
        <w:tc>
          <w:tcPr>
            <w:tcW w:w="992" w:type="dxa"/>
            <w:tcBorders>
              <w:top w:val="single" w:sz="4" w:space="0" w:color="auto"/>
            </w:tcBorders>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w:t>
            </w:r>
          </w:p>
        </w:tc>
        <w:tc>
          <w:tcPr>
            <w:tcW w:w="1134" w:type="dxa"/>
            <w:tcBorders>
              <w:top w:val="single" w:sz="4" w:space="0" w:color="auto"/>
            </w:tcBorders>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w:t>
            </w:r>
          </w:p>
        </w:tc>
        <w:tc>
          <w:tcPr>
            <w:tcW w:w="992" w:type="dxa"/>
            <w:tcBorders>
              <w:top w:val="single" w:sz="4" w:space="0" w:color="auto"/>
            </w:tcBorders>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w:t>
            </w:r>
          </w:p>
        </w:tc>
        <w:tc>
          <w:tcPr>
            <w:tcW w:w="1134" w:type="dxa"/>
            <w:tcBorders>
              <w:top w:val="single" w:sz="4" w:space="0" w:color="auto"/>
            </w:tcBorders>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w:t>
            </w:r>
          </w:p>
        </w:tc>
      </w:tr>
      <w:tr w:rsidR="00B00D61" w:rsidRPr="00D71CD1" w:rsidTr="00F43988">
        <w:tc>
          <w:tcPr>
            <w:tcW w:w="2376" w:type="dxa"/>
          </w:tcPr>
          <w:p w:rsidR="00B00D61" w:rsidRPr="00D71CD1" w:rsidRDefault="00B00D61" w:rsidP="00D71CD1">
            <w:pPr>
              <w:spacing w:after="0" w:line="240" w:lineRule="auto"/>
              <w:jc w:val="center"/>
              <w:rPr>
                <w:rFonts w:ascii="Times New Roman" w:hAnsi="Times New Roman" w:cs="Times New Roman"/>
                <w:color w:val="000000"/>
                <w:sz w:val="24"/>
                <w:szCs w:val="24"/>
              </w:rPr>
            </w:pPr>
            <w:proofErr w:type="spellStart"/>
            <w:r w:rsidRPr="00D71CD1">
              <w:rPr>
                <w:rFonts w:ascii="Times New Roman" w:hAnsi="Times New Roman" w:cs="Times New Roman"/>
                <w:color w:val="000000"/>
                <w:sz w:val="24"/>
                <w:szCs w:val="24"/>
              </w:rPr>
              <w:t>Roll</w:t>
            </w:r>
            <w:proofErr w:type="spellEnd"/>
          </w:p>
        </w:tc>
        <w:tc>
          <w:tcPr>
            <w:tcW w:w="2552" w:type="dxa"/>
            <w:vAlign w:val="bottom"/>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0,54</w:t>
            </w:r>
          </w:p>
        </w:tc>
        <w:tc>
          <w:tcPr>
            <w:tcW w:w="992" w:type="dxa"/>
          </w:tcPr>
          <w:p w:rsidR="00B00D61" w:rsidRPr="00D71CD1" w:rsidRDefault="00B00D61" w:rsidP="00D71CD1">
            <w:pPr>
              <w:spacing w:after="0" w:line="240" w:lineRule="auto"/>
              <w:jc w:val="center"/>
              <w:rPr>
                <w:rFonts w:ascii="Times New Roman" w:hAnsi="Times New Roman" w:cs="Times New Roman"/>
                <w:color w:val="000000"/>
                <w:sz w:val="24"/>
                <w:szCs w:val="24"/>
              </w:rPr>
            </w:pPr>
            <w:proofErr w:type="gramStart"/>
            <w:r w:rsidRPr="00D71CD1">
              <w:rPr>
                <w:rFonts w:ascii="Times New Roman" w:hAnsi="Times New Roman" w:cs="Times New Roman"/>
                <w:color w:val="000000"/>
                <w:sz w:val="24"/>
                <w:szCs w:val="24"/>
              </w:rPr>
              <w:t>1</w:t>
            </w:r>
            <w:proofErr w:type="gramEnd"/>
          </w:p>
        </w:tc>
        <w:tc>
          <w:tcPr>
            <w:tcW w:w="1134" w:type="dxa"/>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w:t>
            </w:r>
          </w:p>
        </w:tc>
        <w:tc>
          <w:tcPr>
            <w:tcW w:w="992" w:type="dxa"/>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w:t>
            </w:r>
          </w:p>
        </w:tc>
        <w:tc>
          <w:tcPr>
            <w:tcW w:w="1134" w:type="dxa"/>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w:t>
            </w:r>
          </w:p>
        </w:tc>
      </w:tr>
      <w:tr w:rsidR="00B00D61" w:rsidRPr="00D71CD1" w:rsidTr="00F43988">
        <w:tc>
          <w:tcPr>
            <w:tcW w:w="2376" w:type="dxa"/>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CDP</w:t>
            </w:r>
          </w:p>
        </w:tc>
        <w:tc>
          <w:tcPr>
            <w:tcW w:w="2552" w:type="dxa"/>
            <w:vAlign w:val="bottom"/>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0,51</w:t>
            </w:r>
          </w:p>
        </w:tc>
        <w:tc>
          <w:tcPr>
            <w:tcW w:w="992" w:type="dxa"/>
            <w:vAlign w:val="bottom"/>
          </w:tcPr>
          <w:p w:rsidR="00B00D61" w:rsidRPr="00D71CD1" w:rsidRDefault="00B00D61" w:rsidP="00D71CD1">
            <w:pPr>
              <w:spacing w:after="0" w:line="240" w:lineRule="auto"/>
              <w:jc w:val="center"/>
              <w:rPr>
                <w:rFonts w:ascii="Times New Roman" w:hAnsi="Times New Roman" w:cs="Times New Roman"/>
                <w:sz w:val="24"/>
                <w:szCs w:val="24"/>
              </w:rPr>
            </w:pPr>
            <w:r w:rsidRPr="00D71CD1">
              <w:rPr>
                <w:rFonts w:ascii="Times New Roman" w:hAnsi="Times New Roman" w:cs="Times New Roman"/>
                <w:sz w:val="24"/>
                <w:szCs w:val="24"/>
              </w:rPr>
              <w:t>0,96</w:t>
            </w:r>
          </w:p>
        </w:tc>
        <w:tc>
          <w:tcPr>
            <w:tcW w:w="1134" w:type="dxa"/>
          </w:tcPr>
          <w:p w:rsidR="00B00D61" w:rsidRPr="00D71CD1" w:rsidRDefault="00B00D61" w:rsidP="00D71CD1">
            <w:pPr>
              <w:spacing w:after="0" w:line="240" w:lineRule="auto"/>
              <w:jc w:val="center"/>
              <w:rPr>
                <w:rFonts w:ascii="Times New Roman" w:hAnsi="Times New Roman" w:cs="Times New Roman"/>
                <w:color w:val="000000"/>
                <w:sz w:val="24"/>
                <w:szCs w:val="24"/>
              </w:rPr>
            </w:pPr>
            <w:proofErr w:type="gramStart"/>
            <w:r w:rsidRPr="00D71CD1">
              <w:rPr>
                <w:rFonts w:ascii="Times New Roman" w:hAnsi="Times New Roman" w:cs="Times New Roman"/>
                <w:color w:val="000000"/>
                <w:sz w:val="24"/>
                <w:szCs w:val="24"/>
              </w:rPr>
              <w:t>1</w:t>
            </w:r>
            <w:proofErr w:type="gramEnd"/>
          </w:p>
        </w:tc>
        <w:tc>
          <w:tcPr>
            <w:tcW w:w="992" w:type="dxa"/>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w:t>
            </w:r>
          </w:p>
        </w:tc>
        <w:tc>
          <w:tcPr>
            <w:tcW w:w="1134" w:type="dxa"/>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w:t>
            </w:r>
          </w:p>
        </w:tc>
      </w:tr>
      <w:tr w:rsidR="00B00D61" w:rsidRPr="00D71CD1" w:rsidTr="00F43988">
        <w:tc>
          <w:tcPr>
            <w:tcW w:w="2376" w:type="dxa"/>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TWM</w:t>
            </w:r>
          </w:p>
        </w:tc>
        <w:tc>
          <w:tcPr>
            <w:tcW w:w="2552" w:type="dxa"/>
            <w:vAlign w:val="bottom"/>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0,64</w:t>
            </w:r>
          </w:p>
        </w:tc>
        <w:tc>
          <w:tcPr>
            <w:tcW w:w="992" w:type="dxa"/>
            <w:vAlign w:val="bottom"/>
          </w:tcPr>
          <w:p w:rsidR="00B00D61" w:rsidRPr="00D71CD1" w:rsidRDefault="00B00D61" w:rsidP="00D71CD1">
            <w:pPr>
              <w:spacing w:after="0" w:line="240" w:lineRule="auto"/>
              <w:jc w:val="center"/>
              <w:rPr>
                <w:rFonts w:ascii="Times New Roman" w:hAnsi="Times New Roman" w:cs="Times New Roman"/>
                <w:sz w:val="24"/>
                <w:szCs w:val="24"/>
              </w:rPr>
            </w:pPr>
            <w:r w:rsidRPr="00D71CD1">
              <w:rPr>
                <w:rFonts w:ascii="Times New Roman" w:hAnsi="Times New Roman" w:cs="Times New Roman"/>
                <w:sz w:val="24"/>
                <w:szCs w:val="24"/>
              </w:rPr>
              <w:t>0,81</w:t>
            </w:r>
          </w:p>
        </w:tc>
        <w:tc>
          <w:tcPr>
            <w:tcW w:w="1134" w:type="dxa"/>
            <w:vAlign w:val="bottom"/>
          </w:tcPr>
          <w:p w:rsidR="00B00D61" w:rsidRPr="00D71CD1" w:rsidRDefault="00B00D61" w:rsidP="00D71CD1">
            <w:pPr>
              <w:spacing w:after="0" w:line="240" w:lineRule="auto"/>
              <w:jc w:val="center"/>
              <w:rPr>
                <w:rFonts w:ascii="Times New Roman" w:hAnsi="Times New Roman" w:cs="Times New Roman"/>
                <w:sz w:val="24"/>
                <w:szCs w:val="24"/>
              </w:rPr>
            </w:pPr>
            <w:r w:rsidRPr="00D71CD1">
              <w:rPr>
                <w:rFonts w:ascii="Times New Roman" w:hAnsi="Times New Roman" w:cs="Times New Roman"/>
                <w:sz w:val="24"/>
                <w:szCs w:val="24"/>
              </w:rPr>
              <w:t>0,80</w:t>
            </w:r>
          </w:p>
        </w:tc>
        <w:tc>
          <w:tcPr>
            <w:tcW w:w="992" w:type="dxa"/>
          </w:tcPr>
          <w:p w:rsidR="00B00D61" w:rsidRPr="00D71CD1" w:rsidRDefault="00B00D61" w:rsidP="00D71CD1">
            <w:pPr>
              <w:spacing w:after="0" w:line="240" w:lineRule="auto"/>
              <w:jc w:val="center"/>
              <w:rPr>
                <w:rFonts w:ascii="Times New Roman" w:hAnsi="Times New Roman" w:cs="Times New Roman"/>
                <w:color w:val="000000"/>
                <w:sz w:val="24"/>
                <w:szCs w:val="24"/>
              </w:rPr>
            </w:pPr>
            <w:proofErr w:type="gramStart"/>
            <w:r w:rsidRPr="00D71CD1">
              <w:rPr>
                <w:rFonts w:ascii="Times New Roman" w:hAnsi="Times New Roman" w:cs="Times New Roman"/>
                <w:color w:val="000000"/>
                <w:sz w:val="24"/>
                <w:szCs w:val="24"/>
              </w:rPr>
              <w:t>1</w:t>
            </w:r>
            <w:proofErr w:type="gramEnd"/>
          </w:p>
        </w:tc>
        <w:tc>
          <w:tcPr>
            <w:tcW w:w="1134" w:type="dxa"/>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w:t>
            </w:r>
          </w:p>
        </w:tc>
      </w:tr>
      <w:tr w:rsidR="00B00D61" w:rsidRPr="00D71CD1" w:rsidTr="00F43988">
        <w:tc>
          <w:tcPr>
            <w:tcW w:w="2376" w:type="dxa"/>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CFTC</w:t>
            </w:r>
          </w:p>
        </w:tc>
        <w:tc>
          <w:tcPr>
            <w:tcW w:w="2552" w:type="dxa"/>
            <w:vAlign w:val="bottom"/>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0,56</w:t>
            </w:r>
          </w:p>
        </w:tc>
        <w:tc>
          <w:tcPr>
            <w:tcW w:w="992" w:type="dxa"/>
            <w:vAlign w:val="bottom"/>
          </w:tcPr>
          <w:p w:rsidR="00B00D61" w:rsidRPr="00D71CD1" w:rsidRDefault="00B00D61" w:rsidP="00D71CD1">
            <w:pPr>
              <w:spacing w:after="0" w:line="240" w:lineRule="auto"/>
              <w:jc w:val="center"/>
              <w:rPr>
                <w:rFonts w:ascii="Times New Roman" w:hAnsi="Times New Roman" w:cs="Times New Roman"/>
                <w:sz w:val="24"/>
                <w:szCs w:val="24"/>
              </w:rPr>
            </w:pPr>
            <w:r w:rsidRPr="00D71CD1">
              <w:rPr>
                <w:rFonts w:ascii="Times New Roman" w:hAnsi="Times New Roman" w:cs="Times New Roman"/>
                <w:sz w:val="24"/>
                <w:szCs w:val="24"/>
              </w:rPr>
              <w:t>0,75</w:t>
            </w:r>
          </w:p>
        </w:tc>
        <w:tc>
          <w:tcPr>
            <w:tcW w:w="1134" w:type="dxa"/>
            <w:vAlign w:val="bottom"/>
          </w:tcPr>
          <w:p w:rsidR="00B00D61" w:rsidRPr="00D71CD1" w:rsidRDefault="00B00D61" w:rsidP="00D71CD1">
            <w:pPr>
              <w:spacing w:after="0" w:line="240" w:lineRule="auto"/>
              <w:jc w:val="center"/>
              <w:rPr>
                <w:rFonts w:ascii="Times New Roman" w:hAnsi="Times New Roman" w:cs="Times New Roman"/>
                <w:sz w:val="24"/>
                <w:szCs w:val="24"/>
              </w:rPr>
            </w:pPr>
            <w:r w:rsidRPr="00D71CD1">
              <w:rPr>
                <w:rFonts w:ascii="Times New Roman" w:hAnsi="Times New Roman" w:cs="Times New Roman"/>
                <w:sz w:val="24"/>
                <w:szCs w:val="24"/>
              </w:rPr>
              <w:t>0,72</w:t>
            </w:r>
          </w:p>
        </w:tc>
        <w:tc>
          <w:tcPr>
            <w:tcW w:w="992" w:type="dxa"/>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0,82</w:t>
            </w:r>
          </w:p>
        </w:tc>
        <w:tc>
          <w:tcPr>
            <w:tcW w:w="1134" w:type="dxa"/>
          </w:tcPr>
          <w:p w:rsidR="00B00D61" w:rsidRPr="00D71CD1" w:rsidRDefault="00B00D61" w:rsidP="00D71CD1">
            <w:pPr>
              <w:spacing w:after="0" w:line="240" w:lineRule="auto"/>
              <w:jc w:val="center"/>
              <w:rPr>
                <w:rFonts w:ascii="Times New Roman" w:hAnsi="Times New Roman" w:cs="Times New Roman"/>
                <w:color w:val="000000"/>
                <w:sz w:val="24"/>
                <w:szCs w:val="24"/>
              </w:rPr>
            </w:pPr>
            <w:proofErr w:type="gramStart"/>
            <w:r w:rsidRPr="00D71CD1">
              <w:rPr>
                <w:rFonts w:ascii="Times New Roman" w:hAnsi="Times New Roman" w:cs="Times New Roman"/>
                <w:color w:val="000000"/>
                <w:sz w:val="24"/>
                <w:szCs w:val="24"/>
              </w:rPr>
              <w:t>1</w:t>
            </w:r>
            <w:proofErr w:type="gramEnd"/>
          </w:p>
        </w:tc>
      </w:tr>
    </w:tbl>
    <w:p w:rsidR="00B00D61" w:rsidRPr="00D71CD1" w:rsidRDefault="00B00D61" w:rsidP="00D71CD1">
      <w:pPr>
        <w:spacing w:after="0" w:line="240" w:lineRule="auto"/>
        <w:jc w:val="both"/>
        <w:rPr>
          <w:rFonts w:ascii="Times New Roman" w:hAnsi="Times New Roman" w:cs="Times New Roman"/>
          <w:sz w:val="24"/>
          <w:szCs w:val="24"/>
        </w:rPr>
      </w:pPr>
      <w:r w:rsidRPr="00D71CD1">
        <w:rPr>
          <w:rFonts w:ascii="Times New Roman" w:hAnsi="Times New Roman" w:cs="Times New Roman"/>
          <w:sz w:val="24"/>
          <w:szCs w:val="24"/>
        </w:rPr>
        <w:t>Fonte: Dados da pesquisa</w:t>
      </w:r>
    </w:p>
    <w:p w:rsidR="00B00D61" w:rsidRPr="00D71CD1" w:rsidRDefault="00B00D61" w:rsidP="00D71CD1">
      <w:pPr>
        <w:spacing w:after="0" w:line="240" w:lineRule="auto"/>
        <w:jc w:val="both"/>
        <w:rPr>
          <w:rFonts w:ascii="Times New Roman" w:hAnsi="Times New Roman" w:cs="Times New Roman"/>
          <w:sz w:val="24"/>
          <w:szCs w:val="24"/>
        </w:rPr>
      </w:pPr>
      <w:r w:rsidRPr="00D71CD1">
        <w:rPr>
          <w:rFonts w:ascii="Times New Roman" w:hAnsi="Times New Roman" w:cs="Times New Roman"/>
          <w:sz w:val="24"/>
          <w:szCs w:val="24"/>
        </w:rPr>
        <w:tab/>
      </w:r>
    </w:p>
    <w:p w:rsidR="00B00D61" w:rsidRPr="00D71CD1" w:rsidRDefault="00B00D61" w:rsidP="00D71CD1">
      <w:pPr>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As correlações entre os resultados obtidos a partir dos modelos de covariância das variações de preços (</w:t>
      </w:r>
      <w:proofErr w:type="spellStart"/>
      <w:r w:rsidRPr="00D71CD1">
        <w:rPr>
          <w:rFonts w:ascii="Times New Roman" w:hAnsi="Times New Roman" w:cs="Times New Roman"/>
          <w:sz w:val="24"/>
          <w:szCs w:val="24"/>
        </w:rPr>
        <w:t>Roll</w:t>
      </w:r>
      <w:proofErr w:type="spellEnd"/>
      <w:r w:rsidRPr="00D71CD1">
        <w:rPr>
          <w:rFonts w:ascii="Times New Roman" w:hAnsi="Times New Roman" w:cs="Times New Roman"/>
          <w:sz w:val="24"/>
          <w:szCs w:val="24"/>
        </w:rPr>
        <w:t xml:space="preserve"> e CDP) foram elevadas, o que também acontece entre os modelos de variações absolutas nos preços (TWM e CFTC). Quando analisadas as correlações entre as metodologias de covariância de variações de preços (</w:t>
      </w:r>
      <w:proofErr w:type="spellStart"/>
      <w:r w:rsidRPr="00D71CD1">
        <w:rPr>
          <w:rFonts w:ascii="Times New Roman" w:hAnsi="Times New Roman" w:cs="Times New Roman"/>
          <w:sz w:val="24"/>
          <w:szCs w:val="24"/>
        </w:rPr>
        <w:t>Roll</w:t>
      </w:r>
      <w:proofErr w:type="spellEnd"/>
      <w:r w:rsidRPr="00D71CD1">
        <w:rPr>
          <w:rFonts w:ascii="Times New Roman" w:hAnsi="Times New Roman" w:cs="Times New Roman"/>
          <w:sz w:val="24"/>
          <w:szCs w:val="24"/>
        </w:rPr>
        <w:t xml:space="preserve"> e CDP) e de variações absolutas nos preços (TWM e CFTC) todas apresentaram um coeficiente maior que 0,72. Esses resultados estão de acordo com os trabalhos internacionais, tais como Frank e Garcia (2007) e Frank e Garcia (2010).</w:t>
      </w:r>
    </w:p>
    <w:p w:rsidR="00B00D61" w:rsidRPr="00D71CD1" w:rsidRDefault="00B00D61" w:rsidP="00D71CD1">
      <w:pPr>
        <w:spacing w:after="0" w:line="240" w:lineRule="auto"/>
        <w:jc w:val="both"/>
        <w:rPr>
          <w:rFonts w:ascii="Times New Roman" w:hAnsi="Times New Roman" w:cs="Times New Roman"/>
          <w:sz w:val="24"/>
          <w:szCs w:val="24"/>
        </w:rPr>
      </w:pPr>
      <w:r w:rsidRPr="00D71CD1">
        <w:rPr>
          <w:rFonts w:ascii="Times New Roman" w:hAnsi="Times New Roman" w:cs="Times New Roman"/>
          <w:sz w:val="24"/>
          <w:szCs w:val="24"/>
        </w:rPr>
        <w:tab/>
        <w:t xml:space="preserve">Conforme a Figura </w:t>
      </w:r>
      <w:r w:rsidR="00F43988" w:rsidRPr="00D71CD1">
        <w:rPr>
          <w:rFonts w:ascii="Times New Roman" w:hAnsi="Times New Roman" w:cs="Times New Roman"/>
          <w:sz w:val="24"/>
          <w:szCs w:val="24"/>
        </w:rPr>
        <w:t>3</w:t>
      </w:r>
      <w:r w:rsidRPr="00D71CD1">
        <w:rPr>
          <w:rFonts w:ascii="Times New Roman" w:hAnsi="Times New Roman" w:cs="Times New Roman"/>
          <w:sz w:val="24"/>
          <w:szCs w:val="24"/>
        </w:rPr>
        <w:t xml:space="preserve">, as correlações entre as </w:t>
      </w:r>
      <w:proofErr w:type="gramStart"/>
      <w:r w:rsidRPr="00D71CD1">
        <w:rPr>
          <w:rFonts w:ascii="Times New Roman" w:hAnsi="Times New Roman" w:cs="Times New Roman"/>
          <w:sz w:val="24"/>
          <w:szCs w:val="24"/>
        </w:rPr>
        <w:t>4</w:t>
      </w:r>
      <w:proofErr w:type="gramEnd"/>
      <w:r w:rsidRPr="00D71CD1">
        <w:rPr>
          <w:rFonts w:ascii="Times New Roman" w:hAnsi="Times New Roman" w:cs="Times New Roman"/>
          <w:sz w:val="24"/>
          <w:szCs w:val="24"/>
        </w:rPr>
        <w:t xml:space="preserve"> metodologias e o custo de liquidez não foram elevadas, sendo o modelo de TMW que apresentou a maior correlação, de 0,64, sendo que as demais ficaram em torno de 0,55. Esse resultado indica que as metodologias apresentam uma correlação moderada, e não são muito precisas para análise das variações nos custos de liquidez.</w:t>
      </w:r>
    </w:p>
    <w:p w:rsidR="00B00D61" w:rsidRPr="00D71CD1" w:rsidRDefault="00B00D61" w:rsidP="00D71CD1">
      <w:pPr>
        <w:spacing w:after="0" w:line="240" w:lineRule="auto"/>
        <w:jc w:val="both"/>
        <w:rPr>
          <w:rFonts w:ascii="Times New Roman" w:hAnsi="Times New Roman" w:cs="Times New Roman"/>
          <w:sz w:val="24"/>
          <w:szCs w:val="24"/>
        </w:rPr>
      </w:pPr>
      <w:r w:rsidRPr="00D71CD1">
        <w:rPr>
          <w:rFonts w:ascii="Times New Roman" w:hAnsi="Times New Roman" w:cs="Times New Roman"/>
          <w:sz w:val="24"/>
          <w:szCs w:val="24"/>
        </w:rPr>
        <w:tab/>
        <w:t xml:space="preserve">Para uma comparação mais específica da eficiência, na Tabela </w:t>
      </w:r>
      <w:r w:rsidR="005A0429">
        <w:rPr>
          <w:rFonts w:ascii="Times New Roman" w:hAnsi="Times New Roman" w:cs="Times New Roman"/>
          <w:sz w:val="24"/>
          <w:szCs w:val="24"/>
        </w:rPr>
        <w:t>5</w:t>
      </w:r>
      <w:r w:rsidRPr="00D71CD1">
        <w:rPr>
          <w:rFonts w:ascii="Times New Roman" w:hAnsi="Times New Roman" w:cs="Times New Roman"/>
          <w:sz w:val="24"/>
          <w:szCs w:val="24"/>
        </w:rPr>
        <w:t xml:space="preserve"> a seguir </w:t>
      </w:r>
      <w:proofErr w:type="gramStart"/>
      <w:r w:rsidRPr="00D71CD1">
        <w:rPr>
          <w:rFonts w:ascii="Times New Roman" w:hAnsi="Times New Roman" w:cs="Times New Roman"/>
          <w:sz w:val="24"/>
          <w:szCs w:val="24"/>
        </w:rPr>
        <w:t>estão</w:t>
      </w:r>
      <w:proofErr w:type="gramEnd"/>
      <w:r w:rsidRPr="00D71CD1">
        <w:rPr>
          <w:rFonts w:ascii="Times New Roman" w:hAnsi="Times New Roman" w:cs="Times New Roman"/>
          <w:sz w:val="24"/>
          <w:szCs w:val="24"/>
        </w:rPr>
        <w:t xml:space="preserve"> apresentados um resumo das médias das metodologias abordadas.</w:t>
      </w:r>
    </w:p>
    <w:p w:rsidR="00B00D61" w:rsidRPr="00D71CD1" w:rsidRDefault="00B00D61" w:rsidP="00D71CD1">
      <w:pPr>
        <w:pStyle w:val="Legenda"/>
        <w:spacing w:after="0"/>
        <w:jc w:val="both"/>
        <w:rPr>
          <w:rFonts w:ascii="Times New Roman" w:hAnsi="Times New Roman" w:cs="Times New Roman"/>
          <w:color w:val="auto"/>
          <w:sz w:val="24"/>
          <w:szCs w:val="24"/>
        </w:rPr>
      </w:pPr>
    </w:p>
    <w:p w:rsidR="00B00D61" w:rsidRPr="00D71CD1" w:rsidRDefault="00B00D61" w:rsidP="00D71CD1">
      <w:pPr>
        <w:pStyle w:val="Legenda"/>
        <w:spacing w:after="0"/>
        <w:jc w:val="both"/>
        <w:rPr>
          <w:rFonts w:ascii="Times New Roman" w:hAnsi="Times New Roman" w:cs="Times New Roman"/>
          <w:color w:val="auto"/>
          <w:sz w:val="24"/>
          <w:szCs w:val="24"/>
        </w:rPr>
      </w:pPr>
      <w:bookmarkStart w:id="11" w:name="_Toc359857989"/>
      <w:r w:rsidRPr="00D71CD1">
        <w:rPr>
          <w:rFonts w:ascii="Times New Roman" w:hAnsi="Times New Roman" w:cs="Times New Roman"/>
          <w:color w:val="auto"/>
          <w:sz w:val="24"/>
          <w:szCs w:val="24"/>
        </w:rPr>
        <w:t xml:space="preserve">Tabela </w:t>
      </w:r>
      <w:r w:rsidR="005A0429">
        <w:rPr>
          <w:rFonts w:ascii="Times New Roman" w:hAnsi="Times New Roman" w:cs="Times New Roman"/>
          <w:color w:val="auto"/>
          <w:sz w:val="24"/>
          <w:szCs w:val="24"/>
        </w:rPr>
        <w:t>5</w:t>
      </w:r>
      <w:r w:rsidRPr="00D71CD1">
        <w:rPr>
          <w:rFonts w:ascii="Times New Roman" w:hAnsi="Times New Roman" w:cs="Times New Roman"/>
          <w:color w:val="auto"/>
          <w:sz w:val="24"/>
          <w:szCs w:val="24"/>
        </w:rPr>
        <w:t xml:space="preserve"> - Média do custo de liquidez e das metodologias de </w:t>
      </w:r>
      <w:proofErr w:type="spellStart"/>
      <w:r w:rsidRPr="00D71CD1">
        <w:rPr>
          <w:rFonts w:ascii="Times New Roman" w:hAnsi="Times New Roman" w:cs="Times New Roman"/>
          <w:color w:val="auto"/>
          <w:sz w:val="24"/>
          <w:szCs w:val="24"/>
        </w:rPr>
        <w:t>Roll</w:t>
      </w:r>
      <w:proofErr w:type="spellEnd"/>
      <w:r w:rsidRPr="00D71CD1">
        <w:rPr>
          <w:rFonts w:ascii="Times New Roman" w:hAnsi="Times New Roman" w:cs="Times New Roman"/>
          <w:color w:val="auto"/>
          <w:sz w:val="24"/>
          <w:szCs w:val="24"/>
        </w:rPr>
        <w:t>, CDP, TWM e CFTC e sua eficiência, em dólares, para os contratos de maio de 2011, maio de 2012, julho de 2012, setembro de 2012 e maio de 2013.</w:t>
      </w:r>
      <w:bookmarkEnd w:id="11"/>
    </w:p>
    <w:tbl>
      <w:tblPr>
        <w:tblW w:w="9322" w:type="dxa"/>
        <w:tblBorders>
          <w:top w:val="single" w:sz="4" w:space="0" w:color="auto"/>
          <w:bottom w:val="single" w:sz="4" w:space="0" w:color="auto"/>
        </w:tblBorders>
        <w:tblLayout w:type="fixed"/>
        <w:tblLook w:val="04A0"/>
      </w:tblPr>
      <w:tblGrid>
        <w:gridCol w:w="1526"/>
        <w:gridCol w:w="1134"/>
        <w:gridCol w:w="709"/>
        <w:gridCol w:w="850"/>
        <w:gridCol w:w="851"/>
        <w:gridCol w:w="850"/>
        <w:gridCol w:w="851"/>
        <w:gridCol w:w="850"/>
        <w:gridCol w:w="851"/>
        <w:gridCol w:w="850"/>
      </w:tblGrid>
      <w:tr w:rsidR="00D71CD1" w:rsidRPr="00D71CD1" w:rsidTr="00F43988">
        <w:tc>
          <w:tcPr>
            <w:tcW w:w="1526" w:type="dxa"/>
            <w:tcBorders>
              <w:top w:val="single" w:sz="4" w:space="0" w:color="auto"/>
              <w:bottom w:val="single" w:sz="4" w:space="0" w:color="auto"/>
            </w:tcBorders>
          </w:tcPr>
          <w:p w:rsidR="00B00D61" w:rsidRPr="00D71CD1" w:rsidRDefault="00B00D61" w:rsidP="00D71CD1">
            <w:pPr>
              <w:spacing w:after="0" w:line="240" w:lineRule="auto"/>
              <w:jc w:val="center"/>
              <w:rPr>
                <w:rFonts w:ascii="Times New Roman" w:hAnsi="Times New Roman" w:cs="Times New Roman"/>
                <w:b/>
                <w:bCs/>
                <w:color w:val="000000"/>
                <w:sz w:val="24"/>
                <w:szCs w:val="24"/>
              </w:rPr>
            </w:pPr>
            <w:r w:rsidRPr="00D71CD1">
              <w:rPr>
                <w:rFonts w:ascii="Times New Roman" w:hAnsi="Times New Roman" w:cs="Times New Roman"/>
                <w:b/>
                <w:bCs/>
                <w:color w:val="000000"/>
                <w:sz w:val="24"/>
                <w:szCs w:val="24"/>
              </w:rPr>
              <w:t>Vencimento</w:t>
            </w:r>
          </w:p>
        </w:tc>
        <w:tc>
          <w:tcPr>
            <w:tcW w:w="1134" w:type="dxa"/>
            <w:tcBorders>
              <w:top w:val="single" w:sz="4" w:space="0" w:color="auto"/>
              <w:bottom w:val="single" w:sz="4" w:space="0" w:color="auto"/>
            </w:tcBorders>
          </w:tcPr>
          <w:p w:rsidR="00B00D61" w:rsidRPr="00D71CD1" w:rsidRDefault="00B00D61" w:rsidP="00D71CD1">
            <w:pPr>
              <w:spacing w:after="0" w:line="240" w:lineRule="auto"/>
              <w:jc w:val="center"/>
              <w:rPr>
                <w:rFonts w:ascii="Times New Roman" w:hAnsi="Times New Roman" w:cs="Times New Roman"/>
                <w:b/>
                <w:sz w:val="24"/>
                <w:szCs w:val="24"/>
              </w:rPr>
            </w:pPr>
            <w:r w:rsidRPr="00D71CD1">
              <w:rPr>
                <w:rFonts w:ascii="Times New Roman" w:hAnsi="Times New Roman" w:cs="Times New Roman"/>
                <w:b/>
                <w:bCs/>
                <w:color w:val="000000"/>
                <w:sz w:val="24"/>
                <w:szCs w:val="24"/>
              </w:rPr>
              <w:t>Custo de liquidez</w:t>
            </w:r>
          </w:p>
        </w:tc>
        <w:tc>
          <w:tcPr>
            <w:tcW w:w="709" w:type="dxa"/>
            <w:tcBorders>
              <w:top w:val="single" w:sz="4" w:space="0" w:color="auto"/>
              <w:bottom w:val="single" w:sz="4" w:space="0" w:color="auto"/>
            </w:tcBorders>
          </w:tcPr>
          <w:p w:rsidR="00B00D61" w:rsidRPr="00D71CD1" w:rsidRDefault="00B00D61" w:rsidP="00D71CD1">
            <w:pPr>
              <w:spacing w:after="0" w:line="240" w:lineRule="auto"/>
              <w:jc w:val="center"/>
              <w:rPr>
                <w:rFonts w:ascii="Times New Roman" w:hAnsi="Times New Roman" w:cs="Times New Roman"/>
                <w:b/>
                <w:sz w:val="24"/>
                <w:szCs w:val="24"/>
              </w:rPr>
            </w:pPr>
            <w:proofErr w:type="spellStart"/>
            <w:r w:rsidRPr="00D71CD1">
              <w:rPr>
                <w:rFonts w:ascii="Times New Roman" w:hAnsi="Times New Roman" w:cs="Times New Roman"/>
                <w:b/>
                <w:sz w:val="24"/>
                <w:szCs w:val="24"/>
              </w:rPr>
              <w:t>Roll</w:t>
            </w:r>
            <w:proofErr w:type="spellEnd"/>
          </w:p>
        </w:tc>
        <w:tc>
          <w:tcPr>
            <w:tcW w:w="850" w:type="dxa"/>
            <w:tcBorders>
              <w:top w:val="single" w:sz="4" w:space="0" w:color="auto"/>
              <w:bottom w:val="single" w:sz="4" w:space="0" w:color="auto"/>
            </w:tcBorders>
          </w:tcPr>
          <w:p w:rsidR="00B00D61" w:rsidRPr="00D71CD1" w:rsidRDefault="00B00D61" w:rsidP="00D71CD1">
            <w:pPr>
              <w:spacing w:after="0" w:line="240" w:lineRule="auto"/>
              <w:jc w:val="center"/>
              <w:rPr>
                <w:rFonts w:ascii="Times New Roman" w:hAnsi="Times New Roman" w:cs="Times New Roman"/>
                <w:sz w:val="24"/>
                <w:szCs w:val="24"/>
              </w:rPr>
            </w:pPr>
            <m:oMathPara>
              <m:oMath>
                <m:r>
                  <w:rPr>
                    <w:rFonts w:ascii="Times New Roman" w:hAnsi="Times New Roman" w:cs="Times New Roman"/>
                    <w:sz w:val="24"/>
                    <w:szCs w:val="24"/>
                  </w:rPr>
                  <m:t>∆</m:t>
                </m:r>
                <m:r>
                  <w:rPr>
                    <w:rFonts w:ascii="Cambria Math" w:hAnsi="Times New Roman" w:cs="Times New Roman"/>
                    <w:sz w:val="24"/>
                    <w:szCs w:val="24"/>
                  </w:rPr>
                  <m:t>%</m:t>
                </m:r>
              </m:oMath>
            </m:oMathPara>
          </w:p>
        </w:tc>
        <w:tc>
          <w:tcPr>
            <w:tcW w:w="851" w:type="dxa"/>
            <w:tcBorders>
              <w:top w:val="single" w:sz="4" w:space="0" w:color="auto"/>
              <w:bottom w:val="single" w:sz="4" w:space="0" w:color="auto"/>
            </w:tcBorders>
          </w:tcPr>
          <w:p w:rsidR="00B00D61" w:rsidRPr="00D71CD1" w:rsidRDefault="00B00D61" w:rsidP="00D71CD1">
            <w:pPr>
              <w:spacing w:after="0" w:line="240" w:lineRule="auto"/>
              <w:jc w:val="center"/>
              <w:rPr>
                <w:rFonts w:ascii="Times New Roman" w:hAnsi="Times New Roman" w:cs="Times New Roman"/>
                <w:b/>
                <w:sz w:val="24"/>
                <w:szCs w:val="24"/>
              </w:rPr>
            </w:pPr>
            <w:r w:rsidRPr="00D71CD1">
              <w:rPr>
                <w:rFonts w:ascii="Times New Roman" w:hAnsi="Times New Roman" w:cs="Times New Roman"/>
                <w:b/>
                <w:sz w:val="24"/>
                <w:szCs w:val="24"/>
              </w:rPr>
              <w:t>CDP</w:t>
            </w:r>
          </w:p>
        </w:tc>
        <w:tc>
          <w:tcPr>
            <w:tcW w:w="850" w:type="dxa"/>
            <w:tcBorders>
              <w:top w:val="single" w:sz="4" w:space="0" w:color="auto"/>
              <w:bottom w:val="single" w:sz="4" w:space="0" w:color="auto"/>
            </w:tcBorders>
          </w:tcPr>
          <w:p w:rsidR="00B00D61" w:rsidRPr="00D71CD1" w:rsidRDefault="00B00D61" w:rsidP="00D71CD1">
            <w:pPr>
              <w:spacing w:after="0" w:line="240" w:lineRule="auto"/>
              <w:jc w:val="center"/>
              <w:rPr>
                <w:rFonts w:ascii="Times New Roman" w:hAnsi="Times New Roman" w:cs="Times New Roman"/>
                <w:sz w:val="24"/>
                <w:szCs w:val="24"/>
              </w:rPr>
            </w:pPr>
            <m:oMathPara>
              <m:oMath>
                <m:r>
                  <w:rPr>
                    <w:rFonts w:ascii="Times New Roman" w:hAnsi="Times New Roman" w:cs="Times New Roman"/>
                    <w:sz w:val="24"/>
                    <w:szCs w:val="24"/>
                  </w:rPr>
                  <m:t>∆</m:t>
                </m:r>
                <m:r>
                  <w:rPr>
                    <w:rFonts w:ascii="Cambria Math" w:hAnsi="Times New Roman" w:cs="Times New Roman"/>
                    <w:sz w:val="24"/>
                    <w:szCs w:val="24"/>
                  </w:rPr>
                  <m:t>%</m:t>
                </m:r>
              </m:oMath>
            </m:oMathPara>
          </w:p>
        </w:tc>
        <w:tc>
          <w:tcPr>
            <w:tcW w:w="851" w:type="dxa"/>
            <w:tcBorders>
              <w:top w:val="single" w:sz="4" w:space="0" w:color="auto"/>
              <w:bottom w:val="single" w:sz="4" w:space="0" w:color="auto"/>
            </w:tcBorders>
          </w:tcPr>
          <w:p w:rsidR="00B00D61" w:rsidRPr="00D71CD1" w:rsidRDefault="00B00D61" w:rsidP="00D71CD1">
            <w:pPr>
              <w:spacing w:after="0" w:line="240" w:lineRule="auto"/>
              <w:jc w:val="center"/>
              <w:rPr>
                <w:rFonts w:ascii="Times New Roman" w:hAnsi="Times New Roman" w:cs="Times New Roman"/>
                <w:b/>
                <w:sz w:val="24"/>
                <w:szCs w:val="24"/>
              </w:rPr>
            </w:pPr>
            <w:r w:rsidRPr="00D71CD1">
              <w:rPr>
                <w:rFonts w:ascii="Times New Roman" w:hAnsi="Times New Roman" w:cs="Times New Roman"/>
                <w:b/>
                <w:sz w:val="24"/>
                <w:szCs w:val="24"/>
              </w:rPr>
              <w:t>TWM</w:t>
            </w:r>
          </w:p>
        </w:tc>
        <w:tc>
          <w:tcPr>
            <w:tcW w:w="850" w:type="dxa"/>
            <w:tcBorders>
              <w:top w:val="single" w:sz="4" w:space="0" w:color="auto"/>
              <w:bottom w:val="single" w:sz="4" w:space="0" w:color="auto"/>
            </w:tcBorders>
          </w:tcPr>
          <w:p w:rsidR="00B00D61" w:rsidRPr="00D71CD1" w:rsidRDefault="00B00D61" w:rsidP="00D71CD1">
            <w:pPr>
              <w:spacing w:after="0" w:line="240" w:lineRule="auto"/>
              <w:jc w:val="center"/>
              <w:rPr>
                <w:rFonts w:ascii="Times New Roman" w:hAnsi="Times New Roman" w:cs="Times New Roman"/>
                <w:sz w:val="24"/>
                <w:szCs w:val="24"/>
              </w:rPr>
            </w:pPr>
            <m:oMathPara>
              <m:oMath>
                <m:r>
                  <w:rPr>
                    <w:rFonts w:ascii="Times New Roman" w:hAnsi="Times New Roman" w:cs="Times New Roman"/>
                    <w:sz w:val="24"/>
                    <w:szCs w:val="24"/>
                  </w:rPr>
                  <m:t>∆</m:t>
                </m:r>
                <m:r>
                  <w:rPr>
                    <w:rFonts w:ascii="Cambria Math" w:hAnsi="Times New Roman" w:cs="Times New Roman"/>
                    <w:sz w:val="24"/>
                    <w:szCs w:val="24"/>
                  </w:rPr>
                  <m:t>%</m:t>
                </m:r>
              </m:oMath>
            </m:oMathPara>
          </w:p>
        </w:tc>
        <w:tc>
          <w:tcPr>
            <w:tcW w:w="851" w:type="dxa"/>
            <w:tcBorders>
              <w:top w:val="single" w:sz="4" w:space="0" w:color="auto"/>
              <w:bottom w:val="single" w:sz="4" w:space="0" w:color="auto"/>
            </w:tcBorders>
          </w:tcPr>
          <w:p w:rsidR="00B00D61" w:rsidRPr="00D71CD1" w:rsidRDefault="00B00D61" w:rsidP="00D71CD1">
            <w:pPr>
              <w:spacing w:after="0" w:line="240" w:lineRule="auto"/>
              <w:jc w:val="center"/>
              <w:rPr>
                <w:rFonts w:ascii="Times New Roman" w:hAnsi="Times New Roman" w:cs="Times New Roman"/>
                <w:b/>
                <w:sz w:val="24"/>
                <w:szCs w:val="24"/>
              </w:rPr>
            </w:pPr>
            <w:r w:rsidRPr="00D71CD1">
              <w:rPr>
                <w:rFonts w:ascii="Times New Roman" w:hAnsi="Times New Roman" w:cs="Times New Roman"/>
                <w:b/>
                <w:sz w:val="24"/>
                <w:szCs w:val="24"/>
              </w:rPr>
              <w:t>CFTC</w:t>
            </w:r>
          </w:p>
        </w:tc>
        <w:tc>
          <w:tcPr>
            <w:tcW w:w="850" w:type="dxa"/>
            <w:tcBorders>
              <w:top w:val="single" w:sz="4" w:space="0" w:color="auto"/>
              <w:bottom w:val="single" w:sz="4" w:space="0" w:color="auto"/>
            </w:tcBorders>
          </w:tcPr>
          <w:p w:rsidR="00B00D61" w:rsidRPr="00D71CD1" w:rsidRDefault="00B00D61" w:rsidP="00D71CD1">
            <w:pPr>
              <w:spacing w:after="0" w:line="240" w:lineRule="auto"/>
              <w:jc w:val="center"/>
              <w:rPr>
                <w:rFonts w:ascii="Times New Roman" w:hAnsi="Times New Roman" w:cs="Times New Roman"/>
                <w:sz w:val="24"/>
                <w:szCs w:val="24"/>
              </w:rPr>
            </w:pPr>
            <m:oMathPara>
              <m:oMath>
                <m:r>
                  <w:rPr>
                    <w:rFonts w:ascii="Times New Roman" w:hAnsi="Times New Roman" w:cs="Times New Roman"/>
                    <w:sz w:val="24"/>
                    <w:szCs w:val="24"/>
                  </w:rPr>
                  <m:t>∆</m:t>
                </m:r>
                <m:r>
                  <w:rPr>
                    <w:rFonts w:ascii="Cambria Math" w:hAnsi="Times New Roman" w:cs="Times New Roman"/>
                    <w:sz w:val="24"/>
                    <w:szCs w:val="24"/>
                  </w:rPr>
                  <m:t>%</m:t>
                </m:r>
              </m:oMath>
            </m:oMathPara>
          </w:p>
        </w:tc>
      </w:tr>
      <w:tr w:rsidR="00D71CD1" w:rsidRPr="00D71CD1" w:rsidTr="00F43988">
        <w:tc>
          <w:tcPr>
            <w:tcW w:w="1526" w:type="dxa"/>
          </w:tcPr>
          <w:p w:rsidR="00B00D61" w:rsidRPr="00D71CD1" w:rsidRDefault="00B00D61" w:rsidP="00D71CD1">
            <w:pPr>
              <w:spacing w:after="0" w:line="240" w:lineRule="auto"/>
              <w:jc w:val="center"/>
              <w:rPr>
                <w:rFonts w:ascii="Times New Roman" w:hAnsi="Times New Roman" w:cs="Times New Roman"/>
                <w:b/>
                <w:bCs/>
                <w:color w:val="000000"/>
                <w:sz w:val="24"/>
                <w:szCs w:val="24"/>
              </w:rPr>
            </w:pPr>
            <w:r w:rsidRPr="00D71CD1">
              <w:rPr>
                <w:rFonts w:ascii="Times New Roman" w:eastAsia="Calibri" w:hAnsi="Times New Roman" w:cs="Times New Roman"/>
                <w:b/>
                <w:bCs/>
                <w:color w:val="000000"/>
                <w:sz w:val="24"/>
                <w:szCs w:val="24"/>
              </w:rPr>
              <w:t>SOJK11</w:t>
            </w:r>
          </w:p>
        </w:tc>
        <w:tc>
          <w:tcPr>
            <w:tcW w:w="1134" w:type="dxa"/>
          </w:tcPr>
          <w:p w:rsidR="00B00D61" w:rsidRPr="00D71CD1" w:rsidRDefault="00B00D61" w:rsidP="00D71CD1">
            <w:pPr>
              <w:spacing w:after="0" w:line="240" w:lineRule="auto"/>
              <w:jc w:val="center"/>
              <w:rPr>
                <w:rFonts w:ascii="Times New Roman" w:hAnsi="Times New Roman" w:cs="Times New Roman"/>
                <w:b/>
                <w:color w:val="000000"/>
                <w:sz w:val="24"/>
                <w:szCs w:val="24"/>
              </w:rPr>
            </w:pPr>
            <w:r w:rsidRPr="00D71CD1">
              <w:rPr>
                <w:rFonts w:ascii="Times New Roman" w:hAnsi="Times New Roman" w:cs="Times New Roman"/>
                <w:b/>
                <w:bCs/>
                <w:color w:val="000000"/>
                <w:sz w:val="24"/>
                <w:szCs w:val="24"/>
              </w:rPr>
              <w:t>0,16</w:t>
            </w:r>
          </w:p>
        </w:tc>
        <w:tc>
          <w:tcPr>
            <w:tcW w:w="709" w:type="dxa"/>
          </w:tcPr>
          <w:p w:rsidR="00B00D61" w:rsidRPr="00D71CD1" w:rsidRDefault="00B00D61" w:rsidP="00D71CD1">
            <w:pPr>
              <w:spacing w:after="0" w:line="240" w:lineRule="auto"/>
              <w:jc w:val="center"/>
              <w:rPr>
                <w:rFonts w:ascii="Times New Roman" w:hAnsi="Times New Roman" w:cs="Times New Roman"/>
                <w:b/>
                <w:color w:val="000000"/>
                <w:sz w:val="24"/>
                <w:szCs w:val="24"/>
              </w:rPr>
            </w:pPr>
            <w:r w:rsidRPr="00D71CD1">
              <w:rPr>
                <w:rFonts w:ascii="Times New Roman" w:hAnsi="Times New Roman" w:cs="Times New Roman"/>
                <w:b/>
                <w:color w:val="000000"/>
                <w:sz w:val="24"/>
                <w:szCs w:val="24"/>
              </w:rPr>
              <w:t>0,06</w:t>
            </w:r>
          </w:p>
        </w:tc>
        <w:tc>
          <w:tcPr>
            <w:tcW w:w="850" w:type="dxa"/>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-62,5</w:t>
            </w:r>
          </w:p>
        </w:tc>
        <w:tc>
          <w:tcPr>
            <w:tcW w:w="851" w:type="dxa"/>
          </w:tcPr>
          <w:p w:rsidR="00B00D61" w:rsidRPr="00D71CD1" w:rsidRDefault="00B00D61" w:rsidP="00D71CD1">
            <w:pPr>
              <w:spacing w:after="0" w:line="240" w:lineRule="auto"/>
              <w:jc w:val="center"/>
              <w:rPr>
                <w:rFonts w:ascii="Times New Roman" w:hAnsi="Times New Roman" w:cs="Times New Roman"/>
                <w:b/>
                <w:color w:val="000000"/>
                <w:sz w:val="24"/>
                <w:szCs w:val="24"/>
              </w:rPr>
            </w:pPr>
            <w:r w:rsidRPr="00D71CD1">
              <w:rPr>
                <w:rFonts w:ascii="Times New Roman" w:hAnsi="Times New Roman" w:cs="Times New Roman"/>
                <w:b/>
                <w:color w:val="000000"/>
                <w:sz w:val="24"/>
                <w:szCs w:val="24"/>
              </w:rPr>
              <w:t>0,07</w:t>
            </w:r>
          </w:p>
        </w:tc>
        <w:tc>
          <w:tcPr>
            <w:tcW w:w="850" w:type="dxa"/>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-56,2</w:t>
            </w:r>
          </w:p>
        </w:tc>
        <w:tc>
          <w:tcPr>
            <w:tcW w:w="851" w:type="dxa"/>
          </w:tcPr>
          <w:p w:rsidR="00B00D61" w:rsidRPr="00D71CD1" w:rsidRDefault="00B00D61" w:rsidP="00D71CD1">
            <w:pPr>
              <w:spacing w:after="0" w:line="240" w:lineRule="auto"/>
              <w:jc w:val="center"/>
              <w:rPr>
                <w:rFonts w:ascii="Times New Roman" w:hAnsi="Times New Roman" w:cs="Times New Roman"/>
                <w:b/>
                <w:color w:val="000000"/>
                <w:sz w:val="24"/>
                <w:szCs w:val="24"/>
              </w:rPr>
            </w:pPr>
            <w:r w:rsidRPr="00D71CD1">
              <w:rPr>
                <w:rFonts w:ascii="Times New Roman" w:hAnsi="Times New Roman" w:cs="Times New Roman"/>
                <w:b/>
                <w:color w:val="000000"/>
                <w:sz w:val="24"/>
                <w:szCs w:val="24"/>
              </w:rPr>
              <w:t>0,06</w:t>
            </w:r>
          </w:p>
        </w:tc>
        <w:tc>
          <w:tcPr>
            <w:tcW w:w="850" w:type="dxa"/>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-62,5</w:t>
            </w:r>
          </w:p>
        </w:tc>
        <w:tc>
          <w:tcPr>
            <w:tcW w:w="851" w:type="dxa"/>
          </w:tcPr>
          <w:p w:rsidR="00B00D61" w:rsidRPr="00D71CD1" w:rsidRDefault="00B00D61" w:rsidP="00D71CD1">
            <w:pPr>
              <w:spacing w:after="0" w:line="240" w:lineRule="auto"/>
              <w:jc w:val="center"/>
              <w:rPr>
                <w:rFonts w:ascii="Times New Roman" w:hAnsi="Times New Roman" w:cs="Times New Roman"/>
                <w:b/>
                <w:color w:val="000000"/>
                <w:sz w:val="24"/>
                <w:szCs w:val="24"/>
              </w:rPr>
            </w:pPr>
            <w:r w:rsidRPr="00D71CD1">
              <w:rPr>
                <w:rFonts w:ascii="Times New Roman" w:hAnsi="Times New Roman" w:cs="Times New Roman"/>
                <w:b/>
                <w:color w:val="000000"/>
                <w:sz w:val="24"/>
                <w:szCs w:val="24"/>
              </w:rPr>
              <w:t>0,08</w:t>
            </w:r>
          </w:p>
        </w:tc>
        <w:tc>
          <w:tcPr>
            <w:tcW w:w="850" w:type="dxa"/>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-50,0</w:t>
            </w:r>
          </w:p>
        </w:tc>
      </w:tr>
      <w:tr w:rsidR="00D71CD1" w:rsidRPr="00D71CD1" w:rsidTr="00F43988">
        <w:tc>
          <w:tcPr>
            <w:tcW w:w="1526" w:type="dxa"/>
          </w:tcPr>
          <w:p w:rsidR="00B00D61" w:rsidRPr="00D71CD1" w:rsidRDefault="00B00D61" w:rsidP="00D71CD1">
            <w:pPr>
              <w:spacing w:after="0" w:line="240" w:lineRule="auto"/>
              <w:jc w:val="center"/>
              <w:rPr>
                <w:rFonts w:ascii="Times New Roman" w:hAnsi="Times New Roman" w:cs="Times New Roman"/>
                <w:b/>
                <w:bCs/>
                <w:color w:val="000000"/>
                <w:sz w:val="24"/>
                <w:szCs w:val="24"/>
              </w:rPr>
            </w:pPr>
            <w:r w:rsidRPr="00D71CD1">
              <w:rPr>
                <w:rFonts w:ascii="Times New Roman" w:eastAsia="Calibri" w:hAnsi="Times New Roman" w:cs="Times New Roman"/>
                <w:b/>
                <w:bCs/>
                <w:color w:val="000000"/>
                <w:sz w:val="24"/>
                <w:szCs w:val="24"/>
              </w:rPr>
              <w:t>SFIK12</w:t>
            </w:r>
          </w:p>
        </w:tc>
        <w:tc>
          <w:tcPr>
            <w:tcW w:w="1134" w:type="dxa"/>
          </w:tcPr>
          <w:p w:rsidR="00B00D61" w:rsidRPr="00D71CD1" w:rsidRDefault="00B00D61" w:rsidP="00D71CD1">
            <w:pPr>
              <w:spacing w:after="0" w:line="240" w:lineRule="auto"/>
              <w:jc w:val="center"/>
              <w:rPr>
                <w:rFonts w:ascii="Times New Roman" w:hAnsi="Times New Roman" w:cs="Times New Roman"/>
                <w:b/>
                <w:color w:val="000000"/>
                <w:sz w:val="24"/>
                <w:szCs w:val="24"/>
              </w:rPr>
            </w:pPr>
            <w:r w:rsidRPr="00D71CD1">
              <w:rPr>
                <w:rFonts w:ascii="Times New Roman" w:hAnsi="Times New Roman" w:cs="Times New Roman"/>
                <w:b/>
                <w:bCs/>
                <w:color w:val="000000"/>
                <w:sz w:val="24"/>
                <w:szCs w:val="24"/>
              </w:rPr>
              <w:t>0,26</w:t>
            </w:r>
          </w:p>
        </w:tc>
        <w:tc>
          <w:tcPr>
            <w:tcW w:w="709" w:type="dxa"/>
          </w:tcPr>
          <w:p w:rsidR="00B00D61" w:rsidRPr="00D71CD1" w:rsidRDefault="00B00D61" w:rsidP="00D71CD1">
            <w:pPr>
              <w:spacing w:after="0" w:line="240" w:lineRule="auto"/>
              <w:jc w:val="center"/>
              <w:rPr>
                <w:rFonts w:ascii="Times New Roman" w:hAnsi="Times New Roman" w:cs="Times New Roman"/>
                <w:b/>
                <w:color w:val="000000"/>
                <w:sz w:val="24"/>
                <w:szCs w:val="24"/>
              </w:rPr>
            </w:pPr>
            <w:r w:rsidRPr="00D71CD1">
              <w:rPr>
                <w:rFonts w:ascii="Times New Roman" w:hAnsi="Times New Roman" w:cs="Times New Roman"/>
                <w:b/>
                <w:color w:val="000000"/>
                <w:sz w:val="24"/>
                <w:szCs w:val="24"/>
              </w:rPr>
              <w:t>0,13</w:t>
            </w:r>
          </w:p>
        </w:tc>
        <w:tc>
          <w:tcPr>
            <w:tcW w:w="850" w:type="dxa"/>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-50,0</w:t>
            </w:r>
          </w:p>
        </w:tc>
        <w:tc>
          <w:tcPr>
            <w:tcW w:w="851" w:type="dxa"/>
          </w:tcPr>
          <w:p w:rsidR="00B00D61" w:rsidRPr="00D71CD1" w:rsidRDefault="00B00D61" w:rsidP="00D71CD1">
            <w:pPr>
              <w:spacing w:after="0" w:line="240" w:lineRule="auto"/>
              <w:jc w:val="center"/>
              <w:rPr>
                <w:rFonts w:ascii="Times New Roman" w:hAnsi="Times New Roman" w:cs="Times New Roman"/>
                <w:b/>
                <w:color w:val="000000"/>
                <w:sz w:val="24"/>
                <w:szCs w:val="24"/>
              </w:rPr>
            </w:pPr>
            <w:r w:rsidRPr="00D71CD1">
              <w:rPr>
                <w:rFonts w:ascii="Times New Roman" w:hAnsi="Times New Roman" w:cs="Times New Roman"/>
                <w:b/>
                <w:color w:val="000000"/>
                <w:sz w:val="24"/>
                <w:szCs w:val="24"/>
              </w:rPr>
              <w:t>0,14</w:t>
            </w:r>
          </w:p>
        </w:tc>
        <w:tc>
          <w:tcPr>
            <w:tcW w:w="850" w:type="dxa"/>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-46,1</w:t>
            </w:r>
          </w:p>
        </w:tc>
        <w:tc>
          <w:tcPr>
            <w:tcW w:w="851" w:type="dxa"/>
          </w:tcPr>
          <w:p w:rsidR="00B00D61" w:rsidRPr="00D71CD1" w:rsidRDefault="00B00D61" w:rsidP="00D71CD1">
            <w:pPr>
              <w:spacing w:after="0" w:line="240" w:lineRule="auto"/>
              <w:jc w:val="center"/>
              <w:rPr>
                <w:rFonts w:ascii="Times New Roman" w:hAnsi="Times New Roman" w:cs="Times New Roman"/>
                <w:b/>
                <w:color w:val="000000"/>
                <w:sz w:val="24"/>
                <w:szCs w:val="24"/>
              </w:rPr>
            </w:pPr>
            <w:r w:rsidRPr="00D71CD1">
              <w:rPr>
                <w:rFonts w:ascii="Times New Roman" w:hAnsi="Times New Roman" w:cs="Times New Roman"/>
                <w:b/>
                <w:color w:val="000000"/>
                <w:sz w:val="24"/>
                <w:szCs w:val="24"/>
              </w:rPr>
              <w:t>0,09</w:t>
            </w:r>
          </w:p>
        </w:tc>
        <w:tc>
          <w:tcPr>
            <w:tcW w:w="850" w:type="dxa"/>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-65,3</w:t>
            </w:r>
          </w:p>
        </w:tc>
        <w:tc>
          <w:tcPr>
            <w:tcW w:w="851" w:type="dxa"/>
          </w:tcPr>
          <w:p w:rsidR="00B00D61" w:rsidRPr="00D71CD1" w:rsidRDefault="00B00D61" w:rsidP="00D71CD1">
            <w:pPr>
              <w:spacing w:after="0" w:line="240" w:lineRule="auto"/>
              <w:jc w:val="center"/>
              <w:rPr>
                <w:rFonts w:ascii="Times New Roman" w:hAnsi="Times New Roman" w:cs="Times New Roman"/>
                <w:b/>
                <w:color w:val="000000"/>
                <w:sz w:val="24"/>
                <w:szCs w:val="24"/>
              </w:rPr>
            </w:pPr>
            <w:r w:rsidRPr="00D71CD1">
              <w:rPr>
                <w:rFonts w:ascii="Times New Roman" w:hAnsi="Times New Roman" w:cs="Times New Roman"/>
                <w:b/>
                <w:color w:val="000000"/>
                <w:sz w:val="24"/>
                <w:szCs w:val="24"/>
              </w:rPr>
              <w:t>0,09</w:t>
            </w:r>
          </w:p>
        </w:tc>
        <w:tc>
          <w:tcPr>
            <w:tcW w:w="850" w:type="dxa"/>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-65,3</w:t>
            </w:r>
          </w:p>
        </w:tc>
      </w:tr>
      <w:tr w:rsidR="00D71CD1" w:rsidRPr="00D71CD1" w:rsidTr="00F43988">
        <w:tc>
          <w:tcPr>
            <w:tcW w:w="1526" w:type="dxa"/>
          </w:tcPr>
          <w:p w:rsidR="00B00D61" w:rsidRPr="00D71CD1" w:rsidRDefault="00B00D61" w:rsidP="00D71CD1">
            <w:pPr>
              <w:spacing w:after="0" w:line="240" w:lineRule="auto"/>
              <w:jc w:val="center"/>
              <w:rPr>
                <w:rFonts w:ascii="Times New Roman" w:eastAsia="Calibri" w:hAnsi="Times New Roman" w:cs="Times New Roman"/>
                <w:b/>
                <w:bCs/>
                <w:color w:val="000000"/>
                <w:sz w:val="24"/>
                <w:szCs w:val="24"/>
              </w:rPr>
            </w:pPr>
            <w:r w:rsidRPr="00D71CD1">
              <w:rPr>
                <w:rFonts w:ascii="Times New Roman" w:eastAsia="Calibri" w:hAnsi="Times New Roman" w:cs="Times New Roman"/>
                <w:b/>
                <w:bCs/>
                <w:color w:val="000000"/>
                <w:sz w:val="24"/>
                <w:szCs w:val="24"/>
              </w:rPr>
              <w:t>SFIK13</w:t>
            </w:r>
          </w:p>
        </w:tc>
        <w:tc>
          <w:tcPr>
            <w:tcW w:w="1134" w:type="dxa"/>
            <w:vAlign w:val="bottom"/>
          </w:tcPr>
          <w:p w:rsidR="00B00D61" w:rsidRPr="00D71CD1" w:rsidRDefault="00B00D61" w:rsidP="00D71CD1">
            <w:pPr>
              <w:spacing w:after="0" w:line="240" w:lineRule="auto"/>
              <w:jc w:val="center"/>
              <w:rPr>
                <w:rFonts w:ascii="Times New Roman" w:hAnsi="Times New Roman" w:cs="Times New Roman"/>
                <w:b/>
                <w:bCs/>
                <w:color w:val="000000"/>
                <w:sz w:val="24"/>
                <w:szCs w:val="24"/>
              </w:rPr>
            </w:pPr>
            <w:r w:rsidRPr="00D71CD1">
              <w:rPr>
                <w:rFonts w:ascii="Times New Roman" w:hAnsi="Times New Roman" w:cs="Times New Roman"/>
                <w:b/>
                <w:bCs/>
                <w:color w:val="000000"/>
                <w:sz w:val="24"/>
                <w:szCs w:val="24"/>
              </w:rPr>
              <w:t>0,32</w:t>
            </w:r>
          </w:p>
        </w:tc>
        <w:tc>
          <w:tcPr>
            <w:tcW w:w="709" w:type="dxa"/>
            <w:vAlign w:val="bottom"/>
          </w:tcPr>
          <w:p w:rsidR="00B00D61" w:rsidRPr="00D71CD1" w:rsidRDefault="00B00D61" w:rsidP="00D71CD1">
            <w:pPr>
              <w:spacing w:after="0" w:line="240" w:lineRule="auto"/>
              <w:jc w:val="center"/>
              <w:rPr>
                <w:rFonts w:ascii="Times New Roman" w:hAnsi="Times New Roman" w:cs="Times New Roman"/>
                <w:b/>
                <w:bCs/>
                <w:color w:val="000000"/>
                <w:sz w:val="24"/>
                <w:szCs w:val="24"/>
              </w:rPr>
            </w:pPr>
            <w:r w:rsidRPr="00D71CD1">
              <w:rPr>
                <w:rFonts w:ascii="Times New Roman" w:hAnsi="Times New Roman" w:cs="Times New Roman"/>
                <w:b/>
                <w:bCs/>
                <w:color w:val="000000"/>
                <w:sz w:val="24"/>
                <w:szCs w:val="24"/>
              </w:rPr>
              <w:t>0,09</w:t>
            </w:r>
          </w:p>
        </w:tc>
        <w:tc>
          <w:tcPr>
            <w:tcW w:w="850" w:type="dxa"/>
            <w:vAlign w:val="bottom"/>
          </w:tcPr>
          <w:p w:rsidR="00B00D61" w:rsidRPr="00D71CD1" w:rsidRDefault="00B00D61" w:rsidP="00D71CD1">
            <w:pPr>
              <w:spacing w:after="0" w:line="240" w:lineRule="auto"/>
              <w:jc w:val="center"/>
              <w:rPr>
                <w:rFonts w:ascii="Times New Roman" w:hAnsi="Times New Roman" w:cs="Times New Roman"/>
                <w:bCs/>
                <w:color w:val="000000"/>
                <w:sz w:val="24"/>
                <w:szCs w:val="24"/>
              </w:rPr>
            </w:pPr>
            <w:r w:rsidRPr="00D71CD1">
              <w:rPr>
                <w:rFonts w:ascii="Times New Roman" w:hAnsi="Times New Roman" w:cs="Times New Roman"/>
                <w:bCs/>
                <w:color w:val="000000"/>
                <w:sz w:val="24"/>
                <w:szCs w:val="24"/>
              </w:rPr>
              <w:t>-71,8</w:t>
            </w:r>
          </w:p>
        </w:tc>
        <w:tc>
          <w:tcPr>
            <w:tcW w:w="851" w:type="dxa"/>
            <w:vAlign w:val="bottom"/>
          </w:tcPr>
          <w:p w:rsidR="00B00D61" w:rsidRPr="00D71CD1" w:rsidRDefault="00B00D61" w:rsidP="00D71CD1">
            <w:pPr>
              <w:spacing w:after="0" w:line="240" w:lineRule="auto"/>
              <w:jc w:val="center"/>
              <w:rPr>
                <w:rFonts w:ascii="Times New Roman" w:hAnsi="Times New Roman" w:cs="Times New Roman"/>
                <w:b/>
                <w:bCs/>
                <w:color w:val="000000"/>
                <w:sz w:val="24"/>
                <w:szCs w:val="24"/>
              </w:rPr>
            </w:pPr>
            <w:r w:rsidRPr="00D71CD1">
              <w:rPr>
                <w:rFonts w:ascii="Times New Roman" w:hAnsi="Times New Roman" w:cs="Times New Roman"/>
                <w:b/>
                <w:bCs/>
                <w:color w:val="000000"/>
                <w:sz w:val="24"/>
                <w:szCs w:val="24"/>
              </w:rPr>
              <w:t>0,08</w:t>
            </w:r>
          </w:p>
        </w:tc>
        <w:tc>
          <w:tcPr>
            <w:tcW w:w="850" w:type="dxa"/>
            <w:vAlign w:val="bottom"/>
          </w:tcPr>
          <w:p w:rsidR="00B00D61" w:rsidRPr="00D71CD1" w:rsidRDefault="00B00D61" w:rsidP="00D71CD1">
            <w:pPr>
              <w:spacing w:after="0" w:line="240" w:lineRule="auto"/>
              <w:jc w:val="center"/>
              <w:rPr>
                <w:rFonts w:ascii="Times New Roman" w:hAnsi="Times New Roman" w:cs="Times New Roman"/>
                <w:bCs/>
                <w:color w:val="000000"/>
                <w:sz w:val="24"/>
                <w:szCs w:val="24"/>
              </w:rPr>
            </w:pPr>
            <w:r w:rsidRPr="00D71CD1">
              <w:rPr>
                <w:rFonts w:ascii="Times New Roman" w:hAnsi="Times New Roman" w:cs="Times New Roman"/>
                <w:bCs/>
                <w:color w:val="000000"/>
                <w:sz w:val="24"/>
                <w:szCs w:val="24"/>
              </w:rPr>
              <w:t>-75,0</w:t>
            </w:r>
          </w:p>
        </w:tc>
        <w:tc>
          <w:tcPr>
            <w:tcW w:w="851" w:type="dxa"/>
            <w:vAlign w:val="bottom"/>
          </w:tcPr>
          <w:p w:rsidR="00B00D61" w:rsidRPr="00D71CD1" w:rsidRDefault="00B00D61" w:rsidP="00D71CD1">
            <w:pPr>
              <w:spacing w:after="0" w:line="240" w:lineRule="auto"/>
              <w:jc w:val="center"/>
              <w:rPr>
                <w:rFonts w:ascii="Times New Roman" w:hAnsi="Times New Roman" w:cs="Times New Roman"/>
                <w:b/>
                <w:bCs/>
                <w:color w:val="000000"/>
                <w:sz w:val="24"/>
                <w:szCs w:val="24"/>
              </w:rPr>
            </w:pPr>
            <w:r w:rsidRPr="00D71CD1">
              <w:rPr>
                <w:rFonts w:ascii="Times New Roman" w:hAnsi="Times New Roman" w:cs="Times New Roman"/>
                <w:b/>
                <w:bCs/>
                <w:color w:val="000000"/>
                <w:sz w:val="24"/>
                <w:szCs w:val="24"/>
              </w:rPr>
              <w:t>0,10</w:t>
            </w:r>
          </w:p>
        </w:tc>
        <w:tc>
          <w:tcPr>
            <w:tcW w:w="850" w:type="dxa"/>
            <w:vAlign w:val="bottom"/>
          </w:tcPr>
          <w:p w:rsidR="00B00D61" w:rsidRPr="00D71CD1" w:rsidRDefault="00B00D61" w:rsidP="00D71CD1">
            <w:pPr>
              <w:spacing w:after="0" w:line="240" w:lineRule="auto"/>
              <w:jc w:val="center"/>
              <w:rPr>
                <w:rFonts w:ascii="Times New Roman" w:hAnsi="Times New Roman" w:cs="Times New Roman"/>
                <w:bCs/>
                <w:color w:val="000000"/>
                <w:sz w:val="24"/>
                <w:szCs w:val="24"/>
              </w:rPr>
            </w:pPr>
            <w:r w:rsidRPr="00D71CD1">
              <w:rPr>
                <w:rFonts w:ascii="Times New Roman" w:hAnsi="Times New Roman" w:cs="Times New Roman"/>
                <w:bCs/>
                <w:color w:val="000000"/>
                <w:sz w:val="24"/>
                <w:szCs w:val="24"/>
              </w:rPr>
              <w:t>-68,7</w:t>
            </w:r>
          </w:p>
        </w:tc>
        <w:tc>
          <w:tcPr>
            <w:tcW w:w="851" w:type="dxa"/>
            <w:vAlign w:val="bottom"/>
          </w:tcPr>
          <w:p w:rsidR="00B00D61" w:rsidRPr="00D71CD1" w:rsidRDefault="00B00D61" w:rsidP="00D71CD1">
            <w:pPr>
              <w:spacing w:after="0" w:line="240" w:lineRule="auto"/>
              <w:jc w:val="center"/>
              <w:rPr>
                <w:rFonts w:ascii="Times New Roman" w:hAnsi="Times New Roman" w:cs="Times New Roman"/>
                <w:b/>
                <w:bCs/>
                <w:color w:val="000000"/>
                <w:sz w:val="24"/>
                <w:szCs w:val="24"/>
              </w:rPr>
            </w:pPr>
            <w:r w:rsidRPr="00D71CD1">
              <w:rPr>
                <w:rFonts w:ascii="Times New Roman" w:hAnsi="Times New Roman" w:cs="Times New Roman"/>
                <w:b/>
                <w:bCs/>
                <w:color w:val="000000"/>
                <w:sz w:val="24"/>
                <w:szCs w:val="24"/>
              </w:rPr>
              <w:t>0,12</w:t>
            </w:r>
          </w:p>
        </w:tc>
        <w:tc>
          <w:tcPr>
            <w:tcW w:w="850" w:type="dxa"/>
            <w:vAlign w:val="bottom"/>
          </w:tcPr>
          <w:p w:rsidR="00B00D61" w:rsidRPr="00D71CD1" w:rsidRDefault="00B00D61" w:rsidP="00D71CD1">
            <w:pPr>
              <w:spacing w:after="0" w:line="240" w:lineRule="auto"/>
              <w:jc w:val="center"/>
              <w:rPr>
                <w:rFonts w:ascii="Times New Roman" w:hAnsi="Times New Roman" w:cs="Times New Roman"/>
                <w:bCs/>
                <w:color w:val="000000"/>
                <w:sz w:val="24"/>
                <w:szCs w:val="24"/>
              </w:rPr>
            </w:pPr>
            <w:r w:rsidRPr="00D71CD1">
              <w:rPr>
                <w:rFonts w:ascii="Times New Roman" w:hAnsi="Times New Roman" w:cs="Times New Roman"/>
                <w:bCs/>
                <w:color w:val="000000"/>
                <w:sz w:val="24"/>
                <w:szCs w:val="24"/>
              </w:rPr>
              <w:t>-62,5</w:t>
            </w:r>
          </w:p>
        </w:tc>
      </w:tr>
      <w:tr w:rsidR="00D71CD1" w:rsidRPr="00D71CD1" w:rsidTr="00F43988">
        <w:tc>
          <w:tcPr>
            <w:tcW w:w="1526" w:type="dxa"/>
          </w:tcPr>
          <w:p w:rsidR="00F43988" w:rsidRPr="00D71CD1" w:rsidRDefault="00F43988" w:rsidP="00D71CD1">
            <w:pPr>
              <w:spacing w:after="0" w:line="240" w:lineRule="auto"/>
              <w:jc w:val="center"/>
              <w:rPr>
                <w:rFonts w:ascii="Times New Roman" w:eastAsia="Calibri" w:hAnsi="Times New Roman" w:cs="Times New Roman"/>
                <w:b/>
                <w:bCs/>
                <w:color w:val="000000"/>
                <w:sz w:val="24"/>
                <w:szCs w:val="24"/>
              </w:rPr>
            </w:pPr>
            <w:r w:rsidRPr="00D71CD1">
              <w:rPr>
                <w:rFonts w:ascii="Times New Roman" w:eastAsia="Calibri" w:hAnsi="Times New Roman" w:cs="Times New Roman"/>
                <w:b/>
                <w:bCs/>
                <w:color w:val="000000"/>
                <w:sz w:val="24"/>
                <w:szCs w:val="24"/>
              </w:rPr>
              <w:t>Média</w:t>
            </w:r>
          </w:p>
        </w:tc>
        <w:tc>
          <w:tcPr>
            <w:tcW w:w="1134" w:type="dxa"/>
            <w:vAlign w:val="bottom"/>
          </w:tcPr>
          <w:p w:rsidR="00F43988" w:rsidRPr="00D71CD1" w:rsidRDefault="00F43988" w:rsidP="00D71CD1">
            <w:pPr>
              <w:spacing w:after="0" w:line="240" w:lineRule="auto"/>
              <w:jc w:val="center"/>
              <w:rPr>
                <w:rFonts w:ascii="Times New Roman" w:hAnsi="Times New Roman" w:cs="Times New Roman"/>
                <w:b/>
                <w:color w:val="000000"/>
                <w:sz w:val="24"/>
                <w:szCs w:val="24"/>
              </w:rPr>
            </w:pPr>
            <w:r w:rsidRPr="00D71CD1">
              <w:rPr>
                <w:rFonts w:ascii="Times New Roman" w:hAnsi="Times New Roman" w:cs="Times New Roman"/>
                <w:b/>
                <w:color w:val="000000"/>
                <w:sz w:val="24"/>
                <w:szCs w:val="24"/>
              </w:rPr>
              <w:t>0,25</w:t>
            </w:r>
          </w:p>
        </w:tc>
        <w:tc>
          <w:tcPr>
            <w:tcW w:w="709" w:type="dxa"/>
            <w:vAlign w:val="bottom"/>
          </w:tcPr>
          <w:p w:rsidR="00F43988" w:rsidRPr="00D71CD1" w:rsidRDefault="00F43988" w:rsidP="00D71CD1">
            <w:pPr>
              <w:spacing w:after="0" w:line="240" w:lineRule="auto"/>
              <w:jc w:val="center"/>
              <w:rPr>
                <w:rFonts w:ascii="Times New Roman" w:hAnsi="Times New Roman" w:cs="Times New Roman"/>
                <w:b/>
                <w:color w:val="000000"/>
                <w:sz w:val="24"/>
                <w:szCs w:val="24"/>
              </w:rPr>
            </w:pPr>
            <w:r w:rsidRPr="00D71CD1">
              <w:rPr>
                <w:rFonts w:ascii="Times New Roman" w:hAnsi="Times New Roman" w:cs="Times New Roman"/>
                <w:b/>
                <w:color w:val="000000"/>
                <w:sz w:val="24"/>
                <w:szCs w:val="24"/>
              </w:rPr>
              <w:t>0,09</w:t>
            </w:r>
          </w:p>
        </w:tc>
        <w:tc>
          <w:tcPr>
            <w:tcW w:w="850" w:type="dxa"/>
            <w:vAlign w:val="bottom"/>
          </w:tcPr>
          <w:p w:rsidR="00F43988" w:rsidRPr="00D71CD1" w:rsidRDefault="00F43988"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-61,4</w:t>
            </w:r>
          </w:p>
        </w:tc>
        <w:tc>
          <w:tcPr>
            <w:tcW w:w="851" w:type="dxa"/>
            <w:vAlign w:val="bottom"/>
          </w:tcPr>
          <w:p w:rsidR="00F43988" w:rsidRPr="00D71CD1" w:rsidRDefault="00F43988" w:rsidP="00D71CD1">
            <w:pPr>
              <w:spacing w:after="0" w:line="240" w:lineRule="auto"/>
              <w:jc w:val="center"/>
              <w:rPr>
                <w:rFonts w:ascii="Times New Roman" w:hAnsi="Times New Roman" w:cs="Times New Roman"/>
                <w:b/>
                <w:color w:val="000000"/>
                <w:sz w:val="24"/>
                <w:szCs w:val="24"/>
              </w:rPr>
            </w:pPr>
            <w:r w:rsidRPr="00D71CD1">
              <w:rPr>
                <w:rFonts w:ascii="Times New Roman" w:hAnsi="Times New Roman" w:cs="Times New Roman"/>
                <w:b/>
                <w:color w:val="000000"/>
                <w:sz w:val="24"/>
                <w:szCs w:val="24"/>
              </w:rPr>
              <w:t>0,10</w:t>
            </w:r>
          </w:p>
        </w:tc>
        <w:tc>
          <w:tcPr>
            <w:tcW w:w="850" w:type="dxa"/>
            <w:vAlign w:val="bottom"/>
          </w:tcPr>
          <w:p w:rsidR="00F43988" w:rsidRPr="00D71CD1" w:rsidRDefault="00F43988"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-59,1</w:t>
            </w:r>
          </w:p>
        </w:tc>
        <w:tc>
          <w:tcPr>
            <w:tcW w:w="851" w:type="dxa"/>
            <w:vAlign w:val="bottom"/>
          </w:tcPr>
          <w:p w:rsidR="00F43988" w:rsidRPr="00D71CD1" w:rsidRDefault="00F43988" w:rsidP="00D71CD1">
            <w:pPr>
              <w:spacing w:after="0" w:line="240" w:lineRule="auto"/>
              <w:jc w:val="center"/>
              <w:rPr>
                <w:rFonts w:ascii="Times New Roman" w:hAnsi="Times New Roman" w:cs="Times New Roman"/>
                <w:b/>
                <w:color w:val="000000"/>
                <w:sz w:val="24"/>
                <w:szCs w:val="24"/>
              </w:rPr>
            </w:pPr>
            <w:r w:rsidRPr="00D71CD1">
              <w:rPr>
                <w:rFonts w:ascii="Times New Roman" w:hAnsi="Times New Roman" w:cs="Times New Roman"/>
                <w:b/>
                <w:color w:val="000000"/>
                <w:sz w:val="24"/>
                <w:szCs w:val="24"/>
              </w:rPr>
              <w:t>0,08</w:t>
            </w:r>
          </w:p>
        </w:tc>
        <w:tc>
          <w:tcPr>
            <w:tcW w:w="850" w:type="dxa"/>
            <w:vAlign w:val="bottom"/>
          </w:tcPr>
          <w:p w:rsidR="00F43988" w:rsidRPr="00D71CD1" w:rsidRDefault="00F43988"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-65,5</w:t>
            </w:r>
          </w:p>
        </w:tc>
        <w:tc>
          <w:tcPr>
            <w:tcW w:w="851" w:type="dxa"/>
            <w:vAlign w:val="bottom"/>
          </w:tcPr>
          <w:p w:rsidR="00F43988" w:rsidRPr="00D71CD1" w:rsidRDefault="00F43988" w:rsidP="00D71CD1">
            <w:pPr>
              <w:spacing w:after="0" w:line="240" w:lineRule="auto"/>
              <w:jc w:val="center"/>
              <w:rPr>
                <w:rFonts w:ascii="Times New Roman" w:hAnsi="Times New Roman" w:cs="Times New Roman"/>
                <w:b/>
                <w:color w:val="000000"/>
                <w:sz w:val="24"/>
                <w:szCs w:val="24"/>
              </w:rPr>
            </w:pPr>
            <w:r w:rsidRPr="00D71CD1">
              <w:rPr>
                <w:rFonts w:ascii="Times New Roman" w:hAnsi="Times New Roman" w:cs="Times New Roman"/>
                <w:b/>
                <w:color w:val="000000"/>
                <w:sz w:val="24"/>
                <w:szCs w:val="24"/>
              </w:rPr>
              <w:t>0,10</w:t>
            </w:r>
          </w:p>
        </w:tc>
        <w:tc>
          <w:tcPr>
            <w:tcW w:w="850" w:type="dxa"/>
            <w:vAlign w:val="bottom"/>
          </w:tcPr>
          <w:p w:rsidR="00F43988" w:rsidRPr="00D71CD1" w:rsidRDefault="00F43988"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-59,2</w:t>
            </w:r>
          </w:p>
        </w:tc>
      </w:tr>
    </w:tbl>
    <w:p w:rsidR="00B00D61" w:rsidRPr="00D71CD1" w:rsidRDefault="00B00D61" w:rsidP="00D71CD1">
      <w:pPr>
        <w:spacing w:after="0" w:line="240" w:lineRule="auto"/>
        <w:jc w:val="both"/>
        <w:rPr>
          <w:rFonts w:ascii="Times New Roman" w:hAnsi="Times New Roman" w:cs="Times New Roman"/>
          <w:sz w:val="24"/>
          <w:szCs w:val="24"/>
        </w:rPr>
      </w:pPr>
      <w:r w:rsidRPr="00D71CD1">
        <w:rPr>
          <w:rFonts w:ascii="Times New Roman" w:hAnsi="Times New Roman" w:cs="Times New Roman"/>
          <w:sz w:val="24"/>
          <w:szCs w:val="24"/>
        </w:rPr>
        <w:t>Fonte: Dados da pesquisa</w:t>
      </w:r>
    </w:p>
    <w:p w:rsidR="00B00D61" w:rsidRPr="00D71CD1" w:rsidRDefault="00F43988" w:rsidP="00D71CD1">
      <w:pPr>
        <w:pStyle w:val="Legenda"/>
        <w:spacing w:after="0"/>
        <w:jc w:val="both"/>
        <w:rPr>
          <w:rFonts w:ascii="Times New Roman" w:hAnsi="Times New Roman" w:cs="Times New Roman"/>
          <w:b w:val="0"/>
          <w:color w:val="auto"/>
          <w:sz w:val="24"/>
          <w:szCs w:val="24"/>
        </w:rPr>
      </w:pPr>
      <w:r w:rsidRPr="00D71CD1">
        <w:rPr>
          <w:rFonts w:ascii="Times New Roman" w:hAnsi="Times New Roman" w:cs="Times New Roman"/>
          <w:b w:val="0"/>
          <w:color w:val="auto"/>
          <w:sz w:val="24"/>
          <w:szCs w:val="24"/>
        </w:rPr>
        <w:t>Legenda: Vencimentos:</w:t>
      </w:r>
      <w:r w:rsidR="00B00D61" w:rsidRPr="00D71CD1">
        <w:rPr>
          <w:rFonts w:ascii="Times New Roman" w:hAnsi="Times New Roman" w:cs="Times New Roman"/>
          <w:b w:val="0"/>
          <w:color w:val="auto"/>
          <w:sz w:val="24"/>
          <w:szCs w:val="24"/>
        </w:rPr>
        <w:t xml:space="preserve"> maio de </w:t>
      </w:r>
      <w:proofErr w:type="gramStart"/>
      <w:r w:rsidR="00B00D61" w:rsidRPr="00D71CD1">
        <w:rPr>
          <w:rFonts w:ascii="Times New Roman" w:hAnsi="Times New Roman" w:cs="Times New Roman"/>
          <w:b w:val="0"/>
          <w:color w:val="auto"/>
          <w:sz w:val="24"/>
          <w:szCs w:val="24"/>
        </w:rPr>
        <w:t>2011 (SOJK11), maio</w:t>
      </w:r>
      <w:proofErr w:type="gramEnd"/>
      <w:r w:rsidR="00B00D61" w:rsidRPr="00D71CD1">
        <w:rPr>
          <w:rFonts w:ascii="Times New Roman" w:hAnsi="Times New Roman" w:cs="Times New Roman"/>
          <w:b w:val="0"/>
          <w:color w:val="auto"/>
          <w:sz w:val="24"/>
          <w:szCs w:val="24"/>
        </w:rPr>
        <w:t xml:space="preserve"> de 2012 (SFIK12)</w:t>
      </w:r>
      <w:r w:rsidRPr="00D71CD1">
        <w:rPr>
          <w:rFonts w:ascii="Times New Roman" w:hAnsi="Times New Roman" w:cs="Times New Roman"/>
          <w:b w:val="0"/>
          <w:color w:val="auto"/>
          <w:sz w:val="24"/>
          <w:szCs w:val="24"/>
        </w:rPr>
        <w:t xml:space="preserve"> </w:t>
      </w:r>
      <w:r w:rsidR="00B00D61" w:rsidRPr="00D71CD1">
        <w:rPr>
          <w:rFonts w:ascii="Times New Roman" w:hAnsi="Times New Roman" w:cs="Times New Roman"/>
          <w:b w:val="0"/>
          <w:color w:val="auto"/>
          <w:sz w:val="24"/>
          <w:szCs w:val="24"/>
        </w:rPr>
        <w:t>e maio de 2013 (SFIK13).</w:t>
      </w:r>
    </w:p>
    <w:p w:rsidR="00B00D61" w:rsidRPr="00D71CD1" w:rsidRDefault="00B00D61" w:rsidP="00D71CD1">
      <w:pPr>
        <w:autoSpaceDE w:val="0"/>
        <w:autoSpaceDN w:val="0"/>
        <w:adjustRightInd w:val="0"/>
        <w:spacing w:after="0" w:line="240" w:lineRule="auto"/>
        <w:jc w:val="both"/>
        <w:rPr>
          <w:rFonts w:ascii="Times New Roman" w:hAnsi="Times New Roman" w:cs="Times New Roman"/>
          <w:sz w:val="24"/>
          <w:szCs w:val="24"/>
        </w:rPr>
      </w:pPr>
    </w:p>
    <w:p w:rsidR="00B00D61" w:rsidRPr="00D71CD1" w:rsidRDefault="00B00D61" w:rsidP="00D71CD1">
      <w:pPr>
        <w:spacing w:after="0" w:line="240" w:lineRule="auto"/>
        <w:jc w:val="both"/>
        <w:rPr>
          <w:rFonts w:ascii="Times New Roman" w:hAnsi="Times New Roman" w:cs="Times New Roman"/>
          <w:sz w:val="24"/>
          <w:szCs w:val="24"/>
        </w:rPr>
      </w:pPr>
      <w:r w:rsidRPr="00D71CD1">
        <w:rPr>
          <w:rFonts w:ascii="Times New Roman" w:hAnsi="Times New Roman" w:cs="Times New Roman"/>
          <w:sz w:val="24"/>
          <w:szCs w:val="24"/>
        </w:rPr>
        <w:tab/>
        <w:t xml:space="preserve">Conforme a Tabela </w:t>
      </w:r>
      <w:r w:rsidR="005A0429">
        <w:rPr>
          <w:rFonts w:ascii="Times New Roman" w:hAnsi="Times New Roman" w:cs="Times New Roman"/>
          <w:sz w:val="24"/>
          <w:szCs w:val="24"/>
        </w:rPr>
        <w:t>5</w:t>
      </w:r>
      <w:r w:rsidRPr="00D71CD1">
        <w:rPr>
          <w:rFonts w:ascii="Times New Roman" w:hAnsi="Times New Roman" w:cs="Times New Roman"/>
          <w:sz w:val="24"/>
          <w:szCs w:val="24"/>
        </w:rPr>
        <w:t xml:space="preserve">, de uma maneira geral, as </w:t>
      </w:r>
      <w:proofErr w:type="gramStart"/>
      <w:r w:rsidRPr="00D71CD1">
        <w:rPr>
          <w:rFonts w:ascii="Times New Roman" w:hAnsi="Times New Roman" w:cs="Times New Roman"/>
          <w:sz w:val="24"/>
          <w:szCs w:val="24"/>
        </w:rPr>
        <w:t>4</w:t>
      </w:r>
      <w:proofErr w:type="gramEnd"/>
      <w:r w:rsidRPr="00D71CD1">
        <w:rPr>
          <w:rFonts w:ascii="Times New Roman" w:hAnsi="Times New Roman" w:cs="Times New Roman"/>
          <w:sz w:val="24"/>
          <w:szCs w:val="24"/>
        </w:rPr>
        <w:t xml:space="preserve"> metodologias apresentaram uma média de -60% na estimação do custo de liquidez, subestimando o mesmo. A metodologia que mais se aproximou do custo de liquidez foi a CDP para o contrato de maio de 2012, com - 46%. Como o método de CDP foi um ajuste no método de </w:t>
      </w:r>
      <w:proofErr w:type="spellStart"/>
      <w:r w:rsidRPr="00D71CD1">
        <w:rPr>
          <w:rFonts w:ascii="Times New Roman" w:hAnsi="Times New Roman" w:cs="Times New Roman"/>
          <w:sz w:val="24"/>
          <w:szCs w:val="24"/>
        </w:rPr>
        <w:t>Roll</w:t>
      </w:r>
      <w:proofErr w:type="spellEnd"/>
      <w:r w:rsidRPr="00D71CD1">
        <w:rPr>
          <w:rFonts w:ascii="Times New Roman" w:hAnsi="Times New Roman" w:cs="Times New Roman"/>
          <w:sz w:val="24"/>
          <w:szCs w:val="24"/>
        </w:rPr>
        <w:t xml:space="preserve">, onde incorporou as probabilidades que a transação ocorra no mesmo preço que a transação anterior e que a transação ocorra ao mesmo preço </w:t>
      </w:r>
      <w:r w:rsidRPr="00D71CD1">
        <w:rPr>
          <w:rFonts w:ascii="Times New Roman" w:hAnsi="Times New Roman" w:cs="Times New Roman"/>
          <w:sz w:val="24"/>
          <w:szCs w:val="24"/>
        </w:rPr>
        <w:lastRenderedPageBreak/>
        <w:t xml:space="preserve">para a próxima transação, esse ajuste tornou o método um pouco mais eficaz na estimação, porém não foi eficiente. </w:t>
      </w:r>
    </w:p>
    <w:p w:rsidR="00B00D61" w:rsidRPr="00D71CD1" w:rsidRDefault="00B00D61" w:rsidP="00D71CD1">
      <w:pPr>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Da mesma forma para a metodologia de CFTC, onde foi um ajuste do método de TWM, utilizando somente alterações nos preços que ocorre inversões nos valores, a fim de reduzir a chance de atribuir variabilidade devido a novas informações. Essa modificação também tornou o método um pouco mais eficaz na estimação, porém não foi eficiente. </w:t>
      </w:r>
    </w:p>
    <w:p w:rsidR="00B00D61" w:rsidRPr="00D71CD1" w:rsidRDefault="00B00D61" w:rsidP="00D71CD1">
      <w:pPr>
        <w:spacing w:after="0" w:line="240" w:lineRule="auto"/>
        <w:jc w:val="both"/>
        <w:rPr>
          <w:rFonts w:ascii="Times New Roman" w:hAnsi="Times New Roman" w:cs="Times New Roman"/>
          <w:sz w:val="24"/>
          <w:szCs w:val="24"/>
        </w:rPr>
      </w:pPr>
      <w:r w:rsidRPr="00D71CD1">
        <w:rPr>
          <w:rFonts w:ascii="Times New Roman" w:hAnsi="Times New Roman" w:cs="Times New Roman"/>
          <w:sz w:val="24"/>
          <w:szCs w:val="24"/>
        </w:rPr>
        <w:tab/>
        <w:t>A utilização dos modelos de covariância de variação dos preços (</w:t>
      </w:r>
      <w:proofErr w:type="spellStart"/>
      <w:r w:rsidRPr="00D71CD1">
        <w:rPr>
          <w:rFonts w:ascii="Times New Roman" w:hAnsi="Times New Roman" w:cs="Times New Roman"/>
          <w:sz w:val="24"/>
          <w:szCs w:val="24"/>
        </w:rPr>
        <w:t>Roll</w:t>
      </w:r>
      <w:proofErr w:type="spellEnd"/>
      <w:r w:rsidRPr="00D71CD1">
        <w:rPr>
          <w:rFonts w:ascii="Times New Roman" w:hAnsi="Times New Roman" w:cs="Times New Roman"/>
          <w:sz w:val="24"/>
          <w:szCs w:val="24"/>
        </w:rPr>
        <w:t xml:space="preserve"> e CDP) pode estar subestimando o custo de liquidez para o mercado futuro de soja da </w:t>
      </w:r>
      <w:proofErr w:type="spellStart"/>
      <w:r w:rsidRPr="00D71CD1">
        <w:rPr>
          <w:rFonts w:ascii="Times New Roman" w:hAnsi="Times New Roman" w:cs="Times New Roman"/>
          <w:sz w:val="24"/>
          <w:szCs w:val="24"/>
        </w:rPr>
        <w:t>BM&amp;FBOVESPA</w:t>
      </w:r>
      <w:proofErr w:type="spellEnd"/>
      <w:r w:rsidRPr="00D71CD1">
        <w:rPr>
          <w:rFonts w:ascii="Times New Roman" w:hAnsi="Times New Roman" w:cs="Times New Roman"/>
          <w:sz w:val="24"/>
          <w:szCs w:val="24"/>
        </w:rPr>
        <w:t xml:space="preserve"> devido o forte pressuposto que os modelos possuem do mercado ser informacionalmente eficiente. Após o advento da teoria de assimetria informacional, onde a capacidade dos participantes em analisar todas as informações disponíveis </w:t>
      </w:r>
      <w:proofErr w:type="gramStart"/>
      <w:r w:rsidRPr="00D71CD1">
        <w:rPr>
          <w:rFonts w:ascii="Times New Roman" w:hAnsi="Times New Roman" w:cs="Times New Roman"/>
          <w:sz w:val="24"/>
          <w:szCs w:val="24"/>
        </w:rPr>
        <w:t>diminui,</w:t>
      </w:r>
      <w:proofErr w:type="gramEnd"/>
      <w:r w:rsidRPr="00D71CD1">
        <w:rPr>
          <w:rFonts w:ascii="Times New Roman" w:hAnsi="Times New Roman" w:cs="Times New Roman"/>
          <w:sz w:val="24"/>
          <w:szCs w:val="24"/>
        </w:rPr>
        <w:t xml:space="preserve"> o pressuposto que os preços observados no mercado contem todas as informações relevantes não pode ser confirmado, tornando o modelo duvidoso para o mercado futuro de soja brasileira.</w:t>
      </w:r>
    </w:p>
    <w:p w:rsidR="00B00D61" w:rsidRPr="00D71CD1" w:rsidRDefault="00B00D61" w:rsidP="00D71CD1">
      <w:pPr>
        <w:spacing w:after="0" w:line="240" w:lineRule="auto"/>
        <w:jc w:val="both"/>
        <w:rPr>
          <w:rFonts w:ascii="Times New Roman" w:hAnsi="Times New Roman" w:cs="Times New Roman"/>
          <w:sz w:val="24"/>
          <w:szCs w:val="24"/>
        </w:rPr>
      </w:pPr>
      <w:r w:rsidRPr="00D71CD1">
        <w:rPr>
          <w:rFonts w:ascii="Times New Roman" w:hAnsi="Times New Roman" w:cs="Times New Roman"/>
          <w:sz w:val="24"/>
          <w:szCs w:val="24"/>
        </w:rPr>
        <w:tab/>
        <w:t xml:space="preserve">Para os modelos de variações nos preços (TWM e CFTC) o pressuposto que mudanças nos preços em muitos mercados são iguais ao tamanho do custo de liquidez, não ocorre em todos os casos para o contrato futuro brasileiro, uma vez que foram verificados casos em que o custo de liquidez estava elevado, pois as ofertas de compra e venda registradas estavam longe uma da outra, e não ocorreram negociações. Para o período seguinte, as ofertas de compra e </w:t>
      </w:r>
      <w:proofErr w:type="gramStart"/>
      <w:r w:rsidRPr="00D71CD1">
        <w:rPr>
          <w:rFonts w:ascii="Times New Roman" w:hAnsi="Times New Roman" w:cs="Times New Roman"/>
          <w:sz w:val="24"/>
          <w:szCs w:val="24"/>
        </w:rPr>
        <w:t>venda ficaram</w:t>
      </w:r>
      <w:proofErr w:type="gramEnd"/>
      <w:r w:rsidRPr="00D71CD1">
        <w:rPr>
          <w:rFonts w:ascii="Times New Roman" w:hAnsi="Times New Roman" w:cs="Times New Roman"/>
          <w:sz w:val="24"/>
          <w:szCs w:val="24"/>
        </w:rPr>
        <w:t xml:space="preserve"> mais próximas, até ocorrer o negócio. Assim os modelos de TWM e CFTC captaram o momento da variação do custo de liquidez menor e não captaram o dia que o custo de liquidez estava maior e não ocorreu negociação, estimando assim o custo de liquidez menor do que ocorrido. </w:t>
      </w:r>
    </w:p>
    <w:p w:rsidR="00B00D61" w:rsidRPr="00D71CD1" w:rsidRDefault="00B00D61" w:rsidP="00D71CD1">
      <w:pPr>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A fim de destacar os principais determinantes do custo de liquidez dos contratos futuros de soja da </w:t>
      </w:r>
      <w:proofErr w:type="spellStart"/>
      <w:r w:rsidRPr="00D71CD1">
        <w:rPr>
          <w:rFonts w:ascii="Times New Roman" w:hAnsi="Times New Roman" w:cs="Times New Roman"/>
          <w:sz w:val="24"/>
          <w:szCs w:val="24"/>
        </w:rPr>
        <w:t>BM&amp;FBOVESPA</w:t>
      </w:r>
      <w:proofErr w:type="spellEnd"/>
      <w:r w:rsidRPr="00D71CD1">
        <w:rPr>
          <w:rFonts w:ascii="Times New Roman" w:hAnsi="Times New Roman" w:cs="Times New Roman"/>
          <w:sz w:val="24"/>
          <w:szCs w:val="24"/>
        </w:rPr>
        <w:t xml:space="preserve">, no tópico a seguir são apresentados as estimativa através </w:t>
      </w:r>
      <w:proofErr w:type="gramStart"/>
      <w:r w:rsidRPr="00D71CD1">
        <w:rPr>
          <w:rFonts w:ascii="Times New Roman" w:hAnsi="Times New Roman" w:cs="Times New Roman"/>
          <w:sz w:val="24"/>
          <w:szCs w:val="24"/>
        </w:rPr>
        <w:t>do M</w:t>
      </w:r>
      <w:r w:rsidRPr="00D71CD1">
        <w:rPr>
          <w:rFonts w:ascii="Times New Roman" w:eastAsiaTheme="minorEastAsia" w:hAnsi="Times New Roman" w:cs="Times New Roman"/>
          <w:sz w:val="24"/>
          <w:szCs w:val="24"/>
        </w:rPr>
        <w:t>étodos</w:t>
      </w:r>
      <w:proofErr w:type="gramEnd"/>
      <w:r w:rsidRPr="00D71CD1">
        <w:rPr>
          <w:rFonts w:ascii="Times New Roman" w:eastAsiaTheme="minorEastAsia" w:hAnsi="Times New Roman" w:cs="Times New Roman"/>
          <w:sz w:val="24"/>
          <w:szCs w:val="24"/>
        </w:rPr>
        <w:t xml:space="preserve"> dos Momentos Generalizados – </w:t>
      </w:r>
      <w:proofErr w:type="spellStart"/>
      <w:r w:rsidRPr="00D71CD1">
        <w:rPr>
          <w:rFonts w:ascii="Times New Roman" w:eastAsiaTheme="minorEastAsia" w:hAnsi="Times New Roman" w:cs="Times New Roman"/>
          <w:i/>
          <w:sz w:val="24"/>
          <w:szCs w:val="24"/>
        </w:rPr>
        <w:t>Generalized</w:t>
      </w:r>
      <w:proofErr w:type="spellEnd"/>
      <w:r w:rsidRPr="00D71CD1">
        <w:rPr>
          <w:rFonts w:ascii="Times New Roman" w:eastAsiaTheme="minorEastAsia" w:hAnsi="Times New Roman" w:cs="Times New Roman"/>
          <w:i/>
          <w:sz w:val="24"/>
          <w:szCs w:val="24"/>
        </w:rPr>
        <w:t xml:space="preserve"> </w:t>
      </w:r>
      <w:proofErr w:type="spellStart"/>
      <w:r w:rsidRPr="00D71CD1">
        <w:rPr>
          <w:rFonts w:ascii="Times New Roman" w:eastAsiaTheme="minorEastAsia" w:hAnsi="Times New Roman" w:cs="Times New Roman"/>
          <w:i/>
          <w:sz w:val="24"/>
          <w:szCs w:val="24"/>
        </w:rPr>
        <w:t>Method</w:t>
      </w:r>
      <w:proofErr w:type="spellEnd"/>
      <w:r w:rsidRPr="00D71CD1">
        <w:rPr>
          <w:rFonts w:ascii="Times New Roman" w:eastAsiaTheme="minorEastAsia" w:hAnsi="Times New Roman" w:cs="Times New Roman"/>
          <w:i/>
          <w:sz w:val="24"/>
          <w:szCs w:val="24"/>
        </w:rPr>
        <w:t xml:space="preserve"> </w:t>
      </w:r>
      <w:proofErr w:type="spellStart"/>
      <w:r w:rsidRPr="00D71CD1">
        <w:rPr>
          <w:rFonts w:ascii="Times New Roman" w:eastAsiaTheme="minorEastAsia" w:hAnsi="Times New Roman" w:cs="Times New Roman"/>
          <w:i/>
          <w:sz w:val="24"/>
          <w:szCs w:val="24"/>
        </w:rPr>
        <w:t>of</w:t>
      </w:r>
      <w:proofErr w:type="spellEnd"/>
      <w:r w:rsidRPr="00D71CD1">
        <w:rPr>
          <w:rFonts w:ascii="Times New Roman" w:eastAsiaTheme="minorEastAsia" w:hAnsi="Times New Roman" w:cs="Times New Roman"/>
          <w:i/>
          <w:sz w:val="24"/>
          <w:szCs w:val="24"/>
        </w:rPr>
        <w:t xml:space="preserve"> </w:t>
      </w:r>
      <w:proofErr w:type="spellStart"/>
      <w:r w:rsidRPr="00D71CD1">
        <w:rPr>
          <w:rFonts w:ascii="Times New Roman" w:eastAsiaTheme="minorEastAsia" w:hAnsi="Times New Roman" w:cs="Times New Roman"/>
          <w:i/>
          <w:sz w:val="24"/>
          <w:szCs w:val="24"/>
        </w:rPr>
        <w:t>Moments</w:t>
      </w:r>
      <w:proofErr w:type="spellEnd"/>
      <w:r w:rsidRPr="00D71CD1">
        <w:rPr>
          <w:rFonts w:ascii="Times New Roman" w:eastAsiaTheme="minorEastAsia" w:hAnsi="Times New Roman" w:cs="Times New Roman"/>
          <w:sz w:val="24"/>
          <w:szCs w:val="24"/>
        </w:rPr>
        <w:t xml:space="preserve"> (GMM).</w:t>
      </w:r>
    </w:p>
    <w:p w:rsidR="00B00D61" w:rsidRPr="00D71CD1" w:rsidRDefault="00B00D61" w:rsidP="00D71CD1">
      <w:pPr>
        <w:spacing w:after="0" w:line="240" w:lineRule="auto"/>
        <w:rPr>
          <w:rFonts w:ascii="Times New Roman" w:hAnsi="Times New Roman" w:cs="Times New Roman"/>
          <w:sz w:val="24"/>
          <w:szCs w:val="24"/>
        </w:rPr>
      </w:pPr>
    </w:p>
    <w:p w:rsidR="00B00D61" w:rsidRPr="00D71CD1" w:rsidRDefault="00D71CD1" w:rsidP="00D71CD1">
      <w:pPr>
        <w:pStyle w:val="Ttulo2"/>
        <w:spacing w:before="120" w:after="120" w:line="240" w:lineRule="auto"/>
        <w:jc w:val="both"/>
        <w:rPr>
          <w:rFonts w:ascii="Times New Roman" w:hAnsi="Times New Roman" w:cs="Times New Roman"/>
          <w:color w:val="auto"/>
          <w:sz w:val="24"/>
          <w:szCs w:val="24"/>
        </w:rPr>
      </w:pPr>
      <w:bookmarkStart w:id="12" w:name="_Toc360001441"/>
      <w:r w:rsidRPr="00D71CD1">
        <w:rPr>
          <w:rFonts w:ascii="Times New Roman" w:hAnsi="Times New Roman" w:cs="Times New Roman"/>
          <w:color w:val="auto"/>
          <w:sz w:val="24"/>
          <w:szCs w:val="24"/>
        </w:rPr>
        <w:t>4.3</w:t>
      </w:r>
      <w:r w:rsidR="00B00D61" w:rsidRPr="00D71CD1">
        <w:rPr>
          <w:rFonts w:ascii="Times New Roman" w:hAnsi="Times New Roman" w:cs="Times New Roman"/>
          <w:color w:val="auto"/>
          <w:sz w:val="24"/>
          <w:szCs w:val="24"/>
        </w:rPr>
        <w:t xml:space="preserve">. Análise dos determinantes do custo de liquidez do contrato futuro de soja da </w:t>
      </w:r>
      <w:proofErr w:type="spellStart"/>
      <w:r w:rsidR="00B00D61" w:rsidRPr="00D71CD1">
        <w:rPr>
          <w:rFonts w:ascii="Times New Roman" w:hAnsi="Times New Roman" w:cs="Times New Roman"/>
          <w:color w:val="auto"/>
          <w:sz w:val="24"/>
          <w:szCs w:val="24"/>
        </w:rPr>
        <w:t>BM&amp;FBOVESPA</w:t>
      </w:r>
      <w:bookmarkEnd w:id="12"/>
      <w:proofErr w:type="spellEnd"/>
    </w:p>
    <w:p w:rsidR="00B00D61" w:rsidRPr="00D71CD1" w:rsidRDefault="00B00D61" w:rsidP="00D71CD1">
      <w:pPr>
        <w:pStyle w:val="Ttulo2"/>
        <w:spacing w:before="0" w:line="240" w:lineRule="auto"/>
        <w:jc w:val="both"/>
        <w:rPr>
          <w:rFonts w:ascii="Times New Roman" w:hAnsi="Times New Roman" w:cs="Times New Roman"/>
          <w:color w:val="auto"/>
          <w:sz w:val="24"/>
          <w:szCs w:val="24"/>
        </w:rPr>
      </w:pPr>
    </w:p>
    <w:p w:rsidR="00B00D61" w:rsidRPr="00D71CD1" w:rsidRDefault="00B00D61" w:rsidP="00D71CD1">
      <w:pPr>
        <w:spacing w:after="0" w:line="240" w:lineRule="auto"/>
        <w:jc w:val="both"/>
        <w:rPr>
          <w:rFonts w:ascii="Times New Roman" w:hAnsi="Times New Roman" w:cs="Times New Roman"/>
          <w:sz w:val="24"/>
          <w:szCs w:val="24"/>
        </w:rPr>
      </w:pPr>
      <w:r w:rsidRPr="00D71CD1">
        <w:rPr>
          <w:rFonts w:ascii="Times New Roman" w:hAnsi="Times New Roman" w:cs="Times New Roman"/>
          <w:sz w:val="24"/>
          <w:szCs w:val="24"/>
        </w:rPr>
        <w:tab/>
        <w:t xml:space="preserve">O modelo utilizado foi baseado em alguns trabalhos que lidaram com custo de liquidez e seus determinantes para mercados futuros, tais como Thompson </w:t>
      </w:r>
      <w:proofErr w:type="spellStart"/>
      <w:proofErr w:type="gramStart"/>
      <w:r w:rsidRPr="00D71CD1">
        <w:rPr>
          <w:rFonts w:ascii="Times New Roman" w:hAnsi="Times New Roman" w:cs="Times New Roman"/>
          <w:i/>
          <w:sz w:val="24"/>
          <w:szCs w:val="24"/>
        </w:rPr>
        <w:t>et</w:t>
      </w:r>
      <w:proofErr w:type="spellEnd"/>
      <w:proofErr w:type="gramEnd"/>
      <w:r w:rsidRPr="00D71CD1">
        <w:rPr>
          <w:rFonts w:ascii="Times New Roman" w:hAnsi="Times New Roman" w:cs="Times New Roman"/>
          <w:i/>
          <w:sz w:val="24"/>
          <w:szCs w:val="24"/>
        </w:rPr>
        <w:t xml:space="preserve"> al.</w:t>
      </w:r>
      <w:r w:rsidRPr="00D71CD1">
        <w:rPr>
          <w:rFonts w:ascii="Times New Roman" w:hAnsi="Times New Roman" w:cs="Times New Roman"/>
          <w:sz w:val="24"/>
          <w:szCs w:val="24"/>
        </w:rPr>
        <w:t xml:space="preserve"> (1988), Thompson </w:t>
      </w:r>
      <w:proofErr w:type="spellStart"/>
      <w:r w:rsidRPr="00D71CD1">
        <w:rPr>
          <w:rFonts w:ascii="Times New Roman" w:hAnsi="Times New Roman" w:cs="Times New Roman"/>
          <w:i/>
          <w:sz w:val="24"/>
          <w:szCs w:val="24"/>
        </w:rPr>
        <w:t>et</w:t>
      </w:r>
      <w:proofErr w:type="spellEnd"/>
      <w:r w:rsidRPr="00D71CD1">
        <w:rPr>
          <w:rFonts w:ascii="Times New Roman" w:hAnsi="Times New Roman" w:cs="Times New Roman"/>
          <w:i/>
          <w:sz w:val="24"/>
          <w:szCs w:val="24"/>
        </w:rPr>
        <w:t xml:space="preserve"> al.</w:t>
      </w:r>
      <w:r w:rsidRPr="00D71CD1">
        <w:rPr>
          <w:rFonts w:ascii="Times New Roman" w:hAnsi="Times New Roman" w:cs="Times New Roman"/>
          <w:sz w:val="24"/>
          <w:szCs w:val="24"/>
        </w:rPr>
        <w:t xml:space="preserve"> (1993), </w:t>
      </w:r>
      <w:proofErr w:type="spellStart"/>
      <w:r w:rsidRPr="00D71CD1">
        <w:rPr>
          <w:rFonts w:ascii="Times New Roman" w:hAnsi="Times New Roman" w:cs="Times New Roman"/>
          <w:sz w:val="24"/>
          <w:szCs w:val="24"/>
        </w:rPr>
        <w:t>Anand</w:t>
      </w:r>
      <w:proofErr w:type="spellEnd"/>
      <w:r w:rsidRPr="00D71CD1">
        <w:rPr>
          <w:rFonts w:ascii="Times New Roman" w:hAnsi="Times New Roman" w:cs="Times New Roman"/>
          <w:sz w:val="24"/>
          <w:szCs w:val="24"/>
        </w:rPr>
        <w:t xml:space="preserve"> e </w:t>
      </w:r>
      <w:proofErr w:type="spellStart"/>
      <w:r w:rsidRPr="00D71CD1">
        <w:rPr>
          <w:rFonts w:ascii="Times New Roman" w:hAnsi="Times New Roman" w:cs="Times New Roman"/>
          <w:sz w:val="24"/>
          <w:szCs w:val="24"/>
        </w:rPr>
        <w:t>Karagozoglu</w:t>
      </w:r>
      <w:proofErr w:type="spellEnd"/>
      <w:r w:rsidRPr="00D71CD1">
        <w:rPr>
          <w:rFonts w:ascii="Times New Roman" w:hAnsi="Times New Roman" w:cs="Times New Roman"/>
          <w:sz w:val="24"/>
          <w:szCs w:val="24"/>
        </w:rPr>
        <w:t xml:space="preserve"> (2006), Frank e Garcia (2010), </w:t>
      </w:r>
      <w:proofErr w:type="spellStart"/>
      <w:r w:rsidRPr="00D71CD1">
        <w:rPr>
          <w:rFonts w:ascii="Times New Roman" w:hAnsi="Times New Roman" w:cs="Times New Roman"/>
          <w:sz w:val="24"/>
          <w:szCs w:val="24"/>
        </w:rPr>
        <w:t>Shah</w:t>
      </w:r>
      <w:proofErr w:type="spellEnd"/>
      <w:r w:rsidRPr="00D71CD1">
        <w:rPr>
          <w:rFonts w:ascii="Times New Roman" w:hAnsi="Times New Roman" w:cs="Times New Roman"/>
          <w:sz w:val="24"/>
          <w:szCs w:val="24"/>
        </w:rPr>
        <w:t xml:space="preserve"> </w:t>
      </w:r>
      <w:proofErr w:type="spellStart"/>
      <w:r w:rsidRPr="00D71CD1">
        <w:rPr>
          <w:rFonts w:ascii="Times New Roman" w:hAnsi="Times New Roman" w:cs="Times New Roman"/>
          <w:i/>
          <w:sz w:val="24"/>
          <w:szCs w:val="24"/>
        </w:rPr>
        <w:t>et</w:t>
      </w:r>
      <w:proofErr w:type="spellEnd"/>
      <w:r w:rsidRPr="00D71CD1">
        <w:rPr>
          <w:rFonts w:ascii="Times New Roman" w:hAnsi="Times New Roman" w:cs="Times New Roman"/>
          <w:i/>
          <w:sz w:val="24"/>
          <w:szCs w:val="24"/>
        </w:rPr>
        <w:t xml:space="preserve"> al.</w:t>
      </w:r>
      <w:r w:rsidRPr="00D71CD1">
        <w:rPr>
          <w:rFonts w:ascii="Times New Roman" w:hAnsi="Times New Roman" w:cs="Times New Roman"/>
          <w:sz w:val="24"/>
          <w:szCs w:val="24"/>
        </w:rPr>
        <w:t xml:space="preserve"> (2012) e </w:t>
      </w:r>
      <w:proofErr w:type="spellStart"/>
      <w:r w:rsidRPr="00D71CD1">
        <w:rPr>
          <w:rFonts w:ascii="Times New Roman" w:hAnsi="Times New Roman" w:cs="Times New Roman"/>
          <w:sz w:val="24"/>
          <w:szCs w:val="24"/>
        </w:rPr>
        <w:t>Wang</w:t>
      </w:r>
      <w:proofErr w:type="spellEnd"/>
      <w:r w:rsidRPr="00D71CD1">
        <w:rPr>
          <w:rFonts w:ascii="Times New Roman" w:hAnsi="Times New Roman" w:cs="Times New Roman"/>
          <w:sz w:val="24"/>
          <w:szCs w:val="24"/>
        </w:rPr>
        <w:t xml:space="preserve"> </w:t>
      </w:r>
      <w:proofErr w:type="spellStart"/>
      <w:r w:rsidRPr="00D71CD1">
        <w:rPr>
          <w:rFonts w:ascii="Times New Roman" w:hAnsi="Times New Roman" w:cs="Times New Roman"/>
          <w:i/>
          <w:sz w:val="24"/>
          <w:szCs w:val="24"/>
        </w:rPr>
        <w:t>et</w:t>
      </w:r>
      <w:proofErr w:type="spellEnd"/>
      <w:r w:rsidRPr="00D71CD1">
        <w:rPr>
          <w:rFonts w:ascii="Times New Roman" w:hAnsi="Times New Roman" w:cs="Times New Roman"/>
          <w:i/>
          <w:sz w:val="24"/>
          <w:szCs w:val="24"/>
        </w:rPr>
        <w:t xml:space="preserve"> al.</w:t>
      </w:r>
      <w:r w:rsidRPr="00D71CD1">
        <w:rPr>
          <w:rFonts w:ascii="Times New Roman" w:hAnsi="Times New Roman" w:cs="Times New Roman"/>
          <w:sz w:val="24"/>
          <w:szCs w:val="24"/>
        </w:rPr>
        <w:t xml:space="preserve"> (2012).</w:t>
      </w:r>
    </w:p>
    <w:p w:rsidR="00B00D61" w:rsidRPr="00D71CD1" w:rsidRDefault="00B00D61" w:rsidP="00D71CD1">
      <w:pPr>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O modelo proposto está definido na equação (</w:t>
      </w:r>
      <w:r w:rsidR="0007629D" w:rsidRPr="00D71CD1">
        <w:rPr>
          <w:rFonts w:ascii="Times New Roman" w:hAnsi="Times New Roman" w:cs="Times New Roman"/>
          <w:sz w:val="24"/>
          <w:szCs w:val="24"/>
        </w:rPr>
        <w:t>6</w:t>
      </w:r>
      <w:r w:rsidRPr="00D71CD1">
        <w:rPr>
          <w:rFonts w:ascii="Times New Roman" w:hAnsi="Times New Roman" w:cs="Times New Roman"/>
          <w:sz w:val="24"/>
          <w:szCs w:val="24"/>
        </w:rPr>
        <w:t xml:space="preserve">), apresentada na seção 3, onde a estratégia de estimação é baseada nos contratos que registraram os maiores números de negociações no período, que inclui os contratos com vencimento em maio de </w:t>
      </w:r>
      <w:proofErr w:type="gramStart"/>
      <w:r w:rsidRPr="00D71CD1">
        <w:rPr>
          <w:rFonts w:ascii="Times New Roman" w:hAnsi="Times New Roman" w:cs="Times New Roman"/>
          <w:sz w:val="24"/>
          <w:szCs w:val="24"/>
        </w:rPr>
        <w:t>2011 (SOJK11), maio</w:t>
      </w:r>
      <w:proofErr w:type="gramEnd"/>
      <w:r w:rsidRPr="00D71CD1">
        <w:rPr>
          <w:rFonts w:ascii="Times New Roman" w:hAnsi="Times New Roman" w:cs="Times New Roman"/>
          <w:sz w:val="24"/>
          <w:szCs w:val="24"/>
        </w:rPr>
        <w:t xml:space="preserve"> de 2012 (SFIK12) e maio de 2013 (SFIK13), contendo 607 observações diárias, apresentando 83% das negociações realizadas de setembro de 2010 até fevereiro de 2013. </w:t>
      </w:r>
    </w:p>
    <w:p w:rsidR="00B00D61" w:rsidRPr="00D71CD1" w:rsidRDefault="00B00D61" w:rsidP="00D71CD1">
      <w:pPr>
        <w:autoSpaceDE w:val="0"/>
        <w:autoSpaceDN w:val="0"/>
        <w:adjustRightInd w:val="0"/>
        <w:spacing w:after="0" w:line="240" w:lineRule="auto"/>
        <w:jc w:val="both"/>
        <w:rPr>
          <w:rFonts w:ascii="Times New Roman" w:hAnsi="Times New Roman" w:cs="Times New Roman"/>
          <w:iCs/>
          <w:color w:val="000000"/>
          <w:sz w:val="24"/>
          <w:szCs w:val="24"/>
        </w:rPr>
      </w:pPr>
      <w:r w:rsidRPr="00D71CD1">
        <w:rPr>
          <w:rFonts w:ascii="Times New Roman" w:hAnsi="Times New Roman" w:cs="Times New Roman"/>
          <w:b/>
          <w:sz w:val="24"/>
          <w:szCs w:val="24"/>
        </w:rPr>
        <w:tab/>
      </w:r>
      <w:r w:rsidR="0007629D" w:rsidRPr="00D71CD1">
        <w:rPr>
          <w:rFonts w:ascii="Times New Roman" w:hAnsi="Times New Roman" w:cs="Times New Roman"/>
          <w:iCs/>
          <w:color w:val="000000"/>
          <w:sz w:val="24"/>
          <w:szCs w:val="24"/>
        </w:rPr>
        <w:t>A equação (6</w:t>
      </w:r>
      <w:r w:rsidRPr="00D71CD1">
        <w:rPr>
          <w:rFonts w:ascii="Times New Roman" w:hAnsi="Times New Roman" w:cs="Times New Roman"/>
          <w:iCs/>
          <w:color w:val="000000"/>
          <w:sz w:val="24"/>
          <w:szCs w:val="24"/>
        </w:rPr>
        <w:t xml:space="preserve">) foi estimada primeiramente pelo método de Mínimos Quadrados Ordinário (MQO), sendo realizado o teste de </w:t>
      </w:r>
      <w:proofErr w:type="spellStart"/>
      <w:r w:rsidRPr="00D71CD1">
        <w:rPr>
          <w:rFonts w:ascii="Times New Roman" w:hAnsi="Times New Roman" w:cs="Times New Roman"/>
          <w:iCs/>
          <w:color w:val="000000"/>
          <w:sz w:val="24"/>
          <w:szCs w:val="24"/>
        </w:rPr>
        <w:t>endogeneidade</w:t>
      </w:r>
      <w:proofErr w:type="spellEnd"/>
      <w:r w:rsidRPr="00D71CD1">
        <w:rPr>
          <w:rFonts w:ascii="Times New Roman" w:hAnsi="Times New Roman" w:cs="Times New Roman"/>
          <w:iCs/>
          <w:color w:val="000000"/>
          <w:sz w:val="24"/>
          <w:szCs w:val="24"/>
        </w:rPr>
        <w:t xml:space="preserve"> de </w:t>
      </w:r>
      <w:proofErr w:type="spellStart"/>
      <w:r w:rsidRPr="00D71CD1">
        <w:rPr>
          <w:rFonts w:ascii="Times New Roman" w:hAnsi="Times New Roman" w:cs="Times New Roman"/>
          <w:iCs/>
          <w:color w:val="000000"/>
          <w:sz w:val="24"/>
          <w:szCs w:val="24"/>
        </w:rPr>
        <w:t>Hausman</w:t>
      </w:r>
      <w:proofErr w:type="spellEnd"/>
      <w:r w:rsidRPr="00D71CD1">
        <w:rPr>
          <w:rFonts w:ascii="Times New Roman" w:hAnsi="Times New Roman" w:cs="Times New Roman"/>
          <w:iCs/>
          <w:color w:val="000000"/>
          <w:sz w:val="24"/>
          <w:szCs w:val="24"/>
        </w:rPr>
        <w:t xml:space="preserve">. </w:t>
      </w:r>
      <w:r w:rsidRPr="00D71CD1">
        <w:rPr>
          <w:rFonts w:ascii="Times New Roman" w:hAnsi="Times New Roman" w:cs="Times New Roman"/>
          <w:sz w:val="24"/>
          <w:szCs w:val="24"/>
        </w:rPr>
        <w:t xml:space="preserve">Conforme sugerido por Frank e Garcia (2010) e </w:t>
      </w:r>
      <w:proofErr w:type="spellStart"/>
      <w:r w:rsidRPr="00D71CD1">
        <w:rPr>
          <w:rFonts w:ascii="Times New Roman" w:hAnsi="Times New Roman" w:cs="Times New Roman"/>
          <w:sz w:val="24"/>
          <w:szCs w:val="24"/>
        </w:rPr>
        <w:t>Wang</w:t>
      </w:r>
      <w:proofErr w:type="spellEnd"/>
      <w:r w:rsidRPr="00D71CD1">
        <w:rPr>
          <w:rFonts w:ascii="Times New Roman" w:hAnsi="Times New Roman" w:cs="Times New Roman"/>
          <w:sz w:val="24"/>
          <w:szCs w:val="24"/>
        </w:rPr>
        <w:t xml:space="preserve"> </w:t>
      </w:r>
      <w:proofErr w:type="spellStart"/>
      <w:proofErr w:type="gramStart"/>
      <w:r w:rsidRPr="00D71CD1">
        <w:rPr>
          <w:rFonts w:ascii="Times New Roman" w:hAnsi="Times New Roman" w:cs="Times New Roman"/>
          <w:i/>
          <w:sz w:val="24"/>
          <w:szCs w:val="24"/>
        </w:rPr>
        <w:t>et</w:t>
      </w:r>
      <w:proofErr w:type="spellEnd"/>
      <w:proofErr w:type="gramEnd"/>
      <w:r w:rsidRPr="00D71CD1">
        <w:rPr>
          <w:rFonts w:ascii="Times New Roman" w:hAnsi="Times New Roman" w:cs="Times New Roman"/>
          <w:i/>
          <w:sz w:val="24"/>
          <w:szCs w:val="24"/>
        </w:rPr>
        <w:t xml:space="preserve"> al.</w:t>
      </w:r>
      <w:r w:rsidRPr="00D71CD1">
        <w:rPr>
          <w:rFonts w:ascii="Times New Roman" w:hAnsi="Times New Roman" w:cs="Times New Roman"/>
          <w:sz w:val="24"/>
          <w:szCs w:val="24"/>
        </w:rPr>
        <w:t xml:space="preserve"> (2012), o teste foi realizado para as  variáveis </w:t>
      </w:r>
      <w:r w:rsidRPr="00D71CD1">
        <w:rPr>
          <w:rFonts w:ascii="Times New Roman" w:eastAsiaTheme="minorEastAsia" w:hAnsi="Times New Roman" w:cs="Times New Roman"/>
          <w:sz w:val="24"/>
          <w:szCs w:val="24"/>
        </w:rPr>
        <w:t>volume diário de negociação (</w:t>
      </w:r>
      <m:oMath>
        <m:sSub>
          <m:sSubPr>
            <m:ctrlPr>
              <w:rPr>
                <w:rFonts w:ascii="Cambria Math" w:hAnsi="Times New Roman" w:cs="Times New Roman"/>
                <w:i/>
                <w:sz w:val="24"/>
                <w:szCs w:val="24"/>
              </w:rPr>
            </m:ctrlPr>
          </m:sSubPr>
          <m:e>
            <m:r>
              <w:rPr>
                <w:rFonts w:ascii="Cambria Math" w:hAnsi="Cambria Math" w:cs="Times New Roman"/>
                <w:sz w:val="24"/>
                <w:szCs w:val="24"/>
              </w:rPr>
              <m:t>VOL</m:t>
            </m:r>
          </m:e>
          <m:sub>
            <m:r>
              <w:rPr>
                <w:rFonts w:ascii="Cambria Math" w:hAnsi="Cambria Math" w:cs="Times New Roman"/>
                <w:sz w:val="24"/>
                <w:szCs w:val="24"/>
              </w:rPr>
              <m:t>t</m:t>
            </m:r>
          </m:sub>
        </m:sSub>
      </m:oMath>
      <w:r w:rsidRPr="00D71CD1">
        <w:rPr>
          <w:rFonts w:ascii="Times New Roman" w:eastAsiaTheme="minorEastAsia" w:hAnsi="Times New Roman" w:cs="Times New Roman"/>
          <w:sz w:val="24"/>
          <w:szCs w:val="24"/>
        </w:rPr>
        <w:t>), desvio padrão diário dos preços de cotação do contrato (</w:t>
      </w:r>
      <m:oMath>
        <m:sSub>
          <m:sSubPr>
            <m:ctrlPr>
              <w:rPr>
                <w:rFonts w:ascii="Cambria Math" w:hAnsi="Times New Roman" w:cs="Times New Roman"/>
                <w:i/>
                <w:sz w:val="24"/>
                <w:szCs w:val="24"/>
              </w:rPr>
            </m:ctrlPr>
          </m:sSubPr>
          <m:e>
            <m:r>
              <w:rPr>
                <w:rFonts w:ascii="Cambria Math" w:hAnsi="Cambria Math" w:cs="Times New Roman"/>
                <w:sz w:val="24"/>
                <w:szCs w:val="24"/>
              </w:rPr>
              <m:t>VARP</m:t>
            </m:r>
          </m:e>
          <m:sub>
            <m:r>
              <w:rPr>
                <w:rFonts w:ascii="Cambria Math" w:hAnsi="Cambria Math" w:cs="Times New Roman"/>
                <w:sz w:val="24"/>
                <w:szCs w:val="24"/>
              </w:rPr>
              <m:t>t</m:t>
            </m:r>
          </m:sub>
        </m:sSub>
        <m:r>
          <w:rPr>
            <w:rFonts w:ascii="Cambria Math" w:hAnsi="Times New Roman" w:cs="Times New Roman"/>
            <w:sz w:val="24"/>
            <w:szCs w:val="24"/>
          </w:rPr>
          <m:t>)</m:t>
        </m:r>
      </m:oMath>
      <w:r w:rsidRPr="00D71CD1">
        <w:rPr>
          <w:rFonts w:ascii="Times New Roman" w:eastAsiaTheme="minorEastAsia" w:hAnsi="Times New Roman" w:cs="Times New Roman"/>
          <w:sz w:val="24"/>
          <w:szCs w:val="24"/>
        </w:rPr>
        <w:t xml:space="preserve"> e volume médio transacionado (</w:t>
      </w:r>
      <m:oMath>
        <m:sSub>
          <m:sSubPr>
            <m:ctrlPr>
              <w:rPr>
                <w:rFonts w:ascii="Cambria Math" w:hAnsi="Times New Roman" w:cs="Times New Roman"/>
                <w:i/>
                <w:sz w:val="24"/>
                <w:szCs w:val="24"/>
              </w:rPr>
            </m:ctrlPr>
          </m:sSubPr>
          <m:e>
            <m:r>
              <w:rPr>
                <w:rFonts w:ascii="Cambria Math" w:hAnsi="Cambria Math" w:cs="Times New Roman"/>
                <w:sz w:val="24"/>
                <w:szCs w:val="24"/>
              </w:rPr>
              <m:t>VOLMED</m:t>
            </m:r>
          </m:e>
          <m:sub>
            <m:r>
              <w:rPr>
                <w:rFonts w:ascii="Cambria Math" w:hAnsi="Cambria Math" w:cs="Times New Roman"/>
                <w:sz w:val="24"/>
                <w:szCs w:val="24"/>
              </w:rPr>
              <m:t>t</m:t>
            </m:r>
          </m:sub>
        </m:sSub>
        <m:r>
          <w:rPr>
            <w:rFonts w:ascii="Cambria Math" w:hAnsi="Times New Roman" w:cs="Times New Roman"/>
            <w:sz w:val="24"/>
            <w:szCs w:val="24"/>
          </w:rPr>
          <m:t>)</m:t>
        </m:r>
      </m:oMath>
      <w:r w:rsidRPr="00D71CD1">
        <w:rPr>
          <w:rFonts w:ascii="Times New Roman" w:hAnsi="Times New Roman" w:cs="Times New Roman"/>
          <w:sz w:val="24"/>
          <w:szCs w:val="24"/>
        </w:rPr>
        <w:t xml:space="preserve">. Os resultados do teste de </w:t>
      </w:r>
      <w:proofErr w:type="spellStart"/>
      <w:r w:rsidRPr="00D71CD1">
        <w:rPr>
          <w:rFonts w:ascii="Times New Roman" w:hAnsi="Times New Roman" w:cs="Times New Roman"/>
          <w:sz w:val="24"/>
          <w:szCs w:val="24"/>
        </w:rPr>
        <w:t>Hausman</w:t>
      </w:r>
      <w:proofErr w:type="spellEnd"/>
      <w:r w:rsidR="0007629D" w:rsidRPr="00D71CD1">
        <w:rPr>
          <w:rFonts w:ascii="Times New Roman" w:hAnsi="Times New Roman" w:cs="Times New Roman"/>
          <w:sz w:val="24"/>
          <w:szCs w:val="24"/>
        </w:rPr>
        <w:t xml:space="preserve"> estão apresentados na Tabela </w:t>
      </w:r>
      <w:r w:rsidR="005A0429">
        <w:rPr>
          <w:rFonts w:ascii="Times New Roman" w:hAnsi="Times New Roman" w:cs="Times New Roman"/>
          <w:sz w:val="24"/>
          <w:szCs w:val="24"/>
        </w:rPr>
        <w:t>6</w:t>
      </w:r>
      <w:r w:rsidRPr="00D71CD1">
        <w:rPr>
          <w:rFonts w:ascii="Times New Roman" w:hAnsi="Times New Roman" w:cs="Times New Roman"/>
          <w:sz w:val="24"/>
          <w:szCs w:val="24"/>
        </w:rPr>
        <w:t xml:space="preserve">, indicando a rejeição da hipótese nula que as variáveis são exógenas, o que inviabiliza a utilização do </w:t>
      </w:r>
      <w:r w:rsidRPr="00D71CD1">
        <w:rPr>
          <w:rFonts w:ascii="Times New Roman" w:hAnsi="Times New Roman" w:cs="Times New Roman"/>
          <w:iCs/>
          <w:color w:val="000000"/>
          <w:sz w:val="24"/>
          <w:szCs w:val="24"/>
        </w:rPr>
        <w:t>método MQO.</w:t>
      </w:r>
    </w:p>
    <w:p w:rsidR="00B00D61" w:rsidRPr="00D71CD1" w:rsidRDefault="00B00D61" w:rsidP="00D71CD1">
      <w:pPr>
        <w:autoSpaceDE w:val="0"/>
        <w:autoSpaceDN w:val="0"/>
        <w:adjustRightInd w:val="0"/>
        <w:spacing w:after="0" w:line="240" w:lineRule="auto"/>
        <w:jc w:val="both"/>
        <w:rPr>
          <w:rFonts w:ascii="Times New Roman" w:eastAsiaTheme="minorEastAsia" w:hAnsi="Times New Roman" w:cs="Times New Roman"/>
          <w:sz w:val="24"/>
          <w:szCs w:val="24"/>
        </w:rPr>
      </w:pPr>
      <w:r w:rsidRPr="00D71CD1">
        <w:rPr>
          <w:rFonts w:ascii="Times New Roman" w:hAnsi="Times New Roman" w:cs="Times New Roman"/>
          <w:iCs/>
          <w:color w:val="000000"/>
          <w:sz w:val="24"/>
          <w:szCs w:val="24"/>
        </w:rPr>
        <w:tab/>
        <w:t xml:space="preserve">Dessa forma, utilizou-se do </w:t>
      </w:r>
      <w:r w:rsidRPr="00D71CD1">
        <w:rPr>
          <w:rFonts w:ascii="Times New Roman" w:hAnsi="Times New Roman" w:cs="Times New Roman"/>
          <w:sz w:val="24"/>
          <w:szCs w:val="24"/>
        </w:rPr>
        <w:t>M</w:t>
      </w:r>
      <w:r w:rsidRPr="00D71CD1">
        <w:rPr>
          <w:rFonts w:ascii="Times New Roman" w:eastAsiaTheme="minorEastAsia" w:hAnsi="Times New Roman" w:cs="Times New Roman"/>
          <w:sz w:val="24"/>
          <w:szCs w:val="24"/>
        </w:rPr>
        <w:t>étodo dos Momentos Generalizados (GMM), utilizando como instrumentos para as variáveis (</w:t>
      </w:r>
      <m:oMath>
        <m:sSub>
          <m:sSubPr>
            <m:ctrlPr>
              <w:rPr>
                <w:rFonts w:ascii="Cambria Math" w:hAnsi="Times New Roman" w:cs="Times New Roman"/>
                <w:i/>
                <w:sz w:val="24"/>
                <w:szCs w:val="24"/>
              </w:rPr>
            </m:ctrlPr>
          </m:sSubPr>
          <m:e>
            <m:r>
              <w:rPr>
                <w:rFonts w:ascii="Cambria Math" w:hAnsi="Cambria Math" w:cs="Times New Roman"/>
                <w:sz w:val="24"/>
                <w:szCs w:val="24"/>
              </w:rPr>
              <m:t>VOL</m:t>
            </m:r>
          </m:e>
          <m:sub>
            <m:r>
              <w:rPr>
                <w:rFonts w:ascii="Cambria Math" w:hAnsi="Cambria Math" w:cs="Times New Roman"/>
                <w:sz w:val="24"/>
                <w:szCs w:val="24"/>
              </w:rPr>
              <m:t>t</m:t>
            </m:r>
          </m:sub>
        </m:sSub>
      </m:oMath>
      <w:r w:rsidRPr="00D71CD1">
        <w:rPr>
          <w:rFonts w:ascii="Times New Roman" w:eastAsiaTheme="minorEastAsia" w:hAnsi="Times New Roman" w:cs="Times New Roman"/>
          <w:sz w:val="24"/>
          <w:szCs w:val="24"/>
        </w:rPr>
        <w:t>), (</w:t>
      </w:r>
      <m:oMath>
        <m:sSub>
          <m:sSubPr>
            <m:ctrlPr>
              <w:rPr>
                <w:rFonts w:ascii="Cambria Math" w:hAnsi="Times New Roman" w:cs="Times New Roman"/>
                <w:i/>
                <w:sz w:val="24"/>
                <w:szCs w:val="24"/>
              </w:rPr>
            </m:ctrlPr>
          </m:sSubPr>
          <m:e>
            <m:r>
              <w:rPr>
                <w:rFonts w:ascii="Cambria Math" w:hAnsi="Cambria Math" w:cs="Times New Roman"/>
                <w:sz w:val="24"/>
                <w:szCs w:val="24"/>
              </w:rPr>
              <m:t>VARP</m:t>
            </m:r>
          </m:e>
          <m:sub>
            <m:r>
              <w:rPr>
                <w:rFonts w:ascii="Cambria Math" w:hAnsi="Cambria Math" w:cs="Times New Roman"/>
                <w:sz w:val="24"/>
                <w:szCs w:val="24"/>
              </w:rPr>
              <m:t>t</m:t>
            </m:r>
          </m:sub>
        </m:sSub>
        <m:r>
          <w:rPr>
            <w:rFonts w:ascii="Cambria Math" w:hAnsi="Times New Roman" w:cs="Times New Roman"/>
            <w:sz w:val="24"/>
            <w:szCs w:val="24"/>
          </w:rPr>
          <m:t>)</m:t>
        </m:r>
      </m:oMath>
      <w:r w:rsidRPr="00D71CD1">
        <w:rPr>
          <w:rFonts w:ascii="Times New Roman" w:eastAsiaTheme="minorEastAsia" w:hAnsi="Times New Roman" w:cs="Times New Roman"/>
          <w:sz w:val="24"/>
          <w:szCs w:val="24"/>
        </w:rPr>
        <w:t xml:space="preserve"> e (</w:t>
      </w:r>
      <m:oMath>
        <m:sSub>
          <m:sSubPr>
            <m:ctrlPr>
              <w:rPr>
                <w:rFonts w:ascii="Cambria Math" w:hAnsi="Times New Roman" w:cs="Times New Roman"/>
                <w:i/>
                <w:sz w:val="24"/>
                <w:szCs w:val="24"/>
              </w:rPr>
            </m:ctrlPr>
          </m:sSubPr>
          <m:e>
            <m:r>
              <w:rPr>
                <w:rFonts w:ascii="Cambria Math" w:hAnsi="Cambria Math" w:cs="Times New Roman"/>
                <w:sz w:val="24"/>
                <w:szCs w:val="24"/>
              </w:rPr>
              <m:t>VOLMED</m:t>
            </m:r>
          </m:e>
          <m:sub>
            <m:r>
              <w:rPr>
                <w:rFonts w:ascii="Cambria Math" w:hAnsi="Cambria Math" w:cs="Times New Roman"/>
                <w:sz w:val="24"/>
                <w:szCs w:val="24"/>
              </w:rPr>
              <m:t>t</m:t>
            </m:r>
          </m:sub>
        </m:sSub>
        <m:r>
          <w:rPr>
            <w:rFonts w:ascii="Cambria Math" w:hAnsi="Times New Roman" w:cs="Times New Roman"/>
            <w:sz w:val="24"/>
            <w:szCs w:val="24"/>
          </w:rPr>
          <m:t>)</m:t>
        </m:r>
      </m:oMath>
      <w:r w:rsidRPr="00D71CD1">
        <w:rPr>
          <w:rFonts w:ascii="Times New Roman" w:eastAsiaTheme="minorEastAsia" w:hAnsi="Times New Roman" w:cs="Times New Roman"/>
          <w:sz w:val="24"/>
          <w:szCs w:val="24"/>
        </w:rPr>
        <w:t xml:space="preserve"> suas respectivas primeiras diferenças, sendo elas D(</w:t>
      </w:r>
      <m:oMath>
        <m:sSub>
          <m:sSubPr>
            <m:ctrlPr>
              <w:rPr>
                <w:rFonts w:ascii="Cambria Math" w:hAnsi="Times New Roman" w:cs="Times New Roman"/>
                <w:i/>
                <w:sz w:val="24"/>
                <w:szCs w:val="24"/>
              </w:rPr>
            </m:ctrlPr>
          </m:sSubPr>
          <m:e>
            <m:r>
              <w:rPr>
                <w:rFonts w:ascii="Cambria Math" w:hAnsi="Cambria Math" w:cs="Times New Roman"/>
                <w:sz w:val="24"/>
                <w:szCs w:val="24"/>
              </w:rPr>
              <m:t>VOL</m:t>
            </m:r>
          </m:e>
          <m:sub>
            <m:r>
              <w:rPr>
                <w:rFonts w:ascii="Cambria Math" w:hAnsi="Cambria Math" w:cs="Times New Roman"/>
                <w:sz w:val="24"/>
                <w:szCs w:val="24"/>
              </w:rPr>
              <m:t>t</m:t>
            </m:r>
          </m:sub>
        </m:sSub>
      </m:oMath>
      <w:r w:rsidRPr="00D71CD1">
        <w:rPr>
          <w:rFonts w:ascii="Times New Roman" w:eastAsiaTheme="minorEastAsia" w:hAnsi="Times New Roman" w:cs="Times New Roman"/>
          <w:sz w:val="24"/>
          <w:szCs w:val="24"/>
        </w:rPr>
        <w:t>), D(</w:t>
      </w:r>
      <m:oMath>
        <m:sSub>
          <m:sSubPr>
            <m:ctrlPr>
              <w:rPr>
                <w:rFonts w:ascii="Cambria Math" w:hAnsi="Times New Roman" w:cs="Times New Roman"/>
                <w:i/>
                <w:sz w:val="24"/>
                <w:szCs w:val="24"/>
              </w:rPr>
            </m:ctrlPr>
          </m:sSubPr>
          <m:e>
            <m:r>
              <w:rPr>
                <w:rFonts w:ascii="Cambria Math" w:hAnsi="Cambria Math" w:cs="Times New Roman"/>
                <w:sz w:val="24"/>
                <w:szCs w:val="24"/>
              </w:rPr>
              <m:t>VARP</m:t>
            </m:r>
          </m:e>
          <m:sub>
            <m:r>
              <w:rPr>
                <w:rFonts w:ascii="Cambria Math" w:hAnsi="Cambria Math" w:cs="Times New Roman"/>
                <w:sz w:val="24"/>
                <w:szCs w:val="24"/>
              </w:rPr>
              <m:t>t</m:t>
            </m:r>
          </m:sub>
        </m:sSub>
        <m:r>
          <w:rPr>
            <w:rFonts w:ascii="Cambria Math" w:hAnsi="Times New Roman" w:cs="Times New Roman"/>
            <w:sz w:val="24"/>
            <w:szCs w:val="24"/>
          </w:rPr>
          <m:t>)</m:t>
        </m:r>
      </m:oMath>
      <w:r w:rsidRPr="00D71CD1">
        <w:rPr>
          <w:rFonts w:ascii="Times New Roman" w:eastAsiaTheme="minorEastAsia" w:hAnsi="Times New Roman" w:cs="Times New Roman"/>
          <w:sz w:val="24"/>
          <w:szCs w:val="24"/>
        </w:rPr>
        <w:t xml:space="preserve"> e D(</w:t>
      </w:r>
      <m:oMath>
        <m:sSub>
          <m:sSubPr>
            <m:ctrlPr>
              <w:rPr>
                <w:rFonts w:ascii="Cambria Math" w:hAnsi="Times New Roman" w:cs="Times New Roman"/>
                <w:i/>
                <w:sz w:val="24"/>
                <w:szCs w:val="24"/>
              </w:rPr>
            </m:ctrlPr>
          </m:sSubPr>
          <m:e>
            <m:r>
              <w:rPr>
                <w:rFonts w:ascii="Cambria Math" w:hAnsi="Cambria Math" w:cs="Times New Roman"/>
                <w:sz w:val="24"/>
                <w:szCs w:val="24"/>
              </w:rPr>
              <m:t>VOLMED</m:t>
            </m:r>
          </m:e>
          <m:sub>
            <m:r>
              <w:rPr>
                <w:rFonts w:ascii="Cambria Math" w:hAnsi="Cambria Math" w:cs="Times New Roman"/>
                <w:sz w:val="24"/>
                <w:szCs w:val="24"/>
              </w:rPr>
              <m:t>t</m:t>
            </m:r>
          </m:sub>
        </m:sSub>
        <w:proofErr w:type="gramStart"/>
        <m:r>
          <w:rPr>
            <w:rFonts w:ascii="Cambria Math" w:hAnsi="Times New Roman" w:cs="Times New Roman"/>
            <w:sz w:val="24"/>
            <w:szCs w:val="24"/>
          </w:rPr>
          <m:t>)</m:t>
        </m:r>
        <w:proofErr w:type="gramEnd"/>
        <m:r>
          <w:rPr>
            <w:rStyle w:val="Refdenotaderodap"/>
            <w:rFonts w:ascii="Cambria Math" w:hAnsi="Times New Roman" w:cs="Times New Roman"/>
            <w:i/>
            <w:sz w:val="24"/>
            <w:szCs w:val="24"/>
          </w:rPr>
          <w:footnoteReference w:id="11"/>
        </m:r>
      </m:oMath>
      <w:r w:rsidRPr="00D71CD1">
        <w:rPr>
          <w:rFonts w:ascii="Times New Roman" w:eastAsiaTheme="minorEastAsia" w:hAnsi="Times New Roman" w:cs="Times New Roman"/>
          <w:sz w:val="24"/>
          <w:szCs w:val="24"/>
        </w:rPr>
        <w:t xml:space="preserve">. Também </w:t>
      </w:r>
      <w:proofErr w:type="gramStart"/>
      <w:r w:rsidRPr="00D71CD1">
        <w:rPr>
          <w:rFonts w:ascii="Times New Roman" w:eastAsiaTheme="minorEastAsia" w:hAnsi="Times New Roman" w:cs="Times New Roman"/>
          <w:sz w:val="24"/>
          <w:szCs w:val="24"/>
        </w:rPr>
        <w:t>foi</w:t>
      </w:r>
      <w:proofErr w:type="gramEnd"/>
      <w:r w:rsidRPr="00D71CD1">
        <w:rPr>
          <w:rFonts w:ascii="Times New Roman" w:eastAsiaTheme="minorEastAsia" w:hAnsi="Times New Roman" w:cs="Times New Roman"/>
          <w:sz w:val="24"/>
          <w:szCs w:val="24"/>
        </w:rPr>
        <w:t xml:space="preserve"> incluído como </w:t>
      </w:r>
      <w:r w:rsidRPr="00D71CD1">
        <w:rPr>
          <w:rFonts w:ascii="Times New Roman" w:eastAsiaTheme="minorEastAsia" w:hAnsi="Times New Roman" w:cs="Times New Roman"/>
          <w:sz w:val="24"/>
          <w:szCs w:val="24"/>
        </w:rPr>
        <w:lastRenderedPageBreak/>
        <w:t xml:space="preserve">instrumento as quantidades de negócios diárias realizadas no período, pois essa variável possui correlação elevada principalmente com o volume negociado, satisfazendo a condição do instrumento ser correlacionado com a variável explicativa endógena. </w:t>
      </w:r>
    </w:p>
    <w:p w:rsidR="00B00D61" w:rsidRPr="00D71CD1" w:rsidRDefault="00B00D61" w:rsidP="00D71CD1">
      <w:pPr>
        <w:autoSpaceDE w:val="0"/>
        <w:autoSpaceDN w:val="0"/>
        <w:adjustRightInd w:val="0"/>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Após a escolha dos instrumentos, foi realizado o teste de validade dos instrumentos, </w:t>
      </w:r>
      <w:r w:rsidRPr="00D71CD1">
        <w:rPr>
          <w:rFonts w:ascii="Times New Roman" w:eastAsiaTheme="minorEastAsia" w:hAnsi="Times New Roman" w:cs="Times New Roman"/>
          <w:sz w:val="24"/>
          <w:szCs w:val="24"/>
        </w:rPr>
        <w:t xml:space="preserve">através da estatística J de </w:t>
      </w:r>
      <w:proofErr w:type="spellStart"/>
      <w:r w:rsidRPr="00D71CD1">
        <w:rPr>
          <w:rFonts w:ascii="Times New Roman" w:eastAsiaTheme="minorEastAsia" w:hAnsi="Times New Roman" w:cs="Times New Roman"/>
          <w:sz w:val="24"/>
          <w:szCs w:val="24"/>
        </w:rPr>
        <w:t>Hansen</w:t>
      </w:r>
      <w:proofErr w:type="spellEnd"/>
      <w:r w:rsidRPr="00D71CD1">
        <w:rPr>
          <w:rFonts w:ascii="Times New Roman" w:eastAsiaTheme="minorEastAsia" w:hAnsi="Times New Roman" w:cs="Times New Roman"/>
          <w:sz w:val="24"/>
          <w:szCs w:val="24"/>
        </w:rPr>
        <w:t xml:space="preserve">, tendo como hipótese nula que os instrumentos são válidos. O resultado encontrado foi a não rejeição da hipótese nula, conforme apresentado da Tabela </w:t>
      </w:r>
      <w:r w:rsidR="005A0429">
        <w:rPr>
          <w:rFonts w:ascii="Times New Roman" w:eastAsiaTheme="minorEastAsia" w:hAnsi="Times New Roman" w:cs="Times New Roman"/>
          <w:sz w:val="24"/>
          <w:szCs w:val="24"/>
        </w:rPr>
        <w:t>6</w:t>
      </w:r>
      <w:r w:rsidRPr="00D71CD1">
        <w:rPr>
          <w:rFonts w:ascii="Times New Roman" w:eastAsiaTheme="minorEastAsia" w:hAnsi="Times New Roman" w:cs="Times New Roman"/>
          <w:sz w:val="24"/>
          <w:szCs w:val="24"/>
        </w:rPr>
        <w:t xml:space="preserve">. Pelo teste </w:t>
      </w:r>
      <w:proofErr w:type="spellStart"/>
      <w:r w:rsidRPr="00D71CD1">
        <w:rPr>
          <w:rFonts w:ascii="Times New Roman" w:eastAsiaTheme="minorEastAsia" w:hAnsi="Times New Roman" w:cs="Times New Roman"/>
          <w:i/>
          <w:sz w:val="24"/>
          <w:szCs w:val="24"/>
        </w:rPr>
        <w:t>Shea</w:t>
      </w:r>
      <w:proofErr w:type="spellEnd"/>
      <w:r w:rsidRPr="00D71CD1">
        <w:rPr>
          <w:rFonts w:ascii="Times New Roman" w:eastAsiaTheme="minorEastAsia" w:hAnsi="Times New Roman" w:cs="Times New Roman"/>
          <w:i/>
          <w:sz w:val="24"/>
          <w:szCs w:val="24"/>
        </w:rPr>
        <w:t xml:space="preserve"> </w:t>
      </w:r>
      <w:proofErr w:type="spellStart"/>
      <w:r w:rsidRPr="00D71CD1">
        <w:rPr>
          <w:rFonts w:ascii="Times New Roman" w:eastAsiaTheme="minorEastAsia" w:hAnsi="Times New Roman" w:cs="Times New Roman"/>
          <w:i/>
          <w:sz w:val="24"/>
          <w:szCs w:val="24"/>
        </w:rPr>
        <w:t>partial</w:t>
      </w:r>
      <w:proofErr w:type="spellEnd"/>
      <w:r w:rsidRPr="00D71CD1">
        <w:rPr>
          <w:rFonts w:ascii="Times New Roman" w:eastAsiaTheme="minorEastAsia" w:hAnsi="Times New Roman" w:cs="Times New Roman"/>
          <w:sz w:val="24"/>
          <w:szCs w:val="24"/>
        </w:rPr>
        <w:t xml:space="preserve"> do primeiro estágio da estimação, os resultados foram elevados, indicando que os instrumentos possuem relevância suficiente para explicar todos os </w:t>
      </w:r>
      <w:proofErr w:type="spellStart"/>
      <w:r w:rsidRPr="00D71CD1">
        <w:rPr>
          <w:rFonts w:ascii="Times New Roman" w:eastAsiaTheme="minorEastAsia" w:hAnsi="Times New Roman" w:cs="Times New Roman"/>
          <w:sz w:val="24"/>
          <w:szCs w:val="24"/>
        </w:rPr>
        <w:t>regressores</w:t>
      </w:r>
      <w:proofErr w:type="spellEnd"/>
      <w:r w:rsidRPr="00D71CD1">
        <w:rPr>
          <w:rFonts w:ascii="Times New Roman" w:eastAsiaTheme="minorEastAsia" w:hAnsi="Times New Roman" w:cs="Times New Roman"/>
          <w:sz w:val="24"/>
          <w:szCs w:val="24"/>
        </w:rPr>
        <w:t xml:space="preserve"> endógenos do modelo (BAUM </w:t>
      </w:r>
      <w:proofErr w:type="spellStart"/>
      <w:proofErr w:type="gramStart"/>
      <w:r w:rsidRPr="00D71CD1">
        <w:rPr>
          <w:rFonts w:ascii="Times New Roman" w:eastAsiaTheme="minorEastAsia" w:hAnsi="Times New Roman" w:cs="Times New Roman"/>
          <w:i/>
          <w:sz w:val="24"/>
          <w:szCs w:val="24"/>
        </w:rPr>
        <w:t>et</w:t>
      </w:r>
      <w:proofErr w:type="spellEnd"/>
      <w:proofErr w:type="gramEnd"/>
      <w:r w:rsidRPr="00D71CD1">
        <w:rPr>
          <w:rFonts w:ascii="Times New Roman" w:eastAsiaTheme="minorEastAsia" w:hAnsi="Times New Roman" w:cs="Times New Roman"/>
          <w:i/>
          <w:sz w:val="24"/>
          <w:szCs w:val="24"/>
        </w:rPr>
        <w:t xml:space="preserve"> al.</w:t>
      </w:r>
      <w:r w:rsidRPr="00D71CD1">
        <w:rPr>
          <w:rFonts w:ascii="Times New Roman" w:eastAsiaTheme="minorEastAsia" w:hAnsi="Times New Roman" w:cs="Times New Roman"/>
          <w:sz w:val="24"/>
          <w:szCs w:val="24"/>
        </w:rPr>
        <w:t>, 2003, p.15).</w:t>
      </w:r>
    </w:p>
    <w:p w:rsidR="00B00D61" w:rsidRPr="00D71CD1" w:rsidRDefault="00B00D61" w:rsidP="00D71CD1">
      <w:pPr>
        <w:autoSpaceDE w:val="0"/>
        <w:autoSpaceDN w:val="0"/>
        <w:adjustRightInd w:val="0"/>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Os resultados da estimação estão apresentados na Tabela </w:t>
      </w:r>
      <w:r w:rsidR="005A0429">
        <w:rPr>
          <w:rFonts w:ascii="Times New Roman" w:hAnsi="Times New Roman" w:cs="Times New Roman"/>
          <w:sz w:val="24"/>
          <w:szCs w:val="24"/>
        </w:rPr>
        <w:t>6</w:t>
      </w:r>
      <w:r w:rsidRPr="00D71CD1">
        <w:rPr>
          <w:rFonts w:ascii="Times New Roman" w:hAnsi="Times New Roman" w:cs="Times New Roman"/>
          <w:sz w:val="24"/>
          <w:szCs w:val="24"/>
        </w:rPr>
        <w:t xml:space="preserve">, onde o modelo utilizado foi corrigido para a </w:t>
      </w:r>
      <w:proofErr w:type="spellStart"/>
      <w:r w:rsidRPr="00D71CD1">
        <w:rPr>
          <w:rFonts w:ascii="Times New Roman" w:hAnsi="Times New Roman" w:cs="Times New Roman"/>
          <w:sz w:val="24"/>
          <w:szCs w:val="24"/>
        </w:rPr>
        <w:t>heterocedasticidade</w:t>
      </w:r>
      <w:proofErr w:type="spellEnd"/>
      <w:r w:rsidRPr="00D71CD1">
        <w:rPr>
          <w:rFonts w:ascii="Times New Roman" w:hAnsi="Times New Roman" w:cs="Times New Roman"/>
          <w:sz w:val="24"/>
          <w:szCs w:val="24"/>
        </w:rPr>
        <w:t xml:space="preserve"> e autocorrelação a partir da estimação dos erros padrão pelo procedimento de </w:t>
      </w:r>
      <w:proofErr w:type="spellStart"/>
      <w:r w:rsidRPr="00D71CD1">
        <w:rPr>
          <w:rFonts w:ascii="Times New Roman" w:hAnsi="Times New Roman" w:cs="Times New Roman"/>
          <w:i/>
          <w:sz w:val="24"/>
          <w:szCs w:val="24"/>
        </w:rPr>
        <w:t>Newey-West</w:t>
      </w:r>
      <w:proofErr w:type="spellEnd"/>
      <w:r w:rsidRPr="00D71CD1">
        <w:rPr>
          <w:rFonts w:ascii="Times New Roman" w:hAnsi="Times New Roman" w:cs="Times New Roman"/>
          <w:sz w:val="24"/>
          <w:szCs w:val="24"/>
        </w:rPr>
        <w:t xml:space="preserve">. </w:t>
      </w:r>
    </w:p>
    <w:p w:rsidR="008C31B3" w:rsidRPr="00D71CD1" w:rsidRDefault="008C31B3" w:rsidP="00D71CD1">
      <w:pPr>
        <w:spacing w:after="0" w:line="240" w:lineRule="auto"/>
        <w:ind w:firstLine="708"/>
        <w:jc w:val="both"/>
        <w:rPr>
          <w:rFonts w:ascii="Times New Roman" w:eastAsiaTheme="minorEastAsia" w:hAnsi="Times New Roman" w:cs="Times New Roman"/>
          <w:sz w:val="24"/>
          <w:szCs w:val="24"/>
        </w:rPr>
      </w:pPr>
      <w:r w:rsidRPr="00D71CD1">
        <w:rPr>
          <w:rFonts w:ascii="Times New Roman" w:eastAsiaTheme="minorEastAsia" w:hAnsi="Times New Roman" w:cs="Times New Roman"/>
          <w:sz w:val="24"/>
          <w:szCs w:val="24"/>
        </w:rPr>
        <w:t xml:space="preserve">Na estimação apresentada na Tabela </w:t>
      </w:r>
      <w:r w:rsidR="005A0429">
        <w:rPr>
          <w:rFonts w:ascii="Times New Roman" w:eastAsiaTheme="minorEastAsia" w:hAnsi="Times New Roman" w:cs="Times New Roman"/>
          <w:sz w:val="24"/>
          <w:szCs w:val="24"/>
        </w:rPr>
        <w:t>6</w:t>
      </w:r>
      <w:r w:rsidRPr="00D71CD1">
        <w:rPr>
          <w:rFonts w:ascii="Times New Roman" w:eastAsiaTheme="minorEastAsia" w:hAnsi="Times New Roman" w:cs="Times New Roman"/>
          <w:sz w:val="24"/>
          <w:szCs w:val="24"/>
        </w:rPr>
        <w:t xml:space="preserve">, foram testadas outras variáveis no modelo, tais como </w:t>
      </w:r>
      <w:proofErr w:type="spellStart"/>
      <w:r w:rsidRPr="00D71CD1">
        <w:rPr>
          <w:rFonts w:ascii="Times New Roman" w:eastAsiaTheme="minorEastAsia" w:hAnsi="Times New Roman" w:cs="Times New Roman"/>
          <w:i/>
          <w:sz w:val="24"/>
          <w:szCs w:val="24"/>
        </w:rPr>
        <w:t>dummies</w:t>
      </w:r>
      <w:proofErr w:type="spellEnd"/>
      <w:r w:rsidRPr="00D71CD1">
        <w:rPr>
          <w:rFonts w:ascii="Times New Roman" w:eastAsiaTheme="minorEastAsia" w:hAnsi="Times New Roman" w:cs="Times New Roman"/>
          <w:sz w:val="24"/>
          <w:szCs w:val="24"/>
        </w:rPr>
        <w:t xml:space="preserve"> da semana de divulgação dos relatórios governamentais (brasileiro e americano) e dias da semana. As primeiras </w:t>
      </w:r>
      <w:proofErr w:type="spellStart"/>
      <w:r w:rsidRPr="00D71CD1">
        <w:rPr>
          <w:rFonts w:ascii="Times New Roman" w:eastAsiaTheme="minorEastAsia" w:hAnsi="Times New Roman" w:cs="Times New Roman"/>
          <w:i/>
          <w:sz w:val="24"/>
          <w:szCs w:val="24"/>
        </w:rPr>
        <w:t>dummies</w:t>
      </w:r>
      <w:proofErr w:type="spellEnd"/>
      <w:r w:rsidRPr="00D71CD1">
        <w:rPr>
          <w:rFonts w:ascii="Times New Roman" w:eastAsiaTheme="minorEastAsia" w:hAnsi="Times New Roman" w:cs="Times New Roman"/>
          <w:sz w:val="24"/>
          <w:szCs w:val="24"/>
        </w:rPr>
        <w:t xml:space="preserve"> foram testadas a fim de verificar se os efeitos dos relatórios governamentais da produção agrícola no custo de liquidez, pois disponibilizam novas informações no mercado, e assim poderiam afetar as expectativas dos agentes. As segundas </w:t>
      </w:r>
      <w:proofErr w:type="spellStart"/>
      <w:r w:rsidRPr="00D71CD1">
        <w:rPr>
          <w:rFonts w:ascii="Times New Roman" w:eastAsiaTheme="minorEastAsia" w:hAnsi="Times New Roman" w:cs="Times New Roman"/>
          <w:i/>
          <w:sz w:val="24"/>
          <w:szCs w:val="24"/>
        </w:rPr>
        <w:t>dummies</w:t>
      </w:r>
      <w:proofErr w:type="spellEnd"/>
      <w:r w:rsidRPr="00D71CD1">
        <w:rPr>
          <w:rFonts w:ascii="Times New Roman" w:eastAsiaTheme="minorEastAsia" w:hAnsi="Times New Roman" w:cs="Times New Roman"/>
          <w:sz w:val="24"/>
          <w:szCs w:val="24"/>
        </w:rPr>
        <w:t xml:space="preserve"> foram testadas a fim de verificar se algum dia da semana poderia ter alguma influencia no custo de liquidez. Porém, os resultados dessas </w:t>
      </w:r>
      <w:proofErr w:type="spellStart"/>
      <w:r w:rsidRPr="00D71CD1">
        <w:rPr>
          <w:rFonts w:ascii="Times New Roman" w:eastAsiaTheme="minorEastAsia" w:hAnsi="Times New Roman" w:cs="Times New Roman"/>
          <w:i/>
          <w:sz w:val="24"/>
          <w:szCs w:val="24"/>
        </w:rPr>
        <w:t>dummies</w:t>
      </w:r>
      <w:proofErr w:type="spellEnd"/>
      <w:r w:rsidRPr="00D71CD1">
        <w:rPr>
          <w:rFonts w:ascii="Times New Roman" w:eastAsiaTheme="minorEastAsia" w:hAnsi="Times New Roman" w:cs="Times New Roman"/>
          <w:sz w:val="24"/>
          <w:szCs w:val="24"/>
        </w:rPr>
        <w:t xml:space="preserve"> não foram significativos, e assim, optou-se em retira-las do modelo.</w:t>
      </w:r>
    </w:p>
    <w:p w:rsidR="008C31B3" w:rsidRPr="00D71CD1" w:rsidRDefault="008C31B3" w:rsidP="00D71CD1">
      <w:pPr>
        <w:autoSpaceDE w:val="0"/>
        <w:autoSpaceDN w:val="0"/>
        <w:adjustRightInd w:val="0"/>
        <w:spacing w:after="0" w:line="240" w:lineRule="auto"/>
        <w:ind w:firstLine="708"/>
        <w:jc w:val="both"/>
        <w:rPr>
          <w:rFonts w:ascii="Times New Roman" w:hAnsi="Times New Roman" w:cs="Times New Roman"/>
          <w:sz w:val="24"/>
          <w:szCs w:val="24"/>
        </w:rPr>
      </w:pPr>
    </w:p>
    <w:p w:rsidR="00B00D61" w:rsidRPr="00D71CD1" w:rsidRDefault="00B00D61" w:rsidP="00D71CD1">
      <w:pPr>
        <w:pStyle w:val="Legenda"/>
        <w:spacing w:after="0"/>
        <w:jc w:val="both"/>
        <w:rPr>
          <w:rFonts w:ascii="Times New Roman" w:hAnsi="Times New Roman" w:cs="Times New Roman"/>
          <w:color w:val="auto"/>
          <w:sz w:val="24"/>
          <w:szCs w:val="24"/>
        </w:rPr>
      </w:pPr>
      <w:bookmarkStart w:id="13" w:name="_Toc359857990"/>
      <w:r w:rsidRPr="00D71CD1">
        <w:rPr>
          <w:rFonts w:ascii="Times New Roman" w:hAnsi="Times New Roman" w:cs="Times New Roman"/>
          <w:color w:val="auto"/>
          <w:sz w:val="24"/>
          <w:szCs w:val="24"/>
        </w:rPr>
        <w:t xml:space="preserve">Tabela </w:t>
      </w:r>
      <w:r w:rsidR="005A0429">
        <w:rPr>
          <w:rFonts w:ascii="Times New Roman" w:hAnsi="Times New Roman" w:cs="Times New Roman"/>
          <w:color w:val="auto"/>
          <w:sz w:val="24"/>
          <w:szCs w:val="24"/>
        </w:rPr>
        <w:t>6</w:t>
      </w:r>
      <w:r w:rsidRPr="00D71CD1">
        <w:rPr>
          <w:rFonts w:ascii="Times New Roman" w:hAnsi="Times New Roman" w:cs="Times New Roman"/>
          <w:color w:val="auto"/>
          <w:sz w:val="24"/>
          <w:szCs w:val="24"/>
        </w:rPr>
        <w:t xml:space="preserve"> - Estimação dos determinantes do custo de liquidez, através do Método de GMM.</w:t>
      </w:r>
      <w:bookmarkEnd w:id="13"/>
    </w:p>
    <w:tbl>
      <w:tblPr>
        <w:tblW w:w="0" w:type="auto"/>
        <w:tblLayout w:type="fixed"/>
        <w:tblLook w:val="04A0"/>
      </w:tblPr>
      <w:tblGrid>
        <w:gridCol w:w="4644"/>
        <w:gridCol w:w="2977"/>
        <w:gridCol w:w="1559"/>
      </w:tblGrid>
      <w:tr w:rsidR="00B00D61" w:rsidRPr="00D71CD1" w:rsidTr="0007629D">
        <w:tc>
          <w:tcPr>
            <w:tcW w:w="4644" w:type="dxa"/>
            <w:tcBorders>
              <w:top w:val="single" w:sz="4" w:space="0" w:color="auto"/>
              <w:bottom w:val="single" w:sz="4" w:space="0" w:color="auto"/>
            </w:tcBorders>
          </w:tcPr>
          <w:p w:rsidR="00B00D61" w:rsidRPr="00D71CD1" w:rsidRDefault="00B00D61" w:rsidP="00D71CD1">
            <w:pPr>
              <w:spacing w:after="0" w:line="240" w:lineRule="auto"/>
              <w:jc w:val="center"/>
              <w:rPr>
                <w:rFonts w:ascii="Times New Roman" w:hAnsi="Times New Roman" w:cs="Times New Roman"/>
                <w:sz w:val="24"/>
                <w:szCs w:val="24"/>
              </w:rPr>
            </w:pPr>
          </w:p>
        </w:tc>
        <w:tc>
          <w:tcPr>
            <w:tcW w:w="4536" w:type="dxa"/>
            <w:gridSpan w:val="2"/>
            <w:tcBorders>
              <w:top w:val="single" w:sz="4" w:space="0" w:color="auto"/>
              <w:bottom w:val="single" w:sz="4" w:space="0" w:color="auto"/>
            </w:tcBorders>
          </w:tcPr>
          <w:p w:rsidR="00B00D61" w:rsidRPr="00D71CD1" w:rsidRDefault="00B00D61" w:rsidP="00D71CD1">
            <w:pPr>
              <w:spacing w:after="0" w:line="240" w:lineRule="auto"/>
              <w:jc w:val="center"/>
              <w:rPr>
                <w:rFonts w:ascii="Times New Roman" w:hAnsi="Times New Roman" w:cs="Times New Roman"/>
                <w:b/>
                <w:sz w:val="24"/>
                <w:szCs w:val="24"/>
              </w:rPr>
            </w:pPr>
            <w:r w:rsidRPr="00D71CD1">
              <w:rPr>
                <w:rFonts w:ascii="Times New Roman" w:hAnsi="Times New Roman" w:cs="Times New Roman"/>
                <w:b/>
                <w:sz w:val="24"/>
                <w:szCs w:val="24"/>
              </w:rPr>
              <w:t>GMM</w:t>
            </w:r>
          </w:p>
        </w:tc>
      </w:tr>
      <w:tr w:rsidR="00B00D61" w:rsidRPr="00D71CD1" w:rsidTr="0007629D">
        <w:tc>
          <w:tcPr>
            <w:tcW w:w="4644" w:type="dxa"/>
            <w:tcBorders>
              <w:top w:val="single" w:sz="4" w:space="0" w:color="auto"/>
              <w:bottom w:val="single" w:sz="4" w:space="0" w:color="auto"/>
            </w:tcBorders>
          </w:tcPr>
          <w:p w:rsidR="00B00D61" w:rsidRPr="00D71CD1" w:rsidRDefault="00B00D61" w:rsidP="00D71CD1">
            <w:pPr>
              <w:spacing w:after="0" w:line="240" w:lineRule="auto"/>
              <w:jc w:val="center"/>
              <w:rPr>
                <w:rFonts w:ascii="Times New Roman" w:hAnsi="Times New Roman" w:cs="Times New Roman"/>
                <w:sz w:val="24"/>
                <w:szCs w:val="24"/>
              </w:rPr>
            </w:pPr>
            <w:r w:rsidRPr="00D71CD1">
              <w:rPr>
                <w:rFonts w:ascii="Times New Roman" w:hAnsi="Times New Roman" w:cs="Times New Roman"/>
                <w:sz w:val="24"/>
                <w:szCs w:val="24"/>
              </w:rPr>
              <w:t>Variáveis Explicativas</w:t>
            </w:r>
          </w:p>
        </w:tc>
        <w:tc>
          <w:tcPr>
            <w:tcW w:w="2977" w:type="dxa"/>
            <w:tcBorders>
              <w:top w:val="single" w:sz="4" w:space="0" w:color="auto"/>
              <w:bottom w:val="single" w:sz="4" w:space="0" w:color="auto"/>
            </w:tcBorders>
          </w:tcPr>
          <w:p w:rsidR="00B00D61" w:rsidRPr="00D71CD1" w:rsidRDefault="00B00D61" w:rsidP="00D71CD1">
            <w:pPr>
              <w:spacing w:after="0" w:line="240" w:lineRule="auto"/>
              <w:jc w:val="center"/>
              <w:rPr>
                <w:rFonts w:ascii="Times New Roman" w:hAnsi="Times New Roman" w:cs="Times New Roman"/>
                <w:sz w:val="24"/>
                <w:szCs w:val="24"/>
              </w:rPr>
            </w:pPr>
            <w:r w:rsidRPr="00D71CD1">
              <w:rPr>
                <w:rFonts w:ascii="Times New Roman" w:hAnsi="Times New Roman" w:cs="Times New Roman"/>
                <w:sz w:val="24"/>
                <w:szCs w:val="24"/>
              </w:rPr>
              <w:t>Parâmetro</w:t>
            </w:r>
          </w:p>
        </w:tc>
        <w:tc>
          <w:tcPr>
            <w:tcW w:w="1559" w:type="dxa"/>
            <w:tcBorders>
              <w:top w:val="single" w:sz="4" w:space="0" w:color="auto"/>
              <w:bottom w:val="single" w:sz="4" w:space="0" w:color="auto"/>
            </w:tcBorders>
            <w:vAlign w:val="bottom"/>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P-valor</w:t>
            </w:r>
          </w:p>
        </w:tc>
      </w:tr>
      <w:tr w:rsidR="00B00D61" w:rsidRPr="00D71CD1" w:rsidTr="0007629D">
        <w:tc>
          <w:tcPr>
            <w:tcW w:w="4644" w:type="dxa"/>
            <w:tcBorders>
              <w:top w:val="single" w:sz="4" w:space="0" w:color="auto"/>
            </w:tcBorders>
            <w:vAlign w:val="bottom"/>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LOGVAR</w:t>
            </w:r>
          </w:p>
        </w:tc>
        <w:tc>
          <w:tcPr>
            <w:tcW w:w="2977" w:type="dxa"/>
            <w:tcBorders>
              <w:top w:val="single" w:sz="4" w:space="0" w:color="auto"/>
            </w:tcBorders>
            <w:vAlign w:val="bottom"/>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 xml:space="preserve">0,017287 </w:t>
            </w:r>
            <w:proofErr w:type="spellStart"/>
            <w:r w:rsidRPr="00D71CD1">
              <w:rPr>
                <w:rFonts w:ascii="Times New Roman" w:hAnsi="Times New Roman" w:cs="Times New Roman"/>
                <w:color w:val="000000"/>
                <w:sz w:val="24"/>
                <w:szCs w:val="24"/>
                <w:vertAlign w:val="superscript"/>
              </w:rPr>
              <w:t>ns</w:t>
            </w:r>
            <w:proofErr w:type="spellEnd"/>
          </w:p>
        </w:tc>
        <w:tc>
          <w:tcPr>
            <w:tcW w:w="1559" w:type="dxa"/>
            <w:tcBorders>
              <w:top w:val="single" w:sz="4" w:space="0" w:color="auto"/>
            </w:tcBorders>
            <w:vAlign w:val="bottom"/>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0,4389</w:t>
            </w:r>
          </w:p>
        </w:tc>
      </w:tr>
      <w:tr w:rsidR="00B00D61" w:rsidRPr="00D71CD1" w:rsidTr="0007629D">
        <w:tc>
          <w:tcPr>
            <w:tcW w:w="4644" w:type="dxa"/>
            <w:vAlign w:val="bottom"/>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LOGVOL</w:t>
            </w:r>
          </w:p>
        </w:tc>
        <w:tc>
          <w:tcPr>
            <w:tcW w:w="2977" w:type="dxa"/>
            <w:vAlign w:val="bottom"/>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-0,809494***</w:t>
            </w:r>
          </w:p>
        </w:tc>
        <w:tc>
          <w:tcPr>
            <w:tcW w:w="1559" w:type="dxa"/>
            <w:vAlign w:val="bottom"/>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0,000</w:t>
            </w:r>
          </w:p>
        </w:tc>
      </w:tr>
      <w:tr w:rsidR="00B00D61" w:rsidRPr="00D71CD1" w:rsidTr="0007629D">
        <w:tc>
          <w:tcPr>
            <w:tcW w:w="4644" w:type="dxa"/>
            <w:vAlign w:val="bottom"/>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LOGCONTRABER</w:t>
            </w:r>
          </w:p>
        </w:tc>
        <w:tc>
          <w:tcPr>
            <w:tcW w:w="2977" w:type="dxa"/>
            <w:vAlign w:val="bottom"/>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-0,249205**</w:t>
            </w:r>
          </w:p>
        </w:tc>
        <w:tc>
          <w:tcPr>
            <w:tcW w:w="1559" w:type="dxa"/>
            <w:vAlign w:val="bottom"/>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0,0156</w:t>
            </w:r>
          </w:p>
        </w:tc>
      </w:tr>
      <w:tr w:rsidR="00B00D61" w:rsidRPr="00D71CD1" w:rsidTr="0007629D">
        <w:tc>
          <w:tcPr>
            <w:tcW w:w="4644" w:type="dxa"/>
            <w:vAlign w:val="bottom"/>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EXPIRACAO</w:t>
            </w:r>
          </w:p>
        </w:tc>
        <w:tc>
          <w:tcPr>
            <w:tcW w:w="2977" w:type="dxa"/>
            <w:vAlign w:val="bottom"/>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-0,002911***</w:t>
            </w:r>
          </w:p>
        </w:tc>
        <w:tc>
          <w:tcPr>
            <w:tcW w:w="1559" w:type="dxa"/>
            <w:vAlign w:val="bottom"/>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0,000</w:t>
            </w:r>
          </w:p>
        </w:tc>
      </w:tr>
      <w:tr w:rsidR="00B00D61" w:rsidRPr="00D71CD1" w:rsidTr="0007629D">
        <w:tc>
          <w:tcPr>
            <w:tcW w:w="4644" w:type="dxa"/>
            <w:vAlign w:val="bottom"/>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TENDPOS</w:t>
            </w:r>
          </w:p>
        </w:tc>
        <w:tc>
          <w:tcPr>
            <w:tcW w:w="2977" w:type="dxa"/>
            <w:vAlign w:val="bottom"/>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-0,096128*</w:t>
            </w:r>
          </w:p>
        </w:tc>
        <w:tc>
          <w:tcPr>
            <w:tcW w:w="1559" w:type="dxa"/>
            <w:vAlign w:val="bottom"/>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0,0615</w:t>
            </w:r>
          </w:p>
        </w:tc>
      </w:tr>
      <w:tr w:rsidR="00B00D61" w:rsidRPr="00D71CD1" w:rsidTr="0007629D">
        <w:trPr>
          <w:trHeight w:val="365"/>
        </w:trPr>
        <w:tc>
          <w:tcPr>
            <w:tcW w:w="4644" w:type="dxa"/>
            <w:vAlign w:val="bottom"/>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TENDNEG</w:t>
            </w:r>
          </w:p>
        </w:tc>
        <w:tc>
          <w:tcPr>
            <w:tcW w:w="2977" w:type="dxa"/>
            <w:vAlign w:val="bottom"/>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 xml:space="preserve">0,032841 </w:t>
            </w:r>
            <w:proofErr w:type="spellStart"/>
            <w:r w:rsidRPr="00D71CD1">
              <w:rPr>
                <w:rFonts w:ascii="Times New Roman" w:hAnsi="Times New Roman" w:cs="Times New Roman"/>
                <w:color w:val="000000"/>
                <w:sz w:val="24"/>
                <w:szCs w:val="24"/>
                <w:vertAlign w:val="superscript"/>
              </w:rPr>
              <w:t>ns</w:t>
            </w:r>
            <w:proofErr w:type="spellEnd"/>
          </w:p>
        </w:tc>
        <w:tc>
          <w:tcPr>
            <w:tcW w:w="1559" w:type="dxa"/>
            <w:vAlign w:val="bottom"/>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0,7129</w:t>
            </w:r>
          </w:p>
        </w:tc>
      </w:tr>
      <w:tr w:rsidR="00B00D61" w:rsidRPr="00D71CD1" w:rsidTr="0007629D">
        <w:tc>
          <w:tcPr>
            <w:tcW w:w="4644" w:type="dxa"/>
            <w:vAlign w:val="bottom"/>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LOGVOLMED</w:t>
            </w:r>
          </w:p>
        </w:tc>
        <w:tc>
          <w:tcPr>
            <w:tcW w:w="2977" w:type="dxa"/>
            <w:vAlign w:val="bottom"/>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0,789035***</w:t>
            </w:r>
          </w:p>
        </w:tc>
        <w:tc>
          <w:tcPr>
            <w:tcW w:w="1559" w:type="dxa"/>
            <w:vAlign w:val="bottom"/>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0,000</w:t>
            </w:r>
          </w:p>
        </w:tc>
      </w:tr>
      <w:tr w:rsidR="00B00D61" w:rsidRPr="00D71CD1" w:rsidTr="0007629D">
        <w:tc>
          <w:tcPr>
            <w:tcW w:w="4644" w:type="dxa"/>
            <w:tcBorders>
              <w:bottom w:val="single" w:sz="4" w:space="0" w:color="auto"/>
            </w:tcBorders>
            <w:vAlign w:val="bottom"/>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C</w:t>
            </w:r>
          </w:p>
        </w:tc>
        <w:tc>
          <w:tcPr>
            <w:tcW w:w="2977" w:type="dxa"/>
            <w:tcBorders>
              <w:bottom w:val="single" w:sz="4" w:space="0" w:color="auto"/>
            </w:tcBorders>
            <w:vAlign w:val="bottom"/>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0,83022**</w:t>
            </w:r>
          </w:p>
        </w:tc>
        <w:tc>
          <w:tcPr>
            <w:tcW w:w="1559" w:type="dxa"/>
            <w:tcBorders>
              <w:bottom w:val="single" w:sz="4" w:space="0" w:color="auto"/>
            </w:tcBorders>
            <w:vAlign w:val="bottom"/>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0,0388</w:t>
            </w:r>
          </w:p>
        </w:tc>
      </w:tr>
      <w:tr w:rsidR="00B00D61" w:rsidRPr="00D71CD1" w:rsidTr="0007629D">
        <w:tc>
          <w:tcPr>
            <w:tcW w:w="4644" w:type="dxa"/>
            <w:tcBorders>
              <w:top w:val="single" w:sz="4" w:space="0" w:color="auto"/>
              <w:bottom w:val="single" w:sz="4" w:space="0" w:color="auto"/>
            </w:tcBorders>
            <w:vAlign w:val="bottom"/>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Coeficiente de determinação (R²)</w:t>
            </w:r>
          </w:p>
        </w:tc>
        <w:tc>
          <w:tcPr>
            <w:tcW w:w="2977" w:type="dxa"/>
            <w:tcBorders>
              <w:top w:val="single" w:sz="4" w:space="0" w:color="auto"/>
              <w:bottom w:val="single" w:sz="4" w:space="0" w:color="auto"/>
            </w:tcBorders>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0,5257</w:t>
            </w:r>
          </w:p>
        </w:tc>
        <w:tc>
          <w:tcPr>
            <w:tcW w:w="1559" w:type="dxa"/>
            <w:tcBorders>
              <w:top w:val="single" w:sz="4" w:space="0" w:color="auto"/>
              <w:bottom w:val="single" w:sz="4" w:space="0" w:color="auto"/>
            </w:tcBorders>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w:t>
            </w:r>
          </w:p>
        </w:tc>
      </w:tr>
      <w:tr w:rsidR="00B00D61" w:rsidRPr="00D71CD1" w:rsidTr="0007629D">
        <w:tc>
          <w:tcPr>
            <w:tcW w:w="4644" w:type="dxa"/>
            <w:tcBorders>
              <w:top w:val="single" w:sz="4" w:space="0" w:color="auto"/>
              <w:bottom w:val="single" w:sz="4" w:space="0" w:color="auto"/>
            </w:tcBorders>
            <w:vAlign w:val="bottom"/>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Número de Observações</w:t>
            </w:r>
          </w:p>
        </w:tc>
        <w:tc>
          <w:tcPr>
            <w:tcW w:w="2977" w:type="dxa"/>
            <w:tcBorders>
              <w:top w:val="single" w:sz="4" w:space="0" w:color="auto"/>
              <w:bottom w:val="single" w:sz="4" w:space="0" w:color="auto"/>
            </w:tcBorders>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607</w:t>
            </w:r>
          </w:p>
        </w:tc>
        <w:tc>
          <w:tcPr>
            <w:tcW w:w="1559" w:type="dxa"/>
            <w:tcBorders>
              <w:top w:val="single" w:sz="4" w:space="0" w:color="auto"/>
              <w:bottom w:val="single" w:sz="4" w:space="0" w:color="auto"/>
            </w:tcBorders>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w:t>
            </w:r>
          </w:p>
        </w:tc>
      </w:tr>
      <w:tr w:rsidR="00B00D61" w:rsidRPr="00D71CD1" w:rsidTr="0007629D">
        <w:tc>
          <w:tcPr>
            <w:tcW w:w="4644" w:type="dxa"/>
            <w:tcBorders>
              <w:top w:val="single" w:sz="4" w:space="0" w:color="auto"/>
              <w:bottom w:val="single" w:sz="4" w:space="0" w:color="auto"/>
            </w:tcBorders>
            <w:vAlign w:val="bottom"/>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 xml:space="preserve">Teste de </w:t>
            </w:r>
            <w:proofErr w:type="spellStart"/>
            <w:r w:rsidRPr="00D71CD1">
              <w:rPr>
                <w:rFonts w:ascii="Times New Roman" w:hAnsi="Times New Roman" w:cs="Times New Roman"/>
                <w:color w:val="000000"/>
                <w:sz w:val="24"/>
                <w:szCs w:val="24"/>
              </w:rPr>
              <w:t>Endogeneidade</w:t>
            </w:r>
            <w:proofErr w:type="spellEnd"/>
            <w:r w:rsidRPr="00D71CD1">
              <w:rPr>
                <w:rFonts w:ascii="Times New Roman" w:hAnsi="Times New Roman" w:cs="Times New Roman"/>
                <w:color w:val="000000"/>
                <w:sz w:val="24"/>
                <w:szCs w:val="24"/>
              </w:rPr>
              <w:t xml:space="preserve"> </w:t>
            </w:r>
            <w:proofErr w:type="spellStart"/>
            <w:r w:rsidRPr="00D71CD1">
              <w:rPr>
                <w:rFonts w:ascii="Times New Roman" w:hAnsi="Times New Roman" w:cs="Times New Roman"/>
                <w:sz w:val="24"/>
                <w:szCs w:val="24"/>
              </w:rPr>
              <w:t>Wu-Hausman</w:t>
            </w:r>
            <w:proofErr w:type="spellEnd"/>
          </w:p>
        </w:tc>
        <w:tc>
          <w:tcPr>
            <w:tcW w:w="2977" w:type="dxa"/>
            <w:tcBorders>
              <w:top w:val="single" w:sz="4" w:space="0" w:color="auto"/>
              <w:bottom w:val="single" w:sz="4" w:space="0" w:color="auto"/>
            </w:tcBorders>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19,3725</w:t>
            </w:r>
          </w:p>
        </w:tc>
        <w:tc>
          <w:tcPr>
            <w:tcW w:w="1559" w:type="dxa"/>
            <w:tcBorders>
              <w:top w:val="single" w:sz="4" w:space="0" w:color="auto"/>
              <w:bottom w:val="single" w:sz="4" w:space="0" w:color="auto"/>
            </w:tcBorders>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P = 0,0002</w:t>
            </w:r>
          </w:p>
        </w:tc>
      </w:tr>
      <w:tr w:rsidR="00B00D61" w:rsidRPr="00D71CD1" w:rsidTr="0007629D">
        <w:tc>
          <w:tcPr>
            <w:tcW w:w="4644" w:type="dxa"/>
            <w:tcBorders>
              <w:top w:val="single" w:sz="4" w:space="0" w:color="auto"/>
              <w:bottom w:val="single" w:sz="4" w:space="0" w:color="auto"/>
            </w:tcBorders>
            <w:vAlign w:val="bottom"/>
          </w:tcPr>
          <w:p w:rsidR="00B00D61" w:rsidRPr="00D71CD1" w:rsidRDefault="00B00D61" w:rsidP="00D71CD1">
            <w:pPr>
              <w:spacing w:after="0" w:line="240" w:lineRule="auto"/>
              <w:jc w:val="center"/>
              <w:rPr>
                <w:rFonts w:ascii="Times New Roman" w:hAnsi="Times New Roman" w:cs="Times New Roman"/>
                <w:color w:val="000000"/>
                <w:sz w:val="24"/>
                <w:szCs w:val="24"/>
              </w:rPr>
            </w:pPr>
            <w:proofErr w:type="spellStart"/>
            <w:r w:rsidRPr="00D71CD1">
              <w:rPr>
                <w:rFonts w:ascii="Times New Roman" w:hAnsi="Times New Roman" w:cs="Times New Roman"/>
                <w:color w:val="000000"/>
                <w:sz w:val="24"/>
                <w:szCs w:val="24"/>
              </w:rPr>
              <w:t>Hansen</w:t>
            </w:r>
            <w:proofErr w:type="spellEnd"/>
            <w:r w:rsidRPr="00D71CD1">
              <w:rPr>
                <w:rFonts w:ascii="Times New Roman" w:hAnsi="Times New Roman" w:cs="Times New Roman"/>
                <w:color w:val="000000"/>
                <w:sz w:val="24"/>
                <w:szCs w:val="24"/>
              </w:rPr>
              <w:t xml:space="preserve"> J.</w:t>
            </w:r>
          </w:p>
        </w:tc>
        <w:tc>
          <w:tcPr>
            <w:tcW w:w="2977" w:type="dxa"/>
            <w:tcBorders>
              <w:top w:val="single" w:sz="4" w:space="0" w:color="auto"/>
              <w:bottom w:val="single" w:sz="4" w:space="0" w:color="auto"/>
            </w:tcBorders>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0,348908</w:t>
            </w:r>
          </w:p>
        </w:tc>
        <w:tc>
          <w:tcPr>
            <w:tcW w:w="1559" w:type="dxa"/>
            <w:tcBorders>
              <w:top w:val="single" w:sz="4" w:space="0" w:color="auto"/>
              <w:bottom w:val="single" w:sz="4" w:space="0" w:color="auto"/>
            </w:tcBorders>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P = 0,5547</w:t>
            </w:r>
          </w:p>
        </w:tc>
      </w:tr>
      <w:tr w:rsidR="00B00D61" w:rsidRPr="00D71CD1" w:rsidTr="0007629D">
        <w:tc>
          <w:tcPr>
            <w:tcW w:w="4644" w:type="dxa"/>
            <w:tcBorders>
              <w:top w:val="single" w:sz="4" w:space="0" w:color="auto"/>
              <w:bottom w:val="single" w:sz="4" w:space="0" w:color="auto"/>
            </w:tcBorders>
            <w:vAlign w:val="bottom"/>
          </w:tcPr>
          <w:p w:rsidR="00B00D61" w:rsidRPr="00D71CD1" w:rsidRDefault="00B00D61" w:rsidP="00D71CD1">
            <w:pPr>
              <w:spacing w:after="0" w:line="240" w:lineRule="auto"/>
              <w:jc w:val="center"/>
              <w:rPr>
                <w:rFonts w:ascii="Times New Roman" w:hAnsi="Times New Roman" w:cs="Times New Roman"/>
                <w:i/>
                <w:color w:val="000000"/>
                <w:sz w:val="24"/>
                <w:szCs w:val="24"/>
              </w:rPr>
            </w:pPr>
            <w:proofErr w:type="spellStart"/>
            <w:r w:rsidRPr="00D71CD1">
              <w:rPr>
                <w:rFonts w:ascii="Times New Roman" w:hAnsi="Times New Roman" w:cs="Times New Roman"/>
                <w:i/>
                <w:color w:val="000000"/>
                <w:sz w:val="24"/>
                <w:szCs w:val="24"/>
              </w:rPr>
              <w:t>Shea</w:t>
            </w:r>
            <w:proofErr w:type="spellEnd"/>
            <w:r w:rsidRPr="00D71CD1">
              <w:rPr>
                <w:rFonts w:ascii="Times New Roman" w:hAnsi="Times New Roman" w:cs="Times New Roman"/>
                <w:i/>
                <w:color w:val="000000"/>
                <w:sz w:val="24"/>
                <w:szCs w:val="24"/>
              </w:rPr>
              <w:t xml:space="preserve"> </w:t>
            </w:r>
            <w:proofErr w:type="spellStart"/>
            <w:r w:rsidRPr="00D71CD1">
              <w:rPr>
                <w:rFonts w:ascii="Times New Roman" w:hAnsi="Times New Roman" w:cs="Times New Roman"/>
                <w:i/>
                <w:color w:val="000000"/>
                <w:sz w:val="24"/>
                <w:szCs w:val="24"/>
              </w:rPr>
              <w:t>partial</w:t>
            </w:r>
            <w:proofErr w:type="spellEnd"/>
            <w:r w:rsidRPr="00D71CD1">
              <w:rPr>
                <w:rFonts w:ascii="Times New Roman" w:hAnsi="Times New Roman" w:cs="Times New Roman"/>
                <w:i/>
                <w:color w:val="000000"/>
                <w:sz w:val="24"/>
                <w:szCs w:val="24"/>
              </w:rPr>
              <w:t xml:space="preserve"> </w:t>
            </w:r>
          </w:p>
        </w:tc>
        <w:tc>
          <w:tcPr>
            <w:tcW w:w="2977" w:type="dxa"/>
            <w:tcBorders>
              <w:top w:val="single" w:sz="4" w:space="0" w:color="auto"/>
              <w:bottom w:val="single" w:sz="4" w:space="0" w:color="auto"/>
            </w:tcBorders>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0,55</w:t>
            </w:r>
          </w:p>
        </w:tc>
        <w:tc>
          <w:tcPr>
            <w:tcW w:w="1559" w:type="dxa"/>
            <w:tcBorders>
              <w:top w:val="single" w:sz="4" w:space="0" w:color="auto"/>
              <w:bottom w:val="single" w:sz="4" w:space="0" w:color="auto"/>
            </w:tcBorders>
          </w:tcPr>
          <w:p w:rsidR="00B00D61" w:rsidRPr="00D71CD1" w:rsidRDefault="00B00D61" w:rsidP="00D71CD1">
            <w:pPr>
              <w:spacing w:after="0" w:line="240" w:lineRule="auto"/>
              <w:jc w:val="center"/>
              <w:rPr>
                <w:rFonts w:ascii="Times New Roman" w:hAnsi="Times New Roman" w:cs="Times New Roman"/>
                <w:color w:val="000000"/>
                <w:sz w:val="24"/>
                <w:szCs w:val="24"/>
              </w:rPr>
            </w:pPr>
            <w:r w:rsidRPr="00D71CD1">
              <w:rPr>
                <w:rFonts w:ascii="Times New Roman" w:hAnsi="Times New Roman" w:cs="Times New Roman"/>
                <w:color w:val="000000"/>
                <w:sz w:val="24"/>
                <w:szCs w:val="24"/>
              </w:rPr>
              <w:t>-</w:t>
            </w:r>
          </w:p>
        </w:tc>
      </w:tr>
    </w:tbl>
    <w:p w:rsidR="00B00D61" w:rsidRPr="00D71CD1" w:rsidRDefault="00B00D61" w:rsidP="00D71CD1">
      <w:pPr>
        <w:spacing w:after="0" w:line="240" w:lineRule="auto"/>
        <w:jc w:val="both"/>
        <w:rPr>
          <w:rFonts w:ascii="Times New Roman" w:hAnsi="Times New Roman" w:cs="Times New Roman"/>
          <w:sz w:val="24"/>
          <w:szCs w:val="24"/>
        </w:rPr>
      </w:pPr>
      <w:r w:rsidRPr="00D71CD1">
        <w:rPr>
          <w:rFonts w:ascii="Times New Roman" w:hAnsi="Times New Roman" w:cs="Times New Roman"/>
          <w:sz w:val="24"/>
          <w:szCs w:val="24"/>
        </w:rPr>
        <w:t>Fonte: Resultado da Pesquisa</w:t>
      </w:r>
    </w:p>
    <w:p w:rsidR="00B00D61" w:rsidRPr="00D71CD1" w:rsidRDefault="00B00D61" w:rsidP="00D71CD1">
      <w:pPr>
        <w:spacing w:after="0" w:line="240" w:lineRule="auto"/>
        <w:jc w:val="both"/>
        <w:rPr>
          <w:rFonts w:ascii="Times New Roman" w:hAnsi="Times New Roman" w:cs="Times New Roman"/>
          <w:sz w:val="24"/>
          <w:szCs w:val="24"/>
        </w:rPr>
      </w:pPr>
      <w:r w:rsidRPr="00D71CD1">
        <w:rPr>
          <w:rFonts w:ascii="Times New Roman" w:hAnsi="Times New Roman" w:cs="Times New Roman"/>
          <w:b/>
          <w:sz w:val="24"/>
          <w:szCs w:val="24"/>
        </w:rPr>
        <w:t>Nota:</w:t>
      </w:r>
      <w:r w:rsidR="009F7C3E">
        <w:rPr>
          <w:rFonts w:ascii="Times New Roman" w:hAnsi="Times New Roman" w:cs="Times New Roman"/>
          <w:b/>
          <w:sz w:val="24"/>
          <w:szCs w:val="24"/>
        </w:rPr>
        <w:t xml:space="preserve"> </w:t>
      </w:r>
      <w:proofErr w:type="spellStart"/>
      <w:r w:rsidRPr="00D71CD1">
        <w:rPr>
          <w:rFonts w:ascii="Times New Roman" w:hAnsi="Times New Roman" w:cs="Times New Roman"/>
          <w:sz w:val="24"/>
          <w:szCs w:val="24"/>
        </w:rPr>
        <w:t>ns</w:t>
      </w:r>
      <w:proofErr w:type="spellEnd"/>
      <w:r w:rsidRPr="00D71CD1">
        <w:rPr>
          <w:rFonts w:ascii="Times New Roman" w:hAnsi="Times New Roman" w:cs="Times New Roman"/>
          <w:sz w:val="24"/>
          <w:szCs w:val="24"/>
        </w:rPr>
        <w:t xml:space="preserve"> - não significativo,</w:t>
      </w:r>
      <w:r w:rsidR="00D71CD1" w:rsidRPr="00D71CD1">
        <w:rPr>
          <w:rFonts w:ascii="Times New Roman" w:hAnsi="Times New Roman" w:cs="Times New Roman"/>
          <w:sz w:val="24"/>
          <w:szCs w:val="24"/>
        </w:rPr>
        <w:t xml:space="preserve"> ***significativo a 1%, **</w:t>
      </w:r>
      <w:r w:rsidRPr="00D71CD1">
        <w:rPr>
          <w:rFonts w:ascii="Times New Roman" w:hAnsi="Times New Roman" w:cs="Times New Roman"/>
          <w:sz w:val="24"/>
          <w:szCs w:val="24"/>
        </w:rPr>
        <w:t>significativo a 5%</w:t>
      </w:r>
      <w:r w:rsidR="00D71CD1" w:rsidRPr="00D71CD1">
        <w:rPr>
          <w:rFonts w:ascii="Times New Roman" w:hAnsi="Times New Roman" w:cs="Times New Roman"/>
          <w:sz w:val="24"/>
          <w:szCs w:val="24"/>
        </w:rPr>
        <w:t>, *</w:t>
      </w:r>
      <w:r w:rsidRPr="00D71CD1">
        <w:rPr>
          <w:rFonts w:ascii="Times New Roman" w:hAnsi="Times New Roman" w:cs="Times New Roman"/>
          <w:sz w:val="24"/>
          <w:szCs w:val="24"/>
        </w:rPr>
        <w:t>significativo a 10%.</w:t>
      </w:r>
    </w:p>
    <w:p w:rsidR="00B00D61" w:rsidRPr="00D71CD1" w:rsidRDefault="00B00D61" w:rsidP="00D71CD1">
      <w:pPr>
        <w:spacing w:after="0" w:line="240" w:lineRule="auto"/>
        <w:jc w:val="both"/>
        <w:rPr>
          <w:rFonts w:ascii="Times New Roman" w:hAnsi="Times New Roman" w:cs="Times New Roman"/>
          <w:sz w:val="24"/>
          <w:szCs w:val="24"/>
        </w:rPr>
      </w:pPr>
      <w:r w:rsidRPr="00D71CD1">
        <w:rPr>
          <w:rFonts w:ascii="Times New Roman" w:hAnsi="Times New Roman" w:cs="Times New Roman"/>
          <w:sz w:val="24"/>
          <w:szCs w:val="24"/>
        </w:rPr>
        <w:t xml:space="preserve">Instrumentos: </w:t>
      </w:r>
      <w:r w:rsidRPr="00D71CD1">
        <w:rPr>
          <w:rFonts w:ascii="Times New Roman" w:eastAsiaTheme="minorEastAsia" w:hAnsi="Times New Roman" w:cs="Times New Roman"/>
          <w:sz w:val="24"/>
          <w:szCs w:val="24"/>
        </w:rPr>
        <w:t>D(</w:t>
      </w:r>
      <w:proofErr w:type="spellStart"/>
      <w:r w:rsidRPr="00D71CD1">
        <w:rPr>
          <w:rFonts w:ascii="Times New Roman" w:eastAsiaTheme="minorEastAsia" w:hAnsi="Times New Roman" w:cs="Times New Roman"/>
          <w:sz w:val="24"/>
          <w:szCs w:val="24"/>
        </w:rPr>
        <w:t>log</w:t>
      </w:r>
      <m:oMath>
        <w:proofErr w:type="spellEnd"/>
        <m:sSub>
          <m:sSubPr>
            <m:ctrlPr>
              <w:rPr>
                <w:rFonts w:ascii="Cambria Math" w:hAnsi="Times New Roman" w:cs="Times New Roman"/>
                <w:i/>
                <w:sz w:val="24"/>
                <w:szCs w:val="24"/>
              </w:rPr>
            </m:ctrlPr>
          </m:sSubPr>
          <m:e>
            <m:r>
              <w:rPr>
                <w:rFonts w:ascii="Cambria Math" w:hAnsi="Cambria Math" w:cs="Times New Roman"/>
                <w:sz w:val="24"/>
                <w:szCs w:val="24"/>
              </w:rPr>
              <m:t>VOL</m:t>
            </m:r>
          </m:e>
          <m:sub>
            <m:r>
              <w:rPr>
                <w:rFonts w:ascii="Cambria Math" w:hAnsi="Cambria Math" w:cs="Times New Roman"/>
                <w:sz w:val="24"/>
                <w:szCs w:val="24"/>
              </w:rPr>
              <m:t>t</m:t>
            </m:r>
          </m:sub>
        </m:sSub>
      </m:oMath>
      <w:r w:rsidRPr="00D71CD1">
        <w:rPr>
          <w:rFonts w:ascii="Times New Roman" w:eastAsiaTheme="minorEastAsia" w:hAnsi="Times New Roman" w:cs="Times New Roman"/>
          <w:sz w:val="24"/>
          <w:szCs w:val="24"/>
        </w:rPr>
        <w:t>), D(log</w:t>
      </w:r>
      <m:oMath>
        <m:sSub>
          <m:sSubPr>
            <m:ctrlPr>
              <w:rPr>
                <w:rFonts w:ascii="Cambria Math" w:hAnsi="Times New Roman" w:cs="Times New Roman"/>
                <w:i/>
                <w:sz w:val="24"/>
                <w:szCs w:val="24"/>
              </w:rPr>
            </m:ctrlPr>
          </m:sSubPr>
          <m:e>
            <m:r>
              <w:rPr>
                <w:rFonts w:ascii="Cambria Math" w:hAnsi="Cambria Math" w:cs="Times New Roman"/>
                <w:sz w:val="24"/>
                <w:szCs w:val="24"/>
              </w:rPr>
              <m:t>VARP</m:t>
            </m:r>
          </m:e>
          <m:sub>
            <m:r>
              <w:rPr>
                <w:rFonts w:ascii="Cambria Math" w:hAnsi="Cambria Math" w:cs="Times New Roman"/>
                <w:sz w:val="24"/>
                <w:szCs w:val="24"/>
              </w:rPr>
              <m:t>t</m:t>
            </m:r>
          </m:sub>
        </m:sSub>
        <m:r>
          <w:rPr>
            <w:rFonts w:ascii="Cambria Math" w:hAnsi="Times New Roman" w:cs="Times New Roman"/>
            <w:sz w:val="24"/>
            <w:szCs w:val="24"/>
          </w:rPr>
          <m:t>)</m:t>
        </m:r>
      </m:oMath>
      <w:r w:rsidRPr="00D71CD1">
        <w:rPr>
          <w:rFonts w:ascii="Times New Roman" w:eastAsiaTheme="minorEastAsia" w:hAnsi="Times New Roman" w:cs="Times New Roman"/>
          <w:sz w:val="24"/>
          <w:szCs w:val="24"/>
        </w:rPr>
        <w:t>, D(log</w:t>
      </w:r>
      <m:oMath>
        <m:sSub>
          <m:sSubPr>
            <m:ctrlPr>
              <w:rPr>
                <w:rFonts w:ascii="Cambria Math" w:hAnsi="Times New Roman" w:cs="Times New Roman"/>
                <w:i/>
                <w:sz w:val="24"/>
                <w:szCs w:val="24"/>
              </w:rPr>
            </m:ctrlPr>
          </m:sSubPr>
          <m:e>
            <m:r>
              <w:rPr>
                <w:rFonts w:ascii="Cambria Math" w:hAnsi="Cambria Math" w:cs="Times New Roman"/>
                <w:sz w:val="24"/>
                <w:szCs w:val="24"/>
              </w:rPr>
              <m:t>VOLMED</m:t>
            </m:r>
          </m:e>
          <m:sub>
            <m:r>
              <w:rPr>
                <w:rFonts w:ascii="Cambria Math" w:hAnsi="Cambria Math" w:cs="Times New Roman"/>
                <w:sz w:val="24"/>
                <w:szCs w:val="24"/>
              </w:rPr>
              <m:t>t</m:t>
            </m:r>
          </m:sub>
        </m:sSub>
      </m:oMath>
      <w:r w:rsidRPr="00D71CD1">
        <w:rPr>
          <w:rFonts w:ascii="Times New Roman" w:eastAsiaTheme="minorEastAsia" w:hAnsi="Times New Roman" w:cs="Times New Roman"/>
          <w:sz w:val="24"/>
          <w:szCs w:val="24"/>
        </w:rPr>
        <w:t xml:space="preserve">) e negócio diário. </w:t>
      </w:r>
    </w:p>
    <w:p w:rsidR="00B00D61" w:rsidRPr="00D71CD1" w:rsidRDefault="00B00D61" w:rsidP="00D71CD1">
      <w:pPr>
        <w:spacing w:after="0" w:line="240" w:lineRule="auto"/>
        <w:jc w:val="both"/>
        <w:rPr>
          <w:rFonts w:ascii="Times New Roman" w:hAnsi="Times New Roman" w:cs="Times New Roman"/>
          <w:sz w:val="24"/>
          <w:szCs w:val="24"/>
        </w:rPr>
      </w:pPr>
      <w:r w:rsidRPr="00D71CD1">
        <w:rPr>
          <w:rFonts w:ascii="Times New Roman" w:hAnsi="Times New Roman" w:cs="Times New Roman"/>
          <w:b/>
          <w:sz w:val="24"/>
          <w:szCs w:val="24"/>
        </w:rPr>
        <w:t>Legenda:</w:t>
      </w:r>
      <w:r w:rsidRPr="00D71CD1">
        <w:rPr>
          <w:rFonts w:ascii="Times New Roman" w:hAnsi="Times New Roman" w:cs="Times New Roman"/>
          <w:sz w:val="24"/>
          <w:szCs w:val="24"/>
        </w:rPr>
        <w:t xml:space="preserve"> LOGVARP – </w:t>
      </w:r>
      <w:proofErr w:type="spellStart"/>
      <w:r w:rsidRPr="00D71CD1">
        <w:rPr>
          <w:rFonts w:ascii="Times New Roman" w:hAnsi="Times New Roman" w:cs="Times New Roman"/>
          <w:sz w:val="24"/>
          <w:szCs w:val="24"/>
        </w:rPr>
        <w:t>log</w:t>
      </w:r>
      <w:proofErr w:type="spellEnd"/>
      <w:r w:rsidRPr="00D71CD1">
        <w:rPr>
          <w:rFonts w:ascii="Times New Roman" w:hAnsi="Times New Roman" w:cs="Times New Roman"/>
          <w:sz w:val="24"/>
          <w:szCs w:val="24"/>
        </w:rPr>
        <w:t xml:space="preserve"> do desvio padrão diário dos preços; LOGVOL – </w:t>
      </w:r>
      <w:proofErr w:type="spellStart"/>
      <w:r w:rsidRPr="00D71CD1">
        <w:rPr>
          <w:rFonts w:ascii="Times New Roman" w:hAnsi="Times New Roman" w:cs="Times New Roman"/>
          <w:sz w:val="24"/>
          <w:szCs w:val="24"/>
        </w:rPr>
        <w:t>log</w:t>
      </w:r>
      <w:proofErr w:type="spellEnd"/>
      <w:r w:rsidRPr="00D71CD1">
        <w:rPr>
          <w:rFonts w:ascii="Times New Roman" w:hAnsi="Times New Roman" w:cs="Times New Roman"/>
          <w:sz w:val="24"/>
          <w:szCs w:val="24"/>
        </w:rPr>
        <w:t xml:space="preserve"> do volume diário de negociações; LOGCONTRABER: </w:t>
      </w:r>
      <w:proofErr w:type="spellStart"/>
      <w:r w:rsidRPr="00D71CD1">
        <w:rPr>
          <w:rFonts w:ascii="Times New Roman" w:hAnsi="Times New Roman" w:cs="Times New Roman"/>
          <w:sz w:val="24"/>
          <w:szCs w:val="24"/>
        </w:rPr>
        <w:t>log</w:t>
      </w:r>
      <w:proofErr w:type="spellEnd"/>
      <w:r w:rsidRPr="00D71CD1">
        <w:rPr>
          <w:rFonts w:ascii="Times New Roman" w:hAnsi="Times New Roman" w:cs="Times New Roman"/>
          <w:sz w:val="24"/>
          <w:szCs w:val="24"/>
        </w:rPr>
        <w:t xml:space="preserve"> do número diário de contratos abertos; EXP - dias úteis que faltam para expiração do contrato; TENDPOS -</w:t>
      </w:r>
      <w:proofErr w:type="gramStart"/>
      <w:r w:rsidRPr="00D71CD1">
        <w:rPr>
          <w:rFonts w:ascii="Times New Roman" w:hAnsi="Times New Roman" w:cs="Times New Roman"/>
          <w:sz w:val="24"/>
          <w:szCs w:val="24"/>
        </w:rPr>
        <w:t xml:space="preserve">  </w:t>
      </w:r>
      <w:proofErr w:type="spellStart"/>
      <w:proofErr w:type="gramEnd"/>
      <w:r w:rsidRPr="00D71CD1">
        <w:rPr>
          <w:rFonts w:ascii="Times New Roman" w:eastAsiaTheme="minorEastAsia" w:hAnsi="Times New Roman" w:cs="Times New Roman"/>
          <w:i/>
          <w:sz w:val="24"/>
          <w:szCs w:val="24"/>
        </w:rPr>
        <w:t>dummy</w:t>
      </w:r>
      <w:proofErr w:type="spellEnd"/>
      <w:r w:rsidRPr="00D71CD1">
        <w:rPr>
          <w:rFonts w:ascii="Times New Roman" w:eastAsiaTheme="minorEastAsia" w:hAnsi="Times New Roman" w:cs="Times New Roman"/>
          <w:sz w:val="24"/>
          <w:szCs w:val="24"/>
        </w:rPr>
        <w:t xml:space="preserve"> da evolução positiva dos preços cotados em 5 fechamentos seguidos, caso contrário zero; TENDNEG - </w:t>
      </w:r>
      <w:proofErr w:type="spellStart"/>
      <w:r w:rsidRPr="00D71CD1">
        <w:rPr>
          <w:rFonts w:ascii="Times New Roman" w:eastAsiaTheme="minorEastAsia" w:hAnsi="Times New Roman" w:cs="Times New Roman"/>
          <w:i/>
          <w:sz w:val="24"/>
          <w:szCs w:val="24"/>
        </w:rPr>
        <w:t>dummy</w:t>
      </w:r>
      <w:proofErr w:type="spellEnd"/>
      <w:r w:rsidRPr="00D71CD1">
        <w:rPr>
          <w:rFonts w:ascii="Times New Roman" w:eastAsiaTheme="minorEastAsia" w:hAnsi="Times New Roman" w:cs="Times New Roman"/>
          <w:sz w:val="24"/>
          <w:szCs w:val="24"/>
        </w:rPr>
        <w:t xml:space="preserve"> da evolução negativa dos preços cotados em 5 fechamentos seguidos, caso contrário zero; e LOGVOLMED – </w:t>
      </w:r>
      <w:proofErr w:type="spellStart"/>
      <w:r w:rsidRPr="00D71CD1">
        <w:rPr>
          <w:rFonts w:ascii="Times New Roman" w:eastAsiaTheme="minorEastAsia" w:hAnsi="Times New Roman" w:cs="Times New Roman"/>
          <w:sz w:val="24"/>
          <w:szCs w:val="24"/>
        </w:rPr>
        <w:t>log</w:t>
      </w:r>
      <w:proofErr w:type="spellEnd"/>
      <w:r w:rsidRPr="00D71CD1">
        <w:rPr>
          <w:rFonts w:ascii="Times New Roman" w:eastAsiaTheme="minorEastAsia" w:hAnsi="Times New Roman" w:cs="Times New Roman"/>
          <w:sz w:val="24"/>
          <w:szCs w:val="24"/>
        </w:rPr>
        <w:t xml:space="preserve"> do volume médio transacionado diário.</w:t>
      </w:r>
    </w:p>
    <w:p w:rsidR="00B00D61" w:rsidRPr="00D71CD1" w:rsidRDefault="00B00D61" w:rsidP="00D71CD1">
      <w:pPr>
        <w:spacing w:after="0" w:line="240" w:lineRule="auto"/>
        <w:jc w:val="both"/>
        <w:rPr>
          <w:rFonts w:ascii="Times New Roman" w:eastAsiaTheme="minorEastAsia" w:hAnsi="Times New Roman" w:cs="Times New Roman"/>
          <w:sz w:val="24"/>
          <w:szCs w:val="24"/>
        </w:rPr>
      </w:pPr>
    </w:p>
    <w:p w:rsidR="00B00D61" w:rsidRPr="00D71CD1" w:rsidRDefault="00B00D61" w:rsidP="00D71CD1">
      <w:pPr>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lastRenderedPageBreak/>
        <w:t xml:space="preserve">Conforme os resultados da Tabela </w:t>
      </w:r>
      <w:r w:rsidR="005A0429">
        <w:rPr>
          <w:rFonts w:ascii="Times New Roman" w:hAnsi="Times New Roman" w:cs="Times New Roman"/>
          <w:sz w:val="24"/>
          <w:szCs w:val="24"/>
        </w:rPr>
        <w:t>6</w:t>
      </w:r>
      <w:r w:rsidRPr="00D71CD1">
        <w:rPr>
          <w:rFonts w:ascii="Times New Roman" w:hAnsi="Times New Roman" w:cs="Times New Roman"/>
          <w:sz w:val="24"/>
          <w:szCs w:val="24"/>
        </w:rPr>
        <w:t xml:space="preserve">, </w:t>
      </w:r>
      <w:proofErr w:type="gramStart"/>
      <w:r w:rsidRPr="00D71CD1">
        <w:rPr>
          <w:rFonts w:ascii="Times New Roman" w:hAnsi="Times New Roman" w:cs="Times New Roman"/>
          <w:sz w:val="24"/>
          <w:szCs w:val="24"/>
        </w:rPr>
        <w:t>a variável volume</w:t>
      </w:r>
      <w:proofErr w:type="gramEnd"/>
      <w:r w:rsidRPr="00D71CD1">
        <w:rPr>
          <w:rFonts w:ascii="Times New Roman" w:hAnsi="Times New Roman" w:cs="Times New Roman"/>
          <w:sz w:val="24"/>
          <w:szCs w:val="24"/>
        </w:rPr>
        <w:t xml:space="preserve"> diário negociado foi negativamente relacionado com o custo de liquidez, conforme indicado na teoria. Isso acontece, principalmente, devido as maiores quantidades de contratos negociados e número de negócios diários, que indica que o mercado possui </w:t>
      </w:r>
      <w:proofErr w:type="gramStart"/>
      <w:r w:rsidRPr="00D71CD1">
        <w:rPr>
          <w:rFonts w:ascii="Times New Roman" w:hAnsi="Times New Roman" w:cs="Times New Roman"/>
          <w:sz w:val="24"/>
          <w:szCs w:val="24"/>
        </w:rPr>
        <w:t>bastantes agentes</w:t>
      </w:r>
      <w:proofErr w:type="gramEnd"/>
      <w:r w:rsidRPr="00D71CD1">
        <w:rPr>
          <w:rFonts w:ascii="Times New Roman" w:hAnsi="Times New Roman" w:cs="Times New Roman"/>
          <w:sz w:val="24"/>
          <w:szCs w:val="24"/>
        </w:rPr>
        <w:t xml:space="preserve"> negociando, facilitando em achar uma contraparte. O resultado mostra que à medida que aumenta o volume em 1%, o custo de liquidez cai 0,81%. Frank e Garcia (2010) indicam que maiores volumes implicam menos risco de manter contratos, uma vez que quando o volume diminui, os compradores (vendedores) têm dificuldade em preencher suas ordens, e o custo de liquidez aumenta.</w:t>
      </w:r>
    </w:p>
    <w:p w:rsidR="00B00D61" w:rsidRPr="00D71CD1" w:rsidRDefault="00B00D61" w:rsidP="00D71CD1">
      <w:pPr>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O resultado </w:t>
      </w:r>
      <w:proofErr w:type="gramStart"/>
      <w:r w:rsidRPr="00D71CD1">
        <w:rPr>
          <w:rFonts w:ascii="Times New Roman" w:hAnsi="Times New Roman" w:cs="Times New Roman"/>
          <w:sz w:val="24"/>
          <w:szCs w:val="24"/>
        </w:rPr>
        <w:t>do volume ser</w:t>
      </w:r>
      <w:proofErr w:type="gramEnd"/>
      <w:r w:rsidRPr="00D71CD1">
        <w:rPr>
          <w:rFonts w:ascii="Times New Roman" w:hAnsi="Times New Roman" w:cs="Times New Roman"/>
          <w:sz w:val="24"/>
          <w:szCs w:val="24"/>
        </w:rPr>
        <w:t xml:space="preserve"> negativamente relacionado com o custo de liquidez, conforme apresentado na teoria e neste trabalho, demonstra o porque a bolsa americana é o contrato de soja mais líquido do mundo, pois suas negociações chegaram a atingir até 18 vezes a produção mundial da oleaginosa em 2009 (USDA, 2012 e CME </w:t>
      </w:r>
      <w:proofErr w:type="spellStart"/>
      <w:r w:rsidRPr="00D71CD1">
        <w:rPr>
          <w:rFonts w:ascii="Times New Roman" w:hAnsi="Times New Roman" w:cs="Times New Roman"/>
          <w:sz w:val="24"/>
          <w:szCs w:val="24"/>
        </w:rPr>
        <w:t>Group</w:t>
      </w:r>
      <w:proofErr w:type="spellEnd"/>
      <w:r w:rsidRPr="00D71CD1">
        <w:rPr>
          <w:rFonts w:ascii="Times New Roman" w:hAnsi="Times New Roman" w:cs="Times New Roman"/>
          <w:sz w:val="24"/>
          <w:szCs w:val="24"/>
        </w:rPr>
        <w:t xml:space="preserve">, 2009). Já para a bolsa brasileira, no período de análise, as negociações foram de aproximadamente 2,5% da produção nacional. Essa informação demonstra que para o contrato futuro de soja da </w:t>
      </w:r>
      <w:proofErr w:type="spellStart"/>
      <w:r w:rsidRPr="00D71CD1">
        <w:rPr>
          <w:rFonts w:ascii="Times New Roman" w:hAnsi="Times New Roman" w:cs="Times New Roman"/>
          <w:sz w:val="24"/>
          <w:szCs w:val="24"/>
        </w:rPr>
        <w:t>BM&amp;FBOVESPA</w:t>
      </w:r>
      <w:proofErr w:type="spellEnd"/>
      <w:r w:rsidRPr="00D71CD1">
        <w:rPr>
          <w:rFonts w:ascii="Times New Roman" w:hAnsi="Times New Roman" w:cs="Times New Roman"/>
          <w:sz w:val="24"/>
          <w:szCs w:val="24"/>
        </w:rPr>
        <w:t xml:space="preserve"> ser mais líquido, deve-se estimular a entrada de novos agentes do mercado, aumentando assim o volume transacionado do contrato e consequentemente diminuindo o custo de liquidez. </w:t>
      </w:r>
    </w:p>
    <w:p w:rsidR="00B00D61" w:rsidRPr="00D71CD1" w:rsidRDefault="00B00D61" w:rsidP="00D71CD1">
      <w:pPr>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O número de contratos diários abertos é de se esperar uma relação negativa com custo de liquidez, uma vez que quanto maior o número de contratos abertos, maiores as chances de existir uma contraparte disposta a negociar. Esse resultado foi observado na estimação, uma vez que se o contrato aberto aumenta em 1% o custo de liquidez diminui em 0,25%.    </w:t>
      </w:r>
    </w:p>
    <w:p w:rsidR="00B00D61" w:rsidRPr="00D71CD1" w:rsidRDefault="00B00D61" w:rsidP="00D71CD1">
      <w:pPr>
        <w:spacing w:after="0" w:line="240" w:lineRule="auto"/>
        <w:ind w:firstLine="708"/>
        <w:jc w:val="both"/>
        <w:rPr>
          <w:rFonts w:ascii="Times New Roman" w:hAnsi="Times New Roman" w:cs="Times New Roman"/>
          <w:sz w:val="24"/>
          <w:szCs w:val="24"/>
        </w:rPr>
      </w:pPr>
      <w:proofErr w:type="gramStart"/>
      <w:r w:rsidRPr="00D71CD1">
        <w:rPr>
          <w:rFonts w:ascii="Times New Roman" w:hAnsi="Times New Roman" w:cs="Times New Roman"/>
          <w:sz w:val="24"/>
          <w:szCs w:val="24"/>
        </w:rPr>
        <w:t>A variável número</w:t>
      </w:r>
      <w:proofErr w:type="gramEnd"/>
      <w:r w:rsidRPr="00D71CD1">
        <w:rPr>
          <w:rFonts w:ascii="Times New Roman" w:hAnsi="Times New Roman" w:cs="Times New Roman"/>
          <w:sz w:val="24"/>
          <w:szCs w:val="24"/>
        </w:rPr>
        <w:t xml:space="preserve"> de dias úteis para a expiração do contrato apresentou sinal negativo, uma vez que conforme </w:t>
      </w:r>
      <w:r w:rsidR="00A66971" w:rsidRPr="00D71CD1">
        <w:rPr>
          <w:rFonts w:ascii="Times New Roman" w:hAnsi="Times New Roman" w:cs="Times New Roman"/>
          <w:sz w:val="24"/>
          <w:szCs w:val="24"/>
        </w:rPr>
        <w:t xml:space="preserve">Thompson </w:t>
      </w:r>
      <w:proofErr w:type="spellStart"/>
      <w:r w:rsidR="00A66971" w:rsidRPr="00D71CD1">
        <w:rPr>
          <w:rFonts w:ascii="Times New Roman" w:hAnsi="Times New Roman" w:cs="Times New Roman"/>
          <w:i/>
          <w:sz w:val="24"/>
          <w:szCs w:val="24"/>
        </w:rPr>
        <w:t>et</w:t>
      </w:r>
      <w:proofErr w:type="spellEnd"/>
      <w:r w:rsidR="00A66971" w:rsidRPr="00D71CD1">
        <w:rPr>
          <w:rFonts w:ascii="Times New Roman" w:hAnsi="Times New Roman" w:cs="Times New Roman"/>
          <w:i/>
          <w:sz w:val="24"/>
          <w:szCs w:val="24"/>
        </w:rPr>
        <w:t xml:space="preserve"> al.</w:t>
      </w:r>
      <w:r w:rsidR="00A66971" w:rsidRPr="00D71CD1">
        <w:rPr>
          <w:rFonts w:ascii="Times New Roman" w:hAnsi="Times New Roman" w:cs="Times New Roman"/>
          <w:sz w:val="24"/>
          <w:szCs w:val="24"/>
        </w:rPr>
        <w:t xml:space="preserve"> (1988) e Thompson </w:t>
      </w:r>
      <w:proofErr w:type="spellStart"/>
      <w:r w:rsidR="00A66971" w:rsidRPr="00D71CD1">
        <w:rPr>
          <w:rFonts w:ascii="Times New Roman" w:hAnsi="Times New Roman" w:cs="Times New Roman"/>
          <w:i/>
          <w:sz w:val="24"/>
          <w:szCs w:val="24"/>
        </w:rPr>
        <w:t>et</w:t>
      </w:r>
      <w:proofErr w:type="spellEnd"/>
      <w:r w:rsidR="00A66971" w:rsidRPr="00D71CD1">
        <w:rPr>
          <w:rFonts w:ascii="Times New Roman" w:hAnsi="Times New Roman" w:cs="Times New Roman"/>
          <w:i/>
          <w:sz w:val="24"/>
          <w:szCs w:val="24"/>
        </w:rPr>
        <w:t xml:space="preserve"> al.</w:t>
      </w:r>
      <w:r w:rsidR="00A66971" w:rsidRPr="00D71CD1">
        <w:rPr>
          <w:rFonts w:ascii="Times New Roman" w:hAnsi="Times New Roman" w:cs="Times New Roman"/>
          <w:sz w:val="24"/>
          <w:szCs w:val="24"/>
        </w:rPr>
        <w:t xml:space="preserve"> (1993), o contrato com vencimento muito distante pode apresentar maiores custos de liquidez, pois os participantes do mercado podem optar por ativos com vencimentos mais próximos. </w:t>
      </w:r>
    </w:p>
    <w:p w:rsidR="00B00D61" w:rsidRPr="00D71CD1" w:rsidRDefault="00B00D61" w:rsidP="00D71CD1">
      <w:pPr>
        <w:pStyle w:val="NormalWeb"/>
        <w:spacing w:before="0" w:beforeAutospacing="0" w:after="0" w:afterAutospacing="0"/>
        <w:ind w:firstLine="708"/>
        <w:jc w:val="both"/>
      </w:pPr>
      <w:r w:rsidRPr="00D71CD1">
        <w:t xml:space="preserve">Para a variável média de volume por transação é de se esperar um sinal positivo, que segundo Thompson </w:t>
      </w:r>
      <w:proofErr w:type="spellStart"/>
      <w:proofErr w:type="gramStart"/>
      <w:r w:rsidRPr="00D71CD1">
        <w:rPr>
          <w:i/>
        </w:rPr>
        <w:t>et</w:t>
      </w:r>
      <w:proofErr w:type="spellEnd"/>
      <w:proofErr w:type="gramEnd"/>
      <w:r w:rsidRPr="00D71CD1">
        <w:rPr>
          <w:i/>
        </w:rPr>
        <w:t xml:space="preserve"> al.</w:t>
      </w:r>
      <w:r w:rsidRPr="00D71CD1">
        <w:t xml:space="preserve"> (1988), quanto maior é a quantidade média negociada maior é o custo de liquidez, pois ordens maiores criam riscos maiores para os agentes do mercado, dificultando assim em achar uma contraparte disposta a negociar. Esse resultado foi observado no modelo, que apresentou sinal positivo, indicando que se o volume médio aumenta em 1%, o custo de liquidez aumenta em 0,78%. Esse resultado gera indício que o minicontrato futuro de soja pode ser bem demandado, pois menores volumes financeiros por negociação apresentam menores custos de liquidez, e assim poderia atrair número maior de participantes no mercado. </w:t>
      </w:r>
    </w:p>
    <w:p w:rsidR="00B00D61" w:rsidRPr="00D71CD1" w:rsidRDefault="00B00D61" w:rsidP="00D71CD1">
      <w:pPr>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Para a variável desvio padrão dos preços era esperado uma relação positiva com o custo de liquidez, que conforme Thompson </w:t>
      </w:r>
      <w:proofErr w:type="spellStart"/>
      <w:proofErr w:type="gramStart"/>
      <w:r w:rsidRPr="00D71CD1">
        <w:rPr>
          <w:rFonts w:ascii="Times New Roman" w:hAnsi="Times New Roman" w:cs="Times New Roman"/>
          <w:i/>
          <w:sz w:val="24"/>
          <w:szCs w:val="24"/>
        </w:rPr>
        <w:t>et</w:t>
      </w:r>
      <w:proofErr w:type="spellEnd"/>
      <w:proofErr w:type="gramEnd"/>
      <w:r w:rsidRPr="00D71CD1">
        <w:rPr>
          <w:rFonts w:ascii="Times New Roman" w:hAnsi="Times New Roman" w:cs="Times New Roman"/>
          <w:i/>
          <w:sz w:val="24"/>
          <w:szCs w:val="24"/>
        </w:rPr>
        <w:t xml:space="preserve"> al.</w:t>
      </w:r>
      <w:r w:rsidRPr="00D71CD1">
        <w:rPr>
          <w:rFonts w:ascii="Times New Roman" w:hAnsi="Times New Roman" w:cs="Times New Roman"/>
          <w:sz w:val="24"/>
          <w:szCs w:val="24"/>
        </w:rPr>
        <w:t xml:space="preserve"> (1993), esta variável reflete o grau de incerteza informacional no mercado de futuros, e quanto maior a incerteza maiores são os custos de liquidez. Porém, o coeficiente não foi significativo, e assim o grau de variabilidade dos preços não influenciou na determinação do custo de liquidez do contrato futuro.</w:t>
      </w:r>
    </w:p>
    <w:p w:rsidR="00B00D61" w:rsidRPr="00D71CD1" w:rsidRDefault="00B00D61" w:rsidP="00D71CD1">
      <w:pPr>
        <w:spacing w:after="0" w:line="240" w:lineRule="auto"/>
        <w:jc w:val="both"/>
        <w:rPr>
          <w:rFonts w:ascii="Times New Roman" w:hAnsi="Times New Roman" w:cs="Times New Roman"/>
          <w:color w:val="000000"/>
          <w:sz w:val="24"/>
          <w:szCs w:val="24"/>
          <w:shd w:val="clear" w:color="auto" w:fill="FFFFFF"/>
        </w:rPr>
      </w:pPr>
      <w:r w:rsidRPr="00D71CD1">
        <w:rPr>
          <w:rFonts w:ascii="Times New Roman" w:hAnsi="Times New Roman" w:cs="Times New Roman"/>
          <w:sz w:val="24"/>
          <w:szCs w:val="24"/>
        </w:rPr>
        <w:tab/>
        <w:t xml:space="preserve">As </w:t>
      </w:r>
      <w:proofErr w:type="spellStart"/>
      <w:r w:rsidRPr="00D71CD1">
        <w:rPr>
          <w:rFonts w:ascii="Times New Roman" w:eastAsiaTheme="minorEastAsia" w:hAnsi="Times New Roman" w:cs="Times New Roman"/>
          <w:i/>
          <w:sz w:val="24"/>
          <w:szCs w:val="24"/>
        </w:rPr>
        <w:t>dummies</w:t>
      </w:r>
      <w:proofErr w:type="spellEnd"/>
      <w:r w:rsidRPr="00D71CD1">
        <w:rPr>
          <w:rFonts w:ascii="Times New Roman" w:eastAsiaTheme="minorEastAsia" w:hAnsi="Times New Roman" w:cs="Times New Roman"/>
          <w:i/>
          <w:sz w:val="24"/>
          <w:szCs w:val="24"/>
        </w:rPr>
        <w:t xml:space="preserve"> </w:t>
      </w:r>
      <w:r w:rsidRPr="00D71CD1">
        <w:rPr>
          <w:rFonts w:ascii="Times New Roman" w:eastAsiaTheme="minorEastAsia" w:hAnsi="Times New Roman" w:cs="Times New Roman"/>
          <w:sz w:val="24"/>
          <w:szCs w:val="24"/>
        </w:rPr>
        <w:t xml:space="preserve">que tentaram captar o efeito das tendências dos preços no custo de liquidez, apresentou coeficiente significativo e negativamente associado quando os preços apresentaram tendência positiva. No período de análise, ocorreram elevações nos preços da </w:t>
      </w:r>
      <w:r w:rsidRPr="00D71CD1">
        <w:rPr>
          <w:rFonts w:ascii="Times New Roman" w:eastAsiaTheme="minorEastAsia" w:hAnsi="Times New Roman" w:cs="Times New Roman"/>
          <w:i/>
          <w:sz w:val="24"/>
          <w:szCs w:val="24"/>
        </w:rPr>
        <w:t>commodity</w:t>
      </w:r>
      <w:r w:rsidRPr="00D71CD1">
        <w:rPr>
          <w:rFonts w:ascii="Times New Roman" w:eastAsiaTheme="minorEastAsia" w:hAnsi="Times New Roman" w:cs="Times New Roman"/>
          <w:sz w:val="24"/>
          <w:szCs w:val="24"/>
        </w:rPr>
        <w:t xml:space="preserve">, devido </w:t>
      </w:r>
      <w:r w:rsidRPr="00D71CD1">
        <w:rPr>
          <w:rFonts w:ascii="Times New Roman" w:hAnsi="Times New Roman" w:cs="Times New Roman"/>
          <w:sz w:val="24"/>
          <w:szCs w:val="24"/>
        </w:rPr>
        <w:t xml:space="preserve">principalmente </w:t>
      </w:r>
      <w:r w:rsidRPr="00D71CD1">
        <w:rPr>
          <w:rFonts w:ascii="Times New Roman" w:hAnsi="Times New Roman" w:cs="Times New Roman"/>
          <w:color w:val="000000"/>
          <w:sz w:val="24"/>
          <w:szCs w:val="24"/>
          <w:shd w:val="clear" w:color="auto" w:fill="FFFFFF"/>
        </w:rPr>
        <w:t xml:space="preserve">à diminuição na produção dos cultivos provocada pela seca nos Estados Unidos, além de várias regiões da América Central têm apresentado condições de seca (INSTITUTO INTERAMERICANO DE COOPERAÇÃO PARA A AGRICULTURA, 2012).  Como as expectativas do mercado em relação ao preço da </w:t>
      </w:r>
      <w:r w:rsidRPr="00D71CD1">
        <w:rPr>
          <w:rFonts w:ascii="Times New Roman" w:hAnsi="Times New Roman" w:cs="Times New Roman"/>
          <w:i/>
          <w:color w:val="000000"/>
          <w:sz w:val="24"/>
          <w:szCs w:val="24"/>
          <w:shd w:val="clear" w:color="auto" w:fill="FFFFFF"/>
        </w:rPr>
        <w:t>commodity</w:t>
      </w:r>
      <w:r w:rsidRPr="00D71CD1">
        <w:rPr>
          <w:rFonts w:ascii="Times New Roman" w:hAnsi="Times New Roman" w:cs="Times New Roman"/>
          <w:color w:val="000000"/>
          <w:sz w:val="24"/>
          <w:szCs w:val="24"/>
          <w:shd w:val="clear" w:color="auto" w:fill="FFFFFF"/>
        </w:rPr>
        <w:t xml:space="preserve"> eram </w:t>
      </w:r>
      <w:proofErr w:type="gramStart"/>
      <w:r w:rsidRPr="00D71CD1">
        <w:rPr>
          <w:rFonts w:ascii="Times New Roman" w:hAnsi="Times New Roman" w:cs="Times New Roman"/>
          <w:color w:val="000000"/>
          <w:sz w:val="24"/>
          <w:szCs w:val="24"/>
          <w:shd w:val="clear" w:color="auto" w:fill="FFFFFF"/>
        </w:rPr>
        <w:t>altista</w:t>
      </w:r>
      <w:proofErr w:type="gramEnd"/>
      <w:r w:rsidRPr="00D71CD1">
        <w:rPr>
          <w:rFonts w:ascii="Times New Roman" w:hAnsi="Times New Roman" w:cs="Times New Roman"/>
          <w:color w:val="000000"/>
          <w:sz w:val="24"/>
          <w:szCs w:val="24"/>
          <w:shd w:val="clear" w:color="auto" w:fill="FFFFFF"/>
        </w:rPr>
        <w:t xml:space="preserve">, a tendência positiva dos preços acabou gerando diminuição no custo de liquidez. </w:t>
      </w:r>
    </w:p>
    <w:p w:rsidR="00B00D61" w:rsidRPr="00D71CD1" w:rsidRDefault="00B00D61" w:rsidP="00D71CD1">
      <w:pPr>
        <w:spacing w:after="0" w:line="240" w:lineRule="auto"/>
        <w:ind w:firstLine="708"/>
        <w:jc w:val="both"/>
        <w:rPr>
          <w:rFonts w:ascii="Times New Roman" w:eastAsiaTheme="minorEastAsia" w:hAnsi="Times New Roman" w:cs="Times New Roman"/>
          <w:sz w:val="24"/>
          <w:szCs w:val="24"/>
        </w:rPr>
      </w:pPr>
      <w:r w:rsidRPr="00D71CD1">
        <w:rPr>
          <w:rFonts w:ascii="Times New Roman" w:eastAsiaTheme="minorEastAsia" w:hAnsi="Times New Roman" w:cs="Times New Roman"/>
          <w:sz w:val="24"/>
          <w:szCs w:val="24"/>
        </w:rPr>
        <w:t xml:space="preserve">Quando comparado o resultado do modelo aos trabalhos de </w:t>
      </w:r>
      <w:r w:rsidRPr="00D71CD1">
        <w:rPr>
          <w:rFonts w:ascii="Times New Roman" w:hAnsi="Times New Roman" w:cs="Times New Roman"/>
          <w:sz w:val="24"/>
          <w:szCs w:val="24"/>
        </w:rPr>
        <w:t xml:space="preserve">Thompson </w:t>
      </w:r>
      <w:proofErr w:type="spellStart"/>
      <w:proofErr w:type="gramStart"/>
      <w:r w:rsidRPr="00D71CD1">
        <w:rPr>
          <w:rFonts w:ascii="Times New Roman" w:hAnsi="Times New Roman" w:cs="Times New Roman"/>
          <w:i/>
          <w:sz w:val="24"/>
          <w:szCs w:val="24"/>
        </w:rPr>
        <w:t>et</w:t>
      </w:r>
      <w:proofErr w:type="spellEnd"/>
      <w:proofErr w:type="gramEnd"/>
      <w:r w:rsidRPr="00D71CD1">
        <w:rPr>
          <w:rFonts w:ascii="Times New Roman" w:hAnsi="Times New Roman" w:cs="Times New Roman"/>
          <w:i/>
          <w:sz w:val="24"/>
          <w:szCs w:val="24"/>
        </w:rPr>
        <w:t xml:space="preserve"> al.</w:t>
      </w:r>
      <w:r w:rsidRPr="00D71CD1">
        <w:rPr>
          <w:rFonts w:ascii="Times New Roman" w:hAnsi="Times New Roman" w:cs="Times New Roman"/>
          <w:sz w:val="24"/>
          <w:szCs w:val="24"/>
        </w:rPr>
        <w:t xml:space="preserve"> (1988), Thompson </w:t>
      </w:r>
      <w:proofErr w:type="spellStart"/>
      <w:r w:rsidRPr="00D71CD1">
        <w:rPr>
          <w:rFonts w:ascii="Times New Roman" w:hAnsi="Times New Roman" w:cs="Times New Roman"/>
          <w:i/>
          <w:sz w:val="24"/>
          <w:szCs w:val="24"/>
        </w:rPr>
        <w:t>et</w:t>
      </w:r>
      <w:proofErr w:type="spellEnd"/>
      <w:r w:rsidRPr="00D71CD1">
        <w:rPr>
          <w:rFonts w:ascii="Times New Roman" w:hAnsi="Times New Roman" w:cs="Times New Roman"/>
          <w:i/>
          <w:sz w:val="24"/>
          <w:szCs w:val="24"/>
        </w:rPr>
        <w:t xml:space="preserve"> al.</w:t>
      </w:r>
      <w:r w:rsidRPr="00D71CD1">
        <w:rPr>
          <w:rFonts w:ascii="Times New Roman" w:hAnsi="Times New Roman" w:cs="Times New Roman"/>
          <w:sz w:val="24"/>
          <w:szCs w:val="24"/>
        </w:rPr>
        <w:t xml:space="preserve"> (1993), </w:t>
      </w:r>
      <w:proofErr w:type="spellStart"/>
      <w:r w:rsidRPr="00D71CD1">
        <w:rPr>
          <w:rFonts w:ascii="Times New Roman" w:hAnsi="Times New Roman" w:cs="Times New Roman"/>
          <w:sz w:val="24"/>
          <w:szCs w:val="24"/>
        </w:rPr>
        <w:t>Anand</w:t>
      </w:r>
      <w:proofErr w:type="spellEnd"/>
      <w:r w:rsidRPr="00D71CD1">
        <w:rPr>
          <w:rFonts w:ascii="Times New Roman" w:hAnsi="Times New Roman" w:cs="Times New Roman"/>
          <w:sz w:val="24"/>
          <w:szCs w:val="24"/>
        </w:rPr>
        <w:t xml:space="preserve"> e </w:t>
      </w:r>
      <w:proofErr w:type="spellStart"/>
      <w:r w:rsidRPr="00D71CD1">
        <w:rPr>
          <w:rFonts w:ascii="Times New Roman" w:hAnsi="Times New Roman" w:cs="Times New Roman"/>
          <w:sz w:val="24"/>
          <w:szCs w:val="24"/>
        </w:rPr>
        <w:t>Karagozoglu</w:t>
      </w:r>
      <w:proofErr w:type="spellEnd"/>
      <w:r w:rsidRPr="00D71CD1">
        <w:rPr>
          <w:rFonts w:ascii="Times New Roman" w:hAnsi="Times New Roman" w:cs="Times New Roman"/>
          <w:sz w:val="24"/>
          <w:szCs w:val="24"/>
        </w:rPr>
        <w:t xml:space="preserve"> (2006), Frank e Garcia (2010), </w:t>
      </w:r>
      <w:proofErr w:type="spellStart"/>
      <w:r w:rsidRPr="00D71CD1">
        <w:rPr>
          <w:rFonts w:ascii="Times New Roman" w:hAnsi="Times New Roman" w:cs="Times New Roman"/>
          <w:sz w:val="24"/>
          <w:szCs w:val="24"/>
        </w:rPr>
        <w:t>Shah</w:t>
      </w:r>
      <w:proofErr w:type="spellEnd"/>
      <w:r w:rsidRPr="00D71CD1">
        <w:rPr>
          <w:rFonts w:ascii="Times New Roman" w:hAnsi="Times New Roman" w:cs="Times New Roman"/>
          <w:sz w:val="24"/>
          <w:szCs w:val="24"/>
        </w:rPr>
        <w:t xml:space="preserve"> </w:t>
      </w:r>
      <w:proofErr w:type="spellStart"/>
      <w:r w:rsidRPr="00D71CD1">
        <w:rPr>
          <w:rFonts w:ascii="Times New Roman" w:hAnsi="Times New Roman" w:cs="Times New Roman"/>
          <w:i/>
          <w:sz w:val="24"/>
          <w:szCs w:val="24"/>
        </w:rPr>
        <w:t>et</w:t>
      </w:r>
      <w:proofErr w:type="spellEnd"/>
      <w:r w:rsidRPr="00D71CD1">
        <w:rPr>
          <w:rFonts w:ascii="Times New Roman" w:hAnsi="Times New Roman" w:cs="Times New Roman"/>
          <w:i/>
          <w:sz w:val="24"/>
          <w:szCs w:val="24"/>
        </w:rPr>
        <w:t xml:space="preserve"> al.</w:t>
      </w:r>
      <w:r w:rsidRPr="00D71CD1">
        <w:rPr>
          <w:rFonts w:ascii="Times New Roman" w:hAnsi="Times New Roman" w:cs="Times New Roman"/>
          <w:sz w:val="24"/>
          <w:szCs w:val="24"/>
        </w:rPr>
        <w:t xml:space="preserve"> (2012) e </w:t>
      </w:r>
      <w:proofErr w:type="spellStart"/>
      <w:r w:rsidRPr="00D71CD1">
        <w:rPr>
          <w:rFonts w:ascii="Times New Roman" w:hAnsi="Times New Roman" w:cs="Times New Roman"/>
          <w:sz w:val="24"/>
          <w:szCs w:val="24"/>
        </w:rPr>
        <w:t>Wang</w:t>
      </w:r>
      <w:proofErr w:type="spellEnd"/>
      <w:r w:rsidRPr="00D71CD1">
        <w:rPr>
          <w:rFonts w:ascii="Times New Roman" w:hAnsi="Times New Roman" w:cs="Times New Roman"/>
          <w:sz w:val="24"/>
          <w:szCs w:val="24"/>
        </w:rPr>
        <w:t xml:space="preserve"> </w:t>
      </w:r>
      <w:proofErr w:type="spellStart"/>
      <w:r w:rsidRPr="00D71CD1">
        <w:rPr>
          <w:rFonts w:ascii="Times New Roman" w:hAnsi="Times New Roman" w:cs="Times New Roman"/>
          <w:i/>
          <w:sz w:val="24"/>
          <w:szCs w:val="24"/>
        </w:rPr>
        <w:t>et</w:t>
      </w:r>
      <w:proofErr w:type="spellEnd"/>
      <w:r w:rsidRPr="00D71CD1">
        <w:rPr>
          <w:rFonts w:ascii="Times New Roman" w:hAnsi="Times New Roman" w:cs="Times New Roman"/>
          <w:i/>
          <w:sz w:val="24"/>
          <w:szCs w:val="24"/>
        </w:rPr>
        <w:t xml:space="preserve"> al.</w:t>
      </w:r>
      <w:r w:rsidRPr="00D71CD1">
        <w:rPr>
          <w:rFonts w:ascii="Times New Roman" w:hAnsi="Times New Roman" w:cs="Times New Roman"/>
          <w:sz w:val="24"/>
          <w:szCs w:val="24"/>
        </w:rPr>
        <w:t xml:space="preserve"> (2012), verificou-se bastante resultados dos coeficientes semelhantes, porém para o contrato brasileiro bastante variáveis </w:t>
      </w:r>
      <w:proofErr w:type="spellStart"/>
      <w:r w:rsidRPr="00D71CD1">
        <w:rPr>
          <w:rFonts w:ascii="Times New Roman" w:eastAsiaTheme="minorEastAsia" w:hAnsi="Times New Roman" w:cs="Times New Roman"/>
          <w:i/>
          <w:sz w:val="24"/>
          <w:szCs w:val="24"/>
        </w:rPr>
        <w:t>dummies</w:t>
      </w:r>
      <w:proofErr w:type="spellEnd"/>
      <w:r w:rsidRPr="00D71CD1">
        <w:rPr>
          <w:rFonts w:ascii="Times New Roman" w:eastAsiaTheme="minorEastAsia" w:hAnsi="Times New Roman" w:cs="Times New Roman"/>
          <w:sz w:val="24"/>
          <w:szCs w:val="24"/>
        </w:rPr>
        <w:t xml:space="preserve"> não foram significativas.</w:t>
      </w:r>
    </w:p>
    <w:p w:rsidR="004346E0" w:rsidRPr="00D71CD1" w:rsidRDefault="004346E0" w:rsidP="00B42757">
      <w:pPr>
        <w:pStyle w:val="Ttulo1"/>
        <w:numPr>
          <w:ilvl w:val="0"/>
          <w:numId w:val="1"/>
        </w:numPr>
        <w:spacing w:line="240" w:lineRule="auto"/>
        <w:rPr>
          <w:rFonts w:ascii="Times New Roman" w:hAnsi="Times New Roman" w:cs="Times New Roman"/>
          <w:color w:val="auto"/>
          <w:sz w:val="24"/>
          <w:szCs w:val="24"/>
        </w:rPr>
      </w:pPr>
      <w:bookmarkStart w:id="14" w:name="_Toc360001442"/>
      <w:r w:rsidRPr="00D71CD1">
        <w:rPr>
          <w:rFonts w:ascii="Times New Roman" w:hAnsi="Times New Roman" w:cs="Times New Roman"/>
          <w:color w:val="auto"/>
          <w:sz w:val="24"/>
          <w:szCs w:val="24"/>
        </w:rPr>
        <w:lastRenderedPageBreak/>
        <w:t>CONCLUSÕES</w:t>
      </w:r>
      <w:bookmarkEnd w:id="14"/>
      <w:r w:rsidRPr="00D71CD1">
        <w:rPr>
          <w:rFonts w:ascii="Times New Roman" w:hAnsi="Times New Roman" w:cs="Times New Roman"/>
          <w:color w:val="auto"/>
          <w:sz w:val="24"/>
          <w:szCs w:val="24"/>
        </w:rPr>
        <w:t xml:space="preserve"> </w:t>
      </w:r>
    </w:p>
    <w:p w:rsidR="00A66971" w:rsidRPr="00D71CD1" w:rsidRDefault="00A66971" w:rsidP="00D71CD1">
      <w:pPr>
        <w:spacing w:after="0" w:line="240" w:lineRule="auto"/>
        <w:ind w:firstLine="708"/>
        <w:jc w:val="both"/>
        <w:rPr>
          <w:rFonts w:ascii="Times New Roman" w:hAnsi="Times New Roman" w:cs="Times New Roman"/>
          <w:sz w:val="24"/>
          <w:szCs w:val="24"/>
        </w:rPr>
      </w:pPr>
    </w:p>
    <w:p w:rsidR="004346E0" w:rsidRPr="00D71CD1" w:rsidRDefault="004346E0" w:rsidP="00D71CD1">
      <w:pPr>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A análise do custo de liquidez do contrato futuro de soja da </w:t>
      </w:r>
      <w:proofErr w:type="spellStart"/>
      <w:r w:rsidRPr="00D71CD1">
        <w:rPr>
          <w:rFonts w:ascii="Times New Roman" w:hAnsi="Times New Roman" w:cs="Times New Roman"/>
          <w:sz w:val="24"/>
          <w:szCs w:val="24"/>
        </w:rPr>
        <w:t>BM&amp;FBOVESPA</w:t>
      </w:r>
      <w:proofErr w:type="spellEnd"/>
      <w:r w:rsidRPr="00D71CD1">
        <w:rPr>
          <w:rFonts w:ascii="Times New Roman" w:hAnsi="Times New Roman" w:cs="Times New Roman"/>
          <w:sz w:val="24"/>
          <w:szCs w:val="24"/>
        </w:rPr>
        <w:t xml:space="preserve"> se mostra fundamental para os agentes que utilizam este contrato como gerenciamento de risco, pois em um país que a produção de soja é a segunda maior do mundo, e com a possibilidade de utilizar os contratos de soja da bolsa CME/Chicago </w:t>
      </w:r>
      <w:proofErr w:type="spellStart"/>
      <w:r w:rsidRPr="00D71CD1">
        <w:rPr>
          <w:rFonts w:ascii="Times New Roman" w:hAnsi="Times New Roman" w:cs="Times New Roman"/>
          <w:sz w:val="24"/>
          <w:szCs w:val="24"/>
        </w:rPr>
        <w:t>Board</w:t>
      </w:r>
      <w:proofErr w:type="spellEnd"/>
      <w:r w:rsidRPr="00D71CD1">
        <w:rPr>
          <w:rFonts w:ascii="Times New Roman" w:hAnsi="Times New Roman" w:cs="Times New Roman"/>
          <w:sz w:val="24"/>
          <w:szCs w:val="24"/>
        </w:rPr>
        <w:t xml:space="preserve"> </w:t>
      </w:r>
      <w:proofErr w:type="spellStart"/>
      <w:r w:rsidRPr="00D71CD1">
        <w:rPr>
          <w:rFonts w:ascii="Times New Roman" w:hAnsi="Times New Roman" w:cs="Times New Roman"/>
          <w:sz w:val="24"/>
          <w:szCs w:val="24"/>
        </w:rPr>
        <w:t>of</w:t>
      </w:r>
      <w:proofErr w:type="spellEnd"/>
      <w:r w:rsidRPr="00D71CD1">
        <w:rPr>
          <w:rFonts w:ascii="Times New Roman" w:hAnsi="Times New Roman" w:cs="Times New Roman"/>
          <w:sz w:val="24"/>
          <w:szCs w:val="24"/>
        </w:rPr>
        <w:t xml:space="preserve"> Trade </w:t>
      </w:r>
      <w:proofErr w:type="spellStart"/>
      <w:r w:rsidRPr="00D71CD1">
        <w:rPr>
          <w:rFonts w:ascii="Times New Roman" w:hAnsi="Times New Roman" w:cs="Times New Roman"/>
          <w:sz w:val="24"/>
          <w:szCs w:val="24"/>
        </w:rPr>
        <w:t>Company</w:t>
      </w:r>
      <w:proofErr w:type="spellEnd"/>
      <w:r w:rsidRPr="00D71CD1">
        <w:rPr>
          <w:rFonts w:ascii="Times New Roman" w:hAnsi="Times New Roman" w:cs="Times New Roman"/>
          <w:sz w:val="24"/>
          <w:szCs w:val="24"/>
        </w:rPr>
        <w:t xml:space="preserve">, o estudo do custo de liquidez na bolsa brasileira se torna ainda mais relevantes para a decisão dos agentes do mercado. Dessa forma, </w:t>
      </w:r>
      <w:proofErr w:type="gramStart"/>
      <w:r w:rsidRPr="00D71CD1">
        <w:rPr>
          <w:rFonts w:ascii="Times New Roman" w:hAnsi="Times New Roman" w:cs="Times New Roman"/>
          <w:sz w:val="24"/>
          <w:szCs w:val="24"/>
        </w:rPr>
        <w:t>o presente trabalhos</w:t>
      </w:r>
      <w:proofErr w:type="gramEnd"/>
      <w:r w:rsidRPr="00D71CD1">
        <w:rPr>
          <w:rFonts w:ascii="Times New Roman" w:hAnsi="Times New Roman" w:cs="Times New Roman"/>
          <w:sz w:val="24"/>
          <w:szCs w:val="24"/>
        </w:rPr>
        <w:t xml:space="preserve"> procurou analisar o custo de liquidez do contrato futuro de soja da </w:t>
      </w:r>
      <w:proofErr w:type="spellStart"/>
      <w:r w:rsidRPr="00D71CD1">
        <w:rPr>
          <w:rFonts w:ascii="Times New Roman" w:hAnsi="Times New Roman" w:cs="Times New Roman"/>
          <w:sz w:val="24"/>
          <w:szCs w:val="24"/>
        </w:rPr>
        <w:t>BM&amp;FBOVESPA</w:t>
      </w:r>
      <w:proofErr w:type="spellEnd"/>
      <w:r w:rsidRPr="00D71CD1">
        <w:rPr>
          <w:rFonts w:ascii="Times New Roman" w:hAnsi="Times New Roman" w:cs="Times New Roman"/>
          <w:sz w:val="24"/>
          <w:szCs w:val="24"/>
        </w:rPr>
        <w:t xml:space="preserve">, seus determinantes e a eficiência de metodologias tradicionais na estimação do custo de liquidez, tais como </w:t>
      </w:r>
      <w:proofErr w:type="spellStart"/>
      <w:r w:rsidRPr="00D71CD1">
        <w:rPr>
          <w:rFonts w:ascii="Times New Roman" w:hAnsi="Times New Roman" w:cs="Times New Roman"/>
          <w:sz w:val="24"/>
          <w:szCs w:val="24"/>
        </w:rPr>
        <w:t>Roll</w:t>
      </w:r>
      <w:proofErr w:type="spellEnd"/>
      <w:r w:rsidRPr="00D71CD1">
        <w:rPr>
          <w:rFonts w:ascii="Times New Roman" w:hAnsi="Times New Roman" w:cs="Times New Roman"/>
          <w:sz w:val="24"/>
          <w:szCs w:val="24"/>
        </w:rPr>
        <w:t xml:space="preserve">, CDP, TWM e  CFTC. </w:t>
      </w:r>
    </w:p>
    <w:p w:rsidR="004346E0" w:rsidRPr="00D71CD1" w:rsidRDefault="004346E0" w:rsidP="00D71CD1">
      <w:pPr>
        <w:autoSpaceDE w:val="0"/>
        <w:autoSpaceDN w:val="0"/>
        <w:adjustRightInd w:val="0"/>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Na análise dos contratos de soja da </w:t>
      </w:r>
      <w:proofErr w:type="spellStart"/>
      <w:r w:rsidRPr="00D71CD1">
        <w:rPr>
          <w:rFonts w:ascii="Times New Roman" w:hAnsi="Times New Roman" w:cs="Times New Roman"/>
          <w:sz w:val="24"/>
          <w:szCs w:val="24"/>
        </w:rPr>
        <w:t>BM&amp;FBOVESPA</w:t>
      </w:r>
      <w:proofErr w:type="spellEnd"/>
      <w:r w:rsidRPr="00D71CD1">
        <w:rPr>
          <w:rFonts w:ascii="Times New Roman" w:hAnsi="Times New Roman" w:cs="Times New Roman"/>
          <w:sz w:val="24"/>
          <w:szCs w:val="24"/>
        </w:rPr>
        <w:t xml:space="preserve"> verificou-se elevada concentração de negócios em poucos contratos, sendo as negociações ocorridas principalmente para os contratos com vencimento em maio de cada ano. Para esses contratos, o custo de liquidez apresentou os menores valores, principalmente quando se aproxima da data de vencimento. Esse resultado é esperado, uma vez que os contratos com maiores números de negociações são os que apresentaram maiores lances de oferta para compra e lances de oferta para venda, o que resulta na maior facilidade de achar uma contraparte disposta a negociar, resultando em menor custo de liquidez. </w:t>
      </w:r>
    </w:p>
    <w:p w:rsidR="004346E0" w:rsidRPr="00D71CD1" w:rsidRDefault="004346E0" w:rsidP="00D71CD1">
      <w:pPr>
        <w:autoSpaceDE w:val="0"/>
        <w:autoSpaceDN w:val="0"/>
        <w:adjustRightInd w:val="0"/>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Quando comparados os valores dos custos de liquidez dos contratos futuro de soja da </w:t>
      </w:r>
      <w:proofErr w:type="spellStart"/>
      <w:r w:rsidRPr="00D71CD1">
        <w:rPr>
          <w:rFonts w:ascii="Times New Roman" w:hAnsi="Times New Roman" w:cs="Times New Roman"/>
          <w:sz w:val="24"/>
          <w:szCs w:val="24"/>
        </w:rPr>
        <w:t>BM&amp;FBOVESPA</w:t>
      </w:r>
      <w:proofErr w:type="spellEnd"/>
      <w:r w:rsidRPr="00D71CD1">
        <w:rPr>
          <w:rFonts w:ascii="Times New Roman" w:hAnsi="Times New Roman" w:cs="Times New Roman"/>
          <w:sz w:val="24"/>
          <w:szCs w:val="24"/>
        </w:rPr>
        <w:t xml:space="preserve"> com os trabalhos internacionais, conclui-se que o contrato brasileiro possui custos de liquidez elevados, pois a proporção de custo de liquidez em relação ao volume financeiro para cada negociação foi de 0,54% a 2,98%.  Esses valores são muito superiores aos resultados dos trabalhos internacionais, tais como para a </w:t>
      </w:r>
      <w:r w:rsidRPr="00D71CD1">
        <w:rPr>
          <w:rFonts w:ascii="Times New Roman" w:hAnsi="Times New Roman" w:cs="Times New Roman"/>
          <w:i/>
          <w:sz w:val="24"/>
          <w:szCs w:val="24"/>
        </w:rPr>
        <w:t>commodity</w:t>
      </w:r>
      <w:r w:rsidRPr="00D71CD1">
        <w:rPr>
          <w:rFonts w:ascii="Times New Roman" w:hAnsi="Times New Roman" w:cs="Times New Roman"/>
          <w:sz w:val="24"/>
          <w:szCs w:val="24"/>
        </w:rPr>
        <w:t xml:space="preserve"> milho, que atingiu de 0,07% a 0,08% do total do volume do contrato, sendo este considerado altamente líquido.</w:t>
      </w:r>
    </w:p>
    <w:p w:rsidR="004346E0" w:rsidRPr="00D71CD1" w:rsidRDefault="004346E0" w:rsidP="00D71CD1">
      <w:pPr>
        <w:spacing w:after="0" w:line="240" w:lineRule="auto"/>
        <w:jc w:val="both"/>
        <w:rPr>
          <w:rFonts w:ascii="Times New Roman" w:hAnsi="Times New Roman" w:cs="Times New Roman"/>
          <w:sz w:val="24"/>
          <w:szCs w:val="24"/>
        </w:rPr>
      </w:pPr>
      <w:r w:rsidRPr="00D71CD1">
        <w:rPr>
          <w:rFonts w:ascii="Times New Roman" w:hAnsi="Times New Roman" w:cs="Times New Roman"/>
          <w:sz w:val="24"/>
          <w:szCs w:val="24"/>
        </w:rPr>
        <w:tab/>
        <w:t xml:space="preserve">Quando analisados a eficiência das metodologias de </w:t>
      </w:r>
      <w:proofErr w:type="spellStart"/>
      <w:r w:rsidRPr="00D71CD1">
        <w:rPr>
          <w:rFonts w:ascii="Times New Roman" w:hAnsi="Times New Roman" w:cs="Times New Roman"/>
          <w:sz w:val="24"/>
          <w:szCs w:val="24"/>
        </w:rPr>
        <w:t>Roll</w:t>
      </w:r>
      <w:proofErr w:type="spellEnd"/>
      <w:r w:rsidRPr="00D71CD1">
        <w:rPr>
          <w:rFonts w:ascii="Times New Roman" w:hAnsi="Times New Roman" w:cs="Times New Roman"/>
          <w:sz w:val="24"/>
          <w:szCs w:val="24"/>
        </w:rPr>
        <w:t xml:space="preserve">, CDP, TWM e CFTC, para a mensuração do custo de liquidez, verificou-se que as </w:t>
      </w:r>
      <w:proofErr w:type="gramStart"/>
      <w:r w:rsidRPr="00D71CD1">
        <w:rPr>
          <w:rFonts w:ascii="Times New Roman" w:hAnsi="Times New Roman" w:cs="Times New Roman"/>
          <w:sz w:val="24"/>
          <w:szCs w:val="24"/>
        </w:rPr>
        <w:t>4</w:t>
      </w:r>
      <w:proofErr w:type="gramEnd"/>
      <w:r w:rsidRPr="00D71CD1">
        <w:rPr>
          <w:rFonts w:ascii="Times New Roman" w:hAnsi="Times New Roman" w:cs="Times New Roman"/>
          <w:sz w:val="24"/>
          <w:szCs w:val="24"/>
        </w:rPr>
        <w:t xml:space="preserve"> metodologias subestimam o custo de liquidez, apresentando estimações em média de -60%. As correlações apresentadas entre as metodologias e o custo de liquidez foram em torno de 0,55, não sendo muito precisas para análise das variações nos custos de liquidez. </w:t>
      </w:r>
    </w:p>
    <w:p w:rsidR="004346E0" w:rsidRPr="00D71CD1" w:rsidRDefault="004346E0" w:rsidP="00D71CD1">
      <w:pPr>
        <w:pStyle w:val="NormalWeb"/>
        <w:spacing w:before="0" w:beforeAutospacing="0" w:after="0" w:afterAutospacing="0"/>
        <w:ind w:firstLine="708"/>
        <w:jc w:val="both"/>
        <w:rPr>
          <w:rFonts w:eastAsiaTheme="minorEastAsia"/>
        </w:rPr>
      </w:pPr>
      <w:r w:rsidRPr="00D71CD1">
        <w:t>Quanto aos determinantes estimados através do</w:t>
      </w:r>
      <w:r w:rsidRPr="00D71CD1">
        <w:rPr>
          <w:rFonts w:eastAsiaTheme="minorEastAsia"/>
        </w:rPr>
        <w:t xml:space="preserve"> Método dos Momentos Generalizados – </w:t>
      </w:r>
      <w:proofErr w:type="spellStart"/>
      <w:r w:rsidRPr="00D71CD1">
        <w:rPr>
          <w:rFonts w:eastAsiaTheme="minorEastAsia"/>
          <w:i/>
        </w:rPr>
        <w:t>Generalized</w:t>
      </w:r>
      <w:proofErr w:type="spellEnd"/>
      <w:r w:rsidRPr="00D71CD1">
        <w:rPr>
          <w:rFonts w:eastAsiaTheme="minorEastAsia"/>
          <w:i/>
        </w:rPr>
        <w:t xml:space="preserve"> </w:t>
      </w:r>
      <w:proofErr w:type="spellStart"/>
      <w:r w:rsidRPr="00D71CD1">
        <w:rPr>
          <w:rFonts w:eastAsiaTheme="minorEastAsia"/>
          <w:i/>
        </w:rPr>
        <w:t>Method</w:t>
      </w:r>
      <w:proofErr w:type="spellEnd"/>
      <w:r w:rsidRPr="00D71CD1">
        <w:rPr>
          <w:rFonts w:eastAsiaTheme="minorEastAsia"/>
          <w:i/>
        </w:rPr>
        <w:t xml:space="preserve"> </w:t>
      </w:r>
      <w:proofErr w:type="spellStart"/>
      <w:r w:rsidRPr="00D71CD1">
        <w:rPr>
          <w:rFonts w:eastAsiaTheme="minorEastAsia"/>
          <w:i/>
        </w:rPr>
        <w:t>of</w:t>
      </w:r>
      <w:proofErr w:type="spellEnd"/>
      <w:r w:rsidRPr="00D71CD1">
        <w:rPr>
          <w:rFonts w:eastAsiaTheme="minorEastAsia"/>
          <w:i/>
        </w:rPr>
        <w:t xml:space="preserve"> </w:t>
      </w:r>
      <w:proofErr w:type="spellStart"/>
      <w:r w:rsidRPr="00D71CD1">
        <w:rPr>
          <w:rFonts w:eastAsiaTheme="minorEastAsia"/>
          <w:i/>
        </w:rPr>
        <w:t>Moment</w:t>
      </w:r>
      <w:proofErr w:type="spellEnd"/>
      <w:r w:rsidRPr="00D71CD1">
        <w:rPr>
          <w:rFonts w:eastAsiaTheme="minorEastAsia"/>
        </w:rPr>
        <w:t xml:space="preserve"> (GMM), conclui-se que o volume negociado, dias para expiração do contrato, quantidades de contratos em aberto, e tendência positiva dos preços foram significativas e negativamente associadas com o custo de liquidez, enquanto a média de quantidade negociada por contrato foi positivamente associado, o que aceita a hipótese desse estudo. A teoria confirma a relação negativa entre essas variáveis e o custo de liquidez, uma vez que: quanto maiores os volumes e os contratos em aberto, maiores são as chances de achar contrapartes dispostas a negociar; contratos com expiração muito longa tendem a ter </w:t>
      </w:r>
      <w:proofErr w:type="gramStart"/>
      <w:r w:rsidRPr="00D71CD1">
        <w:rPr>
          <w:rFonts w:eastAsiaTheme="minorEastAsia"/>
        </w:rPr>
        <w:t>custo de liquidez maiores, devido as expectativas do mercado</w:t>
      </w:r>
      <w:proofErr w:type="gramEnd"/>
      <w:r w:rsidRPr="00D71CD1">
        <w:rPr>
          <w:rFonts w:eastAsiaTheme="minorEastAsia"/>
        </w:rPr>
        <w:t xml:space="preserve">; a tendência positiva dos preços foi significativa, uma vez que </w:t>
      </w:r>
      <w:r w:rsidRPr="00D71CD1">
        <w:rPr>
          <w:iCs/>
          <w:color w:val="000000"/>
        </w:rPr>
        <w:t xml:space="preserve">os preços no período elevaram-se, devido as estiagens que provocaram queda na produção em alguns países produtores; e quanto maior a quantidade negociada por contrato, menores são as chances de inverter sua posição no mercado. </w:t>
      </w:r>
    </w:p>
    <w:p w:rsidR="004346E0" w:rsidRPr="00D71CD1" w:rsidRDefault="004346E0" w:rsidP="00D71CD1">
      <w:pPr>
        <w:spacing w:after="0" w:line="240" w:lineRule="auto"/>
        <w:ind w:firstLine="708"/>
        <w:jc w:val="both"/>
        <w:rPr>
          <w:rFonts w:ascii="Times New Roman" w:hAnsi="Times New Roman" w:cs="Times New Roman"/>
          <w:sz w:val="24"/>
          <w:szCs w:val="24"/>
        </w:rPr>
      </w:pPr>
      <w:proofErr w:type="gramStart"/>
      <w:r w:rsidRPr="00D71CD1">
        <w:rPr>
          <w:rFonts w:ascii="Times New Roman" w:hAnsi="Times New Roman" w:cs="Times New Roman"/>
          <w:sz w:val="24"/>
          <w:szCs w:val="24"/>
        </w:rPr>
        <w:t>Destaca-se</w:t>
      </w:r>
      <w:proofErr w:type="gramEnd"/>
      <w:r w:rsidRPr="00D71CD1">
        <w:rPr>
          <w:rFonts w:ascii="Times New Roman" w:hAnsi="Times New Roman" w:cs="Times New Roman"/>
          <w:sz w:val="24"/>
          <w:szCs w:val="24"/>
        </w:rPr>
        <w:t xml:space="preserve"> algumas limitações desta pesquisa, sendo primeiramente a base de dados</w:t>
      </w:r>
      <w:r w:rsidR="00A66971" w:rsidRPr="00D71CD1">
        <w:rPr>
          <w:rFonts w:ascii="Times New Roman" w:hAnsi="Times New Roman" w:cs="Times New Roman"/>
          <w:sz w:val="24"/>
          <w:szCs w:val="24"/>
        </w:rPr>
        <w:t xml:space="preserve">. </w:t>
      </w:r>
      <w:proofErr w:type="gramStart"/>
      <w:r w:rsidR="00A66971" w:rsidRPr="00D71CD1">
        <w:rPr>
          <w:rFonts w:ascii="Times New Roman" w:hAnsi="Times New Roman" w:cs="Times New Roman"/>
          <w:sz w:val="24"/>
          <w:szCs w:val="24"/>
        </w:rPr>
        <w:t>A</w:t>
      </w:r>
      <w:r w:rsidRPr="00D71CD1">
        <w:rPr>
          <w:rFonts w:ascii="Times New Roman" w:hAnsi="Times New Roman" w:cs="Times New Roman"/>
          <w:sz w:val="24"/>
          <w:szCs w:val="24"/>
        </w:rPr>
        <w:t xml:space="preserve"> grande concentração das n</w:t>
      </w:r>
      <w:r w:rsidR="00A66971" w:rsidRPr="00D71CD1">
        <w:rPr>
          <w:rFonts w:ascii="Times New Roman" w:hAnsi="Times New Roman" w:cs="Times New Roman"/>
          <w:sz w:val="24"/>
          <w:szCs w:val="24"/>
        </w:rPr>
        <w:t xml:space="preserve">egociações em poucos contratos </w:t>
      </w:r>
      <w:r w:rsidRPr="00D71CD1">
        <w:rPr>
          <w:rFonts w:ascii="Times New Roman" w:hAnsi="Times New Roman" w:cs="Times New Roman"/>
          <w:sz w:val="24"/>
          <w:szCs w:val="24"/>
        </w:rPr>
        <w:t>período fixo de tempo antecedendo os vencimentos dos contratos</w:t>
      </w:r>
      <w:proofErr w:type="gramEnd"/>
      <w:r w:rsidRPr="00D71CD1">
        <w:rPr>
          <w:rFonts w:ascii="Times New Roman" w:hAnsi="Times New Roman" w:cs="Times New Roman"/>
          <w:sz w:val="24"/>
          <w:szCs w:val="24"/>
        </w:rPr>
        <w:t xml:space="preserve">. Nos trabalhos internacionais, os períodos fixados foram, por exemplo, 80 dias úteis antecedendo o vencimento de cada contrato, dando suporte para os investidores em relação ao tempo, independente do contrato. Para os contratos da bolsa brasileira, esse período fixo de tempo antecedendo o vencimento do contrato não foi possível para análise, uma vez que existe uma grande concentração dos negócios em poucos contratos, sendo analisados os determinantes para os principais contratos negociados. </w:t>
      </w:r>
    </w:p>
    <w:p w:rsidR="004346E0" w:rsidRPr="00D71CD1" w:rsidRDefault="004346E0" w:rsidP="00D71CD1">
      <w:pPr>
        <w:spacing w:after="0" w:line="240" w:lineRule="auto"/>
        <w:ind w:firstLine="708"/>
        <w:jc w:val="both"/>
        <w:rPr>
          <w:rFonts w:ascii="Times New Roman" w:hAnsi="Times New Roman" w:cs="Times New Roman"/>
          <w:sz w:val="24"/>
          <w:szCs w:val="24"/>
        </w:rPr>
      </w:pPr>
      <w:r w:rsidRPr="00D71CD1">
        <w:rPr>
          <w:rFonts w:ascii="Times New Roman" w:hAnsi="Times New Roman" w:cs="Times New Roman"/>
          <w:sz w:val="24"/>
          <w:szCs w:val="24"/>
        </w:rPr>
        <w:t xml:space="preserve">Quanto a sugestões para os agentes que atuam neste mercado estão principalmente à utilização dos contratos com maiores volumes negociados, pois foram os que apresentaram menores custos de liquidez. Esses contratos, antecedendo </w:t>
      </w:r>
      <w:proofErr w:type="gramStart"/>
      <w:r w:rsidRPr="00D71CD1">
        <w:rPr>
          <w:rFonts w:ascii="Times New Roman" w:hAnsi="Times New Roman" w:cs="Times New Roman"/>
          <w:sz w:val="24"/>
          <w:szCs w:val="24"/>
        </w:rPr>
        <w:t>7</w:t>
      </w:r>
      <w:proofErr w:type="gramEnd"/>
      <w:r w:rsidRPr="00D71CD1">
        <w:rPr>
          <w:rFonts w:ascii="Times New Roman" w:hAnsi="Times New Roman" w:cs="Times New Roman"/>
          <w:sz w:val="24"/>
          <w:szCs w:val="24"/>
        </w:rPr>
        <w:t xml:space="preserve"> meses para seu vencimento, já apresentavam elevados números de negociações, tais como verificados para os contratos de maio. Além do </w:t>
      </w:r>
      <w:r w:rsidRPr="00D71CD1">
        <w:rPr>
          <w:rFonts w:ascii="Times New Roman" w:hAnsi="Times New Roman" w:cs="Times New Roman"/>
          <w:sz w:val="24"/>
          <w:szCs w:val="24"/>
        </w:rPr>
        <w:lastRenderedPageBreak/>
        <w:t>volume, os agentes devem ficar atentos para a quantidade de contratos negociados, quantidades de contratos em aberto e o número de dias para a expiração dos contratos.</w:t>
      </w:r>
    </w:p>
    <w:p w:rsidR="004346E0" w:rsidRDefault="004346E0" w:rsidP="00D71CD1">
      <w:pPr>
        <w:spacing w:after="0" w:line="240" w:lineRule="auto"/>
        <w:jc w:val="both"/>
        <w:rPr>
          <w:rFonts w:ascii="Times New Roman" w:eastAsia="Calibri" w:hAnsi="Times New Roman" w:cs="Times New Roman"/>
          <w:sz w:val="24"/>
          <w:szCs w:val="24"/>
        </w:rPr>
      </w:pPr>
      <w:r w:rsidRPr="00D71CD1">
        <w:rPr>
          <w:rFonts w:ascii="Times New Roman" w:hAnsi="Times New Roman" w:cs="Times New Roman"/>
          <w:sz w:val="24"/>
          <w:szCs w:val="24"/>
        </w:rPr>
        <w:tab/>
      </w:r>
      <w:r w:rsidRPr="00D71CD1">
        <w:rPr>
          <w:rFonts w:ascii="Times New Roman" w:eastAsia="Calibri" w:hAnsi="Times New Roman" w:cs="Times New Roman"/>
          <w:sz w:val="24"/>
          <w:szCs w:val="24"/>
        </w:rPr>
        <w:t>Vale ressaltar que, as análises aqui desenvolvidas se baseiam na média que ocorreu no passado, servindo de base para o planejamento do agente que utiliza o mercado futuro como gerenciamento. Porém, os resultados aqui não devem ser tomados como regra de decisão, pois diversas variáveis podem afetar o</w:t>
      </w:r>
      <w:r w:rsidRPr="00D71CD1">
        <w:rPr>
          <w:rFonts w:ascii="Times New Roman" w:hAnsi="Times New Roman" w:cs="Times New Roman"/>
          <w:sz w:val="24"/>
          <w:szCs w:val="24"/>
        </w:rPr>
        <w:t xml:space="preserve"> custo de liquidez nos contratos futuros de soja, e assim </w:t>
      </w:r>
      <w:r w:rsidRPr="00D71CD1">
        <w:rPr>
          <w:rFonts w:ascii="Times New Roman" w:eastAsia="Calibri" w:hAnsi="Times New Roman" w:cs="Times New Roman"/>
          <w:sz w:val="24"/>
          <w:szCs w:val="24"/>
        </w:rPr>
        <w:t xml:space="preserve">influenciar nos custos de liquidez no futuro. </w:t>
      </w:r>
    </w:p>
    <w:p w:rsidR="002470D3" w:rsidRDefault="002470D3" w:rsidP="00D71CD1">
      <w:pPr>
        <w:spacing w:after="0" w:line="240" w:lineRule="auto"/>
        <w:jc w:val="both"/>
        <w:rPr>
          <w:rFonts w:ascii="Times New Roman" w:eastAsia="Calibri" w:hAnsi="Times New Roman" w:cs="Times New Roman"/>
          <w:sz w:val="24"/>
          <w:szCs w:val="24"/>
        </w:rPr>
      </w:pPr>
    </w:p>
    <w:p w:rsidR="004346E0" w:rsidRPr="00D71CD1" w:rsidRDefault="004346E0" w:rsidP="005D58C4">
      <w:pPr>
        <w:pStyle w:val="Ttulo1"/>
        <w:numPr>
          <w:ilvl w:val="0"/>
          <w:numId w:val="1"/>
        </w:numPr>
        <w:spacing w:before="120" w:after="120" w:line="240" w:lineRule="auto"/>
        <w:rPr>
          <w:rFonts w:ascii="Times New Roman" w:hAnsi="Times New Roman" w:cs="Times New Roman"/>
          <w:color w:val="auto"/>
          <w:sz w:val="24"/>
          <w:szCs w:val="24"/>
        </w:rPr>
      </w:pPr>
      <w:bookmarkStart w:id="15" w:name="_Toc360001443"/>
      <w:r w:rsidRPr="00D71CD1">
        <w:rPr>
          <w:rFonts w:ascii="Times New Roman" w:hAnsi="Times New Roman" w:cs="Times New Roman"/>
          <w:color w:val="auto"/>
          <w:sz w:val="24"/>
          <w:szCs w:val="24"/>
        </w:rPr>
        <w:t>REFERÊNCIAS BIBLIOGRÁFICAS</w:t>
      </w:r>
      <w:bookmarkEnd w:id="15"/>
    </w:p>
    <w:p w:rsidR="004346E0" w:rsidRPr="00D71CD1" w:rsidRDefault="004346E0" w:rsidP="00D71CD1">
      <w:pPr>
        <w:autoSpaceDE w:val="0"/>
        <w:autoSpaceDN w:val="0"/>
        <w:adjustRightInd w:val="0"/>
        <w:spacing w:after="0" w:line="240" w:lineRule="auto"/>
        <w:jc w:val="both"/>
        <w:rPr>
          <w:rFonts w:ascii="Times New Roman" w:hAnsi="Times New Roman" w:cs="Times New Roman"/>
          <w:sz w:val="24"/>
          <w:szCs w:val="24"/>
        </w:rPr>
      </w:pPr>
    </w:p>
    <w:p w:rsidR="003F4033" w:rsidRPr="00D71CD1" w:rsidRDefault="004346E0" w:rsidP="00D71CD1">
      <w:pPr>
        <w:autoSpaceDE w:val="0"/>
        <w:autoSpaceDN w:val="0"/>
        <w:adjustRightInd w:val="0"/>
        <w:spacing w:after="0" w:line="240" w:lineRule="auto"/>
        <w:jc w:val="both"/>
        <w:rPr>
          <w:rFonts w:ascii="Times New Roman" w:hAnsi="Times New Roman" w:cs="Times New Roman"/>
          <w:sz w:val="24"/>
          <w:szCs w:val="24"/>
        </w:rPr>
      </w:pPr>
      <w:r w:rsidRPr="00D71CD1">
        <w:rPr>
          <w:rFonts w:ascii="Times New Roman" w:hAnsi="Times New Roman" w:cs="Times New Roman"/>
          <w:sz w:val="24"/>
          <w:szCs w:val="24"/>
        </w:rPr>
        <w:t xml:space="preserve">ABIOVE – Associação Brasileira das Indústrias de Óleos Vegetais. </w:t>
      </w:r>
      <w:r w:rsidRPr="00D71CD1">
        <w:rPr>
          <w:rFonts w:ascii="Times New Roman" w:hAnsi="Times New Roman" w:cs="Times New Roman"/>
          <w:b/>
          <w:sz w:val="24"/>
          <w:szCs w:val="24"/>
        </w:rPr>
        <w:t xml:space="preserve">Estatística Mensal do </w:t>
      </w:r>
      <w:proofErr w:type="gramStart"/>
      <w:r w:rsidRPr="00D71CD1">
        <w:rPr>
          <w:rFonts w:ascii="Times New Roman" w:hAnsi="Times New Roman" w:cs="Times New Roman"/>
          <w:b/>
          <w:sz w:val="24"/>
          <w:szCs w:val="24"/>
        </w:rPr>
        <w:t>Complexo Soja</w:t>
      </w:r>
      <w:proofErr w:type="gramEnd"/>
      <w:r w:rsidRPr="00D71CD1">
        <w:rPr>
          <w:rFonts w:ascii="Times New Roman" w:hAnsi="Times New Roman" w:cs="Times New Roman"/>
          <w:b/>
          <w:sz w:val="24"/>
          <w:szCs w:val="24"/>
        </w:rPr>
        <w:t xml:space="preserve">. </w:t>
      </w:r>
      <w:r w:rsidRPr="00D71CD1">
        <w:rPr>
          <w:rFonts w:ascii="Times New Roman" w:hAnsi="Times New Roman" w:cs="Times New Roman"/>
          <w:sz w:val="24"/>
          <w:szCs w:val="24"/>
        </w:rPr>
        <w:t>Disponível em: &lt;</w:t>
      </w:r>
      <w:hyperlink r:id="rId12" w:history="1">
        <w:r w:rsidR="002E4EC6" w:rsidRPr="00D71CD1">
          <w:rPr>
            <w:rStyle w:val="Hyperlink"/>
            <w:rFonts w:ascii="Times New Roman" w:hAnsi="Times New Roman" w:cs="Times New Roman"/>
            <w:color w:val="auto"/>
            <w:sz w:val="24"/>
            <w:szCs w:val="24"/>
            <w:u w:val="none"/>
          </w:rPr>
          <w:t>http://www.abiove.org.br/site/index.php?page=estatistica &amp;area=NC0yLTE=</w:t>
        </w:r>
      </w:hyperlink>
      <w:r w:rsidRPr="00D71CD1">
        <w:rPr>
          <w:rFonts w:ascii="Times New Roman" w:hAnsi="Times New Roman" w:cs="Times New Roman"/>
          <w:sz w:val="24"/>
          <w:szCs w:val="24"/>
        </w:rPr>
        <w:t>&gt;; Acesso em junho de 2013.</w:t>
      </w:r>
    </w:p>
    <w:p w:rsidR="003F4033" w:rsidRPr="00D71CD1" w:rsidRDefault="004346E0" w:rsidP="00D71CD1">
      <w:pPr>
        <w:autoSpaceDE w:val="0"/>
        <w:autoSpaceDN w:val="0"/>
        <w:adjustRightInd w:val="0"/>
        <w:spacing w:after="0" w:line="240" w:lineRule="auto"/>
        <w:jc w:val="both"/>
        <w:rPr>
          <w:rFonts w:ascii="Times New Roman" w:hAnsi="Times New Roman" w:cs="Times New Roman"/>
          <w:sz w:val="24"/>
          <w:szCs w:val="24"/>
          <w:lang w:val="en-US"/>
        </w:rPr>
      </w:pPr>
      <w:r w:rsidRPr="00D71CD1">
        <w:rPr>
          <w:rFonts w:ascii="Times New Roman" w:hAnsi="Times New Roman" w:cs="Times New Roman"/>
          <w:sz w:val="24"/>
          <w:szCs w:val="24"/>
          <w:lang w:val="en-US"/>
        </w:rPr>
        <w:t xml:space="preserve">ANAND A.; KARAGOZOGLU A. K.; Relative performance of bid–ask spread estimators: Futures market evidence. </w:t>
      </w:r>
      <w:r w:rsidRPr="00D71CD1">
        <w:rPr>
          <w:rFonts w:ascii="Times New Roman" w:hAnsi="Times New Roman" w:cs="Times New Roman"/>
          <w:b/>
          <w:sz w:val="24"/>
          <w:szCs w:val="24"/>
          <w:lang w:val="en-US"/>
        </w:rPr>
        <w:t>J</w:t>
      </w:r>
      <w:r w:rsidRPr="00D71CD1">
        <w:rPr>
          <w:rFonts w:ascii="Times New Roman" w:hAnsi="Times New Roman" w:cs="Times New Roman"/>
          <w:b/>
          <w:sz w:val="24"/>
          <w:szCs w:val="24"/>
          <w:shd w:val="clear" w:color="auto" w:fill="FFFFFF"/>
          <w:lang w:val="en-US"/>
        </w:rPr>
        <w:t xml:space="preserve">ournal of international financial markets, institutions &amp; money, </w:t>
      </w:r>
      <w:r w:rsidRPr="00D71CD1">
        <w:rPr>
          <w:rFonts w:ascii="Times New Roman" w:hAnsi="Times New Roman" w:cs="Times New Roman"/>
          <w:sz w:val="24"/>
          <w:szCs w:val="24"/>
          <w:shd w:val="clear" w:color="auto" w:fill="FFFFFF"/>
          <w:lang w:val="en-US"/>
        </w:rPr>
        <w:t xml:space="preserve">Amsterdam, </w:t>
      </w:r>
      <w:r w:rsidRPr="00D71CD1">
        <w:rPr>
          <w:rFonts w:ascii="Times New Roman" w:hAnsi="Times New Roman" w:cs="Times New Roman"/>
          <w:sz w:val="24"/>
          <w:szCs w:val="24"/>
          <w:lang w:val="en-US"/>
        </w:rPr>
        <w:t>v. 16, p. 231–245, 2006.</w:t>
      </w:r>
    </w:p>
    <w:p w:rsidR="003F4033" w:rsidRPr="00D71CD1" w:rsidRDefault="004346E0" w:rsidP="00D71CD1">
      <w:pPr>
        <w:spacing w:after="0" w:line="240" w:lineRule="auto"/>
        <w:jc w:val="both"/>
        <w:rPr>
          <w:rFonts w:ascii="Times New Roman" w:hAnsi="Times New Roman" w:cs="Times New Roman"/>
          <w:sz w:val="24"/>
          <w:szCs w:val="24"/>
        </w:rPr>
      </w:pPr>
      <w:r w:rsidRPr="00D71CD1">
        <w:rPr>
          <w:rFonts w:ascii="Times New Roman" w:hAnsi="Times New Roman" w:cs="Times New Roman"/>
          <w:sz w:val="24"/>
          <w:szCs w:val="24"/>
        </w:rPr>
        <w:t xml:space="preserve">BARROS, </w:t>
      </w:r>
      <w:proofErr w:type="spellStart"/>
      <w:r w:rsidRPr="00D71CD1">
        <w:rPr>
          <w:rFonts w:ascii="Times New Roman" w:hAnsi="Times New Roman" w:cs="Times New Roman"/>
          <w:sz w:val="24"/>
          <w:szCs w:val="24"/>
        </w:rPr>
        <w:t>Á.</w:t>
      </w:r>
      <w:proofErr w:type="spellEnd"/>
      <w:r w:rsidRPr="00D71CD1">
        <w:rPr>
          <w:rFonts w:ascii="Times New Roman" w:hAnsi="Times New Roman" w:cs="Times New Roman"/>
          <w:sz w:val="24"/>
          <w:szCs w:val="24"/>
        </w:rPr>
        <w:t xml:space="preserve"> </w:t>
      </w:r>
      <w:proofErr w:type="gramStart"/>
      <w:r w:rsidRPr="00D71CD1">
        <w:rPr>
          <w:rFonts w:ascii="Times New Roman" w:hAnsi="Times New Roman" w:cs="Times New Roman"/>
          <w:sz w:val="24"/>
          <w:szCs w:val="24"/>
        </w:rPr>
        <w:t>de</w:t>
      </w:r>
      <w:proofErr w:type="gramEnd"/>
      <w:r w:rsidRPr="00D71CD1">
        <w:rPr>
          <w:rFonts w:ascii="Times New Roman" w:hAnsi="Times New Roman" w:cs="Times New Roman"/>
          <w:sz w:val="24"/>
          <w:szCs w:val="24"/>
        </w:rPr>
        <w:t xml:space="preserve"> M.; AGUIAR, Danilo R. D. Gestão do Risco de Preço de Café Arábica: uma análise por meio do comportamento da base. </w:t>
      </w:r>
      <w:r w:rsidRPr="00D71CD1">
        <w:rPr>
          <w:rFonts w:ascii="Times New Roman" w:hAnsi="Times New Roman" w:cs="Times New Roman"/>
          <w:b/>
          <w:sz w:val="24"/>
          <w:szCs w:val="24"/>
        </w:rPr>
        <w:t>Revista de Economia e Sociologia Rural</w:t>
      </w:r>
      <w:r w:rsidRPr="00D71CD1">
        <w:rPr>
          <w:rFonts w:ascii="Times New Roman" w:hAnsi="Times New Roman" w:cs="Times New Roman"/>
          <w:sz w:val="24"/>
          <w:szCs w:val="24"/>
        </w:rPr>
        <w:t>, Brasília, v. 43, nº03, p.443-464, jul/set. 2005.</w:t>
      </w:r>
    </w:p>
    <w:p w:rsidR="003F4033" w:rsidRPr="00D71CD1" w:rsidRDefault="004346E0" w:rsidP="00D71CD1">
      <w:pPr>
        <w:autoSpaceDE w:val="0"/>
        <w:autoSpaceDN w:val="0"/>
        <w:adjustRightInd w:val="0"/>
        <w:spacing w:after="0" w:line="240" w:lineRule="auto"/>
        <w:jc w:val="both"/>
        <w:rPr>
          <w:rFonts w:ascii="Times New Roman" w:hAnsi="Times New Roman" w:cs="Times New Roman"/>
          <w:sz w:val="24"/>
          <w:szCs w:val="24"/>
          <w:lang w:val="en-US"/>
        </w:rPr>
      </w:pPr>
      <w:r w:rsidRPr="00D71CD1">
        <w:rPr>
          <w:rFonts w:ascii="Times New Roman" w:hAnsi="Times New Roman" w:cs="Times New Roman"/>
          <w:sz w:val="24"/>
          <w:szCs w:val="24"/>
          <w:lang w:val="en-US"/>
        </w:rPr>
        <w:t xml:space="preserve">BAUM, C. F. SCHAFFER, M. E.; STILLMAN, S. </w:t>
      </w:r>
      <w:r w:rsidRPr="00D71CD1">
        <w:rPr>
          <w:rFonts w:ascii="Times New Roman" w:hAnsi="Times New Roman" w:cs="Times New Roman"/>
          <w:b/>
          <w:sz w:val="24"/>
          <w:szCs w:val="24"/>
          <w:lang w:val="en-US"/>
        </w:rPr>
        <w:t>Instrumental variables and GMM: Estimation and testing.</w:t>
      </w:r>
      <w:r w:rsidRPr="00D71CD1">
        <w:rPr>
          <w:rFonts w:ascii="Times New Roman" w:hAnsi="Times New Roman" w:cs="Times New Roman"/>
          <w:sz w:val="24"/>
          <w:szCs w:val="24"/>
          <w:lang w:val="en-US"/>
        </w:rPr>
        <w:t xml:space="preserve"> The </w:t>
      </w:r>
      <w:proofErr w:type="spellStart"/>
      <w:r w:rsidRPr="00D71CD1">
        <w:rPr>
          <w:rFonts w:ascii="Times New Roman" w:hAnsi="Times New Roman" w:cs="Times New Roman"/>
          <w:sz w:val="24"/>
          <w:szCs w:val="24"/>
          <w:lang w:val="en-US"/>
        </w:rPr>
        <w:t>Stata</w:t>
      </w:r>
      <w:proofErr w:type="spellEnd"/>
      <w:r w:rsidRPr="00D71CD1">
        <w:rPr>
          <w:rFonts w:ascii="Times New Roman" w:hAnsi="Times New Roman" w:cs="Times New Roman"/>
          <w:sz w:val="24"/>
          <w:szCs w:val="24"/>
          <w:lang w:val="en-US"/>
        </w:rPr>
        <w:t xml:space="preserve"> Journal, 3, Number 1, pp. 1-31, 2003.</w:t>
      </w:r>
    </w:p>
    <w:p w:rsidR="003F4033" w:rsidRPr="00D71CD1" w:rsidRDefault="004346E0" w:rsidP="00D71CD1">
      <w:pPr>
        <w:autoSpaceDE w:val="0"/>
        <w:autoSpaceDN w:val="0"/>
        <w:adjustRightInd w:val="0"/>
        <w:spacing w:after="0" w:line="240" w:lineRule="auto"/>
        <w:jc w:val="both"/>
        <w:rPr>
          <w:rFonts w:ascii="Times New Roman" w:hAnsi="Times New Roman" w:cs="Times New Roman"/>
          <w:sz w:val="24"/>
          <w:szCs w:val="24"/>
        </w:rPr>
      </w:pPr>
      <w:proofErr w:type="gramStart"/>
      <w:r w:rsidRPr="00D71CD1">
        <w:rPr>
          <w:rFonts w:ascii="Times New Roman" w:hAnsi="Times New Roman" w:cs="Times New Roman"/>
          <w:sz w:val="24"/>
          <w:szCs w:val="24"/>
          <w:lang w:val="en-US"/>
        </w:rPr>
        <w:t xml:space="preserve">BAUM, C. F. SCHAFFER, M. E.; STILLMAN, S. </w:t>
      </w:r>
      <w:r w:rsidRPr="00D71CD1">
        <w:rPr>
          <w:rFonts w:ascii="Times New Roman" w:hAnsi="Times New Roman" w:cs="Times New Roman"/>
          <w:b/>
          <w:sz w:val="24"/>
          <w:szCs w:val="24"/>
          <w:lang w:val="en-US"/>
        </w:rPr>
        <w:t>Enhanced routines for instrumental variables/GMM estimation and testing.</w:t>
      </w:r>
      <w:proofErr w:type="gramEnd"/>
      <w:r w:rsidRPr="00D71CD1">
        <w:rPr>
          <w:rFonts w:ascii="Times New Roman" w:hAnsi="Times New Roman" w:cs="Times New Roman"/>
          <w:sz w:val="24"/>
          <w:szCs w:val="24"/>
          <w:lang w:val="en-US"/>
        </w:rPr>
        <w:t xml:space="preserve"> </w:t>
      </w:r>
      <w:proofErr w:type="spellStart"/>
      <w:r w:rsidRPr="00D71CD1">
        <w:rPr>
          <w:rFonts w:ascii="Times New Roman" w:hAnsi="Times New Roman" w:cs="Times New Roman"/>
          <w:sz w:val="24"/>
          <w:szCs w:val="24"/>
        </w:rPr>
        <w:t>The</w:t>
      </w:r>
      <w:proofErr w:type="spellEnd"/>
      <w:r w:rsidRPr="00D71CD1">
        <w:rPr>
          <w:rFonts w:ascii="Times New Roman" w:hAnsi="Times New Roman" w:cs="Times New Roman"/>
          <w:sz w:val="24"/>
          <w:szCs w:val="24"/>
        </w:rPr>
        <w:t xml:space="preserve"> </w:t>
      </w:r>
      <w:proofErr w:type="spellStart"/>
      <w:r w:rsidRPr="00D71CD1">
        <w:rPr>
          <w:rFonts w:ascii="Times New Roman" w:hAnsi="Times New Roman" w:cs="Times New Roman"/>
          <w:sz w:val="24"/>
          <w:szCs w:val="24"/>
        </w:rPr>
        <w:t>Stata</w:t>
      </w:r>
      <w:proofErr w:type="spellEnd"/>
      <w:r w:rsidRPr="00D71CD1">
        <w:rPr>
          <w:rFonts w:ascii="Times New Roman" w:hAnsi="Times New Roman" w:cs="Times New Roman"/>
          <w:sz w:val="24"/>
          <w:szCs w:val="24"/>
        </w:rPr>
        <w:t xml:space="preserve"> </w:t>
      </w:r>
      <w:proofErr w:type="spellStart"/>
      <w:r w:rsidRPr="00D71CD1">
        <w:rPr>
          <w:rFonts w:ascii="Times New Roman" w:hAnsi="Times New Roman" w:cs="Times New Roman"/>
          <w:sz w:val="24"/>
          <w:szCs w:val="24"/>
        </w:rPr>
        <w:t>Journal</w:t>
      </w:r>
      <w:proofErr w:type="spellEnd"/>
      <w:r w:rsidRPr="00D71CD1">
        <w:rPr>
          <w:rFonts w:ascii="Times New Roman" w:hAnsi="Times New Roman" w:cs="Times New Roman"/>
          <w:sz w:val="24"/>
          <w:szCs w:val="24"/>
        </w:rPr>
        <w:t xml:space="preserve">, </w:t>
      </w:r>
      <w:proofErr w:type="gramStart"/>
      <w:r w:rsidRPr="00D71CD1">
        <w:rPr>
          <w:rFonts w:ascii="Times New Roman" w:hAnsi="Times New Roman" w:cs="Times New Roman"/>
          <w:sz w:val="24"/>
          <w:szCs w:val="24"/>
        </w:rPr>
        <w:t>7</w:t>
      </w:r>
      <w:proofErr w:type="gramEnd"/>
      <w:r w:rsidRPr="00D71CD1">
        <w:rPr>
          <w:rFonts w:ascii="Times New Roman" w:hAnsi="Times New Roman" w:cs="Times New Roman"/>
          <w:sz w:val="24"/>
          <w:szCs w:val="24"/>
        </w:rPr>
        <w:t xml:space="preserve">, </w:t>
      </w:r>
      <w:proofErr w:type="spellStart"/>
      <w:r w:rsidRPr="00D71CD1">
        <w:rPr>
          <w:rFonts w:ascii="Times New Roman" w:hAnsi="Times New Roman" w:cs="Times New Roman"/>
          <w:sz w:val="24"/>
          <w:szCs w:val="24"/>
        </w:rPr>
        <w:t>Number</w:t>
      </w:r>
      <w:proofErr w:type="spellEnd"/>
      <w:r w:rsidRPr="00D71CD1">
        <w:rPr>
          <w:rFonts w:ascii="Times New Roman" w:hAnsi="Times New Roman" w:cs="Times New Roman"/>
          <w:sz w:val="24"/>
          <w:szCs w:val="24"/>
        </w:rPr>
        <w:t xml:space="preserve"> 4, pp. 465-506, 2007.</w:t>
      </w:r>
    </w:p>
    <w:p w:rsidR="003F4033" w:rsidRPr="00D71CD1" w:rsidRDefault="004346E0" w:rsidP="00D71CD1">
      <w:pPr>
        <w:spacing w:after="0" w:line="240" w:lineRule="auto"/>
        <w:jc w:val="both"/>
        <w:rPr>
          <w:rFonts w:ascii="Times New Roman" w:hAnsi="Times New Roman" w:cs="Times New Roman"/>
          <w:sz w:val="24"/>
          <w:szCs w:val="24"/>
        </w:rPr>
      </w:pPr>
      <w:r w:rsidRPr="00D71CD1">
        <w:rPr>
          <w:rFonts w:ascii="Times New Roman" w:hAnsi="Times New Roman" w:cs="Times New Roman"/>
          <w:sz w:val="24"/>
          <w:szCs w:val="24"/>
        </w:rPr>
        <w:t xml:space="preserve">BOLSA DE VALORES, MERCADORIAS E FUTUROS. </w:t>
      </w:r>
      <w:r w:rsidRPr="00D71CD1">
        <w:rPr>
          <w:rFonts w:ascii="Times New Roman" w:hAnsi="Times New Roman" w:cs="Times New Roman"/>
          <w:b/>
          <w:sz w:val="24"/>
          <w:szCs w:val="24"/>
        </w:rPr>
        <w:t xml:space="preserve">Futuros de soja e milho. </w:t>
      </w:r>
      <w:r w:rsidRPr="00D71CD1">
        <w:rPr>
          <w:rFonts w:ascii="Times New Roman" w:hAnsi="Times New Roman" w:cs="Times New Roman"/>
          <w:sz w:val="24"/>
          <w:szCs w:val="24"/>
        </w:rPr>
        <w:t>Jun. 2005. Disponível em: &lt;</w:t>
      </w:r>
      <w:hyperlink r:id="rId13" w:history="1">
        <w:r w:rsidR="002E4EC6" w:rsidRPr="00D71CD1">
          <w:rPr>
            <w:rStyle w:val="Hyperlink"/>
            <w:rFonts w:ascii="Times New Roman" w:hAnsi="Times New Roman" w:cs="Times New Roman"/>
            <w:color w:val="auto"/>
            <w:sz w:val="24"/>
            <w:szCs w:val="24"/>
            <w:u w:val="none"/>
          </w:rPr>
          <w:t>http://www.investorbrasil.com/investor/public/files/FuturodeSojae Milho..pdf</w:t>
        </w:r>
      </w:hyperlink>
      <w:r w:rsidRPr="00D71CD1">
        <w:rPr>
          <w:rFonts w:ascii="Times New Roman" w:hAnsi="Times New Roman" w:cs="Times New Roman"/>
          <w:sz w:val="24"/>
          <w:szCs w:val="24"/>
        </w:rPr>
        <w:t>&gt;; Acesso em: 21 set. 2012.</w:t>
      </w:r>
    </w:p>
    <w:p w:rsidR="003F4033" w:rsidRPr="00D71CD1" w:rsidRDefault="004346E0" w:rsidP="00D71CD1">
      <w:pPr>
        <w:spacing w:after="0" w:line="240" w:lineRule="auto"/>
        <w:jc w:val="both"/>
        <w:rPr>
          <w:rFonts w:ascii="Times New Roman" w:hAnsi="Times New Roman" w:cs="Times New Roman"/>
          <w:sz w:val="24"/>
          <w:szCs w:val="24"/>
        </w:rPr>
      </w:pPr>
      <w:r w:rsidRPr="00D71CD1">
        <w:rPr>
          <w:rFonts w:ascii="Times New Roman" w:hAnsi="Times New Roman" w:cs="Times New Roman"/>
          <w:sz w:val="24"/>
          <w:szCs w:val="24"/>
        </w:rPr>
        <w:t xml:space="preserve">BOLSA DE VALORES, MERCADORIAS E FUTUROS. </w:t>
      </w:r>
      <w:r w:rsidRPr="00D71CD1">
        <w:rPr>
          <w:rFonts w:ascii="Times New Roman" w:hAnsi="Times New Roman" w:cs="Times New Roman"/>
          <w:b/>
          <w:sz w:val="24"/>
          <w:szCs w:val="24"/>
        </w:rPr>
        <w:t xml:space="preserve">Mercadorias e Futuros, dados históricos e recuperação de informações. </w:t>
      </w:r>
      <w:r w:rsidRPr="00D71CD1">
        <w:rPr>
          <w:rFonts w:ascii="Times New Roman" w:hAnsi="Times New Roman" w:cs="Times New Roman"/>
          <w:sz w:val="24"/>
          <w:szCs w:val="24"/>
        </w:rPr>
        <w:t xml:space="preserve">Disponível em:&lt; </w:t>
      </w:r>
      <w:hyperlink w:history="1">
        <w:r w:rsidR="00C8326C" w:rsidRPr="00D71CD1">
          <w:rPr>
            <w:rStyle w:val="Hyperlink"/>
            <w:rFonts w:ascii="Times New Roman" w:hAnsi="Times New Roman" w:cs="Times New Roman"/>
            <w:color w:val="auto"/>
            <w:sz w:val="24"/>
            <w:szCs w:val="24"/>
            <w:u w:val="none"/>
          </w:rPr>
          <w:t>http://www.bmfbovespa.com.br /pt-br/mercados/mercadorias-e-futuros.aspx?idioma=pt-br</w:t>
        </w:r>
      </w:hyperlink>
      <w:r w:rsidRPr="00D71CD1">
        <w:rPr>
          <w:rFonts w:ascii="Times New Roman" w:hAnsi="Times New Roman" w:cs="Times New Roman"/>
          <w:sz w:val="24"/>
          <w:szCs w:val="24"/>
        </w:rPr>
        <w:t>&gt;; Acesso em: maio de 2013.</w:t>
      </w:r>
    </w:p>
    <w:p w:rsidR="003F4033" w:rsidRPr="00D71CD1" w:rsidRDefault="004346E0" w:rsidP="00D71CD1">
      <w:pPr>
        <w:autoSpaceDE w:val="0"/>
        <w:autoSpaceDN w:val="0"/>
        <w:adjustRightInd w:val="0"/>
        <w:spacing w:after="0" w:line="240" w:lineRule="auto"/>
        <w:jc w:val="both"/>
        <w:rPr>
          <w:rFonts w:ascii="Times New Roman" w:hAnsi="Times New Roman" w:cs="Times New Roman"/>
          <w:sz w:val="24"/>
          <w:szCs w:val="24"/>
        </w:rPr>
      </w:pPr>
      <w:r w:rsidRPr="00D71CD1">
        <w:rPr>
          <w:rFonts w:ascii="Times New Roman" w:hAnsi="Times New Roman" w:cs="Times New Roman"/>
          <w:sz w:val="24"/>
          <w:szCs w:val="24"/>
        </w:rPr>
        <w:t xml:space="preserve">BOLSA DE VALORES, MERCADORIAS E FUTUROS. </w:t>
      </w:r>
      <w:r w:rsidRPr="00D71CD1">
        <w:rPr>
          <w:rFonts w:ascii="Times New Roman" w:hAnsi="Times New Roman" w:cs="Times New Roman"/>
          <w:b/>
          <w:sz w:val="24"/>
          <w:szCs w:val="24"/>
        </w:rPr>
        <w:t xml:space="preserve">Volume Geral. </w:t>
      </w:r>
      <w:r w:rsidRPr="00D71CD1">
        <w:rPr>
          <w:rFonts w:ascii="Times New Roman" w:hAnsi="Times New Roman" w:cs="Times New Roman"/>
          <w:sz w:val="24"/>
          <w:szCs w:val="24"/>
        </w:rPr>
        <w:t>Disponível em:&lt;</w:t>
      </w:r>
      <w:proofErr w:type="gramStart"/>
      <w:r w:rsidRPr="00D71CD1">
        <w:rPr>
          <w:rFonts w:ascii="Times New Roman" w:hAnsi="Times New Roman" w:cs="Times New Roman"/>
          <w:sz w:val="24"/>
          <w:szCs w:val="24"/>
        </w:rPr>
        <w:t>http://www.bmfbovespa.com.br/shared/iframeBol</w:t>
      </w:r>
      <w:r w:rsidR="00C8326C" w:rsidRPr="00D71CD1">
        <w:rPr>
          <w:rFonts w:ascii="Times New Roman" w:hAnsi="Times New Roman" w:cs="Times New Roman"/>
          <w:sz w:val="24"/>
          <w:szCs w:val="24"/>
        </w:rPr>
        <w:t>etim.</w:t>
      </w:r>
      <w:proofErr w:type="gramEnd"/>
      <w:r w:rsidR="00C8326C" w:rsidRPr="00D71CD1">
        <w:rPr>
          <w:rFonts w:ascii="Times New Roman" w:hAnsi="Times New Roman" w:cs="Times New Roman"/>
          <w:sz w:val="24"/>
          <w:szCs w:val="24"/>
        </w:rPr>
        <w:t>aspx?</w:t>
      </w:r>
      <w:proofErr w:type="gramStart"/>
      <w:r w:rsidR="00C8326C" w:rsidRPr="00D71CD1">
        <w:rPr>
          <w:rFonts w:ascii="Times New Roman" w:hAnsi="Times New Roman" w:cs="Times New Roman"/>
          <w:sz w:val="24"/>
          <w:szCs w:val="24"/>
        </w:rPr>
        <w:t>altura</w:t>
      </w:r>
      <w:proofErr w:type="gramEnd"/>
      <w:r w:rsidR="00C8326C" w:rsidRPr="00D71CD1">
        <w:rPr>
          <w:rFonts w:ascii="Times New Roman" w:hAnsi="Times New Roman" w:cs="Times New Roman"/>
          <w:sz w:val="24"/>
          <w:szCs w:val="24"/>
        </w:rPr>
        <w:t>=3200&amp;idioma=pt</w:t>
      </w:r>
      <w:r w:rsidRPr="00D71CD1">
        <w:rPr>
          <w:rFonts w:ascii="Times New Roman" w:hAnsi="Times New Roman" w:cs="Times New Roman"/>
          <w:sz w:val="24"/>
          <w:szCs w:val="24"/>
        </w:rPr>
        <w:t>br&amp;url=www.bmf.com.br/bmfbovespa/pages/boletim</w:t>
      </w:r>
      <w:r w:rsidR="00C8326C" w:rsidRPr="00D71CD1">
        <w:rPr>
          <w:rFonts w:ascii="Times New Roman" w:hAnsi="Times New Roman" w:cs="Times New Roman"/>
          <w:sz w:val="24"/>
          <w:szCs w:val="24"/>
        </w:rPr>
        <w:t xml:space="preserve">1/VolumeGeral/VolumeGeral.asp&gt;; </w:t>
      </w:r>
      <w:r w:rsidRPr="00D71CD1">
        <w:rPr>
          <w:rFonts w:ascii="Times New Roman" w:hAnsi="Times New Roman" w:cs="Times New Roman"/>
          <w:sz w:val="24"/>
          <w:szCs w:val="24"/>
        </w:rPr>
        <w:t xml:space="preserve">Acesso em: mar. 2013. </w:t>
      </w:r>
    </w:p>
    <w:p w:rsidR="003F4033" w:rsidRPr="00D71CD1" w:rsidRDefault="004346E0" w:rsidP="00D71CD1">
      <w:pPr>
        <w:spacing w:after="0" w:line="240" w:lineRule="auto"/>
        <w:jc w:val="both"/>
        <w:rPr>
          <w:rFonts w:ascii="Times New Roman" w:hAnsi="Times New Roman" w:cs="Times New Roman"/>
          <w:sz w:val="24"/>
          <w:szCs w:val="24"/>
          <w:lang w:val="en-US"/>
        </w:rPr>
      </w:pPr>
      <w:r w:rsidRPr="00D71CD1">
        <w:rPr>
          <w:rFonts w:ascii="Times New Roman" w:hAnsi="Times New Roman" w:cs="Times New Roman"/>
          <w:sz w:val="24"/>
          <w:szCs w:val="24"/>
        </w:rPr>
        <w:t xml:space="preserve">BOLSA DE VALORES, MERCADORIAS E FUTUROS. Histórico de Negociação, segmento </w:t>
      </w:r>
      <w:proofErr w:type="spellStart"/>
      <w:r w:rsidRPr="00D71CD1">
        <w:rPr>
          <w:rFonts w:ascii="Times New Roman" w:hAnsi="Times New Roman" w:cs="Times New Roman"/>
          <w:sz w:val="24"/>
          <w:szCs w:val="24"/>
        </w:rPr>
        <w:t>BM&amp;F</w:t>
      </w:r>
      <w:proofErr w:type="spellEnd"/>
      <w:r w:rsidRPr="00D71CD1">
        <w:rPr>
          <w:rFonts w:ascii="Times New Roman" w:hAnsi="Times New Roman" w:cs="Times New Roman"/>
          <w:sz w:val="24"/>
          <w:szCs w:val="24"/>
        </w:rPr>
        <w:t xml:space="preserve">. [DVD]. </w:t>
      </w:r>
      <w:r w:rsidRPr="00D71CD1">
        <w:rPr>
          <w:rFonts w:ascii="Times New Roman" w:hAnsi="Times New Roman" w:cs="Times New Roman"/>
          <w:sz w:val="24"/>
          <w:szCs w:val="24"/>
          <w:lang w:val="en-US"/>
        </w:rPr>
        <w:t xml:space="preserve">São Paulo - SP. 2013. </w:t>
      </w:r>
    </w:p>
    <w:p w:rsidR="003F4033" w:rsidRPr="00D71CD1" w:rsidRDefault="004346E0" w:rsidP="00D71CD1">
      <w:pPr>
        <w:autoSpaceDE w:val="0"/>
        <w:autoSpaceDN w:val="0"/>
        <w:adjustRightInd w:val="0"/>
        <w:spacing w:after="0" w:line="240" w:lineRule="auto"/>
        <w:jc w:val="both"/>
        <w:rPr>
          <w:rFonts w:ascii="Times New Roman" w:hAnsi="Times New Roman" w:cs="Times New Roman"/>
          <w:sz w:val="24"/>
          <w:szCs w:val="24"/>
          <w:lang w:val="en-US"/>
        </w:rPr>
      </w:pPr>
      <w:r w:rsidRPr="00D71CD1">
        <w:rPr>
          <w:rFonts w:ascii="Times New Roman" w:hAnsi="Times New Roman" w:cs="Times New Roman"/>
          <w:sz w:val="24"/>
          <w:szCs w:val="24"/>
          <w:lang w:val="en-US"/>
        </w:rPr>
        <w:t xml:space="preserve">BRYANT, H. L.; HAIGH, M. S. </w:t>
      </w:r>
      <w:r w:rsidRPr="00D71CD1">
        <w:rPr>
          <w:rFonts w:ascii="Times New Roman" w:hAnsi="Times New Roman" w:cs="Times New Roman"/>
          <w:b/>
          <w:bCs/>
          <w:sz w:val="24"/>
          <w:szCs w:val="24"/>
          <w:lang w:val="en-US"/>
        </w:rPr>
        <w:t xml:space="preserve">Bid-Ask Spreads in Commodity Futures Markets. </w:t>
      </w:r>
      <w:proofErr w:type="gramStart"/>
      <w:r w:rsidRPr="00D71CD1">
        <w:rPr>
          <w:rFonts w:ascii="Times New Roman" w:hAnsi="Times New Roman" w:cs="Times New Roman"/>
          <w:sz w:val="24"/>
          <w:szCs w:val="24"/>
          <w:lang w:val="en-US"/>
        </w:rPr>
        <w:t>Department of Agricultural and Resource Economics.</w:t>
      </w:r>
      <w:proofErr w:type="gramEnd"/>
      <w:r w:rsidRPr="00D71CD1">
        <w:rPr>
          <w:rFonts w:ascii="Times New Roman" w:hAnsi="Times New Roman" w:cs="Times New Roman"/>
          <w:sz w:val="24"/>
          <w:szCs w:val="24"/>
          <w:lang w:val="en-US"/>
        </w:rPr>
        <w:t xml:space="preserve"> </w:t>
      </w:r>
      <w:proofErr w:type="gramStart"/>
      <w:r w:rsidRPr="00D71CD1">
        <w:rPr>
          <w:rFonts w:ascii="Times New Roman" w:hAnsi="Times New Roman" w:cs="Times New Roman"/>
          <w:sz w:val="24"/>
          <w:szCs w:val="24"/>
          <w:lang w:val="en-US"/>
        </w:rPr>
        <w:t>The University of Maryland, College Park.</w:t>
      </w:r>
      <w:proofErr w:type="gramEnd"/>
      <w:r w:rsidRPr="00D71CD1">
        <w:rPr>
          <w:rFonts w:ascii="Times New Roman" w:hAnsi="Times New Roman" w:cs="Times New Roman"/>
          <w:sz w:val="24"/>
          <w:szCs w:val="24"/>
          <w:lang w:val="en-US"/>
        </w:rPr>
        <w:t xml:space="preserve"> 2002.</w:t>
      </w:r>
    </w:p>
    <w:p w:rsidR="003F4033" w:rsidRPr="00D71CD1" w:rsidRDefault="004346E0" w:rsidP="00D71CD1">
      <w:pPr>
        <w:autoSpaceDE w:val="0"/>
        <w:autoSpaceDN w:val="0"/>
        <w:adjustRightInd w:val="0"/>
        <w:spacing w:after="0" w:line="240" w:lineRule="auto"/>
        <w:jc w:val="both"/>
        <w:rPr>
          <w:rFonts w:ascii="Times New Roman" w:hAnsi="Times New Roman" w:cs="Times New Roman"/>
          <w:iCs/>
          <w:sz w:val="24"/>
          <w:szCs w:val="24"/>
          <w:lang w:val="en-US"/>
        </w:rPr>
      </w:pPr>
      <w:r w:rsidRPr="00D71CD1">
        <w:rPr>
          <w:rFonts w:ascii="Times New Roman" w:hAnsi="Times New Roman" w:cs="Times New Roman"/>
          <w:sz w:val="24"/>
          <w:szCs w:val="24"/>
          <w:lang w:val="en-US"/>
        </w:rPr>
        <w:t xml:space="preserve">BRYANT, H. L.; HAIGH, M. S. </w:t>
      </w:r>
      <w:r w:rsidRPr="00D71CD1">
        <w:rPr>
          <w:rFonts w:ascii="Times New Roman" w:hAnsi="Times New Roman" w:cs="Times New Roman"/>
          <w:bCs/>
          <w:sz w:val="24"/>
          <w:szCs w:val="24"/>
          <w:lang w:val="en-US"/>
        </w:rPr>
        <w:t xml:space="preserve">Estimating Actual Bid-Ask Spreads in Commodity Futures Markets. </w:t>
      </w:r>
      <w:proofErr w:type="gramStart"/>
      <w:r w:rsidRPr="00D71CD1">
        <w:rPr>
          <w:rFonts w:ascii="Times New Roman" w:hAnsi="Times New Roman" w:cs="Times New Roman"/>
          <w:sz w:val="24"/>
          <w:szCs w:val="24"/>
          <w:lang w:val="en-US"/>
        </w:rPr>
        <w:t>Department of Agricultural Economics, Texas A&amp;M University.</w:t>
      </w:r>
      <w:proofErr w:type="gramEnd"/>
      <w:r w:rsidRPr="00D71CD1">
        <w:rPr>
          <w:rFonts w:ascii="Times New Roman" w:hAnsi="Times New Roman" w:cs="Times New Roman"/>
          <w:sz w:val="24"/>
          <w:szCs w:val="24"/>
          <w:lang w:val="en-US"/>
        </w:rPr>
        <w:t xml:space="preserve"> </w:t>
      </w:r>
      <w:proofErr w:type="gramStart"/>
      <w:r w:rsidRPr="00D71CD1">
        <w:rPr>
          <w:rFonts w:ascii="Times New Roman" w:hAnsi="Times New Roman" w:cs="Times New Roman"/>
          <w:b/>
          <w:iCs/>
          <w:sz w:val="24"/>
          <w:szCs w:val="24"/>
          <w:lang w:val="en-US"/>
        </w:rPr>
        <w:t>Paper presented at the annual meeting of the American Agricultural Economics Association Chicago</w:t>
      </w:r>
      <w:r w:rsidRPr="00D71CD1">
        <w:rPr>
          <w:rFonts w:ascii="Times New Roman" w:hAnsi="Times New Roman" w:cs="Times New Roman"/>
          <w:iCs/>
          <w:sz w:val="24"/>
          <w:szCs w:val="24"/>
          <w:lang w:val="en-US"/>
        </w:rPr>
        <w:t>, Illinois, Aug. 5-8, 2001.</w:t>
      </w:r>
      <w:proofErr w:type="gramEnd"/>
    </w:p>
    <w:p w:rsidR="003F4033" w:rsidRDefault="004346E0" w:rsidP="00D71CD1">
      <w:pPr>
        <w:autoSpaceDE w:val="0"/>
        <w:autoSpaceDN w:val="0"/>
        <w:adjustRightInd w:val="0"/>
        <w:spacing w:after="0" w:line="240" w:lineRule="auto"/>
        <w:jc w:val="both"/>
        <w:rPr>
          <w:rFonts w:ascii="Times New Roman" w:hAnsi="Times New Roman" w:cs="Times New Roman"/>
          <w:sz w:val="24"/>
          <w:szCs w:val="24"/>
          <w:lang w:val="en-US"/>
        </w:rPr>
      </w:pPr>
      <w:r w:rsidRPr="00D71CD1">
        <w:rPr>
          <w:rFonts w:ascii="Times New Roman" w:hAnsi="Times New Roman" w:cs="Times New Roman"/>
          <w:sz w:val="24"/>
          <w:szCs w:val="24"/>
          <w:lang w:val="en-US"/>
        </w:rPr>
        <w:t>CHU, Q. C., DING, D. K.</w:t>
      </w:r>
      <w:proofErr w:type="gramStart"/>
      <w:r w:rsidRPr="00D71CD1">
        <w:rPr>
          <w:rFonts w:ascii="Times New Roman" w:hAnsi="Times New Roman" w:cs="Times New Roman"/>
          <w:sz w:val="24"/>
          <w:szCs w:val="24"/>
          <w:lang w:val="en-US"/>
        </w:rPr>
        <w:t>,  PYUN</w:t>
      </w:r>
      <w:proofErr w:type="gramEnd"/>
      <w:r w:rsidRPr="00D71CD1">
        <w:rPr>
          <w:rFonts w:ascii="Times New Roman" w:hAnsi="Times New Roman" w:cs="Times New Roman"/>
          <w:sz w:val="24"/>
          <w:szCs w:val="24"/>
          <w:lang w:val="en-US"/>
        </w:rPr>
        <w:t xml:space="preserve">, C. S.: Bid –Ask and Spreads in the Foreign Exchange Market. </w:t>
      </w:r>
      <w:proofErr w:type="gramStart"/>
      <w:r w:rsidRPr="00D71CD1">
        <w:rPr>
          <w:rFonts w:ascii="Times New Roman" w:hAnsi="Times New Roman" w:cs="Times New Roman"/>
          <w:b/>
          <w:sz w:val="24"/>
          <w:szCs w:val="24"/>
          <w:lang w:val="en-US"/>
        </w:rPr>
        <w:t>Review of Quantitative Finance and Accounting.</w:t>
      </w:r>
      <w:proofErr w:type="gramEnd"/>
      <w:r w:rsidRPr="00D71CD1">
        <w:rPr>
          <w:rFonts w:ascii="Times New Roman" w:hAnsi="Times New Roman" w:cs="Times New Roman"/>
          <w:sz w:val="24"/>
          <w:szCs w:val="24"/>
          <w:lang w:val="en-US"/>
        </w:rPr>
        <w:t xml:space="preserve"> v. 6, p. 19-37. 1996.</w:t>
      </w:r>
    </w:p>
    <w:p w:rsidR="005141D9" w:rsidRPr="005141D9" w:rsidRDefault="005141D9" w:rsidP="005141D9">
      <w:pPr>
        <w:autoSpaceDE w:val="0"/>
        <w:autoSpaceDN w:val="0"/>
        <w:adjustRightInd w:val="0"/>
        <w:spacing w:after="0" w:line="240" w:lineRule="auto"/>
        <w:jc w:val="both"/>
        <w:rPr>
          <w:rFonts w:ascii="Times New Roman" w:hAnsi="Times New Roman" w:cs="Times New Roman"/>
          <w:sz w:val="24"/>
          <w:szCs w:val="24"/>
        </w:rPr>
      </w:pPr>
      <w:r w:rsidRPr="005141D9">
        <w:rPr>
          <w:rFonts w:ascii="Times New Roman" w:hAnsi="Times New Roman" w:cs="Times New Roman"/>
          <w:sz w:val="24"/>
          <w:szCs w:val="24"/>
          <w:lang w:val="en-US"/>
        </w:rPr>
        <w:t>CME G</w:t>
      </w:r>
      <w:r>
        <w:rPr>
          <w:rFonts w:ascii="Times New Roman" w:hAnsi="Times New Roman" w:cs="Times New Roman"/>
          <w:sz w:val="24"/>
          <w:szCs w:val="24"/>
          <w:lang w:val="en-US"/>
        </w:rPr>
        <w:t>ROUP</w:t>
      </w:r>
      <w:r w:rsidRPr="005141D9">
        <w:rPr>
          <w:rFonts w:ascii="Times New Roman" w:hAnsi="Times New Roman" w:cs="Times New Roman"/>
          <w:sz w:val="24"/>
          <w:szCs w:val="24"/>
          <w:lang w:val="en-US"/>
        </w:rPr>
        <w:t xml:space="preserve"> - </w:t>
      </w:r>
      <w:r w:rsidRPr="005141D9">
        <w:rPr>
          <w:rStyle w:val="Forte"/>
          <w:rFonts w:ascii="Times New Roman" w:hAnsi="Times New Roman" w:cs="Times New Roman"/>
          <w:sz w:val="24"/>
          <w:szCs w:val="24"/>
          <w:lang w:val="en-US"/>
        </w:rPr>
        <w:t>Number of agricultural contracts traded on exchanges.</w:t>
      </w:r>
      <w:r>
        <w:rPr>
          <w:rStyle w:val="Forte"/>
          <w:rFonts w:ascii="Times New Roman" w:hAnsi="Times New Roman" w:cs="Times New Roman"/>
          <w:sz w:val="24"/>
          <w:szCs w:val="24"/>
          <w:lang w:val="en-US"/>
        </w:rPr>
        <w:t xml:space="preserve"> </w:t>
      </w:r>
      <w:r w:rsidRPr="005141D9">
        <w:rPr>
          <w:rStyle w:val="Forte"/>
          <w:rFonts w:ascii="Times New Roman" w:hAnsi="Times New Roman" w:cs="Times New Roman"/>
          <w:b w:val="0"/>
          <w:sz w:val="24"/>
          <w:szCs w:val="24"/>
          <w:lang w:val="en-US"/>
        </w:rPr>
        <w:t>2009.</w:t>
      </w:r>
      <w:r w:rsidRPr="005141D9">
        <w:rPr>
          <w:rStyle w:val="Forte"/>
          <w:rFonts w:ascii="Times New Roman" w:hAnsi="Times New Roman" w:cs="Times New Roman"/>
          <w:sz w:val="24"/>
          <w:szCs w:val="24"/>
          <w:lang w:val="en-US"/>
        </w:rPr>
        <w:t xml:space="preserve"> </w:t>
      </w:r>
      <w:proofErr w:type="spellStart"/>
      <w:r w:rsidRPr="005141D9">
        <w:rPr>
          <w:rStyle w:val="Forte"/>
          <w:rFonts w:ascii="Times New Roman" w:hAnsi="Times New Roman" w:cs="Times New Roman"/>
          <w:b w:val="0"/>
          <w:sz w:val="24"/>
          <w:szCs w:val="24"/>
          <w:lang w:val="en-US"/>
        </w:rPr>
        <w:t>Disponível</w:t>
      </w:r>
      <w:proofErr w:type="spellEnd"/>
      <w:r w:rsidRPr="005141D9">
        <w:rPr>
          <w:rStyle w:val="Forte"/>
          <w:rFonts w:ascii="Times New Roman" w:hAnsi="Times New Roman" w:cs="Times New Roman"/>
          <w:b w:val="0"/>
          <w:sz w:val="24"/>
          <w:szCs w:val="24"/>
          <w:lang w:val="en-US"/>
        </w:rPr>
        <w:t xml:space="preserve"> </w:t>
      </w:r>
      <w:proofErr w:type="spellStart"/>
      <w:r w:rsidRPr="005141D9">
        <w:rPr>
          <w:rStyle w:val="Forte"/>
          <w:rFonts w:ascii="Times New Roman" w:hAnsi="Times New Roman" w:cs="Times New Roman"/>
          <w:b w:val="0"/>
          <w:sz w:val="24"/>
          <w:szCs w:val="24"/>
          <w:lang w:val="en-US"/>
        </w:rPr>
        <w:t>em</w:t>
      </w:r>
      <w:proofErr w:type="spellEnd"/>
      <w:r w:rsidRPr="005141D9">
        <w:rPr>
          <w:rStyle w:val="Forte"/>
          <w:rFonts w:ascii="Times New Roman" w:hAnsi="Times New Roman" w:cs="Times New Roman"/>
          <w:b w:val="0"/>
          <w:sz w:val="24"/>
          <w:szCs w:val="24"/>
          <w:lang w:val="en-US"/>
        </w:rPr>
        <w:t>:</w:t>
      </w:r>
      <w:r w:rsidRPr="005141D9">
        <w:rPr>
          <w:rStyle w:val="Forte"/>
          <w:rFonts w:ascii="Times New Roman" w:hAnsi="Times New Roman" w:cs="Times New Roman"/>
          <w:sz w:val="24"/>
          <w:szCs w:val="24"/>
          <w:lang w:val="en-US"/>
        </w:rPr>
        <w:t xml:space="preserve"> &lt;</w:t>
      </w:r>
      <w:r w:rsidRPr="005141D9">
        <w:rPr>
          <w:rFonts w:ascii="Times New Roman" w:hAnsi="Times New Roman" w:cs="Times New Roman"/>
          <w:sz w:val="24"/>
          <w:szCs w:val="24"/>
          <w:lang w:val="en-US"/>
        </w:rPr>
        <w:t xml:space="preserve"> </w:t>
      </w:r>
      <w:hyperlink r:id="rId14" w:history="1">
        <w:r w:rsidRPr="005141D9">
          <w:rPr>
            <w:rStyle w:val="Hyperlink"/>
            <w:rFonts w:ascii="Times New Roman" w:hAnsi="Times New Roman" w:cs="Times New Roman"/>
            <w:color w:val="auto"/>
            <w:sz w:val="24"/>
            <w:szCs w:val="24"/>
            <w:u w:val="none"/>
            <w:lang w:val="en-US"/>
          </w:rPr>
          <w:t>http://www.cmegroup.com/</w:t>
        </w:r>
      </w:hyperlink>
      <w:r w:rsidRPr="005141D9">
        <w:rPr>
          <w:rFonts w:ascii="Times New Roman" w:hAnsi="Times New Roman" w:cs="Times New Roman"/>
          <w:sz w:val="24"/>
          <w:szCs w:val="24"/>
          <w:lang w:val="en-US"/>
        </w:rPr>
        <w:t xml:space="preserve">&gt;. </w:t>
      </w:r>
      <w:r w:rsidRPr="005141D9">
        <w:rPr>
          <w:rFonts w:ascii="Times New Roman" w:hAnsi="Times New Roman" w:cs="Times New Roman"/>
          <w:sz w:val="24"/>
          <w:szCs w:val="24"/>
        </w:rPr>
        <w:t xml:space="preserve">Acesso em: </w:t>
      </w:r>
      <w:proofErr w:type="gramStart"/>
      <w:r w:rsidRPr="005141D9">
        <w:rPr>
          <w:rFonts w:ascii="Times New Roman" w:hAnsi="Times New Roman" w:cs="Times New Roman"/>
          <w:sz w:val="24"/>
          <w:szCs w:val="24"/>
        </w:rPr>
        <w:t>5</w:t>
      </w:r>
      <w:proofErr w:type="gramEnd"/>
      <w:r w:rsidRPr="005141D9">
        <w:rPr>
          <w:rFonts w:ascii="Times New Roman" w:hAnsi="Times New Roman" w:cs="Times New Roman"/>
          <w:sz w:val="24"/>
          <w:szCs w:val="24"/>
        </w:rPr>
        <w:t xml:space="preserve"> set. 2012.</w:t>
      </w:r>
    </w:p>
    <w:p w:rsidR="003F4033" w:rsidRPr="00D71CD1" w:rsidRDefault="00A66971" w:rsidP="00D71CD1">
      <w:pPr>
        <w:autoSpaceDE w:val="0"/>
        <w:autoSpaceDN w:val="0"/>
        <w:adjustRightInd w:val="0"/>
        <w:spacing w:after="0" w:line="240" w:lineRule="auto"/>
        <w:jc w:val="both"/>
        <w:rPr>
          <w:rFonts w:ascii="Times New Roman" w:hAnsi="Times New Roman" w:cs="Times New Roman"/>
          <w:sz w:val="24"/>
          <w:szCs w:val="24"/>
        </w:rPr>
      </w:pPr>
      <w:r w:rsidRPr="00D71CD1">
        <w:rPr>
          <w:rFonts w:ascii="Times New Roman" w:hAnsi="Times New Roman" w:cs="Times New Roman"/>
          <w:sz w:val="24"/>
          <w:szCs w:val="24"/>
        </w:rPr>
        <w:t>C</w:t>
      </w:r>
      <w:r w:rsidR="004346E0" w:rsidRPr="00D71CD1">
        <w:rPr>
          <w:rFonts w:ascii="Times New Roman" w:hAnsi="Times New Roman" w:cs="Times New Roman"/>
          <w:sz w:val="24"/>
          <w:szCs w:val="24"/>
        </w:rPr>
        <w:t xml:space="preserve">ONAB – Companhia Nacional de Abastecimento. </w:t>
      </w:r>
      <w:r w:rsidR="004346E0" w:rsidRPr="00D71CD1">
        <w:rPr>
          <w:rFonts w:ascii="Times New Roman" w:hAnsi="Times New Roman" w:cs="Times New Roman"/>
          <w:b/>
          <w:sz w:val="24"/>
          <w:szCs w:val="24"/>
        </w:rPr>
        <w:t>Séries Históricas.</w:t>
      </w:r>
      <w:r w:rsidR="004346E0" w:rsidRPr="00D71CD1">
        <w:rPr>
          <w:rFonts w:ascii="Times New Roman" w:hAnsi="Times New Roman" w:cs="Times New Roman"/>
          <w:sz w:val="24"/>
          <w:szCs w:val="24"/>
        </w:rPr>
        <w:t xml:space="preserve"> Disponível em:</w:t>
      </w:r>
      <w:proofErr w:type="gramStart"/>
      <w:r w:rsidR="004346E0" w:rsidRPr="00D71CD1">
        <w:rPr>
          <w:rFonts w:ascii="Times New Roman" w:hAnsi="Times New Roman" w:cs="Times New Roman"/>
          <w:sz w:val="24"/>
          <w:szCs w:val="24"/>
        </w:rPr>
        <w:t xml:space="preserve">  </w:t>
      </w:r>
      <w:proofErr w:type="gramEnd"/>
      <w:r w:rsidR="004346E0" w:rsidRPr="00D71CD1">
        <w:rPr>
          <w:rFonts w:ascii="Times New Roman" w:hAnsi="Times New Roman" w:cs="Times New Roman"/>
          <w:sz w:val="24"/>
          <w:szCs w:val="24"/>
        </w:rPr>
        <w:t>&lt;</w:t>
      </w:r>
      <w:hyperlink r:id="rId15" w:anchor="A_objcmsconteudos" w:history="1">
        <w:r w:rsidR="004346E0" w:rsidRPr="00D71CD1">
          <w:rPr>
            <w:rStyle w:val="Hyperlink"/>
            <w:rFonts w:ascii="Times New Roman" w:hAnsi="Times New Roman" w:cs="Times New Roman"/>
            <w:color w:val="auto"/>
            <w:sz w:val="24"/>
            <w:szCs w:val="24"/>
            <w:u w:val="none"/>
          </w:rPr>
          <w:t>http://www.conab.gov.br/conteudos.php?a=1252&amp;t=2&amp;Pagina_objcmsconteudos=3#A_objcmsconteudos</w:t>
        </w:r>
      </w:hyperlink>
      <w:r w:rsidR="004346E0" w:rsidRPr="00D71CD1">
        <w:rPr>
          <w:rFonts w:ascii="Times New Roman" w:hAnsi="Times New Roman" w:cs="Times New Roman"/>
          <w:sz w:val="24"/>
          <w:szCs w:val="24"/>
        </w:rPr>
        <w:t>&gt;; Acesso em: 21 mar. 2013.</w:t>
      </w:r>
    </w:p>
    <w:p w:rsidR="003F4033" w:rsidRPr="00D71CD1" w:rsidRDefault="004346E0" w:rsidP="00D71CD1">
      <w:pPr>
        <w:autoSpaceDE w:val="0"/>
        <w:autoSpaceDN w:val="0"/>
        <w:adjustRightInd w:val="0"/>
        <w:spacing w:after="0" w:line="240" w:lineRule="auto"/>
        <w:jc w:val="both"/>
        <w:rPr>
          <w:rFonts w:ascii="Times New Roman" w:hAnsi="Times New Roman" w:cs="Times New Roman"/>
          <w:sz w:val="24"/>
          <w:szCs w:val="24"/>
          <w:lang w:val="en-US"/>
        </w:rPr>
      </w:pPr>
      <w:r w:rsidRPr="00D71CD1">
        <w:rPr>
          <w:rFonts w:ascii="Times New Roman" w:hAnsi="Times New Roman" w:cs="Times New Roman"/>
          <w:sz w:val="24"/>
          <w:szCs w:val="24"/>
          <w:lang w:val="en-US"/>
        </w:rPr>
        <w:t xml:space="preserve">DEMSETZ, H. “The Cost of Transaction”. </w:t>
      </w:r>
      <w:r w:rsidRPr="00D71CD1">
        <w:rPr>
          <w:rFonts w:ascii="Times New Roman" w:hAnsi="Times New Roman" w:cs="Times New Roman"/>
          <w:b/>
          <w:sz w:val="24"/>
          <w:szCs w:val="24"/>
          <w:lang w:val="en-US"/>
        </w:rPr>
        <w:t xml:space="preserve">The </w:t>
      </w:r>
      <w:r w:rsidRPr="00D71CD1">
        <w:rPr>
          <w:rFonts w:ascii="Times New Roman" w:hAnsi="Times New Roman" w:cs="Times New Roman"/>
          <w:b/>
          <w:iCs/>
          <w:sz w:val="24"/>
          <w:szCs w:val="24"/>
          <w:lang w:val="en-US"/>
        </w:rPr>
        <w:t>Quarterly Journal of Economics</w:t>
      </w:r>
      <w:r w:rsidRPr="00D71CD1">
        <w:rPr>
          <w:rFonts w:ascii="Times New Roman" w:hAnsi="Times New Roman" w:cs="Times New Roman"/>
          <w:i/>
          <w:iCs/>
          <w:sz w:val="24"/>
          <w:szCs w:val="24"/>
          <w:lang w:val="en-US"/>
        </w:rPr>
        <w:t xml:space="preserve">, </w:t>
      </w:r>
      <w:r w:rsidRPr="00D71CD1">
        <w:rPr>
          <w:rFonts w:ascii="Times New Roman" w:hAnsi="Times New Roman" w:cs="Times New Roman"/>
          <w:sz w:val="24"/>
          <w:szCs w:val="24"/>
          <w:lang w:val="en-US"/>
        </w:rPr>
        <w:t>v. 82, Nº 1, pp. 33-53, Feb. 1968.</w:t>
      </w:r>
    </w:p>
    <w:p w:rsidR="003F4033" w:rsidRPr="00D71CD1" w:rsidRDefault="004346E0" w:rsidP="00D71CD1">
      <w:pPr>
        <w:autoSpaceDE w:val="0"/>
        <w:autoSpaceDN w:val="0"/>
        <w:adjustRightInd w:val="0"/>
        <w:spacing w:after="0" w:line="240" w:lineRule="auto"/>
        <w:jc w:val="both"/>
        <w:rPr>
          <w:rFonts w:ascii="Times New Roman" w:hAnsi="Times New Roman" w:cs="Times New Roman"/>
          <w:sz w:val="24"/>
          <w:szCs w:val="24"/>
          <w:lang w:val="en-US"/>
        </w:rPr>
      </w:pPr>
      <w:proofErr w:type="gramStart"/>
      <w:r w:rsidRPr="00D71CD1">
        <w:rPr>
          <w:rFonts w:ascii="Times New Roman" w:hAnsi="Times New Roman" w:cs="Times New Roman"/>
          <w:sz w:val="24"/>
          <w:szCs w:val="24"/>
          <w:lang w:val="en-US"/>
        </w:rPr>
        <w:lastRenderedPageBreak/>
        <w:t xml:space="preserve">FAGAN, S. </w:t>
      </w:r>
      <w:r w:rsidRPr="00D71CD1">
        <w:rPr>
          <w:rFonts w:ascii="Times New Roman" w:hAnsi="Times New Roman" w:cs="Times New Roman"/>
          <w:b/>
          <w:sz w:val="24"/>
          <w:szCs w:val="24"/>
          <w:lang w:val="en-US"/>
        </w:rPr>
        <w:t>Large Traders and Liquidity in Futures Markets.</w:t>
      </w:r>
      <w:proofErr w:type="gramEnd"/>
      <w:r w:rsidRPr="00D71CD1">
        <w:rPr>
          <w:rFonts w:ascii="Times New Roman" w:hAnsi="Times New Roman" w:cs="Times New Roman"/>
          <w:b/>
          <w:sz w:val="24"/>
          <w:szCs w:val="24"/>
          <w:lang w:val="en-US"/>
        </w:rPr>
        <w:t xml:space="preserve"> </w:t>
      </w:r>
      <w:proofErr w:type="gramStart"/>
      <w:r w:rsidRPr="00D71CD1">
        <w:rPr>
          <w:rFonts w:ascii="Times New Roman" w:hAnsi="Times New Roman" w:cs="Times New Roman"/>
          <w:sz w:val="24"/>
          <w:szCs w:val="24"/>
          <w:lang w:val="en-US"/>
        </w:rPr>
        <w:t>Job Market Paper.</w:t>
      </w:r>
      <w:proofErr w:type="gramEnd"/>
      <w:r w:rsidRPr="00D71CD1">
        <w:rPr>
          <w:rFonts w:ascii="Times New Roman" w:hAnsi="Times New Roman" w:cs="Times New Roman"/>
          <w:sz w:val="24"/>
          <w:szCs w:val="24"/>
          <w:lang w:val="en-US"/>
        </w:rPr>
        <w:t xml:space="preserve"> Department of Economics, Simon Fraser University, University Drive, Burnaby, British Columbia, Canada, v. 5, 2010.</w:t>
      </w:r>
    </w:p>
    <w:p w:rsidR="003F4033" w:rsidRPr="00D71CD1" w:rsidRDefault="004346E0" w:rsidP="00D71CD1">
      <w:pPr>
        <w:autoSpaceDE w:val="0"/>
        <w:autoSpaceDN w:val="0"/>
        <w:adjustRightInd w:val="0"/>
        <w:spacing w:after="0" w:line="240" w:lineRule="auto"/>
        <w:jc w:val="both"/>
        <w:rPr>
          <w:rFonts w:ascii="Times New Roman" w:hAnsi="Times New Roman" w:cs="Times New Roman"/>
          <w:sz w:val="24"/>
          <w:szCs w:val="24"/>
          <w:lang w:val="en-US"/>
        </w:rPr>
      </w:pPr>
      <w:r w:rsidRPr="00D71CD1">
        <w:rPr>
          <w:rFonts w:ascii="Times New Roman" w:hAnsi="Times New Roman" w:cs="Times New Roman"/>
          <w:sz w:val="24"/>
          <w:szCs w:val="24"/>
          <w:lang w:val="en-US"/>
        </w:rPr>
        <w:t xml:space="preserve">FRANK, J.; GARCIA P. </w:t>
      </w:r>
      <w:r w:rsidRPr="00D71CD1">
        <w:rPr>
          <w:rFonts w:ascii="Times New Roman" w:hAnsi="Times New Roman" w:cs="Times New Roman"/>
          <w:bCs/>
          <w:sz w:val="24"/>
          <w:szCs w:val="24"/>
          <w:lang w:val="en-US"/>
        </w:rPr>
        <w:t>Bid-ask spreads, volume, and volatility: Evidence from livestock markets.</w:t>
      </w:r>
      <w:r w:rsidRPr="00D71CD1">
        <w:rPr>
          <w:rFonts w:ascii="Times New Roman" w:hAnsi="Times New Roman" w:cs="Times New Roman"/>
          <w:b/>
          <w:bCs/>
          <w:sz w:val="24"/>
          <w:szCs w:val="24"/>
          <w:lang w:val="en-US"/>
        </w:rPr>
        <w:t xml:space="preserve"> </w:t>
      </w:r>
      <w:r w:rsidRPr="00D71CD1">
        <w:rPr>
          <w:rFonts w:ascii="Times New Roman" w:hAnsi="Times New Roman" w:cs="Times New Roman"/>
          <w:b/>
          <w:iCs/>
          <w:sz w:val="24"/>
          <w:szCs w:val="24"/>
          <w:lang w:val="en-US"/>
        </w:rPr>
        <w:t>American Journal of Agricultural Economics</w:t>
      </w:r>
      <w:r w:rsidRPr="00D71CD1">
        <w:rPr>
          <w:rFonts w:ascii="Times New Roman" w:hAnsi="Times New Roman" w:cs="Times New Roman"/>
          <w:iCs/>
          <w:sz w:val="24"/>
          <w:szCs w:val="24"/>
          <w:lang w:val="en-US"/>
        </w:rPr>
        <w:t xml:space="preserve">, .v. </w:t>
      </w:r>
      <w:r w:rsidRPr="00D71CD1">
        <w:rPr>
          <w:rFonts w:ascii="Times New Roman" w:hAnsi="Times New Roman" w:cs="Times New Roman"/>
          <w:sz w:val="24"/>
          <w:szCs w:val="24"/>
          <w:lang w:val="en-US"/>
        </w:rPr>
        <w:t>93, p. 209–225. Jan. 2010.</w:t>
      </w:r>
    </w:p>
    <w:p w:rsidR="003F4033" w:rsidRPr="00D71CD1" w:rsidRDefault="004346E0" w:rsidP="00D71CD1">
      <w:pPr>
        <w:autoSpaceDE w:val="0"/>
        <w:autoSpaceDN w:val="0"/>
        <w:adjustRightInd w:val="0"/>
        <w:spacing w:after="0" w:line="240" w:lineRule="auto"/>
        <w:jc w:val="both"/>
        <w:rPr>
          <w:rFonts w:ascii="Times New Roman" w:hAnsi="Times New Roman" w:cs="Times New Roman"/>
          <w:iCs/>
          <w:sz w:val="24"/>
          <w:szCs w:val="24"/>
          <w:lang w:val="en-US"/>
        </w:rPr>
      </w:pPr>
      <w:proofErr w:type="gramStart"/>
      <w:r w:rsidRPr="00D71CD1">
        <w:rPr>
          <w:rFonts w:ascii="Times New Roman" w:hAnsi="Times New Roman" w:cs="Times New Roman"/>
          <w:sz w:val="24"/>
          <w:szCs w:val="24"/>
          <w:lang w:val="en-US"/>
        </w:rPr>
        <w:t>FRANK, J.; GARCIA P. Measuring Liquidity Costs in Agricultural Futures Markets.</w:t>
      </w:r>
      <w:proofErr w:type="gramEnd"/>
      <w:r w:rsidRPr="00D71CD1">
        <w:rPr>
          <w:rFonts w:ascii="Times New Roman" w:hAnsi="Times New Roman" w:cs="Times New Roman"/>
          <w:sz w:val="24"/>
          <w:szCs w:val="24"/>
          <w:lang w:val="en-US"/>
        </w:rPr>
        <w:t xml:space="preserve"> </w:t>
      </w:r>
      <w:proofErr w:type="gramStart"/>
      <w:r w:rsidRPr="00D71CD1">
        <w:rPr>
          <w:rFonts w:ascii="Times New Roman" w:hAnsi="Times New Roman" w:cs="Times New Roman"/>
          <w:b/>
          <w:sz w:val="24"/>
          <w:szCs w:val="24"/>
          <w:lang w:val="en-US"/>
        </w:rPr>
        <w:t>Paper presented at the NCCC-134 Conference on Applied Commodity Price Analysis, Forecasting, and Market Risk Management</w:t>
      </w:r>
      <w:r w:rsidRPr="00D71CD1">
        <w:rPr>
          <w:rFonts w:ascii="Times New Roman" w:hAnsi="Times New Roman" w:cs="Times New Roman"/>
          <w:sz w:val="24"/>
          <w:szCs w:val="24"/>
          <w:lang w:val="en-US"/>
        </w:rPr>
        <w:t xml:space="preserve">, </w:t>
      </w:r>
      <w:r w:rsidRPr="00D71CD1">
        <w:rPr>
          <w:rFonts w:ascii="Times New Roman" w:hAnsi="Times New Roman" w:cs="Times New Roman"/>
          <w:iCs/>
          <w:sz w:val="24"/>
          <w:szCs w:val="24"/>
          <w:lang w:val="en-US"/>
        </w:rPr>
        <w:t>Chicago, Illinois, Apr. 16-17, 2007.</w:t>
      </w:r>
      <w:proofErr w:type="gramEnd"/>
    </w:p>
    <w:p w:rsidR="003F4033" w:rsidRPr="00D71CD1" w:rsidRDefault="004346E0" w:rsidP="00D71CD1">
      <w:pPr>
        <w:autoSpaceDE w:val="0"/>
        <w:autoSpaceDN w:val="0"/>
        <w:adjustRightInd w:val="0"/>
        <w:spacing w:after="0" w:line="240" w:lineRule="auto"/>
        <w:jc w:val="both"/>
        <w:rPr>
          <w:rFonts w:ascii="Times New Roman" w:hAnsi="Times New Roman" w:cs="Times New Roman"/>
          <w:sz w:val="24"/>
          <w:szCs w:val="24"/>
          <w:lang w:val="en-US"/>
        </w:rPr>
      </w:pPr>
      <w:proofErr w:type="gramStart"/>
      <w:r w:rsidRPr="00D71CD1">
        <w:rPr>
          <w:rFonts w:ascii="Times New Roman" w:hAnsi="Times New Roman" w:cs="Times New Roman"/>
          <w:sz w:val="24"/>
          <w:szCs w:val="24"/>
          <w:lang w:val="en-US"/>
        </w:rPr>
        <w:t>GWILYM O.; THOMAS S.; An empirical comparison of quoted and implied bid–ask spreads on futures contracts.</w:t>
      </w:r>
      <w:proofErr w:type="gramEnd"/>
      <w:r w:rsidRPr="00D71CD1">
        <w:rPr>
          <w:rFonts w:ascii="Times New Roman" w:hAnsi="Times New Roman" w:cs="Times New Roman"/>
          <w:sz w:val="24"/>
          <w:szCs w:val="24"/>
          <w:lang w:val="en-US"/>
        </w:rPr>
        <w:t xml:space="preserve"> </w:t>
      </w:r>
      <w:r w:rsidRPr="00D71CD1">
        <w:rPr>
          <w:rFonts w:ascii="Times New Roman" w:hAnsi="Times New Roman" w:cs="Times New Roman"/>
          <w:b/>
          <w:sz w:val="24"/>
          <w:szCs w:val="24"/>
          <w:lang w:val="en-US"/>
        </w:rPr>
        <w:t>Journal of International Financial Markets, Institutions and Money,</w:t>
      </w:r>
      <w:r w:rsidRPr="00D71CD1">
        <w:rPr>
          <w:rFonts w:ascii="Times New Roman" w:hAnsi="Times New Roman" w:cs="Times New Roman"/>
          <w:sz w:val="24"/>
          <w:szCs w:val="24"/>
          <w:lang w:val="en-US"/>
        </w:rPr>
        <w:t xml:space="preserve"> v. 12, nº1, p. 81–99. 2002.</w:t>
      </w:r>
    </w:p>
    <w:p w:rsidR="003F4033" w:rsidRPr="00D71CD1" w:rsidRDefault="004346E0" w:rsidP="00D71CD1">
      <w:pPr>
        <w:autoSpaceDE w:val="0"/>
        <w:autoSpaceDN w:val="0"/>
        <w:adjustRightInd w:val="0"/>
        <w:spacing w:after="0" w:line="240" w:lineRule="auto"/>
        <w:jc w:val="both"/>
        <w:rPr>
          <w:rFonts w:ascii="Times New Roman" w:hAnsi="Times New Roman" w:cs="Times New Roman"/>
          <w:sz w:val="24"/>
          <w:szCs w:val="24"/>
        </w:rPr>
      </w:pPr>
      <w:proofErr w:type="gramStart"/>
      <w:r w:rsidRPr="00D71CD1">
        <w:rPr>
          <w:rFonts w:ascii="Times New Roman" w:hAnsi="Times New Roman" w:cs="Times New Roman"/>
          <w:sz w:val="24"/>
          <w:szCs w:val="24"/>
          <w:lang w:val="en-US"/>
        </w:rPr>
        <w:t xml:space="preserve">HANSEN, L. P. </w:t>
      </w:r>
      <w:r w:rsidRPr="00D71CD1">
        <w:rPr>
          <w:rFonts w:ascii="Times New Roman" w:hAnsi="Times New Roman" w:cs="Times New Roman"/>
          <w:b/>
          <w:sz w:val="24"/>
          <w:szCs w:val="24"/>
          <w:lang w:val="en-US"/>
        </w:rPr>
        <w:t>Large Sample Properties of Generalized Method of Moments Estimators.</w:t>
      </w:r>
      <w:proofErr w:type="gramEnd"/>
      <w:r w:rsidRPr="00D71CD1">
        <w:rPr>
          <w:rFonts w:ascii="Times New Roman" w:hAnsi="Times New Roman" w:cs="Times New Roman"/>
          <w:b/>
          <w:sz w:val="24"/>
          <w:szCs w:val="24"/>
          <w:lang w:val="en-US"/>
        </w:rPr>
        <w:t xml:space="preserve"> </w:t>
      </w:r>
      <w:proofErr w:type="spellStart"/>
      <w:r w:rsidRPr="00D71CD1">
        <w:rPr>
          <w:rFonts w:ascii="Times New Roman" w:hAnsi="Times New Roman" w:cs="Times New Roman"/>
          <w:sz w:val="24"/>
          <w:szCs w:val="24"/>
        </w:rPr>
        <w:t>Econometrica</w:t>
      </w:r>
      <w:proofErr w:type="spellEnd"/>
      <w:r w:rsidRPr="00D71CD1">
        <w:rPr>
          <w:rFonts w:ascii="Times New Roman" w:hAnsi="Times New Roman" w:cs="Times New Roman"/>
          <w:sz w:val="24"/>
          <w:szCs w:val="24"/>
        </w:rPr>
        <w:t xml:space="preserve">, vol. 50, Nº 4, pag. 1029-1054, jul. de 1982. </w:t>
      </w:r>
    </w:p>
    <w:p w:rsidR="003F4033" w:rsidRPr="00D71CD1" w:rsidRDefault="004346E0" w:rsidP="00D71CD1">
      <w:pPr>
        <w:autoSpaceDE w:val="0"/>
        <w:autoSpaceDN w:val="0"/>
        <w:adjustRightInd w:val="0"/>
        <w:spacing w:after="0" w:line="240" w:lineRule="auto"/>
        <w:jc w:val="both"/>
        <w:rPr>
          <w:rFonts w:ascii="Times New Roman" w:hAnsi="Times New Roman" w:cs="Times New Roman"/>
          <w:sz w:val="24"/>
          <w:szCs w:val="24"/>
        </w:rPr>
      </w:pPr>
      <w:r w:rsidRPr="00D71CD1">
        <w:rPr>
          <w:rFonts w:ascii="Times New Roman" w:hAnsi="Times New Roman" w:cs="Times New Roman"/>
          <w:sz w:val="24"/>
          <w:szCs w:val="24"/>
        </w:rPr>
        <w:t xml:space="preserve">INSTITUTO INTERAMERICANO DE COOPERAÇÃO PARA A AGRICULTURA - IICA.  </w:t>
      </w:r>
      <w:r w:rsidRPr="00D71CD1">
        <w:rPr>
          <w:rFonts w:ascii="Times New Roman" w:hAnsi="Times New Roman" w:cs="Times New Roman"/>
          <w:b/>
          <w:sz w:val="24"/>
          <w:szCs w:val="24"/>
        </w:rPr>
        <w:t>Aumento do preço de produtos agrícolas é temporário.</w:t>
      </w:r>
      <w:r w:rsidRPr="00D71CD1">
        <w:rPr>
          <w:rFonts w:ascii="Times New Roman" w:hAnsi="Times New Roman" w:cs="Times New Roman"/>
          <w:sz w:val="24"/>
          <w:szCs w:val="24"/>
        </w:rPr>
        <w:t xml:space="preserve"> Disponível em: &lt;</w:t>
      </w:r>
      <w:hyperlink r:id="rId16" w:history="1">
        <w:r w:rsidRPr="00D71CD1">
          <w:rPr>
            <w:rStyle w:val="Hyperlink"/>
            <w:rFonts w:ascii="Times New Roman" w:hAnsi="Times New Roman" w:cs="Times New Roman"/>
            <w:color w:val="auto"/>
            <w:sz w:val="24"/>
            <w:szCs w:val="24"/>
            <w:u w:val="none"/>
          </w:rPr>
          <w:t xml:space="preserve">http://www.iica.int/Esp/regiones/sur/brasil/Lists/Noticias/Disp </w:t>
        </w:r>
        <w:proofErr w:type="spellStart"/>
        <w:r w:rsidRPr="00D71CD1">
          <w:rPr>
            <w:rStyle w:val="Hyperlink"/>
            <w:rFonts w:ascii="Times New Roman" w:hAnsi="Times New Roman" w:cs="Times New Roman"/>
            <w:color w:val="auto"/>
            <w:sz w:val="24"/>
            <w:szCs w:val="24"/>
            <w:u w:val="none"/>
          </w:rPr>
          <w:t>Form.aspx?ID=548</w:t>
        </w:r>
      </w:hyperlink>
      <w:r w:rsidRPr="00D71CD1">
        <w:rPr>
          <w:rFonts w:ascii="Times New Roman" w:hAnsi="Times New Roman" w:cs="Times New Roman"/>
          <w:sz w:val="24"/>
          <w:szCs w:val="24"/>
        </w:rPr>
        <w:t>&gt;;</w:t>
      </w:r>
      <w:proofErr w:type="spellEnd"/>
      <w:r w:rsidRPr="00D71CD1">
        <w:rPr>
          <w:rFonts w:ascii="Times New Roman" w:hAnsi="Times New Roman" w:cs="Times New Roman"/>
          <w:sz w:val="24"/>
          <w:szCs w:val="24"/>
        </w:rPr>
        <w:t xml:space="preserve"> Acesso </w:t>
      </w:r>
      <w:r w:rsidR="00A66971" w:rsidRPr="00D71CD1">
        <w:rPr>
          <w:rFonts w:ascii="Times New Roman" w:hAnsi="Times New Roman" w:cs="Times New Roman"/>
          <w:sz w:val="24"/>
          <w:szCs w:val="24"/>
        </w:rPr>
        <w:t>e</w:t>
      </w:r>
      <w:r w:rsidRPr="00D71CD1">
        <w:rPr>
          <w:rFonts w:ascii="Times New Roman" w:hAnsi="Times New Roman" w:cs="Times New Roman"/>
          <w:sz w:val="24"/>
          <w:szCs w:val="24"/>
        </w:rPr>
        <w:t>m junho de 2013.</w:t>
      </w:r>
    </w:p>
    <w:p w:rsidR="003F4033" w:rsidRPr="00D71CD1" w:rsidRDefault="004346E0" w:rsidP="00D71CD1">
      <w:pPr>
        <w:autoSpaceDE w:val="0"/>
        <w:autoSpaceDN w:val="0"/>
        <w:adjustRightInd w:val="0"/>
        <w:spacing w:after="0" w:line="240" w:lineRule="auto"/>
        <w:jc w:val="both"/>
        <w:rPr>
          <w:rFonts w:ascii="Times New Roman" w:hAnsi="Times New Roman" w:cs="Times New Roman"/>
          <w:sz w:val="24"/>
          <w:szCs w:val="24"/>
        </w:rPr>
      </w:pPr>
      <w:r w:rsidRPr="00D71CD1">
        <w:rPr>
          <w:rFonts w:ascii="Times New Roman" w:hAnsi="Times New Roman" w:cs="Times New Roman"/>
          <w:sz w:val="24"/>
          <w:szCs w:val="24"/>
        </w:rPr>
        <w:t xml:space="preserve">LAZZARINI, S. G.; ZYLBERSZTAJN, </w:t>
      </w:r>
      <w:proofErr w:type="gramStart"/>
      <w:r w:rsidRPr="00D71CD1">
        <w:rPr>
          <w:rFonts w:ascii="Times New Roman" w:hAnsi="Times New Roman" w:cs="Times New Roman"/>
          <w:sz w:val="24"/>
          <w:szCs w:val="24"/>
        </w:rPr>
        <w:t>D.</w:t>
      </w:r>
      <w:proofErr w:type="gramEnd"/>
      <w:r w:rsidRPr="00D71CD1">
        <w:rPr>
          <w:rFonts w:ascii="Times New Roman" w:hAnsi="Times New Roman" w:cs="Times New Roman"/>
          <w:sz w:val="24"/>
          <w:szCs w:val="24"/>
        </w:rPr>
        <w:t xml:space="preserve">; TAKAKI, F. S. Inovações Contratuais em Mercados Futuros: o Caso do Boi Gordo na </w:t>
      </w:r>
      <w:proofErr w:type="spellStart"/>
      <w:r w:rsidRPr="00D71CD1">
        <w:rPr>
          <w:rFonts w:ascii="Times New Roman" w:hAnsi="Times New Roman" w:cs="Times New Roman"/>
          <w:sz w:val="24"/>
          <w:szCs w:val="24"/>
        </w:rPr>
        <w:t>BM&amp;F</w:t>
      </w:r>
      <w:proofErr w:type="spellEnd"/>
      <w:r w:rsidRPr="00D71CD1">
        <w:rPr>
          <w:rFonts w:ascii="Times New Roman" w:hAnsi="Times New Roman" w:cs="Times New Roman"/>
          <w:sz w:val="24"/>
          <w:szCs w:val="24"/>
        </w:rPr>
        <w:t xml:space="preserve">. </w:t>
      </w:r>
      <w:r w:rsidRPr="00D71CD1">
        <w:rPr>
          <w:rFonts w:ascii="Times New Roman" w:hAnsi="Times New Roman" w:cs="Times New Roman"/>
          <w:b/>
          <w:sz w:val="24"/>
          <w:szCs w:val="24"/>
        </w:rPr>
        <w:t>Revista de Administração Contemporânea</w:t>
      </w:r>
      <w:r w:rsidRPr="00D71CD1">
        <w:rPr>
          <w:rFonts w:ascii="Times New Roman" w:hAnsi="Times New Roman" w:cs="Times New Roman"/>
          <w:sz w:val="24"/>
          <w:szCs w:val="24"/>
        </w:rPr>
        <w:t>, v.2, n.3, p. 07-26, Set./Dez. 1998.</w:t>
      </w:r>
    </w:p>
    <w:p w:rsidR="003F4033" w:rsidRPr="00D71CD1" w:rsidRDefault="004346E0" w:rsidP="00D71CD1">
      <w:pPr>
        <w:autoSpaceDE w:val="0"/>
        <w:autoSpaceDN w:val="0"/>
        <w:adjustRightInd w:val="0"/>
        <w:spacing w:after="0" w:line="240" w:lineRule="auto"/>
        <w:jc w:val="both"/>
        <w:rPr>
          <w:rFonts w:ascii="Times New Roman" w:hAnsi="Times New Roman" w:cs="Times New Roman"/>
          <w:sz w:val="24"/>
          <w:szCs w:val="24"/>
          <w:lang w:val="en-US"/>
        </w:rPr>
      </w:pPr>
      <w:proofErr w:type="gramStart"/>
      <w:r w:rsidRPr="00D71CD1">
        <w:rPr>
          <w:rFonts w:ascii="Times New Roman" w:hAnsi="Times New Roman" w:cs="Times New Roman"/>
          <w:sz w:val="24"/>
          <w:szCs w:val="24"/>
          <w:lang w:val="en-US"/>
        </w:rPr>
        <w:t>ROLL, R.</w:t>
      </w:r>
      <w:proofErr w:type="gramEnd"/>
      <w:r w:rsidRPr="00D71CD1">
        <w:rPr>
          <w:rFonts w:ascii="Times New Roman" w:hAnsi="Times New Roman" w:cs="Times New Roman"/>
          <w:sz w:val="24"/>
          <w:szCs w:val="24"/>
          <w:lang w:val="en-US"/>
        </w:rPr>
        <w:t xml:space="preserve"> A Simple Measure of the Effective Bid-Ask Spread in an Efficient Market. </w:t>
      </w:r>
      <w:proofErr w:type="gramStart"/>
      <w:r w:rsidRPr="00D71CD1">
        <w:rPr>
          <w:rFonts w:ascii="Times New Roman" w:hAnsi="Times New Roman" w:cs="Times New Roman"/>
          <w:b/>
          <w:sz w:val="24"/>
          <w:szCs w:val="24"/>
          <w:lang w:val="en-US"/>
        </w:rPr>
        <w:t>The Journal of Finance</w:t>
      </w:r>
      <w:r w:rsidRPr="00D71CD1">
        <w:rPr>
          <w:rFonts w:ascii="Times New Roman" w:hAnsi="Times New Roman" w:cs="Times New Roman"/>
          <w:sz w:val="24"/>
          <w:szCs w:val="24"/>
          <w:lang w:val="en-US"/>
        </w:rPr>
        <w:t>, v. 39, nº.</w:t>
      </w:r>
      <w:proofErr w:type="gramEnd"/>
      <w:r w:rsidRPr="00D71CD1">
        <w:rPr>
          <w:rFonts w:ascii="Times New Roman" w:hAnsi="Times New Roman" w:cs="Times New Roman"/>
          <w:sz w:val="24"/>
          <w:szCs w:val="24"/>
          <w:lang w:val="en-US"/>
        </w:rPr>
        <w:t xml:space="preserve"> 4. p. 1127-1139. Sep. 1984.</w:t>
      </w:r>
    </w:p>
    <w:p w:rsidR="003F4033" w:rsidRPr="00D71CD1" w:rsidRDefault="004346E0" w:rsidP="00D71CD1">
      <w:pPr>
        <w:autoSpaceDE w:val="0"/>
        <w:autoSpaceDN w:val="0"/>
        <w:adjustRightInd w:val="0"/>
        <w:spacing w:after="0" w:line="240" w:lineRule="auto"/>
        <w:jc w:val="both"/>
        <w:rPr>
          <w:rFonts w:ascii="Times New Roman" w:hAnsi="Times New Roman" w:cs="Times New Roman"/>
          <w:sz w:val="24"/>
          <w:szCs w:val="24"/>
          <w:lang w:val="en-US"/>
        </w:rPr>
      </w:pPr>
      <w:r w:rsidRPr="00D71CD1">
        <w:rPr>
          <w:rFonts w:ascii="Times New Roman" w:hAnsi="Times New Roman" w:cs="Times New Roman"/>
          <w:sz w:val="24"/>
          <w:szCs w:val="24"/>
          <w:lang w:val="en-US"/>
        </w:rPr>
        <w:t>SHAH, S., BRORSEN, B. W., and ANDERSON, K. B. Effective Bid-Ask Spreads in Futures versus Futures Options.</w:t>
      </w:r>
      <w:r w:rsidRPr="00D71CD1">
        <w:rPr>
          <w:rFonts w:ascii="Times New Roman" w:hAnsi="Times New Roman" w:cs="Times New Roman"/>
          <w:b/>
          <w:sz w:val="24"/>
          <w:szCs w:val="24"/>
          <w:lang w:val="en-US"/>
        </w:rPr>
        <w:t xml:space="preserve"> Journal of Agricultural and Resource Economics </w:t>
      </w:r>
      <w:r w:rsidRPr="00D71CD1">
        <w:rPr>
          <w:rFonts w:ascii="Times New Roman" w:hAnsi="Times New Roman" w:cs="Times New Roman"/>
          <w:sz w:val="24"/>
          <w:szCs w:val="24"/>
          <w:lang w:val="en-US"/>
        </w:rPr>
        <w:t>37(3):455–468. December, 2012.</w:t>
      </w:r>
      <w:r w:rsidRPr="00D71CD1">
        <w:rPr>
          <w:rFonts w:ascii="Times New Roman" w:hAnsi="Times New Roman" w:cs="Times New Roman"/>
          <w:b/>
          <w:sz w:val="24"/>
          <w:szCs w:val="24"/>
          <w:lang w:val="en-US"/>
        </w:rPr>
        <w:t xml:space="preserve"> </w:t>
      </w:r>
    </w:p>
    <w:p w:rsidR="003F4033" w:rsidRPr="00D71CD1" w:rsidRDefault="004346E0" w:rsidP="00D71CD1">
      <w:pPr>
        <w:autoSpaceDE w:val="0"/>
        <w:autoSpaceDN w:val="0"/>
        <w:adjustRightInd w:val="0"/>
        <w:spacing w:after="0" w:line="240" w:lineRule="auto"/>
        <w:jc w:val="both"/>
        <w:rPr>
          <w:rFonts w:ascii="Times New Roman" w:hAnsi="Times New Roman" w:cs="Times New Roman"/>
          <w:sz w:val="24"/>
          <w:szCs w:val="24"/>
          <w:lang w:val="en-US"/>
        </w:rPr>
      </w:pPr>
      <w:r w:rsidRPr="00D71CD1">
        <w:rPr>
          <w:rFonts w:ascii="Times New Roman" w:hAnsi="Times New Roman" w:cs="Times New Roman"/>
          <w:sz w:val="24"/>
          <w:szCs w:val="24"/>
          <w:lang w:val="en-US"/>
        </w:rPr>
        <w:t xml:space="preserve">SHAH, S., BRORSEN, B. W., and ANDERSON, K. B. </w:t>
      </w:r>
      <w:r w:rsidRPr="00D71CD1">
        <w:rPr>
          <w:rFonts w:ascii="Times New Roman" w:hAnsi="Times New Roman" w:cs="Times New Roman"/>
          <w:b/>
          <w:sz w:val="24"/>
          <w:szCs w:val="24"/>
          <w:lang w:val="en-US"/>
        </w:rPr>
        <w:t>Liquidity Costs in Futures Options Markets.</w:t>
      </w:r>
      <w:r w:rsidRPr="00D71CD1">
        <w:rPr>
          <w:rFonts w:ascii="Times New Roman" w:hAnsi="Times New Roman" w:cs="Times New Roman"/>
          <w:sz w:val="24"/>
          <w:szCs w:val="24"/>
          <w:lang w:val="en-US"/>
        </w:rPr>
        <w:t xml:space="preserve"> Paper presented at the NCCC-134 Conference on Applied Commodity Price Analysis, Forecasting, and Market Risk Management</w:t>
      </w:r>
      <w:r w:rsidRPr="00D71CD1">
        <w:rPr>
          <w:rFonts w:ascii="Times New Roman" w:hAnsi="Times New Roman" w:cs="Times New Roman"/>
          <w:b/>
          <w:sz w:val="24"/>
          <w:szCs w:val="24"/>
          <w:lang w:val="en-US"/>
        </w:rPr>
        <w:t xml:space="preserve">, </w:t>
      </w:r>
      <w:r w:rsidRPr="00D71CD1">
        <w:rPr>
          <w:rFonts w:ascii="Times New Roman" w:hAnsi="Times New Roman" w:cs="Times New Roman"/>
          <w:iCs/>
          <w:sz w:val="24"/>
          <w:szCs w:val="24"/>
          <w:lang w:val="en-US"/>
        </w:rPr>
        <w:t>St. Louis, Missouri, Apr. 21-22, 2009.</w:t>
      </w:r>
    </w:p>
    <w:p w:rsidR="003F4033" w:rsidRPr="00D71CD1" w:rsidRDefault="004346E0" w:rsidP="00D71CD1">
      <w:pPr>
        <w:autoSpaceDE w:val="0"/>
        <w:autoSpaceDN w:val="0"/>
        <w:adjustRightInd w:val="0"/>
        <w:spacing w:after="0" w:line="240" w:lineRule="auto"/>
        <w:jc w:val="both"/>
        <w:rPr>
          <w:rFonts w:ascii="Times New Roman" w:hAnsi="Times New Roman" w:cs="Times New Roman"/>
          <w:bCs/>
          <w:sz w:val="24"/>
          <w:szCs w:val="24"/>
        </w:rPr>
      </w:pPr>
      <w:r w:rsidRPr="00D71CD1">
        <w:rPr>
          <w:rFonts w:ascii="Times New Roman" w:hAnsi="Times New Roman" w:cs="Times New Roman"/>
          <w:sz w:val="24"/>
          <w:szCs w:val="24"/>
        </w:rPr>
        <w:t xml:space="preserve">SILVA, V. A. da; SONAGLIO, C. M. </w:t>
      </w:r>
      <w:r w:rsidRPr="00D71CD1">
        <w:rPr>
          <w:rFonts w:ascii="Times New Roman" w:hAnsi="Times New Roman" w:cs="Times New Roman"/>
          <w:bCs/>
          <w:sz w:val="24"/>
          <w:szCs w:val="24"/>
        </w:rPr>
        <w:t xml:space="preserve">Estratégia de </w:t>
      </w:r>
      <w:r w:rsidRPr="00D71CD1">
        <w:rPr>
          <w:rFonts w:ascii="Times New Roman" w:hAnsi="Times New Roman" w:cs="Times New Roman"/>
          <w:bCs/>
          <w:i/>
          <w:iCs/>
          <w:sz w:val="24"/>
          <w:szCs w:val="24"/>
        </w:rPr>
        <w:t xml:space="preserve">Hedge </w:t>
      </w:r>
      <w:r w:rsidRPr="00D71CD1">
        <w:rPr>
          <w:rFonts w:ascii="Times New Roman" w:hAnsi="Times New Roman" w:cs="Times New Roman"/>
          <w:bCs/>
          <w:sz w:val="24"/>
          <w:szCs w:val="24"/>
        </w:rPr>
        <w:t xml:space="preserve">através de Contratos Futuros de Soja na </w:t>
      </w:r>
      <w:proofErr w:type="spellStart"/>
      <w:r w:rsidRPr="00D71CD1">
        <w:rPr>
          <w:rFonts w:ascii="Times New Roman" w:hAnsi="Times New Roman" w:cs="Times New Roman"/>
          <w:bCs/>
          <w:sz w:val="24"/>
          <w:szCs w:val="24"/>
        </w:rPr>
        <w:t>BM&amp;FBOVESPA</w:t>
      </w:r>
      <w:proofErr w:type="spellEnd"/>
      <w:r w:rsidRPr="00D71CD1">
        <w:rPr>
          <w:rFonts w:ascii="Times New Roman" w:hAnsi="Times New Roman" w:cs="Times New Roman"/>
          <w:bCs/>
          <w:sz w:val="24"/>
          <w:szCs w:val="24"/>
        </w:rPr>
        <w:t>.</w:t>
      </w:r>
      <w:r w:rsidRPr="00D71CD1">
        <w:rPr>
          <w:rFonts w:ascii="Times New Roman" w:hAnsi="Times New Roman" w:cs="Times New Roman"/>
          <w:b/>
          <w:bCs/>
          <w:sz w:val="24"/>
          <w:szCs w:val="24"/>
        </w:rPr>
        <w:t xml:space="preserve"> 48º Congresso da Sociedade Brasileira de Economia, Administração e Sociologia Rural</w:t>
      </w:r>
      <w:r w:rsidRPr="00D71CD1">
        <w:rPr>
          <w:rFonts w:ascii="Times New Roman" w:hAnsi="Times New Roman" w:cs="Times New Roman"/>
          <w:bCs/>
          <w:sz w:val="24"/>
          <w:szCs w:val="24"/>
        </w:rPr>
        <w:t xml:space="preserve"> </w:t>
      </w:r>
      <w:r w:rsidRPr="00D71CD1">
        <w:rPr>
          <w:rFonts w:ascii="Times New Roman" w:hAnsi="Times New Roman" w:cs="Times New Roman"/>
          <w:b/>
          <w:bCs/>
          <w:sz w:val="24"/>
          <w:szCs w:val="24"/>
        </w:rPr>
        <w:t>– SOBER,</w:t>
      </w:r>
      <w:r w:rsidRPr="00D71CD1">
        <w:rPr>
          <w:rFonts w:ascii="Times New Roman" w:hAnsi="Times New Roman" w:cs="Times New Roman"/>
          <w:bCs/>
          <w:sz w:val="24"/>
          <w:szCs w:val="24"/>
        </w:rPr>
        <w:t xml:space="preserve"> Campo Grande – MS, 25 - 28 de jul. 2010.</w:t>
      </w:r>
    </w:p>
    <w:p w:rsidR="003F4033" w:rsidRPr="003F4033" w:rsidRDefault="004346E0" w:rsidP="005266FC">
      <w:pPr>
        <w:pStyle w:val="Ttulo4"/>
        <w:shd w:val="clear" w:color="auto" w:fill="FFFFFF"/>
        <w:spacing w:before="0" w:line="240" w:lineRule="auto"/>
        <w:jc w:val="both"/>
        <w:rPr>
          <w:lang w:val="en-US"/>
        </w:rPr>
      </w:pPr>
      <w:proofErr w:type="gramStart"/>
      <w:r w:rsidRPr="00D71CD1">
        <w:rPr>
          <w:rFonts w:ascii="Times New Roman" w:hAnsi="Times New Roman" w:cs="Times New Roman"/>
          <w:b w:val="0"/>
          <w:i w:val="0"/>
          <w:color w:val="auto"/>
          <w:sz w:val="24"/>
          <w:szCs w:val="24"/>
          <w:lang w:val="en-US"/>
        </w:rPr>
        <w:t xml:space="preserve">THOMPSON, S.; WALLERS, M. L.; FINNERTY, J. E.; </w:t>
      </w:r>
      <w:r w:rsidRPr="00D71CD1">
        <w:rPr>
          <w:rFonts w:ascii="Times New Roman" w:hAnsi="Times New Roman" w:cs="Times New Roman"/>
          <w:i w:val="0"/>
          <w:color w:val="auto"/>
          <w:sz w:val="24"/>
          <w:szCs w:val="24"/>
          <w:lang w:val="en-US"/>
        </w:rPr>
        <w:t>Determinants of Liquidity Costs in Futures Markets.</w:t>
      </w:r>
      <w:proofErr w:type="gramEnd"/>
      <w:r w:rsidRPr="00D71CD1">
        <w:rPr>
          <w:rFonts w:ascii="Times New Roman" w:hAnsi="Times New Roman" w:cs="Times New Roman"/>
          <w:b w:val="0"/>
          <w:i w:val="0"/>
          <w:color w:val="auto"/>
          <w:sz w:val="24"/>
          <w:szCs w:val="24"/>
          <w:lang w:val="en-US"/>
        </w:rPr>
        <w:t xml:space="preserve"> Faculty Working Paper nº 114, </w:t>
      </w:r>
      <w:hyperlink r:id="rId17" w:tooltip="Show for other books from College of Commerce and Business Administration, University of Illinois at Urbana-Champaign" w:history="1">
        <w:r w:rsidRPr="00D71CD1">
          <w:rPr>
            <w:rStyle w:val="Hyperlink"/>
            <w:rFonts w:ascii="Times New Roman" w:hAnsi="Times New Roman" w:cs="Times New Roman"/>
            <w:b w:val="0"/>
            <w:bCs w:val="0"/>
            <w:i w:val="0"/>
            <w:color w:val="auto"/>
            <w:sz w:val="24"/>
            <w:szCs w:val="24"/>
            <w:u w:val="none"/>
            <w:lang w:val="en-US"/>
          </w:rPr>
          <w:t>College of Commerce and Business Administration, University of Illinois at Urbana-Champaign</w:t>
        </w:r>
      </w:hyperlink>
      <w:r w:rsidRPr="00D71CD1">
        <w:rPr>
          <w:rStyle w:val="apple-converted-space"/>
          <w:rFonts w:ascii="Times New Roman" w:hAnsi="Times New Roman" w:cs="Times New Roman"/>
          <w:b w:val="0"/>
          <w:bCs w:val="0"/>
          <w:i w:val="0"/>
          <w:color w:val="auto"/>
          <w:sz w:val="24"/>
          <w:szCs w:val="24"/>
          <w:lang w:val="en-US"/>
        </w:rPr>
        <w:t>, p. 44, Jul. 1988.</w:t>
      </w:r>
    </w:p>
    <w:p w:rsidR="003F4033" w:rsidRPr="00D71CD1" w:rsidRDefault="004346E0" w:rsidP="00D71CD1">
      <w:pPr>
        <w:autoSpaceDE w:val="0"/>
        <w:autoSpaceDN w:val="0"/>
        <w:adjustRightInd w:val="0"/>
        <w:spacing w:after="0" w:line="240" w:lineRule="auto"/>
        <w:jc w:val="both"/>
        <w:rPr>
          <w:rFonts w:ascii="Times New Roman" w:hAnsi="Times New Roman" w:cs="Times New Roman"/>
          <w:sz w:val="24"/>
          <w:szCs w:val="24"/>
          <w:lang w:val="en-US"/>
        </w:rPr>
      </w:pPr>
      <w:r w:rsidRPr="00D71CD1">
        <w:rPr>
          <w:rFonts w:ascii="Times New Roman" w:hAnsi="Times New Roman" w:cs="Times New Roman"/>
          <w:sz w:val="24"/>
          <w:szCs w:val="24"/>
          <w:lang w:val="en-US"/>
        </w:rPr>
        <w:t xml:space="preserve">THOMPSON, S.; EALES, J. S.; SEIBOLD, D. </w:t>
      </w:r>
      <w:proofErr w:type="gramStart"/>
      <w:r w:rsidRPr="00D71CD1">
        <w:rPr>
          <w:rFonts w:ascii="Times New Roman" w:hAnsi="Times New Roman" w:cs="Times New Roman"/>
          <w:sz w:val="24"/>
          <w:szCs w:val="24"/>
          <w:lang w:val="en-US"/>
        </w:rPr>
        <w:t>Comparison  of</w:t>
      </w:r>
      <w:proofErr w:type="gramEnd"/>
      <w:r w:rsidRPr="00D71CD1">
        <w:rPr>
          <w:rFonts w:ascii="Times New Roman" w:hAnsi="Times New Roman" w:cs="Times New Roman"/>
          <w:sz w:val="24"/>
          <w:szCs w:val="24"/>
          <w:lang w:val="en-US"/>
        </w:rPr>
        <w:t xml:space="preserve"> Liquidity Costs Between  the Kansas City and Chicago Wheat Futures Contracts. </w:t>
      </w:r>
      <w:r w:rsidRPr="00D71CD1">
        <w:rPr>
          <w:rFonts w:ascii="Times New Roman" w:hAnsi="Times New Roman" w:cs="Times New Roman"/>
          <w:b/>
          <w:sz w:val="24"/>
          <w:szCs w:val="24"/>
          <w:lang w:val="en-US"/>
        </w:rPr>
        <w:t>Journal of Agricultural and Resource Economics</w:t>
      </w:r>
      <w:r w:rsidRPr="00D71CD1">
        <w:rPr>
          <w:rFonts w:ascii="Times New Roman" w:hAnsi="Times New Roman" w:cs="Times New Roman"/>
          <w:sz w:val="24"/>
          <w:szCs w:val="24"/>
          <w:lang w:val="en-US"/>
        </w:rPr>
        <w:t xml:space="preserve">, v.18, nº 2, p. 185-197. Dec. 1993. </w:t>
      </w:r>
    </w:p>
    <w:p w:rsidR="003F4033" w:rsidRPr="00D71CD1" w:rsidRDefault="004346E0" w:rsidP="00D71CD1">
      <w:pPr>
        <w:autoSpaceDE w:val="0"/>
        <w:autoSpaceDN w:val="0"/>
        <w:adjustRightInd w:val="0"/>
        <w:spacing w:after="0" w:line="240" w:lineRule="auto"/>
        <w:jc w:val="both"/>
        <w:rPr>
          <w:rFonts w:ascii="Times New Roman" w:hAnsi="Times New Roman" w:cs="Times New Roman"/>
          <w:sz w:val="24"/>
          <w:szCs w:val="24"/>
          <w:lang w:val="en-US"/>
        </w:rPr>
      </w:pPr>
      <w:proofErr w:type="gramStart"/>
      <w:r w:rsidRPr="00D71CD1">
        <w:rPr>
          <w:rFonts w:ascii="Times New Roman" w:hAnsi="Times New Roman" w:cs="Times New Roman"/>
          <w:sz w:val="24"/>
          <w:szCs w:val="24"/>
          <w:lang w:val="en-US"/>
        </w:rPr>
        <w:t>THOMPSON, S. R.; WALLES, M. L.</w:t>
      </w:r>
      <w:proofErr w:type="gramEnd"/>
      <w:r w:rsidRPr="00D71CD1">
        <w:rPr>
          <w:rFonts w:ascii="Times New Roman" w:hAnsi="Times New Roman" w:cs="Times New Roman"/>
          <w:sz w:val="24"/>
          <w:szCs w:val="24"/>
          <w:lang w:val="en-US"/>
        </w:rPr>
        <w:t xml:space="preserve"> </w:t>
      </w:r>
      <w:r w:rsidRPr="00D71CD1">
        <w:rPr>
          <w:rFonts w:ascii="Times New Roman" w:hAnsi="Times New Roman" w:cs="Times New Roman"/>
          <w:b/>
          <w:sz w:val="24"/>
          <w:szCs w:val="24"/>
          <w:lang w:val="en-US"/>
        </w:rPr>
        <w:t xml:space="preserve">The execution cost of trading in commodity futures markets. </w:t>
      </w:r>
      <w:proofErr w:type="gramStart"/>
      <w:r w:rsidRPr="00D71CD1">
        <w:rPr>
          <w:rFonts w:ascii="Times New Roman" w:hAnsi="Times New Roman" w:cs="Times New Roman"/>
          <w:sz w:val="24"/>
          <w:szCs w:val="24"/>
          <w:lang w:val="en-US"/>
        </w:rPr>
        <w:t>Food Research Institute Studies.</w:t>
      </w:r>
      <w:proofErr w:type="gramEnd"/>
      <w:r w:rsidRPr="00D71CD1">
        <w:rPr>
          <w:rFonts w:ascii="Times New Roman" w:hAnsi="Times New Roman" w:cs="Times New Roman"/>
          <w:sz w:val="24"/>
          <w:szCs w:val="24"/>
          <w:lang w:val="en-US"/>
        </w:rPr>
        <w:t xml:space="preserve"> </w:t>
      </w:r>
      <w:proofErr w:type="gramStart"/>
      <w:r w:rsidRPr="00D71CD1">
        <w:rPr>
          <w:rFonts w:ascii="Times New Roman" w:hAnsi="Times New Roman" w:cs="Times New Roman"/>
          <w:sz w:val="24"/>
          <w:szCs w:val="24"/>
          <w:lang w:val="en-US"/>
        </w:rPr>
        <w:t>Vol.</w:t>
      </w:r>
      <w:proofErr w:type="gramEnd"/>
      <w:r w:rsidRPr="00D71CD1">
        <w:rPr>
          <w:rFonts w:ascii="Times New Roman" w:hAnsi="Times New Roman" w:cs="Times New Roman"/>
          <w:sz w:val="24"/>
          <w:szCs w:val="24"/>
          <w:lang w:val="en-US"/>
        </w:rPr>
        <w:t xml:space="preserve">  </w:t>
      </w:r>
      <w:proofErr w:type="gramStart"/>
      <w:r w:rsidRPr="00D71CD1">
        <w:rPr>
          <w:rFonts w:ascii="Times New Roman" w:hAnsi="Times New Roman" w:cs="Times New Roman"/>
          <w:sz w:val="24"/>
          <w:szCs w:val="24"/>
          <w:lang w:val="en-US"/>
        </w:rPr>
        <w:t>XX, nº 2, 141-163; 1987.</w:t>
      </w:r>
      <w:proofErr w:type="gramEnd"/>
    </w:p>
    <w:p w:rsidR="003F4033" w:rsidRPr="00D71CD1" w:rsidRDefault="004346E0" w:rsidP="00D71CD1">
      <w:pPr>
        <w:spacing w:after="0" w:line="240" w:lineRule="auto"/>
        <w:jc w:val="both"/>
        <w:rPr>
          <w:rFonts w:ascii="Times New Roman" w:hAnsi="Times New Roman" w:cs="Times New Roman"/>
          <w:sz w:val="24"/>
          <w:szCs w:val="24"/>
        </w:rPr>
      </w:pPr>
      <w:r w:rsidRPr="00D71CD1">
        <w:rPr>
          <w:rFonts w:ascii="Times New Roman" w:hAnsi="Times New Roman" w:cs="Times New Roman"/>
          <w:sz w:val="24"/>
          <w:szCs w:val="24"/>
          <w:lang w:val="en-US"/>
        </w:rPr>
        <w:t xml:space="preserve">USDA - </w:t>
      </w:r>
      <w:r w:rsidRPr="00D71CD1">
        <w:rPr>
          <w:rFonts w:ascii="Times New Roman" w:hAnsi="Times New Roman" w:cs="Times New Roman"/>
          <w:bCs/>
          <w:sz w:val="24"/>
          <w:szCs w:val="24"/>
          <w:shd w:val="clear" w:color="auto" w:fill="FFFFFF"/>
          <w:lang w:val="en-US"/>
        </w:rPr>
        <w:t xml:space="preserve">UNITED STATES DEPARTMENT OF AGRICULTURE. </w:t>
      </w:r>
      <w:r w:rsidRPr="00D71CD1">
        <w:rPr>
          <w:rFonts w:ascii="Times New Roman" w:hAnsi="Times New Roman" w:cs="Times New Roman"/>
          <w:b/>
          <w:bCs/>
          <w:sz w:val="24"/>
          <w:szCs w:val="24"/>
          <w:shd w:val="clear" w:color="auto" w:fill="FFFFFF"/>
          <w:lang w:val="en-US"/>
        </w:rPr>
        <w:t xml:space="preserve">Table 07: Soybeans: World </w:t>
      </w:r>
      <w:proofErr w:type="spellStart"/>
      <w:r w:rsidRPr="00D71CD1">
        <w:rPr>
          <w:rFonts w:ascii="Times New Roman" w:hAnsi="Times New Roman" w:cs="Times New Roman"/>
          <w:b/>
          <w:bCs/>
          <w:sz w:val="24"/>
          <w:szCs w:val="24"/>
          <w:shd w:val="clear" w:color="auto" w:fill="FFFFFF"/>
          <w:lang w:val="en-US"/>
        </w:rPr>
        <w:t>Suppy</w:t>
      </w:r>
      <w:proofErr w:type="spellEnd"/>
      <w:r w:rsidRPr="00D71CD1">
        <w:rPr>
          <w:rFonts w:ascii="Times New Roman" w:hAnsi="Times New Roman" w:cs="Times New Roman"/>
          <w:b/>
          <w:bCs/>
          <w:sz w:val="24"/>
          <w:szCs w:val="24"/>
          <w:shd w:val="clear" w:color="auto" w:fill="FFFFFF"/>
          <w:lang w:val="en-US"/>
        </w:rPr>
        <w:t xml:space="preserve"> and Distribution. </w:t>
      </w:r>
      <w:r w:rsidRPr="00D71CD1">
        <w:rPr>
          <w:rFonts w:ascii="Times New Roman" w:hAnsi="Times New Roman" w:cs="Times New Roman"/>
          <w:bCs/>
          <w:sz w:val="24"/>
          <w:szCs w:val="24"/>
          <w:shd w:val="clear" w:color="auto" w:fill="FFFFFF"/>
        </w:rPr>
        <w:t>Disponível em: &lt;</w:t>
      </w:r>
      <w:r w:rsidRPr="00D71CD1">
        <w:rPr>
          <w:rFonts w:ascii="Times New Roman" w:hAnsi="Times New Roman" w:cs="Times New Roman"/>
          <w:sz w:val="24"/>
          <w:szCs w:val="24"/>
        </w:rPr>
        <w:t xml:space="preserve"> </w:t>
      </w:r>
      <w:proofErr w:type="gramStart"/>
      <w:r w:rsidRPr="00D71CD1">
        <w:rPr>
          <w:rFonts w:ascii="Times New Roman" w:hAnsi="Times New Roman" w:cs="Times New Roman"/>
          <w:sz w:val="24"/>
          <w:szCs w:val="24"/>
        </w:rPr>
        <w:t>http://www.fas.usda.gov/psdonline/psdReport.</w:t>
      </w:r>
      <w:proofErr w:type="gramEnd"/>
      <w:r w:rsidRPr="00D71CD1">
        <w:rPr>
          <w:rFonts w:ascii="Times New Roman" w:hAnsi="Times New Roman" w:cs="Times New Roman"/>
          <w:sz w:val="24"/>
          <w:szCs w:val="24"/>
        </w:rPr>
        <w:t>aspx?</w:t>
      </w:r>
      <w:proofErr w:type="gramStart"/>
      <w:r w:rsidRPr="00D71CD1">
        <w:rPr>
          <w:rFonts w:ascii="Times New Roman" w:hAnsi="Times New Roman" w:cs="Times New Roman"/>
          <w:sz w:val="24"/>
          <w:szCs w:val="24"/>
        </w:rPr>
        <w:t>hidReportRetrievalName</w:t>
      </w:r>
      <w:proofErr w:type="gramEnd"/>
      <w:r w:rsidRPr="00D71CD1">
        <w:rPr>
          <w:rFonts w:ascii="Times New Roman" w:hAnsi="Times New Roman" w:cs="Times New Roman"/>
          <w:sz w:val="24"/>
          <w:szCs w:val="24"/>
        </w:rPr>
        <w:t>=Table+07%3a+Soybeans%3a+World+Supply+and+Distribution+++++++++++++++++++++++++++++++++++++++++++++++++++&amp;hidReportRetrievalID=706&amp;hidReportRetrievalTemplateID=8 &gt;. Acesso em: 02 de dezembro de 2012.</w:t>
      </w:r>
    </w:p>
    <w:p w:rsidR="003F4033" w:rsidRPr="00D71CD1" w:rsidRDefault="004346E0" w:rsidP="00D71CD1">
      <w:pPr>
        <w:autoSpaceDE w:val="0"/>
        <w:autoSpaceDN w:val="0"/>
        <w:adjustRightInd w:val="0"/>
        <w:spacing w:after="0" w:line="240" w:lineRule="auto"/>
        <w:jc w:val="both"/>
        <w:rPr>
          <w:rFonts w:ascii="Times New Roman" w:hAnsi="Times New Roman" w:cs="Times New Roman"/>
          <w:sz w:val="24"/>
          <w:szCs w:val="24"/>
          <w:lang w:val="en-US"/>
        </w:rPr>
      </w:pPr>
      <w:r w:rsidRPr="00BD488C">
        <w:rPr>
          <w:rFonts w:ascii="Times New Roman" w:hAnsi="Times New Roman" w:cs="Times New Roman"/>
          <w:sz w:val="24"/>
          <w:szCs w:val="24"/>
        </w:rPr>
        <w:t>WANG, X</w:t>
      </w:r>
      <w:proofErr w:type="gramStart"/>
      <w:r w:rsidRPr="00BD488C">
        <w:rPr>
          <w:rFonts w:ascii="Times New Roman" w:hAnsi="Times New Roman" w:cs="Times New Roman"/>
          <w:sz w:val="24"/>
          <w:szCs w:val="24"/>
        </w:rPr>
        <w:t>.,</w:t>
      </w:r>
      <w:proofErr w:type="gramEnd"/>
      <w:r w:rsidRPr="00BD488C">
        <w:rPr>
          <w:rFonts w:ascii="Times New Roman" w:hAnsi="Times New Roman" w:cs="Times New Roman"/>
          <w:sz w:val="24"/>
          <w:szCs w:val="24"/>
        </w:rPr>
        <w:t xml:space="preserve"> P. GARCIA, AND S. H. IRWIN. </w:t>
      </w:r>
      <w:r w:rsidRPr="00D71CD1">
        <w:rPr>
          <w:rFonts w:ascii="Times New Roman" w:hAnsi="Times New Roman" w:cs="Times New Roman"/>
          <w:sz w:val="24"/>
          <w:szCs w:val="24"/>
          <w:lang w:val="en-US"/>
        </w:rPr>
        <w:t xml:space="preserve">The Behavior of Bid-Ask Spreads in the Electronically Traded Corn Futures Market. </w:t>
      </w:r>
      <w:proofErr w:type="gramStart"/>
      <w:r w:rsidRPr="00D71CD1">
        <w:rPr>
          <w:rFonts w:ascii="Times New Roman" w:hAnsi="Times New Roman" w:cs="Times New Roman"/>
          <w:b/>
          <w:sz w:val="24"/>
          <w:szCs w:val="24"/>
          <w:lang w:val="en-US"/>
        </w:rPr>
        <w:t>Conference on Applied Commodity Price Analysis, Forecasting, and Market Risk Management</w:t>
      </w:r>
      <w:r w:rsidRPr="00D71CD1">
        <w:rPr>
          <w:rFonts w:ascii="Times New Roman" w:hAnsi="Times New Roman" w:cs="Times New Roman"/>
          <w:sz w:val="24"/>
          <w:szCs w:val="24"/>
          <w:lang w:val="en-US"/>
        </w:rPr>
        <w:t>.</w:t>
      </w:r>
      <w:proofErr w:type="gramEnd"/>
      <w:r w:rsidRPr="00D71CD1">
        <w:rPr>
          <w:rFonts w:ascii="Times New Roman" w:hAnsi="Times New Roman" w:cs="Times New Roman"/>
          <w:sz w:val="24"/>
          <w:szCs w:val="24"/>
          <w:lang w:val="en-US"/>
        </w:rPr>
        <w:t xml:space="preserve"> St. Louis, </w:t>
      </w:r>
      <w:r w:rsidRPr="00D71CD1">
        <w:rPr>
          <w:rFonts w:ascii="Times New Roman" w:hAnsi="Times New Roman" w:cs="Times New Roman"/>
          <w:iCs/>
          <w:sz w:val="24"/>
          <w:szCs w:val="24"/>
          <w:lang w:val="en-US"/>
        </w:rPr>
        <w:t>Missouri, Apr. 2012.</w:t>
      </w:r>
    </w:p>
    <w:p w:rsidR="004346E0" w:rsidRPr="00D71CD1" w:rsidRDefault="004346E0" w:rsidP="009F7C3E">
      <w:pPr>
        <w:autoSpaceDE w:val="0"/>
        <w:autoSpaceDN w:val="0"/>
        <w:adjustRightInd w:val="0"/>
        <w:spacing w:after="0" w:line="240" w:lineRule="auto"/>
        <w:jc w:val="both"/>
        <w:rPr>
          <w:rFonts w:ascii="Times New Roman" w:hAnsi="Times New Roman" w:cs="Times New Roman"/>
          <w:sz w:val="24"/>
          <w:szCs w:val="24"/>
          <w:shd w:val="clear" w:color="auto" w:fill="FFFFFF"/>
          <w:lang w:val="en-US"/>
        </w:rPr>
      </w:pPr>
      <w:r w:rsidRPr="00D71CD1">
        <w:rPr>
          <w:rFonts w:ascii="Times New Roman" w:hAnsi="Times New Roman" w:cs="Times New Roman"/>
          <w:sz w:val="24"/>
          <w:szCs w:val="24"/>
          <w:lang w:val="en-US"/>
        </w:rPr>
        <w:t xml:space="preserve">WANG, H. K. W., YAU, J., &amp; BAPTISTE, T. Trading Volume and Transaction Costs in Futures Markets. </w:t>
      </w:r>
      <w:r w:rsidRPr="00D71CD1">
        <w:rPr>
          <w:rFonts w:ascii="Times New Roman" w:hAnsi="Times New Roman" w:cs="Times New Roman"/>
          <w:b/>
          <w:sz w:val="24"/>
          <w:szCs w:val="24"/>
          <w:lang w:val="en-US"/>
        </w:rPr>
        <w:t>Journal of Futures Markets</w:t>
      </w:r>
      <w:r w:rsidRPr="00D71CD1">
        <w:rPr>
          <w:rFonts w:ascii="Times New Roman" w:hAnsi="Times New Roman" w:cs="Times New Roman"/>
          <w:sz w:val="24"/>
          <w:szCs w:val="24"/>
          <w:lang w:val="en-US"/>
        </w:rPr>
        <w:t>, v. 17, p. 757-780. 1997.</w:t>
      </w:r>
    </w:p>
    <w:sectPr w:rsidR="004346E0" w:rsidRPr="00D71CD1" w:rsidSect="003F4033">
      <w:type w:val="nextColumn"/>
      <w:pgSz w:w="11906" w:h="16838"/>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4CAA" w:rsidRDefault="00D34CAA" w:rsidP="00CA596F">
      <w:pPr>
        <w:spacing w:after="0" w:line="240" w:lineRule="auto"/>
      </w:pPr>
      <w:r>
        <w:separator/>
      </w:r>
    </w:p>
  </w:endnote>
  <w:endnote w:type="continuationSeparator" w:id="0">
    <w:p w:rsidR="00D34CAA" w:rsidRDefault="00D34CAA" w:rsidP="00CA59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6884943"/>
      <w:docPartObj>
        <w:docPartGallery w:val="Page Numbers (Bottom of Page)"/>
        <w:docPartUnique/>
      </w:docPartObj>
    </w:sdtPr>
    <w:sdtContent>
      <w:p w:rsidR="00B45E26" w:rsidRDefault="00B45E26">
        <w:pPr>
          <w:pStyle w:val="Rodap"/>
          <w:jc w:val="right"/>
        </w:pPr>
        <w:fldSimple w:instr=" PAGE   \* MERGEFORMAT ">
          <w:r w:rsidR="002470D3">
            <w:rPr>
              <w:noProof/>
            </w:rPr>
            <w:t>1</w:t>
          </w:r>
        </w:fldSimple>
      </w:p>
    </w:sdtContent>
  </w:sdt>
  <w:p w:rsidR="00B45E26" w:rsidRDefault="00B45E26">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4CAA" w:rsidRDefault="00D34CAA" w:rsidP="00CA596F">
      <w:pPr>
        <w:spacing w:after="0" w:line="240" w:lineRule="auto"/>
      </w:pPr>
      <w:r>
        <w:separator/>
      </w:r>
    </w:p>
  </w:footnote>
  <w:footnote w:type="continuationSeparator" w:id="0">
    <w:p w:rsidR="00D34CAA" w:rsidRDefault="00D34CAA" w:rsidP="00CA596F">
      <w:pPr>
        <w:spacing w:after="0" w:line="240" w:lineRule="auto"/>
      </w:pPr>
      <w:r>
        <w:continuationSeparator/>
      </w:r>
    </w:p>
  </w:footnote>
  <w:footnote w:id="1">
    <w:p w:rsidR="00FC6BF2" w:rsidRPr="002470D3" w:rsidRDefault="00FC6BF2" w:rsidP="00FC6BF2">
      <w:pPr>
        <w:pStyle w:val="Textodenotaderodap"/>
        <w:jc w:val="both"/>
        <w:rPr>
          <w:rFonts w:ascii="Times New Roman" w:hAnsi="Times New Roman" w:cs="Times New Roman"/>
          <w:sz w:val="24"/>
          <w:szCs w:val="24"/>
        </w:rPr>
      </w:pPr>
      <w:r w:rsidRPr="00FC6BF2">
        <w:rPr>
          <w:rStyle w:val="Refdenotaderodap"/>
        </w:rPr>
        <w:sym w:font="Symbol" w:char="F02A"/>
      </w:r>
      <w:r>
        <w:t xml:space="preserve"> </w:t>
      </w:r>
      <w:r w:rsidRPr="002470D3">
        <w:rPr>
          <w:rFonts w:ascii="Times New Roman" w:hAnsi="Times New Roman" w:cs="Times New Roman"/>
          <w:sz w:val="24"/>
          <w:szCs w:val="24"/>
        </w:rPr>
        <w:t xml:space="preserve">Mestrando em Economia Aplicada na Universidade Federal de Viçosa (UFV), Viçosa, MG, Brasil. E-mail: </w:t>
      </w:r>
      <w:proofErr w:type="gramStart"/>
      <w:r w:rsidRPr="002470D3">
        <w:rPr>
          <w:rFonts w:ascii="Times New Roman" w:hAnsi="Times New Roman" w:cs="Times New Roman"/>
          <w:sz w:val="24"/>
          <w:szCs w:val="24"/>
        </w:rPr>
        <w:t>charles.marquezin@ufv.br</w:t>
      </w:r>
      <w:proofErr w:type="gramEnd"/>
    </w:p>
  </w:footnote>
  <w:footnote w:id="2">
    <w:p w:rsidR="00FC6BF2" w:rsidRPr="002470D3" w:rsidRDefault="00FC6BF2" w:rsidP="00FC6BF2">
      <w:pPr>
        <w:pStyle w:val="Textodenotaderodap"/>
        <w:jc w:val="both"/>
        <w:rPr>
          <w:rFonts w:ascii="Times New Roman" w:hAnsi="Times New Roman" w:cs="Times New Roman"/>
          <w:sz w:val="24"/>
          <w:szCs w:val="24"/>
        </w:rPr>
      </w:pPr>
      <w:r w:rsidRPr="002470D3">
        <w:rPr>
          <w:rFonts w:ascii="Times New Roman" w:hAnsi="Times New Roman" w:cs="Times New Roman"/>
          <w:sz w:val="24"/>
          <w:szCs w:val="24"/>
        </w:rPr>
        <w:t xml:space="preserve">** Professor do Departamento de Economia Rural (DER), Universidade Federal de Viçosa (UFV), Viçosa, MG, Brasil. E-mail: </w:t>
      </w:r>
      <w:proofErr w:type="gramStart"/>
      <w:r w:rsidRPr="002470D3">
        <w:rPr>
          <w:rFonts w:ascii="Times New Roman" w:hAnsi="Times New Roman" w:cs="Times New Roman"/>
          <w:sz w:val="24"/>
          <w:szCs w:val="24"/>
          <w:shd w:val="clear" w:color="auto" w:fill="FCFCFC"/>
        </w:rPr>
        <w:t>lbmattos@ufv.br</w:t>
      </w:r>
      <w:proofErr w:type="gramEnd"/>
    </w:p>
  </w:footnote>
  <w:footnote w:id="3">
    <w:p w:rsidR="00B45E26" w:rsidRPr="00A66971" w:rsidRDefault="00B45E26" w:rsidP="006A1557">
      <w:pPr>
        <w:pStyle w:val="Textodenotaderodap"/>
        <w:jc w:val="both"/>
        <w:rPr>
          <w:rFonts w:ascii="Times New Roman" w:hAnsi="Times New Roman" w:cs="Times New Roman"/>
          <w:sz w:val="24"/>
          <w:szCs w:val="24"/>
        </w:rPr>
      </w:pPr>
      <w:r w:rsidRPr="00A66971">
        <w:rPr>
          <w:rStyle w:val="Refdenotaderodap"/>
          <w:rFonts w:ascii="Times New Roman" w:hAnsi="Times New Roman" w:cs="Times New Roman"/>
          <w:sz w:val="24"/>
          <w:szCs w:val="24"/>
        </w:rPr>
        <w:footnoteRef/>
      </w:r>
      <w:r>
        <w:rPr>
          <w:rFonts w:ascii="Times New Roman" w:hAnsi="Times New Roman" w:cs="Times New Roman"/>
          <w:sz w:val="24"/>
          <w:szCs w:val="24"/>
        </w:rPr>
        <w:t xml:space="preserve"> </w:t>
      </w:r>
      <w:r w:rsidRPr="00A66971">
        <w:rPr>
          <w:rFonts w:ascii="Times New Roman" w:hAnsi="Times New Roman" w:cs="Times New Roman"/>
          <w:sz w:val="24"/>
          <w:szCs w:val="24"/>
        </w:rPr>
        <w:t xml:space="preserve">Alguns estudos sobre o risco de base para os derivativos agropecuários brasileiros estão disponíveis, por exemplo, em Barros e Aguiar (2005) e Silva e </w:t>
      </w:r>
      <w:proofErr w:type="spellStart"/>
      <w:r w:rsidRPr="00A66971">
        <w:rPr>
          <w:rFonts w:ascii="Times New Roman" w:hAnsi="Times New Roman" w:cs="Times New Roman"/>
          <w:sz w:val="24"/>
          <w:szCs w:val="24"/>
        </w:rPr>
        <w:t>Sonaglio</w:t>
      </w:r>
      <w:proofErr w:type="spellEnd"/>
      <w:r w:rsidRPr="00A66971">
        <w:rPr>
          <w:rFonts w:ascii="Times New Roman" w:hAnsi="Times New Roman" w:cs="Times New Roman"/>
          <w:sz w:val="24"/>
          <w:szCs w:val="24"/>
        </w:rPr>
        <w:t xml:space="preserve"> (2010).</w:t>
      </w:r>
    </w:p>
  </w:footnote>
  <w:footnote w:id="4">
    <w:p w:rsidR="00B45E26" w:rsidRDefault="00B45E26" w:rsidP="002A44C6">
      <w:pPr>
        <w:pStyle w:val="Textodenotaderodap"/>
        <w:jc w:val="both"/>
      </w:pPr>
      <w:r w:rsidRPr="00A66971">
        <w:rPr>
          <w:rStyle w:val="Refdenotaderodap"/>
          <w:rFonts w:ascii="Times New Roman" w:hAnsi="Times New Roman" w:cs="Times New Roman"/>
          <w:sz w:val="24"/>
          <w:szCs w:val="24"/>
        </w:rPr>
        <w:footnoteRef/>
      </w:r>
      <w:r w:rsidRPr="00A66971">
        <w:rPr>
          <w:rFonts w:ascii="Times New Roman" w:hAnsi="Times New Roman" w:cs="Times New Roman"/>
          <w:sz w:val="24"/>
          <w:szCs w:val="24"/>
        </w:rPr>
        <w:t xml:space="preserve"> Na seção 3 deste trabalho serão discutidos com mais detalhes as metodologias de </w:t>
      </w:r>
      <w:proofErr w:type="spellStart"/>
      <w:r w:rsidRPr="00A66971">
        <w:rPr>
          <w:rFonts w:ascii="Times New Roman" w:hAnsi="Times New Roman" w:cs="Times New Roman"/>
          <w:sz w:val="24"/>
          <w:szCs w:val="24"/>
        </w:rPr>
        <w:t>Roll</w:t>
      </w:r>
      <w:proofErr w:type="spellEnd"/>
      <w:r w:rsidRPr="00A66971">
        <w:rPr>
          <w:rFonts w:ascii="Times New Roman" w:hAnsi="Times New Roman" w:cs="Times New Roman"/>
          <w:sz w:val="24"/>
          <w:szCs w:val="24"/>
        </w:rPr>
        <w:t xml:space="preserve"> (1984), Chu </w:t>
      </w:r>
      <w:proofErr w:type="spellStart"/>
      <w:proofErr w:type="gramStart"/>
      <w:r w:rsidRPr="00A66971">
        <w:rPr>
          <w:rFonts w:ascii="Times New Roman" w:hAnsi="Times New Roman" w:cs="Times New Roman"/>
          <w:i/>
          <w:sz w:val="24"/>
          <w:szCs w:val="24"/>
        </w:rPr>
        <w:t>et</w:t>
      </w:r>
      <w:proofErr w:type="spellEnd"/>
      <w:proofErr w:type="gramEnd"/>
      <w:r w:rsidRPr="00A66971">
        <w:rPr>
          <w:rFonts w:ascii="Times New Roman" w:hAnsi="Times New Roman" w:cs="Times New Roman"/>
          <w:i/>
          <w:sz w:val="24"/>
          <w:szCs w:val="24"/>
        </w:rPr>
        <w:t xml:space="preserve"> al.</w:t>
      </w:r>
      <w:r w:rsidRPr="00A66971">
        <w:rPr>
          <w:rFonts w:ascii="Times New Roman" w:hAnsi="Times New Roman" w:cs="Times New Roman"/>
          <w:sz w:val="24"/>
          <w:szCs w:val="24"/>
        </w:rPr>
        <w:t xml:space="preserve"> (1996), Thompson </w:t>
      </w:r>
      <w:proofErr w:type="spellStart"/>
      <w:r w:rsidRPr="00A66971">
        <w:rPr>
          <w:rFonts w:ascii="Times New Roman" w:hAnsi="Times New Roman" w:cs="Times New Roman"/>
          <w:i/>
          <w:sz w:val="24"/>
          <w:szCs w:val="24"/>
        </w:rPr>
        <w:t>et</w:t>
      </w:r>
      <w:proofErr w:type="spellEnd"/>
      <w:r w:rsidRPr="00A66971">
        <w:rPr>
          <w:rFonts w:ascii="Times New Roman" w:hAnsi="Times New Roman" w:cs="Times New Roman"/>
          <w:i/>
          <w:sz w:val="24"/>
          <w:szCs w:val="24"/>
        </w:rPr>
        <w:t xml:space="preserve"> al.</w:t>
      </w:r>
      <w:r w:rsidRPr="00A66971">
        <w:rPr>
          <w:rFonts w:ascii="Times New Roman" w:hAnsi="Times New Roman" w:cs="Times New Roman"/>
          <w:sz w:val="24"/>
          <w:szCs w:val="24"/>
        </w:rPr>
        <w:t xml:space="preserve"> (1987) e </w:t>
      </w:r>
      <w:proofErr w:type="spellStart"/>
      <w:r w:rsidRPr="00A66971">
        <w:rPr>
          <w:rFonts w:ascii="Times New Roman" w:hAnsi="Times New Roman" w:cs="Times New Roman"/>
          <w:sz w:val="24"/>
          <w:szCs w:val="24"/>
        </w:rPr>
        <w:t>Wang</w:t>
      </w:r>
      <w:proofErr w:type="spellEnd"/>
      <w:r w:rsidRPr="00A66971">
        <w:rPr>
          <w:rFonts w:ascii="Times New Roman" w:hAnsi="Times New Roman" w:cs="Times New Roman"/>
          <w:sz w:val="24"/>
          <w:szCs w:val="24"/>
        </w:rPr>
        <w:t xml:space="preserve"> </w:t>
      </w:r>
      <w:proofErr w:type="spellStart"/>
      <w:r w:rsidRPr="00A66971">
        <w:rPr>
          <w:rFonts w:ascii="Times New Roman" w:hAnsi="Times New Roman" w:cs="Times New Roman"/>
          <w:i/>
          <w:sz w:val="24"/>
          <w:szCs w:val="24"/>
        </w:rPr>
        <w:t>et</w:t>
      </w:r>
      <w:proofErr w:type="spellEnd"/>
      <w:r w:rsidRPr="00A66971">
        <w:rPr>
          <w:rFonts w:ascii="Times New Roman" w:hAnsi="Times New Roman" w:cs="Times New Roman"/>
          <w:i/>
          <w:sz w:val="24"/>
          <w:szCs w:val="24"/>
        </w:rPr>
        <w:t xml:space="preserve"> al.</w:t>
      </w:r>
      <w:r w:rsidRPr="00A66971">
        <w:rPr>
          <w:rFonts w:ascii="Times New Roman" w:hAnsi="Times New Roman" w:cs="Times New Roman"/>
          <w:sz w:val="24"/>
          <w:szCs w:val="24"/>
        </w:rPr>
        <w:t xml:space="preserve"> (1997).</w:t>
      </w:r>
    </w:p>
  </w:footnote>
  <w:footnote w:id="5">
    <w:p w:rsidR="00B45E26" w:rsidRPr="00246965" w:rsidRDefault="00B45E26" w:rsidP="006A1557">
      <w:pPr>
        <w:autoSpaceDE w:val="0"/>
        <w:autoSpaceDN w:val="0"/>
        <w:adjustRightInd w:val="0"/>
        <w:spacing w:after="0" w:line="240" w:lineRule="auto"/>
        <w:jc w:val="both"/>
        <w:rPr>
          <w:rFonts w:ascii="Times New Roman" w:hAnsi="Times New Roman" w:cs="Times New Roman"/>
          <w:iCs/>
          <w:color w:val="000000"/>
        </w:rPr>
      </w:pPr>
      <w:r w:rsidRPr="00246965">
        <w:rPr>
          <w:rStyle w:val="Refdenotaderodap"/>
          <w:rFonts w:ascii="Times New Roman" w:hAnsi="Times New Roman" w:cs="Times New Roman"/>
        </w:rPr>
        <w:footnoteRef/>
      </w:r>
      <w:r w:rsidRPr="00246965">
        <w:rPr>
          <w:rFonts w:ascii="Times New Roman" w:hAnsi="Times New Roman" w:cs="Times New Roman"/>
        </w:rPr>
        <w:t xml:space="preserve"> Esse é um caso que ocorre com a CME/Chicago </w:t>
      </w:r>
      <w:proofErr w:type="spellStart"/>
      <w:r w:rsidRPr="00246965">
        <w:rPr>
          <w:rFonts w:ascii="Times New Roman" w:hAnsi="Times New Roman" w:cs="Times New Roman"/>
        </w:rPr>
        <w:t>Board</w:t>
      </w:r>
      <w:proofErr w:type="spellEnd"/>
      <w:r w:rsidRPr="00246965">
        <w:rPr>
          <w:rFonts w:ascii="Times New Roman" w:hAnsi="Times New Roman" w:cs="Times New Roman"/>
        </w:rPr>
        <w:t xml:space="preserve"> </w:t>
      </w:r>
      <w:proofErr w:type="spellStart"/>
      <w:r w:rsidRPr="00246965">
        <w:rPr>
          <w:rFonts w:ascii="Times New Roman" w:hAnsi="Times New Roman" w:cs="Times New Roman"/>
        </w:rPr>
        <w:t>of</w:t>
      </w:r>
      <w:proofErr w:type="spellEnd"/>
      <w:r w:rsidRPr="00246965">
        <w:rPr>
          <w:rFonts w:ascii="Times New Roman" w:hAnsi="Times New Roman" w:cs="Times New Roman"/>
        </w:rPr>
        <w:t xml:space="preserve"> Trade </w:t>
      </w:r>
      <w:proofErr w:type="spellStart"/>
      <w:r w:rsidRPr="00246965">
        <w:rPr>
          <w:rFonts w:ascii="Times New Roman" w:hAnsi="Times New Roman" w:cs="Times New Roman"/>
        </w:rPr>
        <w:t>Company</w:t>
      </w:r>
      <w:proofErr w:type="spellEnd"/>
      <w:r w:rsidRPr="00246965">
        <w:rPr>
          <w:rFonts w:ascii="Times New Roman" w:hAnsi="Times New Roman" w:cs="Times New Roman"/>
        </w:rPr>
        <w:t>, que tem volume de contratos negociados correspondente a 18,7 vezes a produção mundial em 2009, sendo a principal bolsa de soja do mundo.</w:t>
      </w:r>
    </w:p>
    <w:p w:rsidR="00B45E26" w:rsidRDefault="00B45E26" w:rsidP="006A1557">
      <w:pPr>
        <w:pStyle w:val="Textodenotaderodap"/>
      </w:pPr>
    </w:p>
  </w:footnote>
  <w:footnote w:id="6">
    <w:p w:rsidR="00B45E26" w:rsidRPr="008C31B3" w:rsidRDefault="00B45E26" w:rsidP="008C31B3">
      <w:pPr>
        <w:pStyle w:val="Textodenotaderodap"/>
        <w:jc w:val="both"/>
        <w:rPr>
          <w:rFonts w:ascii="Times New Roman" w:hAnsi="Times New Roman" w:cs="Times New Roman"/>
          <w:sz w:val="24"/>
          <w:szCs w:val="24"/>
        </w:rPr>
      </w:pPr>
      <w:r w:rsidRPr="008C31B3">
        <w:rPr>
          <w:rStyle w:val="Refdenotaderodap"/>
          <w:rFonts w:ascii="Times New Roman" w:hAnsi="Times New Roman" w:cs="Times New Roman"/>
          <w:sz w:val="24"/>
          <w:szCs w:val="24"/>
        </w:rPr>
        <w:footnoteRef/>
      </w:r>
      <w:r w:rsidRPr="008C31B3">
        <w:rPr>
          <w:rFonts w:ascii="Times New Roman" w:hAnsi="Times New Roman" w:cs="Times New Roman"/>
          <w:sz w:val="24"/>
          <w:szCs w:val="24"/>
        </w:rPr>
        <w:t xml:space="preserve">  Ver, por exemplo, </w:t>
      </w:r>
      <w:proofErr w:type="spellStart"/>
      <w:r w:rsidRPr="008C31B3">
        <w:rPr>
          <w:rFonts w:ascii="Times New Roman" w:eastAsiaTheme="minorEastAsia" w:hAnsi="Times New Roman" w:cs="Times New Roman"/>
          <w:sz w:val="24"/>
          <w:szCs w:val="24"/>
        </w:rPr>
        <w:t>Baum</w:t>
      </w:r>
      <w:proofErr w:type="spellEnd"/>
      <w:r w:rsidRPr="008C31B3">
        <w:rPr>
          <w:rFonts w:ascii="Times New Roman" w:eastAsiaTheme="minorEastAsia" w:hAnsi="Times New Roman" w:cs="Times New Roman"/>
          <w:sz w:val="24"/>
          <w:szCs w:val="24"/>
        </w:rPr>
        <w:t xml:space="preserve"> </w:t>
      </w:r>
      <w:proofErr w:type="spellStart"/>
      <w:proofErr w:type="gramStart"/>
      <w:r w:rsidRPr="008C31B3">
        <w:rPr>
          <w:rFonts w:ascii="Times New Roman" w:eastAsiaTheme="minorEastAsia" w:hAnsi="Times New Roman" w:cs="Times New Roman"/>
          <w:i/>
          <w:sz w:val="24"/>
          <w:szCs w:val="24"/>
        </w:rPr>
        <w:t>et</w:t>
      </w:r>
      <w:proofErr w:type="spellEnd"/>
      <w:proofErr w:type="gramEnd"/>
      <w:r w:rsidRPr="008C31B3">
        <w:rPr>
          <w:rFonts w:ascii="Times New Roman" w:eastAsiaTheme="minorEastAsia" w:hAnsi="Times New Roman" w:cs="Times New Roman"/>
          <w:i/>
          <w:sz w:val="24"/>
          <w:szCs w:val="24"/>
        </w:rPr>
        <w:t xml:space="preserve"> al.</w:t>
      </w:r>
      <w:r w:rsidRPr="008C31B3">
        <w:rPr>
          <w:rFonts w:ascii="Times New Roman" w:eastAsiaTheme="minorEastAsia" w:hAnsi="Times New Roman" w:cs="Times New Roman"/>
          <w:sz w:val="24"/>
          <w:szCs w:val="24"/>
        </w:rPr>
        <w:t xml:space="preserve"> (2007, p. 482).</w:t>
      </w:r>
    </w:p>
  </w:footnote>
  <w:footnote w:id="7">
    <w:p w:rsidR="00B45E26" w:rsidRPr="008C31B3" w:rsidRDefault="00B45E26" w:rsidP="008C31B3">
      <w:pPr>
        <w:pStyle w:val="Textodenotaderodap"/>
        <w:jc w:val="both"/>
        <w:rPr>
          <w:rFonts w:ascii="Times New Roman" w:hAnsi="Times New Roman" w:cs="Times New Roman"/>
          <w:sz w:val="24"/>
          <w:szCs w:val="24"/>
        </w:rPr>
      </w:pPr>
      <w:r w:rsidRPr="008C31B3">
        <w:rPr>
          <w:rStyle w:val="Refdenotaderodap"/>
          <w:rFonts w:ascii="Times New Roman" w:hAnsi="Times New Roman" w:cs="Times New Roman"/>
          <w:sz w:val="24"/>
          <w:szCs w:val="24"/>
        </w:rPr>
        <w:footnoteRef/>
      </w:r>
      <w:r w:rsidRPr="008C31B3">
        <w:rPr>
          <w:rFonts w:ascii="Times New Roman" w:hAnsi="Times New Roman" w:cs="Times New Roman"/>
          <w:sz w:val="24"/>
          <w:szCs w:val="24"/>
        </w:rPr>
        <w:t xml:space="preserve">  Ver, por exemplo, </w:t>
      </w:r>
      <w:proofErr w:type="spellStart"/>
      <w:r w:rsidRPr="008C31B3">
        <w:rPr>
          <w:rFonts w:ascii="Times New Roman" w:eastAsiaTheme="minorEastAsia" w:hAnsi="Times New Roman" w:cs="Times New Roman"/>
          <w:sz w:val="24"/>
          <w:szCs w:val="24"/>
        </w:rPr>
        <w:t>Baum</w:t>
      </w:r>
      <w:proofErr w:type="spellEnd"/>
      <w:r w:rsidRPr="008C31B3">
        <w:rPr>
          <w:rFonts w:ascii="Times New Roman" w:eastAsiaTheme="minorEastAsia" w:hAnsi="Times New Roman" w:cs="Times New Roman"/>
          <w:sz w:val="24"/>
          <w:szCs w:val="24"/>
        </w:rPr>
        <w:t xml:space="preserve"> </w:t>
      </w:r>
      <w:proofErr w:type="spellStart"/>
      <w:proofErr w:type="gramStart"/>
      <w:r w:rsidRPr="008C31B3">
        <w:rPr>
          <w:rFonts w:ascii="Times New Roman" w:eastAsiaTheme="minorEastAsia" w:hAnsi="Times New Roman" w:cs="Times New Roman"/>
          <w:i/>
          <w:sz w:val="24"/>
          <w:szCs w:val="24"/>
        </w:rPr>
        <w:t>et</w:t>
      </w:r>
      <w:proofErr w:type="spellEnd"/>
      <w:proofErr w:type="gramEnd"/>
      <w:r w:rsidRPr="008C31B3">
        <w:rPr>
          <w:rFonts w:ascii="Times New Roman" w:eastAsiaTheme="minorEastAsia" w:hAnsi="Times New Roman" w:cs="Times New Roman"/>
          <w:i/>
          <w:sz w:val="24"/>
          <w:szCs w:val="24"/>
        </w:rPr>
        <w:t xml:space="preserve"> al.</w:t>
      </w:r>
      <w:r w:rsidRPr="008C31B3">
        <w:rPr>
          <w:rFonts w:ascii="Times New Roman" w:eastAsiaTheme="minorEastAsia" w:hAnsi="Times New Roman" w:cs="Times New Roman"/>
          <w:sz w:val="24"/>
          <w:szCs w:val="24"/>
        </w:rPr>
        <w:t xml:space="preserve"> (2007, p. 476, 477 e 481).</w:t>
      </w:r>
    </w:p>
  </w:footnote>
  <w:footnote w:id="8">
    <w:p w:rsidR="00B45E26" w:rsidRPr="008C31B3" w:rsidRDefault="00B45E26" w:rsidP="006A1557">
      <w:pPr>
        <w:spacing w:after="0" w:line="240" w:lineRule="auto"/>
        <w:jc w:val="both"/>
        <w:rPr>
          <w:rFonts w:ascii="Times New Roman" w:hAnsi="Times New Roman" w:cs="Times New Roman"/>
          <w:sz w:val="24"/>
          <w:szCs w:val="24"/>
        </w:rPr>
      </w:pPr>
      <w:r w:rsidRPr="008C31B3">
        <w:rPr>
          <w:rStyle w:val="Refdenotaderodap"/>
          <w:rFonts w:ascii="Times New Roman" w:hAnsi="Times New Roman" w:cs="Times New Roman"/>
          <w:sz w:val="24"/>
          <w:szCs w:val="24"/>
        </w:rPr>
        <w:footnoteRef/>
      </w:r>
      <w:r w:rsidRPr="008C31B3">
        <w:rPr>
          <w:rFonts w:ascii="Times New Roman" w:hAnsi="Times New Roman" w:cs="Times New Roman"/>
          <w:sz w:val="24"/>
          <w:szCs w:val="24"/>
        </w:rPr>
        <w:t xml:space="preserve"> Conforme a Conab (2012), a média brasileira de produção de soja nas safras 2010/11 e 2011/12 foram de 48 sacas de 60 kg por hectare.</w:t>
      </w:r>
    </w:p>
  </w:footnote>
  <w:footnote w:id="9">
    <w:p w:rsidR="00B45E26" w:rsidRPr="008C31B3" w:rsidRDefault="00B45E26" w:rsidP="00CF698F">
      <w:pPr>
        <w:pStyle w:val="Textodenotaderodap"/>
        <w:jc w:val="both"/>
        <w:rPr>
          <w:rFonts w:ascii="Times New Roman" w:hAnsi="Times New Roman" w:cs="Times New Roman"/>
          <w:sz w:val="24"/>
          <w:szCs w:val="24"/>
        </w:rPr>
      </w:pPr>
      <w:r w:rsidRPr="008C31B3">
        <w:rPr>
          <w:rStyle w:val="Refdenotaderodap"/>
          <w:rFonts w:ascii="Times New Roman" w:hAnsi="Times New Roman" w:cs="Times New Roman"/>
          <w:sz w:val="24"/>
          <w:szCs w:val="24"/>
        </w:rPr>
        <w:footnoteRef/>
      </w:r>
      <w:r w:rsidRPr="008C31B3">
        <w:rPr>
          <w:rFonts w:ascii="Times New Roman" w:hAnsi="Times New Roman" w:cs="Times New Roman"/>
          <w:sz w:val="24"/>
          <w:szCs w:val="24"/>
        </w:rPr>
        <w:t xml:space="preserve"> Ver, por exemplo, trabalhos de Thompson </w:t>
      </w:r>
      <w:proofErr w:type="spellStart"/>
      <w:proofErr w:type="gramStart"/>
      <w:r w:rsidRPr="008C31B3">
        <w:rPr>
          <w:rFonts w:ascii="Times New Roman" w:hAnsi="Times New Roman" w:cs="Times New Roman"/>
          <w:i/>
          <w:sz w:val="24"/>
          <w:szCs w:val="24"/>
        </w:rPr>
        <w:t>et</w:t>
      </w:r>
      <w:proofErr w:type="spellEnd"/>
      <w:proofErr w:type="gramEnd"/>
      <w:r w:rsidRPr="008C31B3">
        <w:rPr>
          <w:rFonts w:ascii="Times New Roman" w:hAnsi="Times New Roman" w:cs="Times New Roman"/>
          <w:i/>
          <w:sz w:val="24"/>
          <w:szCs w:val="24"/>
        </w:rPr>
        <w:t xml:space="preserve"> al.</w:t>
      </w:r>
      <w:r w:rsidRPr="008C31B3">
        <w:rPr>
          <w:rFonts w:ascii="Times New Roman" w:hAnsi="Times New Roman" w:cs="Times New Roman"/>
          <w:sz w:val="24"/>
          <w:szCs w:val="24"/>
        </w:rPr>
        <w:t xml:space="preserve"> </w:t>
      </w:r>
      <w:r w:rsidRPr="008C31B3">
        <w:rPr>
          <w:rFonts w:ascii="Times New Roman" w:hAnsi="Times New Roman" w:cs="Times New Roman"/>
          <w:sz w:val="24"/>
          <w:szCs w:val="24"/>
          <w:lang w:val="en-US"/>
        </w:rPr>
        <w:t xml:space="preserve">(1993), Bryant e </w:t>
      </w:r>
      <w:proofErr w:type="spellStart"/>
      <w:r w:rsidRPr="008C31B3">
        <w:rPr>
          <w:rFonts w:ascii="Times New Roman" w:hAnsi="Times New Roman" w:cs="Times New Roman"/>
          <w:sz w:val="24"/>
          <w:szCs w:val="24"/>
          <w:lang w:val="en-US"/>
        </w:rPr>
        <w:t>Haigh</w:t>
      </w:r>
      <w:proofErr w:type="spellEnd"/>
      <w:r w:rsidRPr="008C31B3">
        <w:rPr>
          <w:rFonts w:ascii="Times New Roman" w:hAnsi="Times New Roman" w:cs="Times New Roman"/>
          <w:sz w:val="24"/>
          <w:szCs w:val="24"/>
          <w:lang w:val="en-US"/>
        </w:rPr>
        <w:t xml:space="preserve"> (2002), Shah </w:t>
      </w:r>
      <w:r w:rsidRPr="008C31B3">
        <w:rPr>
          <w:rFonts w:ascii="Times New Roman" w:hAnsi="Times New Roman" w:cs="Times New Roman"/>
          <w:i/>
          <w:sz w:val="24"/>
          <w:szCs w:val="24"/>
          <w:lang w:val="en-US"/>
        </w:rPr>
        <w:t xml:space="preserve">et al. </w:t>
      </w:r>
      <w:r w:rsidRPr="008C31B3">
        <w:rPr>
          <w:rFonts w:ascii="Times New Roman" w:hAnsi="Times New Roman" w:cs="Times New Roman"/>
          <w:sz w:val="24"/>
          <w:szCs w:val="24"/>
        </w:rPr>
        <w:t xml:space="preserve">(2009) e </w:t>
      </w:r>
      <w:proofErr w:type="spellStart"/>
      <w:r w:rsidRPr="008C31B3">
        <w:rPr>
          <w:rFonts w:ascii="Times New Roman" w:hAnsi="Times New Roman" w:cs="Times New Roman"/>
          <w:sz w:val="24"/>
          <w:szCs w:val="24"/>
        </w:rPr>
        <w:t>Shah</w:t>
      </w:r>
      <w:proofErr w:type="spellEnd"/>
      <w:r w:rsidRPr="008C31B3">
        <w:rPr>
          <w:rFonts w:ascii="Times New Roman" w:hAnsi="Times New Roman" w:cs="Times New Roman"/>
          <w:sz w:val="24"/>
          <w:szCs w:val="24"/>
        </w:rPr>
        <w:t xml:space="preserve"> </w:t>
      </w:r>
      <w:proofErr w:type="spellStart"/>
      <w:r w:rsidRPr="008C31B3">
        <w:rPr>
          <w:rFonts w:ascii="Times New Roman" w:hAnsi="Times New Roman" w:cs="Times New Roman"/>
          <w:i/>
          <w:sz w:val="24"/>
          <w:szCs w:val="24"/>
        </w:rPr>
        <w:t>et</w:t>
      </w:r>
      <w:proofErr w:type="spellEnd"/>
      <w:r w:rsidRPr="008C31B3">
        <w:rPr>
          <w:rFonts w:ascii="Times New Roman" w:hAnsi="Times New Roman" w:cs="Times New Roman"/>
          <w:i/>
          <w:sz w:val="24"/>
          <w:szCs w:val="24"/>
        </w:rPr>
        <w:t xml:space="preserve"> al. </w:t>
      </w:r>
      <w:r w:rsidRPr="008C31B3">
        <w:rPr>
          <w:rFonts w:ascii="Times New Roman" w:hAnsi="Times New Roman" w:cs="Times New Roman"/>
          <w:sz w:val="24"/>
          <w:szCs w:val="24"/>
        </w:rPr>
        <w:t>(2012).</w:t>
      </w:r>
    </w:p>
  </w:footnote>
  <w:footnote w:id="10">
    <w:p w:rsidR="00B45E26" w:rsidRPr="008C31B3" w:rsidRDefault="00B45E26" w:rsidP="006A1557">
      <w:pPr>
        <w:pStyle w:val="Textodenotaderodap"/>
        <w:jc w:val="both"/>
        <w:rPr>
          <w:rFonts w:ascii="Times New Roman" w:hAnsi="Times New Roman" w:cs="Times New Roman"/>
          <w:sz w:val="24"/>
          <w:szCs w:val="24"/>
        </w:rPr>
      </w:pPr>
      <w:r w:rsidRPr="00D904F2">
        <w:rPr>
          <w:rStyle w:val="Refdenotaderodap"/>
          <w:rFonts w:ascii="Times New Roman" w:hAnsi="Times New Roman" w:cs="Times New Roman"/>
          <w:sz w:val="22"/>
          <w:szCs w:val="22"/>
        </w:rPr>
        <w:footnoteRef/>
      </w:r>
      <w:r w:rsidRPr="00D904F2">
        <w:rPr>
          <w:rFonts w:ascii="Times New Roman" w:hAnsi="Times New Roman" w:cs="Times New Roman"/>
          <w:sz w:val="22"/>
          <w:szCs w:val="22"/>
        </w:rPr>
        <w:t xml:space="preserve"> </w:t>
      </w:r>
      <w:r w:rsidRPr="008C31B3">
        <w:rPr>
          <w:rFonts w:ascii="Times New Roman" w:hAnsi="Times New Roman" w:cs="Times New Roman"/>
          <w:sz w:val="24"/>
          <w:szCs w:val="24"/>
        </w:rPr>
        <w:t xml:space="preserve">Os modelos de </w:t>
      </w:r>
      <w:proofErr w:type="spellStart"/>
      <w:r w:rsidRPr="008C31B3">
        <w:rPr>
          <w:rFonts w:ascii="Times New Roman" w:hAnsi="Times New Roman" w:cs="Times New Roman"/>
          <w:sz w:val="24"/>
          <w:szCs w:val="24"/>
        </w:rPr>
        <w:t>Roll</w:t>
      </w:r>
      <w:proofErr w:type="spellEnd"/>
      <w:r w:rsidRPr="008C31B3">
        <w:rPr>
          <w:rFonts w:ascii="Times New Roman" w:hAnsi="Times New Roman" w:cs="Times New Roman"/>
          <w:sz w:val="24"/>
          <w:szCs w:val="24"/>
        </w:rPr>
        <w:t>, CDP, TWM e CFTC adotam as variações nos preços negociados em suas met</w:t>
      </w:r>
      <w:r>
        <w:rPr>
          <w:rFonts w:ascii="Times New Roman" w:hAnsi="Times New Roman" w:cs="Times New Roman"/>
          <w:sz w:val="24"/>
          <w:szCs w:val="24"/>
        </w:rPr>
        <w:t>odologias, e conforme a Tabela 3</w:t>
      </w:r>
      <w:r w:rsidRPr="008C31B3">
        <w:rPr>
          <w:rFonts w:ascii="Times New Roman" w:hAnsi="Times New Roman" w:cs="Times New Roman"/>
          <w:sz w:val="24"/>
          <w:szCs w:val="24"/>
        </w:rPr>
        <w:t>, os demais contratos apresentaram poucas negociações, impossibilitando a utilização das metodologias propostas.</w:t>
      </w:r>
    </w:p>
  </w:footnote>
  <w:footnote w:id="11">
    <w:p w:rsidR="00B45E26" w:rsidRPr="00D71CD1" w:rsidRDefault="00B45E26" w:rsidP="006A1557">
      <w:pPr>
        <w:pStyle w:val="Textodenotaderodap"/>
        <w:jc w:val="both"/>
        <w:rPr>
          <w:rFonts w:ascii="Times New Roman" w:hAnsi="Times New Roman" w:cs="Times New Roman"/>
          <w:sz w:val="24"/>
          <w:szCs w:val="24"/>
        </w:rPr>
      </w:pPr>
      <w:r w:rsidRPr="00D71CD1">
        <w:rPr>
          <w:rStyle w:val="Refdenotaderodap"/>
          <w:rFonts w:ascii="Times New Roman" w:hAnsi="Times New Roman" w:cs="Times New Roman"/>
          <w:sz w:val="24"/>
          <w:szCs w:val="24"/>
        </w:rPr>
        <w:footnoteRef/>
      </w:r>
      <w:r w:rsidRPr="00D71CD1">
        <w:rPr>
          <w:rFonts w:ascii="Times New Roman" w:hAnsi="Times New Roman" w:cs="Times New Roman"/>
          <w:sz w:val="24"/>
          <w:szCs w:val="24"/>
        </w:rPr>
        <w:t xml:space="preserve"> </w:t>
      </w:r>
      <w:r w:rsidRPr="00D71CD1">
        <w:rPr>
          <w:rFonts w:ascii="Times New Roman" w:eastAsiaTheme="minorEastAsia" w:hAnsi="Times New Roman" w:cs="Times New Roman"/>
          <w:sz w:val="24"/>
          <w:szCs w:val="24"/>
        </w:rPr>
        <w:t xml:space="preserve">Nos trabalhos de </w:t>
      </w:r>
      <w:r w:rsidRPr="00D71CD1">
        <w:rPr>
          <w:rFonts w:ascii="Times New Roman" w:hAnsi="Times New Roman" w:cs="Times New Roman"/>
          <w:sz w:val="24"/>
          <w:szCs w:val="24"/>
        </w:rPr>
        <w:t xml:space="preserve">Frank e Garcia (2010) e </w:t>
      </w:r>
      <w:proofErr w:type="spellStart"/>
      <w:r w:rsidRPr="00D71CD1">
        <w:rPr>
          <w:rFonts w:ascii="Times New Roman" w:hAnsi="Times New Roman" w:cs="Times New Roman"/>
          <w:sz w:val="24"/>
          <w:szCs w:val="24"/>
        </w:rPr>
        <w:t>Wang</w:t>
      </w:r>
      <w:proofErr w:type="spellEnd"/>
      <w:r w:rsidRPr="00D71CD1">
        <w:rPr>
          <w:rFonts w:ascii="Times New Roman" w:hAnsi="Times New Roman" w:cs="Times New Roman"/>
          <w:sz w:val="24"/>
          <w:szCs w:val="24"/>
        </w:rPr>
        <w:t xml:space="preserve"> </w:t>
      </w:r>
      <w:proofErr w:type="spellStart"/>
      <w:proofErr w:type="gramStart"/>
      <w:r w:rsidRPr="00D71CD1">
        <w:rPr>
          <w:rFonts w:ascii="Times New Roman" w:hAnsi="Times New Roman" w:cs="Times New Roman"/>
          <w:i/>
          <w:sz w:val="24"/>
          <w:szCs w:val="24"/>
        </w:rPr>
        <w:t>et</w:t>
      </w:r>
      <w:proofErr w:type="spellEnd"/>
      <w:proofErr w:type="gramEnd"/>
      <w:r w:rsidRPr="00D71CD1">
        <w:rPr>
          <w:rFonts w:ascii="Times New Roman" w:hAnsi="Times New Roman" w:cs="Times New Roman"/>
          <w:i/>
          <w:sz w:val="24"/>
          <w:szCs w:val="24"/>
        </w:rPr>
        <w:t xml:space="preserve"> al.</w:t>
      </w:r>
      <w:r w:rsidRPr="00D71CD1">
        <w:rPr>
          <w:rFonts w:ascii="Times New Roman" w:hAnsi="Times New Roman" w:cs="Times New Roman"/>
          <w:sz w:val="24"/>
          <w:szCs w:val="24"/>
        </w:rPr>
        <w:t xml:space="preserve"> (2012) os autores utilizaram como instrumentos volume defasado, volume médio defasado e primeira diferença do desvio padrão dos preços. Porém, os dados utilizados neste trabalho não apresentaram elevadas correlações entre as variáveis explicativas e as variáveis instrumentais quando utilizados como instrumento as variáveis defasadas, e por isso optou-se a utilização as variáveis em primeira diferença.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03EF9"/>
    <w:multiLevelType w:val="multilevel"/>
    <w:tmpl w:val="9EA002B0"/>
    <w:lvl w:ilvl="0">
      <w:start w:val="3"/>
      <w:numFmt w:val="decimal"/>
      <w:lvlText w:val="%1."/>
      <w:lvlJc w:val="left"/>
      <w:pPr>
        <w:ind w:left="720" w:hanging="360"/>
      </w:pPr>
      <w:rPr>
        <w:rFonts w:eastAsia="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27A3A7D"/>
    <w:multiLevelType w:val="hybridMultilevel"/>
    <w:tmpl w:val="A24017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2094411"/>
    <w:multiLevelType w:val="hybridMultilevel"/>
    <w:tmpl w:val="20BE58F0"/>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A596F"/>
    <w:rsid w:val="00056997"/>
    <w:rsid w:val="0007629D"/>
    <w:rsid w:val="000F2A00"/>
    <w:rsid w:val="0012443E"/>
    <w:rsid w:val="001363C9"/>
    <w:rsid w:val="00160CE0"/>
    <w:rsid w:val="00186031"/>
    <w:rsid w:val="001C5EBC"/>
    <w:rsid w:val="00203121"/>
    <w:rsid w:val="0022255F"/>
    <w:rsid w:val="0024046C"/>
    <w:rsid w:val="002470D3"/>
    <w:rsid w:val="002624D2"/>
    <w:rsid w:val="002A44C6"/>
    <w:rsid w:val="002A5673"/>
    <w:rsid w:val="002E4EC6"/>
    <w:rsid w:val="00304FB9"/>
    <w:rsid w:val="00376281"/>
    <w:rsid w:val="0038188D"/>
    <w:rsid w:val="003C0151"/>
    <w:rsid w:val="003D025E"/>
    <w:rsid w:val="003F1166"/>
    <w:rsid w:val="003F4033"/>
    <w:rsid w:val="00417AC1"/>
    <w:rsid w:val="00434155"/>
    <w:rsid w:val="004346E0"/>
    <w:rsid w:val="004460BE"/>
    <w:rsid w:val="00446895"/>
    <w:rsid w:val="00495EC5"/>
    <w:rsid w:val="004A42F6"/>
    <w:rsid w:val="004A53E5"/>
    <w:rsid w:val="004C6B00"/>
    <w:rsid w:val="004E36C0"/>
    <w:rsid w:val="005141D9"/>
    <w:rsid w:val="00525E95"/>
    <w:rsid w:val="005266FC"/>
    <w:rsid w:val="005326E8"/>
    <w:rsid w:val="00533123"/>
    <w:rsid w:val="00567504"/>
    <w:rsid w:val="005A0429"/>
    <w:rsid w:val="005B1723"/>
    <w:rsid w:val="005D58C4"/>
    <w:rsid w:val="00627501"/>
    <w:rsid w:val="006A1557"/>
    <w:rsid w:val="006B3880"/>
    <w:rsid w:val="006F567E"/>
    <w:rsid w:val="007209DA"/>
    <w:rsid w:val="0073510F"/>
    <w:rsid w:val="007776E3"/>
    <w:rsid w:val="007A25EC"/>
    <w:rsid w:val="008B2483"/>
    <w:rsid w:val="008C31B3"/>
    <w:rsid w:val="00931165"/>
    <w:rsid w:val="009367EA"/>
    <w:rsid w:val="009378EF"/>
    <w:rsid w:val="009C2ED2"/>
    <w:rsid w:val="009F7C3E"/>
    <w:rsid w:val="00A00127"/>
    <w:rsid w:val="00A1266F"/>
    <w:rsid w:val="00A1550D"/>
    <w:rsid w:val="00A156B7"/>
    <w:rsid w:val="00A66971"/>
    <w:rsid w:val="00AC20ED"/>
    <w:rsid w:val="00AC41D5"/>
    <w:rsid w:val="00B00D61"/>
    <w:rsid w:val="00B235FC"/>
    <w:rsid w:val="00B42757"/>
    <w:rsid w:val="00B45104"/>
    <w:rsid w:val="00B4513A"/>
    <w:rsid w:val="00B45E26"/>
    <w:rsid w:val="00B905C0"/>
    <w:rsid w:val="00BB041D"/>
    <w:rsid w:val="00BC4BF1"/>
    <w:rsid w:val="00BC6126"/>
    <w:rsid w:val="00BD488C"/>
    <w:rsid w:val="00C048A8"/>
    <w:rsid w:val="00C256BB"/>
    <w:rsid w:val="00C34F37"/>
    <w:rsid w:val="00C8326C"/>
    <w:rsid w:val="00C972CF"/>
    <w:rsid w:val="00CA596F"/>
    <w:rsid w:val="00CB6F60"/>
    <w:rsid w:val="00CE130C"/>
    <w:rsid w:val="00CF698F"/>
    <w:rsid w:val="00D34CAA"/>
    <w:rsid w:val="00D422E8"/>
    <w:rsid w:val="00D71CD1"/>
    <w:rsid w:val="00D94B5D"/>
    <w:rsid w:val="00DC0453"/>
    <w:rsid w:val="00ED715A"/>
    <w:rsid w:val="00EF7A59"/>
    <w:rsid w:val="00F02656"/>
    <w:rsid w:val="00F41212"/>
    <w:rsid w:val="00F4387A"/>
    <w:rsid w:val="00F43988"/>
    <w:rsid w:val="00F64A28"/>
    <w:rsid w:val="00F71B09"/>
    <w:rsid w:val="00FC65D8"/>
    <w:rsid w:val="00FC6BF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96F"/>
  </w:style>
  <w:style w:type="paragraph" w:styleId="Ttulo1">
    <w:name w:val="heading 1"/>
    <w:basedOn w:val="Normal"/>
    <w:next w:val="Normal"/>
    <w:link w:val="Ttulo1Char"/>
    <w:uiPriority w:val="9"/>
    <w:qFormat/>
    <w:rsid w:val="00D422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CA59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unhideWhenUsed/>
    <w:qFormat/>
    <w:rsid w:val="00CA596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unhideWhenUsed/>
    <w:qFormat/>
    <w:rsid w:val="00D422E8"/>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7">
    <w:name w:val="heading 7"/>
    <w:basedOn w:val="Normal"/>
    <w:next w:val="Normal"/>
    <w:link w:val="Ttulo7Char"/>
    <w:uiPriority w:val="9"/>
    <w:semiHidden/>
    <w:unhideWhenUsed/>
    <w:qFormat/>
    <w:rsid w:val="00D422E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D422E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422E8"/>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CA596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CA596F"/>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D422E8"/>
    <w:rPr>
      <w:rFonts w:asciiTheme="majorHAnsi" w:eastAsiaTheme="majorEastAsia" w:hAnsiTheme="majorHAnsi" w:cstheme="majorBidi"/>
      <w:b/>
      <w:bCs/>
      <w:i/>
      <w:iCs/>
      <w:color w:val="4F81BD" w:themeColor="accent1"/>
    </w:rPr>
  </w:style>
  <w:style w:type="character" w:customStyle="1" w:styleId="Ttulo7Char">
    <w:name w:val="Título 7 Char"/>
    <w:basedOn w:val="Fontepargpadro"/>
    <w:link w:val="Ttulo7"/>
    <w:uiPriority w:val="9"/>
    <w:semiHidden/>
    <w:rsid w:val="00D422E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D422E8"/>
    <w:rPr>
      <w:rFonts w:asciiTheme="majorHAnsi" w:eastAsiaTheme="majorEastAsia" w:hAnsiTheme="majorHAnsi" w:cstheme="majorBidi"/>
      <w:color w:val="404040" w:themeColor="text1" w:themeTint="BF"/>
      <w:sz w:val="20"/>
      <w:szCs w:val="20"/>
    </w:rPr>
  </w:style>
  <w:style w:type="paragraph" w:styleId="Textodenotaderodap">
    <w:name w:val="footnote text"/>
    <w:basedOn w:val="Normal"/>
    <w:link w:val="TextodenotaderodapChar"/>
    <w:unhideWhenUsed/>
    <w:rsid w:val="00CA596F"/>
    <w:pPr>
      <w:spacing w:after="0" w:line="240" w:lineRule="auto"/>
    </w:pPr>
    <w:rPr>
      <w:sz w:val="20"/>
      <w:szCs w:val="20"/>
    </w:rPr>
  </w:style>
  <w:style w:type="character" w:customStyle="1" w:styleId="TextodenotaderodapChar">
    <w:name w:val="Texto de nota de rodapé Char"/>
    <w:basedOn w:val="Fontepargpadro"/>
    <w:link w:val="Textodenotaderodap"/>
    <w:rsid w:val="00CA596F"/>
    <w:rPr>
      <w:sz w:val="20"/>
      <w:szCs w:val="20"/>
    </w:rPr>
  </w:style>
  <w:style w:type="paragraph" w:styleId="Legenda">
    <w:name w:val="caption"/>
    <w:basedOn w:val="Normal"/>
    <w:next w:val="Normal"/>
    <w:uiPriority w:val="35"/>
    <w:unhideWhenUsed/>
    <w:qFormat/>
    <w:rsid w:val="00CA596F"/>
    <w:pPr>
      <w:spacing w:line="240" w:lineRule="auto"/>
    </w:pPr>
    <w:rPr>
      <w:b/>
      <w:bCs/>
      <w:color w:val="4F81BD" w:themeColor="accent1"/>
      <w:sz w:val="18"/>
      <w:szCs w:val="18"/>
    </w:rPr>
  </w:style>
  <w:style w:type="paragraph" w:styleId="PargrafodaLista">
    <w:name w:val="List Paragraph"/>
    <w:basedOn w:val="Normal"/>
    <w:uiPriority w:val="34"/>
    <w:qFormat/>
    <w:rsid w:val="00CA596F"/>
    <w:pPr>
      <w:ind w:left="720"/>
      <w:contextualSpacing/>
    </w:pPr>
  </w:style>
  <w:style w:type="paragraph" w:customStyle="1" w:styleId="Default">
    <w:name w:val="Default"/>
    <w:rsid w:val="00CA596F"/>
    <w:pPr>
      <w:autoSpaceDE w:val="0"/>
      <w:autoSpaceDN w:val="0"/>
      <w:adjustRightInd w:val="0"/>
      <w:spacing w:after="0" w:line="240" w:lineRule="auto"/>
    </w:pPr>
    <w:rPr>
      <w:rFonts w:ascii="Times New Roman" w:hAnsi="Times New Roman" w:cs="Times New Roman"/>
      <w:color w:val="000000"/>
      <w:sz w:val="24"/>
      <w:szCs w:val="24"/>
    </w:rPr>
  </w:style>
  <w:style w:type="character" w:styleId="Refdenotaderodap">
    <w:name w:val="footnote reference"/>
    <w:basedOn w:val="Fontepargpadro"/>
    <w:semiHidden/>
    <w:unhideWhenUsed/>
    <w:rsid w:val="00CA596F"/>
    <w:rPr>
      <w:vertAlign w:val="superscript"/>
    </w:rPr>
  </w:style>
  <w:style w:type="character" w:customStyle="1" w:styleId="apple-style-span">
    <w:name w:val="apple-style-span"/>
    <w:basedOn w:val="Fontepargpadro"/>
    <w:rsid w:val="00CA596F"/>
  </w:style>
  <w:style w:type="table" w:styleId="Tabelacomgrade">
    <w:name w:val="Table Grid"/>
    <w:basedOn w:val="Tabelanormal"/>
    <w:uiPriority w:val="59"/>
    <w:rsid w:val="00CA59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CA596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A596F"/>
    <w:rPr>
      <w:rFonts w:ascii="Tahoma" w:hAnsi="Tahoma" w:cs="Tahoma"/>
      <w:sz w:val="16"/>
      <w:szCs w:val="16"/>
    </w:rPr>
  </w:style>
  <w:style w:type="table" w:customStyle="1" w:styleId="SombreamentoClaro2">
    <w:name w:val="Sombreamento Claro2"/>
    <w:basedOn w:val="Tabelanormal"/>
    <w:uiPriority w:val="60"/>
    <w:rsid w:val="00D422E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Fontepargpadro"/>
    <w:uiPriority w:val="99"/>
    <w:unhideWhenUsed/>
    <w:rsid w:val="00D422E8"/>
    <w:rPr>
      <w:color w:val="0000FF"/>
      <w:u w:val="single"/>
    </w:rPr>
  </w:style>
  <w:style w:type="character" w:styleId="Forte">
    <w:name w:val="Strong"/>
    <w:basedOn w:val="Fontepargpadro"/>
    <w:uiPriority w:val="22"/>
    <w:qFormat/>
    <w:rsid w:val="00D422E8"/>
    <w:rPr>
      <w:b/>
      <w:bCs/>
    </w:rPr>
  </w:style>
  <w:style w:type="character" w:customStyle="1" w:styleId="apple-converted-space">
    <w:name w:val="apple-converted-space"/>
    <w:basedOn w:val="Fontepargpadro"/>
    <w:rsid w:val="00D422E8"/>
  </w:style>
  <w:style w:type="character" w:styleId="nfase">
    <w:name w:val="Emphasis"/>
    <w:basedOn w:val="Fontepargpadro"/>
    <w:uiPriority w:val="20"/>
    <w:qFormat/>
    <w:rsid w:val="00D422E8"/>
    <w:rPr>
      <w:i/>
      <w:iCs/>
    </w:rPr>
  </w:style>
  <w:style w:type="character" w:customStyle="1" w:styleId="hps">
    <w:name w:val="hps"/>
    <w:basedOn w:val="Fontepargpadro"/>
    <w:rsid w:val="00D422E8"/>
  </w:style>
  <w:style w:type="paragraph" w:styleId="Cabealho">
    <w:name w:val="header"/>
    <w:basedOn w:val="Normal"/>
    <w:link w:val="CabealhoChar"/>
    <w:unhideWhenUsed/>
    <w:rsid w:val="00D422E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422E8"/>
  </w:style>
  <w:style w:type="paragraph" w:styleId="Rodap">
    <w:name w:val="footer"/>
    <w:basedOn w:val="Normal"/>
    <w:link w:val="RodapChar"/>
    <w:uiPriority w:val="99"/>
    <w:unhideWhenUsed/>
    <w:rsid w:val="00D422E8"/>
    <w:pPr>
      <w:tabs>
        <w:tab w:val="center" w:pos="4252"/>
        <w:tab w:val="right" w:pos="8504"/>
      </w:tabs>
      <w:spacing w:after="0" w:line="240" w:lineRule="auto"/>
    </w:pPr>
  </w:style>
  <w:style w:type="character" w:customStyle="1" w:styleId="RodapChar">
    <w:name w:val="Rodapé Char"/>
    <w:basedOn w:val="Fontepargpadro"/>
    <w:link w:val="Rodap"/>
    <w:uiPriority w:val="99"/>
    <w:rsid w:val="00D422E8"/>
  </w:style>
  <w:style w:type="paragraph" w:styleId="Ttulo">
    <w:name w:val="Title"/>
    <w:basedOn w:val="Normal"/>
    <w:link w:val="TtuloChar"/>
    <w:qFormat/>
    <w:rsid w:val="00D422E8"/>
    <w:pPr>
      <w:spacing w:after="0" w:line="240" w:lineRule="auto"/>
      <w:jc w:val="center"/>
    </w:pPr>
    <w:rPr>
      <w:rFonts w:ascii="Arial" w:eastAsia="Times New Roman" w:hAnsi="Arial" w:cs="Times New Roman"/>
      <w:b/>
      <w:sz w:val="32"/>
      <w:szCs w:val="20"/>
      <w:lang w:eastAsia="pt-BR"/>
    </w:rPr>
  </w:style>
  <w:style w:type="character" w:customStyle="1" w:styleId="TtuloChar">
    <w:name w:val="Título Char"/>
    <w:basedOn w:val="Fontepargpadro"/>
    <w:link w:val="Ttulo"/>
    <w:rsid w:val="00D422E8"/>
    <w:rPr>
      <w:rFonts w:ascii="Arial" w:eastAsia="Times New Roman" w:hAnsi="Arial" w:cs="Times New Roman"/>
      <w:b/>
      <w:sz w:val="32"/>
      <w:szCs w:val="20"/>
      <w:lang w:eastAsia="pt-BR"/>
    </w:rPr>
  </w:style>
  <w:style w:type="paragraph" w:customStyle="1" w:styleId="Citaolongamaisde3linhas">
    <w:name w:val="Citação longa (mais de 3 linhas)"/>
    <w:basedOn w:val="Normal"/>
    <w:rsid w:val="00D422E8"/>
    <w:pPr>
      <w:spacing w:after="0" w:line="240" w:lineRule="auto"/>
      <w:ind w:left="567"/>
      <w:jc w:val="both"/>
    </w:pPr>
    <w:rPr>
      <w:rFonts w:ascii="Arial" w:eastAsia="Times New Roman" w:hAnsi="Arial" w:cs="Arial"/>
      <w:szCs w:val="20"/>
      <w:lang w:eastAsia="pt-BR"/>
    </w:rPr>
  </w:style>
  <w:style w:type="paragraph" w:customStyle="1" w:styleId="Resumo">
    <w:name w:val="Resumo"/>
    <w:basedOn w:val="Normal"/>
    <w:rsid w:val="00D422E8"/>
    <w:pPr>
      <w:spacing w:after="0" w:line="360" w:lineRule="auto"/>
      <w:ind w:firstLine="567"/>
      <w:jc w:val="both"/>
    </w:pPr>
    <w:rPr>
      <w:rFonts w:ascii="Arial" w:eastAsia="Times New Roman" w:hAnsi="Arial" w:cs="Arial"/>
      <w:szCs w:val="20"/>
      <w:lang w:eastAsia="pt-BR"/>
    </w:rPr>
  </w:style>
  <w:style w:type="character" w:customStyle="1" w:styleId="Recuodecorpodetexto2Char">
    <w:name w:val="Recuo de corpo de texto 2 Char"/>
    <w:basedOn w:val="Fontepargpadro"/>
    <w:link w:val="Recuodecorpodetexto2"/>
    <w:semiHidden/>
    <w:rsid w:val="00D422E8"/>
    <w:rPr>
      <w:rFonts w:ascii="Arial" w:eastAsia="Times New Roman" w:hAnsi="Arial" w:cs="Arial"/>
      <w:szCs w:val="20"/>
      <w:lang w:eastAsia="pt-BR"/>
    </w:rPr>
  </w:style>
  <w:style w:type="paragraph" w:styleId="Recuodecorpodetexto2">
    <w:name w:val="Body Text Indent 2"/>
    <w:basedOn w:val="Normal"/>
    <w:link w:val="Recuodecorpodetexto2Char"/>
    <w:semiHidden/>
    <w:rsid w:val="00D422E8"/>
    <w:pPr>
      <w:spacing w:after="120" w:line="480" w:lineRule="auto"/>
      <w:ind w:left="283" w:firstLine="567"/>
      <w:jc w:val="both"/>
    </w:pPr>
    <w:rPr>
      <w:rFonts w:ascii="Arial" w:eastAsia="Times New Roman" w:hAnsi="Arial" w:cs="Arial"/>
      <w:szCs w:val="20"/>
      <w:lang w:eastAsia="pt-BR"/>
    </w:rPr>
  </w:style>
  <w:style w:type="character" w:customStyle="1" w:styleId="Recuodecorpodetexto3Char">
    <w:name w:val="Recuo de corpo de texto 3 Char"/>
    <w:basedOn w:val="Fontepargpadro"/>
    <w:link w:val="Recuodecorpodetexto3"/>
    <w:uiPriority w:val="99"/>
    <w:semiHidden/>
    <w:rsid w:val="00D422E8"/>
    <w:rPr>
      <w:sz w:val="16"/>
      <w:szCs w:val="16"/>
    </w:rPr>
  </w:style>
  <w:style w:type="paragraph" w:styleId="Recuodecorpodetexto3">
    <w:name w:val="Body Text Indent 3"/>
    <w:basedOn w:val="Normal"/>
    <w:link w:val="Recuodecorpodetexto3Char"/>
    <w:uiPriority w:val="99"/>
    <w:semiHidden/>
    <w:unhideWhenUsed/>
    <w:rsid w:val="00D422E8"/>
    <w:pPr>
      <w:spacing w:after="120"/>
      <w:ind w:left="283"/>
    </w:pPr>
    <w:rPr>
      <w:sz w:val="16"/>
      <w:szCs w:val="16"/>
    </w:rPr>
  </w:style>
  <w:style w:type="paragraph" w:styleId="Corpodetexto2">
    <w:name w:val="Body Text 2"/>
    <w:basedOn w:val="Normal"/>
    <w:link w:val="Corpodetexto2Char"/>
    <w:uiPriority w:val="99"/>
    <w:unhideWhenUsed/>
    <w:rsid w:val="00D422E8"/>
    <w:pPr>
      <w:spacing w:after="120" w:line="480" w:lineRule="auto"/>
    </w:pPr>
  </w:style>
  <w:style w:type="character" w:customStyle="1" w:styleId="Corpodetexto2Char">
    <w:name w:val="Corpo de texto 2 Char"/>
    <w:basedOn w:val="Fontepargpadro"/>
    <w:link w:val="Corpodetexto2"/>
    <w:uiPriority w:val="99"/>
    <w:rsid w:val="00D422E8"/>
  </w:style>
  <w:style w:type="paragraph" w:styleId="NormalWeb">
    <w:name w:val="Normal (Web)"/>
    <w:basedOn w:val="Normal"/>
    <w:uiPriority w:val="99"/>
    <w:unhideWhenUsed/>
    <w:rsid w:val="00D422E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djust">
    <w:name w:val="adjust"/>
    <w:basedOn w:val="Fontepargpadro"/>
    <w:rsid w:val="00D422E8"/>
  </w:style>
  <w:style w:type="character" w:customStyle="1" w:styleId="TextodenotadefimChar">
    <w:name w:val="Texto de nota de fim Char"/>
    <w:basedOn w:val="Fontepargpadro"/>
    <w:link w:val="Textodenotadefim"/>
    <w:uiPriority w:val="99"/>
    <w:semiHidden/>
    <w:rsid w:val="00D422E8"/>
    <w:rPr>
      <w:sz w:val="20"/>
      <w:szCs w:val="20"/>
    </w:rPr>
  </w:style>
  <w:style w:type="paragraph" w:styleId="Textodenotadefim">
    <w:name w:val="endnote text"/>
    <w:basedOn w:val="Normal"/>
    <w:link w:val="TextodenotadefimChar"/>
    <w:uiPriority w:val="99"/>
    <w:semiHidden/>
    <w:unhideWhenUsed/>
    <w:rsid w:val="00D422E8"/>
    <w:pPr>
      <w:spacing w:after="0" w:line="240" w:lineRule="auto"/>
    </w:pPr>
    <w:rPr>
      <w:sz w:val="20"/>
      <w:szCs w:val="20"/>
    </w:rPr>
  </w:style>
  <w:style w:type="paragraph" w:customStyle="1" w:styleId="PargrafoaDireita">
    <w:name w:val="Parágrafo a Direita"/>
    <w:rsid w:val="00D422E8"/>
    <w:pPr>
      <w:spacing w:after="0" w:line="480" w:lineRule="exact"/>
      <w:jc w:val="right"/>
    </w:pPr>
    <w:rPr>
      <w:rFonts w:ascii="Times New Roman" w:eastAsia="Times New Roman" w:hAnsi="Times New Roman" w:cs="Times New Roman"/>
      <w:sz w:val="26"/>
      <w:szCs w:val="20"/>
      <w:lang w:eastAsia="pt-BR"/>
    </w:rPr>
  </w:style>
  <w:style w:type="paragraph" w:styleId="CabealhodoSumrio">
    <w:name w:val="TOC Heading"/>
    <w:basedOn w:val="Ttulo1"/>
    <w:next w:val="Normal"/>
    <w:uiPriority w:val="39"/>
    <w:unhideWhenUsed/>
    <w:qFormat/>
    <w:rsid w:val="00D422E8"/>
    <w:pPr>
      <w:outlineLvl w:val="9"/>
    </w:pPr>
  </w:style>
  <w:style w:type="paragraph" w:styleId="Sumrio1">
    <w:name w:val="toc 1"/>
    <w:basedOn w:val="Normal"/>
    <w:next w:val="Normal"/>
    <w:autoRedefine/>
    <w:uiPriority w:val="39"/>
    <w:unhideWhenUsed/>
    <w:qFormat/>
    <w:rsid w:val="00D422E8"/>
    <w:pPr>
      <w:tabs>
        <w:tab w:val="right" w:leader="dot" w:pos="8494"/>
      </w:tabs>
      <w:spacing w:after="100"/>
      <w:jc w:val="both"/>
    </w:pPr>
  </w:style>
  <w:style w:type="paragraph" w:styleId="Sumrio2">
    <w:name w:val="toc 2"/>
    <w:basedOn w:val="Normal"/>
    <w:next w:val="Normal"/>
    <w:autoRedefine/>
    <w:uiPriority w:val="39"/>
    <w:unhideWhenUsed/>
    <w:qFormat/>
    <w:rsid w:val="00D422E8"/>
    <w:pPr>
      <w:spacing w:after="100"/>
      <w:ind w:left="220"/>
    </w:pPr>
  </w:style>
  <w:style w:type="paragraph" w:styleId="Sumrio3">
    <w:name w:val="toc 3"/>
    <w:basedOn w:val="Normal"/>
    <w:next w:val="Normal"/>
    <w:autoRedefine/>
    <w:uiPriority w:val="39"/>
    <w:unhideWhenUsed/>
    <w:qFormat/>
    <w:rsid w:val="00D422E8"/>
    <w:pPr>
      <w:spacing w:after="100"/>
      <w:ind w:left="440"/>
    </w:pPr>
  </w:style>
  <w:style w:type="paragraph" w:styleId="ndicedeilustraes">
    <w:name w:val="table of figures"/>
    <w:basedOn w:val="Normal"/>
    <w:next w:val="Normal"/>
    <w:uiPriority w:val="99"/>
    <w:unhideWhenUsed/>
    <w:rsid w:val="00D422E8"/>
    <w:pPr>
      <w:spacing w:after="0"/>
    </w:pPr>
  </w:style>
  <w:style w:type="paragraph" w:customStyle="1" w:styleId="TextosemFormatao3">
    <w:name w:val="Texto sem Formatação3"/>
    <w:basedOn w:val="Normal"/>
    <w:rsid w:val="00D422E8"/>
    <w:pPr>
      <w:overflowPunct w:val="0"/>
      <w:autoSpaceDE w:val="0"/>
      <w:autoSpaceDN w:val="0"/>
      <w:adjustRightInd w:val="0"/>
      <w:spacing w:after="0" w:line="240" w:lineRule="auto"/>
      <w:textAlignment w:val="baseline"/>
    </w:pPr>
    <w:rPr>
      <w:rFonts w:ascii="Courier New" w:eastAsia="Times New Roman" w:hAnsi="Courier New" w:cs="Times New Roman"/>
      <w:sz w:val="20"/>
      <w:szCs w:val="20"/>
      <w:lang w:eastAsia="pt-BR"/>
    </w:rPr>
  </w:style>
  <w:style w:type="character" w:styleId="TextodoEspaoReservado">
    <w:name w:val="Placeholder Text"/>
    <w:basedOn w:val="Fontepargpadro"/>
    <w:uiPriority w:val="99"/>
    <w:semiHidden/>
    <w:rsid w:val="00B00D61"/>
    <w:rPr>
      <w:color w:val="808080"/>
    </w:rPr>
  </w:style>
</w:styles>
</file>

<file path=word/webSettings.xml><?xml version="1.0" encoding="utf-8"?>
<w:webSettings xmlns:r="http://schemas.openxmlformats.org/officeDocument/2006/relationships" xmlns:w="http://schemas.openxmlformats.org/wordprocessingml/2006/main">
  <w:divs>
    <w:div w:id="28992253">
      <w:bodyDiv w:val="1"/>
      <w:marLeft w:val="0"/>
      <w:marRight w:val="0"/>
      <w:marTop w:val="0"/>
      <w:marBottom w:val="0"/>
      <w:divBdr>
        <w:top w:val="none" w:sz="0" w:space="0" w:color="auto"/>
        <w:left w:val="none" w:sz="0" w:space="0" w:color="auto"/>
        <w:bottom w:val="none" w:sz="0" w:space="0" w:color="auto"/>
        <w:right w:val="none" w:sz="0" w:space="0" w:color="auto"/>
      </w:divBdr>
    </w:div>
    <w:div w:id="860776072">
      <w:bodyDiv w:val="1"/>
      <w:marLeft w:val="0"/>
      <w:marRight w:val="0"/>
      <w:marTop w:val="0"/>
      <w:marBottom w:val="0"/>
      <w:divBdr>
        <w:top w:val="none" w:sz="0" w:space="0" w:color="auto"/>
        <w:left w:val="none" w:sz="0" w:space="0" w:color="auto"/>
        <w:bottom w:val="none" w:sz="0" w:space="0" w:color="auto"/>
        <w:right w:val="none" w:sz="0" w:space="0" w:color="auto"/>
      </w:divBdr>
    </w:div>
    <w:div w:id="161979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investorbrasil.com/investor/public/files/FuturodeSojae%20Milho..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biove.org.br/site/index.php?page=estatistica%20&amp;area=NC0yLTE=" TargetMode="External"/><Relationship Id="rId17" Type="http://schemas.openxmlformats.org/officeDocument/2006/relationships/hyperlink" Target="http://openlibrary.org/publishers/College_of_Commerce_and_Business_Administration,_University_of_Illinois_at_Urbana-Champaign" TargetMode="External"/><Relationship Id="rId2" Type="http://schemas.openxmlformats.org/officeDocument/2006/relationships/numbering" Target="numbering.xml"/><Relationship Id="rId16" Type="http://schemas.openxmlformats.org/officeDocument/2006/relationships/hyperlink" Target="http://www.iica.int/Esp/regiones/sur/brasil/Lists/Noticias/Disp%20Form.aspx?ID=5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www.conab.gov.br/conteudos.php?a=1252&amp;t=2&amp;Pagina_objcmsconteudos=3" TargetMode="Externa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www.cmegroup.co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esktop\Disserta&#231;&#227;o\EXCEL\EFICIENCIA%20ROLL,%20CDP,%20TWM%20E%20CDP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P\Desktop\Disserta&#231;&#227;o\EXCEL\EFICIENCIA%20ROLL,%20CDP,%20TWM%20E%20CDP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P\Desktop\Disserta&#231;&#227;o\EXCEL\EFICIENCIA%20ROLL,%20CDP,%20TWM%20E%20CDP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style val="1"/>
  <c:chart>
    <c:plotArea>
      <c:layout/>
      <c:lineChart>
        <c:grouping val="standard"/>
        <c:ser>
          <c:idx val="0"/>
          <c:order val="0"/>
          <c:tx>
            <c:strRef>
              <c:f>Plan1!$B$1</c:f>
              <c:strCache>
                <c:ptCount val="1"/>
                <c:pt idx="0">
                  <c:v>Custo de Liquidez</c:v>
                </c:pt>
              </c:strCache>
            </c:strRef>
          </c:tx>
          <c:cat>
            <c:strRef>
              <c:f>Plan1!$A$2:$A$12</c:f>
              <c:strCache>
                <c:ptCount val="11"/>
                <c:pt idx="0">
                  <c:v>Nov</c:v>
                </c:pt>
                <c:pt idx="1">
                  <c:v>Nov</c:v>
                </c:pt>
                <c:pt idx="2">
                  <c:v>Dez</c:v>
                </c:pt>
                <c:pt idx="3">
                  <c:v>Dez</c:v>
                </c:pt>
                <c:pt idx="4">
                  <c:v>Jan</c:v>
                </c:pt>
                <c:pt idx="5">
                  <c:v>Jan</c:v>
                </c:pt>
                <c:pt idx="6">
                  <c:v>Fev</c:v>
                </c:pt>
                <c:pt idx="7">
                  <c:v>Fev</c:v>
                </c:pt>
                <c:pt idx="8">
                  <c:v>Mar</c:v>
                </c:pt>
                <c:pt idx="9">
                  <c:v>Mar</c:v>
                </c:pt>
                <c:pt idx="10">
                  <c:v>Abr</c:v>
                </c:pt>
              </c:strCache>
            </c:strRef>
          </c:cat>
          <c:val>
            <c:numRef>
              <c:f>Plan1!$B$2:$B$12</c:f>
              <c:numCache>
                <c:formatCode>_-[$$-409]* #,##0.00_ ;_-[$$-409]* \-#,##0.00\ ;_-[$$-409]* "-"??_ ;_-@_ </c:formatCode>
                <c:ptCount val="11"/>
                <c:pt idx="0">
                  <c:v>0.1600000000000002</c:v>
                </c:pt>
                <c:pt idx="1">
                  <c:v>0.17</c:v>
                </c:pt>
                <c:pt idx="2">
                  <c:v>0.15000000000000024</c:v>
                </c:pt>
                <c:pt idx="3">
                  <c:v>0.14800000000000021</c:v>
                </c:pt>
                <c:pt idx="4">
                  <c:v>0.14900000000000024</c:v>
                </c:pt>
                <c:pt idx="5">
                  <c:v>0.17900000000000021</c:v>
                </c:pt>
                <c:pt idx="6">
                  <c:v>0.17500000000000004</c:v>
                </c:pt>
                <c:pt idx="7">
                  <c:v>0.1590000000000005</c:v>
                </c:pt>
                <c:pt idx="8">
                  <c:v>0.125</c:v>
                </c:pt>
                <c:pt idx="9">
                  <c:v>0.1590000000000005</c:v>
                </c:pt>
                <c:pt idx="10">
                  <c:v>0.19400000000000023</c:v>
                </c:pt>
              </c:numCache>
            </c:numRef>
          </c:val>
        </c:ser>
        <c:ser>
          <c:idx val="1"/>
          <c:order val="1"/>
          <c:tx>
            <c:strRef>
              <c:f>Plan1!$C$1</c:f>
              <c:strCache>
                <c:ptCount val="1"/>
                <c:pt idx="0">
                  <c:v>Roll</c:v>
                </c:pt>
              </c:strCache>
            </c:strRef>
          </c:tx>
          <c:cat>
            <c:strRef>
              <c:f>Plan1!$A$2:$A$12</c:f>
              <c:strCache>
                <c:ptCount val="11"/>
                <c:pt idx="0">
                  <c:v>Nov</c:v>
                </c:pt>
                <c:pt idx="1">
                  <c:v>Nov</c:v>
                </c:pt>
                <c:pt idx="2">
                  <c:v>Dez</c:v>
                </c:pt>
                <c:pt idx="3">
                  <c:v>Dez</c:v>
                </c:pt>
                <c:pt idx="4">
                  <c:v>Jan</c:v>
                </c:pt>
                <c:pt idx="5">
                  <c:v>Jan</c:v>
                </c:pt>
                <c:pt idx="6">
                  <c:v>Fev</c:v>
                </c:pt>
                <c:pt idx="7">
                  <c:v>Fev</c:v>
                </c:pt>
                <c:pt idx="8">
                  <c:v>Mar</c:v>
                </c:pt>
                <c:pt idx="9">
                  <c:v>Mar</c:v>
                </c:pt>
                <c:pt idx="10">
                  <c:v>Abr</c:v>
                </c:pt>
              </c:strCache>
            </c:strRef>
          </c:cat>
          <c:val>
            <c:numRef>
              <c:f>Plan1!$C$2:$C$12</c:f>
              <c:numCache>
                <c:formatCode>_-[$$-409]* #,##0.00_ ;_-[$$-409]* \-#,##0.00\ ;_-[$$-409]* "-"??_ ;_-@_ </c:formatCode>
                <c:ptCount val="11"/>
                <c:pt idx="0">
                  <c:v>4.0000000000000091E-2</c:v>
                </c:pt>
                <c:pt idx="1">
                  <c:v>4.0000000000000091E-2</c:v>
                </c:pt>
                <c:pt idx="2">
                  <c:v>4.0000000000000091E-2</c:v>
                </c:pt>
                <c:pt idx="3">
                  <c:v>4.0000000000000091E-2</c:v>
                </c:pt>
                <c:pt idx="4">
                  <c:v>2.0000000000000046E-2</c:v>
                </c:pt>
                <c:pt idx="5">
                  <c:v>4.0000000000000091E-2</c:v>
                </c:pt>
                <c:pt idx="6">
                  <c:v>3.0000000000000068E-2</c:v>
                </c:pt>
                <c:pt idx="7">
                  <c:v>9.0000000000000066E-2</c:v>
                </c:pt>
                <c:pt idx="8">
                  <c:v>6.000000000000013E-2</c:v>
                </c:pt>
                <c:pt idx="9">
                  <c:v>2.0000000000000046E-2</c:v>
                </c:pt>
                <c:pt idx="10">
                  <c:v>8.000000000000021E-2</c:v>
                </c:pt>
              </c:numCache>
            </c:numRef>
          </c:val>
        </c:ser>
        <c:ser>
          <c:idx val="2"/>
          <c:order val="2"/>
          <c:tx>
            <c:strRef>
              <c:f>Plan1!$D$1</c:f>
              <c:strCache>
                <c:ptCount val="1"/>
                <c:pt idx="0">
                  <c:v>CDP</c:v>
                </c:pt>
              </c:strCache>
            </c:strRef>
          </c:tx>
          <c:cat>
            <c:strRef>
              <c:f>Plan1!$A$2:$A$12</c:f>
              <c:strCache>
                <c:ptCount val="11"/>
                <c:pt idx="0">
                  <c:v>Nov</c:v>
                </c:pt>
                <c:pt idx="1">
                  <c:v>Nov</c:v>
                </c:pt>
                <c:pt idx="2">
                  <c:v>Dez</c:v>
                </c:pt>
                <c:pt idx="3">
                  <c:v>Dez</c:v>
                </c:pt>
                <c:pt idx="4">
                  <c:v>Jan</c:v>
                </c:pt>
                <c:pt idx="5">
                  <c:v>Jan</c:v>
                </c:pt>
                <c:pt idx="6">
                  <c:v>Fev</c:v>
                </c:pt>
                <c:pt idx="7">
                  <c:v>Fev</c:v>
                </c:pt>
                <c:pt idx="8">
                  <c:v>Mar</c:v>
                </c:pt>
                <c:pt idx="9">
                  <c:v>Mar</c:v>
                </c:pt>
                <c:pt idx="10">
                  <c:v>Abr</c:v>
                </c:pt>
              </c:strCache>
            </c:strRef>
          </c:cat>
          <c:val>
            <c:numRef>
              <c:f>Plan1!$D$2:$D$12</c:f>
              <c:numCache>
                <c:formatCode>_-[$$-409]* #,##0.00_ ;_-[$$-409]* \-#,##0.00\ ;_-[$$-409]* "-"??_ ;_-@_ </c:formatCode>
                <c:ptCount val="11"/>
                <c:pt idx="0">
                  <c:v>4.0000000000000091E-2</c:v>
                </c:pt>
                <c:pt idx="1">
                  <c:v>4.0000000000000091E-2</c:v>
                </c:pt>
                <c:pt idx="2">
                  <c:v>5.00000000000001E-2</c:v>
                </c:pt>
                <c:pt idx="3">
                  <c:v>5.00000000000001E-2</c:v>
                </c:pt>
                <c:pt idx="4">
                  <c:v>2.0000000000000046E-2</c:v>
                </c:pt>
                <c:pt idx="5">
                  <c:v>5.00000000000001E-2</c:v>
                </c:pt>
                <c:pt idx="6">
                  <c:v>4.0000000000000091E-2</c:v>
                </c:pt>
                <c:pt idx="7">
                  <c:v>0.11000000000000008</c:v>
                </c:pt>
                <c:pt idx="8">
                  <c:v>7.0000000000000034E-2</c:v>
                </c:pt>
                <c:pt idx="9">
                  <c:v>3.0000000000000068E-2</c:v>
                </c:pt>
                <c:pt idx="10">
                  <c:v>9.0000000000000066E-2</c:v>
                </c:pt>
              </c:numCache>
            </c:numRef>
          </c:val>
        </c:ser>
        <c:ser>
          <c:idx val="3"/>
          <c:order val="3"/>
          <c:tx>
            <c:strRef>
              <c:f>Plan1!$E$1</c:f>
              <c:strCache>
                <c:ptCount val="1"/>
                <c:pt idx="0">
                  <c:v>TWM</c:v>
                </c:pt>
              </c:strCache>
            </c:strRef>
          </c:tx>
          <c:cat>
            <c:strRef>
              <c:f>Plan1!$A$2:$A$12</c:f>
              <c:strCache>
                <c:ptCount val="11"/>
                <c:pt idx="0">
                  <c:v>Nov</c:v>
                </c:pt>
                <c:pt idx="1">
                  <c:v>Nov</c:v>
                </c:pt>
                <c:pt idx="2">
                  <c:v>Dez</c:v>
                </c:pt>
                <c:pt idx="3">
                  <c:v>Dez</c:v>
                </c:pt>
                <c:pt idx="4">
                  <c:v>Jan</c:v>
                </c:pt>
                <c:pt idx="5">
                  <c:v>Jan</c:v>
                </c:pt>
                <c:pt idx="6">
                  <c:v>Fev</c:v>
                </c:pt>
                <c:pt idx="7">
                  <c:v>Fev</c:v>
                </c:pt>
                <c:pt idx="8">
                  <c:v>Mar</c:v>
                </c:pt>
                <c:pt idx="9">
                  <c:v>Mar</c:v>
                </c:pt>
                <c:pt idx="10">
                  <c:v>Abr</c:v>
                </c:pt>
              </c:strCache>
            </c:strRef>
          </c:cat>
          <c:val>
            <c:numRef>
              <c:f>Plan1!$E$2:$E$12</c:f>
              <c:numCache>
                <c:formatCode>_-[$$-409]* #,##0.00_ ;_-[$$-409]* \-#,##0.00\ ;_-[$$-409]* "-"??_ ;_-@_ </c:formatCode>
                <c:ptCount val="11"/>
                <c:pt idx="0">
                  <c:v>4.8000000000000084E-2</c:v>
                </c:pt>
                <c:pt idx="1">
                  <c:v>7.1000000000000021E-2</c:v>
                </c:pt>
                <c:pt idx="2">
                  <c:v>5.80000000000001E-2</c:v>
                </c:pt>
                <c:pt idx="3">
                  <c:v>6.3000000000000014E-2</c:v>
                </c:pt>
                <c:pt idx="4">
                  <c:v>6.2000000000000131E-2</c:v>
                </c:pt>
                <c:pt idx="5">
                  <c:v>5.7000000000000134E-2</c:v>
                </c:pt>
                <c:pt idx="6">
                  <c:v>4.7000000000000125E-2</c:v>
                </c:pt>
                <c:pt idx="7">
                  <c:v>6.4000000000000209E-2</c:v>
                </c:pt>
                <c:pt idx="8">
                  <c:v>9.8000000000000378E-2</c:v>
                </c:pt>
                <c:pt idx="9">
                  <c:v>5.2000000000000143E-2</c:v>
                </c:pt>
                <c:pt idx="10">
                  <c:v>7.1000000000000021E-2</c:v>
                </c:pt>
              </c:numCache>
            </c:numRef>
          </c:val>
        </c:ser>
        <c:ser>
          <c:idx val="4"/>
          <c:order val="4"/>
          <c:tx>
            <c:strRef>
              <c:f>Plan1!$F$1</c:f>
              <c:strCache>
                <c:ptCount val="1"/>
                <c:pt idx="0">
                  <c:v>CFTC</c:v>
                </c:pt>
              </c:strCache>
            </c:strRef>
          </c:tx>
          <c:cat>
            <c:strRef>
              <c:f>Plan1!$A$2:$A$12</c:f>
              <c:strCache>
                <c:ptCount val="11"/>
                <c:pt idx="0">
                  <c:v>Nov</c:v>
                </c:pt>
                <c:pt idx="1">
                  <c:v>Nov</c:v>
                </c:pt>
                <c:pt idx="2">
                  <c:v>Dez</c:v>
                </c:pt>
                <c:pt idx="3">
                  <c:v>Dez</c:v>
                </c:pt>
                <c:pt idx="4">
                  <c:v>Jan</c:v>
                </c:pt>
                <c:pt idx="5">
                  <c:v>Jan</c:v>
                </c:pt>
                <c:pt idx="6">
                  <c:v>Fev</c:v>
                </c:pt>
                <c:pt idx="7">
                  <c:v>Fev</c:v>
                </c:pt>
                <c:pt idx="8">
                  <c:v>Mar</c:v>
                </c:pt>
                <c:pt idx="9">
                  <c:v>Mar</c:v>
                </c:pt>
                <c:pt idx="10">
                  <c:v>Abr</c:v>
                </c:pt>
              </c:strCache>
            </c:strRef>
          </c:cat>
          <c:val>
            <c:numRef>
              <c:f>Plan1!$F$2:$F$12</c:f>
              <c:numCache>
                <c:formatCode>_-[$$-409]* #,##0.00_ ;_-[$$-409]* \-#,##0.00\ ;_-[$$-409]* "-"??_ ;_-@_ </c:formatCode>
                <c:ptCount val="11"/>
                <c:pt idx="0">
                  <c:v>5.00000000000001E-2</c:v>
                </c:pt>
                <c:pt idx="1">
                  <c:v>7.0000000000000034E-2</c:v>
                </c:pt>
                <c:pt idx="2">
                  <c:v>4.0000000000000091E-2</c:v>
                </c:pt>
                <c:pt idx="3">
                  <c:v>7.0000000000000034E-2</c:v>
                </c:pt>
                <c:pt idx="4">
                  <c:v>6.000000000000013E-2</c:v>
                </c:pt>
                <c:pt idx="5">
                  <c:v>6.000000000000013E-2</c:v>
                </c:pt>
                <c:pt idx="6">
                  <c:v>6.000000000000013E-2</c:v>
                </c:pt>
                <c:pt idx="7">
                  <c:v>7.0000000000000034E-2</c:v>
                </c:pt>
                <c:pt idx="8">
                  <c:v>9.0000000000000066E-2</c:v>
                </c:pt>
                <c:pt idx="9">
                  <c:v>6.000000000000013E-2</c:v>
                </c:pt>
                <c:pt idx="10">
                  <c:v>9.0000000000000066E-2</c:v>
                </c:pt>
              </c:numCache>
            </c:numRef>
          </c:val>
        </c:ser>
        <c:marker val="1"/>
        <c:axId val="171900928"/>
        <c:axId val="171903616"/>
      </c:lineChart>
      <c:catAx>
        <c:axId val="171900928"/>
        <c:scaling>
          <c:orientation val="minMax"/>
        </c:scaling>
        <c:axPos val="b"/>
        <c:tickLblPos val="nextTo"/>
        <c:crossAx val="171903616"/>
        <c:crosses val="autoZero"/>
        <c:auto val="1"/>
        <c:lblAlgn val="ctr"/>
        <c:lblOffset val="100"/>
      </c:catAx>
      <c:valAx>
        <c:axId val="171903616"/>
        <c:scaling>
          <c:orientation val="minMax"/>
        </c:scaling>
        <c:axPos val="l"/>
        <c:majorGridlines/>
        <c:numFmt formatCode="_-[$$-409]* #,##0.00_ ;_-[$$-409]* \-#,##0.00\ ;_-[$$-409]* &quot;-&quot;??_ ;_-@_ " sourceLinked="1"/>
        <c:tickLblPos val="nextTo"/>
        <c:crossAx val="171900928"/>
        <c:crosses val="autoZero"/>
        <c:crossBetween val="between"/>
      </c:valAx>
    </c:plotArea>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BR"/>
  <c:style val="1"/>
  <c:chart>
    <c:plotArea>
      <c:layout/>
      <c:lineChart>
        <c:grouping val="standard"/>
        <c:ser>
          <c:idx val="0"/>
          <c:order val="0"/>
          <c:tx>
            <c:strRef>
              <c:f>Plan1!$I$1</c:f>
              <c:strCache>
                <c:ptCount val="1"/>
                <c:pt idx="0">
                  <c:v>Custo de Liquidez</c:v>
                </c:pt>
              </c:strCache>
            </c:strRef>
          </c:tx>
          <c:cat>
            <c:strRef>
              <c:f>Plan1!$H$2:$H$23</c:f>
              <c:strCache>
                <c:ptCount val="22"/>
                <c:pt idx="0">
                  <c:v>Jun</c:v>
                </c:pt>
                <c:pt idx="1">
                  <c:v>Jun</c:v>
                </c:pt>
                <c:pt idx="2">
                  <c:v>Jul</c:v>
                </c:pt>
                <c:pt idx="3">
                  <c:v>Jul</c:v>
                </c:pt>
                <c:pt idx="4">
                  <c:v>Ago</c:v>
                </c:pt>
                <c:pt idx="5">
                  <c:v>Ago</c:v>
                </c:pt>
                <c:pt idx="6">
                  <c:v>Set</c:v>
                </c:pt>
                <c:pt idx="7">
                  <c:v>Set</c:v>
                </c:pt>
                <c:pt idx="8">
                  <c:v>Out</c:v>
                </c:pt>
                <c:pt idx="9">
                  <c:v>Out</c:v>
                </c:pt>
                <c:pt idx="10">
                  <c:v>Nov</c:v>
                </c:pt>
                <c:pt idx="11">
                  <c:v>Nov</c:v>
                </c:pt>
                <c:pt idx="12">
                  <c:v>Dez</c:v>
                </c:pt>
                <c:pt idx="13">
                  <c:v>Dez</c:v>
                </c:pt>
                <c:pt idx="14">
                  <c:v>Jan</c:v>
                </c:pt>
                <c:pt idx="15">
                  <c:v>Jan</c:v>
                </c:pt>
                <c:pt idx="16">
                  <c:v>Fev</c:v>
                </c:pt>
                <c:pt idx="17">
                  <c:v>Fev</c:v>
                </c:pt>
                <c:pt idx="18">
                  <c:v>Mar</c:v>
                </c:pt>
                <c:pt idx="19">
                  <c:v>Mar</c:v>
                </c:pt>
                <c:pt idx="20">
                  <c:v>Abr</c:v>
                </c:pt>
                <c:pt idx="21">
                  <c:v>Abr</c:v>
                </c:pt>
              </c:strCache>
            </c:strRef>
          </c:cat>
          <c:val>
            <c:numRef>
              <c:f>Plan1!$I$2:$I$23</c:f>
              <c:numCache>
                <c:formatCode>_-[$$-409]* #,##0.00_ ;_-[$$-409]* \-#,##0.00\ ;_-[$$-409]* "-"??_ ;_-@_ </c:formatCode>
                <c:ptCount val="22"/>
                <c:pt idx="0">
                  <c:v>0.20400000000000001</c:v>
                </c:pt>
                <c:pt idx="1">
                  <c:v>0.1580000000000005</c:v>
                </c:pt>
                <c:pt idx="2">
                  <c:v>0.19900000000000001</c:v>
                </c:pt>
                <c:pt idx="3">
                  <c:v>0.18700000000000044</c:v>
                </c:pt>
                <c:pt idx="4">
                  <c:v>0.19400000000000001</c:v>
                </c:pt>
                <c:pt idx="5">
                  <c:v>0.19159999999999999</c:v>
                </c:pt>
                <c:pt idx="6">
                  <c:v>0.19400000000000001</c:v>
                </c:pt>
                <c:pt idx="7">
                  <c:v>0.1890000000000005</c:v>
                </c:pt>
                <c:pt idx="8">
                  <c:v>0.22600000000000001</c:v>
                </c:pt>
                <c:pt idx="9">
                  <c:v>0.24000000000000021</c:v>
                </c:pt>
                <c:pt idx="10">
                  <c:v>0.19500000000000001</c:v>
                </c:pt>
                <c:pt idx="11">
                  <c:v>0.16200000000000001</c:v>
                </c:pt>
                <c:pt idx="12">
                  <c:v>0.26900000000000002</c:v>
                </c:pt>
                <c:pt idx="13">
                  <c:v>0.23400000000000001</c:v>
                </c:pt>
                <c:pt idx="14">
                  <c:v>0.25900000000000001</c:v>
                </c:pt>
                <c:pt idx="15">
                  <c:v>0.255</c:v>
                </c:pt>
                <c:pt idx="16">
                  <c:v>0.27300000000000002</c:v>
                </c:pt>
                <c:pt idx="17">
                  <c:v>0.17</c:v>
                </c:pt>
                <c:pt idx="18">
                  <c:v>0.16400000000000001</c:v>
                </c:pt>
                <c:pt idx="19">
                  <c:v>0.20400000000000001</c:v>
                </c:pt>
                <c:pt idx="20">
                  <c:v>0.16400000000000001</c:v>
                </c:pt>
                <c:pt idx="21">
                  <c:v>0.252</c:v>
                </c:pt>
              </c:numCache>
            </c:numRef>
          </c:val>
        </c:ser>
        <c:ser>
          <c:idx val="1"/>
          <c:order val="1"/>
          <c:tx>
            <c:strRef>
              <c:f>Plan1!$J$1</c:f>
              <c:strCache>
                <c:ptCount val="1"/>
                <c:pt idx="0">
                  <c:v>Roll</c:v>
                </c:pt>
              </c:strCache>
            </c:strRef>
          </c:tx>
          <c:cat>
            <c:strRef>
              <c:f>Plan1!$H$2:$H$23</c:f>
              <c:strCache>
                <c:ptCount val="22"/>
                <c:pt idx="0">
                  <c:v>Jun</c:v>
                </c:pt>
                <c:pt idx="1">
                  <c:v>Jun</c:v>
                </c:pt>
                <c:pt idx="2">
                  <c:v>Jul</c:v>
                </c:pt>
                <c:pt idx="3">
                  <c:v>Jul</c:v>
                </c:pt>
                <c:pt idx="4">
                  <c:v>Ago</c:v>
                </c:pt>
                <c:pt idx="5">
                  <c:v>Ago</c:v>
                </c:pt>
                <c:pt idx="6">
                  <c:v>Set</c:v>
                </c:pt>
                <c:pt idx="7">
                  <c:v>Set</c:v>
                </c:pt>
                <c:pt idx="8">
                  <c:v>Out</c:v>
                </c:pt>
                <c:pt idx="9">
                  <c:v>Out</c:v>
                </c:pt>
                <c:pt idx="10">
                  <c:v>Nov</c:v>
                </c:pt>
                <c:pt idx="11">
                  <c:v>Nov</c:v>
                </c:pt>
                <c:pt idx="12">
                  <c:v>Dez</c:v>
                </c:pt>
                <c:pt idx="13">
                  <c:v>Dez</c:v>
                </c:pt>
                <c:pt idx="14">
                  <c:v>Jan</c:v>
                </c:pt>
                <c:pt idx="15">
                  <c:v>Jan</c:v>
                </c:pt>
                <c:pt idx="16">
                  <c:v>Fev</c:v>
                </c:pt>
                <c:pt idx="17">
                  <c:v>Fev</c:v>
                </c:pt>
                <c:pt idx="18">
                  <c:v>Mar</c:v>
                </c:pt>
                <c:pt idx="19">
                  <c:v>Mar</c:v>
                </c:pt>
                <c:pt idx="20">
                  <c:v>Abr</c:v>
                </c:pt>
                <c:pt idx="21">
                  <c:v>Abr</c:v>
                </c:pt>
              </c:strCache>
            </c:strRef>
          </c:cat>
          <c:val>
            <c:numRef>
              <c:f>Plan1!$J$2:$J$23</c:f>
              <c:numCache>
                <c:formatCode>_-[$$-409]* #,##0.00_ ;_-[$$-409]* \-#,##0.00\ ;_-[$$-409]* "-"??_ ;_-@_ </c:formatCode>
                <c:ptCount val="22"/>
                <c:pt idx="0">
                  <c:v>6.0000000000000032E-2</c:v>
                </c:pt>
                <c:pt idx="1">
                  <c:v>6.0000000000000032E-2</c:v>
                </c:pt>
                <c:pt idx="2">
                  <c:v>3.0000000000000002E-2</c:v>
                </c:pt>
                <c:pt idx="3">
                  <c:v>0.05</c:v>
                </c:pt>
                <c:pt idx="4">
                  <c:v>0.05</c:v>
                </c:pt>
                <c:pt idx="5">
                  <c:v>3.0000000000000002E-2</c:v>
                </c:pt>
                <c:pt idx="6">
                  <c:v>0.05</c:v>
                </c:pt>
                <c:pt idx="7">
                  <c:v>0.1</c:v>
                </c:pt>
                <c:pt idx="8">
                  <c:v>4.0000000000000022E-2</c:v>
                </c:pt>
                <c:pt idx="9">
                  <c:v>2.0000000000000011E-2</c:v>
                </c:pt>
                <c:pt idx="10">
                  <c:v>7.0000000000000021E-2</c:v>
                </c:pt>
                <c:pt idx="11">
                  <c:v>8.0000000000000043E-2</c:v>
                </c:pt>
                <c:pt idx="12">
                  <c:v>3.0000000000000002E-2</c:v>
                </c:pt>
                <c:pt idx="13">
                  <c:v>4.0000000000000022E-2</c:v>
                </c:pt>
                <c:pt idx="14">
                  <c:v>6.0000000000000032E-2</c:v>
                </c:pt>
                <c:pt idx="15">
                  <c:v>8.0000000000000043E-2</c:v>
                </c:pt>
                <c:pt idx="16">
                  <c:v>3.0000000000000002E-2</c:v>
                </c:pt>
                <c:pt idx="17">
                  <c:v>1.0000000000000005E-2</c:v>
                </c:pt>
                <c:pt idx="18">
                  <c:v>2.0000000000000011E-2</c:v>
                </c:pt>
                <c:pt idx="19">
                  <c:v>3.0000000000000002E-2</c:v>
                </c:pt>
                <c:pt idx="20">
                  <c:v>4.0000000000000022E-2</c:v>
                </c:pt>
                <c:pt idx="21">
                  <c:v>0.15000000000000024</c:v>
                </c:pt>
              </c:numCache>
            </c:numRef>
          </c:val>
        </c:ser>
        <c:ser>
          <c:idx val="2"/>
          <c:order val="2"/>
          <c:tx>
            <c:strRef>
              <c:f>Plan1!$K$1</c:f>
              <c:strCache>
                <c:ptCount val="1"/>
                <c:pt idx="0">
                  <c:v>CDP</c:v>
                </c:pt>
              </c:strCache>
            </c:strRef>
          </c:tx>
          <c:cat>
            <c:strRef>
              <c:f>Plan1!$H$2:$H$23</c:f>
              <c:strCache>
                <c:ptCount val="22"/>
                <c:pt idx="0">
                  <c:v>Jun</c:v>
                </c:pt>
                <c:pt idx="1">
                  <c:v>Jun</c:v>
                </c:pt>
                <c:pt idx="2">
                  <c:v>Jul</c:v>
                </c:pt>
                <c:pt idx="3">
                  <c:v>Jul</c:v>
                </c:pt>
                <c:pt idx="4">
                  <c:v>Ago</c:v>
                </c:pt>
                <c:pt idx="5">
                  <c:v>Ago</c:v>
                </c:pt>
                <c:pt idx="6">
                  <c:v>Set</c:v>
                </c:pt>
                <c:pt idx="7">
                  <c:v>Set</c:v>
                </c:pt>
                <c:pt idx="8">
                  <c:v>Out</c:v>
                </c:pt>
                <c:pt idx="9">
                  <c:v>Out</c:v>
                </c:pt>
                <c:pt idx="10">
                  <c:v>Nov</c:v>
                </c:pt>
                <c:pt idx="11">
                  <c:v>Nov</c:v>
                </c:pt>
                <c:pt idx="12">
                  <c:v>Dez</c:v>
                </c:pt>
                <c:pt idx="13">
                  <c:v>Dez</c:v>
                </c:pt>
                <c:pt idx="14">
                  <c:v>Jan</c:v>
                </c:pt>
                <c:pt idx="15">
                  <c:v>Jan</c:v>
                </c:pt>
                <c:pt idx="16">
                  <c:v>Fev</c:v>
                </c:pt>
                <c:pt idx="17">
                  <c:v>Fev</c:v>
                </c:pt>
                <c:pt idx="18">
                  <c:v>Mar</c:v>
                </c:pt>
                <c:pt idx="19">
                  <c:v>Mar</c:v>
                </c:pt>
                <c:pt idx="20">
                  <c:v>Abr</c:v>
                </c:pt>
                <c:pt idx="21">
                  <c:v>Abr</c:v>
                </c:pt>
              </c:strCache>
            </c:strRef>
          </c:cat>
          <c:val>
            <c:numRef>
              <c:f>Plan1!$K$2:$K$23</c:f>
              <c:numCache>
                <c:formatCode>_-[$$-409]* #,##0.00_ ;_-[$$-409]* \-#,##0.00\ ;_-[$$-409]* "-"??_ ;_-@_ </c:formatCode>
                <c:ptCount val="22"/>
                <c:pt idx="0">
                  <c:v>6.5000000000000002E-2</c:v>
                </c:pt>
                <c:pt idx="1">
                  <c:v>6.0000000000000032E-2</c:v>
                </c:pt>
                <c:pt idx="2">
                  <c:v>3.0000000000000002E-2</c:v>
                </c:pt>
                <c:pt idx="3">
                  <c:v>0.05</c:v>
                </c:pt>
                <c:pt idx="4">
                  <c:v>4.0000000000000022E-2</c:v>
                </c:pt>
                <c:pt idx="5">
                  <c:v>3.0000000000000002E-2</c:v>
                </c:pt>
                <c:pt idx="6">
                  <c:v>0.05</c:v>
                </c:pt>
                <c:pt idx="7">
                  <c:v>0.1</c:v>
                </c:pt>
                <c:pt idx="8">
                  <c:v>4.0000000000000022E-2</c:v>
                </c:pt>
                <c:pt idx="9">
                  <c:v>2.0000000000000011E-2</c:v>
                </c:pt>
                <c:pt idx="10">
                  <c:v>8.0000000000000043E-2</c:v>
                </c:pt>
                <c:pt idx="11">
                  <c:v>8.0000000000000043E-2</c:v>
                </c:pt>
                <c:pt idx="12">
                  <c:v>3.0000000000000002E-2</c:v>
                </c:pt>
                <c:pt idx="13">
                  <c:v>4.0000000000000022E-2</c:v>
                </c:pt>
                <c:pt idx="14">
                  <c:v>6.0000000000000032E-2</c:v>
                </c:pt>
                <c:pt idx="15">
                  <c:v>9.0000000000000024E-2</c:v>
                </c:pt>
                <c:pt idx="16">
                  <c:v>4.0000000000000022E-2</c:v>
                </c:pt>
                <c:pt idx="17">
                  <c:v>2.0000000000000011E-2</c:v>
                </c:pt>
                <c:pt idx="18">
                  <c:v>3.0000000000000002E-2</c:v>
                </c:pt>
                <c:pt idx="19">
                  <c:v>4.0000000000000022E-2</c:v>
                </c:pt>
                <c:pt idx="20">
                  <c:v>0.05</c:v>
                </c:pt>
                <c:pt idx="21">
                  <c:v>0.14500000000000021</c:v>
                </c:pt>
              </c:numCache>
            </c:numRef>
          </c:val>
        </c:ser>
        <c:ser>
          <c:idx val="3"/>
          <c:order val="3"/>
          <c:tx>
            <c:strRef>
              <c:f>Plan1!$L$1</c:f>
              <c:strCache>
                <c:ptCount val="1"/>
                <c:pt idx="0">
                  <c:v>TWM</c:v>
                </c:pt>
              </c:strCache>
            </c:strRef>
          </c:tx>
          <c:cat>
            <c:strRef>
              <c:f>Plan1!$H$2:$H$23</c:f>
              <c:strCache>
                <c:ptCount val="22"/>
                <c:pt idx="0">
                  <c:v>Jun</c:v>
                </c:pt>
                <c:pt idx="1">
                  <c:v>Jun</c:v>
                </c:pt>
                <c:pt idx="2">
                  <c:v>Jul</c:v>
                </c:pt>
                <c:pt idx="3">
                  <c:v>Jul</c:v>
                </c:pt>
                <c:pt idx="4">
                  <c:v>Ago</c:v>
                </c:pt>
                <c:pt idx="5">
                  <c:v>Ago</c:v>
                </c:pt>
                <c:pt idx="6">
                  <c:v>Set</c:v>
                </c:pt>
                <c:pt idx="7">
                  <c:v>Set</c:v>
                </c:pt>
                <c:pt idx="8">
                  <c:v>Out</c:v>
                </c:pt>
                <c:pt idx="9">
                  <c:v>Out</c:v>
                </c:pt>
                <c:pt idx="10">
                  <c:v>Nov</c:v>
                </c:pt>
                <c:pt idx="11">
                  <c:v>Nov</c:v>
                </c:pt>
                <c:pt idx="12">
                  <c:v>Dez</c:v>
                </c:pt>
                <c:pt idx="13">
                  <c:v>Dez</c:v>
                </c:pt>
                <c:pt idx="14">
                  <c:v>Jan</c:v>
                </c:pt>
                <c:pt idx="15">
                  <c:v>Jan</c:v>
                </c:pt>
                <c:pt idx="16">
                  <c:v>Fev</c:v>
                </c:pt>
                <c:pt idx="17">
                  <c:v>Fev</c:v>
                </c:pt>
                <c:pt idx="18">
                  <c:v>Mar</c:v>
                </c:pt>
                <c:pt idx="19">
                  <c:v>Mar</c:v>
                </c:pt>
                <c:pt idx="20">
                  <c:v>Abr</c:v>
                </c:pt>
                <c:pt idx="21">
                  <c:v>Abr</c:v>
                </c:pt>
              </c:strCache>
            </c:strRef>
          </c:cat>
          <c:val>
            <c:numRef>
              <c:f>Plan1!$L$2:$L$23</c:f>
              <c:numCache>
                <c:formatCode>_-[$$-409]* #,##0.00_ ;_-[$$-409]* \-#,##0.00\ ;_-[$$-409]* "-"??_ ;_-@_ </c:formatCode>
                <c:ptCount val="22"/>
                <c:pt idx="0">
                  <c:v>0.10100000000000002</c:v>
                </c:pt>
                <c:pt idx="1">
                  <c:v>8.0000000000000043E-2</c:v>
                </c:pt>
                <c:pt idx="2">
                  <c:v>7.3999999999999996E-2</c:v>
                </c:pt>
                <c:pt idx="3">
                  <c:v>6.6000000000000003E-2</c:v>
                </c:pt>
                <c:pt idx="4">
                  <c:v>7.5000000000000011E-2</c:v>
                </c:pt>
                <c:pt idx="5">
                  <c:v>5.1000000000000004E-2</c:v>
                </c:pt>
                <c:pt idx="6">
                  <c:v>7.0000000000000021E-2</c:v>
                </c:pt>
                <c:pt idx="7">
                  <c:v>9.8000000000000226E-2</c:v>
                </c:pt>
                <c:pt idx="8">
                  <c:v>9.6000000000000002E-2</c:v>
                </c:pt>
                <c:pt idx="9">
                  <c:v>8.1000000000000003E-2</c:v>
                </c:pt>
                <c:pt idx="10">
                  <c:v>8.0000000000000043E-2</c:v>
                </c:pt>
                <c:pt idx="11">
                  <c:v>8.4000000000000047E-2</c:v>
                </c:pt>
                <c:pt idx="12">
                  <c:v>7.5000000000000011E-2</c:v>
                </c:pt>
                <c:pt idx="13">
                  <c:v>6.7000000000000004E-2</c:v>
                </c:pt>
                <c:pt idx="14">
                  <c:v>8.0000000000000043E-2</c:v>
                </c:pt>
                <c:pt idx="15">
                  <c:v>6.5000000000000002E-2</c:v>
                </c:pt>
                <c:pt idx="16">
                  <c:v>0.05</c:v>
                </c:pt>
                <c:pt idx="17">
                  <c:v>5.6000000000000001E-2</c:v>
                </c:pt>
                <c:pt idx="18">
                  <c:v>6.2000000000000034E-2</c:v>
                </c:pt>
                <c:pt idx="19">
                  <c:v>5.3000000000000012E-2</c:v>
                </c:pt>
                <c:pt idx="20">
                  <c:v>5.5000000000000014E-2</c:v>
                </c:pt>
                <c:pt idx="21">
                  <c:v>0.14600000000000021</c:v>
                </c:pt>
              </c:numCache>
            </c:numRef>
          </c:val>
        </c:ser>
        <c:ser>
          <c:idx val="4"/>
          <c:order val="4"/>
          <c:tx>
            <c:strRef>
              <c:f>Plan1!$M$1</c:f>
              <c:strCache>
                <c:ptCount val="1"/>
                <c:pt idx="0">
                  <c:v>CFTC</c:v>
                </c:pt>
              </c:strCache>
            </c:strRef>
          </c:tx>
          <c:cat>
            <c:strRef>
              <c:f>Plan1!$H$2:$H$23</c:f>
              <c:strCache>
                <c:ptCount val="22"/>
                <c:pt idx="0">
                  <c:v>Jun</c:v>
                </c:pt>
                <c:pt idx="1">
                  <c:v>Jun</c:v>
                </c:pt>
                <c:pt idx="2">
                  <c:v>Jul</c:v>
                </c:pt>
                <c:pt idx="3">
                  <c:v>Jul</c:v>
                </c:pt>
                <c:pt idx="4">
                  <c:v>Ago</c:v>
                </c:pt>
                <c:pt idx="5">
                  <c:v>Ago</c:v>
                </c:pt>
                <c:pt idx="6">
                  <c:v>Set</c:v>
                </c:pt>
                <c:pt idx="7">
                  <c:v>Set</c:v>
                </c:pt>
                <c:pt idx="8">
                  <c:v>Out</c:v>
                </c:pt>
                <c:pt idx="9">
                  <c:v>Out</c:v>
                </c:pt>
                <c:pt idx="10">
                  <c:v>Nov</c:v>
                </c:pt>
                <c:pt idx="11">
                  <c:v>Nov</c:v>
                </c:pt>
                <c:pt idx="12">
                  <c:v>Dez</c:v>
                </c:pt>
                <c:pt idx="13">
                  <c:v>Dez</c:v>
                </c:pt>
                <c:pt idx="14">
                  <c:v>Jan</c:v>
                </c:pt>
                <c:pt idx="15">
                  <c:v>Jan</c:v>
                </c:pt>
                <c:pt idx="16">
                  <c:v>Fev</c:v>
                </c:pt>
                <c:pt idx="17">
                  <c:v>Fev</c:v>
                </c:pt>
                <c:pt idx="18">
                  <c:v>Mar</c:v>
                </c:pt>
                <c:pt idx="19">
                  <c:v>Mar</c:v>
                </c:pt>
                <c:pt idx="20">
                  <c:v>Abr</c:v>
                </c:pt>
                <c:pt idx="21">
                  <c:v>Abr</c:v>
                </c:pt>
              </c:strCache>
            </c:strRef>
          </c:cat>
          <c:val>
            <c:numRef>
              <c:f>Plan1!$M$2:$M$23</c:f>
              <c:numCache>
                <c:formatCode>_-[$$-409]* #,##0.00_ ;_-[$$-409]* \-#,##0.00\ ;_-[$$-409]* "-"??_ ;_-@_ </c:formatCode>
                <c:ptCount val="22"/>
                <c:pt idx="0">
                  <c:v>0.11</c:v>
                </c:pt>
                <c:pt idx="1">
                  <c:v>9.0000000000000024E-2</c:v>
                </c:pt>
                <c:pt idx="2">
                  <c:v>8.0000000000000043E-2</c:v>
                </c:pt>
                <c:pt idx="3">
                  <c:v>7.0000000000000021E-2</c:v>
                </c:pt>
                <c:pt idx="4">
                  <c:v>9.0000000000000024E-2</c:v>
                </c:pt>
                <c:pt idx="5">
                  <c:v>6.0000000000000032E-2</c:v>
                </c:pt>
                <c:pt idx="6">
                  <c:v>7.0000000000000021E-2</c:v>
                </c:pt>
                <c:pt idx="7">
                  <c:v>9.0000000000000024E-2</c:v>
                </c:pt>
                <c:pt idx="8">
                  <c:v>9.0000000000000024E-2</c:v>
                </c:pt>
                <c:pt idx="9">
                  <c:v>8.0000000000000043E-2</c:v>
                </c:pt>
                <c:pt idx="10">
                  <c:v>9.0000000000000024E-2</c:v>
                </c:pt>
                <c:pt idx="11">
                  <c:v>0.1</c:v>
                </c:pt>
                <c:pt idx="12">
                  <c:v>9.0000000000000024E-2</c:v>
                </c:pt>
                <c:pt idx="13">
                  <c:v>9.0000000000000024E-2</c:v>
                </c:pt>
                <c:pt idx="14">
                  <c:v>9.0000000000000024E-2</c:v>
                </c:pt>
                <c:pt idx="15">
                  <c:v>8.0000000000000043E-2</c:v>
                </c:pt>
                <c:pt idx="16">
                  <c:v>6.0000000000000032E-2</c:v>
                </c:pt>
                <c:pt idx="17">
                  <c:v>6.0000000000000032E-2</c:v>
                </c:pt>
                <c:pt idx="18">
                  <c:v>7.0000000000000021E-2</c:v>
                </c:pt>
                <c:pt idx="19">
                  <c:v>0.05</c:v>
                </c:pt>
                <c:pt idx="20">
                  <c:v>6.0000000000000032E-2</c:v>
                </c:pt>
                <c:pt idx="21">
                  <c:v>0.19</c:v>
                </c:pt>
              </c:numCache>
            </c:numRef>
          </c:val>
        </c:ser>
        <c:marker val="1"/>
        <c:axId val="87927040"/>
        <c:axId val="87932928"/>
      </c:lineChart>
      <c:catAx>
        <c:axId val="87927040"/>
        <c:scaling>
          <c:orientation val="minMax"/>
        </c:scaling>
        <c:axPos val="b"/>
        <c:tickLblPos val="nextTo"/>
        <c:crossAx val="87932928"/>
        <c:crosses val="autoZero"/>
        <c:auto val="1"/>
        <c:lblAlgn val="ctr"/>
        <c:lblOffset val="100"/>
      </c:catAx>
      <c:valAx>
        <c:axId val="87932928"/>
        <c:scaling>
          <c:orientation val="minMax"/>
        </c:scaling>
        <c:axPos val="l"/>
        <c:majorGridlines/>
        <c:numFmt formatCode="_-[$$-409]* #,##0.00_ ;_-[$$-409]* \-#,##0.00\ ;_-[$$-409]* &quot;-&quot;??_ ;_-@_ " sourceLinked="1"/>
        <c:tickLblPos val="nextTo"/>
        <c:crossAx val="87927040"/>
        <c:crosses val="autoZero"/>
        <c:crossBetween val="between"/>
      </c:valAx>
    </c:plotArea>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t-BR"/>
  <c:style val="1"/>
  <c:chart>
    <c:plotArea>
      <c:layout/>
      <c:lineChart>
        <c:grouping val="standard"/>
        <c:ser>
          <c:idx val="0"/>
          <c:order val="0"/>
          <c:tx>
            <c:strRef>
              <c:f>Plan1!$I$26</c:f>
              <c:strCache>
                <c:ptCount val="1"/>
                <c:pt idx="0">
                  <c:v>Custo de Liquidez</c:v>
                </c:pt>
              </c:strCache>
            </c:strRef>
          </c:tx>
          <c:cat>
            <c:strRef>
              <c:f>Plan1!$H$27:$H$42</c:f>
              <c:strCache>
                <c:ptCount val="16"/>
                <c:pt idx="0">
                  <c:v>Jul</c:v>
                </c:pt>
                <c:pt idx="1">
                  <c:v>Jul</c:v>
                </c:pt>
                <c:pt idx="2">
                  <c:v>Ago</c:v>
                </c:pt>
                <c:pt idx="3">
                  <c:v>Ago</c:v>
                </c:pt>
                <c:pt idx="4">
                  <c:v>Set</c:v>
                </c:pt>
                <c:pt idx="5">
                  <c:v>Set</c:v>
                </c:pt>
                <c:pt idx="6">
                  <c:v>Out</c:v>
                </c:pt>
                <c:pt idx="7">
                  <c:v>Out</c:v>
                </c:pt>
                <c:pt idx="8">
                  <c:v>Nov</c:v>
                </c:pt>
                <c:pt idx="9">
                  <c:v>Nov</c:v>
                </c:pt>
                <c:pt idx="10">
                  <c:v>Dez</c:v>
                </c:pt>
                <c:pt idx="11">
                  <c:v>Dez</c:v>
                </c:pt>
                <c:pt idx="12">
                  <c:v>Jan</c:v>
                </c:pt>
                <c:pt idx="13">
                  <c:v>Jan</c:v>
                </c:pt>
                <c:pt idx="14">
                  <c:v>Fev</c:v>
                </c:pt>
                <c:pt idx="15">
                  <c:v>Fev</c:v>
                </c:pt>
              </c:strCache>
            </c:strRef>
          </c:cat>
          <c:val>
            <c:numRef>
              <c:f>Plan1!$I$27:$I$42</c:f>
              <c:numCache>
                <c:formatCode>_-[$$-409]* #,##0.00_ ;_-[$$-409]* \-#,##0.00\ ;_-[$$-409]* "-"??_ ;_-@_ </c:formatCode>
                <c:ptCount val="16"/>
                <c:pt idx="0">
                  <c:v>0.4</c:v>
                </c:pt>
                <c:pt idx="1">
                  <c:v>0.47000000000000008</c:v>
                </c:pt>
                <c:pt idx="2">
                  <c:v>0.51</c:v>
                </c:pt>
                <c:pt idx="3">
                  <c:v>0.31000000000000094</c:v>
                </c:pt>
                <c:pt idx="4">
                  <c:v>0.33000000000000124</c:v>
                </c:pt>
                <c:pt idx="5">
                  <c:v>0.30000000000000032</c:v>
                </c:pt>
                <c:pt idx="6">
                  <c:v>0.24000000000000021</c:v>
                </c:pt>
                <c:pt idx="7">
                  <c:v>0.27</c:v>
                </c:pt>
                <c:pt idx="8">
                  <c:v>0.24000000000000021</c:v>
                </c:pt>
                <c:pt idx="9">
                  <c:v>0.35000000000000031</c:v>
                </c:pt>
                <c:pt idx="10">
                  <c:v>0.25</c:v>
                </c:pt>
                <c:pt idx="11">
                  <c:v>0.33000000000000124</c:v>
                </c:pt>
                <c:pt idx="12">
                  <c:v>0.26</c:v>
                </c:pt>
                <c:pt idx="13">
                  <c:v>0.25</c:v>
                </c:pt>
                <c:pt idx="14">
                  <c:v>0.35000000000000031</c:v>
                </c:pt>
                <c:pt idx="15">
                  <c:v>0.31000000000000094</c:v>
                </c:pt>
              </c:numCache>
            </c:numRef>
          </c:val>
        </c:ser>
        <c:ser>
          <c:idx val="1"/>
          <c:order val="1"/>
          <c:tx>
            <c:strRef>
              <c:f>Plan1!$J$26</c:f>
              <c:strCache>
                <c:ptCount val="1"/>
                <c:pt idx="0">
                  <c:v>Roll</c:v>
                </c:pt>
              </c:strCache>
            </c:strRef>
          </c:tx>
          <c:cat>
            <c:strRef>
              <c:f>Plan1!$H$27:$H$42</c:f>
              <c:strCache>
                <c:ptCount val="16"/>
                <c:pt idx="0">
                  <c:v>Jul</c:v>
                </c:pt>
                <c:pt idx="1">
                  <c:v>Jul</c:v>
                </c:pt>
                <c:pt idx="2">
                  <c:v>Ago</c:v>
                </c:pt>
                <c:pt idx="3">
                  <c:v>Ago</c:v>
                </c:pt>
                <c:pt idx="4">
                  <c:v>Set</c:v>
                </c:pt>
                <c:pt idx="5">
                  <c:v>Set</c:v>
                </c:pt>
                <c:pt idx="6">
                  <c:v>Out</c:v>
                </c:pt>
                <c:pt idx="7">
                  <c:v>Out</c:v>
                </c:pt>
                <c:pt idx="8">
                  <c:v>Nov</c:v>
                </c:pt>
                <c:pt idx="9">
                  <c:v>Nov</c:v>
                </c:pt>
                <c:pt idx="10">
                  <c:v>Dez</c:v>
                </c:pt>
                <c:pt idx="11">
                  <c:v>Dez</c:v>
                </c:pt>
                <c:pt idx="12">
                  <c:v>Jan</c:v>
                </c:pt>
                <c:pt idx="13">
                  <c:v>Jan</c:v>
                </c:pt>
                <c:pt idx="14">
                  <c:v>Fev</c:v>
                </c:pt>
                <c:pt idx="15">
                  <c:v>Fev</c:v>
                </c:pt>
              </c:strCache>
            </c:strRef>
          </c:cat>
          <c:val>
            <c:numRef>
              <c:f>Plan1!$J$27:$J$42</c:f>
              <c:numCache>
                <c:formatCode>_-[$$-409]* #,##0.00_ ;_-[$$-409]* \-#,##0.00\ ;_-[$$-409]* "-"??_ ;_-@_ </c:formatCode>
                <c:ptCount val="16"/>
                <c:pt idx="0">
                  <c:v>0.2</c:v>
                </c:pt>
                <c:pt idx="1">
                  <c:v>8.0000000000000043E-2</c:v>
                </c:pt>
                <c:pt idx="2">
                  <c:v>0.22</c:v>
                </c:pt>
                <c:pt idx="3">
                  <c:v>7.0000000000000021E-2</c:v>
                </c:pt>
                <c:pt idx="4">
                  <c:v>0.15000000000000024</c:v>
                </c:pt>
                <c:pt idx="5">
                  <c:v>0.05</c:v>
                </c:pt>
                <c:pt idx="6">
                  <c:v>0.05</c:v>
                </c:pt>
                <c:pt idx="7">
                  <c:v>6.0000000000000032E-2</c:v>
                </c:pt>
                <c:pt idx="8">
                  <c:v>6.0000000000000032E-2</c:v>
                </c:pt>
                <c:pt idx="9">
                  <c:v>8.0000000000000043E-2</c:v>
                </c:pt>
                <c:pt idx="10">
                  <c:v>9.0000000000000024E-2</c:v>
                </c:pt>
                <c:pt idx="11">
                  <c:v>0.18000000000000024</c:v>
                </c:pt>
                <c:pt idx="12">
                  <c:v>1.0000000000000005E-2</c:v>
                </c:pt>
                <c:pt idx="13">
                  <c:v>3.0000000000000002E-2</c:v>
                </c:pt>
                <c:pt idx="14">
                  <c:v>3.0000000000000002E-2</c:v>
                </c:pt>
                <c:pt idx="15">
                  <c:v>2.0000000000000011E-2</c:v>
                </c:pt>
              </c:numCache>
            </c:numRef>
          </c:val>
        </c:ser>
        <c:ser>
          <c:idx val="2"/>
          <c:order val="2"/>
          <c:tx>
            <c:strRef>
              <c:f>Plan1!$K$26</c:f>
              <c:strCache>
                <c:ptCount val="1"/>
                <c:pt idx="0">
                  <c:v>CDP</c:v>
                </c:pt>
              </c:strCache>
            </c:strRef>
          </c:tx>
          <c:cat>
            <c:strRef>
              <c:f>Plan1!$H$27:$H$42</c:f>
              <c:strCache>
                <c:ptCount val="16"/>
                <c:pt idx="0">
                  <c:v>Jul</c:v>
                </c:pt>
                <c:pt idx="1">
                  <c:v>Jul</c:v>
                </c:pt>
                <c:pt idx="2">
                  <c:v>Ago</c:v>
                </c:pt>
                <c:pt idx="3">
                  <c:v>Ago</c:v>
                </c:pt>
                <c:pt idx="4">
                  <c:v>Set</c:v>
                </c:pt>
                <c:pt idx="5">
                  <c:v>Set</c:v>
                </c:pt>
                <c:pt idx="6">
                  <c:v>Out</c:v>
                </c:pt>
                <c:pt idx="7">
                  <c:v>Out</c:v>
                </c:pt>
                <c:pt idx="8">
                  <c:v>Nov</c:v>
                </c:pt>
                <c:pt idx="9">
                  <c:v>Nov</c:v>
                </c:pt>
                <c:pt idx="10">
                  <c:v>Dez</c:v>
                </c:pt>
                <c:pt idx="11">
                  <c:v>Dez</c:v>
                </c:pt>
                <c:pt idx="12">
                  <c:v>Jan</c:v>
                </c:pt>
                <c:pt idx="13">
                  <c:v>Jan</c:v>
                </c:pt>
                <c:pt idx="14">
                  <c:v>Fev</c:v>
                </c:pt>
                <c:pt idx="15">
                  <c:v>Fev</c:v>
                </c:pt>
              </c:strCache>
            </c:strRef>
          </c:cat>
          <c:val>
            <c:numRef>
              <c:f>Plan1!$K$27:$K$42</c:f>
              <c:numCache>
                <c:formatCode>_-[$$-409]* #,##0.00_ ;_-[$$-409]* \-#,##0.00\ ;_-[$$-409]* "-"??_ ;_-@_ </c:formatCode>
                <c:ptCount val="16"/>
                <c:pt idx="0">
                  <c:v>0.16</c:v>
                </c:pt>
                <c:pt idx="1">
                  <c:v>8.0000000000000043E-2</c:v>
                </c:pt>
                <c:pt idx="2">
                  <c:v>0.18000000000000024</c:v>
                </c:pt>
                <c:pt idx="3">
                  <c:v>7.0000000000000021E-2</c:v>
                </c:pt>
                <c:pt idx="4">
                  <c:v>0.14000000000000001</c:v>
                </c:pt>
                <c:pt idx="5">
                  <c:v>0.05</c:v>
                </c:pt>
                <c:pt idx="6">
                  <c:v>0.05</c:v>
                </c:pt>
                <c:pt idx="7">
                  <c:v>6.0000000000000032E-2</c:v>
                </c:pt>
                <c:pt idx="8">
                  <c:v>6.0000000000000032E-2</c:v>
                </c:pt>
                <c:pt idx="9">
                  <c:v>8.0000000000000043E-2</c:v>
                </c:pt>
                <c:pt idx="10">
                  <c:v>8.0000000000000043E-2</c:v>
                </c:pt>
                <c:pt idx="11">
                  <c:v>0.17</c:v>
                </c:pt>
                <c:pt idx="12">
                  <c:v>2.0000000000000011E-2</c:v>
                </c:pt>
                <c:pt idx="13">
                  <c:v>3.0000000000000002E-2</c:v>
                </c:pt>
                <c:pt idx="14">
                  <c:v>4.0000000000000022E-2</c:v>
                </c:pt>
                <c:pt idx="15">
                  <c:v>2.0000000000000011E-2</c:v>
                </c:pt>
              </c:numCache>
            </c:numRef>
          </c:val>
        </c:ser>
        <c:ser>
          <c:idx val="3"/>
          <c:order val="3"/>
          <c:tx>
            <c:strRef>
              <c:f>Plan1!$L$26</c:f>
              <c:strCache>
                <c:ptCount val="1"/>
                <c:pt idx="0">
                  <c:v>TWM</c:v>
                </c:pt>
              </c:strCache>
            </c:strRef>
          </c:tx>
          <c:cat>
            <c:strRef>
              <c:f>Plan1!$H$27:$H$42</c:f>
              <c:strCache>
                <c:ptCount val="16"/>
                <c:pt idx="0">
                  <c:v>Jul</c:v>
                </c:pt>
                <c:pt idx="1">
                  <c:v>Jul</c:v>
                </c:pt>
                <c:pt idx="2">
                  <c:v>Ago</c:v>
                </c:pt>
                <c:pt idx="3">
                  <c:v>Ago</c:v>
                </c:pt>
                <c:pt idx="4">
                  <c:v>Set</c:v>
                </c:pt>
                <c:pt idx="5">
                  <c:v>Set</c:v>
                </c:pt>
                <c:pt idx="6">
                  <c:v>Out</c:v>
                </c:pt>
                <c:pt idx="7">
                  <c:v>Out</c:v>
                </c:pt>
                <c:pt idx="8">
                  <c:v>Nov</c:v>
                </c:pt>
                <c:pt idx="9">
                  <c:v>Nov</c:v>
                </c:pt>
                <c:pt idx="10">
                  <c:v>Dez</c:v>
                </c:pt>
                <c:pt idx="11">
                  <c:v>Dez</c:v>
                </c:pt>
                <c:pt idx="12">
                  <c:v>Jan</c:v>
                </c:pt>
                <c:pt idx="13">
                  <c:v>Jan</c:v>
                </c:pt>
                <c:pt idx="14">
                  <c:v>Fev</c:v>
                </c:pt>
                <c:pt idx="15">
                  <c:v>Fev</c:v>
                </c:pt>
              </c:strCache>
            </c:strRef>
          </c:cat>
          <c:val>
            <c:numRef>
              <c:f>Plan1!$L$27:$L$42</c:f>
              <c:numCache>
                <c:formatCode>_-[$$-409]* #,##0.00_ ;_-[$$-409]* \-#,##0.00\ ;_-[$$-409]* "-"??_ ;_-@_ </c:formatCode>
                <c:ptCount val="16"/>
                <c:pt idx="0">
                  <c:v>0.2</c:v>
                </c:pt>
                <c:pt idx="1">
                  <c:v>0.18000000000000024</c:v>
                </c:pt>
                <c:pt idx="2">
                  <c:v>0.19</c:v>
                </c:pt>
                <c:pt idx="3">
                  <c:v>8.0000000000000043E-2</c:v>
                </c:pt>
                <c:pt idx="4">
                  <c:v>0.1</c:v>
                </c:pt>
                <c:pt idx="5">
                  <c:v>8.0000000000000043E-2</c:v>
                </c:pt>
                <c:pt idx="6">
                  <c:v>9.0000000000000024E-2</c:v>
                </c:pt>
                <c:pt idx="7">
                  <c:v>6.0000000000000032E-2</c:v>
                </c:pt>
                <c:pt idx="8">
                  <c:v>8.0000000000000043E-2</c:v>
                </c:pt>
                <c:pt idx="9">
                  <c:v>6.0000000000000032E-2</c:v>
                </c:pt>
                <c:pt idx="10">
                  <c:v>7.0000000000000021E-2</c:v>
                </c:pt>
                <c:pt idx="11">
                  <c:v>0.12000000000000002</c:v>
                </c:pt>
                <c:pt idx="12">
                  <c:v>6.0000000000000032E-2</c:v>
                </c:pt>
                <c:pt idx="13">
                  <c:v>6.0000000000000032E-2</c:v>
                </c:pt>
                <c:pt idx="14">
                  <c:v>6.0000000000000032E-2</c:v>
                </c:pt>
                <c:pt idx="15">
                  <c:v>0.05</c:v>
                </c:pt>
              </c:numCache>
            </c:numRef>
          </c:val>
        </c:ser>
        <c:ser>
          <c:idx val="4"/>
          <c:order val="4"/>
          <c:tx>
            <c:strRef>
              <c:f>Plan1!$M$26</c:f>
              <c:strCache>
                <c:ptCount val="1"/>
                <c:pt idx="0">
                  <c:v>CFTC</c:v>
                </c:pt>
              </c:strCache>
            </c:strRef>
          </c:tx>
          <c:cat>
            <c:strRef>
              <c:f>Plan1!$H$27:$H$42</c:f>
              <c:strCache>
                <c:ptCount val="16"/>
                <c:pt idx="0">
                  <c:v>Jul</c:v>
                </c:pt>
                <c:pt idx="1">
                  <c:v>Jul</c:v>
                </c:pt>
                <c:pt idx="2">
                  <c:v>Ago</c:v>
                </c:pt>
                <c:pt idx="3">
                  <c:v>Ago</c:v>
                </c:pt>
                <c:pt idx="4">
                  <c:v>Set</c:v>
                </c:pt>
                <c:pt idx="5">
                  <c:v>Set</c:v>
                </c:pt>
                <c:pt idx="6">
                  <c:v>Out</c:v>
                </c:pt>
                <c:pt idx="7">
                  <c:v>Out</c:v>
                </c:pt>
                <c:pt idx="8">
                  <c:v>Nov</c:v>
                </c:pt>
                <c:pt idx="9">
                  <c:v>Nov</c:v>
                </c:pt>
                <c:pt idx="10">
                  <c:v>Dez</c:v>
                </c:pt>
                <c:pt idx="11">
                  <c:v>Dez</c:v>
                </c:pt>
                <c:pt idx="12">
                  <c:v>Jan</c:v>
                </c:pt>
                <c:pt idx="13">
                  <c:v>Jan</c:v>
                </c:pt>
                <c:pt idx="14">
                  <c:v>Fev</c:v>
                </c:pt>
                <c:pt idx="15">
                  <c:v>Fev</c:v>
                </c:pt>
              </c:strCache>
            </c:strRef>
          </c:cat>
          <c:val>
            <c:numRef>
              <c:f>Plan1!$M$27:$M$42</c:f>
              <c:numCache>
                <c:formatCode>_-[$$-409]* #,##0.00_ ;_-[$$-409]* \-#,##0.00\ ;_-[$$-409]* "-"??_ ;_-@_ </c:formatCode>
                <c:ptCount val="16"/>
                <c:pt idx="0">
                  <c:v>0.2</c:v>
                </c:pt>
                <c:pt idx="1">
                  <c:v>0.21000000000000021</c:v>
                </c:pt>
                <c:pt idx="2">
                  <c:v>0.2</c:v>
                </c:pt>
                <c:pt idx="3">
                  <c:v>0.1</c:v>
                </c:pt>
                <c:pt idx="4">
                  <c:v>8.0000000000000043E-2</c:v>
                </c:pt>
                <c:pt idx="5">
                  <c:v>0.16</c:v>
                </c:pt>
                <c:pt idx="6">
                  <c:v>0.11</c:v>
                </c:pt>
                <c:pt idx="7">
                  <c:v>7.0000000000000021E-2</c:v>
                </c:pt>
                <c:pt idx="8">
                  <c:v>9.0000000000000024E-2</c:v>
                </c:pt>
                <c:pt idx="9">
                  <c:v>8.0000000000000043E-2</c:v>
                </c:pt>
                <c:pt idx="10">
                  <c:v>0.11</c:v>
                </c:pt>
                <c:pt idx="11">
                  <c:v>0.13</c:v>
                </c:pt>
                <c:pt idx="12">
                  <c:v>9.0000000000000024E-2</c:v>
                </c:pt>
                <c:pt idx="13">
                  <c:v>9.0000000000000024E-2</c:v>
                </c:pt>
                <c:pt idx="14">
                  <c:v>9.0000000000000024E-2</c:v>
                </c:pt>
                <c:pt idx="15">
                  <c:v>0.16</c:v>
                </c:pt>
              </c:numCache>
            </c:numRef>
          </c:val>
        </c:ser>
        <c:marker val="1"/>
        <c:axId val="87945216"/>
        <c:axId val="87946752"/>
      </c:lineChart>
      <c:catAx>
        <c:axId val="87945216"/>
        <c:scaling>
          <c:orientation val="minMax"/>
        </c:scaling>
        <c:axPos val="b"/>
        <c:tickLblPos val="nextTo"/>
        <c:crossAx val="87946752"/>
        <c:crosses val="autoZero"/>
        <c:auto val="1"/>
        <c:lblAlgn val="ctr"/>
        <c:lblOffset val="100"/>
      </c:catAx>
      <c:valAx>
        <c:axId val="87946752"/>
        <c:scaling>
          <c:orientation val="minMax"/>
        </c:scaling>
        <c:axPos val="l"/>
        <c:majorGridlines/>
        <c:numFmt formatCode="_-[$$-409]* #,##0.00_ ;_-[$$-409]* \-#,##0.00\ ;_-[$$-409]* &quot;-&quot;??_ ;_-@_ " sourceLinked="1"/>
        <c:tickLblPos val="nextTo"/>
        <c:crossAx val="87945216"/>
        <c:crosses val="autoZero"/>
        <c:crossBetween val="between"/>
      </c:valAx>
    </c:plotArea>
    <c:legend>
      <c:legendPos val="b"/>
    </c:legend>
    <c:plotVisOnly val="1"/>
  </c:chart>
  <c:spPr>
    <a:ln>
      <a:noFill/>
    </a:ln>
  </c:spPr>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8AF72F-AEE8-4103-AF0C-A36109A24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20</Pages>
  <Words>10915</Words>
  <Characters>58946</Characters>
  <Application>Microsoft Office Word</Application>
  <DocSecurity>0</DocSecurity>
  <Lines>491</Lines>
  <Paragraphs>139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69722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dc:creator>
  <cp:lastModifiedBy>Charles</cp:lastModifiedBy>
  <cp:revision>23</cp:revision>
  <dcterms:created xsi:type="dcterms:W3CDTF">2013-07-08T17:19:00Z</dcterms:created>
  <dcterms:modified xsi:type="dcterms:W3CDTF">2013-07-22T10:56:00Z</dcterms:modified>
</cp:coreProperties>
</file>