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4103C" w14:textId="77777777" w:rsidR="00401A64" w:rsidRDefault="00401A64" w:rsidP="00401A64">
      <w:pPr>
        <w:widowControl w:val="0"/>
        <w:jc w:val="center"/>
        <w:rPr>
          <w:rFonts w:ascii="Arial" w:hAnsi="Arial" w:cs="Arial"/>
          <w:b/>
          <w:bCs/>
          <w:sz w:val="28"/>
          <w:szCs w:val="28"/>
          <w:lang w:val="en-US"/>
        </w:rPr>
      </w:pPr>
    </w:p>
    <w:p w14:paraId="13BFBBF2" w14:textId="77777777" w:rsidR="00401A64" w:rsidRDefault="00401A64" w:rsidP="00401A64">
      <w:pPr>
        <w:widowControl w:val="0"/>
        <w:jc w:val="center"/>
        <w:rPr>
          <w:rFonts w:ascii="Arial" w:hAnsi="Arial" w:cs="Arial"/>
          <w:b/>
          <w:bCs/>
          <w:sz w:val="28"/>
          <w:szCs w:val="28"/>
          <w:lang w:val="en-US"/>
        </w:rPr>
      </w:pPr>
    </w:p>
    <w:p w14:paraId="3D99E6D7" w14:textId="77777777" w:rsidR="00401A64" w:rsidRDefault="00401A64" w:rsidP="00401A64">
      <w:pPr>
        <w:widowControl w:val="0"/>
        <w:jc w:val="center"/>
        <w:rPr>
          <w:rFonts w:ascii="Arial" w:hAnsi="Arial" w:cs="Arial"/>
          <w:b/>
          <w:color w:val="454545"/>
          <w:sz w:val="28"/>
          <w:szCs w:val="12"/>
          <w:shd w:val="clear" w:color="auto" w:fill="FFFFFF"/>
          <w:lang w:val="en-US"/>
        </w:rPr>
      </w:pPr>
      <w:r w:rsidRPr="00D15782">
        <w:rPr>
          <w:rFonts w:ascii="Arial" w:hAnsi="Arial" w:cs="Arial"/>
          <w:b/>
          <w:color w:val="454545"/>
          <w:sz w:val="28"/>
          <w:szCs w:val="12"/>
          <w:shd w:val="clear" w:color="auto" w:fill="FFFFFF"/>
          <w:lang w:val="en-US"/>
        </w:rPr>
        <w:t>Income Inequality: Some Empirical Evidence from the Brazilian States</w:t>
      </w:r>
    </w:p>
    <w:p w14:paraId="54399B39" w14:textId="77777777" w:rsidR="00401A64" w:rsidRDefault="00401A64" w:rsidP="00401A64">
      <w:pPr>
        <w:widowControl w:val="0"/>
        <w:jc w:val="center"/>
        <w:rPr>
          <w:rFonts w:ascii="Arial" w:hAnsi="Arial" w:cs="Arial"/>
          <w:b/>
          <w:color w:val="454545"/>
          <w:sz w:val="28"/>
          <w:szCs w:val="12"/>
          <w:shd w:val="clear" w:color="auto" w:fill="FFFFFF"/>
          <w:lang w:val="en-US"/>
        </w:rPr>
      </w:pPr>
    </w:p>
    <w:p w14:paraId="4104C0BC" w14:textId="77777777" w:rsidR="00401A64" w:rsidRPr="001F6675" w:rsidRDefault="00401A64" w:rsidP="00401A64">
      <w:pPr>
        <w:widowControl w:val="0"/>
        <w:jc w:val="center"/>
        <w:rPr>
          <w:rFonts w:ascii="Arial" w:hAnsi="Arial" w:cs="Arial"/>
          <w:b/>
          <w:sz w:val="40"/>
          <w:szCs w:val="28"/>
          <w:lang w:val="en-US"/>
        </w:rPr>
      </w:pPr>
    </w:p>
    <w:tbl>
      <w:tblPr>
        <w:tblW w:w="9088" w:type="dxa"/>
        <w:tblInd w:w="-68" w:type="dxa"/>
        <w:tblLayout w:type="fixed"/>
        <w:tblCellMar>
          <w:left w:w="70" w:type="dxa"/>
          <w:right w:w="70" w:type="dxa"/>
        </w:tblCellMar>
        <w:tblLook w:val="0000" w:firstRow="0" w:lastRow="0" w:firstColumn="0" w:lastColumn="0" w:noHBand="0" w:noVBand="0"/>
      </w:tblPr>
      <w:tblGrid>
        <w:gridCol w:w="4599"/>
        <w:gridCol w:w="4489"/>
      </w:tblGrid>
      <w:tr w:rsidR="00401A64" w:rsidRPr="001D3CFF" w14:paraId="6986C423" w14:textId="77777777" w:rsidTr="00595B93">
        <w:tc>
          <w:tcPr>
            <w:tcW w:w="4599" w:type="dxa"/>
          </w:tcPr>
          <w:p w14:paraId="6E62BCC4" w14:textId="77777777" w:rsidR="00401A64" w:rsidRPr="001D3CFF" w:rsidRDefault="00401A64" w:rsidP="00595B93">
            <w:pPr>
              <w:pStyle w:val="Ttulo3"/>
              <w:widowControl w:val="0"/>
              <w:rPr>
                <w:b/>
                <w:bCs/>
                <w:i/>
                <w:iCs/>
                <w:lang w:val="pt-BR" w:eastAsia="pt-BR"/>
              </w:rPr>
            </w:pPr>
            <w:r w:rsidRPr="001D3CFF">
              <w:rPr>
                <w:b/>
                <w:bCs/>
                <w:i/>
                <w:iCs/>
                <w:lang w:val="pt-BR" w:eastAsia="pt-BR"/>
              </w:rPr>
              <w:t>Helder Ferreira de Mendonça</w:t>
            </w:r>
          </w:p>
          <w:p w14:paraId="5CF0AE8D" w14:textId="77777777" w:rsidR="00401A64" w:rsidRPr="001D3CFF" w:rsidRDefault="00401A64" w:rsidP="00595B93">
            <w:pPr>
              <w:widowControl w:val="0"/>
              <w:jc w:val="center"/>
            </w:pPr>
            <w:r w:rsidRPr="001D3CFF">
              <w:t>Fluminense Federal University</w:t>
            </w:r>
          </w:p>
          <w:p w14:paraId="18654119" w14:textId="77777777" w:rsidR="00401A64" w:rsidRPr="001D3CFF" w:rsidRDefault="00401A64" w:rsidP="00595B93">
            <w:pPr>
              <w:widowControl w:val="0"/>
              <w:jc w:val="center"/>
              <w:rPr>
                <w:lang w:val="en-US"/>
              </w:rPr>
            </w:pPr>
            <w:r w:rsidRPr="001D3CFF">
              <w:rPr>
                <w:lang w:val="en-US"/>
              </w:rPr>
              <w:t>Department of Economics, and</w:t>
            </w:r>
          </w:p>
          <w:p w14:paraId="7F7F28CE" w14:textId="77777777" w:rsidR="00401A64" w:rsidRPr="001D3CFF" w:rsidRDefault="00401A64" w:rsidP="00595B93">
            <w:pPr>
              <w:pStyle w:val="Ttulo3"/>
              <w:widowControl w:val="0"/>
              <w:rPr>
                <w:lang w:eastAsia="pt-BR"/>
              </w:rPr>
            </w:pPr>
            <w:r w:rsidRPr="001D3CFF">
              <w:t>National Council for Scientific and Technological Development (CNPq)</w:t>
            </w:r>
          </w:p>
          <w:p w14:paraId="4C4D670A" w14:textId="77777777" w:rsidR="00401A64" w:rsidRPr="001D3CFF" w:rsidRDefault="00401A64" w:rsidP="00595B93">
            <w:pPr>
              <w:widowControl w:val="0"/>
              <w:jc w:val="center"/>
              <w:rPr>
                <w:lang w:val="en-US"/>
              </w:rPr>
            </w:pPr>
          </w:p>
        </w:tc>
        <w:tc>
          <w:tcPr>
            <w:tcW w:w="4489" w:type="dxa"/>
          </w:tcPr>
          <w:p w14:paraId="5076BC61" w14:textId="77777777" w:rsidR="00401A64" w:rsidRPr="001D3CFF" w:rsidRDefault="00401A64" w:rsidP="00595B93">
            <w:pPr>
              <w:pStyle w:val="Ttulo3"/>
              <w:widowControl w:val="0"/>
              <w:rPr>
                <w:b/>
                <w:bCs/>
                <w:i/>
                <w:iCs/>
                <w:lang w:val="pt-BR" w:eastAsia="pt-BR"/>
              </w:rPr>
            </w:pPr>
            <w:r w:rsidRPr="001D3CFF">
              <w:rPr>
                <w:b/>
                <w:bCs/>
                <w:i/>
                <w:iCs/>
                <w:lang w:val="pt-BR" w:eastAsia="pt-BR"/>
              </w:rPr>
              <w:t>Diogo Martins Esteves</w:t>
            </w:r>
          </w:p>
          <w:p w14:paraId="7625B598" w14:textId="77777777" w:rsidR="00401A64" w:rsidRPr="001D3CFF" w:rsidRDefault="00401A64" w:rsidP="00595B93">
            <w:pPr>
              <w:widowControl w:val="0"/>
              <w:jc w:val="center"/>
            </w:pPr>
            <w:r w:rsidRPr="001D3CFF">
              <w:t>Fluminense Federal University</w:t>
            </w:r>
          </w:p>
          <w:p w14:paraId="1FB478B0" w14:textId="77777777" w:rsidR="00401A64" w:rsidRPr="001D3CFF" w:rsidRDefault="00401A64" w:rsidP="00595B93">
            <w:pPr>
              <w:pStyle w:val="Corpodetexto2"/>
              <w:widowControl w:val="0"/>
              <w:spacing w:after="0" w:line="240" w:lineRule="auto"/>
              <w:jc w:val="center"/>
              <w:rPr>
                <w:rFonts w:ascii="Arial" w:hAnsi="Arial" w:cs="Arial"/>
                <w:sz w:val="20"/>
                <w:szCs w:val="20"/>
              </w:rPr>
            </w:pPr>
            <w:r w:rsidRPr="001D3CFF">
              <w:rPr>
                <w:rFonts w:ascii="Times New Roman" w:hAnsi="Times New Roman"/>
                <w:lang w:eastAsia="pt-BR"/>
              </w:rPr>
              <w:t>Department of Economics</w:t>
            </w:r>
            <w:r w:rsidRPr="001D3CFF">
              <w:rPr>
                <w:rFonts w:ascii="Arial" w:hAnsi="Arial" w:cs="Arial"/>
                <w:sz w:val="20"/>
                <w:szCs w:val="20"/>
              </w:rPr>
              <w:t xml:space="preserve"> </w:t>
            </w:r>
          </w:p>
        </w:tc>
      </w:tr>
      <w:tr w:rsidR="00401A64" w:rsidRPr="001D3CFF" w14:paraId="13D665E1" w14:textId="77777777" w:rsidTr="00595B93">
        <w:tc>
          <w:tcPr>
            <w:tcW w:w="4599" w:type="dxa"/>
          </w:tcPr>
          <w:p w14:paraId="721F6880" w14:textId="77777777" w:rsidR="00401A64" w:rsidRPr="001D3CFF" w:rsidRDefault="00401A64" w:rsidP="00595B93">
            <w:pPr>
              <w:pStyle w:val="Ttulo3"/>
              <w:widowControl w:val="0"/>
              <w:rPr>
                <w:i/>
                <w:iCs/>
                <w:sz w:val="20"/>
                <w:szCs w:val="20"/>
                <w:lang w:eastAsia="pt-BR"/>
              </w:rPr>
            </w:pPr>
            <w:hyperlink r:id="rId7" w:history="1">
              <w:r w:rsidRPr="001D3CFF">
                <w:rPr>
                  <w:rStyle w:val="Hyperlink"/>
                  <w:sz w:val="20"/>
                  <w:szCs w:val="20"/>
                </w:rPr>
                <w:t>helderfm@hotmail.com</w:t>
              </w:r>
            </w:hyperlink>
          </w:p>
        </w:tc>
        <w:tc>
          <w:tcPr>
            <w:tcW w:w="4489" w:type="dxa"/>
          </w:tcPr>
          <w:p w14:paraId="39F8E505" w14:textId="77777777" w:rsidR="00401A64" w:rsidRPr="001D3CFF" w:rsidRDefault="00401A64" w:rsidP="00595B93">
            <w:pPr>
              <w:widowControl w:val="0"/>
              <w:jc w:val="center"/>
              <w:rPr>
                <w:b/>
                <w:bCs/>
                <w:i/>
                <w:iCs/>
                <w:lang w:val="en-US"/>
              </w:rPr>
            </w:pPr>
            <w:r w:rsidRPr="001D3CFF">
              <w:rPr>
                <w:rStyle w:val="blockemailnoname2"/>
                <w:rFonts w:eastAsia="Lucida Sans Unicode"/>
                <w:sz w:val="20"/>
                <w:szCs w:val="20"/>
                <w:lang w:val="en-US" w:eastAsia="pt-BR"/>
              </w:rPr>
              <w:t>diogomartinse@yahoo.com.br</w:t>
            </w:r>
          </w:p>
          <w:p w14:paraId="1C76C7A9" w14:textId="77777777" w:rsidR="00401A64" w:rsidRPr="001D3CFF" w:rsidRDefault="00401A64" w:rsidP="00595B93">
            <w:pPr>
              <w:widowControl w:val="0"/>
              <w:jc w:val="center"/>
              <w:rPr>
                <w:lang w:val="en-US"/>
              </w:rPr>
            </w:pPr>
          </w:p>
        </w:tc>
      </w:tr>
    </w:tbl>
    <w:p w14:paraId="230F2728" w14:textId="77777777" w:rsidR="00401A64" w:rsidRPr="001D3CFF" w:rsidRDefault="00401A64" w:rsidP="00401A64">
      <w:pPr>
        <w:pStyle w:val="Ttulo2"/>
        <w:widowControl w:val="0"/>
        <w:ind w:left="0" w:firstLine="0"/>
        <w:jc w:val="center"/>
        <w:rPr>
          <w:rFonts w:ascii="Arial" w:hAnsi="Arial" w:cs="Arial"/>
        </w:rPr>
      </w:pPr>
      <w:r w:rsidRPr="001D3CFF">
        <w:rPr>
          <w:rFonts w:ascii="Arial" w:hAnsi="Arial" w:cs="Arial"/>
        </w:rPr>
        <w:t>Abstract</w:t>
      </w:r>
    </w:p>
    <w:p w14:paraId="175DE8C6" w14:textId="77777777" w:rsidR="00401A64" w:rsidRDefault="00401A64" w:rsidP="00401A64">
      <w:pPr>
        <w:widowControl w:val="0"/>
        <w:rPr>
          <w:highlight w:val="yellow"/>
          <w:lang w:val="en-US"/>
        </w:rPr>
      </w:pPr>
    </w:p>
    <w:p w14:paraId="08B7B319" w14:textId="77777777" w:rsidR="00401A64" w:rsidRPr="00BE120A" w:rsidRDefault="00401A64" w:rsidP="00401A64">
      <w:pPr>
        <w:widowControl w:val="0"/>
        <w:jc w:val="both"/>
        <w:rPr>
          <w:highlight w:val="yellow"/>
          <w:lang w:val="en-US"/>
        </w:rPr>
      </w:pPr>
      <w:r>
        <w:rPr>
          <w:lang w:val="en-US"/>
        </w:rPr>
        <w:t xml:space="preserve">This paper provides some empirical evidence to assess the impact of socioeconomic and political variables on different measures of income inequality based on the 27 units of the Brazilian federation in the period from 1999 to 2008. The Brazilian experience is a good example for understanding the income inequality policies in developing countries. The findings suggest that the improvement observed along the period under analysis is a result of the combination of: </w:t>
      </w:r>
      <w:r>
        <w:rPr>
          <w:lang w:val="en-US"/>
        </w:rPr>
        <w:t>increase trade openness</w:t>
      </w:r>
      <w:r w:rsidRPr="00CB51E4">
        <w:rPr>
          <w:lang w:val="en-US"/>
        </w:rPr>
        <w:t>, technological and financial development, r</w:t>
      </w:r>
      <w:r>
        <w:rPr>
          <w:lang w:val="en-US"/>
        </w:rPr>
        <w:t xml:space="preserve">eduction of the unemployment rate, adoption of social policies that imply a direct effect on the poorest families, and adoption of mechanisms that inhibit corruption. </w:t>
      </w:r>
    </w:p>
    <w:p w14:paraId="0A5E7E48" w14:textId="77777777" w:rsidR="00401A64" w:rsidRPr="0098756F" w:rsidRDefault="00401A64" w:rsidP="00401A64">
      <w:pPr>
        <w:widowControl w:val="0"/>
        <w:rPr>
          <w:highlight w:val="yellow"/>
          <w:lang w:val="en-US"/>
        </w:rPr>
      </w:pPr>
    </w:p>
    <w:p w14:paraId="661F4C79" w14:textId="77777777" w:rsidR="00401A64" w:rsidRPr="00941D7E" w:rsidRDefault="00401A64" w:rsidP="00401A64">
      <w:pPr>
        <w:pStyle w:val="Ttulo2"/>
        <w:widowControl w:val="0"/>
        <w:ind w:left="1440" w:hanging="1440"/>
        <w:rPr>
          <w:b w:val="0"/>
          <w:bCs w:val="0"/>
        </w:rPr>
      </w:pPr>
      <w:r w:rsidRPr="007C2568">
        <w:rPr>
          <w:rFonts w:ascii="Arial" w:hAnsi="Arial" w:cs="Arial"/>
        </w:rPr>
        <w:t>Key words:</w:t>
      </w:r>
      <w:r w:rsidRPr="00941D7E">
        <w:t xml:space="preserve"> </w:t>
      </w:r>
      <w:r w:rsidRPr="00941D7E">
        <w:rPr>
          <w:b w:val="0"/>
        </w:rPr>
        <w:t>I</w:t>
      </w:r>
      <w:r w:rsidRPr="00941D7E">
        <w:rPr>
          <w:b w:val="0"/>
          <w:bCs w:val="0"/>
        </w:rPr>
        <w:t>ncome inequality; Socioeconomic and political variables; States; Brazilian economy.</w:t>
      </w:r>
    </w:p>
    <w:p w14:paraId="59C5A043" w14:textId="77777777" w:rsidR="00401A64" w:rsidRDefault="00401A64" w:rsidP="00401A64">
      <w:pPr>
        <w:widowControl w:val="0"/>
        <w:rPr>
          <w:rFonts w:ascii="Arial" w:hAnsi="Arial" w:cs="Arial"/>
          <w:highlight w:val="yellow"/>
          <w:lang w:val="en-US"/>
        </w:rPr>
      </w:pPr>
    </w:p>
    <w:p w14:paraId="0DA2102C" w14:textId="77777777" w:rsidR="00401A64" w:rsidRPr="00FB3F03" w:rsidRDefault="00401A64" w:rsidP="00401A64">
      <w:pPr>
        <w:pStyle w:val="Ttulo2"/>
        <w:widowControl w:val="0"/>
        <w:ind w:left="0" w:firstLine="0"/>
        <w:jc w:val="center"/>
        <w:rPr>
          <w:rFonts w:ascii="Arial" w:hAnsi="Arial" w:cs="Arial"/>
          <w:lang w:val="pt-BR"/>
        </w:rPr>
      </w:pPr>
      <w:r w:rsidRPr="00FB3F03">
        <w:rPr>
          <w:rFonts w:ascii="Arial" w:hAnsi="Arial" w:cs="Arial"/>
          <w:lang w:val="pt-BR"/>
        </w:rPr>
        <w:t>Resumo</w:t>
      </w:r>
    </w:p>
    <w:p w14:paraId="1D5315B1" w14:textId="77777777" w:rsidR="00401A64" w:rsidRPr="00FB3F03" w:rsidRDefault="00401A64" w:rsidP="00401A64">
      <w:pPr>
        <w:widowControl w:val="0"/>
        <w:rPr>
          <w:highlight w:val="yellow"/>
        </w:rPr>
      </w:pPr>
    </w:p>
    <w:p w14:paraId="1773F980" w14:textId="77777777" w:rsidR="00401A64" w:rsidRDefault="00401A64" w:rsidP="00401A64">
      <w:pPr>
        <w:jc w:val="both"/>
      </w:pPr>
      <w:r w:rsidRPr="00D44654">
        <w:t xml:space="preserve">O artigo fornece evidências </w:t>
      </w:r>
      <w:r>
        <w:t>empíricas para avaliar o impacto de variáveis socioeconômicas e variáveis políticas sobre diferentes medidas de desigualdade de renda para as 27 unidades da federação brasileira no período de 1999 a 2008. A experiência brasileira é um bom exemplo para entender as políticas de desigualdade de renda em economias em desenvolvimento. Os resultados sugerem que a melhora observada no período analisado foi resultado de uma combinação de: aumento do comércio internacional, progresso tecnológico e financeiro, redução da taxa de  desemprego, adoção de políticas sociais focalizadas nas famílias mais pobres e combate a corrupção.</w:t>
      </w:r>
    </w:p>
    <w:p w14:paraId="573760F1" w14:textId="77777777" w:rsidR="00401A64" w:rsidRPr="0098756F" w:rsidRDefault="00401A64" w:rsidP="00401A64">
      <w:pPr>
        <w:widowControl w:val="0"/>
        <w:rPr>
          <w:highlight w:val="yellow"/>
          <w:lang w:val="en-US"/>
        </w:rPr>
      </w:pPr>
    </w:p>
    <w:p w14:paraId="028ED54C" w14:textId="77777777" w:rsidR="00401A64" w:rsidRPr="00D44654" w:rsidRDefault="00401A64" w:rsidP="00401A64">
      <w:pPr>
        <w:pStyle w:val="Ttulo2"/>
        <w:widowControl w:val="0"/>
        <w:ind w:left="1440" w:hanging="1440"/>
        <w:rPr>
          <w:b w:val="0"/>
          <w:bCs w:val="0"/>
          <w:lang w:val="pt-BR"/>
        </w:rPr>
      </w:pPr>
      <w:r>
        <w:rPr>
          <w:rFonts w:ascii="Arial" w:hAnsi="Arial" w:cs="Arial"/>
          <w:lang w:val="pt-BR"/>
        </w:rPr>
        <w:t>Palavras chave</w:t>
      </w:r>
      <w:r w:rsidRPr="00D44654">
        <w:rPr>
          <w:rFonts w:ascii="Arial" w:hAnsi="Arial" w:cs="Arial"/>
          <w:lang w:val="pt-BR"/>
        </w:rPr>
        <w:t>:</w:t>
      </w:r>
      <w:r w:rsidRPr="00D44654">
        <w:rPr>
          <w:lang w:val="pt-BR"/>
        </w:rPr>
        <w:t xml:space="preserve"> </w:t>
      </w:r>
      <w:r w:rsidRPr="00D44654">
        <w:rPr>
          <w:b w:val="0"/>
          <w:lang w:val="pt-BR"/>
        </w:rPr>
        <w:t>Desigualdade de Renda</w:t>
      </w:r>
      <w:r w:rsidRPr="00D44654">
        <w:rPr>
          <w:b w:val="0"/>
          <w:bCs w:val="0"/>
          <w:lang w:val="pt-BR"/>
        </w:rPr>
        <w:t>; Vari</w:t>
      </w:r>
      <w:r>
        <w:rPr>
          <w:b w:val="0"/>
          <w:bCs w:val="0"/>
          <w:lang w:val="pt-BR"/>
        </w:rPr>
        <w:t>áveis socioeconômicas e políticas</w:t>
      </w:r>
      <w:r w:rsidRPr="00D44654">
        <w:rPr>
          <w:b w:val="0"/>
          <w:bCs w:val="0"/>
          <w:lang w:val="pt-BR"/>
        </w:rPr>
        <w:t xml:space="preserve">; </w:t>
      </w:r>
      <w:r>
        <w:rPr>
          <w:b w:val="0"/>
          <w:bCs w:val="0"/>
          <w:lang w:val="pt-BR"/>
        </w:rPr>
        <w:t>Estados</w:t>
      </w:r>
      <w:r w:rsidRPr="00D44654">
        <w:rPr>
          <w:b w:val="0"/>
          <w:bCs w:val="0"/>
          <w:lang w:val="pt-BR"/>
        </w:rPr>
        <w:t xml:space="preserve">; </w:t>
      </w:r>
      <w:r>
        <w:rPr>
          <w:b w:val="0"/>
          <w:bCs w:val="0"/>
          <w:lang w:val="pt-BR"/>
        </w:rPr>
        <w:t>Economia brasileira.</w:t>
      </w:r>
    </w:p>
    <w:p w14:paraId="3C996C9F" w14:textId="77777777" w:rsidR="00401A64" w:rsidRPr="00FB3F03" w:rsidRDefault="00401A64" w:rsidP="00401A64">
      <w:pPr>
        <w:widowControl w:val="0"/>
        <w:rPr>
          <w:rFonts w:ascii="Arial" w:hAnsi="Arial" w:cs="Arial"/>
          <w:highlight w:val="yellow"/>
        </w:rPr>
      </w:pPr>
    </w:p>
    <w:p w14:paraId="64E8E974" w14:textId="77777777" w:rsidR="00401A64" w:rsidRPr="00FB3F03" w:rsidRDefault="00401A64" w:rsidP="00401A64">
      <w:pPr>
        <w:widowControl w:val="0"/>
        <w:rPr>
          <w:rFonts w:ascii="Arial" w:hAnsi="Arial" w:cs="Arial"/>
          <w:highlight w:val="yellow"/>
        </w:rPr>
      </w:pPr>
    </w:p>
    <w:p w14:paraId="5650E1E1" w14:textId="77777777" w:rsidR="00401A64" w:rsidRDefault="00401A64" w:rsidP="00401A64">
      <w:pPr>
        <w:widowControl w:val="0"/>
      </w:pPr>
      <w:r w:rsidRPr="007C2568">
        <w:rPr>
          <w:rFonts w:ascii="Arial" w:hAnsi="Arial" w:cs="Arial"/>
          <w:b/>
          <w:bCs/>
        </w:rPr>
        <w:t>JEL classification:</w:t>
      </w:r>
      <w:r w:rsidRPr="00EC2964">
        <w:rPr>
          <w:b/>
          <w:bCs/>
        </w:rPr>
        <w:t xml:space="preserve"> </w:t>
      </w:r>
      <w:r w:rsidRPr="00EC2964">
        <w:t>D31, I32, R10.</w:t>
      </w:r>
    </w:p>
    <w:p w14:paraId="77F64D4D" w14:textId="77777777" w:rsidR="00401A64" w:rsidRDefault="00401A64" w:rsidP="00401A64">
      <w:pPr>
        <w:widowControl w:val="0"/>
      </w:pPr>
    </w:p>
    <w:p w14:paraId="3F0077A3" w14:textId="77777777" w:rsidR="00401A64" w:rsidRPr="00EE4F63" w:rsidRDefault="00401A64" w:rsidP="00401A64">
      <w:pPr>
        <w:widowControl w:val="0"/>
        <w:rPr>
          <w:b/>
          <w:bCs/>
        </w:rPr>
      </w:pPr>
      <w:r w:rsidRPr="0029508E">
        <w:rPr>
          <w:rFonts w:ascii="Arial" w:hAnsi="Arial" w:cs="Arial"/>
          <w:b/>
          <w:bCs/>
        </w:rPr>
        <w:t xml:space="preserve">Área 12 - </w:t>
      </w:r>
      <w:r w:rsidRPr="0029508E">
        <w:rPr>
          <w:rFonts w:ascii="Arial" w:hAnsi="Arial" w:cs="Arial"/>
          <w:bCs/>
        </w:rPr>
        <w:t>Economia Social e Demografia Econômica</w:t>
      </w:r>
      <w:r w:rsidRPr="00EE4F63">
        <w:rPr>
          <w:b/>
          <w:bCs/>
        </w:rPr>
        <w:br w:type="page"/>
      </w:r>
      <w:r w:rsidRPr="00590931">
        <w:rPr>
          <w:rFonts w:ascii="Arial" w:hAnsi="Arial" w:cs="Arial"/>
          <w:b/>
          <w:bCs/>
        </w:rPr>
        <w:lastRenderedPageBreak/>
        <w:t>1. Introduction</w:t>
      </w:r>
    </w:p>
    <w:p w14:paraId="0FFA7B04" w14:textId="77777777" w:rsidR="00401A64" w:rsidRPr="00CD71CF" w:rsidRDefault="00401A64" w:rsidP="00401A64">
      <w:pPr>
        <w:widowControl w:val="0"/>
        <w:jc w:val="both"/>
        <w:rPr>
          <w:lang w:val="en-US"/>
        </w:rPr>
      </w:pPr>
    </w:p>
    <w:p w14:paraId="174DF0EB" w14:textId="77777777" w:rsidR="00401A64" w:rsidRPr="005350C7" w:rsidRDefault="00401A64" w:rsidP="00401A64">
      <w:pPr>
        <w:widowControl w:val="0"/>
        <w:ind w:firstLine="708"/>
        <w:jc w:val="both"/>
        <w:rPr>
          <w:rFonts w:eastAsia="TimesNewRomanPSMT"/>
          <w:lang w:val="en-US"/>
        </w:rPr>
      </w:pPr>
      <w:r w:rsidRPr="005350C7">
        <w:rPr>
          <w:lang w:val="en-US"/>
        </w:rPr>
        <w:t xml:space="preserve">The analysis on the main causes of income inequality and how to mitigate it is essential. A traditional question in the literature on income inequality is the effect caused by an increase in the trade openness. The main idea is that in developing economies, where the inequality is higher and unskilled labor is predominant, an increase in the trade openness may induce an increase in the exportation which, in turn, reduces income inequality (Easterly, 2005). As suggested by </w:t>
      </w:r>
      <w:r w:rsidRPr="005350C7">
        <w:rPr>
          <w:rFonts w:eastAsia="TimesNewRomanPSMT"/>
          <w:lang w:val="en-US"/>
        </w:rPr>
        <w:t xml:space="preserve">Nissanke and Thorbeck (2006), concomitant to the increase in </w:t>
      </w:r>
      <w:r>
        <w:rPr>
          <w:rFonts w:eastAsia="TimesNewRomanPSMT"/>
          <w:lang w:val="en-US"/>
        </w:rPr>
        <w:t xml:space="preserve">the </w:t>
      </w:r>
      <w:r w:rsidRPr="005350C7">
        <w:rPr>
          <w:rFonts w:eastAsia="TimesNewRomanPSMT"/>
          <w:lang w:val="en-US"/>
        </w:rPr>
        <w:t>openness, an increase in the foreign direct investment together with new technologies and know-how</w:t>
      </w:r>
      <w:r>
        <w:rPr>
          <w:rFonts w:eastAsia="TimesNewRomanPSMT"/>
          <w:lang w:val="en-US"/>
        </w:rPr>
        <w:t xml:space="preserve"> </w:t>
      </w:r>
      <w:r w:rsidRPr="005350C7">
        <w:rPr>
          <w:rFonts w:eastAsia="TimesNewRomanPSMT"/>
          <w:lang w:val="en-US"/>
        </w:rPr>
        <w:t>is expected. As a consequence, there would be an increase in the productivity and in the output that would be capable of increasing wages and employment.</w:t>
      </w:r>
      <w:r w:rsidRPr="005350C7">
        <w:rPr>
          <w:rStyle w:val="Refdenotaderodap"/>
          <w:rFonts w:eastAsia="TimesNewRomanPSMT"/>
          <w:lang w:val="en-US"/>
        </w:rPr>
        <w:footnoteReference w:id="1"/>
      </w:r>
      <w:r w:rsidRPr="005350C7">
        <w:rPr>
          <w:rFonts w:eastAsia="TimesNewRomanPSMT"/>
          <w:lang w:val="en-US"/>
        </w:rPr>
        <w:t xml:space="preserve"> </w:t>
      </w:r>
    </w:p>
    <w:p w14:paraId="24201E25" w14:textId="77777777" w:rsidR="00401A64" w:rsidRPr="005350C7" w:rsidRDefault="00401A64" w:rsidP="00401A64">
      <w:pPr>
        <w:widowControl w:val="0"/>
        <w:jc w:val="both"/>
        <w:rPr>
          <w:rFonts w:eastAsia="TimesNewRomanPSMT"/>
          <w:lang w:val="en-US"/>
        </w:rPr>
      </w:pPr>
      <w:r w:rsidRPr="005350C7">
        <w:rPr>
          <w:rFonts w:eastAsia="TimesNewRomanPSMT"/>
          <w:lang w:val="en-US"/>
        </w:rPr>
        <w:tab/>
        <w:t xml:space="preserve">The globalization process also interferes in the income distribution. According to Adams (2008), in this context, the use of patents as a mechanism for </w:t>
      </w:r>
      <w:r>
        <w:rPr>
          <w:rFonts w:eastAsia="TimesNewRomanPSMT"/>
          <w:lang w:val="en-US"/>
        </w:rPr>
        <w:t xml:space="preserve">the </w:t>
      </w:r>
      <w:r w:rsidRPr="005350C7">
        <w:rPr>
          <w:rFonts w:eastAsia="TimesNewRomanPSMT"/>
          <w:lang w:val="en-US"/>
        </w:rPr>
        <w:t xml:space="preserve">defense </w:t>
      </w:r>
      <w:r>
        <w:rPr>
          <w:rFonts w:eastAsia="TimesNewRomanPSMT"/>
          <w:lang w:val="en-US"/>
        </w:rPr>
        <w:t xml:space="preserve">of </w:t>
      </w:r>
      <w:r w:rsidRPr="005350C7">
        <w:rPr>
          <w:rFonts w:eastAsia="TimesNewRomanPSMT"/>
          <w:lang w:val="en-US"/>
        </w:rPr>
        <w:t>intellectual propert</w:t>
      </w:r>
      <w:r>
        <w:rPr>
          <w:rFonts w:eastAsia="TimesNewRomanPSMT"/>
          <w:lang w:val="en-US"/>
        </w:rPr>
        <w:t>y rights</w:t>
      </w:r>
      <w:r w:rsidRPr="005350C7">
        <w:rPr>
          <w:rFonts w:eastAsia="TimesNewRomanPSMT"/>
          <w:lang w:val="en-US"/>
        </w:rPr>
        <w:t xml:space="preserve"> and to stimulate innovations in developing economies would imply a reduction in the inequality. The same result is observed by Acemoglu and Newman (2002). According to this view, in developing economies, unskilled labor is abundant and thus technological progress improves productivity. As a result, through a knowledge spillover effect (see Fang, Huang, and Wang, 2008) the income of unskilled workers </w:t>
      </w:r>
      <w:r>
        <w:rPr>
          <w:rFonts w:eastAsia="TimesNewRomanPSMT"/>
          <w:lang w:val="en-US"/>
        </w:rPr>
        <w:t>c</w:t>
      </w:r>
      <w:r w:rsidRPr="005350C7">
        <w:rPr>
          <w:rFonts w:eastAsia="TimesNewRomanPSMT"/>
          <w:lang w:val="en-US"/>
        </w:rPr>
        <w:t>ould increase allowing a better income distribution.</w:t>
      </w:r>
    </w:p>
    <w:p w14:paraId="7F3142CF" w14:textId="77777777" w:rsidR="00401A64" w:rsidRDefault="00401A64" w:rsidP="00401A64">
      <w:pPr>
        <w:widowControl w:val="0"/>
        <w:autoSpaceDE w:val="0"/>
        <w:jc w:val="both"/>
        <w:rPr>
          <w:lang w:val="en-US"/>
        </w:rPr>
      </w:pPr>
      <w:r w:rsidRPr="004055DC">
        <w:rPr>
          <w:rFonts w:eastAsia="TimesNewRomanPSMT"/>
          <w:lang w:val="en-US"/>
        </w:rPr>
        <w:tab/>
      </w:r>
      <w:r w:rsidRPr="005350C7">
        <w:rPr>
          <w:lang w:val="en-US"/>
        </w:rPr>
        <w:t xml:space="preserve">There is no doubt that unemployment is the main cause of poverty. The relation between unemployment and income inequality is well-known in the literature since </w:t>
      </w:r>
      <w:r>
        <w:rPr>
          <w:lang w:val="en-US"/>
        </w:rPr>
        <w:t xml:space="preserve">the </w:t>
      </w:r>
      <w:r w:rsidRPr="005350C7">
        <w:rPr>
          <w:lang w:val="en-US"/>
        </w:rPr>
        <w:t>Blinder and Esaki (1978) study. The basic idea is that unemployment tends to affect the less skilled and the low-paid more than other groups. As observed by Mart</w:t>
      </w:r>
      <w:r>
        <w:rPr>
          <w:lang w:val="en-US"/>
        </w:rPr>
        <w:t>í</w:t>
      </w:r>
      <w:r w:rsidRPr="005350C7">
        <w:rPr>
          <w:lang w:val="en-US"/>
        </w:rPr>
        <w:t xml:space="preserve">nez, Ayala, and Ruiz-Huerta (2001) an unemployed person </w:t>
      </w:r>
      <w:r>
        <w:rPr>
          <w:lang w:val="en-US"/>
        </w:rPr>
        <w:t xml:space="preserve">tends to be concentrated in the lower end of the income distribution. </w:t>
      </w:r>
    </w:p>
    <w:p w14:paraId="1FDD0972" w14:textId="77777777" w:rsidR="00401A64" w:rsidRDefault="00401A64" w:rsidP="00401A64">
      <w:pPr>
        <w:widowControl w:val="0"/>
        <w:autoSpaceDE w:val="0"/>
        <w:ind w:firstLine="708"/>
        <w:jc w:val="both"/>
        <w:rPr>
          <w:rFonts w:eastAsia="TimesNewRomanPSMT" w:cs="TimesNewRomanPSMT"/>
          <w:lang w:val="en-US"/>
        </w:rPr>
      </w:pPr>
      <w:r>
        <w:rPr>
          <w:rFonts w:eastAsia="TimesNewRomanPSMT" w:cs="TimesNewRomanPSMT"/>
          <w:lang w:val="en-US"/>
        </w:rPr>
        <w:t>The success of social polices is controversial in literature. There is empirical evidence that increases in the minimum wage are an important tool for combating income inequality (see Lemos, 2009). Moreover, as pointed out by Engel, Galetovic, and Raddatz (1999), and Goñi, López, and Sérvén (2011), government transfers are an efficient mechanism for reducing inequality. In contrast, s</w:t>
      </w:r>
      <w:r>
        <w:rPr>
          <w:lang w:val="en-US"/>
        </w:rPr>
        <w:t>ince Feldstein (1974), there is the argument that social spending (welfare, social security, etc.) increases income inequality. The idea is that high income families receive a disproportionately large percentage of the benefits (Forteza and Rossi, 2006).</w:t>
      </w:r>
    </w:p>
    <w:p w14:paraId="7DC012D5" w14:textId="77777777" w:rsidR="00401A64" w:rsidRDefault="00401A64" w:rsidP="00401A64">
      <w:pPr>
        <w:widowControl w:val="0"/>
        <w:autoSpaceDE w:val="0"/>
        <w:jc w:val="both"/>
        <w:rPr>
          <w:lang w:val="en-US"/>
        </w:rPr>
      </w:pPr>
      <w:r>
        <w:rPr>
          <w:lang w:val="en-US"/>
        </w:rPr>
        <w:tab/>
        <w:t xml:space="preserve">Another relevant issue is the effect of the political competition. The study of the relationship between social and political variables is made since Adelman and Morris (1965). As observed by Rupasingha and Goetz (2007) a greater political competition leads to a lower level of poverty. Connected with political decisions, the analysis on corruption and income inequality is also an object of investigation. The predominant argument is that an increase in the corruption causes greater income </w:t>
      </w:r>
      <w:r w:rsidRPr="00F03292">
        <w:rPr>
          <w:lang w:val="en-US"/>
        </w:rPr>
        <w:t xml:space="preserve">inequality (see </w:t>
      </w:r>
      <w:r w:rsidRPr="00F03292">
        <w:rPr>
          <w:lang w:val="en-US" w:eastAsia="pt-BR"/>
        </w:rPr>
        <w:t>Gupta, Davoodi, and Alonso-Terme</w:t>
      </w:r>
      <w:r w:rsidRPr="00F03292">
        <w:rPr>
          <w:lang w:val="en-US"/>
        </w:rPr>
        <w:t xml:space="preserve">, 2002; Dincer and Gunalp, 2008; and Apergis, Dincer, and </w:t>
      </w:r>
      <w:r>
        <w:rPr>
          <w:lang w:val="en-US"/>
        </w:rPr>
        <w:t>Payne, 2010).</w:t>
      </w:r>
    </w:p>
    <w:p w14:paraId="4C9F6CF7" w14:textId="77777777" w:rsidR="00401A64" w:rsidRDefault="00401A64" w:rsidP="00401A64">
      <w:pPr>
        <w:widowControl w:val="0"/>
        <w:autoSpaceDE w:val="0"/>
        <w:jc w:val="both"/>
        <w:rPr>
          <w:lang w:val="en-US"/>
        </w:rPr>
      </w:pPr>
      <w:r>
        <w:rPr>
          <w:lang w:val="en-US"/>
        </w:rPr>
        <w:tab/>
        <w:t xml:space="preserve">This paper addresses the above issues taking into account the Brazilian case. The analysis on this country deserves attention because Brazil is one of the most important leaders of the emerging economies, it is the seventh largest economy in the world, and recently it has been successful in decreasing income inequality. A combination of consolidated democracy, stable macroeconomic environment, and the adoption of several initiatives by the government against poverty (for example, implementation of the Bolsa </w:t>
      </w:r>
      <w:r>
        <w:rPr>
          <w:lang w:val="en-US"/>
        </w:rPr>
        <w:lastRenderedPageBreak/>
        <w:t xml:space="preserve">Família program, successive real increases in the minimum wage, etc.) are an indication that Brazil is experiencing a good period. </w:t>
      </w:r>
    </w:p>
    <w:p w14:paraId="1B2415AD" w14:textId="77777777" w:rsidR="00401A64" w:rsidRDefault="00401A64" w:rsidP="00401A64">
      <w:pPr>
        <w:widowControl w:val="0"/>
        <w:autoSpaceDE w:val="0"/>
        <w:ind w:firstLine="708"/>
        <w:jc w:val="both"/>
        <w:rPr>
          <w:lang w:val="en-US"/>
        </w:rPr>
      </w:pPr>
      <w:r>
        <w:rPr>
          <w:lang w:val="en-US"/>
        </w:rPr>
        <w:t xml:space="preserve">A Brazilian characteristic is that, as well as in the USA, the geographical differences cannot be neglected. </w:t>
      </w:r>
      <w:r w:rsidRPr="00990FD0">
        <w:rPr>
          <w:lang w:val="en-US"/>
        </w:rPr>
        <w:t>Hence</w:t>
      </w:r>
      <w:r w:rsidRPr="00080C3B">
        <w:rPr>
          <w:lang w:val="en-US"/>
        </w:rPr>
        <w:t xml:space="preserve">, </w:t>
      </w:r>
      <w:r>
        <w:rPr>
          <w:lang w:val="en-US"/>
        </w:rPr>
        <w:t xml:space="preserve">first step in this study is to observe the behavior of the main factors that can explain income inequality for each region. This analysis allows one to identify where each factor is more effective. Second step presents empirical evidence using a dynamic panel-data framework that draws on 27 units of the Brazilian federation in the period from 1999 to 2008. </w:t>
      </w:r>
      <w:r w:rsidRPr="00080C3B">
        <w:rPr>
          <w:lang w:val="en-US"/>
        </w:rPr>
        <w:t xml:space="preserve">In short, </w:t>
      </w:r>
      <w:r>
        <w:rPr>
          <w:lang w:val="en-US"/>
        </w:rPr>
        <w:t>the main objective of this research is to provide some empirical evidence to assess the impact of socioeconomic and political variables on different measures of income inequality.</w:t>
      </w:r>
    </w:p>
    <w:p w14:paraId="52604E6F" w14:textId="77777777" w:rsidR="00401A64" w:rsidRDefault="00401A64" w:rsidP="00401A64">
      <w:pPr>
        <w:widowControl w:val="0"/>
        <w:autoSpaceDE w:val="0"/>
        <w:jc w:val="both"/>
        <w:rPr>
          <w:lang w:val="en-US"/>
        </w:rPr>
      </w:pPr>
      <w:r w:rsidRPr="00C27E4F">
        <w:rPr>
          <w:lang w:val="en-US"/>
        </w:rPr>
        <w:tab/>
      </w:r>
      <w:r w:rsidRPr="00AC51CA">
        <w:rPr>
          <w:lang w:val="en-US"/>
        </w:rPr>
        <w:t xml:space="preserve">The remainder of this paper is organized as follows. The next section </w:t>
      </w:r>
      <w:r>
        <w:rPr>
          <w:lang w:val="en-US"/>
        </w:rPr>
        <w:t xml:space="preserve">shows the data used in this research and </w:t>
      </w:r>
      <w:r w:rsidRPr="00AC51CA">
        <w:rPr>
          <w:lang w:val="en-US"/>
        </w:rPr>
        <w:t>provides a</w:t>
      </w:r>
      <w:r>
        <w:rPr>
          <w:lang w:val="en-US"/>
        </w:rPr>
        <w:t xml:space="preserve"> regional analysis for the Brazilian case. </w:t>
      </w:r>
      <w:r w:rsidRPr="00AC51CA">
        <w:rPr>
          <w:lang w:val="en-US"/>
        </w:rPr>
        <w:t xml:space="preserve">Section 3 presents empirical evidence, through </w:t>
      </w:r>
      <w:r>
        <w:rPr>
          <w:lang w:val="en-US"/>
        </w:rPr>
        <w:t>panel data</w:t>
      </w:r>
      <w:r w:rsidRPr="00AC51CA">
        <w:rPr>
          <w:lang w:val="en-US"/>
        </w:rPr>
        <w:t xml:space="preserve"> analysis,</w:t>
      </w:r>
      <w:r>
        <w:rPr>
          <w:lang w:val="en-US"/>
        </w:rPr>
        <w:t xml:space="preserve"> of the </w:t>
      </w:r>
      <w:r>
        <w:rPr>
          <w:lang w:val="en-US"/>
        </w:rPr>
        <w:t xml:space="preserve">impact of socioeconomic and political variables on different measures of income inequality based on 27 units of the federation in the period from 1999 to 2008. </w:t>
      </w:r>
      <w:r w:rsidRPr="00C10D13">
        <w:rPr>
          <w:lang w:val="en-US"/>
        </w:rPr>
        <w:t>The last section presents the conclusion.</w:t>
      </w:r>
    </w:p>
    <w:p w14:paraId="53ADE831" w14:textId="77777777" w:rsidR="00401A64" w:rsidRDefault="00401A64" w:rsidP="00401A64">
      <w:pPr>
        <w:widowControl w:val="0"/>
        <w:autoSpaceDE w:val="0"/>
        <w:jc w:val="both"/>
        <w:rPr>
          <w:b/>
          <w:bCs/>
          <w:lang w:val="en-US"/>
        </w:rPr>
      </w:pPr>
    </w:p>
    <w:p w14:paraId="51B180E8" w14:textId="77777777" w:rsidR="00401A64" w:rsidRPr="00361A55" w:rsidRDefault="00401A64" w:rsidP="00401A64">
      <w:pPr>
        <w:widowControl w:val="0"/>
        <w:autoSpaceDE w:val="0"/>
        <w:jc w:val="both"/>
        <w:rPr>
          <w:b/>
          <w:bCs/>
          <w:lang w:val="en-US"/>
        </w:rPr>
      </w:pPr>
    </w:p>
    <w:p w14:paraId="21AB2DB5" w14:textId="77777777" w:rsidR="00401A64" w:rsidRPr="00590931" w:rsidRDefault="00401A64" w:rsidP="00401A64">
      <w:pPr>
        <w:widowControl w:val="0"/>
        <w:jc w:val="both"/>
        <w:rPr>
          <w:rFonts w:ascii="Arial" w:hAnsi="Arial" w:cs="Arial"/>
          <w:b/>
          <w:bCs/>
          <w:lang w:val="en-US"/>
        </w:rPr>
      </w:pPr>
      <w:r w:rsidRPr="009B63F7">
        <w:rPr>
          <w:rFonts w:ascii="Arial" w:hAnsi="Arial" w:cs="Arial"/>
          <w:b/>
          <w:bCs/>
          <w:lang w:val="en-US"/>
        </w:rPr>
        <w:t>2. Income inequality: regional analyses</w:t>
      </w:r>
    </w:p>
    <w:p w14:paraId="3F054209" w14:textId="77777777" w:rsidR="00401A64" w:rsidRPr="00EE4F63" w:rsidRDefault="00401A64" w:rsidP="00401A64">
      <w:pPr>
        <w:widowControl w:val="0"/>
        <w:rPr>
          <w:b/>
          <w:bCs/>
          <w:lang w:val="en-US"/>
        </w:rPr>
      </w:pPr>
    </w:p>
    <w:p w14:paraId="47C31F79" w14:textId="77777777" w:rsidR="00401A64" w:rsidRPr="00EE4F63" w:rsidRDefault="00401A64" w:rsidP="00401A64">
      <w:pPr>
        <w:widowControl w:val="0"/>
        <w:jc w:val="both"/>
        <w:rPr>
          <w:b/>
          <w:bCs/>
          <w:lang w:val="en-US"/>
        </w:rPr>
      </w:pPr>
      <w:r w:rsidRPr="00EE4F63">
        <w:rPr>
          <w:bCs/>
          <w:lang w:val="en-US"/>
        </w:rPr>
        <w:tab/>
        <w:t>Since 1999</w:t>
      </w:r>
      <w:r>
        <w:rPr>
          <w:bCs/>
          <w:lang w:val="en-US"/>
        </w:rPr>
        <w:t>,</w:t>
      </w:r>
      <w:r w:rsidRPr="00EE4F63">
        <w:rPr>
          <w:bCs/>
          <w:lang w:val="en-US"/>
        </w:rPr>
        <w:t xml:space="preserve"> after the adoption of flexible exchange rate regime, inflation targeting, and fiscal primary surplus, Brazil has been success</w:t>
      </w:r>
      <w:r>
        <w:rPr>
          <w:bCs/>
          <w:lang w:val="en-US"/>
        </w:rPr>
        <w:t>ful</w:t>
      </w:r>
      <w:r w:rsidRPr="00EE4F63">
        <w:rPr>
          <w:bCs/>
          <w:lang w:val="en-US"/>
        </w:rPr>
        <w:t xml:space="preserve"> in macroeconomic stabilization which, in turn, </w:t>
      </w:r>
      <w:r>
        <w:rPr>
          <w:bCs/>
          <w:lang w:val="en-US"/>
        </w:rPr>
        <w:t xml:space="preserve">has </w:t>
      </w:r>
      <w:r w:rsidRPr="00EE4F63">
        <w:rPr>
          <w:bCs/>
          <w:lang w:val="en-US"/>
        </w:rPr>
        <w:t>allowed an improvement in the income distribution. Based on the literature concerning income inequality</w:t>
      </w:r>
      <w:r>
        <w:rPr>
          <w:bCs/>
          <w:lang w:val="en-US"/>
        </w:rPr>
        <w:t>,</w:t>
      </w:r>
      <w:r w:rsidRPr="00EE4F63">
        <w:rPr>
          <w:bCs/>
          <w:lang w:val="en-US"/>
        </w:rPr>
        <w:t xml:space="preserve"> several </w:t>
      </w:r>
      <w:r>
        <w:rPr>
          <w:bCs/>
          <w:lang w:val="en-US"/>
        </w:rPr>
        <w:t>socio</w:t>
      </w:r>
      <w:r w:rsidRPr="00EE4F63">
        <w:rPr>
          <w:bCs/>
          <w:lang w:val="en-US"/>
        </w:rPr>
        <w:t xml:space="preserve">economic variables (see Roine, Vlachos, and Waldenström, 2009; </w:t>
      </w:r>
      <w:r w:rsidRPr="00EE4F63">
        <w:rPr>
          <w:rFonts w:eastAsia="TimesNewRomanPSMT"/>
          <w:lang w:val="en-US"/>
        </w:rPr>
        <w:t>Easterly, 2005</w:t>
      </w:r>
      <w:r w:rsidRPr="00EE4F63">
        <w:rPr>
          <w:bCs/>
          <w:lang w:val="en-US"/>
        </w:rPr>
        <w:t>;</w:t>
      </w:r>
      <w:r>
        <w:rPr>
          <w:bCs/>
          <w:lang w:val="en-US"/>
        </w:rPr>
        <w:t xml:space="preserve"> and</w:t>
      </w:r>
      <w:r w:rsidRPr="00EE4F63">
        <w:rPr>
          <w:bCs/>
          <w:lang w:val="en-US"/>
        </w:rPr>
        <w:t xml:space="preserve"> </w:t>
      </w:r>
      <w:r w:rsidRPr="00EE4F63">
        <w:rPr>
          <w:rFonts w:eastAsia="TimesNewRomanPSMT"/>
          <w:lang w:val="en-US"/>
        </w:rPr>
        <w:t>Acemoglu, 2002</w:t>
      </w:r>
      <w:r w:rsidRPr="00EE4F63">
        <w:rPr>
          <w:bCs/>
          <w:lang w:val="en-US"/>
        </w:rPr>
        <w:t xml:space="preserve">), as well as political (see Gupta, Davoodi, and Alonso-Terme, 1998; and Alt and Lassen, 2010), are considered in this </w:t>
      </w:r>
      <w:r>
        <w:rPr>
          <w:bCs/>
          <w:lang w:val="en-US"/>
        </w:rPr>
        <w:t>study</w:t>
      </w:r>
      <w:r w:rsidRPr="00EE4F63">
        <w:rPr>
          <w:bCs/>
          <w:lang w:val="en-US"/>
        </w:rPr>
        <w:t>. The fact that Brazil has a continental dimension implies that there are regional differences that cannot be neglected. Hence, this s</w:t>
      </w:r>
      <w:r>
        <w:rPr>
          <w:bCs/>
          <w:lang w:val="en-US"/>
        </w:rPr>
        <w:t>ection</w:t>
      </w:r>
      <w:r w:rsidRPr="00EE4F63">
        <w:rPr>
          <w:bCs/>
          <w:lang w:val="en-US"/>
        </w:rPr>
        <w:t xml:space="preserve"> shows the regional behavior of the variables </w:t>
      </w:r>
      <w:r>
        <w:rPr>
          <w:bCs/>
          <w:lang w:val="en-US"/>
        </w:rPr>
        <w:t xml:space="preserve">that will be used </w:t>
      </w:r>
      <w:r w:rsidRPr="00EE4F63">
        <w:rPr>
          <w:bCs/>
          <w:lang w:val="en-US"/>
        </w:rPr>
        <w:t>in the empirical model taking into account the period from 1999 to 2008.</w:t>
      </w:r>
      <w:r w:rsidRPr="00EE4F63">
        <w:rPr>
          <w:rStyle w:val="Refdenotaderodap"/>
          <w:bCs/>
          <w:lang w:val="en-US"/>
        </w:rPr>
        <w:footnoteReference w:id="2"/>
      </w:r>
    </w:p>
    <w:p w14:paraId="239B3462" w14:textId="77777777" w:rsidR="00401A64" w:rsidRPr="00EE4F63" w:rsidRDefault="00401A64" w:rsidP="00401A64">
      <w:pPr>
        <w:widowControl w:val="0"/>
        <w:jc w:val="both"/>
        <w:rPr>
          <w:bCs/>
          <w:lang w:val="en-US"/>
        </w:rPr>
      </w:pPr>
      <w:r w:rsidRPr="00521AD6">
        <w:rPr>
          <w:bCs/>
          <w:lang w:val="en-US"/>
        </w:rPr>
        <w:tab/>
      </w:r>
      <w:r w:rsidRPr="00EE4F63">
        <w:rPr>
          <w:bCs/>
          <w:lang w:val="en-US"/>
        </w:rPr>
        <w:t xml:space="preserve">For decades income inequality in Brazil was very high in comparison with other countries (Gasparini, 2003). However, </w:t>
      </w:r>
      <w:r>
        <w:rPr>
          <w:bCs/>
          <w:lang w:val="en-US"/>
        </w:rPr>
        <w:t>at</w:t>
      </w:r>
      <w:r w:rsidRPr="00EE4F63">
        <w:rPr>
          <w:bCs/>
          <w:lang w:val="en-US"/>
        </w:rPr>
        <w:t xml:space="preserve"> the end of </w:t>
      </w:r>
      <w:r>
        <w:rPr>
          <w:bCs/>
          <w:lang w:val="en-US"/>
        </w:rPr>
        <w:t xml:space="preserve">the </w:t>
      </w:r>
      <w:r w:rsidRPr="00EE4F63">
        <w:rPr>
          <w:bCs/>
          <w:lang w:val="en-US"/>
        </w:rPr>
        <w:t>1990s there exist</w:t>
      </w:r>
      <w:r>
        <w:rPr>
          <w:bCs/>
          <w:lang w:val="en-US"/>
        </w:rPr>
        <w:t>ed</w:t>
      </w:r>
      <w:r w:rsidRPr="00EE4F63">
        <w:rPr>
          <w:bCs/>
          <w:lang w:val="en-US"/>
        </w:rPr>
        <w:t xml:space="preserve"> evidence that the inequality </w:t>
      </w:r>
      <w:r>
        <w:rPr>
          <w:bCs/>
          <w:lang w:val="en-US"/>
        </w:rPr>
        <w:t>was</w:t>
      </w:r>
      <w:r w:rsidRPr="00EE4F63">
        <w:rPr>
          <w:bCs/>
          <w:lang w:val="en-US"/>
        </w:rPr>
        <w:t xml:space="preserve"> decreasing. </w:t>
      </w:r>
      <w:r>
        <w:rPr>
          <w:bCs/>
          <w:lang w:val="en-US"/>
        </w:rPr>
        <w:t>In order to provide robustness, and a</w:t>
      </w:r>
      <w:r w:rsidRPr="00EE4F63">
        <w:rPr>
          <w:bCs/>
          <w:lang w:val="en-US"/>
        </w:rPr>
        <w:t>s a way of observing this movement</w:t>
      </w:r>
      <w:r>
        <w:rPr>
          <w:bCs/>
          <w:lang w:val="en-US"/>
        </w:rPr>
        <w:t>,</w:t>
      </w:r>
      <w:r w:rsidRPr="00EE4F63">
        <w:rPr>
          <w:bCs/>
          <w:lang w:val="en-US"/>
        </w:rPr>
        <w:t xml:space="preserve"> three indicators are considered in this analysis:</w:t>
      </w:r>
    </w:p>
    <w:p w14:paraId="14355BC3" w14:textId="77777777" w:rsidR="00401A64" w:rsidRPr="00EE4F63" w:rsidRDefault="00401A64" w:rsidP="00401A64">
      <w:pPr>
        <w:widowControl w:val="0"/>
        <w:jc w:val="both"/>
        <w:rPr>
          <w:bCs/>
          <w:lang w:val="en-US"/>
        </w:rPr>
      </w:pPr>
      <w:r w:rsidRPr="00EE4F63">
        <w:rPr>
          <w:lang w:val="en-US"/>
        </w:rPr>
        <w:t xml:space="preserve">- Gini index – measures the inequality of a distribution, a value of </w:t>
      </w:r>
      <w:r>
        <w:rPr>
          <w:lang w:val="en-US"/>
        </w:rPr>
        <w:t>“</w:t>
      </w:r>
      <w:r w:rsidRPr="00EE4F63">
        <w:rPr>
          <w:lang w:val="en-US"/>
        </w:rPr>
        <w:t>0</w:t>
      </w:r>
      <w:r>
        <w:rPr>
          <w:lang w:val="en-US"/>
        </w:rPr>
        <w:t>”</w:t>
      </w:r>
      <w:r w:rsidRPr="00EE4F63">
        <w:rPr>
          <w:lang w:val="en-US"/>
        </w:rPr>
        <w:t xml:space="preserve"> expressing total equality and a value of </w:t>
      </w:r>
      <w:r>
        <w:rPr>
          <w:lang w:val="en-US"/>
        </w:rPr>
        <w:t>“</w:t>
      </w:r>
      <w:r w:rsidRPr="00EE4F63">
        <w:rPr>
          <w:lang w:val="en-US"/>
        </w:rPr>
        <w:t>1</w:t>
      </w:r>
      <w:r>
        <w:rPr>
          <w:lang w:val="en-US"/>
        </w:rPr>
        <w:t>”</w:t>
      </w:r>
      <w:r w:rsidRPr="00EE4F63">
        <w:rPr>
          <w:lang w:val="en-US"/>
        </w:rPr>
        <w:t xml:space="preserve"> maximal inequality. This coefficient is the result of information available from Monthly Employment Survey - Brazilian Institute of Geography and Statistics (IBGE).</w:t>
      </w:r>
      <w:r w:rsidRPr="00EE4F63">
        <w:rPr>
          <w:bCs/>
          <w:lang w:val="en-US"/>
        </w:rPr>
        <w:t xml:space="preserve"> </w:t>
      </w:r>
    </w:p>
    <w:p w14:paraId="5E0DF83E" w14:textId="77777777" w:rsidR="00401A64" w:rsidRPr="00EE4F63" w:rsidRDefault="00401A64" w:rsidP="00401A64">
      <w:pPr>
        <w:widowControl w:val="0"/>
        <w:jc w:val="both"/>
        <w:rPr>
          <w:lang w:val="en-US"/>
        </w:rPr>
      </w:pPr>
      <w:r w:rsidRPr="00EE4F63">
        <w:rPr>
          <w:lang w:val="en-US"/>
        </w:rPr>
        <w:t>- Theil index is a statistic used to measur</w:t>
      </w:r>
      <w:r w:rsidRPr="00B82038">
        <w:rPr>
          <w:lang w:val="en-US"/>
        </w:rPr>
        <w:t xml:space="preserve">e </w:t>
      </w:r>
      <w:hyperlink r:id="rId8" w:tooltip="Economic inequality" w:history="1">
        <w:r w:rsidRPr="00B82038">
          <w:rPr>
            <w:lang w:val="en-US"/>
          </w:rPr>
          <w:t>economic inequality</w:t>
        </w:r>
      </w:hyperlink>
      <w:r w:rsidRPr="00B82038">
        <w:rPr>
          <w:lang w:val="en-US"/>
        </w:rPr>
        <w:t xml:space="preserve">. </w:t>
      </w:r>
      <w:r w:rsidRPr="00EE4F63">
        <w:t xml:space="preserve">This index is calculated based on </w:t>
      </w:r>
      <w:r w:rsidRPr="00EE4F63">
        <w:rPr>
          <w:lang w:val="en-US"/>
        </w:rPr>
        <w:t xml:space="preserve">information available from Monthly Employment Survey – IBGE. As the Gini coefficient, a value of </w:t>
      </w:r>
      <w:r>
        <w:rPr>
          <w:lang w:val="en-US"/>
        </w:rPr>
        <w:t>“</w:t>
      </w:r>
      <w:r w:rsidRPr="00EE4F63">
        <w:rPr>
          <w:lang w:val="en-US"/>
        </w:rPr>
        <w:t>0</w:t>
      </w:r>
      <w:r>
        <w:rPr>
          <w:lang w:val="en-US"/>
        </w:rPr>
        <w:t>”</w:t>
      </w:r>
      <w:r w:rsidRPr="00EE4F63">
        <w:rPr>
          <w:lang w:val="en-US"/>
        </w:rPr>
        <w:t xml:space="preserve"> expresses total equality and a value of </w:t>
      </w:r>
      <w:r>
        <w:rPr>
          <w:lang w:val="en-US"/>
        </w:rPr>
        <w:t>“</w:t>
      </w:r>
      <w:r w:rsidRPr="00EE4F63">
        <w:rPr>
          <w:lang w:val="en-US"/>
        </w:rPr>
        <w:t>1</w:t>
      </w:r>
      <w:r>
        <w:rPr>
          <w:lang w:val="en-US"/>
        </w:rPr>
        <w:t>”</w:t>
      </w:r>
      <w:r w:rsidRPr="00EE4F63">
        <w:rPr>
          <w:lang w:val="en-US"/>
        </w:rPr>
        <w:t xml:space="preserve"> maximal inequality.</w:t>
      </w:r>
    </w:p>
    <w:p w14:paraId="58F94966" w14:textId="77777777" w:rsidR="00401A64" w:rsidRPr="00EE4F63" w:rsidRDefault="00401A64" w:rsidP="00401A64">
      <w:pPr>
        <w:widowControl w:val="0"/>
        <w:suppressAutoHyphens w:val="0"/>
        <w:autoSpaceDE w:val="0"/>
        <w:autoSpaceDN w:val="0"/>
        <w:adjustRightInd w:val="0"/>
        <w:jc w:val="both"/>
        <w:rPr>
          <w:bCs/>
          <w:lang w:val="en-US"/>
        </w:rPr>
      </w:pPr>
      <w:r w:rsidRPr="00D47FBF">
        <w:rPr>
          <w:lang w:val="en-US"/>
        </w:rPr>
        <w:t xml:space="preserve">- </w:t>
      </w:r>
      <w:r w:rsidRPr="00D47FBF">
        <w:rPr>
          <w:lang w:val="en-US" w:eastAsia="pt-BR"/>
        </w:rPr>
        <w:t xml:space="preserve">Ratio of income of richest 10% to income of poorest 40% of total population </w:t>
      </w:r>
      <w:r w:rsidRPr="00D47FBF">
        <w:rPr>
          <w:bCs/>
          <w:lang w:val="en-US"/>
        </w:rPr>
        <w:t xml:space="preserve">(10%/40%). </w:t>
      </w:r>
      <w:r w:rsidRPr="00D47FBF">
        <w:rPr>
          <w:lang w:val="en-US"/>
        </w:rPr>
        <w:t>This index is calculated based on information available from National Research for Sample of Domicile (PNAD – IBGE). This ratio is readily interpretable, by expressing the income of the rich as multiples of that of the poor</w:t>
      </w:r>
      <w:r w:rsidRPr="00D47FBF">
        <w:rPr>
          <w:bCs/>
          <w:lang w:val="en-US"/>
        </w:rPr>
        <w:t>.</w:t>
      </w:r>
      <w:r w:rsidRPr="00EE4F63">
        <w:rPr>
          <w:bCs/>
          <w:lang w:val="en-US"/>
        </w:rPr>
        <w:t xml:space="preserve"> </w:t>
      </w:r>
    </w:p>
    <w:p w14:paraId="6E81B6F4" w14:textId="77777777" w:rsidR="00401A64" w:rsidRDefault="00401A64" w:rsidP="00401A64">
      <w:pPr>
        <w:widowControl w:val="0"/>
        <w:jc w:val="both"/>
        <w:rPr>
          <w:lang w:val="en"/>
        </w:rPr>
      </w:pPr>
      <w:r w:rsidRPr="00EE4F63">
        <w:rPr>
          <w:bCs/>
          <w:lang w:val="en-US"/>
        </w:rPr>
        <w:tab/>
        <w:t>The behavior of these indicators over time shows that</w:t>
      </w:r>
      <w:r>
        <w:rPr>
          <w:bCs/>
          <w:lang w:val="en-US"/>
        </w:rPr>
        <w:t>,</w:t>
      </w:r>
      <w:r w:rsidRPr="00EE4F63">
        <w:rPr>
          <w:bCs/>
          <w:lang w:val="en-US"/>
        </w:rPr>
        <w:t xml:space="preserve"> independent of the region, there is an improvement in the standard of living</w:t>
      </w:r>
      <w:r>
        <w:rPr>
          <w:bCs/>
          <w:lang w:val="en-US"/>
        </w:rPr>
        <w:t xml:space="preserve"> (all indicators fall at the end of the period)</w:t>
      </w:r>
      <w:r w:rsidRPr="00EE4F63">
        <w:rPr>
          <w:bCs/>
          <w:lang w:val="en-US"/>
        </w:rPr>
        <w:t xml:space="preserve">. </w:t>
      </w:r>
      <w:r w:rsidRPr="00EE4F63">
        <w:rPr>
          <w:rStyle w:val="hps"/>
          <w:lang w:val="en"/>
        </w:rPr>
        <w:t>Figure 1</w:t>
      </w:r>
      <w:r w:rsidRPr="00EE4F63">
        <w:rPr>
          <w:lang w:val="en"/>
        </w:rPr>
        <w:t xml:space="preserve"> </w:t>
      </w:r>
      <w:r w:rsidRPr="00EE4F63">
        <w:rPr>
          <w:rStyle w:val="hps"/>
          <w:lang w:val="en"/>
        </w:rPr>
        <w:t xml:space="preserve">shows that the </w:t>
      </w:r>
      <w:r>
        <w:rPr>
          <w:rStyle w:val="hps"/>
          <w:lang w:val="en"/>
        </w:rPr>
        <w:t>N</w:t>
      </w:r>
      <w:r w:rsidRPr="00EE4F63">
        <w:rPr>
          <w:rStyle w:val="hps"/>
          <w:lang w:val="en"/>
        </w:rPr>
        <w:t>ortheast</w:t>
      </w:r>
      <w:r w:rsidRPr="00EE4F63">
        <w:rPr>
          <w:lang w:val="en"/>
        </w:rPr>
        <w:t xml:space="preserve"> region </w:t>
      </w:r>
      <w:r w:rsidRPr="00EE4F63">
        <w:rPr>
          <w:rStyle w:val="hps"/>
          <w:lang w:val="en"/>
        </w:rPr>
        <w:t>has the worst</w:t>
      </w:r>
      <w:r w:rsidRPr="00EE4F63">
        <w:rPr>
          <w:lang w:val="en"/>
        </w:rPr>
        <w:t xml:space="preserve"> </w:t>
      </w:r>
      <w:r w:rsidRPr="00EE4F63">
        <w:rPr>
          <w:rStyle w:val="hps"/>
          <w:lang w:val="en"/>
        </w:rPr>
        <w:t>level of inequality</w:t>
      </w:r>
      <w:r w:rsidRPr="00EE4F63">
        <w:rPr>
          <w:lang w:val="en"/>
        </w:rPr>
        <w:t xml:space="preserve"> </w:t>
      </w:r>
      <w:r w:rsidRPr="00EE4F63">
        <w:rPr>
          <w:rStyle w:val="hps"/>
          <w:lang w:val="en"/>
        </w:rPr>
        <w:t xml:space="preserve">for all </w:t>
      </w:r>
      <w:r w:rsidRPr="00EE4F63">
        <w:rPr>
          <w:rStyle w:val="hps"/>
          <w:lang w:val="en"/>
        </w:rPr>
        <w:lastRenderedPageBreak/>
        <w:t>indices</w:t>
      </w:r>
      <w:r w:rsidRPr="00EE4F63">
        <w:rPr>
          <w:lang w:val="en"/>
        </w:rPr>
        <w:t xml:space="preserve"> </w:t>
      </w:r>
      <w:r w:rsidRPr="00EE4F63">
        <w:rPr>
          <w:rStyle w:val="hps"/>
          <w:lang w:val="en"/>
        </w:rPr>
        <w:t>during</w:t>
      </w:r>
      <w:r w:rsidRPr="00EE4F63">
        <w:rPr>
          <w:lang w:val="en"/>
        </w:rPr>
        <w:t xml:space="preserve"> </w:t>
      </w:r>
      <w:r w:rsidRPr="00EE4F63">
        <w:rPr>
          <w:rStyle w:val="hps"/>
          <w:lang w:val="en"/>
        </w:rPr>
        <w:t>most of the period</w:t>
      </w:r>
      <w:r>
        <w:rPr>
          <w:rStyle w:val="hps"/>
          <w:lang w:val="en"/>
        </w:rPr>
        <w:t xml:space="preserve"> (the line in graphs is the farthest from the center)</w:t>
      </w:r>
      <w:r w:rsidRPr="00EE4F63">
        <w:rPr>
          <w:lang w:val="en"/>
        </w:rPr>
        <w:t xml:space="preserve">. </w:t>
      </w:r>
      <w:r w:rsidRPr="00EE4F63">
        <w:rPr>
          <w:rStyle w:val="hps"/>
          <w:lang w:val="en"/>
        </w:rPr>
        <w:t>However</w:t>
      </w:r>
      <w:r w:rsidRPr="00EE4F63">
        <w:rPr>
          <w:lang w:val="en"/>
        </w:rPr>
        <w:t xml:space="preserve">, there </w:t>
      </w:r>
      <w:r>
        <w:rPr>
          <w:lang w:val="en"/>
        </w:rPr>
        <w:t>wa</w:t>
      </w:r>
      <w:r w:rsidRPr="00EE4F63">
        <w:rPr>
          <w:lang w:val="en"/>
        </w:rPr>
        <w:t xml:space="preserve">s </w:t>
      </w:r>
      <w:r w:rsidRPr="00EE4F63">
        <w:rPr>
          <w:rStyle w:val="hps"/>
          <w:lang w:val="en"/>
        </w:rPr>
        <w:t>an improvement</w:t>
      </w:r>
      <w:r w:rsidRPr="00EE4F63">
        <w:rPr>
          <w:lang w:val="en"/>
        </w:rPr>
        <w:t xml:space="preserve"> in </w:t>
      </w:r>
      <w:r>
        <w:rPr>
          <w:lang w:val="en"/>
        </w:rPr>
        <w:t>the N</w:t>
      </w:r>
      <w:r w:rsidRPr="00EE4F63">
        <w:rPr>
          <w:lang w:val="en"/>
        </w:rPr>
        <w:t xml:space="preserve">ortheast region </w:t>
      </w:r>
      <w:r w:rsidRPr="00EE4F63">
        <w:rPr>
          <w:rStyle w:val="hps"/>
          <w:lang w:val="en"/>
        </w:rPr>
        <w:t>and in the</w:t>
      </w:r>
      <w:r w:rsidRPr="00EE4F63">
        <w:rPr>
          <w:lang w:val="en"/>
        </w:rPr>
        <w:t xml:space="preserve"> </w:t>
      </w:r>
      <w:r w:rsidRPr="00EE4F63">
        <w:rPr>
          <w:rStyle w:val="hps"/>
          <w:lang w:val="en"/>
        </w:rPr>
        <w:t>end of</w:t>
      </w:r>
      <w:r w:rsidRPr="00EE4F63">
        <w:rPr>
          <w:lang w:val="en"/>
        </w:rPr>
        <w:t xml:space="preserve"> </w:t>
      </w:r>
      <w:r w:rsidRPr="00EE4F63">
        <w:rPr>
          <w:rStyle w:val="hps"/>
          <w:lang w:val="en"/>
        </w:rPr>
        <w:t>the</w:t>
      </w:r>
      <w:r w:rsidRPr="00EE4F63">
        <w:rPr>
          <w:lang w:val="en"/>
        </w:rPr>
        <w:t xml:space="preserve"> period the </w:t>
      </w:r>
      <w:r>
        <w:rPr>
          <w:lang w:val="en"/>
        </w:rPr>
        <w:t>M</w:t>
      </w:r>
      <w:r w:rsidRPr="00EE4F63">
        <w:rPr>
          <w:rStyle w:val="hps"/>
          <w:lang w:val="en"/>
        </w:rPr>
        <w:t>idwest</w:t>
      </w:r>
      <w:r w:rsidRPr="00EE4F63">
        <w:rPr>
          <w:lang w:val="en"/>
        </w:rPr>
        <w:t xml:space="preserve"> region </w:t>
      </w:r>
      <w:r w:rsidRPr="00EE4F63">
        <w:rPr>
          <w:rStyle w:val="hps"/>
          <w:lang w:val="en"/>
        </w:rPr>
        <w:t>occupied</w:t>
      </w:r>
      <w:r w:rsidRPr="00EE4F63">
        <w:rPr>
          <w:lang w:val="en"/>
        </w:rPr>
        <w:t xml:space="preserve"> </w:t>
      </w:r>
      <w:r w:rsidRPr="00EE4F63">
        <w:rPr>
          <w:rStyle w:val="hps"/>
          <w:lang w:val="en"/>
        </w:rPr>
        <w:t>the worst position</w:t>
      </w:r>
      <w:r w:rsidRPr="00EE4F63">
        <w:rPr>
          <w:lang w:val="en"/>
        </w:rPr>
        <w:t xml:space="preserve">. </w:t>
      </w:r>
      <w:r>
        <w:rPr>
          <w:lang w:val="en"/>
        </w:rPr>
        <w:t>The M</w:t>
      </w:r>
      <w:r w:rsidRPr="00EE4F63">
        <w:rPr>
          <w:rStyle w:val="hps"/>
          <w:lang w:val="en"/>
        </w:rPr>
        <w:t>idwest</w:t>
      </w:r>
      <w:r w:rsidRPr="00EE4F63">
        <w:rPr>
          <w:lang w:val="en"/>
        </w:rPr>
        <w:t xml:space="preserve"> region </w:t>
      </w:r>
      <w:r w:rsidRPr="00EE4F63">
        <w:rPr>
          <w:rStyle w:val="hps"/>
          <w:lang w:val="en"/>
        </w:rPr>
        <w:t>had the worst</w:t>
      </w:r>
      <w:r w:rsidRPr="00EE4F63">
        <w:rPr>
          <w:lang w:val="en"/>
        </w:rPr>
        <w:t xml:space="preserve"> </w:t>
      </w:r>
      <w:r w:rsidRPr="00EE4F63">
        <w:rPr>
          <w:rStyle w:val="hps"/>
          <w:lang w:val="en"/>
        </w:rPr>
        <w:t>performance</w:t>
      </w:r>
      <w:r w:rsidRPr="00EE4F63">
        <w:rPr>
          <w:lang w:val="en"/>
        </w:rPr>
        <w:t xml:space="preserve"> </w:t>
      </w:r>
      <w:r w:rsidRPr="00EE4F63">
        <w:rPr>
          <w:rStyle w:val="hps"/>
          <w:lang w:val="en"/>
        </w:rPr>
        <w:t>in reducing inequality</w:t>
      </w:r>
      <w:r w:rsidRPr="00EE4F63">
        <w:rPr>
          <w:lang w:val="en"/>
        </w:rPr>
        <w:t xml:space="preserve"> </w:t>
      </w:r>
      <w:r w:rsidRPr="00EE4F63">
        <w:rPr>
          <w:rStyle w:val="hps"/>
          <w:lang w:val="en"/>
        </w:rPr>
        <w:t>over time</w:t>
      </w:r>
      <w:r w:rsidRPr="00EE4F63">
        <w:rPr>
          <w:lang w:val="en"/>
        </w:rPr>
        <w:t xml:space="preserve">. </w:t>
      </w:r>
      <w:r w:rsidRPr="00EE4F63">
        <w:rPr>
          <w:rStyle w:val="hps"/>
          <w:lang w:val="en"/>
        </w:rPr>
        <w:t>Between 1999</w:t>
      </w:r>
      <w:r w:rsidRPr="00EE4F63">
        <w:rPr>
          <w:lang w:val="en"/>
        </w:rPr>
        <w:t xml:space="preserve"> </w:t>
      </w:r>
      <w:r w:rsidRPr="00EE4F63">
        <w:rPr>
          <w:rStyle w:val="hps"/>
          <w:lang w:val="en"/>
        </w:rPr>
        <w:t>and 2008</w:t>
      </w:r>
      <w:r w:rsidRPr="00EE4F63">
        <w:rPr>
          <w:lang w:val="en"/>
        </w:rPr>
        <w:t xml:space="preserve"> </w:t>
      </w:r>
      <w:r w:rsidRPr="00EE4F63">
        <w:rPr>
          <w:rStyle w:val="hps"/>
          <w:lang w:val="en"/>
        </w:rPr>
        <w:t>the Gini index</w:t>
      </w:r>
      <w:r w:rsidRPr="00EE4F63">
        <w:rPr>
          <w:lang w:val="en"/>
        </w:rPr>
        <w:t xml:space="preserve"> </w:t>
      </w:r>
      <w:r w:rsidRPr="00EE4F63">
        <w:rPr>
          <w:rStyle w:val="hps"/>
          <w:lang w:val="en"/>
        </w:rPr>
        <w:t>fell by</w:t>
      </w:r>
      <w:r w:rsidRPr="00EE4F63">
        <w:rPr>
          <w:lang w:val="en"/>
        </w:rPr>
        <w:t xml:space="preserve"> </w:t>
      </w:r>
      <w:r w:rsidRPr="00EE4F63">
        <w:rPr>
          <w:rStyle w:val="hps"/>
          <w:lang w:val="en"/>
        </w:rPr>
        <w:t>only 4.3</w:t>
      </w:r>
      <w:r w:rsidRPr="00EE4F63">
        <w:rPr>
          <w:lang w:val="en"/>
        </w:rPr>
        <w:t xml:space="preserve">%, the </w:t>
      </w:r>
      <w:r w:rsidRPr="00EE4F63">
        <w:rPr>
          <w:rStyle w:val="hps"/>
          <w:lang w:val="en"/>
        </w:rPr>
        <w:t>Theil</w:t>
      </w:r>
      <w:r w:rsidRPr="00EE4F63">
        <w:rPr>
          <w:lang w:val="en"/>
        </w:rPr>
        <w:t xml:space="preserve"> </w:t>
      </w:r>
      <w:r w:rsidRPr="00EE4F63">
        <w:rPr>
          <w:rStyle w:val="hps"/>
          <w:lang w:val="en"/>
        </w:rPr>
        <w:t>index</w:t>
      </w:r>
      <w:r w:rsidRPr="00EE4F63">
        <w:rPr>
          <w:lang w:val="en"/>
        </w:rPr>
        <w:t xml:space="preserve"> </w:t>
      </w:r>
      <w:r w:rsidRPr="00EE4F63">
        <w:rPr>
          <w:rStyle w:val="hps"/>
          <w:lang w:val="en"/>
        </w:rPr>
        <w:t>fell by</w:t>
      </w:r>
      <w:r w:rsidRPr="00EE4F63">
        <w:rPr>
          <w:lang w:val="en"/>
        </w:rPr>
        <w:t xml:space="preserve"> </w:t>
      </w:r>
      <w:r w:rsidRPr="00EE4F63">
        <w:rPr>
          <w:rStyle w:val="hps"/>
          <w:lang w:val="en"/>
        </w:rPr>
        <w:t>8.1</w:t>
      </w:r>
      <w:r w:rsidRPr="00EE4F63">
        <w:rPr>
          <w:lang w:val="en"/>
        </w:rPr>
        <w:t xml:space="preserve">%, while </w:t>
      </w:r>
      <w:r w:rsidRPr="00EE4F63">
        <w:rPr>
          <w:rStyle w:val="hps"/>
          <w:lang w:val="en"/>
        </w:rPr>
        <w:t>the ratio</w:t>
      </w:r>
      <w:r w:rsidRPr="00EE4F63">
        <w:rPr>
          <w:lang w:val="en"/>
        </w:rPr>
        <w:t xml:space="preserve"> </w:t>
      </w:r>
      <w:r w:rsidRPr="00EE4F63">
        <w:rPr>
          <w:rStyle w:val="hps"/>
          <w:lang w:val="en"/>
        </w:rPr>
        <w:t>10</w:t>
      </w:r>
      <w:r w:rsidRPr="00EE4F63">
        <w:rPr>
          <w:lang w:val="en"/>
        </w:rPr>
        <w:t>%</w:t>
      </w:r>
      <w:r w:rsidRPr="00EE4F63">
        <w:rPr>
          <w:rStyle w:val="hps"/>
          <w:lang w:val="en"/>
        </w:rPr>
        <w:t>/40</w:t>
      </w:r>
      <w:r w:rsidRPr="00EE4F63">
        <w:rPr>
          <w:lang w:val="en"/>
        </w:rPr>
        <w:t xml:space="preserve">% </w:t>
      </w:r>
      <w:r w:rsidRPr="00EE4F63">
        <w:rPr>
          <w:rStyle w:val="hps"/>
          <w:lang w:val="en"/>
        </w:rPr>
        <w:t>decreased by</w:t>
      </w:r>
      <w:r w:rsidRPr="00EE4F63">
        <w:rPr>
          <w:lang w:val="en"/>
        </w:rPr>
        <w:t xml:space="preserve"> </w:t>
      </w:r>
      <w:r w:rsidRPr="00EE4F63">
        <w:rPr>
          <w:rStyle w:val="hps"/>
          <w:lang w:val="en"/>
        </w:rPr>
        <w:t>15.3%.</w:t>
      </w:r>
      <w:r w:rsidRPr="00EE4F63">
        <w:rPr>
          <w:lang w:val="en"/>
        </w:rPr>
        <w:t xml:space="preserve"> </w:t>
      </w:r>
      <w:r w:rsidRPr="00EE4F63">
        <w:rPr>
          <w:rStyle w:val="hps"/>
          <w:lang w:val="en"/>
        </w:rPr>
        <w:t>The region</w:t>
      </w:r>
      <w:r w:rsidRPr="00EE4F63">
        <w:rPr>
          <w:lang w:val="en"/>
        </w:rPr>
        <w:t xml:space="preserve"> </w:t>
      </w:r>
      <w:r w:rsidRPr="00EE4F63">
        <w:rPr>
          <w:rStyle w:val="hps"/>
          <w:lang w:val="en"/>
        </w:rPr>
        <w:t>with the best performance</w:t>
      </w:r>
      <w:r w:rsidRPr="00EE4F63">
        <w:rPr>
          <w:lang w:val="en"/>
        </w:rPr>
        <w:t xml:space="preserve"> </w:t>
      </w:r>
      <w:r w:rsidRPr="00EE4F63">
        <w:rPr>
          <w:rStyle w:val="hps"/>
          <w:lang w:val="en"/>
        </w:rPr>
        <w:t>is the</w:t>
      </w:r>
      <w:r w:rsidRPr="00EE4F63">
        <w:rPr>
          <w:lang w:val="en"/>
        </w:rPr>
        <w:t xml:space="preserve"> </w:t>
      </w:r>
      <w:r w:rsidRPr="00EE4F63">
        <w:rPr>
          <w:rStyle w:val="hps"/>
          <w:lang w:val="en"/>
        </w:rPr>
        <w:t>South</w:t>
      </w:r>
      <w:r w:rsidRPr="00EE4F63">
        <w:rPr>
          <w:lang w:val="en"/>
        </w:rPr>
        <w:t xml:space="preserve"> </w:t>
      </w:r>
      <w:r w:rsidRPr="00EE4F63">
        <w:rPr>
          <w:rStyle w:val="hps"/>
          <w:lang w:val="en"/>
        </w:rPr>
        <w:t>that</w:t>
      </w:r>
      <w:r>
        <w:rPr>
          <w:rStyle w:val="hps"/>
          <w:lang w:val="en"/>
        </w:rPr>
        <w:t>,</w:t>
      </w:r>
      <w:r w:rsidRPr="00EE4F63">
        <w:rPr>
          <w:rStyle w:val="hps"/>
          <w:lang w:val="en"/>
        </w:rPr>
        <w:t xml:space="preserve"> besides being</w:t>
      </w:r>
      <w:r w:rsidRPr="00EE4F63">
        <w:rPr>
          <w:lang w:val="en"/>
        </w:rPr>
        <w:t xml:space="preserve"> </w:t>
      </w:r>
      <w:r w:rsidRPr="00EE4F63">
        <w:rPr>
          <w:rStyle w:val="hps"/>
          <w:lang w:val="en"/>
        </w:rPr>
        <w:t>the region with</w:t>
      </w:r>
      <w:r w:rsidRPr="00EE4F63">
        <w:rPr>
          <w:lang w:val="en"/>
        </w:rPr>
        <w:t xml:space="preserve"> </w:t>
      </w:r>
      <w:r w:rsidRPr="00EE4F63">
        <w:rPr>
          <w:rStyle w:val="hps"/>
          <w:lang w:val="en"/>
        </w:rPr>
        <w:t>the smallest</w:t>
      </w:r>
      <w:r w:rsidRPr="00EE4F63">
        <w:rPr>
          <w:lang w:val="en"/>
        </w:rPr>
        <w:t xml:space="preserve"> </w:t>
      </w:r>
      <w:r w:rsidRPr="00EE4F63">
        <w:rPr>
          <w:rStyle w:val="hps"/>
          <w:lang w:val="en"/>
        </w:rPr>
        <w:t>inequality</w:t>
      </w:r>
      <w:r w:rsidRPr="00EE4F63">
        <w:rPr>
          <w:lang w:val="en"/>
        </w:rPr>
        <w:t xml:space="preserve"> </w:t>
      </w:r>
      <w:r w:rsidRPr="00EE4F63">
        <w:rPr>
          <w:rStyle w:val="hps"/>
          <w:lang w:val="en"/>
        </w:rPr>
        <w:t>throughout the</w:t>
      </w:r>
      <w:r w:rsidRPr="00EE4F63">
        <w:rPr>
          <w:lang w:val="en"/>
        </w:rPr>
        <w:t xml:space="preserve"> </w:t>
      </w:r>
      <w:r w:rsidRPr="00EE4F63">
        <w:rPr>
          <w:rStyle w:val="hps"/>
          <w:lang w:val="en"/>
        </w:rPr>
        <w:t>period</w:t>
      </w:r>
      <w:r>
        <w:rPr>
          <w:rStyle w:val="hps"/>
          <w:lang w:val="en"/>
        </w:rPr>
        <w:t>,</w:t>
      </w:r>
      <w:r w:rsidRPr="00EE4F63">
        <w:rPr>
          <w:rStyle w:val="hps"/>
          <w:lang w:val="en"/>
        </w:rPr>
        <w:t xml:space="preserve"> showed</w:t>
      </w:r>
      <w:r w:rsidRPr="00EE4F63">
        <w:rPr>
          <w:lang w:val="en"/>
        </w:rPr>
        <w:t xml:space="preserve"> </w:t>
      </w:r>
      <w:r w:rsidRPr="00EE4F63">
        <w:rPr>
          <w:rStyle w:val="hps"/>
          <w:lang w:val="en"/>
        </w:rPr>
        <w:t>the steepest decline</w:t>
      </w:r>
      <w:r w:rsidRPr="00EE4F63">
        <w:rPr>
          <w:lang w:val="en"/>
        </w:rPr>
        <w:t xml:space="preserve"> </w:t>
      </w:r>
      <w:r w:rsidRPr="00EE4F63">
        <w:rPr>
          <w:rStyle w:val="hps"/>
          <w:lang w:val="en"/>
        </w:rPr>
        <w:t>in inequality</w:t>
      </w:r>
      <w:r w:rsidRPr="00EE4F63">
        <w:rPr>
          <w:lang w:val="en"/>
        </w:rPr>
        <w:t xml:space="preserve"> </w:t>
      </w:r>
      <w:r w:rsidRPr="00EE4F63">
        <w:rPr>
          <w:rStyle w:val="hps"/>
          <w:lang w:val="en"/>
        </w:rPr>
        <w:t>(12</w:t>
      </w:r>
      <w:r w:rsidRPr="00EE4F63">
        <w:rPr>
          <w:lang w:val="en"/>
        </w:rPr>
        <w:t xml:space="preserve">% decrease in the </w:t>
      </w:r>
      <w:r w:rsidRPr="00EE4F63">
        <w:rPr>
          <w:rStyle w:val="hps"/>
          <w:lang w:val="en"/>
        </w:rPr>
        <w:t>Gini index</w:t>
      </w:r>
      <w:r w:rsidRPr="00EE4F63">
        <w:rPr>
          <w:lang w:val="en"/>
        </w:rPr>
        <w:t xml:space="preserve">, 22.8% decrease in the </w:t>
      </w:r>
      <w:r w:rsidRPr="00EE4F63">
        <w:rPr>
          <w:rStyle w:val="hps"/>
          <w:lang w:val="en"/>
        </w:rPr>
        <w:t>Theil</w:t>
      </w:r>
      <w:r w:rsidRPr="00EE4F63">
        <w:rPr>
          <w:lang w:val="en"/>
        </w:rPr>
        <w:t xml:space="preserve"> index, </w:t>
      </w:r>
      <w:r w:rsidRPr="00EE4F63">
        <w:rPr>
          <w:rStyle w:val="hps"/>
          <w:lang w:val="en"/>
        </w:rPr>
        <w:t>and 32.4</w:t>
      </w:r>
      <w:r w:rsidRPr="00EE4F63">
        <w:rPr>
          <w:lang w:val="en"/>
        </w:rPr>
        <w:t xml:space="preserve">% decrease in the ratio </w:t>
      </w:r>
      <w:r w:rsidRPr="00EE4F63">
        <w:rPr>
          <w:rStyle w:val="hps"/>
          <w:lang w:val="en"/>
        </w:rPr>
        <w:t>10%/40</w:t>
      </w:r>
      <w:r w:rsidRPr="00EE4F63">
        <w:rPr>
          <w:lang w:val="en"/>
        </w:rPr>
        <w:t xml:space="preserve">%). </w:t>
      </w:r>
    </w:p>
    <w:p w14:paraId="015493DF" w14:textId="77777777" w:rsidR="00401A64" w:rsidRDefault="00401A64" w:rsidP="00401A64">
      <w:pPr>
        <w:widowControl w:val="0"/>
        <w:jc w:val="both"/>
        <w:rPr>
          <w:lang w:val="en"/>
        </w:rPr>
      </w:pPr>
    </w:p>
    <w:p w14:paraId="24B994C6" w14:textId="77777777" w:rsidR="00401A64" w:rsidRDefault="00401A64" w:rsidP="00401A64">
      <w:pPr>
        <w:widowControl w:val="0"/>
        <w:jc w:val="center"/>
        <w:rPr>
          <w:b/>
          <w:bCs/>
        </w:rPr>
      </w:pPr>
      <w:r w:rsidRPr="00EE4F63">
        <w:rPr>
          <w:b/>
          <w:bCs/>
        </w:rPr>
        <w:t>Figure</w:t>
      </w:r>
      <w:r>
        <w:rPr>
          <w:b/>
          <w:bCs/>
        </w:rPr>
        <w:t xml:space="preserve"> </w:t>
      </w:r>
      <w:r w:rsidRPr="00EE4F63">
        <w:rPr>
          <w:b/>
          <w:bCs/>
        </w:rPr>
        <w:t>1</w:t>
      </w:r>
    </w:p>
    <w:p w14:paraId="7E8D43B2" w14:textId="77777777" w:rsidR="00401A64" w:rsidRDefault="00401A64" w:rsidP="00401A64">
      <w:pPr>
        <w:widowControl w:val="0"/>
        <w:jc w:val="center"/>
        <w:rPr>
          <w:bCs/>
          <w:i/>
        </w:rPr>
      </w:pPr>
      <w:r w:rsidRPr="009B444F">
        <w:rPr>
          <w:bCs/>
          <w:i/>
        </w:rPr>
        <w:t>Inequality indicators</w:t>
      </w:r>
    </w:p>
    <w:tbl>
      <w:tblPr>
        <w:tblW w:w="11199"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1"/>
        <w:gridCol w:w="5528"/>
      </w:tblGrid>
      <w:tr w:rsidR="00401A64" w:rsidRPr="00230D82" w14:paraId="4E08020C" w14:textId="77777777" w:rsidTr="00595B93">
        <w:trPr>
          <w:trHeight w:val="4359"/>
        </w:trPr>
        <w:tc>
          <w:tcPr>
            <w:tcW w:w="5671" w:type="dxa"/>
            <w:tcBorders>
              <w:top w:val="nil"/>
              <w:left w:val="nil"/>
              <w:bottom w:val="nil"/>
              <w:right w:val="nil"/>
            </w:tcBorders>
            <w:shd w:val="clear" w:color="auto" w:fill="auto"/>
          </w:tcPr>
          <w:p w14:paraId="0C6B1238" w14:textId="74C99538" w:rsidR="00401A64" w:rsidRPr="00230D82" w:rsidRDefault="00401A64" w:rsidP="00595B93">
            <w:pPr>
              <w:widowControl w:val="0"/>
              <w:jc w:val="center"/>
              <w:rPr>
                <w:b/>
                <w:bCs/>
              </w:rPr>
            </w:pPr>
            <w:r>
              <w:rPr>
                <w:b/>
                <w:bCs/>
                <w:noProof/>
              </w:rPr>
              <w:drawing>
                <wp:inline distT="0" distB="0" distL="0" distR="0" wp14:anchorId="1D999A6A" wp14:editId="686B3B29">
                  <wp:extent cx="3023235" cy="2788285"/>
                  <wp:effectExtent l="0" t="0" r="571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235" cy="2788285"/>
                          </a:xfrm>
                          <a:prstGeom prst="rect">
                            <a:avLst/>
                          </a:prstGeom>
                          <a:noFill/>
                        </pic:spPr>
                      </pic:pic>
                    </a:graphicData>
                  </a:graphic>
                </wp:inline>
              </w:drawing>
            </w:r>
          </w:p>
        </w:tc>
        <w:tc>
          <w:tcPr>
            <w:tcW w:w="5528" w:type="dxa"/>
            <w:tcBorders>
              <w:top w:val="nil"/>
              <w:left w:val="nil"/>
              <w:bottom w:val="nil"/>
              <w:right w:val="nil"/>
            </w:tcBorders>
            <w:shd w:val="clear" w:color="auto" w:fill="auto"/>
          </w:tcPr>
          <w:p w14:paraId="02A6A4AC" w14:textId="6AD5448E" w:rsidR="00401A64" w:rsidRPr="00230D82" w:rsidRDefault="00401A64" w:rsidP="00595B93">
            <w:pPr>
              <w:widowControl w:val="0"/>
              <w:jc w:val="center"/>
              <w:rPr>
                <w:b/>
                <w:bCs/>
              </w:rPr>
            </w:pPr>
            <w:r>
              <w:rPr>
                <w:b/>
                <w:bCs/>
                <w:noProof/>
              </w:rPr>
              <w:drawing>
                <wp:inline distT="0" distB="0" distL="0" distR="0" wp14:anchorId="28C59B64" wp14:editId="39401793">
                  <wp:extent cx="2971165" cy="2766060"/>
                  <wp:effectExtent l="0" t="0" r="63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165" cy="2766060"/>
                          </a:xfrm>
                          <a:prstGeom prst="rect">
                            <a:avLst/>
                          </a:prstGeom>
                          <a:noFill/>
                        </pic:spPr>
                      </pic:pic>
                    </a:graphicData>
                  </a:graphic>
                </wp:inline>
              </w:drawing>
            </w:r>
          </w:p>
        </w:tc>
      </w:tr>
      <w:tr w:rsidR="00401A64" w:rsidRPr="00230D82" w14:paraId="47447369" w14:textId="77777777" w:rsidTr="00595B93">
        <w:trPr>
          <w:trHeight w:val="4507"/>
        </w:trPr>
        <w:tc>
          <w:tcPr>
            <w:tcW w:w="11199" w:type="dxa"/>
            <w:gridSpan w:val="2"/>
            <w:tcBorders>
              <w:top w:val="nil"/>
              <w:left w:val="nil"/>
              <w:bottom w:val="nil"/>
              <w:right w:val="nil"/>
            </w:tcBorders>
            <w:shd w:val="clear" w:color="auto" w:fill="auto"/>
          </w:tcPr>
          <w:p w14:paraId="24435C9B" w14:textId="0EE63DD1" w:rsidR="00401A64" w:rsidRPr="00230D82" w:rsidRDefault="00401A64" w:rsidP="00595B93">
            <w:pPr>
              <w:widowControl w:val="0"/>
              <w:jc w:val="center"/>
              <w:rPr>
                <w:b/>
                <w:bCs/>
              </w:rPr>
            </w:pPr>
            <w:r>
              <w:rPr>
                <w:b/>
                <w:bCs/>
                <w:noProof/>
              </w:rPr>
              <w:drawing>
                <wp:inline distT="0" distB="0" distL="0" distR="0" wp14:anchorId="3FE71EB9" wp14:editId="36B9BF22">
                  <wp:extent cx="3030220" cy="284861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220" cy="2848610"/>
                          </a:xfrm>
                          <a:prstGeom prst="rect">
                            <a:avLst/>
                          </a:prstGeom>
                          <a:noFill/>
                        </pic:spPr>
                      </pic:pic>
                    </a:graphicData>
                  </a:graphic>
                </wp:inline>
              </w:drawing>
            </w:r>
          </w:p>
        </w:tc>
      </w:tr>
    </w:tbl>
    <w:p w14:paraId="280C5977" w14:textId="77777777" w:rsidR="00401A64" w:rsidRPr="00AD4639" w:rsidRDefault="00401A64" w:rsidP="00401A64">
      <w:pPr>
        <w:widowControl w:val="0"/>
        <w:jc w:val="center"/>
        <w:rPr>
          <w:b/>
          <w:bCs/>
          <w:sz w:val="20"/>
          <w:szCs w:val="20"/>
          <w:lang w:val="en-US"/>
        </w:rPr>
      </w:pPr>
      <w:r w:rsidRPr="00AD4639">
        <w:rPr>
          <w:bCs/>
          <w:i/>
          <w:sz w:val="20"/>
          <w:szCs w:val="20"/>
          <w:lang w:val="en-US"/>
        </w:rPr>
        <w:t xml:space="preserve">Source: </w:t>
      </w:r>
      <w:r w:rsidRPr="00AD4639">
        <w:rPr>
          <w:sz w:val="20"/>
          <w:szCs w:val="20"/>
          <w:lang w:val="en-US"/>
        </w:rPr>
        <w:t>Brazilian Institute of</w:t>
      </w:r>
      <w:r>
        <w:rPr>
          <w:sz w:val="20"/>
          <w:szCs w:val="20"/>
          <w:lang w:val="en-US"/>
        </w:rPr>
        <w:t xml:space="preserve"> Geography and Statistics</w:t>
      </w:r>
      <w:r w:rsidRPr="00AD4639">
        <w:rPr>
          <w:sz w:val="20"/>
          <w:szCs w:val="20"/>
          <w:lang w:val="en-US"/>
        </w:rPr>
        <w:t>.</w:t>
      </w:r>
    </w:p>
    <w:p w14:paraId="7CD0E74B" w14:textId="77777777" w:rsidR="00401A64" w:rsidRDefault="00401A64" w:rsidP="00401A64">
      <w:pPr>
        <w:widowControl w:val="0"/>
        <w:ind w:firstLine="709"/>
        <w:jc w:val="both"/>
        <w:rPr>
          <w:lang w:val="en-US"/>
        </w:rPr>
      </w:pPr>
    </w:p>
    <w:p w14:paraId="754629DE" w14:textId="77777777" w:rsidR="00401A64" w:rsidRPr="00EE4F63" w:rsidRDefault="00401A64" w:rsidP="00401A64">
      <w:pPr>
        <w:widowControl w:val="0"/>
        <w:ind w:firstLine="709"/>
        <w:jc w:val="both"/>
        <w:rPr>
          <w:lang w:val="en-US"/>
        </w:rPr>
      </w:pPr>
      <w:r w:rsidRPr="00EE4F63">
        <w:rPr>
          <w:lang w:val="en-US"/>
        </w:rPr>
        <w:t xml:space="preserve">Regarding the behavior of economic variables, a variable that is pointed out as relevant for analyzing income inequality is the trade openness (Rodrik, 1997; Easterly, 2005; </w:t>
      </w:r>
      <w:r>
        <w:rPr>
          <w:lang w:val="en-US"/>
        </w:rPr>
        <w:t xml:space="preserve">and </w:t>
      </w:r>
      <w:r w:rsidRPr="00EE4F63">
        <w:rPr>
          <w:lang w:val="en-US"/>
        </w:rPr>
        <w:t xml:space="preserve">Nissanke and Thorbeck, 2006). One reason is that </w:t>
      </w:r>
      <w:r>
        <w:rPr>
          <w:lang w:val="en-US"/>
        </w:rPr>
        <w:t>t</w:t>
      </w:r>
      <w:r w:rsidRPr="00EE4F63">
        <w:rPr>
          <w:lang w:val="en-US"/>
        </w:rPr>
        <w:t xml:space="preserve">he relation between distributional framework and trade openness </w:t>
      </w:r>
      <w:r w:rsidRPr="00EE4F63">
        <w:rPr>
          <w:rStyle w:val="hps"/>
          <w:lang w:val="en"/>
        </w:rPr>
        <w:t>is</w:t>
      </w:r>
      <w:r w:rsidRPr="00EE4F63">
        <w:rPr>
          <w:lang w:val="en"/>
        </w:rPr>
        <w:t xml:space="preserve"> </w:t>
      </w:r>
      <w:r w:rsidRPr="00EE4F63">
        <w:rPr>
          <w:rStyle w:val="hps"/>
          <w:lang w:val="en"/>
        </w:rPr>
        <w:t>partly</w:t>
      </w:r>
      <w:r w:rsidRPr="00EE4F63">
        <w:rPr>
          <w:lang w:val="en"/>
        </w:rPr>
        <w:t xml:space="preserve"> </w:t>
      </w:r>
      <w:r w:rsidRPr="00EE4F63">
        <w:rPr>
          <w:rStyle w:val="hps"/>
          <w:lang w:val="en"/>
        </w:rPr>
        <w:t>related to the</w:t>
      </w:r>
      <w:r w:rsidRPr="00EE4F63">
        <w:rPr>
          <w:lang w:val="en"/>
        </w:rPr>
        <w:t xml:space="preserve"> </w:t>
      </w:r>
      <w:r w:rsidRPr="00EE4F63">
        <w:rPr>
          <w:rStyle w:val="hps"/>
          <w:lang w:val="en"/>
        </w:rPr>
        <w:t>extent</w:t>
      </w:r>
      <w:r w:rsidRPr="00EE4F63">
        <w:rPr>
          <w:lang w:val="en"/>
        </w:rPr>
        <w:t xml:space="preserve"> </w:t>
      </w:r>
      <w:r w:rsidRPr="00EE4F63">
        <w:rPr>
          <w:rStyle w:val="hps"/>
          <w:lang w:val="en"/>
        </w:rPr>
        <w:t xml:space="preserve">that productive </w:t>
      </w:r>
      <w:r w:rsidRPr="00EE4F63">
        <w:rPr>
          <w:rStyle w:val="hps"/>
          <w:lang w:val="en"/>
        </w:rPr>
        <w:lastRenderedPageBreak/>
        <w:t>factors</w:t>
      </w:r>
      <w:r w:rsidRPr="00EE4F63">
        <w:rPr>
          <w:lang w:val="en"/>
        </w:rPr>
        <w:t xml:space="preserve"> </w:t>
      </w:r>
      <w:r w:rsidRPr="00EE4F63">
        <w:rPr>
          <w:rStyle w:val="hps"/>
          <w:lang w:val="en"/>
        </w:rPr>
        <w:t>are used</w:t>
      </w:r>
      <w:r w:rsidRPr="00EE4F63">
        <w:rPr>
          <w:lang w:val="en"/>
        </w:rPr>
        <w:t xml:space="preserve"> </w:t>
      </w:r>
      <w:r w:rsidRPr="00EE4F63">
        <w:rPr>
          <w:rStyle w:val="hps"/>
          <w:lang w:val="en"/>
        </w:rPr>
        <w:t>in the production of</w:t>
      </w:r>
      <w:r w:rsidRPr="00EE4F63">
        <w:rPr>
          <w:lang w:val="en"/>
        </w:rPr>
        <w:t xml:space="preserve"> </w:t>
      </w:r>
      <w:r w:rsidRPr="00EE4F63">
        <w:rPr>
          <w:rStyle w:val="hps"/>
          <w:lang w:val="en"/>
        </w:rPr>
        <w:t>its main products</w:t>
      </w:r>
      <w:r w:rsidRPr="00EE4F63">
        <w:rPr>
          <w:lang w:val="en"/>
        </w:rPr>
        <w:t>.</w:t>
      </w:r>
      <w:r>
        <w:rPr>
          <w:lang w:val="en"/>
        </w:rPr>
        <w:t xml:space="preserve"> </w:t>
      </w:r>
      <w:r w:rsidRPr="00BC6874">
        <w:rPr>
          <w:lang w:val="en"/>
        </w:rPr>
        <w:t xml:space="preserve">It is important to highlight that diversity of tax </w:t>
      </w:r>
      <w:r>
        <w:rPr>
          <w:lang w:val="en"/>
        </w:rPr>
        <w:t xml:space="preserve">laws </w:t>
      </w:r>
      <w:r w:rsidRPr="00BC6874">
        <w:rPr>
          <w:lang w:val="en"/>
        </w:rPr>
        <w:t>and labor laws increase</w:t>
      </w:r>
      <w:r>
        <w:rPr>
          <w:lang w:val="en"/>
        </w:rPr>
        <w:t>s</w:t>
      </w:r>
      <w:r w:rsidRPr="00BC6874">
        <w:rPr>
          <w:lang w:val="en"/>
        </w:rPr>
        <w:t xml:space="preserve"> the difference among countries but th</w:t>
      </w:r>
      <w:r>
        <w:rPr>
          <w:lang w:val="en"/>
        </w:rPr>
        <w:t>is</w:t>
      </w:r>
      <w:r w:rsidRPr="00BC6874">
        <w:rPr>
          <w:lang w:val="en"/>
        </w:rPr>
        <w:t xml:space="preserve"> </w:t>
      </w:r>
      <w:r>
        <w:rPr>
          <w:lang w:val="en"/>
        </w:rPr>
        <w:t>effect is negligible when states of the Brazilian federation are considered in the analysis.</w:t>
      </w:r>
      <w:r w:rsidRPr="00BC6874">
        <w:rPr>
          <w:lang w:val="en"/>
        </w:rPr>
        <w:t xml:space="preserve"> </w:t>
      </w:r>
      <w:r w:rsidRPr="00EE4F63">
        <w:rPr>
          <w:lang w:val="en-US"/>
        </w:rPr>
        <w:t xml:space="preserve">Hence, based on the information gathered from </w:t>
      </w:r>
      <w:r w:rsidRPr="00EE4F63">
        <w:rPr>
          <w:bCs/>
          <w:lang w:val="en-US" w:eastAsia="pt-BR"/>
        </w:rPr>
        <w:t>Ministry of Development, Industry and Foreign Trade (MDIC) and Central Bank of Brazil (CBB), this study makes use of an indicator of trade openness</w:t>
      </w:r>
      <w:r>
        <w:rPr>
          <w:bCs/>
          <w:lang w:val="en-US" w:eastAsia="pt-BR"/>
        </w:rPr>
        <w:t xml:space="preserve"> between the states and foreign nations</w:t>
      </w:r>
      <w:r w:rsidRPr="00EE4F63">
        <w:rPr>
          <w:bCs/>
          <w:lang w:val="en-US" w:eastAsia="pt-BR"/>
        </w:rPr>
        <w:t xml:space="preserve"> (</w:t>
      </w:r>
      <w:r w:rsidRPr="00EE4F63">
        <w:rPr>
          <w:bCs/>
          <w:i/>
          <w:lang w:val="en-US" w:eastAsia="pt-BR"/>
        </w:rPr>
        <w:t xml:space="preserve">OPEN </w:t>
      </w:r>
      <w:r w:rsidRPr="00EE4F63">
        <w:rPr>
          <w:bCs/>
          <w:lang w:val="en-US" w:eastAsia="pt-BR"/>
        </w:rPr>
        <w:t xml:space="preserve">= </w:t>
      </w:r>
      <w:r w:rsidRPr="00EE4F63">
        <w:rPr>
          <w:bCs/>
          <w:lang w:val="en-US"/>
        </w:rPr>
        <w:t>(total imports + total exports)/GDP</w:t>
      </w:r>
      <w:r w:rsidRPr="00EE4F63">
        <w:rPr>
          <w:bCs/>
          <w:lang w:val="en-US" w:eastAsia="pt-BR"/>
        </w:rPr>
        <w:t>).</w:t>
      </w:r>
    </w:p>
    <w:p w14:paraId="1FC13325" w14:textId="77777777" w:rsidR="00401A64" w:rsidRPr="001B47B5" w:rsidRDefault="00401A64" w:rsidP="00401A64">
      <w:pPr>
        <w:widowControl w:val="0"/>
        <w:ind w:firstLine="708"/>
        <w:jc w:val="both"/>
        <w:rPr>
          <w:lang w:val="en-US"/>
        </w:rPr>
      </w:pPr>
      <w:r w:rsidRPr="00EE4F63">
        <w:rPr>
          <w:bCs/>
          <w:lang w:val="en-US"/>
        </w:rPr>
        <w:t xml:space="preserve">In contrast with what is observed in </w:t>
      </w:r>
      <w:r>
        <w:rPr>
          <w:bCs/>
          <w:lang w:val="en-US"/>
        </w:rPr>
        <w:t xml:space="preserve">the </w:t>
      </w:r>
      <w:r w:rsidRPr="00EE4F63">
        <w:rPr>
          <w:bCs/>
          <w:lang w:val="en-US"/>
        </w:rPr>
        <w:t xml:space="preserve">inequality indicators, although </w:t>
      </w:r>
      <w:r>
        <w:rPr>
          <w:bCs/>
          <w:lang w:val="en-US"/>
        </w:rPr>
        <w:t xml:space="preserve">the </w:t>
      </w:r>
      <w:r w:rsidRPr="00EE4F63">
        <w:rPr>
          <w:bCs/>
          <w:lang w:val="en-US"/>
        </w:rPr>
        <w:t xml:space="preserve">Midwest region has the worst performance over time, there </w:t>
      </w:r>
      <w:r>
        <w:rPr>
          <w:bCs/>
          <w:lang w:val="en-US"/>
        </w:rPr>
        <w:t>wa</w:t>
      </w:r>
      <w:r w:rsidRPr="00EE4F63">
        <w:rPr>
          <w:bCs/>
          <w:lang w:val="en-US"/>
        </w:rPr>
        <w:t xml:space="preserve">s a considerable improvement </w:t>
      </w:r>
      <w:r>
        <w:rPr>
          <w:bCs/>
          <w:lang w:val="en-US"/>
        </w:rPr>
        <w:t xml:space="preserve">in the trade openness </w:t>
      </w:r>
      <w:r w:rsidRPr="00EE4F63">
        <w:rPr>
          <w:bCs/>
          <w:lang w:val="en-US"/>
        </w:rPr>
        <w:t xml:space="preserve">after 2002 and </w:t>
      </w:r>
      <w:r>
        <w:rPr>
          <w:bCs/>
          <w:lang w:val="en-US"/>
        </w:rPr>
        <w:t xml:space="preserve">it </w:t>
      </w:r>
      <w:r w:rsidRPr="00EE4F63">
        <w:rPr>
          <w:bCs/>
          <w:lang w:val="en-US"/>
        </w:rPr>
        <w:t>surpassed the Northeast in 2008. The Southeast region ha</w:t>
      </w:r>
      <w:r>
        <w:rPr>
          <w:bCs/>
          <w:lang w:val="en-US"/>
        </w:rPr>
        <w:t>s</w:t>
      </w:r>
      <w:r w:rsidRPr="00EE4F63">
        <w:rPr>
          <w:bCs/>
          <w:lang w:val="en-US"/>
        </w:rPr>
        <w:t xml:space="preserve"> an intermediate and stable performance among the regions. The North is the region with the greatest openness, but the South has approached this level over time</w:t>
      </w:r>
      <w:r>
        <w:rPr>
          <w:bCs/>
          <w:lang w:val="en-US"/>
        </w:rPr>
        <w:t xml:space="preserve"> (see figure 2)</w:t>
      </w:r>
      <w:r w:rsidRPr="00EE4F63">
        <w:rPr>
          <w:bCs/>
          <w:lang w:val="en-US"/>
        </w:rPr>
        <w:t>.</w:t>
      </w:r>
    </w:p>
    <w:p w14:paraId="51D3D1E8" w14:textId="77777777" w:rsidR="00401A64" w:rsidRDefault="00401A64" w:rsidP="00401A64">
      <w:pPr>
        <w:widowControl w:val="0"/>
        <w:jc w:val="center"/>
        <w:rPr>
          <w:b/>
          <w:bCs/>
        </w:rPr>
      </w:pPr>
    </w:p>
    <w:p w14:paraId="4628855A" w14:textId="77777777" w:rsidR="00401A64" w:rsidRDefault="00401A64" w:rsidP="00401A64">
      <w:pPr>
        <w:widowControl w:val="0"/>
        <w:jc w:val="center"/>
        <w:rPr>
          <w:b/>
          <w:bCs/>
        </w:rPr>
      </w:pPr>
      <w:r w:rsidRPr="00EE4F63">
        <w:rPr>
          <w:b/>
          <w:bCs/>
        </w:rPr>
        <w:t>Figure 2</w:t>
      </w:r>
      <w:r>
        <w:rPr>
          <w:b/>
          <w:bCs/>
        </w:rPr>
        <w:t xml:space="preserve"> </w:t>
      </w:r>
    </w:p>
    <w:p w14:paraId="1B909FE5" w14:textId="77777777" w:rsidR="00401A64" w:rsidRPr="009447E0" w:rsidRDefault="00401A64" w:rsidP="00401A64">
      <w:pPr>
        <w:widowControl w:val="0"/>
        <w:jc w:val="center"/>
        <w:rPr>
          <w:b/>
          <w:bCs/>
        </w:rPr>
      </w:pPr>
      <w:r w:rsidRPr="009B444F">
        <w:rPr>
          <w:bCs/>
          <w:i/>
        </w:rPr>
        <w:t>Trade openness</w:t>
      </w:r>
      <w:r>
        <w:rPr>
          <w:bCs/>
          <w:i/>
        </w:rPr>
        <w:t xml:space="preserve"> (OPEN)</w:t>
      </w:r>
    </w:p>
    <w:p w14:paraId="1652D1A3" w14:textId="4E8A519B" w:rsidR="00401A64" w:rsidRDefault="00401A64" w:rsidP="00401A64">
      <w:pPr>
        <w:widowControl w:val="0"/>
        <w:jc w:val="center"/>
        <w:rPr>
          <w:b/>
          <w:bCs/>
        </w:rPr>
      </w:pPr>
      <w:r>
        <w:rPr>
          <w:b/>
          <w:bCs/>
          <w:noProof/>
        </w:rPr>
        <w:drawing>
          <wp:inline distT="0" distB="0" distL="0" distR="0" wp14:anchorId="20927F6B" wp14:editId="706785F1">
            <wp:extent cx="4196715" cy="2794635"/>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6715" cy="2794635"/>
                    </a:xfrm>
                    <a:prstGeom prst="rect">
                      <a:avLst/>
                    </a:prstGeom>
                    <a:noFill/>
                  </pic:spPr>
                </pic:pic>
              </a:graphicData>
            </a:graphic>
          </wp:inline>
        </w:drawing>
      </w:r>
    </w:p>
    <w:p w14:paraId="02410B99" w14:textId="77777777" w:rsidR="00401A64" w:rsidRDefault="00401A64" w:rsidP="00401A64">
      <w:pPr>
        <w:widowControl w:val="0"/>
        <w:ind w:firstLine="709"/>
        <w:jc w:val="center"/>
        <w:rPr>
          <w:bCs/>
          <w:sz w:val="20"/>
          <w:szCs w:val="20"/>
          <w:lang w:val="en-US" w:eastAsia="pt-BR"/>
        </w:rPr>
      </w:pPr>
      <w:r w:rsidRPr="00AD4639">
        <w:rPr>
          <w:bCs/>
          <w:i/>
          <w:sz w:val="20"/>
          <w:szCs w:val="20"/>
          <w:lang w:val="en-US"/>
        </w:rPr>
        <w:t xml:space="preserve">Source: </w:t>
      </w:r>
      <w:r w:rsidRPr="00AD4639">
        <w:rPr>
          <w:bCs/>
          <w:sz w:val="20"/>
          <w:szCs w:val="20"/>
          <w:lang w:val="en-US" w:eastAsia="pt-BR"/>
        </w:rPr>
        <w:t xml:space="preserve">Ministry of Development, Industry and Foreign Trade </w:t>
      </w:r>
      <w:r>
        <w:rPr>
          <w:bCs/>
          <w:sz w:val="20"/>
          <w:szCs w:val="20"/>
          <w:lang w:val="en-US" w:eastAsia="pt-BR"/>
        </w:rPr>
        <w:t>and Central Bank of Brazil.</w:t>
      </w:r>
    </w:p>
    <w:p w14:paraId="14669499" w14:textId="77777777" w:rsidR="00401A64" w:rsidRPr="009D4E13" w:rsidRDefault="00401A64" w:rsidP="00401A64">
      <w:pPr>
        <w:widowControl w:val="0"/>
        <w:ind w:firstLine="708"/>
        <w:jc w:val="center"/>
        <w:rPr>
          <w:bCs/>
          <w:sz w:val="20"/>
          <w:szCs w:val="20"/>
          <w:lang w:val="en-US"/>
        </w:rPr>
      </w:pPr>
      <w:r>
        <w:rPr>
          <w:bCs/>
          <w:i/>
          <w:sz w:val="20"/>
          <w:szCs w:val="20"/>
          <w:lang w:val="en-US"/>
        </w:rPr>
        <w:t xml:space="preserve">Note: </w:t>
      </w:r>
      <w:r>
        <w:rPr>
          <w:bCs/>
          <w:sz w:val="20"/>
          <w:szCs w:val="20"/>
          <w:lang w:val="en-US"/>
        </w:rPr>
        <w:t>OPEN is the sum of imports and exports divided by GDP</w:t>
      </w:r>
    </w:p>
    <w:p w14:paraId="3E5F64E9" w14:textId="77777777" w:rsidR="00401A64" w:rsidRPr="00AD4639" w:rsidRDefault="00401A64" w:rsidP="00401A64">
      <w:pPr>
        <w:widowControl w:val="0"/>
        <w:ind w:firstLine="708"/>
        <w:jc w:val="center"/>
        <w:rPr>
          <w:lang w:val="en-US"/>
        </w:rPr>
      </w:pPr>
    </w:p>
    <w:p w14:paraId="6CAF1961" w14:textId="77777777" w:rsidR="00401A64" w:rsidRDefault="00401A64" w:rsidP="00401A64">
      <w:pPr>
        <w:widowControl w:val="0"/>
        <w:ind w:firstLine="708"/>
        <w:jc w:val="both"/>
        <w:rPr>
          <w:bCs/>
          <w:lang w:val="en-US"/>
        </w:rPr>
      </w:pPr>
    </w:p>
    <w:p w14:paraId="146D9D2B" w14:textId="77777777" w:rsidR="00401A64" w:rsidRPr="00297D77" w:rsidRDefault="00401A64" w:rsidP="00401A64">
      <w:pPr>
        <w:widowControl w:val="0"/>
        <w:ind w:firstLine="708"/>
        <w:jc w:val="both"/>
        <w:rPr>
          <w:lang w:val="en-US"/>
        </w:rPr>
      </w:pPr>
      <w:r>
        <w:rPr>
          <w:bCs/>
          <w:lang w:val="en-US"/>
        </w:rPr>
        <w:t>Anot</w:t>
      </w:r>
      <w:r w:rsidRPr="00EE4F63">
        <w:rPr>
          <w:bCs/>
          <w:lang w:val="en-US"/>
        </w:rPr>
        <w:t>her variable that is relevant for the analysis concerning income inequality is the technological development (Acemoglu and Newman, 2002; Madsen, 2007; and Fang, Huang and Wang, 2008). In this analysis</w:t>
      </w:r>
      <w:r>
        <w:rPr>
          <w:bCs/>
          <w:lang w:val="en-US"/>
        </w:rPr>
        <w:t xml:space="preserve"> the ratio of </w:t>
      </w:r>
      <w:r w:rsidRPr="00EE4F63">
        <w:rPr>
          <w:rStyle w:val="hps"/>
          <w:lang w:val="en"/>
        </w:rPr>
        <w:t>patents</w:t>
      </w:r>
      <w:r w:rsidRPr="00EE4F63">
        <w:rPr>
          <w:lang w:val="en"/>
        </w:rPr>
        <w:t xml:space="preserve"> </w:t>
      </w:r>
      <w:r>
        <w:rPr>
          <w:lang w:val="en"/>
        </w:rPr>
        <w:t xml:space="preserve">in </w:t>
      </w:r>
      <w:r w:rsidRPr="00EE4F63">
        <w:rPr>
          <w:rStyle w:val="hps"/>
          <w:lang w:val="en"/>
        </w:rPr>
        <w:t xml:space="preserve">each </w:t>
      </w:r>
      <w:r>
        <w:rPr>
          <w:rStyle w:val="hps"/>
          <w:lang w:val="en"/>
        </w:rPr>
        <w:t>s</w:t>
      </w:r>
      <w:r w:rsidRPr="00EE4F63">
        <w:rPr>
          <w:rStyle w:val="hps"/>
          <w:lang w:val="en"/>
        </w:rPr>
        <w:t>tate</w:t>
      </w:r>
      <w:r w:rsidRPr="00EE4F63">
        <w:rPr>
          <w:lang w:val="en"/>
        </w:rPr>
        <w:t xml:space="preserve"> </w:t>
      </w:r>
      <w:r w:rsidRPr="00EE4F63">
        <w:rPr>
          <w:rStyle w:val="hps"/>
          <w:lang w:val="en"/>
        </w:rPr>
        <w:t>with respect</w:t>
      </w:r>
      <w:r w:rsidRPr="00EE4F63">
        <w:rPr>
          <w:lang w:val="en"/>
        </w:rPr>
        <w:t xml:space="preserve"> </w:t>
      </w:r>
      <w:r w:rsidRPr="00EE4F63">
        <w:rPr>
          <w:rStyle w:val="hps"/>
          <w:lang w:val="en"/>
        </w:rPr>
        <w:t>to total</w:t>
      </w:r>
      <w:r w:rsidRPr="00EE4F63">
        <w:rPr>
          <w:lang w:val="en"/>
        </w:rPr>
        <w:t xml:space="preserve"> </w:t>
      </w:r>
      <w:r w:rsidRPr="00EE4F63">
        <w:rPr>
          <w:rStyle w:val="hps"/>
          <w:lang w:val="en"/>
        </w:rPr>
        <w:t>patents granted</w:t>
      </w:r>
      <w:r w:rsidRPr="00EE4F63">
        <w:rPr>
          <w:lang w:val="en"/>
        </w:rPr>
        <w:t xml:space="preserve"> by Brazil </w:t>
      </w:r>
      <w:r w:rsidRPr="00EE4F63">
        <w:rPr>
          <w:rStyle w:val="hps"/>
          <w:lang w:val="en"/>
        </w:rPr>
        <w:t>in the year (</w:t>
      </w:r>
      <w:r w:rsidRPr="00EE4F63">
        <w:rPr>
          <w:i/>
          <w:lang w:val="en"/>
        </w:rPr>
        <w:t>PAT</w:t>
      </w:r>
      <w:r>
        <w:rPr>
          <w:lang w:val="en"/>
        </w:rPr>
        <w:t xml:space="preserve"> - </w:t>
      </w:r>
      <w:r w:rsidRPr="00EE4F63">
        <w:rPr>
          <w:bCs/>
          <w:lang w:val="en-US"/>
        </w:rPr>
        <w:t xml:space="preserve">information available from </w:t>
      </w:r>
      <w:r w:rsidRPr="00EE4F63">
        <w:rPr>
          <w:bCs/>
          <w:lang w:val="en-US" w:eastAsia="pt-BR"/>
        </w:rPr>
        <w:t>National Institute of Industrial Property</w:t>
      </w:r>
      <w:r w:rsidRPr="00EE4F63">
        <w:rPr>
          <w:lang w:val="en"/>
        </w:rPr>
        <w:t>)</w:t>
      </w:r>
      <w:r w:rsidRPr="00EE4F63">
        <w:rPr>
          <w:bCs/>
          <w:lang w:val="en-US"/>
        </w:rPr>
        <w:t xml:space="preserve"> </w:t>
      </w:r>
      <w:r>
        <w:rPr>
          <w:bCs/>
          <w:lang w:val="en-US"/>
        </w:rPr>
        <w:t>is</w:t>
      </w:r>
      <w:r w:rsidRPr="00EE4F63">
        <w:rPr>
          <w:bCs/>
          <w:lang w:val="en-US"/>
        </w:rPr>
        <w:t xml:space="preserve"> used as a proxy for technological development due to the well-known relationship between them.</w:t>
      </w:r>
      <w:r w:rsidRPr="00EE4F63">
        <w:rPr>
          <w:rStyle w:val="Refdenotaderodap"/>
          <w:lang w:val="en"/>
        </w:rPr>
        <w:footnoteReference w:id="3"/>
      </w:r>
      <w:r w:rsidRPr="00EE4F63">
        <w:rPr>
          <w:lang w:val="en"/>
        </w:rPr>
        <w:t xml:space="preserve"> </w:t>
      </w:r>
      <w:r w:rsidRPr="001B1105">
        <w:rPr>
          <w:lang w:val="en-US"/>
        </w:rPr>
        <w:t>This proxy allows one to observe the average technological growth of the country.</w:t>
      </w:r>
      <w:r>
        <w:rPr>
          <w:lang w:val="en-US"/>
        </w:rPr>
        <w:t xml:space="preserve"> </w:t>
      </w:r>
      <w:r w:rsidRPr="00E2511A">
        <w:rPr>
          <w:lang w:val="en-US"/>
        </w:rPr>
        <w:t>It is important to note that even in the case where a state has increased the number of patents</w:t>
      </w:r>
      <w:r>
        <w:rPr>
          <w:lang w:val="en-US"/>
        </w:rPr>
        <w:t>,</w:t>
      </w:r>
      <w:r w:rsidRPr="00E2511A">
        <w:rPr>
          <w:lang w:val="en-US"/>
        </w:rPr>
        <w:t xml:space="preserve"> it can have a decrease in this variable if the growth is lower than that observed in the country’s average growth.</w:t>
      </w:r>
      <w:r>
        <w:rPr>
          <w:lang w:val="en-US"/>
        </w:rPr>
        <w:t xml:space="preserve"> </w:t>
      </w:r>
      <w:r w:rsidRPr="00297D77">
        <w:rPr>
          <w:lang w:val="en-US"/>
        </w:rPr>
        <w:t>Furthermore, with the objective of facilitating the interpretation of the results the proxy is normalized to range from 0 to 1.</w:t>
      </w:r>
      <w:r>
        <w:rPr>
          <w:lang w:val="en-US"/>
        </w:rPr>
        <w:t xml:space="preserve"> </w:t>
      </w:r>
      <w:r w:rsidRPr="00297D77">
        <w:rPr>
          <w:lang w:val="en-US"/>
        </w:rPr>
        <w:t xml:space="preserve">Figure 3 allows one to see that the Southeast region concentrates a large part of the technological development </w:t>
      </w:r>
      <w:r>
        <w:rPr>
          <w:lang w:val="en-US"/>
        </w:rPr>
        <w:t xml:space="preserve">whereas North and Midwest regions are </w:t>
      </w:r>
      <w:r>
        <w:rPr>
          <w:lang w:val="en-US"/>
        </w:rPr>
        <w:lastRenderedPageBreak/>
        <w:t xml:space="preserve">negligible. We can see that the </w:t>
      </w:r>
      <w:r w:rsidRPr="00297D77">
        <w:rPr>
          <w:lang w:val="en-US"/>
        </w:rPr>
        <w:t>path of this indicator did not change considerably among the regions during the period.</w:t>
      </w:r>
    </w:p>
    <w:p w14:paraId="4C334912" w14:textId="77777777" w:rsidR="00401A64" w:rsidRPr="00297D77" w:rsidRDefault="00401A64" w:rsidP="00401A64">
      <w:pPr>
        <w:widowControl w:val="0"/>
        <w:jc w:val="center"/>
        <w:rPr>
          <w:rFonts w:ascii="TimesNewRomanPSMT" w:eastAsia="TimesNewRomanPSMT" w:hAnsi="TimesNewRomanPSMT" w:cs="TimesNewRomanPSMT"/>
          <w:b/>
          <w:bCs/>
          <w:lang w:val="en-US"/>
        </w:rPr>
      </w:pPr>
    </w:p>
    <w:p w14:paraId="66871832" w14:textId="77777777" w:rsidR="00401A64" w:rsidRPr="00297D77" w:rsidRDefault="00401A64" w:rsidP="00401A64">
      <w:pPr>
        <w:widowControl w:val="0"/>
        <w:jc w:val="center"/>
        <w:rPr>
          <w:rFonts w:ascii="TimesNewRomanPSMT" w:eastAsia="TimesNewRomanPSMT" w:hAnsi="TimesNewRomanPSMT" w:cs="TimesNewRomanPSMT"/>
          <w:b/>
          <w:bCs/>
          <w:lang w:val="en-US"/>
        </w:rPr>
      </w:pPr>
    </w:p>
    <w:p w14:paraId="67B81C24" w14:textId="77777777" w:rsidR="00401A64" w:rsidRDefault="00401A64" w:rsidP="00401A64">
      <w:pPr>
        <w:widowControl w:val="0"/>
        <w:jc w:val="center"/>
        <w:rPr>
          <w:rFonts w:ascii="TimesNewRomanPSMT" w:eastAsia="TimesNewRomanPSMT" w:hAnsi="TimesNewRomanPSMT" w:cs="TimesNewRomanPSMT"/>
          <w:b/>
          <w:bCs/>
        </w:rPr>
      </w:pPr>
      <w:r w:rsidRPr="00EE4F63">
        <w:rPr>
          <w:rFonts w:ascii="TimesNewRomanPSMT" w:eastAsia="TimesNewRomanPSMT" w:hAnsi="TimesNewRomanPSMT" w:cs="TimesNewRomanPSMT"/>
          <w:b/>
          <w:bCs/>
        </w:rPr>
        <w:t>Figure 3</w:t>
      </w:r>
    </w:p>
    <w:p w14:paraId="1D1C7316" w14:textId="77777777" w:rsidR="00401A64" w:rsidRPr="009B444F" w:rsidRDefault="00401A64" w:rsidP="00401A64">
      <w:pPr>
        <w:widowControl w:val="0"/>
        <w:jc w:val="center"/>
        <w:rPr>
          <w:rFonts w:ascii="TimesNewRomanPSMT" w:eastAsia="TimesNewRomanPSMT" w:hAnsi="TimesNewRomanPSMT" w:cs="TimesNewRomanPSMT"/>
          <w:bCs/>
        </w:rPr>
      </w:pPr>
      <w:r w:rsidRPr="009B444F">
        <w:rPr>
          <w:rFonts w:ascii="TimesNewRomanPSMT" w:eastAsia="TimesNewRomanPSMT" w:hAnsi="TimesNewRomanPSMT" w:cs="TimesNewRomanPSMT"/>
          <w:bCs/>
          <w:i/>
        </w:rPr>
        <w:t>Technological development (Patents)</w:t>
      </w:r>
    </w:p>
    <w:p w14:paraId="6777DCF2" w14:textId="567E2FB5" w:rsidR="00401A64" w:rsidRDefault="00401A64" w:rsidP="00401A64">
      <w:pPr>
        <w:widowControl w:val="0"/>
        <w:jc w:val="center"/>
        <w:rPr>
          <w:rFonts w:ascii="TimesNewRomanPSMT" w:eastAsia="TimesNewRomanPSMT" w:hAnsi="TimesNewRomanPSMT" w:cs="TimesNewRomanPSMT"/>
          <w:b/>
          <w:bCs/>
        </w:rPr>
      </w:pPr>
      <w:r>
        <w:rPr>
          <w:rFonts w:ascii="TimesNewRomanPSMT" w:eastAsia="TimesNewRomanPSMT" w:hAnsi="TimesNewRomanPSMT" w:cs="TimesNewRomanPSMT"/>
          <w:b/>
          <w:bCs/>
          <w:noProof/>
        </w:rPr>
        <w:drawing>
          <wp:inline distT="0" distB="0" distL="0" distR="0" wp14:anchorId="2F2EE80A" wp14:editId="30AF773D">
            <wp:extent cx="4161790" cy="27698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1790" cy="2769870"/>
                    </a:xfrm>
                    <a:prstGeom prst="rect">
                      <a:avLst/>
                    </a:prstGeom>
                    <a:noFill/>
                  </pic:spPr>
                </pic:pic>
              </a:graphicData>
            </a:graphic>
          </wp:inline>
        </w:drawing>
      </w:r>
    </w:p>
    <w:p w14:paraId="7C641477" w14:textId="77777777" w:rsidR="00401A64" w:rsidRDefault="00401A64" w:rsidP="00401A64">
      <w:pPr>
        <w:widowControl w:val="0"/>
        <w:ind w:firstLine="708"/>
        <w:jc w:val="center"/>
        <w:rPr>
          <w:bCs/>
          <w:sz w:val="20"/>
          <w:szCs w:val="20"/>
          <w:lang w:val="en-US" w:eastAsia="pt-BR"/>
        </w:rPr>
      </w:pPr>
      <w:r w:rsidRPr="009B444F">
        <w:rPr>
          <w:bCs/>
          <w:i/>
          <w:sz w:val="20"/>
          <w:szCs w:val="20"/>
          <w:lang w:val="en-US"/>
        </w:rPr>
        <w:t xml:space="preserve">Source: </w:t>
      </w:r>
      <w:r w:rsidRPr="009B444F">
        <w:rPr>
          <w:bCs/>
          <w:sz w:val="20"/>
          <w:szCs w:val="20"/>
          <w:lang w:val="en-US" w:eastAsia="pt-BR"/>
        </w:rPr>
        <w:t>National Institute of Industrial Property</w:t>
      </w:r>
      <w:r>
        <w:rPr>
          <w:bCs/>
          <w:sz w:val="20"/>
          <w:szCs w:val="20"/>
          <w:lang w:val="en-US" w:eastAsia="pt-BR"/>
        </w:rPr>
        <w:t>.</w:t>
      </w:r>
    </w:p>
    <w:p w14:paraId="2672104B" w14:textId="77777777" w:rsidR="00401A64" w:rsidRPr="009D4E13" w:rsidRDefault="00401A64" w:rsidP="00401A64">
      <w:pPr>
        <w:widowControl w:val="0"/>
        <w:ind w:firstLine="708"/>
        <w:rPr>
          <w:bCs/>
          <w:sz w:val="20"/>
          <w:szCs w:val="20"/>
          <w:lang w:val="en-US"/>
        </w:rPr>
      </w:pPr>
      <w:r>
        <w:rPr>
          <w:bCs/>
          <w:i/>
          <w:sz w:val="20"/>
          <w:szCs w:val="20"/>
          <w:lang w:val="en-US"/>
        </w:rPr>
        <w:t xml:space="preserve">Note: </w:t>
      </w:r>
      <w:r>
        <w:rPr>
          <w:bCs/>
          <w:sz w:val="20"/>
          <w:szCs w:val="20"/>
          <w:lang w:val="en-US"/>
        </w:rPr>
        <w:t>PAT is the ratio of patents in each state with respect to total patents granted by Brazil.</w:t>
      </w:r>
      <w:r>
        <w:rPr>
          <w:bCs/>
          <w:i/>
          <w:sz w:val="20"/>
          <w:szCs w:val="20"/>
          <w:lang w:val="en-US"/>
        </w:rPr>
        <w:t xml:space="preserve"> </w:t>
      </w:r>
    </w:p>
    <w:p w14:paraId="00E7D8DA" w14:textId="77777777" w:rsidR="00401A64" w:rsidRDefault="00401A64" w:rsidP="00401A64">
      <w:pPr>
        <w:widowControl w:val="0"/>
        <w:ind w:firstLine="708"/>
        <w:jc w:val="both"/>
        <w:rPr>
          <w:rFonts w:ascii="TimesNewRomanPSMT" w:eastAsia="TimesNewRomanPSMT" w:hAnsi="TimesNewRomanPSMT" w:cs="TimesNewRomanPSMT"/>
          <w:bCs/>
          <w:lang w:val="en-US"/>
        </w:rPr>
      </w:pPr>
    </w:p>
    <w:p w14:paraId="5976E13C" w14:textId="77777777" w:rsidR="00401A64" w:rsidRDefault="00401A64" w:rsidP="00401A64">
      <w:pPr>
        <w:widowControl w:val="0"/>
        <w:ind w:firstLine="708"/>
        <w:jc w:val="both"/>
        <w:rPr>
          <w:rFonts w:ascii="TimesNewRomanPSMT" w:eastAsia="TimesNewRomanPSMT" w:hAnsi="TimesNewRomanPSMT" w:cs="TimesNewRomanPSMT"/>
          <w:bCs/>
          <w:lang w:val="en-US"/>
        </w:rPr>
      </w:pPr>
    </w:p>
    <w:p w14:paraId="40ABA3EC" w14:textId="77777777" w:rsidR="00401A64" w:rsidRDefault="00401A64" w:rsidP="00401A64">
      <w:pPr>
        <w:widowControl w:val="0"/>
        <w:ind w:firstLine="708"/>
        <w:jc w:val="both"/>
        <w:rPr>
          <w:lang w:val="en-US" w:eastAsia="pt-BR"/>
        </w:rPr>
      </w:pPr>
      <w:r>
        <w:rPr>
          <w:rFonts w:ascii="TimesNewRomanPSMT" w:eastAsia="TimesNewRomanPSMT" w:hAnsi="TimesNewRomanPSMT" w:cs="TimesNewRomanPSMT"/>
          <w:bCs/>
          <w:lang w:val="en-US"/>
        </w:rPr>
        <w:t>Ano</w:t>
      </w:r>
      <w:r w:rsidRPr="00EE4F63">
        <w:rPr>
          <w:rFonts w:ascii="TimesNewRomanPSMT" w:eastAsia="TimesNewRomanPSMT" w:hAnsi="TimesNewRomanPSMT" w:cs="TimesNewRomanPSMT"/>
          <w:bCs/>
          <w:lang w:val="en-US"/>
        </w:rPr>
        <w:t>ther relevant variable on income inequality is the financial development</w:t>
      </w:r>
      <w:r>
        <w:rPr>
          <w:rFonts w:ascii="TimesNewRomanPSMT" w:eastAsia="TimesNewRomanPSMT" w:hAnsi="TimesNewRomanPSMT" w:cs="TimesNewRomanPSMT"/>
          <w:bCs/>
          <w:lang w:val="en-US"/>
        </w:rPr>
        <w:t xml:space="preserve"> (s</w:t>
      </w:r>
      <w:r w:rsidRPr="00EB6E8F">
        <w:rPr>
          <w:lang w:val="en-US"/>
        </w:rPr>
        <w:t>ee</w:t>
      </w:r>
      <w:r w:rsidRPr="00EB6E8F">
        <w:rPr>
          <w:rFonts w:ascii="TimesNewRomanPSMT" w:eastAsia="TimesNewRomanPSMT" w:hAnsi="TimesNewRomanPSMT" w:cs="TimesNewRomanPSMT"/>
          <w:bCs/>
          <w:lang w:val="en-US"/>
        </w:rPr>
        <w:t xml:space="preserve"> </w:t>
      </w:r>
      <w:r w:rsidRPr="00EB6E8F">
        <w:rPr>
          <w:rFonts w:ascii="TimesNewRomanPSMT" w:eastAsia="TimesNewRomanPSMT" w:hAnsi="TimesNewRomanPSMT" w:cs="TimesNewRomanPSMT"/>
          <w:bCs/>
          <w:lang w:val="en-US"/>
        </w:rPr>
        <w:t>Greenwood and Jovanovic</w:t>
      </w:r>
      <w:r>
        <w:rPr>
          <w:rFonts w:ascii="TimesNewRomanPSMT" w:eastAsia="TimesNewRomanPSMT" w:hAnsi="TimesNewRomanPSMT" w:cs="TimesNewRomanPSMT"/>
          <w:bCs/>
          <w:lang w:val="en-US"/>
        </w:rPr>
        <w:t>,</w:t>
      </w:r>
      <w:r w:rsidRPr="00EB6E8F">
        <w:rPr>
          <w:rFonts w:ascii="TimesNewRomanPSMT" w:eastAsia="TimesNewRomanPSMT" w:hAnsi="TimesNewRomanPSMT" w:cs="TimesNewRomanPSMT"/>
          <w:bCs/>
          <w:lang w:val="en-US"/>
        </w:rPr>
        <w:t xml:space="preserve"> 1990; Galor and Zeira</w:t>
      </w:r>
      <w:r>
        <w:rPr>
          <w:rFonts w:ascii="TimesNewRomanPSMT" w:eastAsia="TimesNewRomanPSMT" w:hAnsi="TimesNewRomanPSMT" w:cs="TimesNewRomanPSMT"/>
          <w:bCs/>
          <w:lang w:val="en-US"/>
        </w:rPr>
        <w:t>,</w:t>
      </w:r>
      <w:r w:rsidRPr="00EB6E8F">
        <w:rPr>
          <w:rFonts w:ascii="TimesNewRomanPSMT" w:eastAsia="TimesNewRomanPSMT" w:hAnsi="TimesNewRomanPSMT" w:cs="TimesNewRomanPSMT"/>
          <w:bCs/>
          <w:lang w:val="en-US"/>
        </w:rPr>
        <w:t xml:space="preserve"> 1993; Aghion and Bolton</w:t>
      </w:r>
      <w:r>
        <w:rPr>
          <w:rFonts w:ascii="TimesNewRomanPSMT" w:eastAsia="TimesNewRomanPSMT" w:hAnsi="TimesNewRomanPSMT" w:cs="TimesNewRomanPSMT"/>
          <w:bCs/>
          <w:lang w:val="en-US"/>
        </w:rPr>
        <w:t>,</w:t>
      </w:r>
      <w:r w:rsidRPr="00EB6E8F">
        <w:rPr>
          <w:rFonts w:ascii="TimesNewRomanPSMT" w:eastAsia="TimesNewRomanPSMT" w:hAnsi="TimesNewRomanPSMT" w:cs="TimesNewRomanPSMT"/>
          <w:bCs/>
          <w:lang w:val="en-US"/>
        </w:rPr>
        <w:t xml:space="preserve"> 1997;</w:t>
      </w:r>
      <w:r w:rsidRPr="00EB6E8F">
        <w:rPr>
          <w:rFonts w:ascii="TimesNewRomanPSMT" w:hAnsi="TimesNewRomanPSMT" w:cs="TimesNewRomanPSMT"/>
          <w:bCs/>
          <w:lang w:val="en-US"/>
        </w:rPr>
        <w:t xml:space="preserve"> and </w:t>
      </w:r>
      <w:r w:rsidRPr="00EB6E8F">
        <w:rPr>
          <w:rFonts w:ascii="TimesNewRomanPSMT" w:eastAsia="TimesNewRomanPSMT" w:hAnsi="TimesNewRomanPSMT" w:cs="TimesNewRomanPSMT"/>
          <w:bCs/>
          <w:lang w:val="en-US"/>
        </w:rPr>
        <w:t>Claessens and Perotti</w:t>
      </w:r>
      <w:r>
        <w:rPr>
          <w:rFonts w:ascii="TimesNewRomanPSMT" w:eastAsia="TimesNewRomanPSMT" w:hAnsi="TimesNewRomanPSMT" w:cs="TimesNewRomanPSMT"/>
          <w:bCs/>
          <w:lang w:val="en-US"/>
        </w:rPr>
        <w:t>,</w:t>
      </w:r>
      <w:r w:rsidRPr="00EB6E8F">
        <w:rPr>
          <w:rFonts w:ascii="TimesNewRomanPSMT" w:eastAsia="TimesNewRomanPSMT" w:hAnsi="TimesNewRomanPSMT" w:cs="TimesNewRomanPSMT"/>
          <w:bCs/>
          <w:lang w:val="en-US"/>
        </w:rPr>
        <w:t xml:space="preserve"> 2005).</w:t>
      </w:r>
      <w:r w:rsidRPr="00EE4F63">
        <w:rPr>
          <w:rFonts w:ascii="TimesNewRomanPSMT" w:eastAsia="TimesNewRomanPSMT" w:hAnsi="TimesNewRomanPSMT" w:cs="TimesNewRomanPSMT"/>
          <w:bCs/>
          <w:lang w:val="en-US"/>
        </w:rPr>
        <w:t xml:space="preserve"> </w:t>
      </w:r>
      <w:r w:rsidRPr="00EE4F63">
        <w:rPr>
          <w:rFonts w:eastAsia="TimesNewRomanPSMT"/>
          <w:bCs/>
          <w:lang w:val="en-US"/>
        </w:rPr>
        <w:t xml:space="preserve">As observed by Kumar (2005) individuals </w:t>
      </w:r>
      <w:r w:rsidRPr="00EE4F63">
        <w:rPr>
          <w:lang w:val="en-US" w:eastAsia="pt-BR"/>
        </w:rPr>
        <w:t>with access to financial services can safeguard against periods of low income or unexpected fluctuations in income</w:t>
      </w:r>
      <w:r>
        <w:rPr>
          <w:lang w:val="en-US" w:eastAsia="pt-BR"/>
        </w:rPr>
        <w:t xml:space="preserve"> and thus it improves resource allocation.</w:t>
      </w:r>
      <w:r w:rsidRPr="00EE4F63">
        <w:rPr>
          <w:lang w:val="en-US" w:eastAsia="pt-BR"/>
        </w:rPr>
        <w:t xml:space="preserve"> </w:t>
      </w:r>
      <w:r>
        <w:rPr>
          <w:lang w:val="en-US" w:eastAsia="pt-BR"/>
        </w:rPr>
        <w:t>Furthermore, a</w:t>
      </w:r>
      <w:r w:rsidRPr="00F84F63">
        <w:rPr>
          <w:lang w:val="en-US" w:eastAsia="pt-BR"/>
        </w:rPr>
        <w:t xml:space="preserve"> developed financial system implies access </w:t>
      </w:r>
      <w:r>
        <w:rPr>
          <w:lang w:val="en-US" w:eastAsia="pt-BR"/>
        </w:rPr>
        <w:t>by</w:t>
      </w:r>
      <w:r w:rsidRPr="00F84F63">
        <w:rPr>
          <w:lang w:val="en-US" w:eastAsia="pt-BR"/>
        </w:rPr>
        <w:t xml:space="preserve"> poor people to financial services. </w:t>
      </w:r>
      <w:r w:rsidRPr="005754F8">
        <w:rPr>
          <w:lang w:val="en-US" w:eastAsia="pt-BR"/>
        </w:rPr>
        <w:t xml:space="preserve">Due to the fact that special savings deposits </w:t>
      </w:r>
      <w:r>
        <w:rPr>
          <w:lang w:val="en-US" w:eastAsia="pt-BR"/>
        </w:rPr>
        <w:t>are</w:t>
      </w:r>
      <w:r w:rsidRPr="005754F8">
        <w:rPr>
          <w:lang w:val="en-US" w:eastAsia="pt-BR"/>
        </w:rPr>
        <w:t xml:space="preserve"> </w:t>
      </w:r>
      <w:r>
        <w:rPr>
          <w:lang w:val="en-US" w:eastAsia="pt-BR"/>
        </w:rPr>
        <w:t>used by the overwhelming majority of clients in Brazil’s banking system.</w:t>
      </w:r>
      <w:r>
        <w:rPr>
          <w:rStyle w:val="Refdenotaderodap"/>
          <w:lang w:val="en-US" w:eastAsia="pt-BR"/>
        </w:rPr>
        <w:footnoteReference w:id="4"/>
      </w:r>
      <w:r>
        <w:rPr>
          <w:lang w:val="en-US" w:eastAsia="pt-BR"/>
        </w:rPr>
        <w:t xml:space="preserve"> Therefore, </w:t>
      </w:r>
      <w:r w:rsidRPr="00EE4F63">
        <w:rPr>
          <w:lang w:val="en-US" w:eastAsia="pt-BR"/>
        </w:rPr>
        <w:t xml:space="preserve">using as reference the Brazilian banking statistics provided by CBB, the total balance of savings in December divided by the GDP of each </w:t>
      </w:r>
      <w:r>
        <w:rPr>
          <w:lang w:val="en-US" w:eastAsia="pt-BR"/>
        </w:rPr>
        <w:t>s</w:t>
      </w:r>
      <w:r w:rsidRPr="00EE4F63">
        <w:rPr>
          <w:lang w:val="en-US" w:eastAsia="pt-BR"/>
        </w:rPr>
        <w:t xml:space="preserve">tate (in </w:t>
      </w:r>
      <w:r>
        <w:rPr>
          <w:lang w:val="en-US" w:eastAsia="pt-BR"/>
        </w:rPr>
        <w:t>2000 real</w:t>
      </w:r>
      <w:r w:rsidRPr="00EE4F63">
        <w:rPr>
          <w:lang w:val="en-US" w:eastAsia="pt-BR"/>
        </w:rPr>
        <w:t xml:space="preserve"> </w:t>
      </w:r>
      <w:r>
        <w:rPr>
          <w:lang w:val="en-US" w:eastAsia="pt-BR"/>
        </w:rPr>
        <w:t>terms</w:t>
      </w:r>
      <w:r w:rsidRPr="00EE4F63">
        <w:rPr>
          <w:lang w:val="en-US" w:eastAsia="pt-BR"/>
        </w:rPr>
        <w:t>) is used as proxy for the financial development (</w:t>
      </w:r>
      <w:r w:rsidRPr="00EE4F63">
        <w:rPr>
          <w:i/>
          <w:lang w:val="en-US" w:eastAsia="pt-BR"/>
        </w:rPr>
        <w:t>FD</w:t>
      </w:r>
      <w:r w:rsidRPr="00EE4F63">
        <w:rPr>
          <w:lang w:val="en-US" w:eastAsia="pt-BR"/>
        </w:rPr>
        <w:t xml:space="preserve">). Figure 4 allows one to see that, independent of the region, the first years in the sample show a fall in this indicator. It is important to note that although the Southeast has the better performance over time, the South and Northeast regions presented a strong recuperation </w:t>
      </w:r>
      <w:r>
        <w:rPr>
          <w:lang w:val="en-US" w:eastAsia="pt-BR"/>
        </w:rPr>
        <w:t>at</w:t>
      </w:r>
      <w:r w:rsidRPr="00EE4F63">
        <w:rPr>
          <w:lang w:val="en-US" w:eastAsia="pt-BR"/>
        </w:rPr>
        <w:t xml:space="preserve"> the end of the period.</w:t>
      </w:r>
    </w:p>
    <w:p w14:paraId="13BC73F9" w14:textId="77777777" w:rsidR="00401A64" w:rsidRDefault="00401A64" w:rsidP="00401A64">
      <w:pPr>
        <w:widowControl w:val="0"/>
        <w:ind w:firstLine="708"/>
        <w:jc w:val="both"/>
        <w:rPr>
          <w:lang w:val="en-US" w:eastAsia="pt-BR"/>
        </w:rPr>
      </w:pPr>
    </w:p>
    <w:p w14:paraId="3FB9C5C3" w14:textId="77777777" w:rsidR="00401A64" w:rsidRDefault="00401A64" w:rsidP="00401A64">
      <w:pPr>
        <w:widowControl w:val="0"/>
        <w:ind w:firstLine="708"/>
        <w:jc w:val="both"/>
        <w:rPr>
          <w:lang w:val="en-US" w:eastAsia="pt-BR"/>
        </w:rPr>
      </w:pPr>
    </w:p>
    <w:p w14:paraId="54E4AD6B" w14:textId="77777777" w:rsidR="00401A64" w:rsidRDefault="00401A64" w:rsidP="00401A64">
      <w:pPr>
        <w:widowControl w:val="0"/>
        <w:ind w:firstLine="708"/>
        <w:jc w:val="both"/>
        <w:rPr>
          <w:lang w:val="en-US" w:eastAsia="pt-BR"/>
        </w:rPr>
      </w:pPr>
    </w:p>
    <w:p w14:paraId="63DDCB12" w14:textId="77777777" w:rsidR="00401A64" w:rsidRDefault="00401A64" w:rsidP="00401A64">
      <w:pPr>
        <w:widowControl w:val="0"/>
        <w:ind w:firstLine="708"/>
        <w:jc w:val="both"/>
        <w:rPr>
          <w:lang w:val="en-US" w:eastAsia="pt-BR"/>
        </w:rPr>
      </w:pPr>
    </w:p>
    <w:p w14:paraId="4EC44C47" w14:textId="77777777" w:rsidR="00401A64" w:rsidRDefault="00401A64" w:rsidP="00401A64">
      <w:pPr>
        <w:widowControl w:val="0"/>
        <w:ind w:firstLine="708"/>
        <w:jc w:val="both"/>
        <w:rPr>
          <w:lang w:val="en-US" w:eastAsia="pt-BR"/>
        </w:rPr>
      </w:pPr>
    </w:p>
    <w:p w14:paraId="5BAF185B" w14:textId="77777777" w:rsidR="00401A64" w:rsidRPr="00EE4F63" w:rsidRDefault="00401A64" w:rsidP="00401A64">
      <w:pPr>
        <w:widowControl w:val="0"/>
        <w:ind w:firstLine="708"/>
        <w:jc w:val="both"/>
        <w:rPr>
          <w:rFonts w:ascii="Palatino-Roman" w:hAnsi="Palatino-Roman" w:cs="Palatino-Roman"/>
          <w:sz w:val="20"/>
          <w:szCs w:val="20"/>
          <w:lang w:val="en-US" w:eastAsia="pt-BR"/>
        </w:rPr>
      </w:pPr>
    </w:p>
    <w:p w14:paraId="67464FB8" w14:textId="77777777" w:rsidR="00401A64" w:rsidRPr="006C2C60" w:rsidRDefault="00401A64" w:rsidP="00401A64">
      <w:pPr>
        <w:widowControl w:val="0"/>
        <w:jc w:val="center"/>
        <w:rPr>
          <w:rFonts w:ascii="TimesNewRomanPSMT" w:eastAsia="TimesNewRomanPSMT" w:hAnsi="TimesNewRomanPSMT" w:cs="TimesNewRomanPSMT"/>
          <w:b/>
          <w:bCs/>
          <w:lang w:val="en-US"/>
        </w:rPr>
      </w:pPr>
    </w:p>
    <w:p w14:paraId="0F6D3EEE" w14:textId="77777777" w:rsidR="00401A64" w:rsidRDefault="00401A64" w:rsidP="00401A64">
      <w:pPr>
        <w:widowControl w:val="0"/>
        <w:jc w:val="center"/>
        <w:rPr>
          <w:rFonts w:ascii="TimesNewRomanPSMT" w:eastAsia="TimesNewRomanPSMT" w:hAnsi="TimesNewRomanPSMT" w:cs="TimesNewRomanPSMT"/>
          <w:b/>
          <w:bCs/>
          <w:lang/>
        </w:rPr>
      </w:pPr>
      <w:r w:rsidRPr="00EE4F63">
        <w:rPr>
          <w:rFonts w:ascii="TimesNewRomanPSMT" w:eastAsia="TimesNewRomanPSMT" w:hAnsi="TimesNewRomanPSMT" w:cs="TimesNewRomanPSMT"/>
          <w:b/>
          <w:bCs/>
          <w:lang/>
        </w:rPr>
        <w:t>Figure 4</w:t>
      </w:r>
      <w:r>
        <w:rPr>
          <w:rFonts w:ascii="TimesNewRomanPSMT" w:eastAsia="TimesNewRomanPSMT" w:hAnsi="TimesNewRomanPSMT" w:cs="TimesNewRomanPSMT"/>
          <w:b/>
          <w:bCs/>
          <w:lang/>
        </w:rPr>
        <w:t xml:space="preserve"> </w:t>
      </w:r>
    </w:p>
    <w:p w14:paraId="6D13F851" w14:textId="77777777" w:rsidR="00401A64" w:rsidRPr="00066F44" w:rsidRDefault="00401A64" w:rsidP="00401A64">
      <w:pPr>
        <w:widowControl w:val="0"/>
        <w:jc w:val="center"/>
        <w:rPr>
          <w:rFonts w:ascii="TimesNewRomanPSMT" w:eastAsia="TimesNewRomanPSMT" w:hAnsi="TimesNewRomanPSMT" w:cs="TimesNewRomanPSMT"/>
          <w:bCs/>
          <w:lang/>
        </w:rPr>
      </w:pPr>
      <w:r w:rsidRPr="00066F44">
        <w:rPr>
          <w:rFonts w:ascii="TimesNewRomanPSMT" w:eastAsia="TimesNewRomanPSMT" w:hAnsi="TimesNewRomanPSMT" w:cs="TimesNewRomanPSMT"/>
          <w:bCs/>
          <w:i/>
          <w:lang/>
        </w:rPr>
        <w:t>Financial Development</w:t>
      </w:r>
    </w:p>
    <w:p w14:paraId="322A1CAF" w14:textId="57835196" w:rsidR="00401A64" w:rsidRDefault="00401A64" w:rsidP="00401A64">
      <w:pPr>
        <w:widowControl w:val="0"/>
        <w:jc w:val="center"/>
        <w:rPr>
          <w:rFonts w:ascii="TimesNewRomanPSMT" w:eastAsia="TimesNewRomanPSMT" w:hAnsi="TimesNewRomanPSMT" w:cs="TimesNewRomanPSMT"/>
          <w:bCs/>
          <w:lang/>
        </w:rPr>
      </w:pPr>
      <w:r>
        <w:rPr>
          <w:rFonts w:ascii="TimesNewRomanPSMT" w:eastAsia="TimesNewRomanPSMT" w:hAnsi="TimesNewRomanPSMT" w:cs="TimesNewRomanPSMT"/>
          <w:bCs/>
          <w:noProof/>
          <w:lang/>
        </w:rPr>
        <w:lastRenderedPageBreak/>
        <w:drawing>
          <wp:inline distT="0" distB="0" distL="0" distR="0" wp14:anchorId="35889C01" wp14:editId="11F74E4B">
            <wp:extent cx="4718685" cy="2894330"/>
            <wp:effectExtent l="0" t="0" r="5715"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8685" cy="2894330"/>
                    </a:xfrm>
                    <a:prstGeom prst="rect">
                      <a:avLst/>
                    </a:prstGeom>
                    <a:noFill/>
                  </pic:spPr>
                </pic:pic>
              </a:graphicData>
            </a:graphic>
          </wp:inline>
        </w:drawing>
      </w:r>
    </w:p>
    <w:p w14:paraId="149B36B9" w14:textId="77777777" w:rsidR="00401A64" w:rsidRDefault="00401A64" w:rsidP="00401A64">
      <w:pPr>
        <w:widowControl w:val="0"/>
        <w:ind w:firstLine="708"/>
        <w:jc w:val="center"/>
        <w:rPr>
          <w:bCs/>
          <w:sz w:val="20"/>
          <w:szCs w:val="20"/>
          <w:lang w:val="en-US" w:eastAsia="pt-BR"/>
        </w:rPr>
      </w:pPr>
      <w:r>
        <w:rPr>
          <w:bCs/>
          <w:i/>
          <w:sz w:val="20"/>
          <w:szCs w:val="20"/>
          <w:lang w:val="en-US"/>
        </w:rPr>
        <w:t>Sou</w:t>
      </w:r>
      <w:r w:rsidRPr="00AD4639">
        <w:rPr>
          <w:bCs/>
          <w:i/>
          <w:sz w:val="20"/>
          <w:szCs w:val="20"/>
          <w:lang w:val="en-US"/>
        </w:rPr>
        <w:t xml:space="preserve">rce: </w:t>
      </w:r>
      <w:r>
        <w:rPr>
          <w:bCs/>
          <w:sz w:val="20"/>
          <w:szCs w:val="20"/>
          <w:lang w:val="en-US" w:eastAsia="pt-BR"/>
        </w:rPr>
        <w:t>Central Bank of Brazil.</w:t>
      </w:r>
    </w:p>
    <w:p w14:paraId="218F262F" w14:textId="77777777" w:rsidR="00401A64" w:rsidRPr="00B42132" w:rsidRDefault="00401A64" w:rsidP="00401A64">
      <w:pPr>
        <w:widowControl w:val="0"/>
        <w:ind w:firstLine="708"/>
        <w:jc w:val="center"/>
        <w:rPr>
          <w:bCs/>
          <w:sz w:val="20"/>
          <w:szCs w:val="20"/>
          <w:lang w:val="en-US"/>
        </w:rPr>
      </w:pPr>
      <w:r>
        <w:rPr>
          <w:bCs/>
          <w:i/>
          <w:sz w:val="20"/>
          <w:szCs w:val="20"/>
          <w:lang w:val="en-US"/>
        </w:rPr>
        <w:t xml:space="preserve">Note: </w:t>
      </w:r>
      <w:r>
        <w:rPr>
          <w:bCs/>
          <w:sz w:val="20"/>
          <w:szCs w:val="20"/>
          <w:lang w:val="en-US"/>
        </w:rPr>
        <w:t>FD is saving divided by GDP.</w:t>
      </w:r>
    </w:p>
    <w:p w14:paraId="0BB89DC9" w14:textId="77777777" w:rsidR="00401A64" w:rsidRPr="00AD4639" w:rsidRDefault="00401A64" w:rsidP="00401A64">
      <w:pPr>
        <w:widowControl w:val="0"/>
        <w:ind w:firstLine="709"/>
        <w:rPr>
          <w:lang w:val="en-US"/>
        </w:rPr>
      </w:pPr>
    </w:p>
    <w:p w14:paraId="4489F126" w14:textId="77777777" w:rsidR="00401A64" w:rsidRDefault="00401A64" w:rsidP="00401A64">
      <w:pPr>
        <w:widowControl w:val="0"/>
        <w:ind w:firstLine="708"/>
        <w:jc w:val="both"/>
        <w:rPr>
          <w:lang w:val="en-US" w:eastAsia="pt-BR"/>
        </w:rPr>
      </w:pPr>
      <w:r>
        <w:rPr>
          <w:lang w:val="en-US"/>
        </w:rPr>
        <w:t>It is important to highlight that in the Brazilian case increases in the minimum wage is not limited to someone who receives it. In fact, increases in the minimum wage affect positively a range around it (without increase in unemployment rate) in both formal and informal sectors of the economy (Lemos, 2009). Moreover the effects of the increase are not reduced to wages but also to pension benefits and unemployment insurance.</w:t>
      </w:r>
      <w:r>
        <w:rPr>
          <w:rStyle w:val="Refdenotaderodap"/>
          <w:lang w:val="en-US"/>
        </w:rPr>
        <w:footnoteReference w:id="5"/>
      </w:r>
      <w:r>
        <w:rPr>
          <w:lang w:val="en-US"/>
        </w:rPr>
        <w:t xml:space="preserve"> Therefore, a change of this variable changes in a considerable manner the income of the population. With the intention of capturing these effects, </w:t>
      </w:r>
      <w:r w:rsidRPr="006B0E6F">
        <w:rPr>
          <w:lang w:val="en-US"/>
        </w:rPr>
        <w:t xml:space="preserve">the annual variation of the minimum wage in each state </w:t>
      </w:r>
      <w:r w:rsidRPr="006B0E6F">
        <w:rPr>
          <w:lang w:val="en-US" w:eastAsia="pt-BR"/>
        </w:rPr>
        <w:t xml:space="preserve">(in 2000 real terms) </w:t>
      </w:r>
      <w:r w:rsidRPr="006B0E6F">
        <w:rPr>
          <w:lang w:val="en-US"/>
        </w:rPr>
        <w:t>was considered (</w:t>
      </w:r>
      <w:r w:rsidRPr="006B0E6F">
        <w:rPr>
          <w:i/>
          <w:lang w:val="en-US"/>
        </w:rPr>
        <w:t>MW</w:t>
      </w:r>
      <w:r w:rsidRPr="006B0E6F">
        <w:rPr>
          <w:lang w:val="en-US"/>
        </w:rPr>
        <w:t>)</w:t>
      </w:r>
      <w:r>
        <w:rPr>
          <w:lang w:val="en-US"/>
        </w:rPr>
        <w:t xml:space="preserve"> in this study</w:t>
      </w:r>
      <w:r w:rsidRPr="006B0E6F">
        <w:rPr>
          <w:lang w:val="en-US" w:eastAsia="pt-BR"/>
        </w:rPr>
        <w:t xml:space="preserve">. </w:t>
      </w:r>
      <w:r w:rsidRPr="00EE4F63">
        <w:rPr>
          <w:lang w:val="en-US" w:eastAsia="pt-BR"/>
        </w:rPr>
        <w:t xml:space="preserve">Figure 5 shows the path for the variation of the minimum wage defined by the federal government and those practiced in </w:t>
      </w:r>
      <w:r>
        <w:rPr>
          <w:lang w:val="en-US" w:eastAsia="pt-BR"/>
        </w:rPr>
        <w:t>s</w:t>
      </w:r>
      <w:r w:rsidRPr="00EE4F63">
        <w:rPr>
          <w:lang w:val="en-US" w:eastAsia="pt-BR"/>
        </w:rPr>
        <w:t xml:space="preserve">tates which adopted a different value. In general it is observed that after a </w:t>
      </w:r>
      <w:r>
        <w:rPr>
          <w:lang w:val="en-US" w:eastAsia="pt-BR"/>
        </w:rPr>
        <w:t>s</w:t>
      </w:r>
      <w:r w:rsidRPr="00EE4F63">
        <w:rPr>
          <w:lang w:val="en-US" w:eastAsia="pt-BR"/>
        </w:rPr>
        <w:t>tate adopted a minimum wage above the national</w:t>
      </w:r>
      <w:r>
        <w:rPr>
          <w:lang w:val="en-US" w:eastAsia="pt-BR"/>
        </w:rPr>
        <w:t>,</w:t>
      </w:r>
      <w:r w:rsidRPr="00EE4F63">
        <w:rPr>
          <w:lang w:val="en-US" w:eastAsia="pt-BR"/>
        </w:rPr>
        <w:t xml:space="preserve"> the tendency is for this </w:t>
      </w:r>
      <w:r>
        <w:rPr>
          <w:lang w:val="en-US" w:eastAsia="pt-BR"/>
        </w:rPr>
        <w:t>s</w:t>
      </w:r>
      <w:r w:rsidRPr="00EE4F63">
        <w:rPr>
          <w:lang w:val="en-US" w:eastAsia="pt-BR"/>
        </w:rPr>
        <w:t xml:space="preserve">tate </w:t>
      </w:r>
      <w:r>
        <w:rPr>
          <w:lang w:val="en-US" w:eastAsia="pt-BR"/>
        </w:rPr>
        <w:t xml:space="preserve">to </w:t>
      </w:r>
      <w:r w:rsidRPr="00EE4F63">
        <w:rPr>
          <w:lang w:val="en-US" w:eastAsia="pt-BR"/>
        </w:rPr>
        <w:t>follow the behavior of the national minimum wage.</w:t>
      </w:r>
    </w:p>
    <w:p w14:paraId="7AF5236E" w14:textId="77777777" w:rsidR="00401A64" w:rsidRDefault="00401A64" w:rsidP="00401A64">
      <w:pPr>
        <w:widowControl w:val="0"/>
        <w:jc w:val="center"/>
        <w:rPr>
          <w:b/>
          <w:bCs/>
          <w:lang w:val="en-US"/>
        </w:rPr>
      </w:pPr>
    </w:p>
    <w:p w14:paraId="295D30FE" w14:textId="77777777" w:rsidR="00401A64" w:rsidRDefault="00401A64" w:rsidP="00401A64">
      <w:pPr>
        <w:widowControl w:val="0"/>
        <w:jc w:val="center"/>
        <w:rPr>
          <w:b/>
          <w:bCs/>
          <w:lang w:val="en-US"/>
        </w:rPr>
      </w:pPr>
    </w:p>
    <w:p w14:paraId="772D47D4" w14:textId="77777777" w:rsidR="00401A64" w:rsidRDefault="00401A64" w:rsidP="00401A64">
      <w:pPr>
        <w:widowControl w:val="0"/>
        <w:jc w:val="center"/>
        <w:rPr>
          <w:b/>
          <w:bCs/>
          <w:lang w:val="en-US"/>
        </w:rPr>
      </w:pPr>
    </w:p>
    <w:p w14:paraId="1F297BC4" w14:textId="77777777" w:rsidR="00401A64" w:rsidRDefault="00401A64" w:rsidP="00401A64">
      <w:pPr>
        <w:widowControl w:val="0"/>
        <w:jc w:val="center"/>
        <w:rPr>
          <w:b/>
          <w:bCs/>
          <w:lang w:val="en-US"/>
        </w:rPr>
      </w:pPr>
    </w:p>
    <w:p w14:paraId="157DC979" w14:textId="77777777" w:rsidR="00401A64" w:rsidRDefault="00401A64" w:rsidP="00401A64">
      <w:pPr>
        <w:widowControl w:val="0"/>
        <w:jc w:val="center"/>
        <w:rPr>
          <w:b/>
          <w:bCs/>
          <w:lang w:val="en-US"/>
        </w:rPr>
      </w:pPr>
    </w:p>
    <w:p w14:paraId="15A6F470" w14:textId="77777777" w:rsidR="00401A64" w:rsidRDefault="00401A64" w:rsidP="00401A64">
      <w:pPr>
        <w:widowControl w:val="0"/>
        <w:jc w:val="center"/>
        <w:rPr>
          <w:b/>
          <w:bCs/>
          <w:lang w:val="en-US"/>
        </w:rPr>
      </w:pPr>
    </w:p>
    <w:p w14:paraId="40FC191F" w14:textId="77777777" w:rsidR="00401A64" w:rsidRDefault="00401A64" w:rsidP="00401A64">
      <w:pPr>
        <w:widowControl w:val="0"/>
        <w:jc w:val="center"/>
        <w:rPr>
          <w:b/>
          <w:bCs/>
          <w:lang w:val="en-US"/>
        </w:rPr>
      </w:pPr>
    </w:p>
    <w:p w14:paraId="225C8917" w14:textId="77777777" w:rsidR="00401A64" w:rsidRDefault="00401A64" w:rsidP="00401A64">
      <w:pPr>
        <w:widowControl w:val="0"/>
        <w:jc w:val="center"/>
        <w:rPr>
          <w:b/>
          <w:bCs/>
          <w:lang w:val="en-US"/>
        </w:rPr>
      </w:pPr>
    </w:p>
    <w:p w14:paraId="5303EE21" w14:textId="77777777" w:rsidR="00401A64" w:rsidRDefault="00401A64" w:rsidP="00401A64">
      <w:pPr>
        <w:widowControl w:val="0"/>
        <w:jc w:val="center"/>
        <w:rPr>
          <w:b/>
          <w:bCs/>
          <w:lang w:val="en-US"/>
        </w:rPr>
      </w:pPr>
    </w:p>
    <w:p w14:paraId="58D3395C" w14:textId="77777777" w:rsidR="00401A64" w:rsidRDefault="00401A64" w:rsidP="00401A64">
      <w:pPr>
        <w:widowControl w:val="0"/>
        <w:jc w:val="center"/>
        <w:rPr>
          <w:b/>
          <w:bCs/>
          <w:lang w:val="en-US"/>
        </w:rPr>
      </w:pPr>
    </w:p>
    <w:p w14:paraId="3A4C624D" w14:textId="77777777" w:rsidR="00401A64" w:rsidRDefault="00401A64" w:rsidP="00401A64">
      <w:pPr>
        <w:widowControl w:val="0"/>
        <w:jc w:val="center"/>
        <w:rPr>
          <w:b/>
          <w:bCs/>
          <w:lang w:val="en-US"/>
        </w:rPr>
      </w:pPr>
    </w:p>
    <w:p w14:paraId="1F6402AF" w14:textId="77777777" w:rsidR="00401A64" w:rsidRDefault="00401A64" w:rsidP="00401A64">
      <w:pPr>
        <w:widowControl w:val="0"/>
        <w:jc w:val="center"/>
        <w:rPr>
          <w:b/>
          <w:bCs/>
          <w:lang w:val="en-US"/>
        </w:rPr>
      </w:pPr>
    </w:p>
    <w:p w14:paraId="5AC7BDD4" w14:textId="77777777" w:rsidR="00401A64" w:rsidRDefault="00401A64" w:rsidP="00401A64">
      <w:pPr>
        <w:widowControl w:val="0"/>
        <w:jc w:val="center"/>
        <w:rPr>
          <w:b/>
          <w:bCs/>
          <w:lang w:val="en-US"/>
        </w:rPr>
      </w:pPr>
    </w:p>
    <w:p w14:paraId="3BCA4814" w14:textId="77777777" w:rsidR="00401A64" w:rsidRDefault="00401A64" w:rsidP="00401A64">
      <w:pPr>
        <w:widowControl w:val="0"/>
        <w:jc w:val="center"/>
        <w:rPr>
          <w:b/>
          <w:bCs/>
          <w:lang w:val="en-US"/>
        </w:rPr>
      </w:pPr>
    </w:p>
    <w:p w14:paraId="5A3C0DD7" w14:textId="77777777" w:rsidR="00401A64" w:rsidRDefault="00401A64" w:rsidP="00401A64">
      <w:pPr>
        <w:widowControl w:val="0"/>
        <w:jc w:val="center"/>
        <w:rPr>
          <w:b/>
          <w:bCs/>
          <w:lang w:val="en-US"/>
        </w:rPr>
      </w:pPr>
      <w:r w:rsidRPr="00AD4639">
        <w:rPr>
          <w:b/>
          <w:bCs/>
          <w:lang w:val="en-US"/>
        </w:rPr>
        <w:t>Figure 5</w:t>
      </w:r>
    </w:p>
    <w:p w14:paraId="4CEBE47F" w14:textId="77777777" w:rsidR="00401A64" w:rsidRPr="00066F44" w:rsidRDefault="00401A64" w:rsidP="00401A64">
      <w:pPr>
        <w:widowControl w:val="0"/>
        <w:jc w:val="center"/>
        <w:rPr>
          <w:lang w:val="en-US"/>
        </w:rPr>
      </w:pPr>
      <w:r w:rsidRPr="00066F44">
        <w:rPr>
          <w:i/>
          <w:lang w:val="en-US"/>
        </w:rPr>
        <w:t>Minimum Wage (annual variation)</w:t>
      </w:r>
    </w:p>
    <w:p w14:paraId="10A9AB7D" w14:textId="467DD63B" w:rsidR="00401A64" w:rsidRDefault="00401A64" w:rsidP="00401A64">
      <w:pPr>
        <w:widowControl w:val="0"/>
        <w:jc w:val="center"/>
        <w:rPr>
          <w:b/>
        </w:rPr>
      </w:pPr>
      <w:r>
        <w:rPr>
          <w:b/>
          <w:noProof/>
        </w:rPr>
        <w:lastRenderedPageBreak/>
        <w:drawing>
          <wp:inline distT="0" distB="0" distL="0" distR="0" wp14:anchorId="54D59A12" wp14:editId="4BBA55E4">
            <wp:extent cx="5139690" cy="3347085"/>
            <wp:effectExtent l="0" t="0" r="381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9690" cy="3347085"/>
                    </a:xfrm>
                    <a:prstGeom prst="rect">
                      <a:avLst/>
                    </a:prstGeom>
                    <a:noFill/>
                  </pic:spPr>
                </pic:pic>
              </a:graphicData>
            </a:graphic>
          </wp:inline>
        </w:drawing>
      </w:r>
    </w:p>
    <w:p w14:paraId="58249B99" w14:textId="77777777" w:rsidR="00401A64" w:rsidRDefault="00401A64" w:rsidP="00401A64">
      <w:pPr>
        <w:widowControl w:val="0"/>
        <w:ind w:firstLine="708"/>
        <w:jc w:val="center"/>
        <w:rPr>
          <w:bCs/>
          <w:sz w:val="20"/>
          <w:szCs w:val="20"/>
          <w:lang w:val="en-US" w:eastAsia="pt-BR"/>
        </w:rPr>
      </w:pPr>
      <w:r w:rsidRPr="00AD4639">
        <w:rPr>
          <w:bCs/>
          <w:i/>
          <w:sz w:val="20"/>
          <w:szCs w:val="20"/>
          <w:lang w:val="en-US"/>
        </w:rPr>
        <w:t xml:space="preserve">Source: </w:t>
      </w:r>
      <w:r>
        <w:rPr>
          <w:bCs/>
          <w:sz w:val="20"/>
          <w:szCs w:val="20"/>
          <w:lang w:val="en-US" w:eastAsia="pt-BR"/>
        </w:rPr>
        <w:t>Ministry of Labor and Employment and States’ Laws.</w:t>
      </w:r>
    </w:p>
    <w:p w14:paraId="0F721779" w14:textId="77777777" w:rsidR="00401A64" w:rsidRPr="00AD4639" w:rsidRDefault="00401A64" w:rsidP="00401A64">
      <w:pPr>
        <w:widowControl w:val="0"/>
        <w:ind w:firstLine="708"/>
        <w:jc w:val="center"/>
        <w:rPr>
          <w:lang w:val="en-US"/>
        </w:rPr>
      </w:pPr>
      <w:r>
        <w:rPr>
          <w:bCs/>
          <w:i/>
          <w:sz w:val="20"/>
          <w:szCs w:val="20"/>
          <w:lang w:val="en-US"/>
        </w:rPr>
        <w:t xml:space="preserve">Note: </w:t>
      </w:r>
      <w:r>
        <w:rPr>
          <w:bCs/>
          <w:sz w:val="20"/>
          <w:szCs w:val="20"/>
          <w:lang w:val="en-US"/>
        </w:rPr>
        <w:t>MW is the annual variation of minimum wage divided by minimum wage.</w:t>
      </w:r>
    </w:p>
    <w:p w14:paraId="26FB3D19" w14:textId="77777777" w:rsidR="00401A64" w:rsidRDefault="00401A64" w:rsidP="00401A64">
      <w:pPr>
        <w:widowControl w:val="0"/>
        <w:ind w:firstLine="708"/>
        <w:jc w:val="both"/>
        <w:rPr>
          <w:bCs/>
          <w:lang w:val="en-US"/>
        </w:rPr>
      </w:pPr>
    </w:p>
    <w:p w14:paraId="0F63AE25" w14:textId="77777777" w:rsidR="00401A64" w:rsidRPr="00EE4F63" w:rsidRDefault="00401A64" w:rsidP="00401A64">
      <w:pPr>
        <w:widowControl w:val="0"/>
        <w:ind w:firstLine="709"/>
        <w:jc w:val="both"/>
        <w:rPr>
          <w:bCs/>
          <w:lang w:val="en-US"/>
        </w:rPr>
      </w:pPr>
      <w:r w:rsidRPr="00C10D13">
        <w:rPr>
          <w:bCs/>
          <w:lang w:val="en-US"/>
        </w:rPr>
        <w:t>The relevance of the unemployment in the analysis on inequality is unquestionable. As a</w:t>
      </w:r>
      <w:r w:rsidRPr="00EE4F63">
        <w:rPr>
          <w:bCs/>
          <w:lang w:val="en-US"/>
        </w:rPr>
        <w:t xml:space="preserve"> consequence, unemployment rate by </w:t>
      </w:r>
      <w:r>
        <w:rPr>
          <w:bCs/>
          <w:lang w:val="en-US"/>
        </w:rPr>
        <w:t>s</w:t>
      </w:r>
      <w:r w:rsidRPr="00EE4F63">
        <w:rPr>
          <w:bCs/>
          <w:lang w:val="en-US"/>
        </w:rPr>
        <w:t xml:space="preserve">tate - </w:t>
      </w:r>
      <w:r w:rsidRPr="00EE4F63">
        <w:rPr>
          <w:bCs/>
          <w:i/>
          <w:lang w:val="en-US"/>
        </w:rPr>
        <w:t>UNE</w:t>
      </w:r>
      <w:r w:rsidRPr="00EE4F63">
        <w:rPr>
          <w:bCs/>
          <w:lang w:val="en-US"/>
        </w:rPr>
        <w:t xml:space="preserve"> - (</w:t>
      </w:r>
      <w:r>
        <w:rPr>
          <w:bCs/>
          <w:lang w:val="en-US"/>
        </w:rPr>
        <w:t xml:space="preserve">formal and informal sectors are considered - </w:t>
      </w:r>
      <w:r w:rsidRPr="00EE4F63">
        <w:rPr>
          <w:bCs/>
          <w:lang w:val="en-US"/>
        </w:rPr>
        <w:t xml:space="preserve">information </w:t>
      </w:r>
      <w:r w:rsidRPr="00EE4F63">
        <w:rPr>
          <w:lang w:val="en-US"/>
        </w:rPr>
        <w:t>available from Institute for Applied Economic Research – I</w:t>
      </w:r>
      <w:r>
        <w:rPr>
          <w:lang w:val="en-US"/>
        </w:rPr>
        <w:t>PEA</w:t>
      </w:r>
      <w:r w:rsidRPr="00EE4F63">
        <w:rPr>
          <w:lang w:val="en-US"/>
        </w:rPr>
        <w:t xml:space="preserve">) is also included in this </w:t>
      </w:r>
      <w:r>
        <w:rPr>
          <w:lang w:val="en-US"/>
        </w:rPr>
        <w:t>study</w:t>
      </w:r>
      <w:r w:rsidRPr="00EE4F63">
        <w:rPr>
          <w:lang w:val="en-US"/>
        </w:rPr>
        <w:t>. Figure 6 shows that all regions had a decline in the unemployment rate. However, there exist significant difference</w:t>
      </w:r>
      <w:r>
        <w:rPr>
          <w:lang w:val="en-US"/>
        </w:rPr>
        <w:t>s</w:t>
      </w:r>
      <w:r w:rsidRPr="00EE4F63">
        <w:rPr>
          <w:lang w:val="en-US"/>
        </w:rPr>
        <w:t xml:space="preserve"> among the regions. The unemployment rate in </w:t>
      </w:r>
      <w:r>
        <w:rPr>
          <w:lang w:val="en-US"/>
        </w:rPr>
        <w:t xml:space="preserve">the </w:t>
      </w:r>
      <w:r w:rsidRPr="00EE4F63">
        <w:rPr>
          <w:lang w:val="en-US"/>
        </w:rPr>
        <w:t xml:space="preserve">Northeast region declined only 3.5% in ten years and had the worst performance. In contrast the South region had a decrease in the </w:t>
      </w:r>
      <w:r>
        <w:rPr>
          <w:lang w:val="en-US"/>
        </w:rPr>
        <w:t>unemployment</w:t>
      </w:r>
      <w:r w:rsidRPr="00EE4F63">
        <w:rPr>
          <w:lang w:val="en-US"/>
        </w:rPr>
        <w:t xml:space="preserve"> rate of 38%. The Southeast region is one that has the highest unemployment rate in the country, but</w:t>
      </w:r>
      <w:r>
        <w:rPr>
          <w:lang w:val="en-US"/>
        </w:rPr>
        <w:t xml:space="preserve"> at the end of the period,</w:t>
      </w:r>
      <w:r w:rsidRPr="00EE4F63">
        <w:rPr>
          <w:lang w:val="en-US"/>
        </w:rPr>
        <w:t xml:space="preserve"> had </w:t>
      </w:r>
      <w:r>
        <w:rPr>
          <w:lang w:val="en-US"/>
        </w:rPr>
        <w:t xml:space="preserve">a </w:t>
      </w:r>
      <w:r w:rsidRPr="00EE4F63">
        <w:rPr>
          <w:lang w:val="en-US"/>
        </w:rPr>
        <w:t xml:space="preserve">performance near </w:t>
      </w:r>
      <w:r>
        <w:rPr>
          <w:lang w:val="en-US"/>
        </w:rPr>
        <w:t xml:space="preserve">to those </w:t>
      </w:r>
      <w:r w:rsidRPr="00EE4F63">
        <w:rPr>
          <w:lang w:val="en-US"/>
        </w:rPr>
        <w:t xml:space="preserve">observed in Northeast and Midwest regions (down 27.4% </w:t>
      </w:r>
      <w:r>
        <w:rPr>
          <w:lang w:val="en-US"/>
        </w:rPr>
        <w:t>making it</w:t>
      </w:r>
      <w:r w:rsidRPr="00EE4F63">
        <w:rPr>
          <w:lang w:val="en-US"/>
        </w:rPr>
        <w:t xml:space="preserve"> the second best performance).</w:t>
      </w:r>
    </w:p>
    <w:p w14:paraId="7E1C6E8B" w14:textId="77777777" w:rsidR="00401A64" w:rsidRDefault="00401A64" w:rsidP="00401A64">
      <w:pPr>
        <w:widowControl w:val="0"/>
        <w:jc w:val="center"/>
        <w:rPr>
          <w:b/>
          <w:bCs/>
          <w:lang w:val="en-US"/>
        </w:rPr>
      </w:pPr>
    </w:p>
    <w:p w14:paraId="23C9D80A" w14:textId="77777777" w:rsidR="00401A64" w:rsidRDefault="00401A64" w:rsidP="00401A64">
      <w:pPr>
        <w:widowControl w:val="0"/>
        <w:jc w:val="center"/>
        <w:rPr>
          <w:b/>
          <w:bCs/>
          <w:lang w:val="en-US"/>
        </w:rPr>
      </w:pPr>
    </w:p>
    <w:p w14:paraId="1171AFC2" w14:textId="77777777" w:rsidR="00401A64" w:rsidRDefault="00401A64" w:rsidP="00401A64">
      <w:pPr>
        <w:widowControl w:val="0"/>
        <w:jc w:val="center"/>
        <w:rPr>
          <w:b/>
          <w:bCs/>
          <w:lang w:val="en-US"/>
        </w:rPr>
      </w:pPr>
    </w:p>
    <w:p w14:paraId="51705AD3" w14:textId="77777777" w:rsidR="00401A64" w:rsidRDefault="00401A64" w:rsidP="00401A64">
      <w:pPr>
        <w:widowControl w:val="0"/>
        <w:jc w:val="center"/>
        <w:rPr>
          <w:b/>
          <w:bCs/>
          <w:lang w:val="en-US"/>
        </w:rPr>
      </w:pPr>
    </w:p>
    <w:p w14:paraId="5E593714" w14:textId="77777777" w:rsidR="00401A64" w:rsidRDefault="00401A64" w:rsidP="00401A64">
      <w:pPr>
        <w:widowControl w:val="0"/>
        <w:jc w:val="center"/>
        <w:rPr>
          <w:b/>
          <w:bCs/>
          <w:lang w:val="en-US"/>
        </w:rPr>
      </w:pPr>
    </w:p>
    <w:p w14:paraId="1FA2DFB9" w14:textId="77777777" w:rsidR="00401A64" w:rsidRDefault="00401A64" w:rsidP="00401A64">
      <w:pPr>
        <w:widowControl w:val="0"/>
        <w:jc w:val="center"/>
        <w:rPr>
          <w:b/>
          <w:bCs/>
          <w:lang w:val="en-US"/>
        </w:rPr>
      </w:pPr>
    </w:p>
    <w:p w14:paraId="466D6D6F" w14:textId="77777777" w:rsidR="00401A64" w:rsidRDefault="00401A64" w:rsidP="00401A64">
      <w:pPr>
        <w:widowControl w:val="0"/>
        <w:jc w:val="center"/>
        <w:rPr>
          <w:b/>
          <w:bCs/>
          <w:lang w:val="en-US"/>
        </w:rPr>
      </w:pPr>
    </w:p>
    <w:p w14:paraId="6F0C2220" w14:textId="77777777" w:rsidR="00401A64" w:rsidRDefault="00401A64" w:rsidP="00401A64">
      <w:pPr>
        <w:widowControl w:val="0"/>
        <w:jc w:val="center"/>
        <w:rPr>
          <w:b/>
          <w:bCs/>
          <w:lang w:val="en-US"/>
        </w:rPr>
      </w:pPr>
    </w:p>
    <w:p w14:paraId="3F86078E" w14:textId="77777777" w:rsidR="00401A64" w:rsidRDefault="00401A64" w:rsidP="00401A64">
      <w:pPr>
        <w:widowControl w:val="0"/>
        <w:jc w:val="center"/>
        <w:rPr>
          <w:b/>
          <w:bCs/>
          <w:lang w:val="en-US"/>
        </w:rPr>
      </w:pPr>
    </w:p>
    <w:p w14:paraId="13DCBC03" w14:textId="77777777" w:rsidR="00401A64" w:rsidRDefault="00401A64" w:rsidP="00401A64">
      <w:pPr>
        <w:widowControl w:val="0"/>
        <w:jc w:val="center"/>
        <w:rPr>
          <w:b/>
          <w:bCs/>
          <w:lang w:val="en-US"/>
        </w:rPr>
      </w:pPr>
    </w:p>
    <w:p w14:paraId="1625885F" w14:textId="77777777" w:rsidR="00401A64" w:rsidRDefault="00401A64" w:rsidP="00401A64">
      <w:pPr>
        <w:widowControl w:val="0"/>
        <w:jc w:val="center"/>
        <w:rPr>
          <w:b/>
          <w:bCs/>
          <w:lang w:val="en-US"/>
        </w:rPr>
      </w:pPr>
    </w:p>
    <w:p w14:paraId="38ED70B7" w14:textId="77777777" w:rsidR="00401A64" w:rsidRDefault="00401A64" w:rsidP="00401A64">
      <w:pPr>
        <w:widowControl w:val="0"/>
        <w:jc w:val="center"/>
        <w:rPr>
          <w:b/>
          <w:bCs/>
          <w:lang w:val="en-US"/>
        </w:rPr>
      </w:pPr>
    </w:p>
    <w:p w14:paraId="0809EBE8" w14:textId="77777777" w:rsidR="00401A64" w:rsidRDefault="00401A64" w:rsidP="00401A64">
      <w:pPr>
        <w:widowControl w:val="0"/>
        <w:jc w:val="center"/>
        <w:rPr>
          <w:b/>
          <w:bCs/>
          <w:lang w:val="en-US"/>
        </w:rPr>
      </w:pPr>
    </w:p>
    <w:p w14:paraId="7FABEB6F" w14:textId="77777777" w:rsidR="00401A64" w:rsidRDefault="00401A64" w:rsidP="00401A64">
      <w:pPr>
        <w:widowControl w:val="0"/>
        <w:jc w:val="center"/>
        <w:rPr>
          <w:b/>
          <w:bCs/>
          <w:lang w:val="en-US"/>
        </w:rPr>
      </w:pPr>
    </w:p>
    <w:p w14:paraId="0173FE75" w14:textId="77777777" w:rsidR="00401A64" w:rsidRPr="00C64032" w:rsidRDefault="00401A64" w:rsidP="00401A64">
      <w:pPr>
        <w:widowControl w:val="0"/>
        <w:jc w:val="center"/>
        <w:rPr>
          <w:b/>
          <w:bCs/>
          <w:lang w:val="en-US"/>
        </w:rPr>
      </w:pPr>
    </w:p>
    <w:p w14:paraId="59F58F2A" w14:textId="77777777" w:rsidR="00401A64" w:rsidRDefault="00401A64" w:rsidP="00401A64">
      <w:pPr>
        <w:widowControl w:val="0"/>
        <w:jc w:val="center"/>
        <w:rPr>
          <w:b/>
          <w:bCs/>
        </w:rPr>
      </w:pPr>
      <w:r w:rsidRPr="00EE4F63">
        <w:rPr>
          <w:b/>
          <w:bCs/>
        </w:rPr>
        <w:t>Figure 6</w:t>
      </w:r>
    </w:p>
    <w:p w14:paraId="3C823519" w14:textId="77777777" w:rsidR="00401A64" w:rsidRDefault="00401A64" w:rsidP="00401A64">
      <w:pPr>
        <w:widowControl w:val="0"/>
        <w:jc w:val="center"/>
        <w:rPr>
          <w:bCs/>
        </w:rPr>
      </w:pPr>
      <w:r w:rsidRPr="00940D30">
        <w:rPr>
          <w:bCs/>
          <w:i/>
        </w:rPr>
        <w:t>Unemployment rate</w:t>
      </w:r>
    </w:p>
    <w:p w14:paraId="6A3BC22B" w14:textId="6D30B55E" w:rsidR="00401A64" w:rsidRDefault="00401A64" w:rsidP="00401A64">
      <w:pPr>
        <w:widowControl w:val="0"/>
        <w:jc w:val="center"/>
        <w:rPr>
          <w:bCs/>
        </w:rPr>
      </w:pPr>
      <w:r>
        <w:rPr>
          <w:bCs/>
          <w:noProof/>
        </w:rPr>
        <w:lastRenderedPageBreak/>
        <w:drawing>
          <wp:inline distT="0" distB="0" distL="0" distR="0" wp14:anchorId="218477DD" wp14:editId="564D43D9">
            <wp:extent cx="4235450" cy="28435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5450" cy="2843530"/>
                    </a:xfrm>
                    <a:prstGeom prst="rect">
                      <a:avLst/>
                    </a:prstGeom>
                    <a:noFill/>
                  </pic:spPr>
                </pic:pic>
              </a:graphicData>
            </a:graphic>
          </wp:inline>
        </w:drawing>
      </w:r>
    </w:p>
    <w:p w14:paraId="1194CD68" w14:textId="77777777" w:rsidR="00401A64" w:rsidRDefault="00401A64" w:rsidP="00401A64">
      <w:pPr>
        <w:widowControl w:val="0"/>
        <w:ind w:firstLine="708"/>
        <w:jc w:val="center"/>
        <w:rPr>
          <w:bCs/>
          <w:sz w:val="20"/>
          <w:szCs w:val="20"/>
          <w:lang w:val="en-US" w:eastAsia="pt-BR"/>
        </w:rPr>
      </w:pPr>
      <w:r w:rsidRPr="00B356D7">
        <w:rPr>
          <w:bCs/>
          <w:i/>
          <w:sz w:val="20"/>
          <w:szCs w:val="20"/>
          <w:lang w:val="en-US"/>
        </w:rPr>
        <w:t>Source:</w:t>
      </w:r>
      <w:r w:rsidRPr="00B356D7">
        <w:rPr>
          <w:sz w:val="20"/>
          <w:szCs w:val="20"/>
          <w:lang w:val="en-US"/>
        </w:rPr>
        <w:t xml:space="preserve"> Institute for Applied Economic Research</w:t>
      </w:r>
      <w:r w:rsidRPr="00B356D7">
        <w:rPr>
          <w:bCs/>
          <w:sz w:val="20"/>
          <w:szCs w:val="20"/>
          <w:lang w:val="en-US" w:eastAsia="pt-BR"/>
        </w:rPr>
        <w:t>.</w:t>
      </w:r>
    </w:p>
    <w:p w14:paraId="1498C3D5" w14:textId="77777777" w:rsidR="00401A64" w:rsidRPr="00B42132" w:rsidRDefault="00401A64" w:rsidP="00401A64">
      <w:pPr>
        <w:widowControl w:val="0"/>
        <w:ind w:firstLine="708"/>
        <w:jc w:val="center"/>
        <w:rPr>
          <w:bCs/>
          <w:sz w:val="20"/>
          <w:szCs w:val="20"/>
          <w:lang w:val="en-US"/>
        </w:rPr>
      </w:pPr>
      <w:r>
        <w:rPr>
          <w:bCs/>
          <w:i/>
          <w:sz w:val="20"/>
          <w:szCs w:val="20"/>
          <w:lang w:val="en-US"/>
        </w:rPr>
        <w:t xml:space="preserve">Note: </w:t>
      </w:r>
      <w:r>
        <w:rPr>
          <w:bCs/>
          <w:sz w:val="20"/>
          <w:szCs w:val="20"/>
          <w:lang w:val="en-US"/>
        </w:rPr>
        <w:t>UNE unemployment rate (formal and informal)</w:t>
      </w:r>
    </w:p>
    <w:p w14:paraId="439D8CEF" w14:textId="77777777" w:rsidR="00401A64" w:rsidRDefault="00401A64" w:rsidP="00401A64">
      <w:pPr>
        <w:widowControl w:val="0"/>
        <w:ind w:firstLine="708"/>
        <w:jc w:val="both"/>
        <w:rPr>
          <w:bCs/>
          <w:lang w:val="en-US"/>
        </w:rPr>
      </w:pPr>
    </w:p>
    <w:p w14:paraId="0E347C67" w14:textId="77777777" w:rsidR="00401A64" w:rsidRDefault="00401A64" w:rsidP="00401A64">
      <w:pPr>
        <w:widowControl w:val="0"/>
        <w:ind w:firstLine="708"/>
        <w:jc w:val="both"/>
        <w:rPr>
          <w:bCs/>
          <w:lang w:val="en-US"/>
        </w:rPr>
      </w:pPr>
      <w:r w:rsidRPr="00EE4F63">
        <w:rPr>
          <w:bCs/>
          <w:lang w:val="en-US"/>
        </w:rPr>
        <w:t xml:space="preserve">Undoubtedly, the most famous policy adopted by the </w:t>
      </w:r>
      <w:r>
        <w:rPr>
          <w:bCs/>
          <w:lang w:val="en-US"/>
        </w:rPr>
        <w:t xml:space="preserve">Federal </w:t>
      </w:r>
      <w:r w:rsidRPr="00EE4F63">
        <w:rPr>
          <w:bCs/>
          <w:lang w:val="en-US"/>
        </w:rPr>
        <w:t xml:space="preserve">Brazilian Government for </w:t>
      </w:r>
      <w:r>
        <w:rPr>
          <w:bCs/>
          <w:lang w:val="en-US"/>
        </w:rPr>
        <w:t>reducing the poverty</w:t>
      </w:r>
      <w:r w:rsidRPr="00EE4F63">
        <w:rPr>
          <w:bCs/>
          <w:lang w:val="en-US"/>
        </w:rPr>
        <w:t xml:space="preserve"> in the period under analysis was the </w:t>
      </w:r>
      <w:r w:rsidRPr="00EE4F63">
        <w:rPr>
          <w:lang w:val="en-US"/>
        </w:rPr>
        <w:t>Bolsa Família program.</w:t>
      </w:r>
      <w:r w:rsidRPr="00EE4F63">
        <w:rPr>
          <w:bCs/>
          <w:lang w:val="en-US"/>
        </w:rPr>
        <w:t xml:space="preserve"> This program was initiated in 2004 and according to it, poor families with children receive an average of R$70.00 (about US$40) in direct transfers. This right is guaranteed to the</w:t>
      </w:r>
      <w:r>
        <w:rPr>
          <w:bCs/>
          <w:lang w:val="en-US"/>
        </w:rPr>
        <w:t>se</w:t>
      </w:r>
      <w:r w:rsidRPr="00EE4F63">
        <w:rPr>
          <w:bCs/>
          <w:lang w:val="en-US"/>
        </w:rPr>
        <w:t xml:space="preserve"> families since they commit to keeping their children in school an</w:t>
      </w:r>
      <w:r>
        <w:rPr>
          <w:bCs/>
          <w:lang w:val="en-US"/>
        </w:rPr>
        <w:t>d</w:t>
      </w:r>
      <w:r w:rsidRPr="00EE4F63">
        <w:rPr>
          <w:bCs/>
          <w:lang w:val="en-US"/>
        </w:rPr>
        <w:t xml:space="preserve"> taking them for regular health checks. The Ministry of Social Development and Fight against Hunger (MSD), through this social initiative, reached a major portion of the country’s low-income population (more than 46 million people). </w:t>
      </w:r>
    </w:p>
    <w:p w14:paraId="0E952B27" w14:textId="77777777" w:rsidR="00401A64" w:rsidRPr="007E2104" w:rsidRDefault="00401A64" w:rsidP="00401A64">
      <w:pPr>
        <w:widowControl w:val="0"/>
        <w:ind w:firstLine="708"/>
        <w:jc w:val="both"/>
        <w:rPr>
          <w:bCs/>
        </w:rPr>
      </w:pPr>
      <w:r w:rsidRPr="007E2104">
        <w:rPr>
          <w:rStyle w:val="hps"/>
          <w:color w:val="333333"/>
          <w:lang w:val="en"/>
        </w:rPr>
        <w:t>Bolsa Família</w:t>
      </w:r>
      <w:r w:rsidRPr="007E2104">
        <w:rPr>
          <w:color w:val="333333"/>
          <w:lang w:val="en"/>
        </w:rPr>
        <w:t xml:space="preserve"> </w:t>
      </w:r>
      <w:r w:rsidRPr="007E2104">
        <w:rPr>
          <w:rStyle w:val="hps"/>
          <w:color w:val="333333"/>
          <w:lang w:val="en"/>
        </w:rPr>
        <w:t>reaches only a share of the population that has per capita income lower than R$ 140.00 per month. Therefore,</w:t>
      </w:r>
      <w:r w:rsidRPr="007E2104">
        <w:rPr>
          <w:color w:val="333333"/>
          <w:lang w:val="en"/>
        </w:rPr>
        <w:t xml:space="preserve"> </w:t>
      </w:r>
      <w:r w:rsidRPr="007E2104">
        <w:rPr>
          <w:rStyle w:val="hps"/>
          <w:color w:val="333333"/>
          <w:lang w:val="en"/>
        </w:rPr>
        <w:t>the ratio Bolsa Família/population allows one to capture</w:t>
      </w:r>
      <w:r w:rsidRPr="007E2104">
        <w:rPr>
          <w:color w:val="333333"/>
          <w:lang w:val="en"/>
        </w:rPr>
        <w:t xml:space="preserve"> </w:t>
      </w:r>
      <w:r w:rsidRPr="007E2104">
        <w:rPr>
          <w:rStyle w:val="hps"/>
          <w:color w:val="333333"/>
          <w:lang w:val="en"/>
        </w:rPr>
        <w:t>the</w:t>
      </w:r>
      <w:r w:rsidRPr="007E2104">
        <w:rPr>
          <w:color w:val="333333"/>
          <w:lang w:val="en"/>
        </w:rPr>
        <w:t xml:space="preserve"> </w:t>
      </w:r>
      <w:r w:rsidRPr="007E2104">
        <w:rPr>
          <w:rStyle w:val="hps"/>
          <w:color w:val="333333"/>
          <w:lang w:val="en"/>
        </w:rPr>
        <w:t>real</w:t>
      </w:r>
      <w:r w:rsidRPr="007E2104">
        <w:rPr>
          <w:color w:val="333333"/>
          <w:lang w:val="en"/>
        </w:rPr>
        <w:t xml:space="preserve"> </w:t>
      </w:r>
      <w:r w:rsidRPr="007E2104">
        <w:rPr>
          <w:rStyle w:val="hps"/>
          <w:color w:val="333333"/>
          <w:lang w:val="en"/>
        </w:rPr>
        <w:t>weight of the program beneficiaries compared</w:t>
      </w:r>
      <w:r w:rsidRPr="007E2104">
        <w:rPr>
          <w:color w:val="333333"/>
          <w:lang w:val="en"/>
        </w:rPr>
        <w:t xml:space="preserve"> </w:t>
      </w:r>
      <w:r w:rsidRPr="007E2104">
        <w:rPr>
          <w:rStyle w:val="hps"/>
          <w:color w:val="333333"/>
          <w:lang w:val="en"/>
        </w:rPr>
        <w:t>to the total population</w:t>
      </w:r>
      <w:r w:rsidRPr="007E2104">
        <w:rPr>
          <w:color w:val="333333"/>
          <w:lang w:val="en"/>
        </w:rPr>
        <w:t xml:space="preserve">. It is important to note that although another measure, such as </w:t>
      </w:r>
      <w:r>
        <w:rPr>
          <w:color w:val="333333"/>
          <w:lang w:val="en"/>
        </w:rPr>
        <w:t xml:space="preserve">the </w:t>
      </w:r>
      <w:r w:rsidRPr="007E2104">
        <w:rPr>
          <w:color w:val="333333"/>
          <w:lang w:val="en"/>
        </w:rPr>
        <w:t xml:space="preserve">number of Bolsa Família/poor population ratio can be used, it implies some distortions. </w:t>
      </w:r>
      <w:r>
        <w:rPr>
          <w:color w:val="333333"/>
          <w:lang w:val="en"/>
        </w:rPr>
        <w:t>In r</w:t>
      </w:r>
      <w:r w:rsidRPr="007E2104">
        <w:rPr>
          <w:rStyle w:val="hps"/>
          <w:color w:val="333333"/>
          <w:lang w:val="en"/>
        </w:rPr>
        <w:t>egions</w:t>
      </w:r>
      <w:r w:rsidRPr="007E2104">
        <w:rPr>
          <w:color w:val="333333"/>
          <w:lang w:val="en"/>
        </w:rPr>
        <w:t xml:space="preserve"> where </w:t>
      </w:r>
      <w:r>
        <w:rPr>
          <w:color w:val="333333"/>
          <w:lang w:val="en"/>
        </w:rPr>
        <w:t>there are</w:t>
      </w:r>
      <w:r w:rsidRPr="007E2104">
        <w:rPr>
          <w:color w:val="333333"/>
          <w:lang w:val="en"/>
        </w:rPr>
        <w:t xml:space="preserve"> </w:t>
      </w:r>
      <w:r w:rsidRPr="007E2104">
        <w:rPr>
          <w:rStyle w:val="hps"/>
          <w:color w:val="333333"/>
          <w:lang w:val="en"/>
        </w:rPr>
        <w:t xml:space="preserve">fewer poor, an increase in the number of Bolsa Família will create a huge impact on the </w:t>
      </w:r>
      <w:r w:rsidRPr="007E2104">
        <w:rPr>
          <w:color w:val="333333"/>
          <w:lang w:val="en"/>
        </w:rPr>
        <w:t>Bolsa Família/poor population ratio</w:t>
      </w:r>
      <w:r w:rsidRPr="007E2104">
        <w:rPr>
          <w:rStyle w:val="hps"/>
          <w:color w:val="333333"/>
          <w:lang w:val="en"/>
        </w:rPr>
        <w:t>, but it falls short in capturing the effect on the income distribution of</w:t>
      </w:r>
      <w:r w:rsidRPr="007E2104">
        <w:rPr>
          <w:color w:val="333333"/>
          <w:lang w:val="en"/>
        </w:rPr>
        <w:t xml:space="preserve"> the total </w:t>
      </w:r>
      <w:r w:rsidRPr="007E2104">
        <w:rPr>
          <w:rStyle w:val="hps"/>
          <w:color w:val="333333"/>
          <w:lang w:val="en"/>
        </w:rPr>
        <w:t>population.</w:t>
      </w:r>
      <w:r w:rsidRPr="007E2104">
        <w:rPr>
          <w:color w:val="333333"/>
          <w:lang w:val="en"/>
        </w:rPr>
        <w:t xml:space="preserve"> </w:t>
      </w:r>
      <w:r w:rsidRPr="007E2104">
        <w:rPr>
          <w:color w:val="333333"/>
          <w:lang w:val="en-US"/>
        </w:rPr>
        <w:t>Hence with the objective of capturing the inequality effect and b</w:t>
      </w:r>
      <w:r w:rsidRPr="00EE4F63">
        <w:rPr>
          <w:bCs/>
          <w:lang w:val="en-US"/>
        </w:rPr>
        <w:t>ased on data available from I</w:t>
      </w:r>
      <w:r>
        <w:rPr>
          <w:bCs/>
          <w:lang w:val="en-US"/>
        </w:rPr>
        <w:t>PEA</w:t>
      </w:r>
      <w:r w:rsidRPr="00EE4F63">
        <w:rPr>
          <w:bCs/>
          <w:lang w:val="en-US"/>
        </w:rPr>
        <w:t>, the rat</w:t>
      </w:r>
      <w:r w:rsidRPr="007E2104">
        <w:rPr>
          <w:bCs/>
          <w:lang w:val="en-US"/>
        </w:rPr>
        <w:t>io (number of Bolsa Família/population) of each state (</w:t>
      </w:r>
      <w:r w:rsidRPr="007E2104">
        <w:rPr>
          <w:bCs/>
          <w:i/>
          <w:lang w:val="en-US"/>
        </w:rPr>
        <w:t>BF</w:t>
      </w:r>
      <w:r w:rsidRPr="007E2104">
        <w:rPr>
          <w:bCs/>
          <w:lang w:val="en-US"/>
        </w:rPr>
        <w:t xml:space="preserve">) is considered in this analysis. </w:t>
      </w:r>
    </w:p>
    <w:p w14:paraId="0BA51F55" w14:textId="77777777" w:rsidR="00401A64" w:rsidRDefault="00401A64" w:rsidP="00401A64">
      <w:pPr>
        <w:widowControl w:val="0"/>
        <w:ind w:firstLine="708"/>
        <w:jc w:val="both"/>
        <w:rPr>
          <w:bCs/>
          <w:lang w:val="en-US"/>
        </w:rPr>
      </w:pPr>
      <w:r w:rsidRPr="007E2104">
        <w:rPr>
          <w:bCs/>
          <w:lang w:val="en-US"/>
        </w:rPr>
        <w:t>As can be seen through figure 7 the first three years of the program indicate growth in all regions. Since the program has poor families as its target, it is not a surprise that the South region had the lowest growth in the period (18%). In c</w:t>
      </w:r>
      <w:r w:rsidRPr="00EE4F63">
        <w:rPr>
          <w:bCs/>
          <w:lang w:val="en-US"/>
        </w:rPr>
        <w:t>ontrast, the North region had an increase of 93.</w:t>
      </w:r>
      <w:r w:rsidRPr="00A2378C">
        <w:rPr>
          <w:bCs/>
          <w:lang w:val="en-US"/>
        </w:rPr>
        <w:t xml:space="preserve">5% and the Northeast region is </w:t>
      </w:r>
      <w:r>
        <w:rPr>
          <w:bCs/>
          <w:lang w:val="en-US"/>
        </w:rPr>
        <w:t xml:space="preserve">the </w:t>
      </w:r>
      <w:r w:rsidRPr="00A2378C">
        <w:rPr>
          <w:bCs/>
          <w:lang w:val="en-US"/>
        </w:rPr>
        <w:t xml:space="preserve">one that had the largest </w:t>
      </w:r>
      <w:r w:rsidRPr="00A2378C">
        <w:rPr>
          <w:bCs/>
          <w:i/>
          <w:lang w:val="en-US"/>
        </w:rPr>
        <w:t>BF</w:t>
      </w:r>
      <w:r w:rsidRPr="00A2378C">
        <w:rPr>
          <w:bCs/>
          <w:lang w:val="en-US"/>
        </w:rPr>
        <w:t>.</w:t>
      </w:r>
    </w:p>
    <w:p w14:paraId="58AFC124" w14:textId="77777777" w:rsidR="00401A64" w:rsidRDefault="00401A64" w:rsidP="00401A64">
      <w:pPr>
        <w:widowControl w:val="0"/>
        <w:ind w:firstLine="708"/>
        <w:jc w:val="both"/>
        <w:rPr>
          <w:bCs/>
          <w:lang w:val="en-US"/>
        </w:rPr>
      </w:pPr>
    </w:p>
    <w:p w14:paraId="699163EF" w14:textId="77777777" w:rsidR="00401A64" w:rsidRDefault="00401A64" w:rsidP="00401A64">
      <w:pPr>
        <w:widowControl w:val="0"/>
        <w:ind w:firstLine="708"/>
        <w:jc w:val="both"/>
        <w:rPr>
          <w:bCs/>
          <w:lang w:val="en-US"/>
        </w:rPr>
      </w:pPr>
    </w:p>
    <w:p w14:paraId="09B3AA35" w14:textId="77777777" w:rsidR="00401A64" w:rsidRDefault="00401A64" w:rsidP="00401A64">
      <w:pPr>
        <w:widowControl w:val="0"/>
        <w:ind w:firstLine="708"/>
        <w:jc w:val="both"/>
        <w:rPr>
          <w:bCs/>
          <w:lang w:val="en-US"/>
        </w:rPr>
      </w:pPr>
    </w:p>
    <w:p w14:paraId="4C9579B0" w14:textId="77777777" w:rsidR="00401A64" w:rsidRDefault="00401A64" w:rsidP="00401A64">
      <w:pPr>
        <w:widowControl w:val="0"/>
        <w:ind w:firstLine="708"/>
        <w:jc w:val="both"/>
        <w:rPr>
          <w:bCs/>
          <w:lang w:val="en-US"/>
        </w:rPr>
      </w:pPr>
    </w:p>
    <w:p w14:paraId="1D6A24E3" w14:textId="77777777" w:rsidR="00401A64" w:rsidRPr="00A2378C" w:rsidRDefault="00401A64" w:rsidP="00401A64">
      <w:pPr>
        <w:widowControl w:val="0"/>
        <w:ind w:firstLine="708"/>
        <w:jc w:val="both"/>
        <w:rPr>
          <w:bCs/>
          <w:lang w:val="en-US"/>
        </w:rPr>
      </w:pPr>
    </w:p>
    <w:p w14:paraId="0C15EB0A" w14:textId="77777777" w:rsidR="00401A64" w:rsidRPr="00824ECE" w:rsidRDefault="00401A64" w:rsidP="00401A64">
      <w:pPr>
        <w:widowControl w:val="0"/>
        <w:ind w:firstLine="708"/>
        <w:jc w:val="both"/>
        <w:rPr>
          <w:bCs/>
          <w:lang w:val="en-US"/>
        </w:rPr>
      </w:pPr>
    </w:p>
    <w:p w14:paraId="3FE6988D" w14:textId="77777777" w:rsidR="00401A64" w:rsidRDefault="00401A64" w:rsidP="00401A64">
      <w:pPr>
        <w:widowControl w:val="0"/>
        <w:jc w:val="center"/>
        <w:rPr>
          <w:b/>
          <w:bCs/>
        </w:rPr>
      </w:pPr>
      <w:r w:rsidRPr="00EE4F63">
        <w:rPr>
          <w:b/>
          <w:bCs/>
        </w:rPr>
        <w:t>Figure 7</w:t>
      </w:r>
    </w:p>
    <w:p w14:paraId="0C7742BA" w14:textId="77777777" w:rsidR="00401A64" w:rsidRDefault="00401A64" w:rsidP="00401A64">
      <w:pPr>
        <w:widowControl w:val="0"/>
        <w:jc w:val="center"/>
      </w:pPr>
      <w:r w:rsidRPr="005D4461">
        <w:rPr>
          <w:bCs/>
          <w:i/>
          <w:lang w:val="en-US"/>
        </w:rPr>
        <w:t>Number of Bolsa Família/population</w:t>
      </w:r>
    </w:p>
    <w:p w14:paraId="56478374" w14:textId="1DFCA5E5" w:rsidR="00401A64" w:rsidRDefault="00401A64" w:rsidP="00401A64">
      <w:pPr>
        <w:widowControl w:val="0"/>
        <w:jc w:val="center"/>
      </w:pPr>
      <w:r>
        <w:rPr>
          <w:noProof/>
        </w:rPr>
        <w:lastRenderedPageBreak/>
        <w:drawing>
          <wp:inline distT="0" distB="0" distL="0" distR="0" wp14:anchorId="71F70C29" wp14:editId="3D5C6E34">
            <wp:extent cx="4481830" cy="28676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1830" cy="2867660"/>
                    </a:xfrm>
                    <a:prstGeom prst="rect">
                      <a:avLst/>
                    </a:prstGeom>
                    <a:noFill/>
                  </pic:spPr>
                </pic:pic>
              </a:graphicData>
            </a:graphic>
          </wp:inline>
        </w:drawing>
      </w:r>
    </w:p>
    <w:p w14:paraId="108AE797" w14:textId="77777777" w:rsidR="00401A64" w:rsidRDefault="00401A64" w:rsidP="00401A64">
      <w:pPr>
        <w:widowControl w:val="0"/>
        <w:ind w:firstLine="708"/>
        <w:jc w:val="center"/>
        <w:rPr>
          <w:bCs/>
          <w:sz w:val="20"/>
          <w:szCs w:val="20"/>
          <w:lang w:val="en-US"/>
        </w:rPr>
      </w:pPr>
      <w:r w:rsidRPr="00B2322F">
        <w:rPr>
          <w:i/>
          <w:sz w:val="20"/>
          <w:szCs w:val="20"/>
          <w:lang w:val="en-US"/>
        </w:rPr>
        <w:t xml:space="preserve">Source: </w:t>
      </w:r>
      <w:r w:rsidRPr="00B2322F">
        <w:rPr>
          <w:bCs/>
          <w:sz w:val="20"/>
          <w:szCs w:val="20"/>
          <w:lang w:val="en-US"/>
        </w:rPr>
        <w:t>Ministry of Social Development and Fight against Hunger.</w:t>
      </w:r>
    </w:p>
    <w:p w14:paraId="3BE3354B" w14:textId="77777777" w:rsidR="00401A64" w:rsidRPr="00B42132" w:rsidRDefault="00401A64" w:rsidP="00401A64">
      <w:pPr>
        <w:widowControl w:val="0"/>
        <w:ind w:firstLine="708"/>
        <w:jc w:val="center"/>
        <w:rPr>
          <w:sz w:val="20"/>
          <w:szCs w:val="20"/>
          <w:lang w:val="en-US"/>
        </w:rPr>
      </w:pPr>
      <w:r>
        <w:rPr>
          <w:i/>
          <w:sz w:val="20"/>
          <w:szCs w:val="20"/>
          <w:lang w:val="en-US"/>
        </w:rPr>
        <w:t xml:space="preserve">Note: </w:t>
      </w:r>
      <w:r>
        <w:rPr>
          <w:sz w:val="20"/>
          <w:szCs w:val="20"/>
          <w:lang w:val="en-US"/>
        </w:rPr>
        <w:t>BF is the number of Bolsa Família/population ratio.</w:t>
      </w:r>
    </w:p>
    <w:p w14:paraId="168042E2" w14:textId="77777777" w:rsidR="00401A64" w:rsidRPr="00B2322F" w:rsidRDefault="00401A64" w:rsidP="00401A64">
      <w:pPr>
        <w:widowControl w:val="0"/>
        <w:ind w:firstLine="708"/>
        <w:jc w:val="center"/>
        <w:rPr>
          <w:sz w:val="20"/>
          <w:szCs w:val="20"/>
          <w:lang w:val="en-US"/>
        </w:rPr>
      </w:pPr>
    </w:p>
    <w:p w14:paraId="51929A43" w14:textId="77777777" w:rsidR="00401A64" w:rsidRDefault="00401A64" w:rsidP="00401A64">
      <w:pPr>
        <w:widowControl w:val="0"/>
        <w:jc w:val="both"/>
        <w:rPr>
          <w:bCs/>
          <w:lang w:val="en-US"/>
        </w:rPr>
      </w:pPr>
    </w:p>
    <w:p w14:paraId="0034E518" w14:textId="77777777" w:rsidR="00401A64" w:rsidRDefault="00401A64" w:rsidP="00401A64">
      <w:pPr>
        <w:widowControl w:val="0"/>
        <w:jc w:val="both"/>
        <w:rPr>
          <w:bCs/>
          <w:lang w:val="en-US"/>
        </w:rPr>
      </w:pPr>
      <w:r w:rsidRPr="00B2322F">
        <w:rPr>
          <w:bCs/>
          <w:lang w:val="en-US"/>
        </w:rPr>
        <w:tab/>
      </w:r>
      <w:r w:rsidRPr="00A2378C">
        <w:rPr>
          <w:bCs/>
          <w:lang w:val="en-US"/>
        </w:rPr>
        <w:t>As a manner of considering the possibility of political factors ha</w:t>
      </w:r>
      <w:r>
        <w:rPr>
          <w:bCs/>
          <w:lang w:val="en-US"/>
        </w:rPr>
        <w:t>ving</w:t>
      </w:r>
      <w:r w:rsidRPr="00A2378C">
        <w:rPr>
          <w:bCs/>
          <w:lang w:val="en-US"/>
        </w:rPr>
        <w:t xml:space="preserve"> influenced the income distribution, some political variables are included in this analysis. According to Levitt and Poterba (1999) and Rupasing</w:t>
      </w:r>
      <w:r>
        <w:rPr>
          <w:bCs/>
          <w:lang w:val="en-US"/>
        </w:rPr>
        <w:t>h</w:t>
      </w:r>
      <w:r w:rsidRPr="00A2378C">
        <w:rPr>
          <w:bCs/>
          <w:lang w:val="en-US"/>
        </w:rPr>
        <w:t>a and Goetz (2007) a democratic s</w:t>
      </w:r>
      <w:r w:rsidRPr="00EE4F63">
        <w:rPr>
          <w:bCs/>
          <w:lang w:val="en-US"/>
        </w:rPr>
        <w:t xml:space="preserve">ystem is related </w:t>
      </w:r>
      <w:r>
        <w:rPr>
          <w:bCs/>
          <w:lang w:val="en-US"/>
        </w:rPr>
        <w:t>to</w:t>
      </w:r>
      <w:r w:rsidRPr="00EE4F63">
        <w:rPr>
          <w:bCs/>
          <w:lang w:val="en-US"/>
        </w:rPr>
        <w:t xml:space="preserve"> a lower poverty level. Hence, the political change in the </w:t>
      </w:r>
      <w:r>
        <w:rPr>
          <w:bCs/>
          <w:lang w:val="en-US"/>
        </w:rPr>
        <w:t>s</w:t>
      </w:r>
      <w:r w:rsidRPr="00EE4F63">
        <w:rPr>
          <w:bCs/>
          <w:lang w:val="en-US"/>
        </w:rPr>
        <w:t xml:space="preserve">tates is also considered in this study. Since in the period 1999 to 2008 there were three mandates in the </w:t>
      </w:r>
      <w:r>
        <w:rPr>
          <w:bCs/>
          <w:lang w:val="en-US"/>
        </w:rPr>
        <w:t>s</w:t>
      </w:r>
      <w:r w:rsidRPr="00EE4F63">
        <w:rPr>
          <w:bCs/>
          <w:lang w:val="en-US"/>
        </w:rPr>
        <w:t>tates (</w:t>
      </w:r>
      <w:r w:rsidRPr="00EE4F63">
        <w:rPr>
          <w:lang w:val="en-US"/>
        </w:rPr>
        <w:t>1999-2002, 2003-2006, and 2007-2010</w:t>
      </w:r>
      <w:r w:rsidRPr="00EE4F63">
        <w:rPr>
          <w:bCs/>
          <w:lang w:val="en-US"/>
        </w:rPr>
        <w:t>) an indicator (</w:t>
      </w:r>
      <w:r w:rsidRPr="00EE4F63">
        <w:rPr>
          <w:bCs/>
          <w:i/>
          <w:lang w:val="en-US"/>
        </w:rPr>
        <w:t>PC</w:t>
      </w:r>
      <w:r w:rsidRPr="00EE4F63">
        <w:rPr>
          <w:bCs/>
          <w:lang w:val="en-US"/>
        </w:rPr>
        <w:t>) was built through the use of dummy variables (assume value “1” if previous government’s party is different from the current, otherwise assumes value “0”).</w:t>
      </w:r>
    </w:p>
    <w:p w14:paraId="08457AA7" w14:textId="77777777" w:rsidR="00401A64" w:rsidRPr="00EE4F63" w:rsidRDefault="00401A64" w:rsidP="00401A64">
      <w:pPr>
        <w:widowControl w:val="0"/>
        <w:ind w:firstLine="708"/>
        <w:jc w:val="both"/>
        <w:rPr>
          <w:lang w:val="en-US"/>
        </w:rPr>
      </w:pPr>
      <w:r w:rsidRPr="00EE4F63">
        <w:rPr>
          <w:bCs/>
          <w:lang w:val="en-US"/>
        </w:rPr>
        <w:t>T</w:t>
      </w:r>
      <w:r>
        <w:rPr>
          <w:bCs/>
          <w:lang w:val="en-US"/>
        </w:rPr>
        <w:t>he information in t</w:t>
      </w:r>
      <w:r w:rsidRPr="00EE4F63">
        <w:rPr>
          <w:bCs/>
          <w:lang w:val="en-US"/>
        </w:rPr>
        <w:t xml:space="preserve">able 1 shows that </w:t>
      </w:r>
      <w:r>
        <w:rPr>
          <w:bCs/>
          <w:lang w:val="en-US"/>
        </w:rPr>
        <w:t xml:space="preserve">it </w:t>
      </w:r>
      <w:r w:rsidRPr="00EE4F63">
        <w:rPr>
          <w:bCs/>
          <w:lang w:val="en-US"/>
        </w:rPr>
        <w:t xml:space="preserve">is common in the period </w:t>
      </w:r>
      <w:r>
        <w:rPr>
          <w:bCs/>
          <w:lang w:val="en-US"/>
        </w:rPr>
        <w:t xml:space="preserve">for </w:t>
      </w:r>
      <w:r w:rsidRPr="00EE4F63">
        <w:rPr>
          <w:bCs/>
          <w:lang w:val="en-US"/>
        </w:rPr>
        <w:t xml:space="preserve">a political party </w:t>
      </w:r>
      <w:r>
        <w:rPr>
          <w:bCs/>
          <w:lang w:val="en-US"/>
        </w:rPr>
        <w:t xml:space="preserve">to </w:t>
      </w:r>
      <w:r w:rsidRPr="00EE4F63">
        <w:rPr>
          <w:bCs/>
          <w:lang w:val="en-US"/>
        </w:rPr>
        <w:t xml:space="preserve">stay in power for two or more mandates consecutively. In only 6 </w:t>
      </w:r>
      <w:r>
        <w:rPr>
          <w:bCs/>
          <w:lang w:val="en-US"/>
        </w:rPr>
        <w:t>s</w:t>
      </w:r>
      <w:r w:rsidRPr="00EE4F63">
        <w:rPr>
          <w:bCs/>
          <w:lang w:val="en-US"/>
        </w:rPr>
        <w:t xml:space="preserve">tates this phenomenon was not </w:t>
      </w:r>
      <w:r>
        <w:rPr>
          <w:bCs/>
          <w:lang w:val="en-US"/>
        </w:rPr>
        <w:t>seen</w:t>
      </w:r>
      <w:r w:rsidRPr="00EE4F63">
        <w:rPr>
          <w:bCs/>
          <w:lang w:val="en-US"/>
        </w:rPr>
        <w:t xml:space="preserve">. It is observed that the </w:t>
      </w:r>
      <w:r>
        <w:rPr>
          <w:bCs/>
          <w:lang w:val="en-US"/>
        </w:rPr>
        <w:t>s</w:t>
      </w:r>
      <w:r w:rsidRPr="00EE4F63">
        <w:rPr>
          <w:bCs/>
          <w:lang w:val="en-US"/>
        </w:rPr>
        <w:t>tates in the South region are classified with two (Paraná and Santa Catarina) and three (Rio Grande do Sul) political changes in the period. Since the South region has the best indices of income inequality, this observation can indicate the validity of the argument that democracy reduces inequality. However, it is not possible to assure this observation for the other regions.</w:t>
      </w:r>
    </w:p>
    <w:p w14:paraId="6C7EFD3B" w14:textId="77777777" w:rsidR="00401A64" w:rsidRPr="006529E9" w:rsidRDefault="00401A64" w:rsidP="00401A64">
      <w:pPr>
        <w:widowControl w:val="0"/>
        <w:jc w:val="center"/>
        <w:rPr>
          <w:bCs/>
        </w:rPr>
      </w:pPr>
    </w:p>
    <w:p w14:paraId="5EC5C139" w14:textId="77777777" w:rsidR="00401A64" w:rsidRDefault="00401A64" w:rsidP="00401A64">
      <w:pPr>
        <w:widowControl w:val="0"/>
        <w:jc w:val="center"/>
        <w:rPr>
          <w:b/>
          <w:bCs/>
          <w:lang w:val="en-US"/>
        </w:rPr>
      </w:pPr>
      <w:r w:rsidRPr="00EE4F63">
        <w:rPr>
          <w:b/>
          <w:bCs/>
          <w:lang w:val="en-US"/>
        </w:rPr>
        <w:t>Table 1</w:t>
      </w:r>
      <w:r>
        <w:rPr>
          <w:b/>
          <w:bCs/>
          <w:lang w:val="en-US"/>
        </w:rPr>
        <w:t xml:space="preserve"> </w:t>
      </w:r>
    </w:p>
    <w:p w14:paraId="6392A1EA" w14:textId="77777777" w:rsidR="00401A64" w:rsidRDefault="00401A64" w:rsidP="00401A64">
      <w:pPr>
        <w:widowControl w:val="0"/>
        <w:jc w:val="center"/>
        <w:rPr>
          <w:bCs/>
          <w:lang w:val="en-US"/>
        </w:rPr>
      </w:pPr>
      <w:r w:rsidRPr="00B8667B">
        <w:rPr>
          <w:bCs/>
          <w:i/>
          <w:lang w:val="en-US"/>
        </w:rPr>
        <w:t>Political change</w:t>
      </w:r>
    </w:p>
    <w:tbl>
      <w:tblPr>
        <w:tblW w:w="0" w:type="auto"/>
        <w:tblInd w:w="392" w:type="dxa"/>
        <w:tblBorders>
          <w:top w:val="double" w:sz="4" w:space="0" w:color="auto"/>
          <w:bottom w:val="double" w:sz="4" w:space="0" w:color="auto"/>
        </w:tblBorders>
        <w:tblLook w:val="04A0" w:firstRow="1" w:lastRow="0" w:firstColumn="1" w:lastColumn="0" w:noHBand="0" w:noVBand="1"/>
      </w:tblPr>
      <w:tblGrid>
        <w:gridCol w:w="950"/>
        <w:gridCol w:w="6941"/>
      </w:tblGrid>
      <w:tr w:rsidR="00401A64" w:rsidRPr="00E07F8A" w14:paraId="246A7AEE" w14:textId="77777777" w:rsidTr="00595B93">
        <w:tc>
          <w:tcPr>
            <w:tcW w:w="950" w:type="dxa"/>
            <w:tcBorders>
              <w:top w:val="double" w:sz="4" w:space="0" w:color="auto"/>
              <w:bottom w:val="single" w:sz="4" w:space="0" w:color="auto"/>
            </w:tcBorders>
            <w:shd w:val="clear" w:color="auto" w:fill="auto"/>
          </w:tcPr>
          <w:p w14:paraId="0B5A71AA" w14:textId="77777777" w:rsidR="00401A64" w:rsidRPr="00E07F8A" w:rsidRDefault="00401A64" w:rsidP="00595B93">
            <w:pPr>
              <w:widowControl w:val="0"/>
              <w:jc w:val="center"/>
              <w:rPr>
                <w:b/>
                <w:bCs/>
                <w:sz w:val="20"/>
                <w:szCs w:val="20"/>
                <w:lang w:val="en-US"/>
              </w:rPr>
            </w:pPr>
            <w:r w:rsidRPr="00E07F8A">
              <w:rPr>
                <w:b/>
                <w:bCs/>
                <w:sz w:val="20"/>
                <w:szCs w:val="20"/>
                <w:lang w:val="en-US"/>
              </w:rPr>
              <w:t>Changes</w:t>
            </w:r>
          </w:p>
        </w:tc>
        <w:tc>
          <w:tcPr>
            <w:tcW w:w="6941" w:type="dxa"/>
            <w:tcBorders>
              <w:top w:val="double" w:sz="4" w:space="0" w:color="auto"/>
              <w:bottom w:val="single" w:sz="4" w:space="0" w:color="auto"/>
            </w:tcBorders>
            <w:shd w:val="clear" w:color="auto" w:fill="auto"/>
          </w:tcPr>
          <w:p w14:paraId="27C75090" w14:textId="77777777" w:rsidR="00401A64" w:rsidRPr="00E07F8A" w:rsidRDefault="00401A64" w:rsidP="00595B93">
            <w:pPr>
              <w:widowControl w:val="0"/>
              <w:jc w:val="center"/>
              <w:rPr>
                <w:b/>
                <w:bCs/>
                <w:sz w:val="20"/>
                <w:szCs w:val="20"/>
                <w:lang w:val="en-US"/>
              </w:rPr>
            </w:pPr>
            <w:r w:rsidRPr="00E07F8A">
              <w:rPr>
                <w:b/>
                <w:bCs/>
                <w:sz w:val="20"/>
                <w:szCs w:val="20"/>
                <w:lang w:val="en-US"/>
              </w:rPr>
              <w:t>States and Federal District</w:t>
            </w:r>
          </w:p>
        </w:tc>
      </w:tr>
      <w:tr w:rsidR="00401A64" w:rsidRPr="00E07F8A" w14:paraId="7F23B1A4" w14:textId="77777777" w:rsidTr="00595B93">
        <w:tc>
          <w:tcPr>
            <w:tcW w:w="950" w:type="dxa"/>
            <w:tcBorders>
              <w:top w:val="single" w:sz="4" w:space="0" w:color="auto"/>
            </w:tcBorders>
            <w:shd w:val="clear" w:color="auto" w:fill="auto"/>
          </w:tcPr>
          <w:p w14:paraId="23FAD567" w14:textId="77777777" w:rsidR="00401A64" w:rsidRPr="00E07F8A" w:rsidRDefault="00401A64" w:rsidP="00595B93">
            <w:pPr>
              <w:widowControl w:val="0"/>
              <w:spacing w:before="60" w:after="60"/>
              <w:jc w:val="center"/>
              <w:rPr>
                <w:bCs/>
                <w:sz w:val="20"/>
                <w:szCs w:val="20"/>
                <w:lang w:val="en-US"/>
              </w:rPr>
            </w:pPr>
            <w:r w:rsidRPr="00E07F8A">
              <w:rPr>
                <w:bCs/>
                <w:sz w:val="20"/>
                <w:szCs w:val="20"/>
                <w:lang w:val="en-US"/>
              </w:rPr>
              <w:t>0</w:t>
            </w:r>
          </w:p>
        </w:tc>
        <w:tc>
          <w:tcPr>
            <w:tcW w:w="6941" w:type="dxa"/>
            <w:tcBorders>
              <w:top w:val="single" w:sz="4" w:space="0" w:color="auto"/>
            </w:tcBorders>
            <w:shd w:val="clear" w:color="auto" w:fill="auto"/>
          </w:tcPr>
          <w:p w14:paraId="68D99B32" w14:textId="77777777" w:rsidR="00401A64" w:rsidRPr="00E07F8A" w:rsidRDefault="00401A64" w:rsidP="00595B93">
            <w:pPr>
              <w:widowControl w:val="0"/>
              <w:spacing w:before="60" w:after="60"/>
              <w:jc w:val="center"/>
              <w:rPr>
                <w:bCs/>
                <w:sz w:val="20"/>
                <w:szCs w:val="20"/>
                <w:lang w:val="en-US"/>
              </w:rPr>
            </w:pPr>
            <w:r w:rsidRPr="00E07F8A">
              <w:rPr>
                <w:bCs/>
                <w:sz w:val="20"/>
                <w:szCs w:val="20"/>
                <w:lang w:val="en-US"/>
              </w:rPr>
              <w:t>São Paulo</w:t>
            </w:r>
            <w:r>
              <w:rPr>
                <w:bCs/>
                <w:sz w:val="20"/>
                <w:szCs w:val="20"/>
                <w:lang w:val="en-US"/>
              </w:rPr>
              <w:t xml:space="preserve"> (SE)</w:t>
            </w:r>
          </w:p>
        </w:tc>
      </w:tr>
      <w:tr w:rsidR="00401A64" w:rsidRPr="00E07F8A" w14:paraId="6A7883E9" w14:textId="77777777" w:rsidTr="00595B93">
        <w:tc>
          <w:tcPr>
            <w:tcW w:w="950" w:type="dxa"/>
            <w:shd w:val="clear" w:color="auto" w:fill="F2F2F2"/>
          </w:tcPr>
          <w:p w14:paraId="1762D0AC" w14:textId="77777777" w:rsidR="00401A64" w:rsidRPr="00E07F8A" w:rsidRDefault="00401A64" w:rsidP="00595B93">
            <w:pPr>
              <w:widowControl w:val="0"/>
              <w:spacing w:afterLines="60" w:after="144"/>
              <w:jc w:val="center"/>
              <w:rPr>
                <w:bCs/>
                <w:sz w:val="20"/>
                <w:szCs w:val="20"/>
                <w:lang w:val="en-US"/>
              </w:rPr>
            </w:pPr>
            <w:r w:rsidRPr="00E07F8A">
              <w:rPr>
                <w:bCs/>
                <w:sz w:val="20"/>
                <w:szCs w:val="20"/>
                <w:lang w:val="en-US"/>
              </w:rPr>
              <w:t>1</w:t>
            </w:r>
          </w:p>
        </w:tc>
        <w:tc>
          <w:tcPr>
            <w:tcW w:w="6941" w:type="dxa"/>
            <w:shd w:val="clear" w:color="auto" w:fill="F2F2F2"/>
          </w:tcPr>
          <w:p w14:paraId="44EC2622" w14:textId="77777777" w:rsidR="00401A64" w:rsidRDefault="00401A64" w:rsidP="00595B93">
            <w:pPr>
              <w:widowControl w:val="0"/>
              <w:jc w:val="center"/>
              <w:rPr>
                <w:bCs/>
                <w:sz w:val="20"/>
                <w:szCs w:val="20"/>
              </w:rPr>
            </w:pPr>
            <w:r w:rsidRPr="00E07F8A">
              <w:rPr>
                <w:bCs/>
                <w:sz w:val="20"/>
                <w:szCs w:val="20"/>
              </w:rPr>
              <w:t>Acre</w:t>
            </w:r>
            <w:r>
              <w:rPr>
                <w:bCs/>
                <w:sz w:val="20"/>
                <w:szCs w:val="20"/>
              </w:rPr>
              <w:t xml:space="preserve"> </w:t>
            </w:r>
            <w:r w:rsidRPr="00DB3C37">
              <w:rPr>
                <w:bCs/>
                <w:sz w:val="20"/>
                <w:szCs w:val="20"/>
              </w:rPr>
              <w:t>(</w:t>
            </w:r>
            <w:r>
              <w:rPr>
                <w:bCs/>
                <w:sz w:val="20"/>
                <w:szCs w:val="20"/>
              </w:rPr>
              <w:t>N</w:t>
            </w:r>
            <w:r w:rsidRPr="00DB3C37">
              <w:rPr>
                <w:bCs/>
                <w:sz w:val="20"/>
                <w:szCs w:val="20"/>
              </w:rPr>
              <w:t>)</w:t>
            </w:r>
            <w:r w:rsidRPr="00E07F8A">
              <w:rPr>
                <w:bCs/>
                <w:sz w:val="20"/>
                <w:szCs w:val="20"/>
              </w:rPr>
              <w:t>, Amapá</w:t>
            </w:r>
            <w:r>
              <w:rPr>
                <w:bCs/>
                <w:sz w:val="20"/>
                <w:szCs w:val="20"/>
              </w:rPr>
              <w:t xml:space="preserve"> </w:t>
            </w:r>
            <w:r w:rsidRPr="00DB3C37">
              <w:rPr>
                <w:bCs/>
                <w:sz w:val="20"/>
                <w:szCs w:val="20"/>
              </w:rPr>
              <w:t>(</w:t>
            </w:r>
            <w:r>
              <w:rPr>
                <w:bCs/>
                <w:sz w:val="20"/>
                <w:szCs w:val="20"/>
              </w:rPr>
              <w:t>N</w:t>
            </w:r>
            <w:r w:rsidRPr="00DB3C37">
              <w:rPr>
                <w:bCs/>
                <w:sz w:val="20"/>
                <w:szCs w:val="20"/>
              </w:rPr>
              <w:t>)</w:t>
            </w:r>
            <w:r w:rsidRPr="00E07F8A">
              <w:rPr>
                <w:bCs/>
                <w:sz w:val="20"/>
                <w:szCs w:val="20"/>
              </w:rPr>
              <w:t>, Bahia</w:t>
            </w:r>
            <w:r>
              <w:rPr>
                <w:bCs/>
                <w:sz w:val="20"/>
                <w:szCs w:val="20"/>
              </w:rPr>
              <w:t xml:space="preserve"> </w:t>
            </w:r>
            <w:r w:rsidRPr="00DB3C37">
              <w:rPr>
                <w:bCs/>
                <w:sz w:val="20"/>
                <w:szCs w:val="20"/>
              </w:rPr>
              <w:t>(</w:t>
            </w:r>
            <w:r>
              <w:rPr>
                <w:bCs/>
                <w:sz w:val="20"/>
                <w:szCs w:val="20"/>
              </w:rPr>
              <w:t>N</w:t>
            </w:r>
            <w:r w:rsidRPr="00DB3C37">
              <w:rPr>
                <w:bCs/>
                <w:sz w:val="20"/>
                <w:szCs w:val="20"/>
              </w:rPr>
              <w:t>E)</w:t>
            </w:r>
            <w:r w:rsidRPr="00E07F8A">
              <w:rPr>
                <w:bCs/>
                <w:sz w:val="20"/>
                <w:szCs w:val="20"/>
              </w:rPr>
              <w:t>, Ceará</w:t>
            </w:r>
            <w:r>
              <w:rPr>
                <w:bCs/>
                <w:sz w:val="20"/>
                <w:szCs w:val="20"/>
              </w:rPr>
              <w:t xml:space="preserve"> </w:t>
            </w:r>
            <w:r w:rsidRPr="00DB3C37">
              <w:rPr>
                <w:bCs/>
                <w:sz w:val="20"/>
                <w:szCs w:val="20"/>
              </w:rPr>
              <w:t>(</w:t>
            </w:r>
            <w:r>
              <w:rPr>
                <w:bCs/>
                <w:sz w:val="20"/>
                <w:szCs w:val="20"/>
              </w:rPr>
              <w:t>N</w:t>
            </w:r>
            <w:r w:rsidRPr="00DB3C37">
              <w:rPr>
                <w:bCs/>
                <w:sz w:val="20"/>
                <w:szCs w:val="20"/>
              </w:rPr>
              <w:t>E)</w:t>
            </w:r>
            <w:r w:rsidRPr="00E07F8A">
              <w:rPr>
                <w:bCs/>
                <w:sz w:val="20"/>
                <w:szCs w:val="20"/>
              </w:rPr>
              <w:t>, Maranhão</w:t>
            </w:r>
            <w:r>
              <w:rPr>
                <w:bCs/>
                <w:sz w:val="20"/>
                <w:szCs w:val="20"/>
              </w:rPr>
              <w:t xml:space="preserve"> </w:t>
            </w:r>
            <w:r w:rsidRPr="00DB3C37">
              <w:rPr>
                <w:bCs/>
                <w:sz w:val="20"/>
                <w:szCs w:val="20"/>
              </w:rPr>
              <w:t>(</w:t>
            </w:r>
            <w:r>
              <w:rPr>
                <w:bCs/>
                <w:sz w:val="20"/>
                <w:szCs w:val="20"/>
              </w:rPr>
              <w:t>N</w:t>
            </w:r>
            <w:r w:rsidRPr="00DB3C37">
              <w:rPr>
                <w:bCs/>
                <w:sz w:val="20"/>
                <w:szCs w:val="20"/>
              </w:rPr>
              <w:t>E)</w:t>
            </w:r>
            <w:r w:rsidRPr="00E07F8A">
              <w:rPr>
                <w:bCs/>
                <w:sz w:val="20"/>
                <w:szCs w:val="20"/>
              </w:rPr>
              <w:t>, Pará</w:t>
            </w:r>
            <w:r>
              <w:rPr>
                <w:bCs/>
                <w:sz w:val="20"/>
                <w:szCs w:val="20"/>
              </w:rPr>
              <w:t xml:space="preserve"> </w:t>
            </w:r>
            <w:r w:rsidRPr="00DB3C37">
              <w:rPr>
                <w:bCs/>
                <w:sz w:val="20"/>
                <w:szCs w:val="20"/>
              </w:rPr>
              <w:t>(</w:t>
            </w:r>
            <w:r>
              <w:rPr>
                <w:bCs/>
                <w:sz w:val="20"/>
                <w:szCs w:val="20"/>
              </w:rPr>
              <w:t>N</w:t>
            </w:r>
            <w:r w:rsidRPr="00DB3C37">
              <w:rPr>
                <w:bCs/>
                <w:sz w:val="20"/>
                <w:szCs w:val="20"/>
              </w:rPr>
              <w:t>)</w:t>
            </w:r>
            <w:r w:rsidRPr="00E07F8A">
              <w:rPr>
                <w:bCs/>
                <w:sz w:val="20"/>
                <w:szCs w:val="20"/>
              </w:rPr>
              <w:t>,</w:t>
            </w:r>
            <w:r>
              <w:rPr>
                <w:bCs/>
                <w:sz w:val="20"/>
                <w:szCs w:val="20"/>
              </w:rPr>
              <w:t xml:space="preserve"> </w:t>
            </w:r>
          </w:p>
          <w:p w14:paraId="327FC36A" w14:textId="77777777" w:rsidR="00401A64" w:rsidRPr="00E07F8A" w:rsidRDefault="00401A64" w:rsidP="00595B93">
            <w:pPr>
              <w:widowControl w:val="0"/>
              <w:spacing w:after="60"/>
              <w:jc w:val="center"/>
              <w:rPr>
                <w:bCs/>
                <w:sz w:val="20"/>
                <w:szCs w:val="20"/>
              </w:rPr>
            </w:pPr>
            <w:r w:rsidRPr="00E07F8A">
              <w:rPr>
                <w:bCs/>
                <w:sz w:val="20"/>
                <w:szCs w:val="20"/>
              </w:rPr>
              <w:t>Paraíba</w:t>
            </w:r>
            <w:r>
              <w:rPr>
                <w:bCs/>
                <w:sz w:val="20"/>
                <w:szCs w:val="20"/>
              </w:rPr>
              <w:t xml:space="preserve"> </w:t>
            </w:r>
            <w:r w:rsidRPr="00DB3C37">
              <w:rPr>
                <w:bCs/>
                <w:sz w:val="20"/>
                <w:szCs w:val="20"/>
              </w:rPr>
              <w:t>(</w:t>
            </w:r>
            <w:r>
              <w:rPr>
                <w:bCs/>
                <w:sz w:val="20"/>
                <w:szCs w:val="20"/>
              </w:rPr>
              <w:t>N</w:t>
            </w:r>
            <w:r w:rsidRPr="00DB3C37">
              <w:rPr>
                <w:bCs/>
                <w:sz w:val="20"/>
                <w:szCs w:val="20"/>
              </w:rPr>
              <w:t>E)</w:t>
            </w:r>
            <w:r w:rsidRPr="00E07F8A">
              <w:rPr>
                <w:bCs/>
                <w:sz w:val="20"/>
                <w:szCs w:val="20"/>
              </w:rPr>
              <w:t>, Piauí</w:t>
            </w:r>
            <w:r>
              <w:rPr>
                <w:bCs/>
                <w:sz w:val="20"/>
                <w:szCs w:val="20"/>
              </w:rPr>
              <w:t xml:space="preserve"> </w:t>
            </w:r>
            <w:r w:rsidRPr="00DB3C37">
              <w:rPr>
                <w:bCs/>
                <w:sz w:val="20"/>
                <w:szCs w:val="20"/>
              </w:rPr>
              <w:t>(</w:t>
            </w:r>
            <w:r>
              <w:rPr>
                <w:bCs/>
                <w:sz w:val="20"/>
                <w:szCs w:val="20"/>
              </w:rPr>
              <w:t>N</w:t>
            </w:r>
            <w:r w:rsidRPr="00DB3C37">
              <w:rPr>
                <w:bCs/>
                <w:sz w:val="20"/>
                <w:szCs w:val="20"/>
              </w:rPr>
              <w:t>E)</w:t>
            </w:r>
            <w:r w:rsidRPr="00E07F8A">
              <w:rPr>
                <w:bCs/>
                <w:sz w:val="20"/>
                <w:szCs w:val="20"/>
              </w:rPr>
              <w:t>, Rio Grande do Norte</w:t>
            </w:r>
            <w:r>
              <w:rPr>
                <w:bCs/>
                <w:sz w:val="20"/>
                <w:szCs w:val="20"/>
              </w:rPr>
              <w:t xml:space="preserve"> </w:t>
            </w:r>
            <w:r w:rsidRPr="00DB3C37">
              <w:rPr>
                <w:bCs/>
                <w:sz w:val="20"/>
                <w:szCs w:val="20"/>
              </w:rPr>
              <w:t>(</w:t>
            </w:r>
            <w:r>
              <w:rPr>
                <w:bCs/>
                <w:sz w:val="20"/>
                <w:szCs w:val="20"/>
              </w:rPr>
              <w:t>N</w:t>
            </w:r>
            <w:r w:rsidRPr="00DB3C37">
              <w:rPr>
                <w:bCs/>
                <w:sz w:val="20"/>
                <w:szCs w:val="20"/>
              </w:rPr>
              <w:t>E)</w:t>
            </w:r>
          </w:p>
        </w:tc>
      </w:tr>
      <w:tr w:rsidR="00401A64" w:rsidRPr="00E07F8A" w14:paraId="7865E3AB" w14:textId="77777777" w:rsidTr="00595B93">
        <w:tc>
          <w:tcPr>
            <w:tcW w:w="950" w:type="dxa"/>
            <w:shd w:val="clear" w:color="auto" w:fill="auto"/>
          </w:tcPr>
          <w:p w14:paraId="2C6969A6" w14:textId="77777777" w:rsidR="00401A64" w:rsidRPr="00E07F8A" w:rsidRDefault="00401A64" w:rsidP="00595B93">
            <w:pPr>
              <w:widowControl w:val="0"/>
              <w:spacing w:afterLines="60" w:after="144"/>
              <w:jc w:val="center"/>
              <w:rPr>
                <w:bCs/>
                <w:sz w:val="20"/>
                <w:szCs w:val="20"/>
                <w:lang w:val="en-US"/>
              </w:rPr>
            </w:pPr>
            <w:r w:rsidRPr="00E07F8A">
              <w:rPr>
                <w:bCs/>
                <w:sz w:val="20"/>
                <w:szCs w:val="20"/>
                <w:lang w:val="en-US"/>
              </w:rPr>
              <w:t>2</w:t>
            </w:r>
          </w:p>
        </w:tc>
        <w:tc>
          <w:tcPr>
            <w:tcW w:w="6941" w:type="dxa"/>
            <w:shd w:val="clear" w:color="auto" w:fill="auto"/>
          </w:tcPr>
          <w:p w14:paraId="6306BD46" w14:textId="77777777" w:rsidR="00401A64" w:rsidRDefault="00401A64" w:rsidP="00595B93">
            <w:pPr>
              <w:widowControl w:val="0"/>
              <w:jc w:val="center"/>
              <w:rPr>
                <w:bCs/>
                <w:sz w:val="20"/>
                <w:szCs w:val="20"/>
              </w:rPr>
            </w:pPr>
            <w:r w:rsidRPr="00E07F8A">
              <w:rPr>
                <w:bCs/>
                <w:sz w:val="20"/>
                <w:szCs w:val="20"/>
              </w:rPr>
              <w:t>Alagoas</w:t>
            </w:r>
            <w:r>
              <w:rPr>
                <w:bCs/>
                <w:sz w:val="20"/>
                <w:szCs w:val="20"/>
              </w:rPr>
              <w:t xml:space="preserve"> </w:t>
            </w:r>
            <w:r w:rsidRPr="00DB3C37">
              <w:rPr>
                <w:bCs/>
                <w:sz w:val="20"/>
                <w:szCs w:val="20"/>
              </w:rPr>
              <w:t>(</w:t>
            </w:r>
            <w:r>
              <w:rPr>
                <w:bCs/>
                <w:sz w:val="20"/>
                <w:szCs w:val="20"/>
              </w:rPr>
              <w:t>N</w:t>
            </w:r>
            <w:r w:rsidRPr="00DB3C37">
              <w:rPr>
                <w:bCs/>
                <w:sz w:val="20"/>
                <w:szCs w:val="20"/>
              </w:rPr>
              <w:t>E)</w:t>
            </w:r>
            <w:r w:rsidRPr="00E07F8A">
              <w:rPr>
                <w:bCs/>
                <w:sz w:val="20"/>
                <w:szCs w:val="20"/>
              </w:rPr>
              <w:t>, Distrito Federal</w:t>
            </w:r>
            <w:r>
              <w:rPr>
                <w:bCs/>
                <w:sz w:val="20"/>
                <w:szCs w:val="20"/>
              </w:rPr>
              <w:t xml:space="preserve"> </w:t>
            </w:r>
            <w:r w:rsidRPr="00DB3C37">
              <w:rPr>
                <w:bCs/>
                <w:sz w:val="20"/>
                <w:szCs w:val="20"/>
              </w:rPr>
              <w:t>(</w:t>
            </w:r>
            <w:r>
              <w:rPr>
                <w:bCs/>
                <w:sz w:val="20"/>
                <w:szCs w:val="20"/>
              </w:rPr>
              <w:t>MW</w:t>
            </w:r>
            <w:r w:rsidRPr="00DB3C37">
              <w:rPr>
                <w:bCs/>
                <w:sz w:val="20"/>
                <w:szCs w:val="20"/>
              </w:rPr>
              <w:t>)</w:t>
            </w:r>
            <w:r w:rsidRPr="00E07F8A">
              <w:rPr>
                <w:bCs/>
                <w:sz w:val="20"/>
                <w:szCs w:val="20"/>
              </w:rPr>
              <w:t>, Goiás</w:t>
            </w:r>
            <w:r>
              <w:rPr>
                <w:bCs/>
                <w:sz w:val="20"/>
                <w:szCs w:val="20"/>
              </w:rPr>
              <w:t xml:space="preserve"> </w:t>
            </w:r>
            <w:r w:rsidRPr="00DB3C37">
              <w:rPr>
                <w:bCs/>
                <w:sz w:val="20"/>
                <w:szCs w:val="20"/>
              </w:rPr>
              <w:t>(</w:t>
            </w:r>
            <w:r>
              <w:rPr>
                <w:bCs/>
                <w:sz w:val="20"/>
                <w:szCs w:val="20"/>
              </w:rPr>
              <w:t>MW</w:t>
            </w:r>
            <w:r w:rsidRPr="00DB3C37">
              <w:rPr>
                <w:bCs/>
                <w:sz w:val="20"/>
                <w:szCs w:val="20"/>
              </w:rPr>
              <w:t>)</w:t>
            </w:r>
            <w:r w:rsidRPr="00E07F8A">
              <w:rPr>
                <w:bCs/>
                <w:sz w:val="20"/>
                <w:szCs w:val="20"/>
              </w:rPr>
              <w:t>, Minas Gerais</w:t>
            </w:r>
            <w:r>
              <w:rPr>
                <w:bCs/>
                <w:sz w:val="20"/>
                <w:szCs w:val="20"/>
              </w:rPr>
              <w:t xml:space="preserve"> </w:t>
            </w:r>
            <w:r w:rsidRPr="00DB3C37">
              <w:rPr>
                <w:bCs/>
                <w:sz w:val="20"/>
                <w:szCs w:val="20"/>
              </w:rPr>
              <w:t>(</w:t>
            </w:r>
            <w:r>
              <w:rPr>
                <w:bCs/>
                <w:sz w:val="20"/>
                <w:szCs w:val="20"/>
              </w:rPr>
              <w:t>S</w:t>
            </w:r>
            <w:r w:rsidRPr="00DB3C37">
              <w:rPr>
                <w:bCs/>
                <w:sz w:val="20"/>
                <w:szCs w:val="20"/>
              </w:rPr>
              <w:t>E)</w:t>
            </w:r>
            <w:r w:rsidRPr="00E07F8A">
              <w:rPr>
                <w:bCs/>
                <w:sz w:val="20"/>
                <w:szCs w:val="20"/>
              </w:rPr>
              <w:t xml:space="preserve">, </w:t>
            </w:r>
          </w:p>
          <w:p w14:paraId="14981A92" w14:textId="77777777" w:rsidR="00401A64" w:rsidRDefault="00401A64" w:rsidP="00595B93">
            <w:pPr>
              <w:widowControl w:val="0"/>
              <w:jc w:val="center"/>
              <w:rPr>
                <w:bCs/>
                <w:sz w:val="20"/>
                <w:szCs w:val="20"/>
              </w:rPr>
            </w:pPr>
            <w:r w:rsidRPr="00E07F8A">
              <w:rPr>
                <w:bCs/>
                <w:sz w:val="20"/>
                <w:szCs w:val="20"/>
              </w:rPr>
              <w:t>Mato Grosso</w:t>
            </w:r>
            <w:r>
              <w:rPr>
                <w:bCs/>
                <w:sz w:val="20"/>
                <w:szCs w:val="20"/>
              </w:rPr>
              <w:t xml:space="preserve"> </w:t>
            </w:r>
            <w:r w:rsidRPr="00DB3C37">
              <w:rPr>
                <w:bCs/>
                <w:sz w:val="20"/>
                <w:szCs w:val="20"/>
              </w:rPr>
              <w:t>(</w:t>
            </w:r>
            <w:r>
              <w:rPr>
                <w:bCs/>
                <w:sz w:val="20"/>
                <w:szCs w:val="20"/>
              </w:rPr>
              <w:t>MW</w:t>
            </w:r>
            <w:r w:rsidRPr="00DB3C37">
              <w:rPr>
                <w:bCs/>
                <w:sz w:val="20"/>
                <w:szCs w:val="20"/>
              </w:rPr>
              <w:t>)</w:t>
            </w:r>
            <w:r w:rsidRPr="00E07F8A">
              <w:rPr>
                <w:bCs/>
                <w:sz w:val="20"/>
                <w:szCs w:val="20"/>
              </w:rPr>
              <w:t>, Pernambuco</w:t>
            </w:r>
            <w:r>
              <w:rPr>
                <w:bCs/>
                <w:sz w:val="20"/>
                <w:szCs w:val="20"/>
              </w:rPr>
              <w:t xml:space="preserve"> </w:t>
            </w:r>
            <w:r w:rsidRPr="00DB3C37">
              <w:rPr>
                <w:bCs/>
                <w:sz w:val="20"/>
                <w:szCs w:val="20"/>
              </w:rPr>
              <w:t>(</w:t>
            </w:r>
            <w:r>
              <w:rPr>
                <w:bCs/>
                <w:sz w:val="20"/>
                <w:szCs w:val="20"/>
              </w:rPr>
              <w:t>N</w:t>
            </w:r>
            <w:r w:rsidRPr="00DB3C37">
              <w:rPr>
                <w:bCs/>
                <w:sz w:val="20"/>
                <w:szCs w:val="20"/>
              </w:rPr>
              <w:t>E)</w:t>
            </w:r>
            <w:r w:rsidRPr="00E07F8A">
              <w:rPr>
                <w:bCs/>
                <w:sz w:val="20"/>
                <w:szCs w:val="20"/>
              </w:rPr>
              <w:t>, Paraná</w:t>
            </w:r>
            <w:r>
              <w:rPr>
                <w:bCs/>
                <w:sz w:val="20"/>
                <w:szCs w:val="20"/>
              </w:rPr>
              <w:t xml:space="preserve"> </w:t>
            </w:r>
            <w:r w:rsidRPr="00DB3C37">
              <w:rPr>
                <w:bCs/>
                <w:sz w:val="20"/>
                <w:szCs w:val="20"/>
              </w:rPr>
              <w:t>(</w:t>
            </w:r>
            <w:r>
              <w:rPr>
                <w:bCs/>
                <w:sz w:val="20"/>
                <w:szCs w:val="20"/>
              </w:rPr>
              <w:t>S</w:t>
            </w:r>
            <w:r w:rsidRPr="00DB3C37">
              <w:rPr>
                <w:bCs/>
                <w:sz w:val="20"/>
                <w:szCs w:val="20"/>
              </w:rPr>
              <w:t>)</w:t>
            </w:r>
            <w:r w:rsidRPr="00E07F8A">
              <w:rPr>
                <w:bCs/>
                <w:sz w:val="20"/>
                <w:szCs w:val="20"/>
              </w:rPr>
              <w:t>, Santa Catarina</w:t>
            </w:r>
            <w:r>
              <w:rPr>
                <w:bCs/>
                <w:sz w:val="20"/>
                <w:szCs w:val="20"/>
              </w:rPr>
              <w:t xml:space="preserve"> </w:t>
            </w:r>
            <w:r w:rsidRPr="00DB3C37">
              <w:rPr>
                <w:bCs/>
                <w:sz w:val="20"/>
                <w:szCs w:val="20"/>
              </w:rPr>
              <w:t>(</w:t>
            </w:r>
            <w:r>
              <w:rPr>
                <w:bCs/>
                <w:sz w:val="20"/>
                <w:szCs w:val="20"/>
              </w:rPr>
              <w:t>S</w:t>
            </w:r>
            <w:r w:rsidRPr="00DB3C37">
              <w:rPr>
                <w:bCs/>
                <w:sz w:val="20"/>
                <w:szCs w:val="20"/>
              </w:rPr>
              <w:t>)</w:t>
            </w:r>
            <w:r w:rsidRPr="00E07F8A">
              <w:rPr>
                <w:bCs/>
                <w:sz w:val="20"/>
                <w:szCs w:val="20"/>
              </w:rPr>
              <w:t xml:space="preserve">, </w:t>
            </w:r>
          </w:p>
          <w:p w14:paraId="2A401B59" w14:textId="77777777" w:rsidR="00401A64" w:rsidRPr="00E07F8A" w:rsidRDefault="00401A64" w:rsidP="00595B93">
            <w:pPr>
              <w:widowControl w:val="0"/>
              <w:spacing w:after="60"/>
              <w:jc w:val="center"/>
              <w:rPr>
                <w:bCs/>
                <w:sz w:val="20"/>
                <w:szCs w:val="20"/>
              </w:rPr>
            </w:pPr>
            <w:r w:rsidRPr="00E07F8A">
              <w:rPr>
                <w:bCs/>
                <w:sz w:val="20"/>
                <w:szCs w:val="20"/>
              </w:rPr>
              <w:t>Sergipe</w:t>
            </w:r>
            <w:r>
              <w:rPr>
                <w:bCs/>
                <w:sz w:val="20"/>
                <w:szCs w:val="20"/>
              </w:rPr>
              <w:t xml:space="preserve"> </w:t>
            </w:r>
            <w:r w:rsidRPr="00DB3C37">
              <w:rPr>
                <w:bCs/>
                <w:sz w:val="20"/>
                <w:szCs w:val="20"/>
              </w:rPr>
              <w:t>(</w:t>
            </w:r>
            <w:r>
              <w:rPr>
                <w:bCs/>
                <w:sz w:val="20"/>
                <w:szCs w:val="20"/>
              </w:rPr>
              <w:t>N</w:t>
            </w:r>
            <w:r w:rsidRPr="00DB3C37">
              <w:rPr>
                <w:bCs/>
                <w:sz w:val="20"/>
                <w:szCs w:val="20"/>
              </w:rPr>
              <w:t>E)</w:t>
            </w:r>
            <w:r w:rsidRPr="00E07F8A">
              <w:rPr>
                <w:bCs/>
                <w:sz w:val="20"/>
                <w:szCs w:val="20"/>
              </w:rPr>
              <w:t>, Tocantins</w:t>
            </w:r>
            <w:r>
              <w:rPr>
                <w:bCs/>
                <w:sz w:val="20"/>
                <w:szCs w:val="20"/>
              </w:rPr>
              <w:t xml:space="preserve"> </w:t>
            </w:r>
            <w:r w:rsidRPr="00DB3C37">
              <w:rPr>
                <w:bCs/>
                <w:sz w:val="20"/>
                <w:szCs w:val="20"/>
              </w:rPr>
              <w:t>(</w:t>
            </w:r>
            <w:r>
              <w:rPr>
                <w:bCs/>
                <w:sz w:val="20"/>
                <w:szCs w:val="20"/>
              </w:rPr>
              <w:t>MW</w:t>
            </w:r>
            <w:r w:rsidRPr="00DB3C37">
              <w:rPr>
                <w:bCs/>
                <w:sz w:val="20"/>
                <w:szCs w:val="20"/>
              </w:rPr>
              <w:t>)</w:t>
            </w:r>
          </w:p>
        </w:tc>
      </w:tr>
      <w:tr w:rsidR="00401A64" w:rsidRPr="00E07F8A" w14:paraId="7E78DEF5" w14:textId="77777777" w:rsidTr="00595B93">
        <w:tc>
          <w:tcPr>
            <w:tcW w:w="950" w:type="dxa"/>
            <w:shd w:val="clear" w:color="auto" w:fill="F2F2F2"/>
          </w:tcPr>
          <w:p w14:paraId="77DC1C1E" w14:textId="77777777" w:rsidR="00401A64" w:rsidRPr="00E07F8A" w:rsidRDefault="00401A64" w:rsidP="00595B93">
            <w:pPr>
              <w:widowControl w:val="0"/>
              <w:spacing w:afterLines="60" w:after="144"/>
              <w:jc w:val="center"/>
              <w:rPr>
                <w:bCs/>
                <w:sz w:val="20"/>
                <w:szCs w:val="20"/>
                <w:lang w:val="en-US"/>
              </w:rPr>
            </w:pPr>
            <w:r w:rsidRPr="00E07F8A">
              <w:rPr>
                <w:bCs/>
                <w:sz w:val="20"/>
                <w:szCs w:val="20"/>
                <w:lang w:val="en-US"/>
              </w:rPr>
              <w:t>3</w:t>
            </w:r>
          </w:p>
        </w:tc>
        <w:tc>
          <w:tcPr>
            <w:tcW w:w="6941" w:type="dxa"/>
            <w:shd w:val="clear" w:color="auto" w:fill="F2F2F2"/>
          </w:tcPr>
          <w:p w14:paraId="522F949F" w14:textId="77777777" w:rsidR="00401A64" w:rsidRDefault="00401A64" w:rsidP="00595B93">
            <w:pPr>
              <w:widowControl w:val="0"/>
              <w:jc w:val="center"/>
              <w:rPr>
                <w:bCs/>
                <w:sz w:val="20"/>
                <w:szCs w:val="20"/>
              </w:rPr>
            </w:pPr>
            <w:r w:rsidRPr="00E07F8A">
              <w:rPr>
                <w:bCs/>
                <w:sz w:val="20"/>
                <w:szCs w:val="20"/>
              </w:rPr>
              <w:t>Amazonas</w:t>
            </w:r>
            <w:r>
              <w:rPr>
                <w:bCs/>
                <w:sz w:val="20"/>
                <w:szCs w:val="20"/>
              </w:rPr>
              <w:t xml:space="preserve"> </w:t>
            </w:r>
            <w:r w:rsidRPr="00DB3C37">
              <w:rPr>
                <w:bCs/>
                <w:sz w:val="20"/>
                <w:szCs w:val="20"/>
              </w:rPr>
              <w:t>(</w:t>
            </w:r>
            <w:r>
              <w:rPr>
                <w:bCs/>
                <w:sz w:val="20"/>
                <w:szCs w:val="20"/>
              </w:rPr>
              <w:t>N</w:t>
            </w:r>
            <w:r w:rsidRPr="00DB3C37">
              <w:rPr>
                <w:bCs/>
                <w:sz w:val="20"/>
                <w:szCs w:val="20"/>
              </w:rPr>
              <w:t>)</w:t>
            </w:r>
            <w:r w:rsidRPr="00E07F8A">
              <w:rPr>
                <w:bCs/>
                <w:sz w:val="20"/>
                <w:szCs w:val="20"/>
              </w:rPr>
              <w:t>, Espírito Santo</w:t>
            </w:r>
            <w:r>
              <w:rPr>
                <w:bCs/>
                <w:sz w:val="20"/>
                <w:szCs w:val="20"/>
              </w:rPr>
              <w:t xml:space="preserve"> </w:t>
            </w:r>
            <w:r w:rsidRPr="00DB3C37">
              <w:rPr>
                <w:bCs/>
                <w:sz w:val="20"/>
                <w:szCs w:val="20"/>
              </w:rPr>
              <w:t>(</w:t>
            </w:r>
            <w:r>
              <w:rPr>
                <w:bCs/>
                <w:sz w:val="20"/>
                <w:szCs w:val="20"/>
              </w:rPr>
              <w:t>S</w:t>
            </w:r>
            <w:r w:rsidRPr="00DB3C37">
              <w:rPr>
                <w:bCs/>
                <w:sz w:val="20"/>
                <w:szCs w:val="20"/>
              </w:rPr>
              <w:t>E)</w:t>
            </w:r>
            <w:r w:rsidRPr="00E07F8A">
              <w:rPr>
                <w:bCs/>
                <w:sz w:val="20"/>
                <w:szCs w:val="20"/>
              </w:rPr>
              <w:t>, Rio de Janeiro</w:t>
            </w:r>
            <w:r>
              <w:rPr>
                <w:bCs/>
                <w:sz w:val="20"/>
                <w:szCs w:val="20"/>
              </w:rPr>
              <w:t xml:space="preserve"> </w:t>
            </w:r>
            <w:r w:rsidRPr="00DB3C37">
              <w:rPr>
                <w:bCs/>
                <w:sz w:val="20"/>
                <w:szCs w:val="20"/>
              </w:rPr>
              <w:t>(</w:t>
            </w:r>
            <w:r>
              <w:rPr>
                <w:bCs/>
                <w:sz w:val="20"/>
                <w:szCs w:val="20"/>
              </w:rPr>
              <w:t>S</w:t>
            </w:r>
            <w:r w:rsidRPr="00DB3C37">
              <w:rPr>
                <w:bCs/>
                <w:sz w:val="20"/>
                <w:szCs w:val="20"/>
              </w:rPr>
              <w:t>E)</w:t>
            </w:r>
            <w:r w:rsidRPr="00E07F8A">
              <w:rPr>
                <w:bCs/>
                <w:sz w:val="20"/>
                <w:szCs w:val="20"/>
              </w:rPr>
              <w:t>, Rondônia</w:t>
            </w:r>
            <w:r>
              <w:rPr>
                <w:bCs/>
                <w:sz w:val="20"/>
                <w:szCs w:val="20"/>
              </w:rPr>
              <w:t xml:space="preserve"> </w:t>
            </w:r>
            <w:r w:rsidRPr="00DB3C37">
              <w:rPr>
                <w:bCs/>
                <w:sz w:val="20"/>
                <w:szCs w:val="20"/>
              </w:rPr>
              <w:t>(</w:t>
            </w:r>
            <w:r>
              <w:rPr>
                <w:bCs/>
                <w:sz w:val="20"/>
                <w:szCs w:val="20"/>
              </w:rPr>
              <w:t>N</w:t>
            </w:r>
            <w:r w:rsidRPr="00DB3C37">
              <w:rPr>
                <w:bCs/>
                <w:sz w:val="20"/>
                <w:szCs w:val="20"/>
              </w:rPr>
              <w:t>)</w:t>
            </w:r>
            <w:r w:rsidRPr="00E07F8A">
              <w:rPr>
                <w:bCs/>
                <w:sz w:val="20"/>
                <w:szCs w:val="20"/>
              </w:rPr>
              <w:t xml:space="preserve">, </w:t>
            </w:r>
          </w:p>
          <w:p w14:paraId="06657CFE" w14:textId="77777777" w:rsidR="00401A64" w:rsidRPr="00E07F8A" w:rsidRDefault="00401A64" w:rsidP="00595B93">
            <w:pPr>
              <w:widowControl w:val="0"/>
              <w:spacing w:after="60"/>
              <w:jc w:val="center"/>
              <w:rPr>
                <w:bCs/>
                <w:sz w:val="20"/>
                <w:szCs w:val="20"/>
              </w:rPr>
            </w:pPr>
            <w:r w:rsidRPr="00E07F8A">
              <w:rPr>
                <w:bCs/>
                <w:sz w:val="20"/>
                <w:szCs w:val="20"/>
              </w:rPr>
              <w:t>Roraima</w:t>
            </w:r>
            <w:r>
              <w:rPr>
                <w:bCs/>
                <w:sz w:val="20"/>
                <w:szCs w:val="20"/>
              </w:rPr>
              <w:t xml:space="preserve"> </w:t>
            </w:r>
            <w:r w:rsidRPr="00DB3C37">
              <w:rPr>
                <w:bCs/>
                <w:sz w:val="20"/>
                <w:szCs w:val="20"/>
              </w:rPr>
              <w:t>(</w:t>
            </w:r>
            <w:r>
              <w:rPr>
                <w:bCs/>
                <w:sz w:val="20"/>
                <w:szCs w:val="20"/>
              </w:rPr>
              <w:t>N</w:t>
            </w:r>
            <w:r w:rsidRPr="00DB3C37">
              <w:rPr>
                <w:bCs/>
                <w:sz w:val="20"/>
                <w:szCs w:val="20"/>
              </w:rPr>
              <w:t>)</w:t>
            </w:r>
            <w:r w:rsidRPr="00E07F8A">
              <w:rPr>
                <w:bCs/>
                <w:sz w:val="20"/>
                <w:szCs w:val="20"/>
              </w:rPr>
              <w:t>, Rio Grande do Sul</w:t>
            </w:r>
            <w:r>
              <w:rPr>
                <w:bCs/>
                <w:sz w:val="20"/>
                <w:szCs w:val="20"/>
              </w:rPr>
              <w:t xml:space="preserve"> </w:t>
            </w:r>
            <w:r w:rsidRPr="00DB3C37">
              <w:rPr>
                <w:bCs/>
                <w:sz w:val="20"/>
                <w:szCs w:val="20"/>
              </w:rPr>
              <w:t>(</w:t>
            </w:r>
            <w:r>
              <w:rPr>
                <w:bCs/>
                <w:sz w:val="20"/>
                <w:szCs w:val="20"/>
              </w:rPr>
              <w:t>S</w:t>
            </w:r>
            <w:r w:rsidRPr="00DB3C37">
              <w:rPr>
                <w:bCs/>
                <w:sz w:val="20"/>
                <w:szCs w:val="20"/>
              </w:rPr>
              <w:t>)</w:t>
            </w:r>
          </w:p>
        </w:tc>
      </w:tr>
    </w:tbl>
    <w:p w14:paraId="7E0E502A" w14:textId="77777777" w:rsidR="00401A64" w:rsidRDefault="00401A64" w:rsidP="00401A64">
      <w:pPr>
        <w:widowControl w:val="0"/>
        <w:ind w:left="806" w:right="850"/>
        <w:jc w:val="center"/>
        <w:rPr>
          <w:sz w:val="20"/>
          <w:szCs w:val="20"/>
          <w:lang w:val="en-US"/>
        </w:rPr>
      </w:pPr>
      <w:r w:rsidRPr="00A2378C">
        <w:rPr>
          <w:i/>
          <w:sz w:val="20"/>
          <w:szCs w:val="20"/>
          <w:lang w:val="en-US"/>
        </w:rPr>
        <w:t xml:space="preserve">Source: </w:t>
      </w:r>
      <w:r w:rsidRPr="00A2378C">
        <w:rPr>
          <w:sz w:val="20"/>
          <w:szCs w:val="20"/>
          <w:lang w:val="en-US"/>
        </w:rPr>
        <w:t>Institute for Applied Economic Research</w:t>
      </w:r>
      <w:r>
        <w:rPr>
          <w:sz w:val="20"/>
          <w:szCs w:val="20"/>
          <w:lang w:val="en-US"/>
        </w:rPr>
        <w:t xml:space="preserve">. </w:t>
      </w:r>
    </w:p>
    <w:p w14:paraId="06266282" w14:textId="77777777" w:rsidR="00401A64" w:rsidRDefault="00401A64" w:rsidP="00401A64">
      <w:pPr>
        <w:widowControl w:val="0"/>
        <w:ind w:left="806" w:right="850"/>
        <w:jc w:val="center"/>
        <w:rPr>
          <w:sz w:val="20"/>
          <w:szCs w:val="20"/>
          <w:lang w:val="en-US"/>
        </w:rPr>
      </w:pPr>
      <w:r w:rsidRPr="00AB1B31">
        <w:rPr>
          <w:i/>
          <w:sz w:val="20"/>
          <w:szCs w:val="20"/>
          <w:lang w:val="en-US"/>
        </w:rPr>
        <w:t>Note:</w:t>
      </w:r>
      <w:r>
        <w:rPr>
          <w:sz w:val="20"/>
          <w:szCs w:val="20"/>
          <w:lang w:val="en-US"/>
        </w:rPr>
        <w:t xml:space="preserve"> SE = Southeast; S = South; N = North; NE = Northeast; MW = Midwest.</w:t>
      </w:r>
    </w:p>
    <w:p w14:paraId="099DC376" w14:textId="77777777" w:rsidR="00401A64" w:rsidRDefault="00401A64" w:rsidP="00401A64">
      <w:pPr>
        <w:widowControl w:val="0"/>
        <w:ind w:firstLine="709"/>
        <w:jc w:val="both"/>
        <w:rPr>
          <w:rStyle w:val="hps"/>
          <w:lang w:val="en"/>
        </w:rPr>
      </w:pPr>
    </w:p>
    <w:p w14:paraId="04603C1F" w14:textId="77777777" w:rsidR="00401A64" w:rsidRDefault="00401A64" w:rsidP="00401A64">
      <w:pPr>
        <w:widowControl w:val="0"/>
        <w:ind w:firstLine="709"/>
        <w:jc w:val="both"/>
        <w:rPr>
          <w:rStyle w:val="hps"/>
          <w:lang w:val="en"/>
        </w:rPr>
      </w:pPr>
    </w:p>
    <w:p w14:paraId="7AEF11DA" w14:textId="77777777" w:rsidR="00401A64" w:rsidRPr="00EE4F63" w:rsidRDefault="00401A64" w:rsidP="00401A64">
      <w:pPr>
        <w:widowControl w:val="0"/>
        <w:ind w:firstLine="709"/>
        <w:jc w:val="both"/>
        <w:rPr>
          <w:lang w:val="en"/>
        </w:rPr>
      </w:pPr>
      <w:r w:rsidRPr="00EE4F63">
        <w:rPr>
          <w:rStyle w:val="hps"/>
          <w:lang w:val="en"/>
        </w:rPr>
        <w:lastRenderedPageBreak/>
        <w:t xml:space="preserve">Based on information gathered from Ministry of Finance, </w:t>
      </w:r>
      <w:r>
        <w:rPr>
          <w:rStyle w:val="hps"/>
          <w:lang w:val="en"/>
        </w:rPr>
        <w:t>state’s s</w:t>
      </w:r>
      <w:r w:rsidRPr="00EE4F63">
        <w:rPr>
          <w:rStyle w:val="hps"/>
          <w:lang w:val="en"/>
        </w:rPr>
        <w:t>ocial spending</w:t>
      </w:r>
      <w:r w:rsidRPr="00EE4F63">
        <w:rPr>
          <w:lang w:val="en"/>
        </w:rPr>
        <w:t xml:space="preserve"> (welfare and social security) </w:t>
      </w:r>
      <w:r w:rsidRPr="00EE4F63">
        <w:rPr>
          <w:rStyle w:val="hps"/>
          <w:lang w:val="en"/>
        </w:rPr>
        <w:t>is also considered</w:t>
      </w:r>
      <w:r w:rsidRPr="00EE4F63">
        <w:rPr>
          <w:lang w:val="en"/>
        </w:rPr>
        <w:t xml:space="preserve"> </w:t>
      </w:r>
      <w:r w:rsidRPr="00EE4F63">
        <w:rPr>
          <w:rStyle w:val="hps"/>
          <w:lang w:val="en"/>
        </w:rPr>
        <w:t>in th</w:t>
      </w:r>
      <w:r>
        <w:rPr>
          <w:rStyle w:val="hps"/>
          <w:lang w:val="en"/>
        </w:rPr>
        <w:t>is</w:t>
      </w:r>
      <w:r w:rsidRPr="00EE4F63">
        <w:rPr>
          <w:rStyle w:val="hps"/>
          <w:lang w:val="en"/>
        </w:rPr>
        <w:t xml:space="preserve"> analysis</w:t>
      </w:r>
      <w:r w:rsidRPr="00EE4F63">
        <w:rPr>
          <w:lang w:val="en"/>
        </w:rPr>
        <w:t xml:space="preserve"> </w:t>
      </w:r>
      <w:r w:rsidRPr="00EE4F63">
        <w:rPr>
          <w:rStyle w:val="hps"/>
          <w:lang w:val="en"/>
        </w:rPr>
        <w:t>and corresponds</w:t>
      </w:r>
      <w:r w:rsidRPr="00EE4F63">
        <w:rPr>
          <w:lang w:val="en"/>
        </w:rPr>
        <w:t xml:space="preserve"> </w:t>
      </w:r>
      <w:r w:rsidRPr="00EE4F63">
        <w:rPr>
          <w:rStyle w:val="hps"/>
          <w:lang w:val="en"/>
        </w:rPr>
        <w:t>to the ratio of</w:t>
      </w:r>
      <w:r w:rsidRPr="00EE4F63">
        <w:rPr>
          <w:lang w:val="en"/>
        </w:rPr>
        <w:t xml:space="preserve"> direct </w:t>
      </w:r>
      <w:r w:rsidRPr="00EE4F63">
        <w:rPr>
          <w:rStyle w:val="hps"/>
          <w:lang w:val="en"/>
        </w:rPr>
        <w:t>transfers</w:t>
      </w:r>
      <w:r w:rsidRPr="00EE4F63">
        <w:rPr>
          <w:lang w:val="en"/>
        </w:rPr>
        <w:t xml:space="preserve"> </w:t>
      </w:r>
      <w:r w:rsidRPr="00EE4F63">
        <w:rPr>
          <w:rStyle w:val="hps"/>
          <w:lang w:val="en"/>
        </w:rPr>
        <w:t>to citizen</w:t>
      </w:r>
      <w:r>
        <w:rPr>
          <w:rStyle w:val="hps"/>
          <w:lang w:val="en"/>
        </w:rPr>
        <w:t>s</w:t>
      </w:r>
      <w:r w:rsidRPr="00EE4F63">
        <w:rPr>
          <w:rStyle w:val="hps"/>
          <w:lang w:val="en"/>
        </w:rPr>
        <w:t xml:space="preserve"> and the</w:t>
      </w:r>
      <w:r w:rsidRPr="00EE4F63">
        <w:rPr>
          <w:lang w:val="en"/>
        </w:rPr>
        <w:t xml:space="preserve"> </w:t>
      </w:r>
      <w:r>
        <w:rPr>
          <w:lang w:val="en"/>
        </w:rPr>
        <w:t>s</w:t>
      </w:r>
      <w:r w:rsidRPr="00EE4F63">
        <w:rPr>
          <w:rStyle w:val="hps"/>
          <w:lang w:val="en"/>
        </w:rPr>
        <w:t>tate GDP</w:t>
      </w:r>
      <w:r w:rsidRPr="00EE4F63">
        <w:rPr>
          <w:lang w:val="en"/>
        </w:rPr>
        <w:t xml:space="preserve"> </w:t>
      </w:r>
      <w:r w:rsidRPr="00EE4F63">
        <w:rPr>
          <w:rStyle w:val="hps"/>
          <w:lang w:val="en"/>
        </w:rPr>
        <w:t>(</w:t>
      </w:r>
      <w:r w:rsidRPr="00EE4F63">
        <w:rPr>
          <w:i/>
          <w:lang w:val="en"/>
        </w:rPr>
        <w:t>SOC</w:t>
      </w:r>
      <w:r w:rsidRPr="00EE4F63">
        <w:rPr>
          <w:lang w:val="en"/>
        </w:rPr>
        <w:t xml:space="preserve">). With </w:t>
      </w:r>
      <w:r>
        <w:rPr>
          <w:lang w:val="en"/>
        </w:rPr>
        <w:t xml:space="preserve">the </w:t>
      </w:r>
      <w:r w:rsidRPr="00EE4F63">
        <w:rPr>
          <w:lang w:val="en"/>
        </w:rPr>
        <w:t xml:space="preserve">exception of </w:t>
      </w:r>
      <w:r>
        <w:rPr>
          <w:lang w:val="en"/>
        </w:rPr>
        <w:t xml:space="preserve">the </w:t>
      </w:r>
      <w:r w:rsidRPr="00EE4F63">
        <w:rPr>
          <w:lang w:val="en"/>
        </w:rPr>
        <w:t xml:space="preserve">Northeast region, all regions had a decline </w:t>
      </w:r>
      <w:r w:rsidRPr="00D4797C">
        <w:rPr>
          <w:lang w:val="en"/>
        </w:rPr>
        <w:t xml:space="preserve">in social spending in the period (see figure 8). One reason for this behavior is the Fiscal Responsibility Act approved by the Brazilian Congress in 2000 limits </w:t>
      </w:r>
      <w:r>
        <w:rPr>
          <w:lang w:val="en"/>
        </w:rPr>
        <w:t>states</w:t>
      </w:r>
      <w:r w:rsidRPr="00D4797C">
        <w:rPr>
          <w:lang w:val="en"/>
        </w:rPr>
        <w:t xml:space="preserve"> expenses </w:t>
      </w:r>
      <w:r>
        <w:rPr>
          <w:lang w:val="en"/>
        </w:rPr>
        <w:t>to</w:t>
      </w:r>
      <w:r w:rsidRPr="00D4797C">
        <w:rPr>
          <w:lang w:val="en"/>
        </w:rPr>
        <w:t xml:space="preserve"> 60% for its personnel in relation to the current net revenue.</w:t>
      </w:r>
    </w:p>
    <w:p w14:paraId="408CD8EC" w14:textId="77777777" w:rsidR="00401A64" w:rsidRPr="00223E59" w:rsidRDefault="00401A64" w:rsidP="00401A64">
      <w:pPr>
        <w:widowControl w:val="0"/>
        <w:ind w:firstLine="709"/>
        <w:jc w:val="both"/>
        <w:rPr>
          <w:lang w:val="en-US"/>
        </w:rPr>
      </w:pPr>
    </w:p>
    <w:p w14:paraId="766AB1F8" w14:textId="77777777" w:rsidR="00401A64" w:rsidRDefault="00401A64" w:rsidP="00401A64">
      <w:pPr>
        <w:widowControl w:val="0"/>
        <w:jc w:val="center"/>
        <w:rPr>
          <w:rFonts w:eastAsia="ElegantGaramondBT-Roman" w:cs="ElegantGaramondBT-Roman"/>
          <w:b/>
          <w:bCs/>
          <w:lang/>
        </w:rPr>
      </w:pPr>
      <w:r w:rsidRPr="00EE4F63">
        <w:rPr>
          <w:rFonts w:eastAsia="ElegantGaramondBT-Roman" w:cs="ElegantGaramondBT-Roman"/>
          <w:b/>
          <w:bCs/>
          <w:lang/>
        </w:rPr>
        <w:t>Figure 8</w:t>
      </w:r>
      <w:r>
        <w:rPr>
          <w:rFonts w:eastAsia="ElegantGaramondBT-Roman" w:cs="ElegantGaramondBT-Roman"/>
          <w:b/>
          <w:bCs/>
          <w:lang/>
        </w:rPr>
        <w:t xml:space="preserve"> </w:t>
      </w:r>
    </w:p>
    <w:p w14:paraId="763A67EF" w14:textId="77777777" w:rsidR="00401A64" w:rsidRDefault="00401A64" w:rsidP="00401A64">
      <w:pPr>
        <w:widowControl w:val="0"/>
        <w:jc w:val="center"/>
        <w:rPr>
          <w:rFonts w:eastAsia="ElegantGaramondBT-Roman" w:cs="ElegantGaramondBT-Roman"/>
          <w:bCs/>
          <w:lang/>
        </w:rPr>
      </w:pPr>
      <w:r w:rsidRPr="000C4333">
        <w:rPr>
          <w:rFonts w:eastAsia="ElegantGaramondBT-Roman" w:cs="ElegantGaramondBT-Roman"/>
          <w:bCs/>
          <w:i/>
          <w:lang/>
        </w:rPr>
        <w:t>Social spending</w:t>
      </w:r>
    </w:p>
    <w:p w14:paraId="39B22AF2" w14:textId="0FB202A9" w:rsidR="00401A64" w:rsidRPr="008F0AA1" w:rsidRDefault="00401A64" w:rsidP="00401A64">
      <w:pPr>
        <w:widowControl w:val="0"/>
        <w:jc w:val="center"/>
        <w:rPr>
          <w:rFonts w:eastAsia="ElegantGaramondBT-Roman" w:cs="ElegantGaramondBT-Roman"/>
          <w:bCs/>
          <w:lang/>
        </w:rPr>
      </w:pPr>
      <w:r>
        <w:rPr>
          <w:rFonts w:eastAsia="ElegantGaramondBT-Roman" w:cs="ElegantGaramondBT-Roman"/>
          <w:bCs/>
          <w:noProof/>
          <w:lang/>
        </w:rPr>
        <w:drawing>
          <wp:inline distT="0" distB="0" distL="0" distR="0" wp14:anchorId="2D9A678C" wp14:editId="600A8C37">
            <wp:extent cx="4008755" cy="28797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8755" cy="2879725"/>
                    </a:xfrm>
                    <a:prstGeom prst="rect">
                      <a:avLst/>
                    </a:prstGeom>
                    <a:noFill/>
                  </pic:spPr>
                </pic:pic>
              </a:graphicData>
            </a:graphic>
          </wp:inline>
        </w:drawing>
      </w:r>
    </w:p>
    <w:p w14:paraId="032647C8" w14:textId="77777777" w:rsidR="00401A64" w:rsidRDefault="00401A64" w:rsidP="00401A64">
      <w:pPr>
        <w:widowControl w:val="0"/>
        <w:jc w:val="center"/>
        <w:rPr>
          <w:bCs/>
          <w:sz w:val="20"/>
          <w:szCs w:val="20"/>
          <w:lang w:val="en-US"/>
        </w:rPr>
      </w:pPr>
      <w:r w:rsidRPr="008F0AA1">
        <w:rPr>
          <w:lang w:val="en-US"/>
        </w:rPr>
        <w:t xml:space="preserve"> </w:t>
      </w:r>
      <w:r w:rsidRPr="00B2322F">
        <w:rPr>
          <w:i/>
          <w:sz w:val="20"/>
          <w:szCs w:val="20"/>
          <w:lang w:val="en-US"/>
        </w:rPr>
        <w:t xml:space="preserve">Source: </w:t>
      </w:r>
      <w:r w:rsidRPr="00B2322F">
        <w:rPr>
          <w:bCs/>
          <w:sz w:val="20"/>
          <w:szCs w:val="20"/>
          <w:lang w:val="en-US"/>
        </w:rPr>
        <w:t xml:space="preserve">Ministry of </w:t>
      </w:r>
      <w:r>
        <w:rPr>
          <w:bCs/>
          <w:sz w:val="20"/>
          <w:szCs w:val="20"/>
          <w:lang w:val="en-US"/>
        </w:rPr>
        <w:t>Finance</w:t>
      </w:r>
      <w:r w:rsidRPr="00B2322F">
        <w:rPr>
          <w:bCs/>
          <w:sz w:val="20"/>
          <w:szCs w:val="20"/>
          <w:lang w:val="en-US"/>
        </w:rPr>
        <w:t>.</w:t>
      </w:r>
    </w:p>
    <w:p w14:paraId="6E9C6A2B" w14:textId="77777777" w:rsidR="00401A64" w:rsidRPr="00B72A65" w:rsidRDefault="00401A64" w:rsidP="00401A64">
      <w:pPr>
        <w:widowControl w:val="0"/>
        <w:jc w:val="center"/>
        <w:rPr>
          <w:sz w:val="20"/>
          <w:szCs w:val="20"/>
          <w:lang w:val="en-US"/>
        </w:rPr>
      </w:pPr>
      <w:r>
        <w:rPr>
          <w:bCs/>
          <w:i/>
          <w:sz w:val="20"/>
          <w:szCs w:val="20"/>
          <w:lang w:val="en-US"/>
        </w:rPr>
        <w:t xml:space="preserve">Note: </w:t>
      </w:r>
      <w:r>
        <w:rPr>
          <w:bCs/>
          <w:sz w:val="20"/>
          <w:szCs w:val="20"/>
          <w:lang w:val="en-US"/>
        </w:rPr>
        <w:t>SOC is the ratio of direct transfers to citizens and GDP</w:t>
      </w:r>
    </w:p>
    <w:p w14:paraId="01A1DB67" w14:textId="77777777" w:rsidR="00401A64" w:rsidRPr="008F0AA1" w:rsidRDefault="00401A64" w:rsidP="00401A64">
      <w:pPr>
        <w:widowControl w:val="0"/>
        <w:jc w:val="center"/>
        <w:rPr>
          <w:rFonts w:eastAsia="ElegantGaramondBT-Roman" w:cs="ElegantGaramondBT-Roman"/>
          <w:lang w:val="en-US"/>
        </w:rPr>
      </w:pPr>
    </w:p>
    <w:p w14:paraId="396AB87D" w14:textId="77777777" w:rsidR="00401A64" w:rsidRDefault="00401A64" w:rsidP="00401A64">
      <w:pPr>
        <w:widowControl w:val="0"/>
        <w:jc w:val="both"/>
        <w:rPr>
          <w:rFonts w:eastAsia="ElegantGaramondBT-Roman" w:cs="ElegantGaramondBT-Roman"/>
          <w:lang w:val="en-US"/>
        </w:rPr>
      </w:pPr>
    </w:p>
    <w:p w14:paraId="4E34647C" w14:textId="77777777" w:rsidR="00401A64" w:rsidRDefault="00401A64" w:rsidP="00401A64">
      <w:pPr>
        <w:widowControl w:val="0"/>
        <w:jc w:val="both"/>
        <w:rPr>
          <w:rFonts w:eastAsia="ElegantGaramondBT-Roman" w:cs="ElegantGaramondBT-Roman"/>
          <w:lang w:val="en-US"/>
        </w:rPr>
      </w:pPr>
      <w:r w:rsidRPr="008F0AA1">
        <w:rPr>
          <w:rFonts w:eastAsia="ElegantGaramondBT-Roman" w:cs="ElegantGaramondBT-Roman"/>
          <w:lang w:val="en-US"/>
        </w:rPr>
        <w:tab/>
      </w:r>
      <w:r>
        <w:rPr>
          <w:rFonts w:eastAsia="ElegantGaramondBT-Roman" w:cs="ElegantGaramondBT-Roman"/>
          <w:lang w:val="en-US"/>
        </w:rPr>
        <w:t>Ano</w:t>
      </w:r>
      <w:r w:rsidRPr="00EE4F63">
        <w:rPr>
          <w:rFonts w:eastAsia="ElegantGaramondBT-Roman" w:cs="ElegantGaramondBT-Roman"/>
          <w:lang w:val="en-US"/>
        </w:rPr>
        <w:t>ther variable that cannot be neglected is the effect of corruption on income inequality (Gupta, Davoodi, and Alonso-Terme, 1998</w:t>
      </w:r>
      <w:r>
        <w:rPr>
          <w:rFonts w:eastAsia="ElegantGaramondBT-Roman" w:cs="ElegantGaramondBT-Roman"/>
          <w:lang w:val="en-US"/>
        </w:rPr>
        <w:t>;</w:t>
      </w:r>
      <w:r w:rsidRPr="00EE4F63">
        <w:rPr>
          <w:rFonts w:eastAsia="ElegantGaramondBT-Roman" w:cs="ElegantGaramondBT-Roman"/>
          <w:lang w:val="en-US"/>
        </w:rPr>
        <w:t xml:space="preserve"> and Alt and Lassen, 2010). According to the corruption perceptions index disclos</w:t>
      </w:r>
      <w:r>
        <w:rPr>
          <w:rFonts w:eastAsia="ElegantGaramondBT-Roman" w:cs="ElegantGaramondBT-Roman"/>
          <w:lang w:val="en-US"/>
        </w:rPr>
        <w:t>ed</w:t>
      </w:r>
      <w:r w:rsidRPr="00EE4F63">
        <w:rPr>
          <w:rFonts w:eastAsia="ElegantGaramondBT-Roman" w:cs="ElegantGaramondBT-Roman"/>
          <w:lang w:val="en-US"/>
        </w:rPr>
        <w:t xml:space="preserve"> by Transparency International, from 1999 to 2008, Brazil has worsened considerably (fell from 45</w:t>
      </w:r>
      <w:r w:rsidRPr="00EE4F63">
        <w:rPr>
          <w:rFonts w:eastAsia="ElegantGaramondBT-Roman" w:cs="ElegantGaramondBT-Roman"/>
          <w:vertAlign w:val="superscript"/>
          <w:lang w:val="en-US"/>
        </w:rPr>
        <w:t>th</w:t>
      </w:r>
      <w:r w:rsidRPr="00EE4F63">
        <w:rPr>
          <w:rFonts w:eastAsia="ElegantGaramondBT-Roman" w:cs="ElegantGaramondBT-Roman"/>
          <w:lang w:val="en-US"/>
        </w:rPr>
        <w:t xml:space="preserve"> to 80</w:t>
      </w:r>
      <w:r w:rsidRPr="00EE4F63">
        <w:rPr>
          <w:rFonts w:eastAsia="ElegantGaramondBT-Roman" w:cs="ElegantGaramondBT-Roman"/>
          <w:vertAlign w:val="superscript"/>
          <w:lang w:val="en-US"/>
        </w:rPr>
        <w:t>th</w:t>
      </w:r>
      <w:r w:rsidRPr="00EE4F63">
        <w:rPr>
          <w:rFonts w:eastAsia="ElegantGaramondBT-Roman" w:cs="ElegantGaramondBT-Roman"/>
          <w:lang w:val="en-US"/>
        </w:rPr>
        <w:t xml:space="preserve"> in the least corruption ranking). This study considers the </w:t>
      </w:r>
      <w:r>
        <w:rPr>
          <w:rFonts w:eastAsia="ElegantGaramondBT-Roman" w:cs="ElegantGaramondBT-Roman"/>
          <w:lang w:val="en-US"/>
        </w:rPr>
        <w:t xml:space="preserve">variation of the </w:t>
      </w:r>
      <w:r w:rsidRPr="00EE4F63">
        <w:rPr>
          <w:rFonts w:eastAsia="ElegantGaramondBT-Roman" w:cs="ElegantGaramondBT-Roman"/>
          <w:lang w:val="en-US"/>
        </w:rPr>
        <w:t>corruption index (</w:t>
      </w:r>
      <w:r w:rsidRPr="00EE4F63">
        <w:rPr>
          <w:rFonts w:eastAsia="ElegantGaramondBT-Roman" w:cs="ElegantGaramondBT-Roman"/>
          <w:i/>
          <w:lang w:val="en-US"/>
        </w:rPr>
        <w:t>CORR</w:t>
      </w:r>
      <w:r w:rsidRPr="00EE4F63">
        <w:rPr>
          <w:rFonts w:eastAsia="ElegantGaramondBT-Roman" w:cs="ElegantGaramondBT-Roman"/>
          <w:lang w:val="en-US"/>
        </w:rPr>
        <w:t>) built by Boll (2009) as a result of the weighted average between socioeconomic variables (population and GDP state = 0.33) and the number of process</w:t>
      </w:r>
      <w:r>
        <w:rPr>
          <w:rFonts w:eastAsia="ElegantGaramondBT-Roman" w:cs="ElegantGaramondBT-Roman"/>
          <w:lang w:val="en-US"/>
        </w:rPr>
        <w:t>es</w:t>
      </w:r>
      <w:r w:rsidRPr="00EE4F63">
        <w:rPr>
          <w:rFonts w:eastAsia="ElegantGaramondBT-Roman" w:cs="ElegantGaramondBT-Roman"/>
          <w:lang w:val="en-US"/>
        </w:rPr>
        <w:t xml:space="preserve"> deemed illegal by the Brazilian Court of Audit (0.66) based on Annual Budget Law. The index ranges from “0” (lowest corruption) to “1” (highest corruption). Figure 9, </w:t>
      </w:r>
      <w:r>
        <w:rPr>
          <w:rFonts w:eastAsia="ElegantGaramondBT-Roman" w:cs="ElegantGaramondBT-Roman"/>
          <w:lang w:val="en-US"/>
        </w:rPr>
        <w:t>depict</w:t>
      </w:r>
      <w:r w:rsidRPr="00EE4F63">
        <w:rPr>
          <w:rFonts w:eastAsia="ElegantGaramondBT-Roman" w:cs="ElegantGaramondBT-Roman"/>
          <w:lang w:val="en-US"/>
        </w:rPr>
        <w:t xml:space="preserve">s the average of corruption by </w:t>
      </w:r>
      <w:r>
        <w:rPr>
          <w:rFonts w:eastAsia="ElegantGaramondBT-Roman" w:cs="ElegantGaramondBT-Roman"/>
          <w:lang w:val="en-US"/>
        </w:rPr>
        <w:t>s</w:t>
      </w:r>
      <w:r w:rsidRPr="00EE4F63">
        <w:rPr>
          <w:rFonts w:eastAsia="ElegantGaramondBT-Roman" w:cs="ElegantGaramondBT-Roman"/>
          <w:lang w:val="en-US"/>
        </w:rPr>
        <w:t xml:space="preserve">tate in the period. It allows one to see that the three highest indices belong to </w:t>
      </w:r>
      <w:r>
        <w:rPr>
          <w:rFonts w:eastAsia="ElegantGaramondBT-Roman" w:cs="ElegantGaramondBT-Roman"/>
          <w:lang w:val="en-US"/>
        </w:rPr>
        <w:t xml:space="preserve">the </w:t>
      </w:r>
      <w:r w:rsidRPr="00EE4F63">
        <w:rPr>
          <w:rFonts w:eastAsia="ElegantGaramondBT-Roman" w:cs="ElegantGaramondBT-Roman"/>
          <w:lang w:val="en-US"/>
        </w:rPr>
        <w:t xml:space="preserve">Northeast region (Maranhão, Piauí, and Bahia) while the two lowest indices belong to </w:t>
      </w:r>
      <w:r>
        <w:rPr>
          <w:rFonts w:eastAsia="ElegantGaramondBT-Roman" w:cs="ElegantGaramondBT-Roman"/>
          <w:lang w:val="en-US"/>
        </w:rPr>
        <w:t xml:space="preserve">the </w:t>
      </w:r>
      <w:r w:rsidRPr="00EE4F63">
        <w:rPr>
          <w:rFonts w:eastAsia="ElegantGaramondBT-Roman" w:cs="ElegantGaramondBT-Roman"/>
          <w:lang w:val="en-US"/>
        </w:rPr>
        <w:t>South region (Rio Grande do Sul and Santa Catarina).</w:t>
      </w:r>
    </w:p>
    <w:p w14:paraId="4AFFBC84" w14:textId="77777777" w:rsidR="00401A64" w:rsidRDefault="00401A64" w:rsidP="00401A64">
      <w:pPr>
        <w:widowControl w:val="0"/>
        <w:jc w:val="both"/>
        <w:rPr>
          <w:rFonts w:eastAsia="ElegantGaramondBT-Roman" w:cs="ElegantGaramondBT-Roman"/>
          <w:lang w:val="en-US"/>
        </w:rPr>
      </w:pPr>
    </w:p>
    <w:p w14:paraId="4FEFFB21" w14:textId="77777777" w:rsidR="00401A64" w:rsidRDefault="00401A64" w:rsidP="00401A64">
      <w:pPr>
        <w:widowControl w:val="0"/>
        <w:jc w:val="both"/>
        <w:rPr>
          <w:rFonts w:eastAsia="ElegantGaramondBT-Roman" w:cs="ElegantGaramondBT-Roman"/>
          <w:lang w:val="en-US"/>
        </w:rPr>
      </w:pPr>
    </w:p>
    <w:p w14:paraId="4481FF66" w14:textId="77777777" w:rsidR="00401A64" w:rsidRDefault="00401A64" w:rsidP="00401A64">
      <w:pPr>
        <w:widowControl w:val="0"/>
        <w:jc w:val="both"/>
        <w:rPr>
          <w:rFonts w:eastAsia="ElegantGaramondBT-Roman" w:cs="ElegantGaramondBT-Roman"/>
          <w:lang w:val="en-US"/>
        </w:rPr>
      </w:pPr>
    </w:p>
    <w:p w14:paraId="4A2FC0CC" w14:textId="77777777" w:rsidR="00401A64" w:rsidRDefault="00401A64" w:rsidP="00401A64">
      <w:pPr>
        <w:widowControl w:val="0"/>
        <w:jc w:val="both"/>
        <w:rPr>
          <w:rFonts w:eastAsia="ElegantGaramondBT-Roman" w:cs="ElegantGaramondBT-Roman"/>
          <w:lang w:val="en-US"/>
        </w:rPr>
      </w:pPr>
    </w:p>
    <w:p w14:paraId="25043CA9" w14:textId="77777777" w:rsidR="00401A64" w:rsidRDefault="00401A64" w:rsidP="00401A64">
      <w:pPr>
        <w:widowControl w:val="0"/>
        <w:jc w:val="both"/>
        <w:rPr>
          <w:rFonts w:eastAsia="ElegantGaramondBT-Roman" w:cs="ElegantGaramondBT-Roman"/>
          <w:lang w:val="en-US"/>
        </w:rPr>
      </w:pPr>
    </w:p>
    <w:p w14:paraId="2E97DE1C" w14:textId="77777777" w:rsidR="00401A64" w:rsidRPr="00EE4F63" w:rsidRDefault="00401A64" w:rsidP="00401A64">
      <w:pPr>
        <w:widowControl w:val="0"/>
        <w:jc w:val="both"/>
        <w:rPr>
          <w:rFonts w:eastAsia="ElegantGaramondBT-Roman" w:cs="ElegantGaramondBT-Roman"/>
          <w:lang w:val="en-US"/>
        </w:rPr>
      </w:pPr>
    </w:p>
    <w:p w14:paraId="1330B34A" w14:textId="77777777" w:rsidR="00401A64" w:rsidRDefault="00401A64" w:rsidP="00401A64">
      <w:pPr>
        <w:widowControl w:val="0"/>
        <w:jc w:val="center"/>
        <w:rPr>
          <w:rFonts w:eastAsia="ElegantGaramondBT-Roman" w:cs="ElegantGaramondBT-Roman"/>
          <w:b/>
          <w:bCs/>
          <w:lang w:val="en-US"/>
        </w:rPr>
      </w:pPr>
      <w:r w:rsidRPr="00EE4F63">
        <w:rPr>
          <w:rFonts w:eastAsia="ElegantGaramondBT-Roman" w:cs="ElegantGaramondBT-Roman"/>
          <w:b/>
          <w:bCs/>
          <w:lang w:val="en-US"/>
        </w:rPr>
        <w:t>Figure 9</w:t>
      </w:r>
    </w:p>
    <w:p w14:paraId="4E5ACC90" w14:textId="77777777" w:rsidR="00401A64" w:rsidRDefault="00401A64" w:rsidP="00401A64">
      <w:pPr>
        <w:widowControl w:val="0"/>
        <w:jc w:val="center"/>
        <w:rPr>
          <w:rFonts w:eastAsia="ElegantGaramondBT-Roman" w:cs="ElegantGaramondBT-Roman"/>
          <w:bCs/>
          <w:i/>
          <w:lang w:val="en-US"/>
        </w:rPr>
      </w:pPr>
      <w:r>
        <w:rPr>
          <w:rFonts w:eastAsia="ElegantGaramondBT-Roman" w:cs="ElegantGaramondBT-Roman"/>
          <w:b/>
          <w:bCs/>
          <w:lang w:val="en-US"/>
        </w:rPr>
        <w:t xml:space="preserve"> </w:t>
      </w:r>
      <w:r w:rsidRPr="0023438D">
        <w:rPr>
          <w:rFonts w:eastAsia="ElegantGaramondBT-Roman" w:cs="ElegantGaramondBT-Roman"/>
          <w:bCs/>
          <w:i/>
          <w:lang w:val="en-US"/>
        </w:rPr>
        <w:t>Corruption by state and federal district (average 1999-2008)</w:t>
      </w:r>
    </w:p>
    <w:p w14:paraId="0C669060" w14:textId="7FA603D6" w:rsidR="00401A64" w:rsidRDefault="00401A64" w:rsidP="00401A64">
      <w:pPr>
        <w:widowControl w:val="0"/>
        <w:jc w:val="center"/>
        <w:rPr>
          <w:rFonts w:eastAsia="ElegantGaramondBT-Roman" w:cs="ElegantGaramondBT-Roman"/>
          <w:bCs/>
          <w:lang w:val="en-US"/>
        </w:rPr>
      </w:pPr>
      <w:r>
        <w:rPr>
          <w:rFonts w:eastAsia="ElegantGaramondBT-Roman" w:cs="ElegantGaramondBT-Roman"/>
          <w:bCs/>
          <w:noProof/>
          <w:lang w:val="en-US"/>
        </w:rPr>
        <w:lastRenderedPageBreak/>
        <w:drawing>
          <wp:inline distT="0" distB="0" distL="0" distR="0" wp14:anchorId="17833A02" wp14:editId="32B25CFC">
            <wp:extent cx="5399405" cy="422656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405" cy="4226560"/>
                    </a:xfrm>
                    <a:prstGeom prst="rect">
                      <a:avLst/>
                    </a:prstGeom>
                    <a:noFill/>
                  </pic:spPr>
                </pic:pic>
              </a:graphicData>
            </a:graphic>
          </wp:inline>
        </w:drawing>
      </w:r>
    </w:p>
    <w:p w14:paraId="55BD611B" w14:textId="77777777" w:rsidR="00401A64" w:rsidRDefault="00401A64" w:rsidP="00401A64">
      <w:pPr>
        <w:widowControl w:val="0"/>
        <w:jc w:val="center"/>
        <w:rPr>
          <w:bCs/>
          <w:sz w:val="20"/>
          <w:szCs w:val="20"/>
          <w:lang w:val="en-US"/>
        </w:rPr>
      </w:pPr>
      <w:r w:rsidRPr="00404304">
        <w:rPr>
          <w:i/>
          <w:sz w:val="22"/>
          <w:szCs w:val="20"/>
          <w:lang w:val="en-US"/>
        </w:rPr>
        <w:t xml:space="preserve">Source: </w:t>
      </w:r>
      <w:r w:rsidRPr="00404304">
        <w:rPr>
          <w:bCs/>
          <w:sz w:val="22"/>
          <w:szCs w:val="20"/>
          <w:lang w:val="en-US"/>
        </w:rPr>
        <w:t xml:space="preserve">Boll </w:t>
      </w:r>
      <w:r>
        <w:rPr>
          <w:bCs/>
          <w:sz w:val="20"/>
          <w:szCs w:val="20"/>
          <w:lang w:val="en-US"/>
        </w:rPr>
        <w:t>(2009)</w:t>
      </w:r>
      <w:r w:rsidRPr="00B2322F">
        <w:rPr>
          <w:bCs/>
          <w:sz w:val="20"/>
          <w:szCs w:val="20"/>
          <w:lang w:val="en-US"/>
        </w:rPr>
        <w:t>.</w:t>
      </w:r>
    </w:p>
    <w:p w14:paraId="5D43256B" w14:textId="77777777" w:rsidR="00401A64" w:rsidRPr="00DD1971" w:rsidRDefault="00401A64" w:rsidP="00401A64">
      <w:pPr>
        <w:widowControl w:val="0"/>
        <w:jc w:val="center"/>
        <w:rPr>
          <w:sz w:val="20"/>
          <w:szCs w:val="20"/>
          <w:lang w:val="en-US"/>
        </w:rPr>
      </w:pPr>
      <w:r w:rsidRPr="007E2104">
        <w:rPr>
          <w:bCs/>
          <w:i/>
          <w:sz w:val="20"/>
          <w:szCs w:val="20"/>
          <w:lang w:val="en-US"/>
        </w:rPr>
        <w:t>Note</w:t>
      </w:r>
      <w:r>
        <w:rPr>
          <w:bCs/>
          <w:i/>
          <w:sz w:val="20"/>
          <w:szCs w:val="20"/>
          <w:lang w:val="en-US"/>
        </w:rPr>
        <w:t xml:space="preserve">: </w:t>
      </w:r>
      <w:r>
        <w:rPr>
          <w:bCs/>
          <w:sz w:val="20"/>
          <w:szCs w:val="20"/>
          <w:lang w:val="en-US"/>
        </w:rPr>
        <w:t xml:space="preserve">Horizontal axis is the average of corruption index. </w:t>
      </w:r>
    </w:p>
    <w:p w14:paraId="73FF6730" w14:textId="77777777" w:rsidR="00401A64" w:rsidRPr="00660A86" w:rsidRDefault="00401A64" w:rsidP="00401A64">
      <w:pPr>
        <w:widowControl w:val="0"/>
        <w:jc w:val="both"/>
        <w:rPr>
          <w:bCs/>
          <w:lang w:val="en-US"/>
        </w:rPr>
      </w:pPr>
    </w:p>
    <w:p w14:paraId="28269D2B" w14:textId="77777777" w:rsidR="00401A64" w:rsidRPr="00636E34" w:rsidRDefault="00401A64" w:rsidP="00401A64">
      <w:pPr>
        <w:widowControl w:val="0"/>
        <w:jc w:val="both"/>
        <w:rPr>
          <w:rFonts w:ascii="Arial" w:hAnsi="Arial" w:cs="Arial"/>
          <w:b/>
          <w:bCs/>
          <w:lang w:val="en-US"/>
        </w:rPr>
      </w:pPr>
      <w:r w:rsidRPr="00636E34">
        <w:rPr>
          <w:rFonts w:ascii="Arial" w:hAnsi="Arial" w:cs="Arial"/>
          <w:b/>
          <w:bCs/>
          <w:lang w:val="en-US"/>
        </w:rPr>
        <w:t>3. Empirical evidence</w:t>
      </w:r>
    </w:p>
    <w:p w14:paraId="6C68307E" w14:textId="77777777" w:rsidR="00401A64" w:rsidRPr="00EE4F63" w:rsidRDefault="00401A64" w:rsidP="00401A64">
      <w:pPr>
        <w:widowControl w:val="0"/>
        <w:jc w:val="center"/>
        <w:rPr>
          <w:bCs/>
          <w:iCs/>
          <w:lang w:val="en-US"/>
        </w:rPr>
      </w:pPr>
    </w:p>
    <w:p w14:paraId="7419429D" w14:textId="77777777" w:rsidR="00401A64" w:rsidRPr="00EE4F63" w:rsidRDefault="00401A64" w:rsidP="00401A64">
      <w:pPr>
        <w:widowControl w:val="0"/>
        <w:ind w:firstLine="709"/>
        <w:jc w:val="both"/>
        <w:rPr>
          <w:lang w:val="en-US" w:eastAsia="pt-BR"/>
        </w:rPr>
      </w:pPr>
      <w:r w:rsidRPr="00EE4F63">
        <w:rPr>
          <w:bCs/>
          <w:lang w:val="en-US"/>
        </w:rPr>
        <w:t xml:space="preserve">Based on the variables presented in the previous section for each </w:t>
      </w:r>
      <w:r>
        <w:rPr>
          <w:bCs/>
          <w:lang w:val="en-US"/>
        </w:rPr>
        <w:t>s</w:t>
      </w:r>
      <w:r w:rsidRPr="00EE4F63">
        <w:rPr>
          <w:bCs/>
          <w:lang w:val="en-US"/>
        </w:rPr>
        <w:t xml:space="preserve">tate in Brazil in the period from 1999 to 2008 (annual frequency data - </w:t>
      </w:r>
      <w:r w:rsidRPr="00EE4F63">
        <w:rPr>
          <w:lang w:val="en-US" w:eastAsia="pt-BR"/>
        </w:rPr>
        <w:t>totaling 270 observations</w:t>
      </w:r>
      <w:r w:rsidRPr="00EE4F63">
        <w:rPr>
          <w:bCs/>
          <w:lang w:val="en-US"/>
        </w:rPr>
        <w:t>) this section present</w:t>
      </w:r>
      <w:r>
        <w:rPr>
          <w:bCs/>
          <w:lang w:val="en-US"/>
        </w:rPr>
        <w:t>s</w:t>
      </w:r>
      <w:r w:rsidRPr="00EE4F63">
        <w:rPr>
          <w:bCs/>
          <w:lang w:val="en-US"/>
        </w:rPr>
        <w:t xml:space="preserve"> empirical evidence through </w:t>
      </w:r>
      <w:r>
        <w:rPr>
          <w:bCs/>
          <w:lang w:val="en-US"/>
        </w:rPr>
        <w:t xml:space="preserve">system GMM </w:t>
      </w:r>
      <w:r w:rsidRPr="00EE4F63">
        <w:rPr>
          <w:lang w:val="en-US" w:eastAsia="pt-BR"/>
        </w:rPr>
        <w:t xml:space="preserve">panel data analysis </w:t>
      </w:r>
      <w:r w:rsidRPr="00EE4F63">
        <w:rPr>
          <w:bCs/>
          <w:lang w:val="en-US"/>
        </w:rPr>
        <w:t>(table 2 shows the descriptive statistics)</w:t>
      </w:r>
      <w:r w:rsidRPr="00EE4F63">
        <w:rPr>
          <w:lang w:val="en-US" w:eastAsia="pt-BR"/>
        </w:rPr>
        <w:t>. According to Arellano and Bond (1991), an advantage of using the dynamic panel data method (GMM) over others is that</w:t>
      </w:r>
      <w:r>
        <w:rPr>
          <w:lang w:val="en-US" w:eastAsia="pt-BR"/>
        </w:rPr>
        <w:t>,</w:t>
      </w:r>
      <w:r w:rsidRPr="00EE4F63">
        <w:rPr>
          <w:lang w:val="en-US" w:eastAsia="pt-BR"/>
        </w:rPr>
        <w:t xml:space="preserve"> besides eliminating the non-observed effects on the regressions, the estimates are reliable even in the case of omitted variables. In particular, the use of instrumental variables allows the estimation of parameters more consistently, even in the case of endogeneity in explanatory variables and in the presence of measurement errors (Bond, Hoeffler, and Temple, 2001).</w:t>
      </w:r>
    </w:p>
    <w:p w14:paraId="081D7028" w14:textId="77777777" w:rsidR="00401A64" w:rsidRDefault="00401A64" w:rsidP="00401A64">
      <w:pPr>
        <w:widowControl w:val="0"/>
        <w:ind w:firstLine="630"/>
        <w:jc w:val="both"/>
        <w:rPr>
          <w:lang w:val="en-US" w:eastAsia="pt-BR"/>
        </w:rPr>
      </w:pPr>
      <w:r w:rsidRPr="00EE4F63">
        <w:rPr>
          <w:lang w:val="en-US" w:eastAsia="pt-BR"/>
        </w:rPr>
        <w:t xml:space="preserve">Traditional econometric models hypothesize that the error term is not correlated with its estimators. In cases where the estimators are correlated with the error term there is an endogeneity problem and, as </w:t>
      </w:r>
      <w:r>
        <w:rPr>
          <w:lang w:val="en-US" w:eastAsia="pt-BR"/>
        </w:rPr>
        <w:t xml:space="preserve">a </w:t>
      </w:r>
      <w:r w:rsidRPr="00EE4F63">
        <w:rPr>
          <w:lang w:val="en-US" w:eastAsia="pt-BR"/>
        </w:rPr>
        <w:t>consequence, the result of regressions is inconsistent. Based on Wooldridge (2001) there are three hypotheses for the existence of endogenous variables: omitted variables, measurement error, and simultan</w:t>
      </w:r>
      <w:bookmarkStart w:id="0" w:name="_GoBack"/>
      <w:bookmarkEnd w:id="0"/>
      <w:r w:rsidRPr="00EE4F63">
        <w:rPr>
          <w:lang w:val="en-US" w:eastAsia="pt-BR"/>
        </w:rPr>
        <w:t xml:space="preserve">eity in regressions. The empirical model developed in this study is subject to those problems. For example, trade openness can reduce income inequality which, in turn, can induce an increase in importation and thus changes the trade openness. </w:t>
      </w:r>
    </w:p>
    <w:p w14:paraId="6C647064" w14:textId="77777777" w:rsidR="00401A64" w:rsidRDefault="00401A64" w:rsidP="00401A64">
      <w:pPr>
        <w:widowControl w:val="0"/>
        <w:jc w:val="center"/>
        <w:rPr>
          <w:b/>
        </w:rPr>
      </w:pPr>
      <w:r w:rsidRPr="00EE4F63">
        <w:rPr>
          <w:b/>
        </w:rPr>
        <w:t>Table 2</w:t>
      </w:r>
    </w:p>
    <w:p w14:paraId="64389F91" w14:textId="77777777" w:rsidR="00401A64" w:rsidRDefault="00401A64" w:rsidP="00401A64">
      <w:pPr>
        <w:widowControl w:val="0"/>
        <w:jc w:val="center"/>
        <w:rPr>
          <w:i/>
        </w:rPr>
      </w:pPr>
      <w:r w:rsidRPr="00EE4F63">
        <w:rPr>
          <w:i/>
        </w:rPr>
        <w:t>Descriptive Statistics</w:t>
      </w:r>
    </w:p>
    <w:tbl>
      <w:tblPr>
        <w:tblW w:w="8363" w:type="dxa"/>
        <w:tblInd w:w="108" w:type="dxa"/>
        <w:tblLook w:val="04A0" w:firstRow="1" w:lastRow="0" w:firstColumn="1" w:lastColumn="0" w:noHBand="0" w:noVBand="1"/>
      </w:tblPr>
      <w:tblGrid>
        <w:gridCol w:w="1134"/>
        <w:gridCol w:w="1445"/>
        <w:gridCol w:w="1446"/>
        <w:gridCol w:w="1446"/>
        <w:gridCol w:w="1446"/>
        <w:gridCol w:w="1446"/>
      </w:tblGrid>
      <w:tr w:rsidR="00401A64" w14:paraId="65A79FE9" w14:textId="77777777" w:rsidTr="00595B93">
        <w:tc>
          <w:tcPr>
            <w:tcW w:w="1134" w:type="dxa"/>
            <w:tcBorders>
              <w:top w:val="double" w:sz="4" w:space="0" w:color="auto"/>
              <w:bottom w:val="single" w:sz="4" w:space="0" w:color="auto"/>
            </w:tcBorders>
            <w:shd w:val="clear" w:color="auto" w:fill="auto"/>
          </w:tcPr>
          <w:p w14:paraId="6B4E6599" w14:textId="77777777" w:rsidR="00401A64" w:rsidRPr="002979CC" w:rsidRDefault="00401A64" w:rsidP="00595B93">
            <w:pPr>
              <w:widowControl w:val="0"/>
              <w:spacing w:before="60" w:after="60"/>
              <w:rPr>
                <w:i/>
                <w:sz w:val="20"/>
                <w:szCs w:val="20"/>
              </w:rPr>
            </w:pPr>
          </w:p>
        </w:tc>
        <w:tc>
          <w:tcPr>
            <w:tcW w:w="1445" w:type="dxa"/>
            <w:tcBorders>
              <w:top w:val="double" w:sz="4" w:space="0" w:color="auto"/>
              <w:bottom w:val="single" w:sz="4" w:space="0" w:color="auto"/>
            </w:tcBorders>
            <w:shd w:val="clear" w:color="auto" w:fill="auto"/>
          </w:tcPr>
          <w:p w14:paraId="399C9C50" w14:textId="77777777" w:rsidR="00401A64" w:rsidRPr="002979CC" w:rsidRDefault="00401A64" w:rsidP="00595B93">
            <w:pPr>
              <w:widowControl w:val="0"/>
              <w:spacing w:before="60" w:after="60"/>
              <w:jc w:val="center"/>
              <w:rPr>
                <w:i/>
                <w:sz w:val="20"/>
                <w:szCs w:val="20"/>
              </w:rPr>
            </w:pPr>
            <w:r w:rsidRPr="002979CC">
              <w:rPr>
                <w:i/>
                <w:sz w:val="20"/>
                <w:szCs w:val="20"/>
              </w:rPr>
              <w:t>Mean</w:t>
            </w:r>
          </w:p>
        </w:tc>
        <w:tc>
          <w:tcPr>
            <w:tcW w:w="1446" w:type="dxa"/>
            <w:tcBorders>
              <w:top w:val="double" w:sz="4" w:space="0" w:color="auto"/>
              <w:bottom w:val="single" w:sz="4" w:space="0" w:color="auto"/>
            </w:tcBorders>
            <w:shd w:val="clear" w:color="auto" w:fill="auto"/>
          </w:tcPr>
          <w:p w14:paraId="48257B1C" w14:textId="77777777" w:rsidR="00401A64" w:rsidRPr="002979CC" w:rsidRDefault="00401A64" w:rsidP="00595B93">
            <w:pPr>
              <w:widowControl w:val="0"/>
              <w:spacing w:before="60" w:after="60"/>
              <w:jc w:val="center"/>
              <w:rPr>
                <w:i/>
                <w:sz w:val="20"/>
                <w:szCs w:val="20"/>
              </w:rPr>
            </w:pPr>
            <w:r w:rsidRPr="002979CC">
              <w:rPr>
                <w:i/>
                <w:sz w:val="20"/>
                <w:szCs w:val="20"/>
              </w:rPr>
              <w:t>Median</w:t>
            </w:r>
          </w:p>
        </w:tc>
        <w:tc>
          <w:tcPr>
            <w:tcW w:w="1446" w:type="dxa"/>
            <w:tcBorders>
              <w:top w:val="double" w:sz="4" w:space="0" w:color="auto"/>
              <w:bottom w:val="single" w:sz="4" w:space="0" w:color="auto"/>
            </w:tcBorders>
            <w:shd w:val="clear" w:color="auto" w:fill="auto"/>
          </w:tcPr>
          <w:p w14:paraId="60F0B70A" w14:textId="77777777" w:rsidR="00401A64" w:rsidRPr="002979CC" w:rsidRDefault="00401A64" w:rsidP="00595B93">
            <w:pPr>
              <w:widowControl w:val="0"/>
              <w:spacing w:before="60" w:after="60"/>
              <w:jc w:val="center"/>
              <w:rPr>
                <w:i/>
                <w:sz w:val="20"/>
                <w:szCs w:val="20"/>
              </w:rPr>
            </w:pPr>
            <w:r w:rsidRPr="002979CC">
              <w:rPr>
                <w:i/>
                <w:sz w:val="20"/>
                <w:szCs w:val="20"/>
              </w:rPr>
              <w:t>Maximum</w:t>
            </w:r>
          </w:p>
        </w:tc>
        <w:tc>
          <w:tcPr>
            <w:tcW w:w="1446" w:type="dxa"/>
            <w:tcBorders>
              <w:top w:val="double" w:sz="4" w:space="0" w:color="auto"/>
              <w:bottom w:val="single" w:sz="4" w:space="0" w:color="auto"/>
            </w:tcBorders>
            <w:shd w:val="clear" w:color="auto" w:fill="auto"/>
          </w:tcPr>
          <w:p w14:paraId="0DAADA9F" w14:textId="77777777" w:rsidR="00401A64" w:rsidRPr="002979CC" w:rsidRDefault="00401A64" w:rsidP="00595B93">
            <w:pPr>
              <w:widowControl w:val="0"/>
              <w:spacing w:before="60" w:after="60"/>
              <w:jc w:val="center"/>
              <w:rPr>
                <w:i/>
                <w:sz w:val="20"/>
                <w:szCs w:val="20"/>
              </w:rPr>
            </w:pPr>
            <w:r w:rsidRPr="002979CC">
              <w:rPr>
                <w:i/>
                <w:sz w:val="20"/>
                <w:szCs w:val="20"/>
              </w:rPr>
              <w:t>Minimum</w:t>
            </w:r>
          </w:p>
        </w:tc>
        <w:tc>
          <w:tcPr>
            <w:tcW w:w="1446" w:type="dxa"/>
            <w:tcBorders>
              <w:top w:val="double" w:sz="4" w:space="0" w:color="auto"/>
              <w:bottom w:val="single" w:sz="4" w:space="0" w:color="auto"/>
            </w:tcBorders>
            <w:shd w:val="clear" w:color="auto" w:fill="auto"/>
          </w:tcPr>
          <w:p w14:paraId="6E91AD06" w14:textId="77777777" w:rsidR="00401A64" w:rsidRPr="002979CC" w:rsidRDefault="00401A64" w:rsidP="00595B93">
            <w:pPr>
              <w:widowControl w:val="0"/>
              <w:spacing w:before="60" w:after="60"/>
              <w:jc w:val="center"/>
              <w:rPr>
                <w:i/>
                <w:sz w:val="20"/>
                <w:szCs w:val="20"/>
              </w:rPr>
            </w:pPr>
            <w:r w:rsidRPr="002979CC">
              <w:rPr>
                <w:i/>
                <w:sz w:val="20"/>
                <w:szCs w:val="20"/>
              </w:rPr>
              <w:t>Std. deviation</w:t>
            </w:r>
          </w:p>
        </w:tc>
      </w:tr>
      <w:tr w:rsidR="00401A64" w14:paraId="2D1F2AE6" w14:textId="77777777" w:rsidTr="00595B93">
        <w:tc>
          <w:tcPr>
            <w:tcW w:w="1134" w:type="dxa"/>
            <w:tcBorders>
              <w:top w:val="single" w:sz="4" w:space="0" w:color="auto"/>
            </w:tcBorders>
            <w:shd w:val="clear" w:color="auto" w:fill="auto"/>
          </w:tcPr>
          <w:p w14:paraId="6AAE9AAA" w14:textId="77777777" w:rsidR="00401A64" w:rsidRPr="009E1D90" w:rsidRDefault="00401A64" w:rsidP="00595B93">
            <w:pPr>
              <w:widowControl w:val="0"/>
              <w:jc w:val="center"/>
              <w:rPr>
                <w:sz w:val="20"/>
                <w:szCs w:val="20"/>
              </w:rPr>
            </w:pPr>
            <w:r w:rsidRPr="009E1D90">
              <w:rPr>
                <w:sz w:val="20"/>
                <w:szCs w:val="20"/>
              </w:rPr>
              <w:t>Gini</w:t>
            </w:r>
          </w:p>
        </w:tc>
        <w:tc>
          <w:tcPr>
            <w:tcW w:w="1445" w:type="dxa"/>
            <w:tcBorders>
              <w:top w:val="single" w:sz="4" w:space="0" w:color="auto"/>
            </w:tcBorders>
            <w:shd w:val="clear" w:color="auto" w:fill="auto"/>
          </w:tcPr>
          <w:p w14:paraId="4770509C" w14:textId="77777777" w:rsidR="00401A64" w:rsidRPr="009E1D90" w:rsidRDefault="00401A64" w:rsidP="00595B93">
            <w:pPr>
              <w:widowControl w:val="0"/>
              <w:jc w:val="center"/>
              <w:rPr>
                <w:sz w:val="20"/>
                <w:szCs w:val="20"/>
              </w:rPr>
            </w:pPr>
            <w:r w:rsidRPr="009E1D90">
              <w:rPr>
                <w:sz w:val="20"/>
                <w:szCs w:val="20"/>
              </w:rPr>
              <w:t>0.5538</w:t>
            </w:r>
          </w:p>
        </w:tc>
        <w:tc>
          <w:tcPr>
            <w:tcW w:w="1446" w:type="dxa"/>
            <w:tcBorders>
              <w:top w:val="single" w:sz="4" w:space="0" w:color="auto"/>
            </w:tcBorders>
            <w:shd w:val="clear" w:color="auto" w:fill="auto"/>
          </w:tcPr>
          <w:p w14:paraId="3AD15D3E" w14:textId="77777777" w:rsidR="00401A64" w:rsidRPr="009E1D90" w:rsidRDefault="00401A64" w:rsidP="00595B93">
            <w:pPr>
              <w:widowControl w:val="0"/>
              <w:jc w:val="center"/>
              <w:rPr>
                <w:sz w:val="20"/>
                <w:szCs w:val="20"/>
              </w:rPr>
            </w:pPr>
            <w:r w:rsidRPr="009E1D90">
              <w:rPr>
                <w:sz w:val="20"/>
                <w:szCs w:val="20"/>
              </w:rPr>
              <w:t>0.5545</w:t>
            </w:r>
          </w:p>
        </w:tc>
        <w:tc>
          <w:tcPr>
            <w:tcW w:w="1446" w:type="dxa"/>
            <w:tcBorders>
              <w:top w:val="single" w:sz="4" w:space="0" w:color="auto"/>
            </w:tcBorders>
            <w:shd w:val="clear" w:color="auto" w:fill="auto"/>
          </w:tcPr>
          <w:p w14:paraId="0CF2F4EF" w14:textId="77777777" w:rsidR="00401A64" w:rsidRPr="009E1D90" w:rsidRDefault="00401A64" w:rsidP="00595B93">
            <w:pPr>
              <w:widowControl w:val="0"/>
              <w:jc w:val="center"/>
              <w:rPr>
                <w:sz w:val="20"/>
                <w:szCs w:val="20"/>
              </w:rPr>
            </w:pPr>
            <w:r w:rsidRPr="009E1D90">
              <w:rPr>
                <w:sz w:val="20"/>
                <w:szCs w:val="20"/>
              </w:rPr>
              <w:t>0.6545</w:t>
            </w:r>
          </w:p>
        </w:tc>
        <w:tc>
          <w:tcPr>
            <w:tcW w:w="1446" w:type="dxa"/>
            <w:tcBorders>
              <w:top w:val="single" w:sz="4" w:space="0" w:color="auto"/>
            </w:tcBorders>
            <w:shd w:val="clear" w:color="auto" w:fill="auto"/>
          </w:tcPr>
          <w:p w14:paraId="5FAB2D65" w14:textId="77777777" w:rsidR="00401A64" w:rsidRPr="009E1D90" w:rsidRDefault="00401A64" w:rsidP="00595B93">
            <w:pPr>
              <w:widowControl w:val="0"/>
              <w:jc w:val="center"/>
              <w:rPr>
                <w:sz w:val="20"/>
                <w:szCs w:val="20"/>
              </w:rPr>
            </w:pPr>
            <w:r w:rsidRPr="009E1D90">
              <w:rPr>
                <w:sz w:val="20"/>
                <w:szCs w:val="20"/>
              </w:rPr>
              <w:t>0.4486</w:t>
            </w:r>
          </w:p>
        </w:tc>
        <w:tc>
          <w:tcPr>
            <w:tcW w:w="1446" w:type="dxa"/>
            <w:tcBorders>
              <w:top w:val="single" w:sz="4" w:space="0" w:color="auto"/>
            </w:tcBorders>
            <w:shd w:val="clear" w:color="auto" w:fill="auto"/>
          </w:tcPr>
          <w:p w14:paraId="44F95ADA" w14:textId="77777777" w:rsidR="00401A64" w:rsidRPr="009E1D90" w:rsidRDefault="00401A64" w:rsidP="00595B93">
            <w:pPr>
              <w:widowControl w:val="0"/>
              <w:jc w:val="center"/>
              <w:rPr>
                <w:sz w:val="20"/>
                <w:szCs w:val="20"/>
              </w:rPr>
            </w:pPr>
            <w:r w:rsidRPr="009E1D90">
              <w:rPr>
                <w:sz w:val="20"/>
                <w:szCs w:val="20"/>
              </w:rPr>
              <w:t>0.0375</w:t>
            </w:r>
          </w:p>
        </w:tc>
      </w:tr>
      <w:tr w:rsidR="00401A64" w:rsidRPr="007D144F" w14:paraId="25100AAE" w14:textId="77777777" w:rsidTr="00595B93">
        <w:tc>
          <w:tcPr>
            <w:tcW w:w="1134" w:type="dxa"/>
            <w:shd w:val="clear" w:color="auto" w:fill="auto"/>
          </w:tcPr>
          <w:p w14:paraId="1FBD7AE5" w14:textId="77777777" w:rsidR="00401A64" w:rsidRPr="009E1D90" w:rsidRDefault="00401A64" w:rsidP="00595B93">
            <w:pPr>
              <w:widowControl w:val="0"/>
              <w:jc w:val="center"/>
              <w:rPr>
                <w:sz w:val="20"/>
                <w:szCs w:val="20"/>
              </w:rPr>
            </w:pPr>
            <w:r w:rsidRPr="009E1D90">
              <w:rPr>
                <w:sz w:val="20"/>
                <w:szCs w:val="20"/>
              </w:rPr>
              <w:lastRenderedPageBreak/>
              <w:t>Theil</w:t>
            </w:r>
          </w:p>
        </w:tc>
        <w:tc>
          <w:tcPr>
            <w:tcW w:w="1445" w:type="dxa"/>
            <w:shd w:val="clear" w:color="auto" w:fill="auto"/>
          </w:tcPr>
          <w:p w14:paraId="432065A7" w14:textId="77777777" w:rsidR="00401A64" w:rsidRPr="009E1D90" w:rsidRDefault="00401A64" w:rsidP="00595B93">
            <w:pPr>
              <w:widowControl w:val="0"/>
              <w:jc w:val="center"/>
              <w:rPr>
                <w:sz w:val="20"/>
                <w:szCs w:val="20"/>
                <w:lang w:val="en-US"/>
              </w:rPr>
            </w:pPr>
            <w:r w:rsidRPr="009E1D90">
              <w:rPr>
                <w:sz w:val="20"/>
                <w:szCs w:val="20"/>
                <w:lang w:val="en-US"/>
              </w:rPr>
              <w:t>0.1788</w:t>
            </w:r>
          </w:p>
        </w:tc>
        <w:tc>
          <w:tcPr>
            <w:tcW w:w="1446" w:type="dxa"/>
            <w:shd w:val="clear" w:color="auto" w:fill="auto"/>
          </w:tcPr>
          <w:p w14:paraId="4CE895ED" w14:textId="77777777" w:rsidR="00401A64" w:rsidRPr="009E1D90" w:rsidRDefault="00401A64" w:rsidP="00595B93">
            <w:pPr>
              <w:widowControl w:val="0"/>
              <w:jc w:val="center"/>
              <w:rPr>
                <w:sz w:val="20"/>
                <w:szCs w:val="20"/>
                <w:lang w:val="en-US"/>
              </w:rPr>
            </w:pPr>
            <w:r w:rsidRPr="009E1D90">
              <w:rPr>
                <w:sz w:val="20"/>
                <w:szCs w:val="20"/>
                <w:lang w:val="en-US"/>
              </w:rPr>
              <w:t>0.1739</w:t>
            </w:r>
          </w:p>
        </w:tc>
        <w:tc>
          <w:tcPr>
            <w:tcW w:w="1446" w:type="dxa"/>
            <w:shd w:val="clear" w:color="auto" w:fill="auto"/>
          </w:tcPr>
          <w:p w14:paraId="11CC9245" w14:textId="77777777" w:rsidR="00401A64" w:rsidRPr="009E1D90" w:rsidRDefault="00401A64" w:rsidP="00595B93">
            <w:pPr>
              <w:widowControl w:val="0"/>
              <w:jc w:val="center"/>
              <w:rPr>
                <w:sz w:val="20"/>
                <w:szCs w:val="20"/>
                <w:lang w:val="en-US"/>
              </w:rPr>
            </w:pPr>
            <w:r w:rsidRPr="009E1D90">
              <w:rPr>
                <w:sz w:val="20"/>
                <w:szCs w:val="20"/>
                <w:lang w:val="en-US"/>
              </w:rPr>
              <w:t>0.3266</w:t>
            </w:r>
          </w:p>
        </w:tc>
        <w:tc>
          <w:tcPr>
            <w:tcW w:w="1446" w:type="dxa"/>
            <w:shd w:val="clear" w:color="auto" w:fill="auto"/>
          </w:tcPr>
          <w:p w14:paraId="70142D7E" w14:textId="77777777" w:rsidR="00401A64" w:rsidRPr="009E1D90" w:rsidRDefault="00401A64" w:rsidP="00595B93">
            <w:pPr>
              <w:widowControl w:val="0"/>
              <w:jc w:val="center"/>
              <w:rPr>
                <w:sz w:val="20"/>
                <w:szCs w:val="20"/>
                <w:lang w:val="en-US"/>
              </w:rPr>
            </w:pPr>
            <w:r w:rsidRPr="009E1D90">
              <w:rPr>
                <w:sz w:val="20"/>
                <w:szCs w:val="20"/>
                <w:lang w:val="en-US"/>
              </w:rPr>
              <w:t>0.0954</w:t>
            </w:r>
          </w:p>
        </w:tc>
        <w:tc>
          <w:tcPr>
            <w:tcW w:w="1446" w:type="dxa"/>
            <w:shd w:val="clear" w:color="auto" w:fill="auto"/>
          </w:tcPr>
          <w:p w14:paraId="51221F1A" w14:textId="77777777" w:rsidR="00401A64" w:rsidRPr="009E1D90" w:rsidRDefault="00401A64" w:rsidP="00595B93">
            <w:pPr>
              <w:widowControl w:val="0"/>
              <w:jc w:val="center"/>
              <w:rPr>
                <w:sz w:val="20"/>
                <w:szCs w:val="20"/>
                <w:lang w:val="en-US"/>
              </w:rPr>
            </w:pPr>
            <w:r w:rsidRPr="009E1D90">
              <w:rPr>
                <w:sz w:val="20"/>
                <w:szCs w:val="20"/>
                <w:lang w:val="en-US"/>
              </w:rPr>
              <w:t>0.0412</w:t>
            </w:r>
          </w:p>
        </w:tc>
      </w:tr>
      <w:tr w:rsidR="00401A64" w:rsidRPr="007D144F" w14:paraId="07F44306" w14:textId="77777777" w:rsidTr="00595B93">
        <w:tc>
          <w:tcPr>
            <w:tcW w:w="1134" w:type="dxa"/>
            <w:shd w:val="clear" w:color="auto" w:fill="auto"/>
          </w:tcPr>
          <w:p w14:paraId="73766DB4" w14:textId="77777777" w:rsidR="00401A64" w:rsidRPr="009E1D90" w:rsidRDefault="00401A64" w:rsidP="00595B93">
            <w:pPr>
              <w:widowControl w:val="0"/>
              <w:jc w:val="center"/>
              <w:rPr>
                <w:sz w:val="20"/>
                <w:szCs w:val="20"/>
                <w:lang w:val="en-US"/>
              </w:rPr>
            </w:pPr>
            <w:r w:rsidRPr="009E1D90">
              <w:rPr>
                <w:sz w:val="20"/>
                <w:szCs w:val="20"/>
                <w:lang w:val="en-US"/>
              </w:rPr>
              <w:t>10%/40%</w:t>
            </w:r>
          </w:p>
        </w:tc>
        <w:tc>
          <w:tcPr>
            <w:tcW w:w="1445" w:type="dxa"/>
            <w:shd w:val="clear" w:color="auto" w:fill="auto"/>
          </w:tcPr>
          <w:p w14:paraId="215B90F2" w14:textId="77777777" w:rsidR="00401A64" w:rsidRPr="009E1D90" w:rsidRDefault="00401A64" w:rsidP="00595B93">
            <w:pPr>
              <w:widowControl w:val="0"/>
              <w:jc w:val="center"/>
              <w:rPr>
                <w:sz w:val="20"/>
                <w:szCs w:val="20"/>
                <w:lang w:val="en-US"/>
              </w:rPr>
            </w:pPr>
            <w:r w:rsidRPr="009E1D90">
              <w:rPr>
                <w:sz w:val="20"/>
                <w:szCs w:val="20"/>
                <w:lang w:val="en-US"/>
              </w:rPr>
              <w:t>0.6376</w:t>
            </w:r>
          </w:p>
        </w:tc>
        <w:tc>
          <w:tcPr>
            <w:tcW w:w="1446" w:type="dxa"/>
            <w:shd w:val="clear" w:color="auto" w:fill="auto"/>
          </w:tcPr>
          <w:p w14:paraId="50D465CF" w14:textId="77777777" w:rsidR="00401A64" w:rsidRPr="009E1D90" w:rsidRDefault="00401A64" w:rsidP="00595B93">
            <w:pPr>
              <w:widowControl w:val="0"/>
              <w:jc w:val="center"/>
              <w:rPr>
                <w:sz w:val="20"/>
                <w:szCs w:val="20"/>
                <w:lang w:val="en-US"/>
              </w:rPr>
            </w:pPr>
            <w:r w:rsidRPr="009E1D90">
              <w:rPr>
                <w:sz w:val="20"/>
                <w:szCs w:val="20"/>
                <w:lang w:val="en-US"/>
              </w:rPr>
              <w:t>0.6262</w:t>
            </w:r>
          </w:p>
        </w:tc>
        <w:tc>
          <w:tcPr>
            <w:tcW w:w="1446" w:type="dxa"/>
            <w:shd w:val="clear" w:color="auto" w:fill="auto"/>
          </w:tcPr>
          <w:p w14:paraId="7F52A47D" w14:textId="77777777" w:rsidR="00401A64" w:rsidRPr="009E1D90" w:rsidRDefault="00401A64" w:rsidP="00595B93">
            <w:pPr>
              <w:widowControl w:val="0"/>
              <w:jc w:val="center"/>
              <w:rPr>
                <w:sz w:val="20"/>
                <w:szCs w:val="20"/>
                <w:lang w:val="en-US"/>
              </w:rPr>
            </w:pPr>
            <w:r w:rsidRPr="009E1D90">
              <w:rPr>
                <w:sz w:val="20"/>
                <w:szCs w:val="20"/>
                <w:lang w:val="en-US"/>
              </w:rPr>
              <w:t>1.0369</w:t>
            </w:r>
          </w:p>
        </w:tc>
        <w:tc>
          <w:tcPr>
            <w:tcW w:w="1446" w:type="dxa"/>
            <w:shd w:val="clear" w:color="auto" w:fill="auto"/>
          </w:tcPr>
          <w:p w14:paraId="207D5E00" w14:textId="77777777" w:rsidR="00401A64" w:rsidRPr="009E1D90" w:rsidRDefault="00401A64" w:rsidP="00595B93">
            <w:pPr>
              <w:widowControl w:val="0"/>
              <w:jc w:val="center"/>
              <w:rPr>
                <w:sz w:val="20"/>
                <w:szCs w:val="20"/>
                <w:lang w:val="en-US"/>
              </w:rPr>
            </w:pPr>
            <w:r w:rsidRPr="009E1D90">
              <w:rPr>
                <w:sz w:val="20"/>
                <w:szCs w:val="20"/>
                <w:lang w:val="en-US"/>
              </w:rPr>
              <w:t>0.3875</w:t>
            </w:r>
          </w:p>
        </w:tc>
        <w:tc>
          <w:tcPr>
            <w:tcW w:w="1446" w:type="dxa"/>
            <w:shd w:val="clear" w:color="auto" w:fill="auto"/>
          </w:tcPr>
          <w:p w14:paraId="048BF2F5" w14:textId="77777777" w:rsidR="00401A64" w:rsidRPr="009E1D90" w:rsidRDefault="00401A64" w:rsidP="00595B93">
            <w:pPr>
              <w:widowControl w:val="0"/>
              <w:jc w:val="center"/>
              <w:rPr>
                <w:sz w:val="20"/>
                <w:szCs w:val="20"/>
                <w:lang w:val="en-US"/>
              </w:rPr>
            </w:pPr>
            <w:r w:rsidRPr="009E1D90">
              <w:rPr>
                <w:sz w:val="20"/>
                <w:szCs w:val="20"/>
                <w:lang w:val="en-US"/>
              </w:rPr>
              <w:t>0.1106</w:t>
            </w:r>
          </w:p>
        </w:tc>
      </w:tr>
      <w:tr w:rsidR="00401A64" w:rsidRPr="007D144F" w14:paraId="0648AD6B" w14:textId="77777777" w:rsidTr="00595B93">
        <w:tc>
          <w:tcPr>
            <w:tcW w:w="1134" w:type="dxa"/>
            <w:shd w:val="clear" w:color="auto" w:fill="auto"/>
          </w:tcPr>
          <w:p w14:paraId="40BC027D" w14:textId="77777777" w:rsidR="00401A64" w:rsidRPr="009E1D90" w:rsidRDefault="00401A64" w:rsidP="00595B93">
            <w:pPr>
              <w:widowControl w:val="0"/>
              <w:jc w:val="center"/>
              <w:rPr>
                <w:sz w:val="20"/>
                <w:szCs w:val="20"/>
                <w:lang w:val="en-US"/>
              </w:rPr>
            </w:pPr>
            <w:r w:rsidRPr="009E1D90">
              <w:rPr>
                <w:sz w:val="20"/>
                <w:szCs w:val="20"/>
                <w:lang w:val="en-US"/>
              </w:rPr>
              <w:t>OPEN</w:t>
            </w:r>
          </w:p>
        </w:tc>
        <w:tc>
          <w:tcPr>
            <w:tcW w:w="1445" w:type="dxa"/>
            <w:shd w:val="clear" w:color="auto" w:fill="auto"/>
          </w:tcPr>
          <w:p w14:paraId="07B84FED" w14:textId="77777777" w:rsidR="00401A64" w:rsidRPr="009E1D90" w:rsidRDefault="00401A64" w:rsidP="00595B93">
            <w:pPr>
              <w:widowControl w:val="0"/>
              <w:jc w:val="center"/>
              <w:rPr>
                <w:sz w:val="20"/>
                <w:szCs w:val="20"/>
                <w:lang w:val="en-US"/>
              </w:rPr>
            </w:pPr>
            <w:r w:rsidRPr="009E1D90">
              <w:rPr>
                <w:sz w:val="20"/>
                <w:szCs w:val="20"/>
                <w:lang w:val="en-US"/>
              </w:rPr>
              <w:t>0.1707</w:t>
            </w:r>
          </w:p>
        </w:tc>
        <w:tc>
          <w:tcPr>
            <w:tcW w:w="1446" w:type="dxa"/>
            <w:shd w:val="clear" w:color="auto" w:fill="auto"/>
          </w:tcPr>
          <w:p w14:paraId="44DEFAC2" w14:textId="77777777" w:rsidR="00401A64" w:rsidRPr="009E1D90" w:rsidRDefault="00401A64" w:rsidP="00595B93">
            <w:pPr>
              <w:widowControl w:val="0"/>
              <w:jc w:val="center"/>
              <w:rPr>
                <w:sz w:val="20"/>
                <w:szCs w:val="20"/>
                <w:lang w:val="en-US"/>
              </w:rPr>
            </w:pPr>
            <w:r w:rsidRPr="009E1D90">
              <w:rPr>
                <w:sz w:val="20"/>
                <w:szCs w:val="20"/>
                <w:lang w:val="en-US"/>
              </w:rPr>
              <w:t>0.1270</w:t>
            </w:r>
          </w:p>
        </w:tc>
        <w:tc>
          <w:tcPr>
            <w:tcW w:w="1446" w:type="dxa"/>
            <w:shd w:val="clear" w:color="auto" w:fill="auto"/>
          </w:tcPr>
          <w:p w14:paraId="3946BF24" w14:textId="77777777" w:rsidR="00401A64" w:rsidRPr="009E1D90" w:rsidRDefault="00401A64" w:rsidP="00595B93">
            <w:pPr>
              <w:widowControl w:val="0"/>
              <w:jc w:val="center"/>
              <w:rPr>
                <w:sz w:val="20"/>
                <w:szCs w:val="20"/>
                <w:lang w:val="en-US"/>
              </w:rPr>
            </w:pPr>
            <w:r w:rsidRPr="009E1D90">
              <w:rPr>
                <w:sz w:val="20"/>
                <w:szCs w:val="20"/>
                <w:lang w:val="en-US"/>
              </w:rPr>
              <w:t>0.6051</w:t>
            </w:r>
          </w:p>
        </w:tc>
        <w:tc>
          <w:tcPr>
            <w:tcW w:w="1446" w:type="dxa"/>
            <w:shd w:val="clear" w:color="auto" w:fill="auto"/>
          </w:tcPr>
          <w:p w14:paraId="6A1F99AC" w14:textId="77777777" w:rsidR="00401A64" w:rsidRPr="009E1D90" w:rsidRDefault="00401A64" w:rsidP="00595B93">
            <w:pPr>
              <w:widowControl w:val="0"/>
              <w:jc w:val="center"/>
              <w:rPr>
                <w:sz w:val="20"/>
                <w:szCs w:val="20"/>
                <w:lang w:val="en-US"/>
              </w:rPr>
            </w:pPr>
            <w:r w:rsidRPr="009E1D90">
              <w:rPr>
                <w:sz w:val="20"/>
                <w:szCs w:val="20"/>
                <w:lang w:val="en-US"/>
              </w:rPr>
              <w:t>0.0023</w:t>
            </w:r>
          </w:p>
        </w:tc>
        <w:tc>
          <w:tcPr>
            <w:tcW w:w="1446" w:type="dxa"/>
            <w:shd w:val="clear" w:color="auto" w:fill="auto"/>
          </w:tcPr>
          <w:p w14:paraId="59575444" w14:textId="77777777" w:rsidR="00401A64" w:rsidRPr="009E1D90" w:rsidRDefault="00401A64" w:rsidP="00595B93">
            <w:pPr>
              <w:widowControl w:val="0"/>
              <w:jc w:val="center"/>
              <w:rPr>
                <w:sz w:val="20"/>
                <w:szCs w:val="20"/>
                <w:lang w:val="en-US"/>
              </w:rPr>
            </w:pPr>
            <w:r w:rsidRPr="009E1D90">
              <w:rPr>
                <w:sz w:val="20"/>
                <w:szCs w:val="20"/>
                <w:lang w:val="en-US"/>
              </w:rPr>
              <w:t>0.1446</w:t>
            </w:r>
          </w:p>
        </w:tc>
      </w:tr>
      <w:tr w:rsidR="00401A64" w:rsidRPr="007D144F" w14:paraId="05E17A05" w14:textId="77777777" w:rsidTr="00595B93">
        <w:tc>
          <w:tcPr>
            <w:tcW w:w="1134" w:type="dxa"/>
            <w:shd w:val="clear" w:color="auto" w:fill="auto"/>
          </w:tcPr>
          <w:p w14:paraId="2D3186E3" w14:textId="77777777" w:rsidR="00401A64" w:rsidRPr="009E1D90" w:rsidRDefault="00401A64" w:rsidP="00595B93">
            <w:pPr>
              <w:widowControl w:val="0"/>
              <w:jc w:val="center"/>
              <w:rPr>
                <w:sz w:val="20"/>
                <w:szCs w:val="20"/>
                <w:lang w:val="en-US"/>
              </w:rPr>
            </w:pPr>
            <w:r w:rsidRPr="009E1D90">
              <w:rPr>
                <w:sz w:val="20"/>
                <w:szCs w:val="20"/>
                <w:lang w:val="en-US"/>
              </w:rPr>
              <w:t>PAT</w:t>
            </w:r>
          </w:p>
        </w:tc>
        <w:tc>
          <w:tcPr>
            <w:tcW w:w="1445" w:type="dxa"/>
            <w:shd w:val="clear" w:color="auto" w:fill="auto"/>
          </w:tcPr>
          <w:p w14:paraId="601081F6" w14:textId="77777777" w:rsidR="00401A64" w:rsidRPr="009E1D90" w:rsidRDefault="00401A64" w:rsidP="00595B93">
            <w:pPr>
              <w:widowControl w:val="0"/>
              <w:jc w:val="center"/>
              <w:rPr>
                <w:sz w:val="20"/>
                <w:szCs w:val="20"/>
                <w:lang w:val="en-US"/>
              </w:rPr>
            </w:pPr>
            <w:r w:rsidRPr="009E1D90">
              <w:rPr>
                <w:sz w:val="20"/>
                <w:szCs w:val="20"/>
                <w:lang w:val="en-US"/>
              </w:rPr>
              <w:t>0.0370</w:t>
            </w:r>
          </w:p>
        </w:tc>
        <w:tc>
          <w:tcPr>
            <w:tcW w:w="1446" w:type="dxa"/>
            <w:shd w:val="clear" w:color="auto" w:fill="auto"/>
          </w:tcPr>
          <w:p w14:paraId="7456AFDA" w14:textId="77777777" w:rsidR="00401A64" w:rsidRPr="009E1D90" w:rsidRDefault="00401A64" w:rsidP="00595B93">
            <w:pPr>
              <w:widowControl w:val="0"/>
              <w:jc w:val="center"/>
              <w:rPr>
                <w:sz w:val="20"/>
                <w:szCs w:val="20"/>
                <w:lang w:val="en-US"/>
              </w:rPr>
            </w:pPr>
            <w:r w:rsidRPr="009E1D90">
              <w:rPr>
                <w:sz w:val="20"/>
                <w:szCs w:val="20"/>
                <w:lang w:val="en-US"/>
              </w:rPr>
              <w:t>0.0043</w:t>
            </w:r>
          </w:p>
        </w:tc>
        <w:tc>
          <w:tcPr>
            <w:tcW w:w="1446" w:type="dxa"/>
            <w:shd w:val="clear" w:color="auto" w:fill="auto"/>
          </w:tcPr>
          <w:p w14:paraId="3CA53734" w14:textId="77777777" w:rsidR="00401A64" w:rsidRPr="009E1D90" w:rsidRDefault="00401A64" w:rsidP="00595B93">
            <w:pPr>
              <w:widowControl w:val="0"/>
              <w:jc w:val="center"/>
              <w:rPr>
                <w:sz w:val="20"/>
                <w:szCs w:val="20"/>
                <w:lang w:val="en-US"/>
              </w:rPr>
            </w:pPr>
            <w:r w:rsidRPr="009E1D90">
              <w:rPr>
                <w:sz w:val="20"/>
                <w:szCs w:val="20"/>
                <w:lang w:val="en-US"/>
              </w:rPr>
              <w:t>0.6000</w:t>
            </w:r>
          </w:p>
        </w:tc>
        <w:tc>
          <w:tcPr>
            <w:tcW w:w="1446" w:type="dxa"/>
            <w:shd w:val="clear" w:color="auto" w:fill="auto"/>
          </w:tcPr>
          <w:p w14:paraId="2943AD38" w14:textId="77777777" w:rsidR="00401A64" w:rsidRPr="009E1D90" w:rsidRDefault="00401A64" w:rsidP="00595B93">
            <w:pPr>
              <w:widowControl w:val="0"/>
              <w:jc w:val="center"/>
              <w:rPr>
                <w:sz w:val="20"/>
                <w:szCs w:val="20"/>
                <w:lang w:val="en-US"/>
              </w:rPr>
            </w:pPr>
            <w:r w:rsidRPr="009E1D90">
              <w:rPr>
                <w:sz w:val="20"/>
                <w:szCs w:val="20"/>
                <w:lang w:val="en-US"/>
              </w:rPr>
              <w:t>0.0000</w:t>
            </w:r>
          </w:p>
        </w:tc>
        <w:tc>
          <w:tcPr>
            <w:tcW w:w="1446" w:type="dxa"/>
            <w:shd w:val="clear" w:color="auto" w:fill="auto"/>
          </w:tcPr>
          <w:p w14:paraId="24590354" w14:textId="77777777" w:rsidR="00401A64" w:rsidRPr="009E1D90" w:rsidRDefault="00401A64" w:rsidP="00595B93">
            <w:pPr>
              <w:widowControl w:val="0"/>
              <w:jc w:val="center"/>
              <w:rPr>
                <w:sz w:val="20"/>
                <w:szCs w:val="20"/>
                <w:lang w:val="en-US"/>
              </w:rPr>
            </w:pPr>
            <w:r w:rsidRPr="009E1D90">
              <w:rPr>
                <w:sz w:val="20"/>
                <w:szCs w:val="20"/>
                <w:lang w:val="en-US"/>
              </w:rPr>
              <w:t>0.0940</w:t>
            </w:r>
          </w:p>
        </w:tc>
      </w:tr>
      <w:tr w:rsidR="00401A64" w:rsidRPr="007D144F" w14:paraId="7DCF208E" w14:textId="77777777" w:rsidTr="00595B93">
        <w:tc>
          <w:tcPr>
            <w:tcW w:w="1134" w:type="dxa"/>
            <w:shd w:val="clear" w:color="auto" w:fill="auto"/>
          </w:tcPr>
          <w:p w14:paraId="3612D6C0" w14:textId="77777777" w:rsidR="00401A64" w:rsidRPr="009E1D90" w:rsidRDefault="00401A64" w:rsidP="00595B93">
            <w:pPr>
              <w:widowControl w:val="0"/>
              <w:jc w:val="center"/>
              <w:rPr>
                <w:sz w:val="20"/>
                <w:szCs w:val="20"/>
                <w:lang w:val="en-US"/>
              </w:rPr>
            </w:pPr>
            <w:r w:rsidRPr="009E1D90">
              <w:rPr>
                <w:sz w:val="20"/>
                <w:szCs w:val="20"/>
                <w:lang w:val="en-US"/>
              </w:rPr>
              <w:t>FD</w:t>
            </w:r>
          </w:p>
        </w:tc>
        <w:tc>
          <w:tcPr>
            <w:tcW w:w="1445" w:type="dxa"/>
            <w:shd w:val="clear" w:color="auto" w:fill="auto"/>
          </w:tcPr>
          <w:p w14:paraId="0BC561CA" w14:textId="77777777" w:rsidR="00401A64" w:rsidRPr="009E1D90" w:rsidRDefault="00401A64" w:rsidP="00595B93">
            <w:pPr>
              <w:widowControl w:val="0"/>
              <w:jc w:val="center"/>
              <w:rPr>
                <w:sz w:val="20"/>
                <w:szCs w:val="20"/>
                <w:lang w:val="en-US"/>
              </w:rPr>
            </w:pPr>
            <w:r w:rsidRPr="009E1D90">
              <w:rPr>
                <w:sz w:val="20"/>
                <w:szCs w:val="20"/>
                <w:lang w:val="en-US"/>
              </w:rPr>
              <w:t>0.0751</w:t>
            </w:r>
          </w:p>
        </w:tc>
        <w:tc>
          <w:tcPr>
            <w:tcW w:w="1446" w:type="dxa"/>
            <w:shd w:val="clear" w:color="auto" w:fill="auto"/>
          </w:tcPr>
          <w:p w14:paraId="2E453449" w14:textId="77777777" w:rsidR="00401A64" w:rsidRPr="009E1D90" w:rsidRDefault="00401A64" w:rsidP="00595B93">
            <w:pPr>
              <w:widowControl w:val="0"/>
              <w:jc w:val="center"/>
              <w:rPr>
                <w:sz w:val="20"/>
                <w:szCs w:val="20"/>
                <w:lang w:val="en-US"/>
              </w:rPr>
            </w:pPr>
            <w:r w:rsidRPr="009E1D90">
              <w:rPr>
                <w:sz w:val="20"/>
                <w:szCs w:val="20"/>
                <w:lang w:val="en-US"/>
              </w:rPr>
              <w:t>0.0795</w:t>
            </w:r>
          </w:p>
        </w:tc>
        <w:tc>
          <w:tcPr>
            <w:tcW w:w="1446" w:type="dxa"/>
            <w:shd w:val="clear" w:color="auto" w:fill="auto"/>
          </w:tcPr>
          <w:p w14:paraId="2FF3AD50" w14:textId="77777777" w:rsidR="00401A64" w:rsidRPr="009E1D90" w:rsidRDefault="00401A64" w:rsidP="00595B93">
            <w:pPr>
              <w:widowControl w:val="0"/>
              <w:jc w:val="center"/>
              <w:rPr>
                <w:sz w:val="20"/>
                <w:szCs w:val="20"/>
                <w:lang w:val="en-US"/>
              </w:rPr>
            </w:pPr>
            <w:r w:rsidRPr="009E1D90">
              <w:rPr>
                <w:sz w:val="20"/>
                <w:szCs w:val="20"/>
                <w:lang w:val="en-US"/>
              </w:rPr>
              <w:t>0.1419</w:t>
            </w:r>
          </w:p>
        </w:tc>
        <w:tc>
          <w:tcPr>
            <w:tcW w:w="1446" w:type="dxa"/>
            <w:shd w:val="clear" w:color="auto" w:fill="auto"/>
          </w:tcPr>
          <w:p w14:paraId="324C92E8" w14:textId="77777777" w:rsidR="00401A64" w:rsidRPr="009E1D90" w:rsidRDefault="00401A64" w:rsidP="00595B93">
            <w:pPr>
              <w:widowControl w:val="0"/>
              <w:jc w:val="center"/>
              <w:rPr>
                <w:sz w:val="20"/>
                <w:szCs w:val="20"/>
                <w:lang w:val="en-US"/>
              </w:rPr>
            </w:pPr>
            <w:r w:rsidRPr="009E1D90">
              <w:rPr>
                <w:sz w:val="20"/>
                <w:szCs w:val="20"/>
                <w:lang w:val="en-US"/>
              </w:rPr>
              <w:t>0.0282</w:t>
            </w:r>
          </w:p>
        </w:tc>
        <w:tc>
          <w:tcPr>
            <w:tcW w:w="1446" w:type="dxa"/>
            <w:shd w:val="clear" w:color="auto" w:fill="auto"/>
          </w:tcPr>
          <w:p w14:paraId="3EAC94A4" w14:textId="77777777" w:rsidR="00401A64" w:rsidRPr="009E1D90" w:rsidRDefault="00401A64" w:rsidP="00595B93">
            <w:pPr>
              <w:widowControl w:val="0"/>
              <w:jc w:val="center"/>
              <w:rPr>
                <w:sz w:val="20"/>
                <w:szCs w:val="20"/>
                <w:lang w:val="en-US"/>
              </w:rPr>
            </w:pPr>
            <w:r w:rsidRPr="009E1D90">
              <w:rPr>
                <w:sz w:val="20"/>
                <w:szCs w:val="20"/>
                <w:lang w:val="en-US"/>
              </w:rPr>
              <w:t>0.0264</w:t>
            </w:r>
          </w:p>
        </w:tc>
      </w:tr>
      <w:tr w:rsidR="00401A64" w:rsidRPr="007D144F" w14:paraId="47C0FFB0" w14:textId="77777777" w:rsidTr="00595B93">
        <w:tc>
          <w:tcPr>
            <w:tcW w:w="1134" w:type="dxa"/>
            <w:shd w:val="clear" w:color="auto" w:fill="auto"/>
          </w:tcPr>
          <w:p w14:paraId="0E20E4A5" w14:textId="77777777" w:rsidR="00401A64" w:rsidRPr="009E1D90" w:rsidRDefault="00401A64" w:rsidP="00595B93">
            <w:pPr>
              <w:widowControl w:val="0"/>
              <w:jc w:val="center"/>
              <w:rPr>
                <w:sz w:val="20"/>
                <w:szCs w:val="20"/>
                <w:lang w:val="en-US"/>
              </w:rPr>
            </w:pPr>
            <w:r w:rsidRPr="009E1D90">
              <w:rPr>
                <w:sz w:val="20"/>
                <w:szCs w:val="20"/>
                <w:lang w:val="en-US"/>
              </w:rPr>
              <w:t>MW</w:t>
            </w:r>
          </w:p>
        </w:tc>
        <w:tc>
          <w:tcPr>
            <w:tcW w:w="1445" w:type="dxa"/>
            <w:shd w:val="clear" w:color="auto" w:fill="auto"/>
          </w:tcPr>
          <w:p w14:paraId="1EF04790" w14:textId="77777777" w:rsidR="00401A64" w:rsidRPr="009E1D90" w:rsidRDefault="00401A64" w:rsidP="00595B93">
            <w:pPr>
              <w:widowControl w:val="0"/>
              <w:jc w:val="center"/>
              <w:rPr>
                <w:sz w:val="20"/>
                <w:szCs w:val="20"/>
                <w:lang w:val="en-US"/>
              </w:rPr>
            </w:pPr>
            <w:r w:rsidRPr="009E1D90">
              <w:rPr>
                <w:sz w:val="20"/>
                <w:szCs w:val="20"/>
                <w:lang w:val="en-US"/>
              </w:rPr>
              <w:t>0.0493</w:t>
            </w:r>
          </w:p>
        </w:tc>
        <w:tc>
          <w:tcPr>
            <w:tcW w:w="1446" w:type="dxa"/>
            <w:shd w:val="clear" w:color="auto" w:fill="auto"/>
          </w:tcPr>
          <w:p w14:paraId="02F62CF1" w14:textId="77777777" w:rsidR="00401A64" w:rsidRPr="009E1D90" w:rsidRDefault="00401A64" w:rsidP="00595B93">
            <w:pPr>
              <w:widowControl w:val="0"/>
              <w:jc w:val="center"/>
              <w:rPr>
                <w:sz w:val="20"/>
                <w:szCs w:val="20"/>
                <w:lang w:val="en-US"/>
              </w:rPr>
            </w:pPr>
            <w:r w:rsidRPr="009E1D90">
              <w:rPr>
                <w:sz w:val="20"/>
                <w:szCs w:val="20"/>
                <w:lang w:val="en-US"/>
              </w:rPr>
              <w:t>0.0535</w:t>
            </w:r>
          </w:p>
        </w:tc>
        <w:tc>
          <w:tcPr>
            <w:tcW w:w="1446" w:type="dxa"/>
            <w:shd w:val="clear" w:color="auto" w:fill="auto"/>
          </w:tcPr>
          <w:p w14:paraId="3926D3EC" w14:textId="77777777" w:rsidR="00401A64" w:rsidRPr="009E1D90" w:rsidRDefault="00401A64" w:rsidP="00595B93">
            <w:pPr>
              <w:widowControl w:val="0"/>
              <w:jc w:val="center"/>
              <w:rPr>
                <w:sz w:val="20"/>
                <w:szCs w:val="20"/>
                <w:lang w:val="en-US"/>
              </w:rPr>
            </w:pPr>
            <w:r w:rsidRPr="009E1D90">
              <w:rPr>
                <w:sz w:val="20"/>
                <w:szCs w:val="20"/>
                <w:lang w:val="en-US"/>
              </w:rPr>
              <w:t>0.2511</w:t>
            </w:r>
          </w:p>
        </w:tc>
        <w:tc>
          <w:tcPr>
            <w:tcW w:w="1446" w:type="dxa"/>
            <w:shd w:val="clear" w:color="auto" w:fill="auto"/>
          </w:tcPr>
          <w:p w14:paraId="219CCB52" w14:textId="77777777" w:rsidR="00401A64" w:rsidRPr="009E1D90" w:rsidRDefault="00401A64" w:rsidP="00595B93">
            <w:pPr>
              <w:widowControl w:val="0"/>
              <w:jc w:val="center"/>
              <w:rPr>
                <w:sz w:val="20"/>
                <w:szCs w:val="20"/>
                <w:lang w:val="en-US"/>
              </w:rPr>
            </w:pPr>
            <w:r w:rsidRPr="009E1D90">
              <w:rPr>
                <w:sz w:val="20"/>
                <w:szCs w:val="20"/>
                <w:lang w:val="en-US"/>
              </w:rPr>
              <w:t>-0.1411</w:t>
            </w:r>
          </w:p>
        </w:tc>
        <w:tc>
          <w:tcPr>
            <w:tcW w:w="1446" w:type="dxa"/>
            <w:shd w:val="clear" w:color="auto" w:fill="auto"/>
          </w:tcPr>
          <w:p w14:paraId="1730D751" w14:textId="77777777" w:rsidR="00401A64" w:rsidRPr="009E1D90" w:rsidRDefault="00401A64" w:rsidP="00595B93">
            <w:pPr>
              <w:widowControl w:val="0"/>
              <w:jc w:val="center"/>
              <w:rPr>
                <w:sz w:val="20"/>
                <w:szCs w:val="20"/>
                <w:lang w:val="en-US"/>
              </w:rPr>
            </w:pPr>
            <w:r w:rsidRPr="009E1D90">
              <w:rPr>
                <w:sz w:val="20"/>
                <w:szCs w:val="20"/>
                <w:lang w:val="en-US"/>
              </w:rPr>
              <w:t>0.0543</w:t>
            </w:r>
          </w:p>
        </w:tc>
      </w:tr>
      <w:tr w:rsidR="00401A64" w:rsidRPr="007D144F" w14:paraId="2D3457F3" w14:textId="77777777" w:rsidTr="00595B93">
        <w:tc>
          <w:tcPr>
            <w:tcW w:w="1134" w:type="dxa"/>
            <w:shd w:val="clear" w:color="auto" w:fill="auto"/>
          </w:tcPr>
          <w:p w14:paraId="521DE4CB" w14:textId="77777777" w:rsidR="00401A64" w:rsidRPr="009E1D90" w:rsidRDefault="00401A64" w:rsidP="00595B93">
            <w:pPr>
              <w:widowControl w:val="0"/>
              <w:jc w:val="center"/>
              <w:rPr>
                <w:sz w:val="20"/>
                <w:szCs w:val="20"/>
                <w:lang w:val="en-US"/>
              </w:rPr>
            </w:pPr>
            <w:r w:rsidRPr="009E1D90">
              <w:rPr>
                <w:sz w:val="20"/>
                <w:szCs w:val="20"/>
                <w:lang w:val="en-US"/>
              </w:rPr>
              <w:t>UNE</w:t>
            </w:r>
          </w:p>
        </w:tc>
        <w:tc>
          <w:tcPr>
            <w:tcW w:w="1445" w:type="dxa"/>
            <w:shd w:val="clear" w:color="auto" w:fill="auto"/>
          </w:tcPr>
          <w:p w14:paraId="5FDF2220" w14:textId="77777777" w:rsidR="00401A64" w:rsidRPr="009E1D90" w:rsidRDefault="00401A64" w:rsidP="00595B93">
            <w:pPr>
              <w:widowControl w:val="0"/>
              <w:jc w:val="center"/>
              <w:rPr>
                <w:sz w:val="20"/>
                <w:szCs w:val="20"/>
                <w:lang w:val="en-US"/>
              </w:rPr>
            </w:pPr>
            <w:r w:rsidRPr="009E1D90">
              <w:rPr>
                <w:sz w:val="20"/>
                <w:szCs w:val="20"/>
                <w:lang w:val="en-US"/>
              </w:rPr>
              <w:t>0.0419</w:t>
            </w:r>
          </w:p>
        </w:tc>
        <w:tc>
          <w:tcPr>
            <w:tcW w:w="1446" w:type="dxa"/>
            <w:shd w:val="clear" w:color="auto" w:fill="auto"/>
          </w:tcPr>
          <w:p w14:paraId="0E2D126D" w14:textId="77777777" w:rsidR="00401A64" w:rsidRPr="009E1D90" w:rsidRDefault="00401A64" w:rsidP="00595B93">
            <w:pPr>
              <w:widowControl w:val="0"/>
              <w:jc w:val="center"/>
              <w:rPr>
                <w:sz w:val="20"/>
                <w:szCs w:val="20"/>
                <w:lang w:val="en-US"/>
              </w:rPr>
            </w:pPr>
            <w:r w:rsidRPr="009E1D90">
              <w:rPr>
                <w:sz w:val="20"/>
                <w:szCs w:val="20"/>
                <w:lang w:val="en-US"/>
              </w:rPr>
              <w:t>0.0406</w:t>
            </w:r>
          </w:p>
        </w:tc>
        <w:tc>
          <w:tcPr>
            <w:tcW w:w="1446" w:type="dxa"/>
            <w:shd w:val="clear" w:color="auto" w:fill="auto"/>
          </w:tcPr>
          <w:p w14:paraId="7228892E" w14:textId="77777777" w:rsidR="00401A64" w:rsidRPr="009E1D90" w:rsidRDefault="00401A64" w:rsidP="00595B93">
            <w:pPr>
              <w:widowControl w:val="0"/>
              <w:jc w:val="center"/>
              <w:rPr>
                <w:sz w:val="20"/>
                <w:szCs w:val="20"/>
                <w:lang w:val="en-US"/>
              </w:rPr>
            </w:pPr>
            <w:r w:rsidRPr="009E1D90">
              <w:rPr>
                <w:sz w:val="20"/>
                <w:szCs w:val="20"/>
                <w:lang w:val="en-US"/>
              </w:rPr>
              <w:t>0.0801</w:t>
            </w:r>
          </w:p>
        </w:tc>
        <w:tc>
          <w:tcPr>
            <w:tcW w:w="1446" w:type="dxa"/>
            <w:shd w:val="clear" w:color="auto" w:fill="auto"/>
          </w:tcPr>
          <w:p w14:paraId="1823A2A6" w14:textId="77777777" w:rsidR="00401A64" w:rsidRPr="009E1D90" w:rsidRDefault="00401A64" w:rsidP="00595B93">
            <w:pPr>
              <w:widowControl w:val="0"/>
              <w:jc w:val="center"/>
              <w:rPr>
                <w:sz w:val="20"/>
                <w:szCs w:val="20"/>
                <w:lang w:val="en-US"/>
              </w:rPr>
            </w:pPr>
            <w:r w:rsidRPr="009E1D90">
              <w:rPr>
                <w:sz w:val="20"/>
                <w:szCs w:val="20"/>
                <w:lang w:val="en-US"/>
              </w:rPr>
              <w:t>0.0180</w:t>
            </w:r>
          </w:p>
        </w:tc>
        <w:tc>
          <w:tcPr>
            <w:tcW w:w="1446" w:type="dxa"/>
            <w:shd w:val="clear" w:color="auto" w:fill="auto"/>
          </w:tcPr>
          <w:p w14:paraId="2A237460" w14:textId="77777777" w:rsidR="00401A64" w:rsidRPr="009E1D90" w:rsidRDefault="00401A64" w:rsidP="00595B93">
            <w:pPr>
              <w:widowControl w:val="0"/>
              <w:jc w:val="center"/>
              <w:rPr>
                <w:sz w:val="20"/>
                <w:szCs w:val="20"/>
                <w:lang w:val="en-US"/>
              </w:rPr>
            </w:pPr>
            <w:r w:rsidRPr="009E1D90">
              <w:rPr>
                <w:sz w:val="20"/>
                <w:szCs w:val="20"/>
                <w:lang w:val="en-US"/>
              </w:rPr>
              <w:t>0.0126</w:t>
            </w:r>
          </w:p>
        </w:tc>
      </w:tr>
      <w:tr w:rsidR="00401A64" w:rsidRPr="007D144F" w14:paraId="71F76131" w14:textId="77777777" w:rsidTr="00595B93">
        <w:tc>
          <w:tcPr>
            <w:tcW w:w="1134" w:type="dxa"/>
            <w:shd w:val="clear" w:color="auto" w:fill="auto"/>
          </w:tcPr>
          <w:p w14:paraId="4C1ECD48" w14:textId="77777777" w:rsidR="00401A64" w:rsidRPr="009E1D90" w:rsidRDefault="00401A64" w:rsidP="00595B93">
            <w:pPr>
              <w:widowControl w:val="0"/>
              <w:jc w:val="center"/>
              <w:rPr>
                <w:sz w:val="20"/>
                <w:szCs w:val="20"/>
                <w:lang w:val="en-US"/>
              </w:rPr>
            </w:pPr>
            <w:r w:rsidRPr="009E1D90">
              <w:rPr>
                <w:sz w:val="20"/>
                <w:szCs w:val="20"/>
                <w:lang w:val="en-US"/>
              </w:rPr>
              <w:t>BF</w:t>
            </w:r>
          </w:p>
        </w:tc>
        <w:tc>
          <w:tcPr>
            <w:tcW w:w="1445" w:type="dxa"/>
            <w:shd w:val="clear" w:color="auto" w:fill="auto"/>
          </w:tcPr>
          <w:p w14:paraId="54B63259" w14:textId="77777777" w:rsidR="00401A64" w:rsidRPr="009E1D90" w:rsidRDefault="00401A64" w:rsidP="00595B93">
            <w:pPr>
              <w:widowControl w:val="0"/>
              <w:jc w:val="center"/>
              <w:rPr>
                <w:sz w:val="20"/>
                <w:szCs w:val="20"/>
                <w:lang w:val="en-US"/>
              </w:rPr>
            </w:pPr>
            <w:r w:rsidRPr="009E1D90">
              <w:rPr>
                <w:sz w:val="20"/>
                <w:szCs w:val="20"/>
                <w:lang w:val="en-US"/>
              </w:rPr>
              <w:t>0.0338</w:t>
            </w:r>
          </w:p>
        </w:tc>
        <w:tc>
          <w:tcPr>
            <w:tcW w:w="1446" w:type="dxa"/>
            <w:shd w:val="clear" w:color="auto" w:fill="auto"/>
          </w:tcPr>
          <w:p w14:paraId="6CB66F73" w14:textId="77777777" w:rsidR="00401A64" w:rsidRPr="009E1D90" w:rsidRDefault="00401A64" w:rsidP="00595B93">
            <w:pPr>
              <w:widowControl w:val="0"/>
              <w:jc w:val="center"/>
              <w:rPr>
                <w:sz w:val="20"/>
                <w:szCs w:val="20"/>
                <w:lang w:val="en-US"/>
              </w:rPr>
            </w:pPr>
            <w:r w:rsidRPr="009E1D90">
              <w:rPr>
                <w:sz w:val="20"/>
                <w:szCs w:val="20"/>
                <w:lang w:val="en-US"/>
              </w:rPr>
              <w:t>0.0237</w:t>
            </w:r>
          </w:p>
        </w:tc>
        <w:tc>
          <w:tcPr>
            <w:tcW w:w="1446" w:type="dxa"/>
            <w:shd w:val="clear" w:color="auto" w:fill="auto"/>
          </w:tcPr>
          <w:p w14:paraId="2DDE76EE" w14:textId="77777777" w:rsidR="00401A64" w:rsidRPr="009E1D90" w:rsidRDefault="00401A64" w:rsidP="00595B93">
            <w:pPr>
              <w:widowControl w:val="0"/>
              <w:jc w:val="center"/>
              <w:rPr>
                <w:sz w:val="20"/>
                <w:szCs w:val="20"/>
                <w:lang w:val="en-US"/>
              </w:rPr>
            </w:pPr>
            <w:r w:rsidRPr="009E1D90">
              <w:rPr>
                <w:sz w:val="20"/>
                <w:szCs w:val="20"/>
                <w:lang w:val="en-US"/>
              </w:rPr>
              <w:t>0.1208</w:t>
            </w:r>
          </w:p>
        </w:tc>
        <w:tc>
          <w:tcPr>
            <w:tcW w:w="1446" w:type="dxa"/>
            <w:shd w:val="clear" w:color="auto" w:fill="auto"/>
          </w:tcPr>
          <w:p w14:paraId="4A854E85" w14:textId="77777777" w:rsidR="00401A64" w:rsidRPr="009E1D90" w:rsidRDefault="00401A64" w:rsidP="00595B93">
            <w:pPr>
              <w:widowControl w:val="0"/>
              <w:jc w:val="center"/>
              <w:rPr>
                <w:sz w:val="20"/>
                <w:szCs w:val="20"/>
                <w:lang w:val="en-US"/>
              </w:rPr>
            </w:pPr>
            <w:r w:rsidRPr="009E1D90">
              <w:rPr>
                <w:sz w:val="20"/>
                <w:szCs w:val="20"/>
                <w:lang w:val="en-US"/>
              </w:rPr>
              <w:t>0.0000</w:t>
            </w:r>
          </w:p>
        </w:tc>
        <w:tc>
          <w:tcPr>
            <w:tcW w:w="1446" w:type="dxa"/>
            <w:shd w:val="clear" w:color="auto" w:fill="auto"/>
          </w:tcPr>
          <w:p w14:paraId="772217C9" w14:textId="77777777" w:rsidR="00401A64" w:rsidRPr="009E1D90" w:rsidRDefault="00401A64" w:rsidP="00595B93">
            <w:pPr>
              <w:widowControl w:val="0"/>
              <w:jc w:val="center"/>
              <w:rPr>
                <w:sz w:val="20"/>
                <w:szCs w:val="20"/>
                <w:lang w:val="en-US"/>
              </w:rPr>
            </w:pPr>
            <w:r w:rsidRPr="009E1D90">
              <w:rPr>
                <w:sz w:val="20"/>
                <w:szCs w:val="20"/>
                <w:lang w:val="en-US"/>
              </w:rPr>
              <w:t>0.0375</w:t>
            </w:r>
          </w:p>
        </w:tc>
      </w:tr>
      <w:tr w:rsidR="00401A64" w:rsidRPr="007D144F" w14:paraId="12C29BB8" w14:textId="77777777" w:rsidTr="00595B93">
        <w:tc>
          <w:tcPr>
            <w:tcW w:w="1134" w:type="dxa"/>
            <w:shd w:val="clear" w:color="auto" w:fill="auto"/>
          </w:tcPr>
          <w:p w14:paraId="3A5899A6" w14:textId="77777777" w:rsidR="00401A64" w:rsidRPr="009E1D90" w:rsidRDefault="00401A64" w:rsidP="00595B93">
            <w:pPr>
              <w:widowControl w:val="0"/>
              <w:jc w:val="center"/>
              <w:rPr>
                <w:sz w:val="20"/>
                <w:szCs w:val="20"/>
                <w:lang w:val="en-US"/>
              </w:rPr>
            </w:pPr>
            <w:r w:rsidRPr="009E1D90">
              <w:rPr>
                <w:sz w:val="20"/>
                <w:szCs w:val="20"/>
                <w:lang w:val="en-US"/>
              </w:rPr>
              <w:t>SOC</w:t>
            </w:r>
          </w:p>
        </w:tc>
        <w:tc>
          <w:tcPr>
            <w:tcW w:w="1445" w:type="dxa"/>
            <w:shd w:val="clear" w:color="auto" w:fill="auto"/>
          </w:tcPr>
          <w:p w14:paraId="740B5117" w14:textId="77777777" w:rsidR="00401A64" w:rsidRPr="009E1D90" w:rsidRDefault="00401A64" w:rsidP="00595B93">
            <w:pPr>
              <w:widowControl w:val="0"/>
              <w:jc w:val="center"/>
              <w:rPr>
                <w:sz w:val="20"/>
                <w:szCs w:val="20"/>
                <w:lang w:val="en-US"/>
              </w:rPr>
            </w:pPr>
            <w:r w:rsidRPr="009E1D90">
              <w:rPr>
                <w:sz w:val="20"/>
                <w:szCs w:val="20"/>
                <w:lang w:val="en-US"/>
              </w:rPr>
              <w:t>0.0196</w:t>
            </w:r>
          </w:p>
        </w:tc>
        <w:tc>
          <w:tcPr>
            <w:tcW w:w="1446" w:type="dxa"/>
            <w:shd w:val="clear" w:color="auto" w:fill="auto"/>
          </w:tcPr>
          <w:p w14:paraId="7132CCC0" w14:textId="77777777" w:rsidR="00401A64" w:rsidRPr="009E1D90" w:rsidRDefault="00401A64" w:rsidP="00595B93">
            <w:pPr>
              <w:widowControl w:val="0"/>
              <w:jc w:val="center"/>
              <w:rPr>
                <w:sz w:val="20"/>
                <w:szCs w:val="20"/>
                <w:lang w:val="en-US"/>
              </w:rPr>
            </w:pPr>
            <w:r w:rsidRPr="009E1D90">
              <w:rPr>
                <w:sz w:val="20"/>
                <w:szCs w:val="20"/>
                <w:lang w:val="en-US"/>
              </w:rPr>
              <w:t>0.0195</w:t>
            </w:r>
          </w:p>
        </w:tc>
        <w:tc>
          <w:tcPr>
            <w:tcW w:w="1446" w:type="dxa"/>
            <w:shd w:val="clear" w:color="auto" w:fill="auto"/>
          </w:tcPr>
          <w:p w14:paraId="44E5C315" w14:textId="77777777" w:rsidR="00401A64" w:rsidRPr="009E1D90" w:rsidRDefault="00401A64" w:rsidP="00595B93">
            <w:pPr>
              <w:widowControl w:val="0"/>
              <w:jc w:val="center"/>
              <w:rPr>
                <w:sz w:val="20"/>
                <w:szCs w:val="20"/>
                <w:lang w:val="en-US"/>
              </w:rPr>
            </w:pPr>
            <w:r w:rsidRPr="009E1D90">
              <w:rPr>
                <w:sz w:val="20"/>
                <w:szCs w:val="20"/>
                <w:lang w:val="en-US"/>
              </w:rPr>
              <w:t>0.0737</w:t>
            </w:r>
          </w:p>
        </w:tc>
        <w:tc>
          <w:tcPr>
            <w:tcW w:w="1446" w:type="dxa"/>
            <w:shd w:val="clear" w:color="auto" w:fill="auto"/>
          </w:tcPr>
          <w:p w14:paraId="3D79D4AC" w14:textId="77777777" w:rsidR="00401A64" w:rsidRPr="009E1D90" w:rsidRDefault="00401A64" w:rsidP="00595B93">
            <w:pPr>
              <w:widowControl w:val="0"/>
              <w:jc w:val="center"/>
              <w:rPr>
                <w:sz w:val="20"/>
                <w:szCs w:val="20"/>
                <w:lang w:val="en-US"/>
              </w:rPr>
            </w:pPr>
            <w:r w:rsidRPr="009E1D90">
              <w:rPr>
                <w:sz w:val="20"/>
                <w:szCs w:val="20"/>
                <w:lang w:val="en-US"/>
              </w:rPr>
              <w:t>0.0017</w:t>
            </w:r>
          </w:p>
        </w:tc>
        <w:tc>
          <w:tcPr>
            <w:tcW w:w="1446" w:type="dxa"/>
            <w:shd w:val="clear" w:color="auto" w:fill="auto"/>
          </w:tcPr>
          <w:p w14:paraId="05E08E60" w14:textId="77777777" w:rsidR="00401A64" w:rsidRPr="009E1D90" w:rsidRDefault="00401A64" w:rsidP="00595B93">
            <w:pPr>
              <w:widowControl w:val="0"/>
              <w:jc w:val="center"/>
              <w:rPr>
                <w:sz w:val="20"/>
                <w:szCs w:val="20"/>
                <w:lang w:val="en-US"/>
              </w:rPr>
            </w:pPr>
            <w:r w:rsidRPr="009E1D90">
              <w:rPr>
                <w:sz w:val="20"/>
                <w:szCs w:val="20"/>
                <w:lang w:val="en-US"/>
              </w:rPr>
              <w:t>0.0103</w:t>
            </w:r>
          </w:p>
        </w:tc>
      </w:tr>
      <w:tr w:rsidR="00401A64" w:rsidRPr="007D144F" w14:paraId="34F11E4B" w14:textId="77777777" w:rsidTr="00595B93">
        <w:tc>
          <w:tcPr>
            <w:tcW w:w="1134" w:type="dxa"/>
            <w:tcBorders>
              <w:bottom w:val="double" w:sz="4" w:space="0" w:color="auto"/>
            </w:tcBorders>
            <w:shd w:val="clear" w:color="auto" w:fill="auto"/>
          </w:tcPr>
          <w:p w14:paraId="4EDCA714" w14:textId="77777777" w:rsidR="00401A64" w:rsidRPr="006D223D" w:rsidRDefault="00401A64" w:rsidP="00595B93">
            <w:pPr>
              <w:widowControl w:val="0"/>
              <w:jc w:val="center"/>
              <w:rPr>
                <w:sz w:val="20"/>
                <w:szCs w:val="20"/>
                <w:lang w:val="en-US"/>
              </w:rPr>
            </w:pPr>
            <w:r w:rsidRPr="006D223D">
              <w:rPr>
                <w:sz w:val="20"/>
                <w:szCs w:val="20"/>
                <w:lang w:val="en-US"/>
              </w:rPr>
              <w:t>CORR</w:t>
            </w:r>
          </w:p>
        </w:tc>
        <w:tc>
          <w:tcPr>
            <w:tcW w:w="1445" w:type="dxa"/>
            <w:tcBorders>
              <w:bottom w:val="double" w:sz="4" w:space="0" w:color="auto"/>
            </w:tcBorders>
            <w:shd w:val="clear" w:color="auto" w:fill="auto"/>
          </w:tcPr>
          <w:p w14:paraId="02027DD1" w14:textId="77777777" w:rsidR="00401A64" w:rsidRPr="006D223D" w:rsidRDefault="00401A64" w:rsidP="00595B93">
            <w:pPr>
              <w:widowControl w:val="0"/>
              <w:jc w:val="center"/>
              <w:rPr>
                <w:sz w:val="20"/>
                <w:szCs w:val="20"/>
                <w:lang w:val="en-US"/>
              </w:rPr>
            </w:pPr>
            <w:r w:rsidRPr="006D223D">
              <w:rPr>
                <w:sz w:val="20"/>
                <w:szCs w:val="20"/>
                <w:lang w:val="en-US"/>
              </w:rPr>
              <w:t>1.0955</w:t>
            </w:r>
          </w:p>
        </w:tc>
        <w:tc>
          <w:tcPr>
            <w:tcW w:w="1446" w:type="dxa"/>
            <w:tcBorders>
              <w:bottom w:val="double" w:sz="4" w:space="0" w:color="auto"/>
            </w:tcBorders>
            <w:shd w:val="clear" w:color="auto" w:fill="auto"/>
          </w:tcPr>
          <w:p w14:paraId="34A15C58" w14:textId="77777777" w:rsidR="00401A64" w:rsidRPr="006D223D" w:rsidRDefault="00401A64" w:rsidP="00595B93">
            <w:pPr>
              <w:widowControl w:val="0"/>
              <w:jc w:val="center"/>
              <w:rPr>
                <w:sz w:val="20"/>
                <w:szCs w:val="20"/>
                <w:lang w:val="en-US"/>
              </w:rPr>
            </w:pPr>
            <w:r w:rsidRPr="006D223D">
              <w:rPr>
                <w:sz w:val="20"/>
                <w:szCs w:val="20"/>
                <w:lang w:val="en-US"/>
              </w:rPr>
              <w:t>-0.0074</w:t>
            </w:r>
          </w:p>
        </w:tc>
        <w:tc>
          <w:tcPr>
            <w:tcW w:w="1446" w:type="dxa"/>
            <w:tcBorders>
              <w:bottom w:val="double" w:sz="4" w:space="0" w:color="auto"/>
            </w:tcBorders>
            <w:shd w:val="clear" w:color="auto" w:fill="auto"/>
          </w:tcPr>
          <w:p w14:paraId="2D607643" w14:textId="77777777" w:rsidR="00401A64" w:rsidRPr="006D223D" w:rsidRDefault="00401A64" w:rsidP="00595B93">
            <w:pPr>
              <w:widowControl w:val="0"/>
              <w:jc w:val="center"/>
              <w:rPr>
                <w:sz w:val="20"/>
                <w:szCs w:val="20"/>
                <w:lang w:val="en-US"/>
              </w:rPr>
            </w:pPr>
            <w:r w:rsidRPr="006D223D">
              <w:rPr>
                <w:sz w:val="20"/>
                <w:szCs w:val="20"/>
                <w:lang w:val="en-US"/>
              </w:rPr>
              <w:t>40.5000</w:t>
            </w:r>
          </w:p>
        </w:tc>
        <w:tc>
          <w:tcPr>
            <w:tcW w:w="1446" w:type="dxa"/>
            <w:tcBorders>
              <w:bottom w:val="double" w:sz="4" w:space="0" w:color="auto"/>
            </w:tcBorders>
            <w:shd w:val="clear" w:color="auto" w:fill="auto"/>
          </w:tcPr>
          <w:p w14:paraId="68A5AE19" w14:textId="77777777" w:rsidR="00401A64" w:rsidRPr="006D223D" w:rsidRDefault="00401A64" w:rsidP="00595B93">
            <w:pPr>
              <w:widowControl w:val="0"/>
              <w:jc w:val="center"/>
              <w:rPr>
                <w:sz w:val="20"/>
                <w:szCs w:val="20"/>
                <w:lang w:val="en-US"/>
              </w:rPr>
            </w:pPr>
            <w:r w:rsidRPr="006D223D">
              <w:rPr>
                <w:sz w:val="20"/>
                <w:szCs w:val="20"/>
                <w:lang w:val="en-US"/>
              </w:rPr>
              <w:t>-1.0000</w:t>
            </w:r>
          </w:p>
        </w:tc>
        <w:tc>
          <w:tcPr>
            <w:tcW w:w="1446" w:type="dxa"/>
            <w:tcBorders>
              <w:bottom w:val="double" w:sz="4" w:space="0" w:color="auto"/>
            </w:tcBorders>
            <w:shd w:val="clear" w:color="auto" w:fill="auto"/>
          </w:tcPr>
          <w:p w14:paraId="3714D30B" w14:textId="77777777" w:rsidR="00401A64" w:rsidRPr="006D223D" w:rsidRDefault="00401A64" w:rsidP="00595B93">
            <w:pPr>
              <w:widowControl w:val="0"/>
              <w:jc w:val="center"/>
              <w:rPr>
                <w:sz w:val="20"/>
                <w:szCs w:val="20"/>
                <w:lang w:val="en-US"/>
              </w:rPr>
            </w:pPr>
            <w:r w:rsidRPr="006D223D">
              <w:rPr>
                <w:sz w:val="20"/>
                <w:szCs w:val="20"/>
                <w:lang w:val="en-US"/>
              </w:rPr>
              <w:t>4.1627</w:t>
            </w:r>
          </w:p>
        </w:tc>
      </w:tr>
    </w:tbl>
    <w:p w14:paraId="21240029" w14:textId="77777777" w:rsidR="00401A64" w:rsidRDefault="00401A64" w:rsidP="00401A64">
      <w:pPr>
        <w:widowControl w:val="0"/>
        <w:jc w:val="both"/>
        <w:rPr>
          <w:b/>
          <w:lang w:eastAsia="pt-BR"/>
        </w:rPr>
      </w:pPr>
    </w:p>
    <w:p w14:paraId="7D26E15C" w14:textId="77777777" w:rsidR="00401A64" w:rsidRPr="00EE4F63" w:rsidRDefault="00401A64" w:rsidP="00401A64">
      <w:pPr>
        <w:widowControl w:val="0"/>
        <w:jc w:val="both"/>
        <w:rPr>
          <w:b/>
          <w:lang w:eastAsia="pt-BR"/>
        </w:rPr>
      </w:pPr>
    </w:p>
    <w:p w14:paraId="57A076AA" w14:textId="77777777" w:rsidR="00401A64" w:rsidRPr="00EE4F63" w:rsidRDefault="00401A64" w:rsidP="00401A64">
      <w:pPr>
        <w:widowControl w:val="0"/>
        <w:ind w:firstLine="708"/>
        <w:jc w:val="both"/>
        <w:textAlignment w:val="top"/>
        <w:rPr>
          <w:lang w:val="en-US" w:eastAsia="pt-BR"/>
        </w:rPr>
      </w:pPr>
      <w:r w:rsidRPr="00EE4F63">
        <w:rPr>
          <w:lang w:val="en-US" w:eastAsia="pt-BR"/>
        </w:rPr>
        <w:t>A general solution to the problem of endogeneity is the use of instrumental variables. GMM models permit t</w:t>
      </w:r>
      <w:r>
        <w:rPr>
          <w:lang w:val="en-US" w:eastAsia="pt-BR"/>
        </w:rPr>
        <w:t>he use of</w:t>
      </w:r>
      <w:r w:rsidRPr="00EE4F63">
        <w:rPr>
          <w:lang w:val="en-US" w:eastAsia="pt-BR"/>
        </w:rPr>
        <w:t xml:space="preserve"> instruments that are sequentially exogenous, thereby avoiding the endogeneity problem. Arellano and Bond (1991) proposed the estimation of first-difference GMM panel data as a way of eliminating non-observed effects. However, Alonso-Borrego and Arellano (1998), and Blu</w:t>
      </w:r>
      <w:r>
        <w:rPr>
          <w:lang w:val="en-US" w:eastAsia="pt-BR"/>
        </w:rPr>
        <w:t>n</w:t>
      </w:r>
      <w:r w:rsidRPr="00EE4F63">
        <w:rPr>
          <w:lang w:val="en-US" w:eastAsia="pt-BR"/>
        </w:rPr>
        <w:t>dell and Bond (1998) showed that the first-difference GMM has a bias (for large and small samples) and low accuracy. Furthermore, the use of lags can create weak instruments (</w:t>
      </w:r>
      <w:r w:rsidRPr="00EE4F63">
        <w:rPr>
          <w:lang w:val="en-US"/>
        </w:rPr>
        <w:t>Staiger and Stock, 1997</w:t>
      </w:r>
      <w:r w:rsidRPr="00EE4F63">
        <w:rPr>
          <w:lang w:val="en-US" w:eastAsia="pt-BR"/>
        </w:rPr>
        <w:t>). Hence, Blu</w:t>
      </w:r>
      <w:r>
        <w:rPr>
          <w:lang w:val="en-US" w:eastAsia="pt-BR"/>
        </w:rPr>
        <w:t>n</w:t>
      </w:r>
      <w:r w:rsidRPr="00EE4F63">
        <w:rPr>
          <w:lang w:val="en-US" w:eastAsia="pt-BR"/>
        </w:rPr>
        <w:t>dell and Bond (1998) recommend the use of the system GMM panel data estimation method instead of first-difference GMM. As proposed by Arellano and Bover (1995) and Blu</w:t>
      </w:r>
      <w:r>
        <w:rPr>
          <w:lang w:val="en-US" w:eastAsia="pt-BR"/>
        </w:rPr>
        <w:t>n</w:t>
      </w:r>
      <w:r w:rsidRPr="00EE4F63">
        <w:rPr>
          <w:lang w:val="en-US" w:eastAsia="pt-BR"/>
        </w:rPr>
        <w:t xml:space="preserve">dell and Bond (1998) regressions in levels and first differences are combined (see Bond, Hoeffler and Temple, 2001). </w:t>
      </w:r>
    </w:p>
    <w:p w14:paraId="41F5357E" w14:textId="77777777" w:rsidR="00401A64" w:rsidRPr="00EE4F63" w:rsidRDefault="00401A64" w:rsidP="00401A64">
      <w:pPr>
        <w:widowControl w:val="0"/>
        <w:autoSpaceDE w:val="0"/>
        <w:autoSpaceDN w:val="0"/>
        <w:adjustRightInd w:val="0"/>
        <w:ind w:firstLine="634"/>
        <w:jc w:val="both"/>
        <w:rPr>
          <w:lang w:val="en-US"/>
        </w:rPr>
      </w:pPr>
      <w:r w:rsidRPr="00EE4F63">
        <w:rPr>
          <w:lang w:val="en-US"/>
        </w:rPr>
        <w:t xml:space="preserve">In order to check the instruments in the models, the test of over-identifying restrictions (Sargan test) was performed as suggested by Arellano (2003). Furthermore, White’s heteroskedasticity consistent covariance matrix was applied on regressions. In addition, as proposed by Arellano and Bond (1991), </w:t>
      </w:r>
      <w:r w:rsidRPr="00EE4F63">
        <w:rPr>
          <w:bCs/>
          <w:lang w:val="en-US"/>
        </w:rPr>
        <w:t xml:space="preserve">test of </w:t>
      </w:r>
      <w:r w:rsidRPr="00EE4F63">
        <w:rPr>
          <w:lang w:val="en-US"/>
        </w:rPr>
        <w:t>second-order (m2) serial correlation w</w:t>
      </w:r>
      <w:r>
        <w:rPr>
          <w:lang w:val="en-US"/>
        </w:rPr>
        <w:t>as</w:t>
      </w:r>
      <w:r w:rsidRPr="00EE4F63">
        <w:rPr>
          <w:lang w:val="en-US"/>
        </w:rPr>
        <w:t xml:space="preserve"> used. It is important to note that one premise of system GMM models is the non-correlation </w:t>
      </w:r>
      <w:r w:rsidRPr="00EE4F63">
        <w:rPr>
          <w:lang w:val="en-US" w:eastAsia="pt-BR"/>
        </w:rPr>
        <w:t>of the first difference of endogenous regressors, which</w:t>
      </w:r>
      <w:r w:rsidRPr="00EE4F63">
        <w:rPr>
          <w:lang w:val="en-US"/>
        </w:rPr>
        <w:t xml:space="preserve"> implies that it is not necessary to perform unit root tests.</w:t>
      </w:r>
    </w:p>
    <w:p w14:paraId="77120587" w14:textId="77777777" w:rsidR="00401A64" w:rsidRDefault="00401A64" w:rsidP="00401A64">
      <w:pPr>
        <w:widowControl w:val="0"/>
        <w:ind w:firstLine="708"/>
        <w:jc w:val="both"/>
        <w:textAlignment w:val="top"/>
        <w:rPr>
          <w:lang w:eastAsia="pt-BR"/>
        </w:rPr>
      </w:pPr>
      <w:r w:rsidRPr="00EE4F63">
        <w:rPr>
          <w:lang w:val="en-US" w:eastAsia="pt-BR"/>
        </w:rPr>
        <w:t>For the purpose of finding empirical evidence of the effect of the variables described in the previous section on inequality indices (</w:t>
      </w:r>
      <w:r w:rsidRPr="00EE4F63">
        <w:rPr>
          <w:i/>
          <w:lang w:val="en-US" w:eastAsia="pt-BR"/>
        </w:rPr>
        <w:t>Gini</w:t>
      </w:r>
      <w:r w:rsidRPr="00EE4F63">
        <w:rPr>
          <w:lang w:val="en-US" w:eastAsia="pt-BR"/>
        </w:rPr>
        <w:t xml:space="preserve">, </w:t>
      </w:r>
      <w:r w:rsidRPr="00EE4F63">
        <w:rPr>
          <w:i/>
          <w:lang w:val="en-US" w:eastAsia="pt-BR"/>
        </w:rPr>
        <w:t>Theil</w:t>
      </w:r>
      <w:r w:rsidRPr="00EE4F63">
        <w:rPr>
          <w:lang w:val="en-US" w:eastAsia="pt-BR"/>
        </w:rPr>
        <w:t xml:space="preserve">, and </w:t>
      </w:r>
      <w:r w:rsidRPr="00EE4F63">
        <w:rPr>
          <w:i/>
          <w:lang w:val="en-US" w:eastAsia="pt-BR"/>
        </w:rPr>
        <w:t>10%/40%</w:t>
      </w:r>
      <w:r w:rsidRPr="00EE4F63">
        <w:rPr>
          <w:lang w:val="en-US" w:eastAsia="pt-BR"/>
        </w:rPr>
        <w:t>) two set</w:t>
      </w:r>
      <w:r>
        <w:rPr>
          <w:lang w:val="en-US" w:eastAsia="pt-BR"/>
        </w:rPr>
        <w:t>s</w:t>
      </w:r>
      <w:r w:rsidRPr="00EE4F63">
        <w:rPr>
          <w:lang w:val="en-US" w:eastAsia="pt-BR"/>
        </w:rPr>
        <w:t xml:space="preserve"> of models using panel data (GMM system) were considered. A first set includes, besides the traditional variables in the literature (</w:t>
      </w:r>
      <w:r w:rsidRPr="00EE4F63">
        <w:rPr>
          <w:i/>
          <w:lang w:val="en-US" w:eastAsia="pt-BR"/>
        </w:rPr>
        <w:t>OPEN</w:t>
      </w:r>
      <w:r w:rsidRPr="00EE4F63">
        <w:rPr>
          <w:lang w:val="en-US" w:eastAsia="pt-BR"/>
        </w:rPr>
        <w:t xml:space="preserve">, </w:t>
      </w:r>
      <w:r w:rsidRPr="00EE4F63">
        <w:rPr>
          <w:i/>
          <w:lang w:val="en-US" w:eastAsia="pt-BR"/>
        </w:rPr>
        <w:t>PAT</w:t>
      </w:r>
      <w:r w:rsidRPr="00EE4F63">
        <w:rPr>
          <w:lang w:val="en-US" w:eastAsia="pt-BR"/>
        </w:rPr>
        <w:t xml:space="preserve">, and </w:t>
      </w:r>
      <w:r w:rsidRPr="00EE4F63">
        <w:rPr>
          <w:i/>
          <w:lang w:val="en-US" w:eastAsia="pt-BR"/>
        </w:rPr>
        <w:t>FD</w:t>
      </w:r>
      <w:r w:rsidRPr="00EE4F63">
        <w:rPr>
          <w:lang w:val="en-US" w:eastAsia="pt-BR"/>
        </w:rPr>
        <w:t>), socioeconomic variables (</w:t>
      </w:r>
      <w:r w:rsidRPr="00EE4F63">
        <w:rPr>
          <w:i/>
          <w:lang w:val="en-US" w:eastAsia="pt-BR"/>
        </w:rPr>
        <w:t>MW</w:t>
      </w:r>
      <w:r w:rsidRPr="00EE4F63">
        <w:rPr>
          <w:lang w:val="en-US" w:eastAsia="pt-BR"/>
        </w:rPr>
        <w:t xml:space="preserve">, </w:t>
      </w:r>
      <w:r w:rsidRPr="00EE4F63">
        <w:rPr>
          <w:i/>
          <w:lang w:val="en-US" w:eastAsia="pt-BR"/>
        </w:rPr>
        <w:t>UNE</w:t>
      </w:r>
      <w:r w:rsidRPr="00EE4F63">
        <w:rPr>
          <w:lang w:val="en-US" w:eastAsia="pt-BR"/>
        </w:rPr>
        <w:t xml:space="preserve">, and </w:t>
      </w:r>
      <w:r w:rsidRPr="00EE4F63">
        <w:rPr>
          <w:i/>
          <w:lang w:val="en-US" w:eastAsia="pt-BR"/>
        </w:rPr>
        <w:t>BF</w:t>
      </w:r>
      <w:r w:rsidRPr="00EE4F63">
        <w:rPr>
          <w:lang w:val="en-US" w:eastAsia="pt-BR"/>
        </w:rPr>
        <w:t xml:space="preserve">) in the models. The second set also considers the variables </w:t>
      </w:r>
      <w:r w:rsidRPr="00EE4F63">
        <w:rPr>
          <w:i/>
          <w:lang w:val="en-US" w:eastAsia="pt-BR"/>
        </w:rPr>
        <w:t>OPEN</w:t>
      </w:r>
      <w:r w:rsidRPr="00EE4F63">
        <w:rPr>
          <w:lang w:val="en-US" w:eastAsia="pt-BR"/>
        </w:rPr>
        <w:t xml:space="preserve">, </w:t>
      </w:r>
      <w:r w:rsidRPr="00EE4F63">
        <w:rPr>
          <w:i/>
          <w:lang w:val="en-US" w:eastAsia="pt-BR"/>
        </w:rPr>
        <w:t>PAT</w:t>
      </w:r>
      <w:r w:rsidRPr="00EE4F63">
        <w:rPr>
          <w:lang w:val="en-US" w:eastAsia="pt-BR"/>
        </w:rPr>
        <w:t xml:space="preserve">, and </w:t>
      </w:r>
      <w:r w:rsidRPr="00EE4F63">
        <w:rPr>
          <w:i/>
          <w:lang w:val="en-US" w:eastAsia="pt-BR"/>
        </w:rPr>
        <w:t>FD</w:t>
      </w:r>
      <w:r w:rsidRPr="00EE4F63">
        <w:rPr>
          <w:lang w:val="en-US" w:eastAsia="pt-BR"/>
        </w:rPr>
        <w:t>, but includes variables that are subject to some political interference (</w:t>
      </w:r>
      <w:r w:rsidRPr="00EE4F63">
        <w:rPr>
          <w:i/>
          <w:lang w:val="en-US" w:eastAsia="pt-BR"/>
        </w:rPr>
        <w:t>PC</w:t>
      </w:r>
      <w:r w:rsidRPr="00EE4F63">
        <w:rPr>
          <w:lang w:val="en-US" w:eastAsia="pt-BR"/>
        </w:rPr>
        <w:t xml:space="preserve">, </w:t>
      </w:r>
      <w:r w:rsidRPr="00EE4F63">
        <w:rPr>
          <w:i/>
          <w:lang w:val="en-US" w:eastAsia="pt-BR"/>
        </w:rPr>
        <w:t>SOC</w:t>
      </w:r>
      <w:r w:rsidRPr="00EE4F63">
        <w:rPr>
          <w:lang w:val="en-US" w:eastAsia="pt-BR"/>
        </w:rPr>
        <w:t xml:space="preserve">, and </w:t>
      </w:r>
      <w:r w:rsidRPr="00EE4F63">
        <w:rPr>
          <w:i/>
          <w:lang w:val="en-US" w:eastAsia="pt-BR"/>
        </w:rPr>
        <w:t>CORR</w:t>
      </w:r>
      <w:r w:rsidRPr="00EE4F63">
        <w:rPr>
          <w:lang w:val="en-US" w:eastAsia="pt-BR"/>
        </w:rPr>
        <w:t xml:space="preserve">). </w:t>
      </w:r>
      <w:r w:rsidRPr="00EE4F63">
        <w:rPr>
          <w:lang w:eastAsia="pt-BR"/>
        </w:rPr>
        <w:t>Hence:</w:t>
      </w:r>
    </w:p>
    <w:p w14:paraId="096AF552" w14:textId="77777777" w:rsidR="00401A64" w:rsidRPr="00EE4F63" w:rsidRDefault="00401A64" w:rsidP="00401A64">
      <w:pPr>
        <w:widowControl w:val="0"/>
        <w:ind w:firstLine="708"/>
        <w:jc w:val="both"/>
        <w:textAlignment w:val="top"/>
        <w:rPr>
          <w:lang w:eastAsia="pt-BR"/>
        </w:rPr>
      </w:pPr>
    </w:p>
    <w:p w14:paraId="67520635" w14:textId="77777777" w:rsidR="00401A64" w:rsidRPr="00EE4F63" w:rsidRDefault="00401A64" w:rsidP="00401A64">
      <w:pPr>
        <w:pStyle w:val="SemEspaamento"/>
        <w:widowControl w:val="0"/>
        <w:rPr>
          <w:lang w:val="en-US" w:eastAsia="pt-BR"/>
        </w:rPr>
      </w:pPr>
      <w:r w:rsidRPr="00EE4F63">
        <w:rPr>
          <w:lang w:val="en-US" w:eastAsia="pt-BR"/>
        </w:rPr>
        <w:t>(1)</w:t>
      </w:r>
      <w:r w:rsidRPr="00EE4F63">
        <w:rPr>
          <w:lang w:val="en-US" w:eastAsia="pt-BR"/>
        </w:rPr>
        <w:tab/>
      </w:r>
      <w:r w:rsidRPr="00EE4F63">
        <w:rPr>
          <w:position w:val="-14"/>
        </w:rPr>
        <w:object w:dxaOrig="4940" w:dyaOrig="400" w14:anchorId="475AF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46.75pt;height:20.25pt" o:ole="">
            <v:imagedata r:id="rId20" o:title=""/>
          </v:shape>
          <o:OLEObject Type="Embed" ProgID="Equation.DSMT4" ShapeID="_x0000_i1036" DrawAspect="Content" ObjectID="_1667138149" r:id="rId21"/>
        </w:object>
      </w:r>
      <w:r w:rsidRPr="00EE4F63">
        <w:rPr>
          <w:lang w:val="en-US" w:eastAsia="pt-BR"/>
        </w:rPr>
        <w:t>;</w:t>
      </w:r>
    </w:p>
    <w:p w14:paraId="50C4FAAA" w14:textId="77777777" w:rsidR="00401A64" w:rsidRPr="00EE4F63" w:rsidRDefault="00401A64" w:rsidP="00401A64">
      <w:pPr>
        <w:pStyle w:val="SemEspaamento"/>
        <w:widowControl w:val="0"/>
        <w:rPr>
          <w:lang w:val="en-US" w:eastAsia="pt-BR"/>
        </w:rPr>
      </w:pPr>
      <w:r w:rsidRPr="00EE4F63">
        <w:rPr>
          <w:lang w:val="en-US" w:eastAsia="pt-BR"/>
        </w:rPr>
        <w:t>(2)</w:t>
      </w:r>
      <w:r w:rsidRPr="00EE4F63">
        <w:rPr>
          <w:lang w:val="en-US" w:eastAsia="pt-BR"/>
        </w:rPr>
        <w:tab/>
      </w:r>
      <w:r w:rsidRPr="00EE4F63">
        <w:rPr>
          <w:position w:val="-14"/>
        </w:rPr>
        <w:object w:dxaOrig="5920" w:dyaOrig="400" w14:anchorId="077645D7">
          <v:shape id="_x0000_i1037" type="#_x0000_t75" style="width:296.25pt;height:20.25pt" o:ole="">
            <v:imagedata r:id="rId22" o:title=""/>
          </v:shape>
          <o:OLEObject Type="Embed" ProgID="Equation.DSMT4" ShapeID="_x0000_i1037" DrawAspect="Content" ObjectID="_1667138150" r:id="rId23"/>
        </w:object>
      </w:r>
      <w:r w:rsidRPr="00EE4F63">
        <w:rPr>
          <w:lang w:val="en-US" w:eastAsia="pt-BR"/>
        </w:rPr>
        <w:t>;</w:t>
      </w:r>
    </w:p>
    <w:p w14:paraId="2FD13CAD" w14:textId="77777777" w:rsidR="00401A64" w:rsidRPr="00EE4F63" w:rsidRDefault="00401A64" w:rsidP="00401A64">
      <w:pPr>
        <w:pStyle w:val="SemEspaamento"/>
        <w:widowControl w:val="0"/>
        <w:rPr>
          <w:lang w:val="en-US" w:eastAsia="pt-BR"/>
        </w:rPr>
      </w:pPr>
      <w:r w:rsidRPr="00EE4F63">
        <w:rPr>
          <w:lang w:val="en-US" w:eastAsia="pt-BR"/>
        </w:rPr>
        <w:t>(3)</w:t>
      </w:r>
      <w:r w:rsidRPr="00EE4F63">
        <w:rPr>
          <w:lang w:val="en-US" w:eastAsia="pt-BR"/>
        </w:rPr>
        <w:tab/>
      </w:r>
      <w:r w:rsidRPr="00EE4F63">
        <w:rPr>
          <w:position w:val="-14"/>
        </w:rPr>
        <w:object w:dxaOrig="6200" w:dyaOrig="400" w14:anchorId="5F620319">
          <v:shape id="_x0000_i1038" type="#_x0000_t75" style="width:309.75pt;height:20.25pt" o:ole="">
            <v:imagedata r:id="rId24" o:title=""/>
          </v:shape>
          <o:OLEObject Type="Embed" ProgID="Equation.DSMT4" ShapeID="_x0000_i1038" DrawAspect="Content" ObjectID="_1667138151" r:id="rId25"/>
        </w:object>
      </w:r>
      <w:r w:rsidRPr="00EE4F63">
        <w:rPr>
          <w:lang w:val="en-US" w:eastAsia="pt-BR"/>
        </w:rPr>
        <w:t>;</w:t>
      </w:r>
    </w:p>
    <w:p w14:paraId="0911886D" w14:textId="77777777" w:rsidR="00401A64" w:rsidRPr="00EE4F63" w:rsidRDefault="00401A64" w:rsidP="00401A64">
      <w:pPr>
        <w:pStyle w:val="SemEspaamento"/>
        <w:widowControl w:val="0"/>
        <w:rPr>
          <w:lang w:val="en-US" w:eastAsia="pt-BR"/>
        </w:rPr>
      </w:pPr>
      <w:r w:rsidRPr="00EE4F63">
        <w:rPr>
          <w:lang w:val="en-US" w:eastAsia="pt-BR"/>
        </w:rPr>
        <w:t>(4)</w:t>
      </w:r>
      <w:r w:rsidRPr="00EE4F63">
        <w:rPr>
          <w:lang w:val="en-US" w:eastAsia="pt-BR"/>
        </w:rPr>
        <w:tab/>
      </w:r>
      <w:r w:rsidRPr="00EE4F63">
        <w:rPr>
          <w:position w:val="-14"/>
        </w:rPr>
        <w:object w:dxaOrig="6100" w:dyaOrig="400" w14:anchorId="4E1DC68D">
          <v:shape id="_x0000_i1039" type="#_x0000_t75" style="width:305.25pt;height:20.25pt" o:ole="">
            <v:imagedata r:id="rId26" o:title=""/>
          </v:shape>
          <o:OLEObject Type="Embed" ProgID="Equation.DSMT4" ShapeID="_x0000_i1039" DrawAspect="Content" ObjectID="_1667138152" r:id="rId27"/>
        </w:object>
      </w:r>
      <w:r w:rsidRPr="00EE4F63">
        <w:rPr>
          <w:lang w:val="en-US" w:eastAsia="pt-BR"/>
        </w:rPr>
        <w:t>;</w:t>
      </w:r>
    </w:p>
    <w:p w14:paraId="00AB6D55" w14:textId="77777777" w:rsidR="00401A64" w:rsidRPr="00EE4F63" w:rsidRDefault="00401A64" w:rsidP="00401A64">
      <w:pPr>
        <w:pStyle w:val="SemEspaamento"/>
        <w:widowControl w:val="0"/>
        <w:rPr>
          <w:lang w:val="en-US" w:eastAsia="pt-BR"/>
        </w:rPr>
      </w:pPr>
      <w:r w:rsidRPr="00EE4F63">
        <w:rPr>
          <w:lang w:val="en-US" w:eastAsia="pt-BR"/>
        </w:rPr>
        <w:t>(5)</w:t>
      </w:r>
      <w:r w:rsidRPr="00EE4F63">
        <w:rPr>
          <w:lang w:val="en-US" w:eastAsia="pt-BR"/>
        </w:rPr>
        <w:tab/>
      </w:r>
      <w:r w:rsidRPr="00EE4F63">
        <w:rPr>
          <w:position w:val="-14"/>
        </w:rPr>
        <w:object w:dxaOrig="6180" w:dyaOrig="400" w14:anchorId="6756DB59">
          <v:shape id="_x0000_i1040" type="#_x0000_t75" style="width:309pt;height:20.25pt" o:ole="">
            <v:imagedata r:id="rId28" o:title=""/>
          </v:shape>
          <o:OLEObject Type="Embed" ProgID="Equation.DSMT4" ShapeID="_x0000_i1040" DrawAspect="Content" ObjectID="_1667138153" r:id="rId29"/>
        </w:object>
      </w:r>
      <w:r w:rsidRPr="00EE4F63">
        <w:rPr>
          <w:lang w:val="en-US" w:eastAsia="pt-BR"/>
        </w:rPr>
        <w:t>;</w:t>
      </w:r>
    </w:p>
    <w:p w14:paraId="4B8DFE0A" w14:textId="77777777" w:rsidR="00401A64" w:rsidRPr="00EE4F63" w:rsidRDefault="00401A64" w:rsidP="00401A64">
      <w:pPr>
        <w:pStyle w:val="SemEspaamento"/>
        <w:widowControl w:val="0"/>
        <w:rPr>
          <w:lang w:val="en-US" w:eastAsia="pt-BR"/>
        </w:rPr>
      </w:pPr>
      <w:r w:rsidRPr="00EE4F63">
        <w:rPr>
          <w:lang w:val="en-US" w:eastAsia="pt-BR"/>
        </w:rPr>
        <w:t>(6)</w:t>
      </w:r>
      <w:r w:rsidRPr="00EE4F63">
        <w:rPr>
          <w:lang w:val="en-US" w:eastAsia="pt-BR"/>
        </w:rPr>
        <w:tab/>
      </w:r>
      <w:r w:rsidRPr="00EE4F63">
        <w:rPr>
          <w:position w:val="-14"/>
        </w:rPr>
        <w:object w:dxaOrig="6340" w:dyaOrig="400" w14:anchorId="0A29D428">
          <v:shape id="_x0000_i1041" type="#_x0000_t75" style="width:317.25pt;height:20.25pt" o:ole="">
            <v:imagedata r:id="rId30" o:title=""/>
          </v:shape>
          <o:OLEObject Type="Embed" ProgID="Equation.DSMT4" ShapeID="_x0000_i1041" DrawAspect="Content" ObjectID="_1667138154" r:id="rId31"/>
        </w:object>
      </w:r>
      <w:r w:rsidRPr="00EE4F63">
        <w:rPr>
          <w:lang w:val="en-US" w:eastAsia="pt-BR"/>
        </w:rPr>
        <w:t>; and</w:t>
      </w:r>
    </w:p>
    <w:p w14:paraId="2157AD43" w14:textId="77777777" w:rsidR="00401A64" w:rsidRPr="00EE4F63" w:rsidRDefault="00401A64" w:rsidP="00401A64">
      <w:pPr>
        <w:pStyle w:val="SemEspaamento"/>
        <w:widowControl w:val="0"/>
        <w:rPr>
          <w:lang w:val="en-US" w:eastAsia="pt-BR"/>
        </w:rPr>
      </w:pPr>
      <w:r w:rsidRPr="00EE4F63">
        <w:rPr>
          <w:lang w:val="en-US" w:eastAsia="pt-BR"/>
        </w:rPr>
        <w:t>(7)</w:t>
      </w:r>
      <w:r w:rsidRPr="00EE4F63">
        <w:rPr>
          <w:lang w:val="en-US" w:eastAsia="pt-BR"/>
        </w:rPr>
        <w:tab/>
      </w:r>
      <w:r w:rsidRPr="00EE4F63">
        <w:rPr>
          <w:position w:val="-14"/>
        </w:rPr>
        <w:object w:dxaOrig="6480" w:dyaOrig="400" w14:anchorId="01BCA873">
          <v:shape id="_x0000_i1042" type="#_x0000_t75" style="width:324pt;height:20.25pt" o:ole="">
            <v:imagedata r:id="rId32" o:title=""/>
          </v:shape>
          <o:OLEObject Type="Embed" ProgID="Equation.DSMT4" ShapeID="_x0000_i1042" DrawAspect="Content" ObjectID="_1667138155" r:id="rId33"/>
        </w:object>
      </w:r>
      <w:r w:rsidRPr="00EE4F63">
        <w:rPr>
          <w:lang w:val="en-US" w:eastAsia="pt-BR"/>
        </w:rPr>
        <w:t>;</w:t>
      </w:r>
    </w:p>
    <w:p w14:paraId="3B9EAA4C" w14:textId="77777777" w:rsidR="00401A64" w:rsidRPr="00EE4F63" w:rsidRDefault="00401A64" w:rsidP="00401A64">
      <w:pPr>
        <w:pStyle w:val="SemEspaamento"/>
        <w:widowControl w:val="0"/>
        <w:rPr>
          <w:highlight w:val="yellow"/>
          <w:lang w:val="en-US" w:eastAsia="pt-BR"/>
        </w:rPr>
      </w:pPr>
      <w:r w:rsidRPr="00EE4F63">
        <w:rPr>
          <w:lang w:val="en-US" w:eastAsia="pt-BR"/>
        </w:rPr>
        <w:t>where,</w:t>
      </w:r>
      <w:r w:rsidRPr="00EE4F63">
        <w:rPr>
          <w:lang w:val="en-US" w:eastAsia="pt-BR"/>
        </w:rPr>
        <w:tab/>
      </w:r>
      <w:r w:rsidRPr="00EE4F63">
        <w:rPr>
          <w:position w:val="-16"/>
        </w:rPr>
        <w:object w:dxaOrig="1440" w:dyaOrig="440" w14:anchorId="3D96F3CF">
          <v:shape id="_x0000_i1043" type="#_x0000_t75" style="width:1in;height:21.75pt" o:ole="">
            <v:imagedata r:id="rId34" o:title=""/>
          </v:shape>
          <o:OLEObject Type="Embed" ProgID="Equation.DSMT4" ShapeID="_x0000_i1043" DrawAspect="Content" ObjectID="_1667138156" r:id="rId35"/>
        </w:object>
      </w:r>
      <w:r w:rsidRPr="00EE4F63">
        <w:rPr>
          <w:lang w:val="en-US" w:eastAsia="pt-BR"/>
        </w:rPr>
        <w:t xml:space="preserve">, and </w:t>
      </w:r>
      <w:r w:rsidRPr="00EE4F63">
        <w:rPr>
          <w:i/>
          <w:lang w:val="en-US"/>
        </w:rPr>
        <w:t xml:space="preserve">X </w:t>
      </w:r>
      <w:r w:rsidRPr="00EE4F63">
        <w:rPr>
          <w:lang w:val="en-US"/>
        </w:rPr>
        <w:t>is the inequality index (</w:t>
      </w:r>
      <w:r w:rsidRPr="00EE4F63">
        <w:rPr>
          <w:i/>
          <w:lang w:val="en-US"/>
        </w:rPr>
        <w:t>Gini</w:t>
      </w:r>
      <w:r w:rsidRPr="00EE4F63">
        <w:rPr>
          <w:lang w:val="en-US"/>
        </w:rPr>
        <w:t xml:space="preserve">, </w:t>
      </w:r>
      <w:r w:rsidRPr="00EE4F63">
        <w:rPr>
          <w:i/>
          <w:lang w:val="en-US"/>
        </w:rPr>
        <w:t>Theil</w:t>
      </w:r>
      <w:r w:rsidRPr="00EE4F63">
        <w:rPr>
          <w:lang w:val="en-US"/>
        </w:rPr>
        <w:t xml:space="preserve">, or </w:t>
      </w:r>
      <w:r w:rsidRPr="00EE4F63">
        <w:rPr>
          <w:i/>
          <w:lang w:val="en-US"/>
        </w:rPr>
        <w:t>10%/40%</w:t>
      </w:r>
      <w:r w:rsidRPr="00EE4F63">
        <w:rPr>
          <w:lang w:val="en-US"/>
        </w:rPr>
        <w:t>).</w:t>
      </w:r>
    </w:p>
    <w:p w14:paraId="50F7FFF9" w14:textId="77777777" w:rsidR="00401A64" w:rsidRPr="00EE4F63" w:rsidRDefault="00401A64" w:rsidP="00401A64">
      <w:pPr>
        <w:widowControl w:val="0"/>
        <w:ind w:firstLine="708"/>
        <w:jc w:val="both"/>
        <w:textAlignment w:val="top"/>
        <w:rPr>
          <w:bCs/>
          <w:lang w:val="en-US"/>
        </w:rPr>
      </w:pPr>
      <w:r w:rsidRPr="00EE4F63">
        <w:rPr>
          <w:lang w:val="en-US"/>
        </w:rPr>
        <w:t xml:space="preserve">Tables 3, 4, and 5 show the estimation results for the models. Note that all regressions accept the null hypothesis in the Sargan tests and thus the over-identifying </w:t>
      </w:r>
      <w:r w:rsidRPr="00EE4F63">
        <w:rPr>
          <w:lang w:val="en-US"/>
        </w:rPr>
        <w:lastRenderedPageBreak/>
        <w:t xml:space="preserve">restrictions are valid. Furthermore, </w:t>
      </w:r>
      <w:r w:rsidRPr="00EE4F63">
        <w:rPr>
          <w:bCs/>
          <w:lang w:val="en-US"/>
        </w:rPr>
        <w:t>serial autocorrelation tests reject the hypothesis of the presence of serial autocorrelation.</w:t>
      </w:r>
    </w:p>
    <w:p w14:paraId="5523CF8B" w14:textId="77777777" w:rsidR="00401A64" w:rsidRDefault="00401A64" w:rsidP="00401A64">
      <w:pPr>
        <w:widowControl w:val="0"/>
        <w:ind w:firstLine="708"/>
        <w:jc w:val="both"/>
        <w:textAlignment w:val="top"/>
        <w:rPr>
          <w:bCs/>
          <w:lang w:val="en-US"/>
        </w:rPr>
      </w:pPr>
      <w:r>
        <w:rPr>
          <w:bCs/>
          <w:lang w:val="en-US"/>
        </w:rPr>
        <w:t xml:space="preserve">The findings denote that, independent of the inequality indicator used in the estimations, the coefficient on the variable </w:t>
      </w:r>
      <w:r>
        <w:rPr>
          <w:bCs/>
          <w:i/>
          <w:lang w:val="en-US"/>
        </w:rPr>
        <w:t xml:space="preserve">OPEN </w:t>
      </w:r>
      <w:r>
        <w:rPr>
          <w:bCs/>
          <w:lang w:val="en-US"/>
        </w:rPr>
        <w:t xml:space="preserve">is negative and statistically significant in all specifications. This result is in agreement with the argument that an increase in the openness is an important mechanism to reduce income inequality. Although statistical significance is not observed in all specifications, </w:t>
      </w:r>
      <w:r>
        <w:rPr>
          <w:bCs/>
          <w:i/>
          <w:lang w:val="en-US"/>
        </w:rPr>
        <w:t xml:space="preserve">PAT </w:t>
      </w:r>
      <w:r>
        <w:rPr>
          <w:bCs/>
          <w:lang w:val="en-US"/>
        </w:rPr>
        <w:t xml:space="preserve">and </w:t>
      </w:r>
      <w:r>
        <w:rPr>
          <w:bCs/>
          <w:i/>
          <w:lang w:val="en-US"/>
        </w:rPr>
        <w:t xml:space="preserve">FD </w:t>
      </w:r>
      <w:r>
        <w:rPr>
          <w:bCs/>
          <w:lang w:val="en-US"/>
        </w:rPr>
        <w:t>coefficients are also negative which, in turn, suggest that technological and financial development contribute to a lower income inequality.</w:t>
      </w:r>
    </w:p>
    <w:p w14:paraId="59DDEA66" w14:textId="77777777" w:rsidR="00401A64" w:rsidRDefault="00401A64" w:rsidP="00401A64">
      <w:pPr>
        <w:widowControl w:val="0"/>
        <w:ind w:firstLine="708"/>
        <w:jc w:val="both"/>
        <w:textAlignment w:val="top"/>
        <w:rPr>
          <w:bCs/>
          <w:lang w:val="en-US"/>
        </w:rPr>
      </w:pPr>
      <w:r>
        <w:rPr>
          <w:bCs/>
          <w:lang w:val="en-US"/>
        </w:rPr>
        <w:t xml:space="preserve">The </w:t>
      </w:r>
      <w:r>
        <w:rPr>
          <w:bCs/>
          <w:i/>
          <w:lang w:val="en-US"/>
        </w:rPr>
        <w:t xml:space="preserve">MW </w:t>
      </w:r>
      <w:r>
        <w:rPr>
          <w:bCs/>
          <w:lang w:val="en-US"/>
        </w:rPr>
        <w:t xml:space="preserve">coefficients are negative and statistically significant in the three specifications. This result indicates that the governmental policy of real increases in the minimum wages could be appropriate to combat income inequality. </w:t>
      </w:r>
      <w:r w:rsidRPr="00F66524">
        <w:rPr>
          <w:lang w:val="en-US"/>
        </w:rPr>
        <w:t xml:space="preserve">All specifications show that the coefficient of the </w:t>
      </w:r>
      <w:r>
        <w:rPr>
          <w:i/>
          <w:lang w:val="en-US"/>
        </w:rPr>
        <w:t>UNE</w:t>
      </w:r>
      <w:r w:rsidRPr="00F66524">
        <w:rPr>
          <w:lang w:val="en-US"/>
        </w:rPr>
        <w:t xml:space="preserve"> has statistical significance and positive sign. Th</w:t>
      </w:r>
      <w:r>
        <w:rPr>
          <w:lang w:val="en-US"/>
        </w:rPr>
        <w:t>is observation implies that high unemployment is associated with high inequality.</w:t>
      </w:r>
      <w:r>
        <w:rPr>
          <w:bCs/>
          <w:lang w:val="en-US"/>
        </w:rPr>
        <w:t xml:space="preserve"> The result concerning the effect of the variable </w:t>
      </w:r>
      <w:r>
        <w:rPr>
          <w:bCs/>
          <w:i/>
          <w:lang w:val="en-US"/>
        </w:rPr>
        <w:t xml:space="preserve">BF </w:t>
      </w:r>
      <w:r>
        <w:rPr>
          <w:bCs/>
          <w:lang w:val="en-US"/>
        </w:rPr>
        <w:t>(coefficient is negative and significant) leaves no doubt about the relation between the variables.</w:t>
      </w:r>
    </w:p>
    <w:p w14:paraId="31764244" w14:textId="77777777" w:rsidR="00401A64" w:rsidRDefault="00401A64" w:rsidP="00401A64">
      <w:pPr>
        <w:widowControl w:val="0"/>
        <w:ind w:firstLine="708"/>
        <w:jc w:val="both"/>
        <w:textAlignment w:val="top"/>
        <w:rPr>
          <w:bCs/>
          <w:lang w:val="en-US"/>
        </w:rPr>
      </w:pPr>
    </w:p>
    <w:p w14:paraId="20D9042B" w14:textId="77777777" w:rsidR="00401A64" w:rsidRDefault="00401A64" w:rsidP="00401A64">
      <w:pPr>
        <w:widowControl w:val="0"/>
        <w:ind w:firstLine="708"/>
        <w:jc w:val="both"/>
        <w:textAlignment w:val="top"/>
        <w:rPr>
          <w:bCs/>
          <w:lang w:val="en-US"/>
        </w:rPr>
      </w:pPr>
    </w:p>
    <w:p w14:paraId="4081BAD1" w14:textId="77777777" w:rsidR="00401A64" w:rsidRDefault="00401A64" w:rsidP="00401A64">
      <w:pPr>
        <w:widowControl w:val="0"/>
        <w:ind w:firstLine="708"/>
        <w:jc w:val="both"/>
        <w:textAlignment w:val="top"/>
        <w:rPr>
          <w:bCs/>
          <w:lang w:val="en-US"/>
        </w:rPr>
      </w:pPr>
    </w:p>
    <w:p w14:paraId="4BE8AB8F" w14:textId="77777777" w:rsidR="00401A64" w:rsidRDefault="00401A64" w:rsidP="00401A64">
      <w:pPr>
        <w:widowControl w:val="0"/>
        <w:ind w:firstLine="708"/>
        <w:jc w:val="both"/>
        <w:textAlignment w:val="top"/>
        <w:rPr>
          <w:bCs/>
          <w:lang w:val="en-US"/>
        </w:rPr>
      </w:pPr>
    </w:p>
    <w:p w14:paraId="380A594D" w14:textId="77777777" w:rsidR="00401A64" w:rsidRDefault="00401A64" w:rsidP="00401A64">
      <w:pPr>
        <w:widowControl w:val="0"/>
        <w:ind w:firstLine="708"/>
        <w:jc w:val="both"/>
        <w:textAlignment w:val="top"/>
        <w:rPr>
          <w:bCs/>
          <w:lang w:val="en-US"/>
        </w:rPr>
      </w:pPr>
    </w:p>
    <w:p w14:paraId="0010BC56" w14:textId="77777777" w:rsidR="00401A64" w:rsidRDefault="00401A64" w:rsidP="00401A64">
      <w:pPr>
        <w:widowControl w:val="0"/>
        <w:ind w:firstLine="708"/>
        <w:jc w:val="both"/>
        <w:textAlignment w:val="top"/>
        <w:rPr>
          <w:bCs/>
          <w:lang w:val="en-US"/>
        </w:rPr>
      </w:pPr>
    </w:p>
    <w:p w14:paraId="1D15EF29" w14:textId="77777777" w:rsidR="00401A64" w:rsidRDefault="00401A64" w:rsidP="00401A64">
      <w:pPr>
        <w:widowControl w:val="0"/>
        <w:ind w:firstLine="708"/>
        <w:jc w:val="both"/>
        <w:textAlignment w:val="top"/>
        <w:rPr>
          <w:bCs/>
          <w:lang w:val="en-US"/>
        </w:rPr>
      </w:pPr>
    </w:p>
    <w:p w14:paraId="6D84A90C" w14:textId="77777777" w:rsidR="00401A64" w:rsidRDefault="00401A64" w:rsidP="00401A64">
      <w:pPr>
        <w:widowControl w:val="0"/>
        <w:ind w:firstLine="708"/>
        <w:jc w:val="both"/>
        <w:textAlignment w:val="top"/>
        <w:rPr>
          <w:bCs/>
          <w:lang w:val="en-US"/>
        </w:rPr>
      </w:pPr>
    </w:p>
    <w:p w14:paraId="15561ED5" w14:textId="77777777" w:rsidR="00401A64" w:rsidRDefault="00401A64" w:rsidP="00401A64">
      <w:pPr>
        <w:widowControl w:val="0"/>
        <w:ind w:firstLine="708"/>
        <w:jc w:val="both"/>
        <w:textAlignment w:val="top"/>
        <w:rPr>
          <w:bCs/>
          <w:lang w:val="en-US"/>
        </w:rPr>
      </w:pPr>
    </w:p>
    <w:p w14:paraId="23E99365" w14:textId="77777777" w:rsidR="00401A64" w:rsidRDefault="00401A64" w:rsidP="00401A64">
      <w:pPr>
        <w:widowControl w:val="0"/>
        <w:ind w:firstLine="708"/>
        <w:jc w:val="both"/>
        <w:textAlignment w:val="top"/>
        <w:rPr>
          <w:bCs/>
          <w:lang w:val="en-US"/>
        </w:rPr>
      </w:pPr>
    </w:p>
    <w:p w14:paraId="52C83E24" w14:textId="77777777" w:rsidR="00401A64" w:rsidRDefault="00401A64" w:rsidP="00401A64">
      <w:pPr>
        <w:widowControl w:val="0"/>
        <w:ind w:firstLine="708"/>
        <w:jc w:val="both"/>
        <w:textAlignment w:val="top"/>
        <w:rPr>
          <w:bCs/>
          <w:lang w:val="en-US"/>
        </w:rPr>
      </w:pPr>
    </w:p>
    <w:p w14:paraId="6704CA9C" w14:textId="77777777" w:rsidR="00401A64" w:rsidRDefault="00401A64" w:rsidP="00401A64">
      <w:pPr>
        <w:widowControl w:val="0"/>
        <w:ind w:firstLine="708"/>
        <w:jc w:val="both"/>
        <w:textAlignment w:val="top"/>
        <w:rPr>
          <w:bCs/>
          <w:lang w:val="en-US"/>
        </w:rPr>
      </w:pPr>
    </w:p>
    <w:p w14:paraId="3DDDB337" w14:textId="77777777" w:rsidR="00401A64" w:rsidRDefault="00401A64" w:rsidP="00401A64">
      <w:pPr>
        <w:widowControl w:val="0"/>
        <w:ind w:firstLine="708"/>
        <w:jc w:val="both"/>
        <w:textAlignment w:val="top"/>
        <w:rPr>
          <w:bCs/>
          <w:lang w:val="en-US"/>
        </w:rPr>
      </w:pPr>
    </w:p>
    <w:p w14:paraId="7D311813" w14:textId="77777777" w:rsidR="00401A64" w:rsidRDefault="00401A64" w:rsidP="00401A64">
      <w:pPr>
        <w:widowControl w:val="0"/>
        <w:ind w:firstLine="708"/>
        <w:jc w:val="both"/>
        <w:textAlignment w:val="top"/>
        <w:rPr>
          <w:bCs/>
          <w:lang w:val="en-US"/>
        </w:rPr>
      </w:pPr>
    </w:p>
    <w:p w14:paraId="5F757B99" w14:textId="77777777" w:rsidR="00401A64" w:rsidRDefault="00401A64" w:rsidP="00401A64">
      <w:pPr>
        <w:widowControl w:val="0"/>
        <w:ind w:firstLine="708"/>
        <w:jc w:val="both"/>
        <w:textAlignment w:val="top"/>
        <w:rPr>
          <w:bCs/>
          <w:lang w:val="en-US"/>
        </w:rPr>
      </w:pPr>
    </w:p>
    <w:p w14:paraId="39138F99" w14:textId="77777777" w:rsidR="00401A64" w:rsidRDefault="00401A64" w:rsidP="00401A64">
      <w:pPr>
        <w:widowControl w:val="0"/>
        <w:ind w:firstLine="708"/>
        <w:jc w:val="both"/>
        <w:textAlignment w:val="top"/>
        <w:rPr>
          <w:bCs/>
          <w:lang w:val="en-US"/>
        </w:rPr>
      </w:pPr>
    </w:p>
    <w:p w14:paraId="3E78B374" w14:textId="77777777" w:rsidR="00401A64" w:rsidRDefault="00401A64" w:rsidP="00401A64">
      <w:pPr>
        <w:widowControl w:val="0"/>
        <w:ind w:firstLine="708"/>
        <w:jc w:val="both"/>
        <w:textAlignment w:val="top"/>
        <w:rPr>
          <w:bCs/>
          <w:lang w:val="en-US"/>
        </w:rPr>
      </w:pPr>
    </w:p>
    <w:p w14:paraId="37893EEF" w14:textId="77777777" w:rsidR="00401A64" w:rsidRDefault="00401A64" w:rsidP="00401A64">
      <w:pPr>
        <w:widowControl w:val="0"/>
        <w:ind w:firstLine="708"/>
        <w:jc w:val="both"/>
        <w:textAlignment w:val="top"/>
        <w:rPr>
          <w:bCs/>
          <w:lang w:val="en-US"/>
        </w:rPr>
      </w:pPr>
    </w:p>
    <w:p w14:paraId="27402FD7" w14:textId="77777777" w:rsidR="00401A64" w:rsidRDefault="00401A64" w:rsidP="00401A64">
      <w:pPr>
        <w:widowControl w:val="0"/>
        <w:ind w:firstLine="708"/>
        <w:jc w:val="both"/>
        <w:textAlignment w:val="top"/>
        <w:rPr>
          <w:bCs/>
          <w:lang w:val="en-US"/>
        </w:rPr>
      </w:pPr>
    </w:p>
    <w:p w14:paraId="64781CDA" w14:textId="77777777" w:rsidR="00401A64" w:rsidRDefault="00401A64" w:rsidP="00401A64">
      <w:pPr>
        <w:widowControl w:val="0"/>
        <w:ind w:firstLine="708"/>
        <w:jc w:val="both"/>
        <w:textAlignment w:val="top"/>
        <w:rPr>
          <w:bCs/>
          <w:lang w:val="en-US"/>
        </w:rPr>
      </w:pPr>
    </w:p>
    <w:p w14:paraId="6EF7B78D" w14:textId="77777777" w:rsidR="00401A64" w:rsidRDefault="00401A64" w:rsidP="00401A64">
      <w:pPr>
        <w:widowControl w:val="0"/>
        <w:ind w:firstLine="708"/>
        <w:jc w:val="both"/>
        <w:textAlignment w:val="top"/>
        <w:rPr>
          <w:bCs/>
          <w:lang w:val="en-US"/>
        </w:rPr>
      </w:pPr>
    </w:p>
    <w:p w14:paraId="30498CB1" w14:textId="77777777" w:rsidR="00401A64" w:rsidRDefault="00401A64" w:rsidP="00401A64">
      <w:pPr>
        <w:widowControl w:val="0"/>
        <w:ind w:firstLine="708"/>
        <w:jc w:val="both"/>
        <w:textAlignment w:val="top"/>
        <w:rPr>
          <w:bCs/>
          <w:lang w:val="en-US"/>
        </w:rPr>
      </w:pPr>
    </w:p>
    <w:p w14:paraId="10A72E82" w14:textId="77777777" w:rsidR="00401A64" w:rsidRDefault="00401A64" w:rsidP="00401A64">
      <w:pPr>
        <w:widowControl w:val="0"/>
        <w:ind w:firstLine="708"/>
        <w:jc w:val="both"/>
        <w:textAlignment w:val="top"/>
        <w:rPr>
          <w:bCs/>
          <w:lang w:val="en-US"/>
        </w:rPr>
      </w:pPr>
    </w:p>
    <w:p w14:paraId="78AFDA49" w14:textId="77777777" w:rsidR="00401A64" w:rsidRDefault="00401A64" w:rsidP="00401A64">
      <w:pPr>
        <w:widowControl w:val="0"/>
        <w:ind w:firstLine="708"/>
        <w:jc w:val="both"/>
        <w:textAlignment w:val="top"/>
        <w:rPr>
          <w:bCs/>
          <w:lang w:val="en-US"/>
        </w:rPr>
      </w:pPr>
    </w:p>
    <w:p w14:paraId="0D56110B" w14:textId="77777777" w:rsidR="00401A64" w:rsidRDefault="00401A64" w:rsidP="00401A64">
      <w:pPr>
        <w:widowControl w:val="0"/>
        <w:ind w:firstLine="708"/>
        <w:jc w:val="both"/>
        <w:textAlignment w:val="top"/>
        <w:rPr>
          <w:bCs/>
          <w:lang w:val="en-US"/>
        </w:rPr>
      </w:pPr>
    </w:p>
    <w:p w14:paraId="39D8837A" w14:textId="77777777" w:rsidR="00401A64" w:rsidRDefault="00401A64" w:rsidP="00401A64">
      <w:pPr>
        <w:widowControl w:val="0"/>
        <w:ind w:firstLine="708"/>
        <w:jc w:val="both"/>
        <w:textAlignment w:val="top"/>
        <w:rPr>
          <w:bCs/>
          <w:lang w:val="en-US"/>
        </w:rPr>
      </w:pPr>
    </w:p>
    <w:p w14:paraId="4238A6CD" w14:textId="77777777" w:rsidR="00401A64" w:rsidRDefault="00401A64" w:rsidP="00401A64">
      <w:pPr>
        <w:widowControl w:val="0"/>
        <w:ind w:firstLine="708"/>
        <w:jc w:val="both"/>
        <w:textAlignment w:val="top"/>
        <w:rPr>
          <w:bCs/>
          <w:lang w:val="en-US"/>
        </w:rPr>
      </w:pPr>
    </w:p>
    <w:p w14:paraId="1263EB41" w14:textId="77777777" w:rsidR="00401A64" w:rsidRDefault="00401A64" w:rsidP="00401A64">
      <w:pPr>
        <w:widowControl w:val="0"/>
        <w:ind w:firstLine="708"/>
        <w:jc w:val="both"/>
        <w:textAlignment w:val="top"/>
        <w:rPr>
          <w:bCs/>
          <w:lang w:val="en-US"/>
        </w:rPr>
      </w:pPr>
    </w:p>
    <w:p w14:paraId="1E44DBDB" w14:textId="77777777" w:rsidR="00401A64" w:rsidRDefault="00401A64" w:rsidP="00401A64">
      <w:pPr>
        <w:widowControl w:val="0"/>
        <w:ind w:firstLine="708"/>
        <w:jc w:val="both"/>
        <w:textAlignment w:val="top"/>
        <w:rPr>
          <w:bCs/>
          <w:lang w:val="en-US"/>
        </w:rPr>
      </w:pPr>
    </w:p>
    <w:p w14:paraId="52B31FB9" w14:textId="77777777" w:rsidR="00401A64" w:rsidRDefault="00401A64" w:rsidP="00401A64">
      <w:pPr>
        <w:widowControl w:val="0"/>
        <w:jc w:val="center"/>
        <w:textAlignment w:val="top"/>
        <w:rPr>
          <w:b/>
        </w:rPr>
      </w:pPr>
      <w:r w:rsidRPr="00EE4F63">
        <w:rPr>
          <w:b/>
        </w:rPr>
        <w:t xml:space="preserve">Table </w:t>
      </w:r>
      <w:r>
        <w:rPr>
          <w:b/>
        </w:rPr>
        <w:t>3</w:t>
      </w:r>
    </w:p>
    <w:p w14:paraId="3CD4DAC4" w14:textId="77777777" w:rsidR="00401A64" w:rsidRDefault="00401A64" w:rsidP="00401A64">
      <w:pPr>
        <w:widowControl w:val="0"/>
        <w:jc w:val="center"/>
        <w:textAlignment w:val="top"/>
      </w:pPr>
      <w:r>
        <w:rPr>
          <w:i/>
        </w:rPr>
        <w:t>GINI (system GMM)</w:t>
      </w:r>
    </w:p>
    <w:tbl>
      <w:tblPr>
        <w:tblW w:w="9356" w:type="dxa"/>
        <w:tblInd w:w="-176" w:type="dxa"/>
        <w:tblLook w:val="04A0" w:firstRow="1" w:lastRow="0" w:firstColumn="1" w:lastColumn="0" w:noHBand="0" w:noVBand="1"/>
      </w:tblPr>
      <w:tblGrid>
        <w:gridCol w:w="1161"/>
        <w:gridCol w:w="1173"/>
        <w:gridCol w:w="1173"/>
        <w:gridCol w:w="1156"/>
        <w:gridCol w:w="1173"/>
        <w:gridCol w:w="1173"/>
        <w:gridCol w:w="1173"/>
        <w:gridCol w:w="1174"/>
      </w:tblGrid>
      <w:tr w:rsidR="00401A64" w:rsidRPr="0047024D" w14:paraId="7F099AC3" w14:textId="77777777" w:rsidTr="00595B93">
        <w:tc>
          <w:tcPr>
            <w:tcW w:w="990" w:type="dxa"/>
            <w:tcBorders>
              <w:top w:val="double" w:sz="4" w:space="0" w:color="auto"/>
              <w:bottom w:val="single" w:sz="4" w:space="0" w:color="auto"/>
            </w:tcBorders>
          </w:tcPr>
          <w:p w14:paraId="4CD973E2" w14:textId="77777777" w:rsidR="00401A64" w:rsidRPr="0047024D" w:rsidRDefault="00401A64" w:rsidP="00595B93">
            <w:pPr>
              <w:widowControl w:val="0"/>
              <w:jc w:val="center"/>
              <w:textAlignment w:val="top"/>
              <w:rPr>
                <w:bCs/>
                <w:sz w:val="20"/>
                <w:szCs w:val="20"/>
                <w:lang w:val="en-US"/>
              </w:rPr>
            </w:pPr>
          </w:p>
        </w:tc>
        <w:tc>
          <w:tcPr>
            <w:tcW w:w="1195" w:type="dxa"/>
            <w:tcBorders>
              <w:top w:val="double" w:sz="4" w:space="0" w:color="auto"/>
              <w:bottom w:val="single" w:sz="4" w:space="0" w:color="auto"/>
            </w:tcBorders>
          </w:tcPr>
          <w:p w14:paraId="4D3F8768" w14:textId="77777777" w:rsidR="00401A64" w:rsidRPr="0047024D" w:rsidRDefault="00401A64" w:rsidP="00595B93">
            <w:pPr>
              <w:widowControl w:val="0"/>
              <w:jc w:val="center"/>
              <w:textAlignment w:val="top"/>
              <w:rPr>
                <w:bCs/>
                <w:i/>
                <w:sz w:val="20"/>
                <w:szCs w:val="20"/>
                <w:lang w:val="en-US"/>
              </w:rPr>
            </w:pPr>
            <w:r w:rsidRPr="0047024D">
              <w:rPr>
                <w:bCs/>
                <w:i/>
                <w:sz w:val="20"/>
                <w:szCs w:val="20"/>
                <w:lang w:val="en-US"/>
              </w:rPr>
              <w:t>Eq. 1</w:t>
            </w:r>
          </w:p>
        </w:tc>
        <w:tc>
          <w:tcPr>
            <w:tcW w:w="1195" w:type="dxa"/>
            <w:tcBorders>
              <w:top w:val="double" w:sz="4" w:space="0" w:color="auto"/>
              <w:bottom w:val="single" w:sz="4" w:space="0" w:color="auto"/>
            </w:tcBorders>
          </w:tcPr>
          <w:p w14:paraId="193A869D" w14:textId="77777777" w:rsidR="00401A64" w:rsidRPr="0047024D" w:rsidRDefault="00401A64" w:rsidP="00595B93">
            <w:pPr>
              <w:widowControl w:val="0"/>
              <w:jc w:val="center"/>
              <w:textAlignment w:val="top"/>
              <w:rPr>
                <w:bCs/>
                <w:i/>
                <w:sz w:val="20"/>
                <w:szCs w:val="20"/>
                <w:lang w:val="en-US"/>
              </w:rPr>
            </w:pPr>
            <w:r w:rsidRPr="0047024D">
              <w:rPr>
                <w:bCs/>
                <w:i/>
                <w:sz w:val="20"/>
                <w:szCs w:val="20"/>
                <w:lang w:val="en-US"/>
              </w:rPr>
              <w:t>Eq. 2</w:t>
            </w:r>
          </w:p>
        </w:tc>
        <w:tc>
          <w:tcPr>
            <w:tcW w:w="1195" w:type="dxa"/>
            <w:tcBorders>
              <w:top w:val="double" w:sz="4" w:space="0" w:color="auto"/>
              <w:bottom w:val="single" w:sz="4" w:space="0" w:color="auto"/>
            </w:tcBorders>
          </w:tcPr>
          <w:p w14:paraId="754AE2BD" w14:textId="77777777" w:rsidR="00401A64" w:rsidRPr="0047024D" w:rsidRDefault="00401A64" w:rsidP="00595B93">
            <w:pPr>
              <w:widowControl w:val="0"/>
              <w:jc w:val="center"/>
              <w:textAlignment w:val="top"/>
              <w:rPr>
                <w:bCs/>
                <w:i/>
                <w:sz w:val="20"/>
                <w:szCs w:val="20"/>
                <w:lang w:val="en-US"/>
              </w:rPr>
            </w:pPr>
            <w:r w:rsidRPr="0047024D">
              <w:rPr>
                <w:bCs/>
                <w:i/>
                <w:sz w:val="20"/>
                <w:szCs w:val="20"/>
                <w:lang w:val="en-US"/>
              </w:rPr>
              <w:t>Eq. 3</w:t>
            </w:r>
          </w:p>
        </w:tc>
        <w:tc>
          <w:tcPr>
            <w:tcW w:w="1195" w:type="dxa"/>
            <w:tcBorders>
              <w:top w:val="double" w:sz="4" w:space="0" w:color="auto"/>
              <w:bottom w:val="single" w:sz="4" w:space="0" w:color="auto"/>
            </w:tcBorders>
          </w:tcPr>
          <w:p w14:paraId="54E96538" w14:textId="77777777" w:rsidR="00401A64" w:rsidRPr="0047024D" w:rsidRDefault="00401A64" w:rsidP="00595B93">
            <w:pPr>
              <w:widowControl w:val="0"/>
              <w:jc w:val="center"/>
              <w:textAlignment w:val="top"/>
              <w:rPr>
                <w:bCs/>
                <w:i/>
                <w:sz w:val="20"/>
                <w:szCs w:val="20"/>
                <w:lang w:val="en-US"/>
              </w:rPr>
            </w:pPr>
            <w:r w:rsidRPr="0047024D">
              <w:rPr>
                <w:bCs/>
                <w:i/>
                <w:sz w:val="20"/>
                <w:szCs w:val="20"/>
                <w:lang w:val="en-US"/>
              </w:rPr>
              <w:t>Eq. 4</w:t>
            </w:r>
          </w:p>
        </w:tc>
        <w:tc>
          <w:tcPr>
            <w:tcW w:w="1195" w:type="dxa"/>
            <w:tcBorders>
              <w:top w:val="double" w:sz="4" w:space="0" w:color="auto"/>
              <w:bottom w:val="single" w:sz="4" w:space="0" w:color="auto"/>
            </w:tcBorders>
          </w:tcPr>
          <w:p w14:paraId="18DCF93A" w14:textId="77777777" w:rsidR="00401A64" w:rsidRPr="0047024D" w:rsidRDefault="00401A64" w:rsidP="00595B93">
            <w:pPr>
              <w:widowControl w:val="0"/>
              <w:jc w:val="center"/>
              <w:textAlignment w:val="top"/>
              <w:rPr>
                <w:bCs/>
                <w:i/>
                <w:sz w:val="20"/>
                <w:szCs w:val="20"/>
                <w:lang w:val="en-US"/>
              </w:rPr>
            </w:pPr>
            <w:r w:rsidRPr="0047024D">
              <w:rPr>
                <w:bCs/>
                <w:i/>
                <w:sz w:val="20"/>
                <w:szCs w:val="20"/>
                <w:lang w:val="en-US"/>
              </w:rPr>
              <w:t>Eq. 5</w:t>
            </w:r>
          </w:p>
        </w:tc>
        <w:tc>
          <w:tcPr>
            <w:tcW w:w="1195" w:type="dxa"/>
            <w:tcBorders>
              <w:top w:val="double" w:sz="4" w:space="0" w:color="auto"/>
              <w:bottom w:val="single" w:sz="4" w:space="0" w:color="auto"/>
            </w:tcBorders>
          </w:tcPr>
          <w:p w14:paraId="7051DE6A" w14:textId="77777777" w:rsidR="00401A64" w:rsidRPr="0047024D" w:rsidRDefault="00401A64" w:rsidP="00595B93">
            <w:pPr>
              <w:widowControl w:val="0"/>
              <w:jc w:val="center"/>
              <w:textAlignment w:val="top"/>
              <w:rPr>
                <w:bCs/>
                <w:i/>
                <w:sz w:val="20"/>
                <w:szCs w:val="20"/>
                <w:lang w:val="en-US"/>
              </w:rPr>
            </w:pPr>
            <w:r w:rsidRPr="0047024D">
              <w:rPr>
                <w:bCs/>
                <w:i/>
                <w:sz w:val="20"/>
                <w:szCs w:val="20"/>
                <w:lang w:val="en-US"/>
              </w:rPr>
              <w:t>Eq. 6</w:t>
            </w:r>
          </w:p>
        </w:tc>
        <w:tc>
          <w:tcPr>
            <w:tcW w:w="1196" w:type="dxa"/>
            <w:tcBorders>
              <w:top w:val="double" w:sz="4" w:space="0" w:color="auto"/>
              <w:bottom w:val="single" w:sz="4" w:space="0" w:color="auto"/>
            </w:tcBorders>
          </w:tcPr>
          <w:p w14:paraId="0FCE7921" w14:textId="77777777" w:rsidR="00401A64" w:rsidRPr="0047024D" w:rsidRDefault="00401A64" w:rsidP="00595B93">
            <w:pPr>
              <w:widowControl w:val="0"/>
              <w:jc w:val="center"/>
              <w:textAlignment w:val="top"/>
              <w:rPr>
                <w:bCs/>
                <w:i/>
                <w:sz w:val="20"/>
                <w:szCs w:val="20"/>
                <w:lang w:val="en-US"/>
              </w:rPr>
            </w:pPr>
            <w:r w:rsidRPr="0047024D">
              <w:rPr>
                <w:bCs/>
                <w:i/>
                <w:sz w:val="20"/>
                <w:szCs w:val="20"/>
                <w:lang w:val="en-US"/>
              </w:rPr>
              <w:t>Eq. 7</w:t>
            </w:r>
          </w:p>
        </w:tc>
      </w:tr>
      <w:tr w:rsidR="00401A64" w:rsidRPr="0047024D" w14:paraId="359909B7" w14:textId="77777777" w:rsidTr="00595B93">
        <w:tc>
          <w:tcPr>
            <w:tcW w:w="990" w:type="dxa"/>
            <w:tcBorders>
              <w:top w:val="single" w:sz="4" w:space="0" w:color="auto"/>
            </w:tcBorders>
          </w:tcPr>
          <w:p w14:paraId="2E831863" w14:textId="77777777" w:rsidR="00401A64" w:rsidRPr="0047024D" w:rsidRDefault="00401A64" w:rsidP="00595B93">
            <w:pPr>
              <w:widowControl w:val="0"/>
              <w:spacing w:before="60"/>
              <w:jc w:val="center"/>
              <w:textAlignment w:val="top"/>
              <w:rPr>
                <w:bCs/>
                <w:i/>
                <w:sz w:val="20"/>
                <w:szCs w:val="20"/>
                <w:lang w:val="en-US"/>
              </w:rPr>
            </w:pPr>
            <w:r w:rsidRPr="0047024D">
              <w:rPr>
                <w:bCs/>
                <w:i/>
                <w:sz w:val="20"/>
                <w:szCs w:val="20"/>
                <w:lang w:val="en-US"/>
              </w:rPr>
              <w:t>GINI</w:t>
            </w:r>
            <w:r w:rsidRPr="0047024D">
              <w:rPr>
                <w:bCs/>
                <w:i/>
                <w:sz w:val="20"/>
                <w:szCs w:val="20"/>
                <w:vertAlign w:val="subscript"/>
                <w:lang w:val="en-US"/>
              </w:rPr>
              <w:t>i,t-1</w:t>
            </w:r>
          </w:p>
        </w:tc>
        <w:tc>
          <w:tcPr>
            <w:tcW w:w="1195" w:type="dxa"/>
            <w:tcBorders>
              <w:top w:val="single" w:sz="4" w:space="0" w:color="auto"/>
            </w:tcBorders>
          </w:tcPr>
          <w:p w14:paraId="764B5704"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0.3661**</w:t>
            </w:r>
          </w:p>
          <w:p w14:paraId="4356387A"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(0.1542)</w:t>
            </w:r>
          </w:p>
          <w:p w14:paraId="5DC17C41"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[2.3728]</w:t>
            </w:r>
          </w:p>
        </w:tc>
        <w:tc>
          <w:tcPr>
            <w:tcW w:w="1195" w:type="dxa"/>
            <w:tcBorders>
              <w:top w:val="single" w:sz="4" w:space="0" w:color="auto"/>
            </w:tcBorders>
          </w:tcPr>
          <w:p w14:paraId="62C8C4F2"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0.2312*</w:t>
            </w:r>
          </w:p>
          <w:p w14:paraId="4B385101"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(0.1328)</w:t>
            </w:r>
          </w:p>
          <w:p w14:paraId="4A886C14"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[1.7409]</w:t>
            </w:r>
          </w:p>
        </w:tc>
        <w:tc>
          <w:tcPr>
            <w:tcW w:w="1195" w:type="dxa"/>
            <w:tcBorders>
              <w:top w:val="single" w:sz="4" w:space="0" w:color="auto"/>
            </w:tcBorders>
          </w:tcPr>
          <w:p w14:paraId="6EA71780"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0.0311</w:t>
            </w:r>
          </w:p>
          <w:p w14:paraId="1B3D7A58"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(0.2349)</w:t>
            </w:r>
          </w:p>
          <w:p w14:paraId="208B4ABA"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[0.1323]</w:t>
            </w:r>
          </w:p>
        </w:tc>
        <w:tc>
          <w:tcPr>
            <w:tcW w:w="1195" w:type="dxa"/>
            <w:tcBorders>
              <w:top w:val="single" w:sz="4" w:space="0" w:color="auto"/>
            </w:tcBorders>
          </w:tcPr>
          <w:p w14:paraId="1ABE835C"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0.1436</w:t>
            </w:r>
          </w:p>
          <w:p w14:paraId="19C22655"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(0.1679)</w:t>
            </w:r>
          </w:p>
          <w:p w14:paraId="4845506A"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[0.8557]</w:t>
            </w:r>
          </w:p>
        </w:tc>
        <w:tc>
          <w:tcPr>
            <w:tcW w:w="1195" w:type="dxa"/>
            <w:tcBorders>
              <w:top w:val="single" w:sz="4" w:space="0" w:color="auto"/>
            </w:tcBorders>
          </w:tcPr>
          <w:p w14:paraId="262ABB91"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0.3959**</w:t>
            </w:r>
          </w:p>
          <w:p w14:paraId="506A60F9"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(0.1888)</w:t>
            </w:r>
          </w:p>
          <w:p w14:paraId="1C170C3F"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[-2.0970]</w:t>
            </w:r>
          </w:p>
        </w:tc>
        <w:tc>
          <w:tcPr>
            <w:tcW w:w="1195" w:type="dxa"/>
            <w:tcBorders>
              <w:top w:val="single" w:sz="4" w:space="0" w:color="auto"/>
            </w:tcBorders>
          </w:tcPr>
          <w:p w14:paraId="3B3D93EB"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0.2413*</w:t>
            </w:r>
          </w:p>
          <w:p w14:paraId="44607FB4"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(0.1275)</w:t>
            </w:r>
          </w:p>
          <w:p w14:paraId="450FF45B"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[1.8922]</w:t>
            </w:r>
          </w:p>
        </w:tc>
        <w:tc>
          <w:tcPr>
            <w:tcW w:w="1196" w:type="dxa"/>
            <w:tcBorders>
              <w:top w:val="single" w:sz="4" w:space="0" w:color="auto"/>
            </w:tcBorders>
          </w:tcPr>
          <w:p w14:paraId="101E2A58"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0.6734***</w:t>
            </w:r>
          </w:p>
          <w:p w14:paraId="704B18EE"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(0.1583)</w:t>
            </w:r>
          </w:p>
          <w:p w14:paraId="0C084DB0"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[4.2536]</w:t>
            </w:r>
          </w:p>
        </w:tc>
      </w:tr>
      <w:tr w:rsidR="00401A64" w:rsidRPr="0047024D" w14:paraId="06E2719E" w14:textId="77777777" w:rsidTr="00595B93">
        <w:tc>
          <w:tcPr>
            <w:tcW w:w="990" w:type="dxa"/>
          </w:tcPr>
          <w:p w14:paraId="4B1694D6" w14:textId="77777777" w:rsidR="00401A64" w:rsidRPr="0047024D" w:rsidRDefault="00401A64" w:rsidP="00595B93">
            <w:pPr>
              <w:widowControl w:val="0"/>
              <w:spacing w:before="60"/>
              <w:jc w:val="center"/>
              <w:textAlignment w:val="top"/>
              <w:rPr>
                <w:bCs/>
                <w:i/>
                <w:sz w:val="20"/>
                <w:szCs w:val="20"/>
                <w:lang w:val="en-US"/>
              </w:rPr>
            </w:pPr>
            <w:r w:rsidRPr="0047024D">
              <w:rPr>
                <w:bCs/>
                <w:i/>
                <w:sz w:val="20"/>
                <w:szCs w:val="20"/>
                <w:lang w:val="en-US"/>
              </w:rPr>
              <w:lastRenderedPageBreak/>
              <w:t>OPEN</w:t>
            </w:r>
            <w:r w:rsidRPr="0047024D">
              <w:rPr>
                <w:bCs/>
                <w:i/>
                <w:sz w:val="20"/>
                <w:szCs w:val="20"/>
                <w:vertAlign w:val="subscript"/>
                <w:lang w:val="en-US"/>
              </w:rPr>
              <w:t>i,t-1</w:t>
            </w:r>
          </w:p>
        </w:tc>
        <w:tc>
          <w:tcPr>
            <w:tcW w:w="1195" w:type="dxa"/>
          </w:tcPr>
          <w:p w14:paraId="3C58AA09"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-0.3450***</w:t>
            </w:r>
          </w:p>
          <w:p w14:paraId="3080025F"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(0.0945)</w:t>
            </w:r>
          </w:p>
          <w:p w14:paraId="39E7CDF4"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[-3.6483]</w:t>
            </w:r>
          </w:p>
        </w:tc>
        <w:tc>
          <w:tcPr>
            <w:tcW w:w="1195" w:type="dxa"/>
          </w:tcPr>
          <w:p w14:paraId="0CD4E282"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-0.3036***</w:t>
            </w:r>
          </w:p>
          <w:p w14:paraId="5E025909"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(0.0970)</w:t>
            </w:r>
          </w:p>
          <w:p w14:paraId="1B1E96DF"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[-3.1281]</w:t>
            </w:r>
          </w:p>
        </w:tc>
        <w:tc>
          <w:tcPr>
            <w:tcW w:w="1195" w:type="dxa"/>
          </w:tcPr>
          <w:p w14:paraId="7F8EB25D"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-0.2307*</w:t>
            </w:r>
          </w:p>
          <w:p w14:paraId="205D9352"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(0.1377)</w:t>
            </w:r>
          </w:p>
          <w:p w14:paraId="40E97C3E"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[-1.6747]</w:t>
            </w:r>
          </w:p>
        </w:tc>
        <w:tc>
          <w:tcPr>
            <w:tcW w:w="1195" w:type="dxa"/>
          </w:tcPr>
          <w:p w14:paraId="58502CFD"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-0.2586**</w:t>
            </w:r>
          </w:p>
          <w:p w14:paraId="16DAD748"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(0.0818)</w:t>
            </w:r>
          </w:p>
          <w:p w14:paraId="648191D0"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[-3.1578]</w:t>
            </w:r>
          </w:p>
        </w:tc>
        <w:tc>
          <w:tcPr>
            <w:tcW w:w="1195" w:type="dxa"/>
          </w:tcPr>
          <w:p w14:paraId="59C3BC4A"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-0.2899***</w:t>
            </w:r>
          </w:p>
          <w:p w14:paraId="451B5A05"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(0.1055)</w:t>
            </w:r>
          </w:p>
          <w:p w14:paraId="45594450"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[-2.7472]</w:t>
            </w:r>
          </w:p>
        </w:tc>
        <w:tc>
          <w:tcPr>
            <w:tcW w:w="1195" w:type="dxa"/>
          </w:tcPr>
          <w:p w14:paraId="0C9E8A61"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-0.2735***</w:t>
            </w:r>
          </w:p>
          <w:p w14:paraId="392F727F"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(0.0801)</w:t>
            </w:r>
          </w:p>
          <w:p w14:paraId="6C484202"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[-3.4104]</w:t>
            </w:r>
          </w:p>
        </w:tc>
        <w:tc>
          <w:tcPr>
            <w:tcW w:w="1196" w:type="dxa"/>
          </w:tcPr>
          <w:p w14:paraId="2B1938B2"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-0.2812**</w:t>
            </w:r>
          </w:p>
          <w:p w14:paraId="01A0C2C9"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(0.1083)</w:t>
            </w:r>
          </w:p>
          <w:p w14:paraId="0F5D3C64"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[-2.5960]</w:t>
            </w:r>
          </w:p>
        </w:tc>
      </w:tr>
      <w:tr w:rsidR="00401A64" w:rsidRPr="0047024D" w14:paraId="0DE34D09" w14:textId="77777777" w:rsidTr="00595B93">
        <w:tc>
          <w:tcPr>
            <w:tcW w:w="990" w:type="dxa"/>
          </w:tcPr>
          <w:p w14:paraId="382D7C99" w14:textId="77777777" w:rsidR="00401A64" w:rsidRPr="0047024D" w:rsidRDefault="00401A64" w:rsidP="00595B93">
            <w:pPr>
              <w:widowControl w:val="0"/>
              <w:spacing w:before="60"/>
              <w:jc w:val="center"/>
              <w:textAlignment w:val="top"/>
              <w:rPr>
                <w:bCs/>
                <w:i/>
                <w:sz w:val="20"/>
                <w:szCs w:val="20"/>
                <w:lang w:val="en-US"/>
              </w:rPr>
            </w:pPr>
            <w:r w:rsidRPr="0047024D">
              <w:rPr>
                <w:bCs/>
                <w:i/>
                <w:sz w:val="20"/>
                <w:szCs w:val="20"/>
                <w:lang w:val="en-US"/>
              </w:rPr>
              <w:t>PAT</w:t>
            </w:r>
            <w:r w:rsidRPr="0047024D">
              <w:rPr>
                <w:bCs/>
                <w:i/>
                <w:sz w:val="20"/>
                <w:szCs w:val="20"/>
                <w:vertAlign w:val="subscript"/>
                <w:lang w:val="en-US"/>
              </w:rPr>
              <w:t>,t-1</w:t>
            </w:r>
          </w:p>
        </w:tc>
        <w:tc>
          <w:tcPr>
            <w:tcW w:w="1195" w:type="dxa"/>
          </w:tcPr>
          <w:p w14:paraId="4411D2A2"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-0.1815*</w:t>
            </w:r>
          </w:p>
          <w:p w14:paraId="7ACA794C"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(0.0998)</w:t>
            </w:r>
          </w:p>
          <w:p w14:paraId="449C60C1"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[-1.8189]</w:t>
            </w:r>
          </w:p>
        </w:tc>
        <w:tc>
          <w:tcPr>
            <w:tcW w:w="1195" w:type="dxa"/>
          </w:tcPr>
          <w:p w14:paraId="3E38A79A"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-0.2217**</w:t>
            </w:r>
          </w:p>
          <w:p w14:paraId="1E829078"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(0.1053)</w:t>
            </w:r>
          </w:p>
          <w:p w14:paraId="11ED170D"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[-2.1061]</w:t>
            </w:r>
          </w:p>
        </w:tc>
        <w:tc>
          <w:tcPr>
            <w:tcW w:w="1195" w:type="dxa"/>
          </w:tcPr>
          <w:p w14:paraId="4F99FDD3"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-0.1132</w:t>
            </w:r>
          </w:p>
          <w:p w14:paraId="61AB7904"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(0.0861)</w:t>
            </w:r>
          </w:p>
          <w:p w14:paraId="0A4E87D7"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[-1.3146]</w:t>
            </w:r>
          </w:p>
        </w:tc>
        <w:tc>
          <w:tcPr>
            <w:tcW w:w="1195" w:type="dxa"/>
          </w:tcPr>
          <w:p w14:paraId="01BE007A"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-0.1983***</w:t>
            </w:r>
          </w:p>
          <w:p w14:paraId="7124F2BA"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(0.0704)</w:t>
            </w:r>
          </w:p>
          <w:p w14:paraId="3180C26F"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[-2.8172]</w:t>
            </w:r>
          </w:p>
        </w:tc>
        <w:tc>
          <w:tcPr>
            <w:tcW w:w="1195" w:type="dxa"/>
          </w:tcPr>
          <w:p w14:paraId="33AFE648"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-0.2195</w:t>
            </w:r>
          </w:p>
          <w:p w14:paraId="7E221658"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(0.1685)</w:t>
            </w:r>
          </w:p>
          <w:p w14:paraId="7CC02507"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[-1.3027]</w:t>
            </w:r>
          </w:p>
        </w:tc>
        <w:tc>
          <w:tcPr>
            <w:tcW w:w="1195" w:type="dxa"/>
          </w:tcPr>
          <w:p w14:paraId="72596F82"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-0.2194**</w:t>
            </w:r>
          </w:p>
          <w:p w14:paraId="6C17B2B4"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(0.0862)</w:t>
            </w:r>
          </w:p>
          <w:p w14:paraId="642F938E"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[-2.5435]</w:t>
            </w:r>
          </w:p>
        </w:tc>
        <w:tc>
          <w:tcPr>
            <w:tcW w:w="1196" w:type="dxa"/>
          </w:tcPr>
          <w:p w14:paraId="103CABA5"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-0.1286</w:t>
            </w:r>
          </w:p>
          <w:p w14:paraId="0291927E"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(0.1211)</w:t>
            </w:r>
          </w:p>
          <w:p w14:paraId="25AD8C12"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[-1.0614]</w:t>
            </w:r>
          </w:p>
        </w:tc>
      </w:tr>
      <w:tr w:rsidR="00401A64" w:rsidRPr="0047024D" w14:paraId="42FF049F" w14:textId="77777777" w:rsidTr="00595B93">
        <w:tc>
          <w:tcPr>
            <w:tcW w:w="990" w:type="dxa"/>
          </w:tcPr>
          <w:p w14:paraId="640F091D" w14:textId="77777777" w:rsidR="00401A64" w:rsidRPr="0047024D" w:rsidRDefault="00401A64" w:rsidP="00595B93">
            <w:pPr>
              <w:widowControl w:val="0"/>
              <w:spacing w:before="60"/>
              <w:jc w:val="center"/>
              <w:textAlignment w:val="top"/>
              <w:rPr>
                <w:bCs/>
                <w:i/>
                <w:sz w:val="20"/>
                <w:szCs w:val="20"/>
                <w:lang w:val="en-US"/>
              </w:rPr>
            </w:pPr>
            <w:r w:rsidRPr="0047024D">
              <w:rPr>
                <w:bCs/>
                <w:i/>
                <w:sz w:val="20"/>
                <w:szCs w:val="20"/>
                <w:lang w:val="en-US"/>
              </w:rPr>
              <w:t>FD</w:t>
            </w:r>
            <w:r w:rsidRPr="0047024D">
              <w:rPr>
                <w:bCs/>
                <w:i/>
                <w:sz w:val="20"/>
                <w:szCs w:val="20"/>
                <w:vertAlign w:val="subscript"/>
                <w:lang w:val="en-US"/>
              </w:rPr>
              <w:t>i,t-1</w:t>
            </w:r>
          </w:p>
        </w:tc>
        <w:tc>
          <w:tcPr>
            <w:tcW w:w="1195" w:type="dxa"/>
          </w:tcPr>
          <w:p w14:paraId="2FDD9C3D"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-0.5812*</w:t>
            </w:r>
          </w:p>
          <w:p w14:paraId="63BFAFEB"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(0.3196)</w:t>
            </w:r>
          </w:p>
          <w:p w14:paraId="4BCCA974"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[-1.8184]</w:t>
            </w:r>
          </w:p>
        </w:tc>
        <w:tc>
          <w:tcPr>
            <w:tcW w:w="1195" w:type="dxa"/>
          </w:tcPr>
          <w:p w14:paraId="058DB43D"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-0.6857**</w:t>
            </w:r>
          </w:p>
          <w:p w14:paraId="28484D9F"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(0.3032)</w:t>
            </w:r>
          </w:p>
          <w:p w14:paraId="78D68ED8"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[-2.2617]</w:t>
            </w:r>
          </w:p>
        </w:tc>
        <w:tc>
          <w:tcPr>
            <w:tcW w:w="1195" w:type="dxa"/>
          </w:tcPr>
          <w:p w14:paraId="5A32FC9D"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-0.6188**</w:t>
            </w:r>
          </w:p>
          <w:p w14:paraId="7111EE85"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(0.2503)</w:t>
            </w:r>
          </w:p>
          <w:p w14:paraId="57F85C33"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[-2.4715]</w:t>
            </w:r>
          </w:p>
        </w:tc>
        <w:tc>
          <w:tcPr>
            <w:tcW w:w="1195" w:type="dxa"/>
          </w:tcPr>
          <w:p w14:paraId="6DF60257"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-0.3778*</w:t>
            </w:r>
          </w:p>
          <w:p w14:paraId="11C4C070"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(0.2276)</w:t>
            </w:r>
          </w:p>
          <w:p w14:paraId="441753D7"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[-1.6603]</w:t>
            </w:r>
          </w:p>
        </w:tc>
        <w:tc>
          <w:tcPr>
            <w:tcW w:w="1195" w:type="dxa"/>
          </w:tcPr>
          <w:p w14:paraId="4DF84010"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-0.6792*</w:t>
            </w:r>
          </w:p>
          <w:p w14:paraId="47BE814D"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(0.3718)</w:t>
            </w:r>
          </w:p>
          <w:p w14:paraId="7273387E"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[-1.8265]</w:t>
            </w:r>
          </w:p>
        </w:tc>
        <w:tc>
          <w:tcPr>
            <w:tcW w:w="1195" w:type="dxa"/>
          </w:tcPr>
          <w:p w14:paraId="494B2B97"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-0.4910*</w:t>
            </w:r>
          </w:p>
          <w:p w14:paraId="63D41665"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(0.2560)</w:t>
            </w:r>
          </w:p>
          <w:p w14:paraId="5A6C1906"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[-1.9179]</w:t>
            </w:r>
          </w:p>
        </w:tc>
        <w:tc>
          <w:tcPr>
            <w:tcW w:w="1196" w:type="dxa"/>
          </w:tcPr>
          <w:p w14:paraId="0008F072"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-0.2623</w:t>
            </w:r>
          </w:p>
          <w:p w14:paraId="71FD0327"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(0.3304)</w:t>
            </w:r>
          </w:p>
          <w:p w14:paraId="126EE2C9"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[-0.7940]</w:t>
            </w:r>
          </w:p>
        </w:tc>
      </w:tr>
      <w:tr w:rsidR="00401A64" w:rsidRPr="0047024D" w14:paraId="041746DF" w14:textId="77777777" w:rsidTr="00595B93">
        <w:tc>
          <w:tcPr>
            <w:tcW w:w="990" w:type="dxa"/>
          </w:tcPr>
          <w:p w14:paraId="4C612C2A" w14:textId="77777777" w:rsidR="00401A64" w:rsidRPr="0047024D" w:rsidRDefault="00401A64" w:rsidP="00595B93">
            <w:pPr>
              <w:widowControl w:val="0"/>
              <w:spacing w:before="60"/>
              <w:jc w:val="center"/>
              <w:textAlignment w:val="top"/>
              <w:rPr>
                <w:bCs/>
                <w:i/>
                <w:sz w:val="20"/>
                <w:szCs w:val="20"/>
                <w:lang w:val="en-US"/>
              </w:rPr>
            </w:pPr>
            <w:r w:rsidRPr="0047024D">
              <w:rPr>
                <w:bCs/>
                <w:i/>
                <w:sz w:val="20"/>
                <w:szCs w:val="20"/>
                <w:lang w:val="en-US"/>
              </w:rPr>
              <w:t>MW</w:t>
            </w:r>
            <w:r w:rsidRPr="0047024D">
              <w:rPr>
                <w:bCs/>
                <w:i/>
                <w:sz w:val="20"/>
                <w:szCs w:val="20"/>
                <w:vertAlign w:val="subscript"/>
                <w:lang w:val="en-US"/>
              </w:rPr>
              <w:t>i,t-1</w:t>
            </w:r>
          </w:p>
        </w:tc>
        <w:tc>
          <w:tcPr>
            <w:tcW w:w="1195" w:type="dxa"/>
          </w:tcPr>
          <w:p w14:paraId="46E83062" w14:textId="77777777" w:rsidR="00401A64" w:rsidRPr="0047024D" w:rsidRDefault="00401A64" w:rsidP="00595B93">
            <w:pPr>
              <w:widowControl w:val="0"/>
              <w:jc w:val="center"/>
              <w:textAlignment w:val="top"/>
              <w:rPr>
                <w:bCs/>
                <w:sz w:val="20"/>
                <w:szCs w:val="20"/>
                <w:lang w:val="en-US"/>
              </w:rPr>
            </w:pPr>
          </w:p>
        </w:tc>
        <w:tc>
          <w:tcPr>
            <w:tcW w:w="1195" w:type="dxa"/>
          </w:tcPr>
          <w:p w14:paraId="5494F35F"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-0.0641*</w:t>
            </w:r>
          </w:p>
          <w:p w14:paraId="71496032"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(0.0383)</w:t>
            </w:r>
          </w:p>
          <w:p w14:paraId="26FC5274"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[-1.6697]</w:t>
            </w:r>
          </w:p>
        </w:tc>
        <w:tc>
          <w:tcPr>
            <w:tcW w:w="1195" w:type="dxa"/>
          </w:tcPr>
          <w:p w14:paraId="38F40262" w14:textId="77777777" w:rsidR="00401A64" w:rsidRPr="0047024D" w:rsidRDefault="00401A64" w:rsidP="00595B93">
            <w:pPr>
              <w:widowControl w:val="0"/>
              <w:jc w:val="center"/>
              <w:textAlignment w:val="top"/>
              <w:rPr>
                <w:bCs/>
                <w:sz w:val="20"/>
                <w:szCs w:val="20"/>
                <w:lang w:val="en-US"/>
              </w:rPr>
            </w:pPr>
          </w:p>
        </w:tc>
        <w:tc>
          <w:tcPr>
            <w:tcW w:w="1195" w:type="dxa"/>
          </w:tcPr>
          <w:p w14:paraId="040C4611" w14:textId="77777777" w:rsidR="00401A64" w:rsidRPr="0047024D" w:rsidRDefault="00401A64" w:rsidP="00595B93">
            <w:pPr>
              <w:widowControl w:val="0"/>
              <w:jc w:val="center"/>
              <w:textAlignment w:val="top"/>
              <w:rPr>
                <w:bCs/>
                <w:sz w:val="20"/>
                <w:szCs w:val="20"/>
                <w:lang w:val="en-US"/>
              </w:rPr>
            </w:pPr>
          </w:p>
        </w:tc>
        <w:tc>
          <w:tcPr>
            <w:tcW w:w="1195" w:type="dxa"/>
          </w:tcPr>
          <w:p w14:paraId="65E8B332" w14:textId="77777777" w:rsidR="00401A64" w:rsidRPr="0047024D" w:rsidRDefault="00401A64" w:rsidP="00595B93">
            <w:pPr>
              <w:widowControl w:val="0"/>
              <w:jc w:val="center"/>
              <w:textAlignment w:val="top"/>
              <w:rPr>
                <w:bCs/>
                <w:sz w:val="20"/>
                <w:szCs w:val="20"/>
                <w:lang w:val="en-US"/>
              </w:rPr>
            </w:pPr>
          </w:p>
        </w:tc>
        <w:tc>
          <w:tcPr>
            <w:tcW w:w="1195" w:type="dxa"/>
          </w:tcPr>
          <w:p w14:paraId="2B2F67C5" w14:textId="77777777" w:rsidR="00401A64" w:rsidRPr="0047024D" w:rsidRDefault="00401A64" w:rsidP="00595B93">
            <w:pPr>
              <w:widowControl w:val="0"/>
              <w:jc w:val="center"/>
              <w:textAlignment w:val="top"/>
              <w:rPr>
                <w:bCs/>
                <w:sz w:val="20"/>
                <w:szCs w:val="20"/>
                <w:lang w:val="en-US"/>
              </w:rPr>
            </w:pPr>
          </w:p>
        </w:tc>
        <w:tc>
          <w:tcPr>
            <w:tcW w:w="1196" w:type="dxa"/>
          </w:tcPr>
          <w:p w14:paraId="54ACCBE7" w14:textId="77777777" w:rsidR="00401A64" w:rsidRPr="0047024D" w:rsidRDefault="00401A64" w:rsidP="00595B93">
            <w:pPr>
              <w:widowControl w:val="0"/>
              <w:jc w:val="center"/>
              <w:textAlignment w:val="top"/>
              <w:rPr>
                <w:bCs/>
                <w:sz w:val="20"/>
                <w:szCs w:val="20"/>
                <w:lang w:val="en-US"/>
              </w:rPr>
            </w:pPr>
          </w:p>
        </w:tc>
      </w:tr>
      <w:tr w:rsidR="00401A64" w:rsidRPr="0047024D" w14:paraId="0B2392E6" w14:textId="77777777" w:rsidTr="00595B93">
        <w:tc>
          <w:tcPr>
            <w:tcW w:w="990" w:type="dxa"/>
          </w:tcPr>
          <w:p w14:paraId="0C068659" w14:textId="77777777" w:rsidR="00401A64" w:rsidRPr="0047024D" w:rsidRDefault="00401A64" w:rsidP="00595B93">
            <w:pPr>
              <w:widowControl w:val="0"/>
              <w:spacing w:before="60"/>
              <w:jc w:val="center"/>
              <w:textAlignment w:val="top"/>
              <w:rPr>
                <w:bCs/>
                <w:i/>
                <w:sz w:val="20"/>
                <w:szCs w:val="20"/>
                <w:lang w:val="en-US"/>
              </w:rPr>
            </w:pPr>
            <w:r w:rsidRPr="0047024D">
              <w:rPr>
                <w:bCs/>
                <w:i/>
                <w:sz w:val="20"/>
                <w:szCs w:val="20"/>
                <w:lang w:val="en-US"/>
              </w:rPr>
              <w:t>UNE</w:t>
            </w:r>
            <w:r w:rsidRPr="0047024D">
              <w:rPr>
                <w:bCs/>
                <w:i/>
                <w:sz w:val="20"/>
                <w:szCs w:val="20"/>
                <w:vertAlign w:val="subscript"/>
                <w:lang w:val="en-US"/>
              </w:rPr>
              <w:t>i,t-1</w:t>
            </w:r>
          </w:p>
        </w:tc>
        <w:tc>
          <w:tcPr>
            <w:tcW w:w="1195" w:type="dxa"/>
          </w:tcPr>
          <w:p w14:paraId="715CB3AF" w14:textId="77777777" w:rsidR="00401A64" w:rsidRPr="0047024D" w:rsidRDefault="00401A64" w:rsidP="00595B93">
            <w:pPr>
              <w:widowControl w:val="0"/>
              <w:jc w:val="center"/>
              <w:textAlignment w:val="top"/>
              <w:rPr>
                <w:bCs/>
                <w:sz w:val="20"/>
                <w:szCs w:val="20"/>
                <w:lang w:val="en-US"/>
              </w:rPr>
            </w:pPr>
          </w:p>
        </w:tc>
        <w:tc>
          <w:tcPr>
            <w:tcW w:w="1195" w:type="dxa"/>
          </w:tcPr>
          <w:p w14:paraId="0C6638FD" w14:textId="77777777" w:rsidR="00401A64" w:rsidRPr="0047024D" w:rsidRDefault="00401A64" w:rsidP="00595B93">
            <w:pPr>
              <w:widowControl w:val="0"/>
              <w:jc w:val="center"/>
              <w:textAlignment w:val="top"/>
              <w:rPr>
                <w:bCs/>
                <w:sz w:val="20"/>
                <w:szCs w:val="20"/>
                <w:lang w:val="en-US"/>
              </w:rPr>
            </w:pPr>
          </w:p>
        </w:tc>
        <w:tc>
          <w:tcPr>
            <w:tcW w:w="1195" w:type="dxa"/>
          </w:tcPr>
          <w:p w14:paraId="48A4F17D"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1.1295*</w:t>
            </w:r>
          </w:p>
          <w:p w14:paraId="7AD12F5C"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(0.6403)</w:t>
            </w:r>
          </w:p>
          <w:p w14:paraId="4612CC4A"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[1.7638]</w:t>
            </w:r>
          </w:p>
        </w:tc>
        <w:tc>
          <w:tcPr>
            <w:tcW w:w="1195" w:type="dxa"/>
          </w:tcPr>
          <w:p w14:paraId="5A341410" w14:textId="77777777" w:rsidR="00401A64" w:rsidRPr="0047024D" w:rsidRDefault="00401A64" w:rsidP="00595B93">
            <w:pPr>
              <w:widowControl w:val="0"/>
              <w:jc w:val="center"/>
              <w:textAlignment w:val="top"/>
              <w:rPr>
                <w:bCs/>
                <w:sz w:val="20"/>
                <w:szCs w:val="20"/>
                <w:lang w:val="en-US"/>
              </w:rPr>
            </w:pPr>
          </w:p>
        </w:tc>
        <w:tc>
          <w:tcPr>
            <w:tcW w:w="1195" w:type="dxa"/>
          </w:tcPr>
          <w:p w14:paraId="1AF29A35" w14:textId="77777777" w:rsidR="00401A64" w:rsidRPr="0047024D" w:rsidRDefault="00401A64" w:rsidP="00595B93">
            <w:pPr>
              <w:widowControl w:val="0"/>
              <w:jc w:val="center"/>
              <w:textAlignment w:val="top"/>
              <w:rPr>
                <w:bCs/>
                <w:sz w:val="20"/>
                <w:szCs w:val="20"/>
                <w:lang w:val="en-US"/>
              </w:rPr>
            </w:pPr>
          </w:p>
        </w:tc>
        <w:tc>
          <w:tcPr>
            <w:tcW w:w="1195" w:type="dxa"/>
          </w:tcPr>
          <w:p w14:paraId="6812A869" w14:textId="77777777" w:rsidR="00401A64" w:rsidRPr="0047024D" w:rsidRDefault="00401A64" w:rsidP="00595B93">
            <w:pPr>
              <w:widowControl w:val="0"/>
              <w:jc w:val="center"/>
              <w:textAlignment w:val="top"/>
              <w:rPr>
                <w:bCs/>
                <w:sz w:val="20"/>
                <w:szCs w:val="20"/>
                <w:lang w:val="en-US"/>
              </w:rPr>
            </w:pPr>
          </w:p>
        </w:tc>
        <w:tc>
          <w:tcPr>
            <w:tcW w:w="1196" w:type="dxa"/>
          </w:tcPr>
          <w:p w14:paraId="2ED3B716" w14:textId="77777777" w:rsidR="00401A64" w:rsidRPr="0047024D" w:rsidRDefault="00401A64" w:rsidP="00595B93">
            <w:pPr>
              <w:widowControl w:val="0"/>
              <w:jc w:val="center"/>
              <w:textAlignment w:val="top"/>
              <w:rPr>
                <w:bCs/>
                <w:sz w:val="20"/>
                <w:szCs w:val="20"/>
                <w:lang w:val="en-US"/>
              </w:rPr>
            </w:pPr>
          </w:p>
        </w:tc>
      </w:tr>
      <w:tr w:rsidR="00401A64" w:rsidRPr="0047024D" w14:paraId="230E8EEC" w14:textId="77777777" w:rsidTr="00595B93">
        <w:tc>
          <w:tcPr>
            <w:tcW w:w="990" w:type="dxa"/>
          </w:tcPr>
          <w:p w14:paraId="6EC7351A" w14:textId="77777777" w:rsidR="00401A64" w:rsidRPr="0047024D" w:rsidRDefault="00401A64" w:rsidP="00595B93">
            <w:pPr>
              <w:widowControl w:val="0"/>
              <w:spacing w:before="60"/>
              <w:jc w:val="center"/>
              <w:textAlignment w:val="top"/>
              <w:rPr>
                <w:bCs/>
                <w:i/>
                <w:sz w:val="20"/>
                <w:szCs w:val="20"/>
                <w:lang w:val="en-US"/>
              </w:rPr>
            </w:pPr>
            <w:r w:rsidRPr="0047024D">
              <w:rPr>
                <w:bCs/>
                <w:i/>
                <w:sz w:val="20"/>
                <w:szCs w:val="20"/>
                <w:lang w:val="en-US"/>
              </w:rPr>
              <w:t>BF</w:t>
            </w:r>
            <w:r w:rsidRPr="0047024D">
              <w:rPr>
                <w:bCs/>
                <w:i/>
                <w:sz w:val="20"/>
                <w:szCs w:val="20"/>
                <w:vertAlign w:val="subscript"/>
                <w:lang w:val="en-US"/>
              </w:rPr>
              <w:t>i,t-1</w:t>
            </w:r>
          </w:p>
        </w:tc>
        <w:tc>
          <w:tcPr>
            <w:tcW w:w="1195" w:type="dxa"/>
          </w:tcPr>
          <w:p w14:paraId="6B4D2572" w14:textId="77777777" w:rsidR="00401A64" w:rsidRPr="0047024D" w:rsidRDefault="00401A64" w:rsidP="00595B93">
            <w:pPr>
              <w:widowControl w:val="0"/>
              <w:jc w:val="center"/>
              <w:textAlignment w:val="top"/>
              <w:rPr>
                <w:bCs/>
                <w:sz w:val="20"/>
                <w:szCs w:val="20"/>
                <w:lang w:val="en-US"/>
              </w:rPr>
            </w:pPr>
          </w:p>
        </w:tc>
        <w:tc>
          <w:tcPr>
            <w:tcW w:w="1195" w:type="dxa"/>
          </w:tcPr>
          <w:p w14:paraId="09A28220" w14:textId="77777777" w:rsidR="00401A64" w:rsidRPr="0047024D" w:rsidRDefault="00401A64" w:rsidP="00595B93">
            <w:pPr>
              <w:widowControl w:val="0"/>
              <w:jc w:val="center"/>
              <w:textAlignment w:val="top"/>
              <w:rPr>
                <w:bCs/>
                <w:sz w:val="20"/>
                <w:szCs w:val="20"/>
                <w:lang w:val="en-US"/>
              </w:rPr>
            </w:pPr>
          </w:p>
        </w:tc>
        <w:tc>
          <w:tcPr>
            <w:tcW w:w="1195" w:type="dxa"/>
          </w:tcPr>
          <w:p w14:paraId="3A66B4E8" w14:textId="77777777" w:rsidR="00401A64" w:rsidRPr="0047024D" w:rsidRDefault="00401A64" w:rsidP="00595B93">
            <w:pPr>
              <w:widowControl w:val="0"/>
              <w:jc w:val="center"/>
              <w:textAlignment w:val="top"/>
              <w:rPr>
                <w:bCs/>
                <w:sz w:val="20"/>
                <w:szCs w:val="20"/>
                <w:lang w:val="en-US"/>
              </w:rPr>
            </w:pPr>
          </w:p>
        </w:tc>
        <w:tc>
          <w:tcPr>
            <w:tcW w:w="1195" w:type="dxa"/>
          </w:tcPr>
          <w:p w14:paraId="1136F35D"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-0.2502***</w:t>
            </w:r>
          </w:p>
          <w:p w14:paraId="0422EA6A"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(0.0899)</w:t>
            </w:r>
          </w:p>
          <w:p w14:paraId="4A879DC1"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[-2.7830]</w:t>
            </w:r>
          </w:p>
        </w:tc>
        <w:tc>
          <w:tcPr>
            <w:tcW w:w="1195" w:type="dxa"/>
          </w:tcPr>
          <w:p w14:paraId="4FBBC643" w14:textId="77777777" w:rsidR="00401A64" w:rsidRPr="0047024D" w:rsidRDefault="00401A64" w:rsidP="00595B93">
            <w:pPr>
              <w:widowControl w:val="0"/>
              <w:jc w:val="center"/>
              <w:textAlignment w:val="top"/>
              <w:rPr>
                <w:bCs/>
                <w:sz w:val="20"/>
                <w:szCs w:val="20"/>
                <w:lang w:val="en-US"/>
              </w:rPr>
            </w:pPr>
          </w:p>
        </w:tc>
        <w:tc>
          <w:tcPr>
            <w:tcW w:w="1195" w:type="dxa"/>
          </w:tcPr>
          <w:p w14:paraId="71B1C750" w14:textId="77777777" w:rsidR="00401A64" w:rsidRPr="0047024D" w:rsidRDefault="00401A64" w:rsidP="00595B93">
            <w:pPr>
              <w:widowControl w:val="0"/>
              <w:jc w:val="center"/>
              <w:textAlignment w:val="top"/>
              <w:rPr>
                <w:bCs/>
                <w:sz w:val="20"/>
                <w:szCs w:val="20"/>
                <w:lang w:val="en-US"/>
              </w:rPr>
            </w:pPr>
          </w:p>
        </w:tc>
        <w:tc>
          <w:tcPr>
            <w:tcW w:w="1196" w:type="dxa"/>
          </w:tcPr>
          <w:p w14:paraId="4C383322" w14:textId="77777777" w:rsidR="00401A64" w:rsidRPr="0047024D" w:rsidRDefault="00401A64" w:rsidP="00595B93">
            <w:pPr>
              <w:widowControl w:val="0"/>
              <w:jc w:val="center"/>
              <w:textAlignment w:val="top"/>
              <w:rPr>
                <w:bCs/>
                <w:sz w:val="20"/>
                <w:szCs w:val="20"/>
                <w:lang w:val="en-US"/>
              </w:rPr>
            </w:pPr>
          </w:p>
        </w:tc>
      </w:tr>
      <w:tr w:rsidR="00401A64" w:rsidRPr="0047024D" w14:paraId="156CE1AE" w14:textId="77777777" w:rsidTr="00595B93">
        <w:tc>
          <w:tcPr>
            <w:tcW w:w="990" w:type="dxa"/>
          </w:tcPr>
          <w:p w14:paraId="008DB8F9" w14:textId="77777777" w:rsidR="00401A64" w:rsidRPr="0047024D" w:rsidRDefault="00401A64" w:rsidP="00595B93">
            <w:pPr>
              <w:widowControl w:val="0"/>
              <w:spacing w:before="60"/>
              <w:jc w:val="center"/>
              <w:textAlignment w:val="top"/>
              <w:rPr>
                <w:bCs/>
                <w:i/>
                <w:sz w:val="20"/>
                <w:szCs w:val="20"/>
                <w:lang w:val="en-US"/>
              </w:rPr>
            </w:pPr>
            <w:r w:rsidRPr="0047024D">
              <w:rPr>
                <w:bCs/>
                <w:i/>
                <w:sz w:val="20"/>
                <w:szCs w:val="20"/>
                <w:lang w:val="en-US"/>
              </w:rPr>
              <w:t>PC</w:t>
            </w:r>
            <w:r w:rsidRPr="0047024D">
              <w:rPr>
                <w:bCs/>
                <w:i/>
                <w:sz w:val="20"/>
                <w:szCs w:val="20"/>
                <w:vertAlign w:val="subscript"/>
                <w:lang w:val="en-US"/>
              </w:rPr>
              <w:t>i,t-1</w:t>
            </w:r>
          </w:p>
        </w:tc>
        <w:tc>
          <w:tcPr>
            <w:tcW w:w="1195" w:type="dxa"/>
          </w:tcPr>
          <w:p w14:paraId="57FDD5A3" w14:textId="77777777" w:rsidR="00401A64" w:rsidRPr="0047024D" w:rsidRDefault="00401A64" w:rsidP="00595B93">
            <w:pPr>
              <w:widowControl w:val="0"/>
              <w:jc w:val="center"/>
              <w:textAlignment w:val="top"/>
              <w:rPr>
                <w:bCs/>
                <w:sz w:val="20"/>
                <w:szCs w:val="20"/>
                <w:lang w:val="en-US"/>
              </w:rPr>
            </w:pPr>
          </w:p>
        </w:tc>
        <w:tc>
          <w:tcPr>
            <w:tcW w:w="1195" w:type="dxa"/>
          </w:tcPr>
          <w:p w14:paraId="3FF9BC5C" w14:textId="77777777" w:rsidR="00401A64" w:rsidRPr="0047024D" w:rsidRDefault="00401A64" w:rsidP="00595B93">
            <w:pPr>
              <w:widowControl w:val="0"/>
              <w:jc w:val="center"/>
              <w:textAlignment w:val="top"/>
              <w:rPr>
                <w:bCs/>
                <w:sz w:val="20"/>
                <w:szCs w:val="20"/>
                <w:lang w:val="en-US"/>
              </w:rPr>
            </w:pPr>
          </w:p>
        </w:tc>
        <w:tc>
          <w:tcPr>
            <w:tcW w:w="1195" w:type="dxa"/>
          </w:tcPr>
          <w:p w14:paraId="6ABBFB2C" w14:textId="77777777" w:rsidR="00401A64" w:rsidRPr="0047024D" w:rsidRDefault="00401A64" w:rsidP="00595B93">
            <w:pPr>
              <w:widowControl w:val="0"/>
              <w:jc w:val="center"/>
              <w:textAlignment w:val="top"/>
              <w:rPr>
                <w:bCs/>
                <w:sz w:val="20"/>
                <w:szCs w:val="20"/>
                <w:lang w:val="en-US"/>
              </w:rPr>
            </w:pPr>
          </w:p>
        </w:tc>
        <w:tc>
          <w:tcPr>
            <w:tcW w:w="1195" w:type="dxa"/>
          </w:tcPr>
          <w:p w14:paraId="489FBA73" w14:textId="77777777" w:rsidR="00401A64" w:rsidRPr="0047024D" w:rsidRDefault="00401A64" w:rsidP="00595B93">
            <w:pPr>
              <w:widowControl w:val="0"/>
              <w:jc w:val="center"/>
              <w:textAlignment w:val="top"/>
              <w:rPr>
                <w:bCs/>
                <w:sz w:val="20"/>
                <w:szCs w:val="20"/>
                <w:lang w:val="en-US"/>
              </w:rPr>
            </w:pPr>
          </w:p>
        </w:tc>
        <w:tc>
          <w:tcPr>
            <w:tcW w:w="1195" w:type="dxa"/>
          </w:tcPr>
          <w:p w14:paraId="32C0A419"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0.0197*</w:t>
            </w:r>
          </w:p>
          <w:p w14:paraId="23641027"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(0.0114)</w:t>
            </w:r>
          </w:p>
          <w:p w14:paraId="50CC5D11"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[1.7350]</w:t>
            </w:r>
          </w:p>
        </w:tc>
        <w:tc>
          <w:tcPr>
            <w:tcW w:w="1195" w:type="dxa"/>
          </w:tcPr>
          <w:p w14:paraId="4B1B3828" w14:textId="77777777" w:rsidR="00401A64" w:rsidRPr="0047024D" w:rsidRDefault="00401A64" w:rsidP="00595B93">
            <w:pPr>
              <w:widowControl w:val="0"/>
              <w:jc w:val="center"/>
              <w:textAlignment w:val="top"/>
              <w:rPr>
                <w:bCs/>
                <w:sz w:val="20"/>
                <w:szCs w:val="20"/>
                <w:lang w:val="en-US"/>
              </w:rPr>
            </w:pPr>
          </w:p>
        </w:tc>
        <w:tc>
          <w:tcPr>
            <w:tcW w:w="1196" w:type="dxa"/>
          </w:tcPr>
          <w:p w14:paraId="6E462E58" w14:textId="77777777" w:rsidR="00401A64" w:rsidRPr="0047024D" w:rsidRDefault="00401A64" w:rsidP="00595B93">
            <w:pPr>
              <w:widowControl w:val="0"/>
              <w:jc w:val="center"/>
              <w:textAlignment w:val="top"/>
              <w:rPr>
                <w:bCs/>
                <w:sz w:val="20"/>
                <w:szCs w:val="20"/>
                <w:lang w:val="en-US"/>
              </w:rPr>
            </w:pPr>
          </w:p>
        </w:tc>
      </w:tr>
      <w:tr w:rsidR="00401A64" w:rsidRPr="0047024D" w14:paraId="54C7E5AE" w14:textId="77777777" w:rsidTr="00595B93">
        <w:tc>
          <w:tcPr>
            <w:tcW w:w="990" w:type="dxa"/>
          </w:tcPr>
          <w:p w14:paraId="0D1A7F7E" w14:textId="77777777" w:rsidR="00401A64" w:rsidRPr="0047024D" w:rsidRDefault="00401A64" w:rsidP="00595B93">
            <w:pPr>
              <w:widowControl w:val="0"/>
              <w:spacing w:before="60"/>
              <w:jc w:val="center"/>
              <w:textAlignment w:val="top"/>
              <w:rPr>
                <w:bCs/>
                <w:i/>
                <w:sz w:val="20"/>
                <w:szCs w:val="20"/>
                <w:lang w:val="en-US"/>
              </w:rPr>
            </w:pPr>
            <w:r w:rsidRPr="0047024D">
              <w:rPr>
                <w:bCs/>
                <w:i/>
                <w:sz w:val="20"/>
                <w:szCs w:val="20"/>
                <w:lang w:val="en-US"/>
              </w:rPr>
              <w:t>SOC</w:t>
            </w:r>
            <w:r w:rsidRPr="0047024D">
              <w:rPr>
                <w:bCs/>
                <w:i/>
                <w:sz w:val="20"/>
                <w:szCs w:val="20"/>
                <w:vertAlign w:val="subscript"/>
                <w:lang w:val="en-US"/>
              </w:rPr>
              <w:t>i,t-1</w:t>
            </w:r>
          </w:p>
        </w:tc>
        <w:tc>
          <w:tcPr>
            <w:tcW w:w="1195" w:type="dxa"/>
          </w:tcPr>
          <w:p w14:paraId="4C99CFDA" w14:textId="77777777" w:rsidR="00401A64" w:rsidRPr="0047024D" w:rsidRDefault="00401A64" w:rsidP="00595B93">
            <w:pPr>
              <w:widowControl w:val="0"/>
              <w:jc w:val="center"/>
              <w:textAlignment w:val="top"/>
              <w:rPr>
                <w:bCs/>
                <w:sz w:val="20"/>
                <w:szCs w:val="20"/>
                <w:lang w:val="en-US"/>
              </w:rPr>
            </w:pPr>
          </w:p>
        </w:tc>
        <w:tc>
          <w:tcPr>
            <w:tcW w:w="1195" w:type="dxa"/>
          </w:tcPr>
          <w:p w14:paraId="43C7B82F" w14:textId="77777777" w:rsidR="00401A64" w:rsidRPr="0047024D" w:rsidRDefault="00401A64" w:rsidP="00595B93">
            <w:pPr>
              <w:widowControl w:val="0"/>
              <w:jc w:val="center"/>
              <w:textAlignment w:val="top"/>
              <w:rPr>
                <w:bCs/>
                <w:sz w:val="20"/>
                <w:szCs w:val="20"/>
                <w:lang w:val="en-US"/>
              </w:rPr>
            </w:pPr>
          </w:p>
        </w:tc>
        <w:tc>
          <w:tcPr>
            <w:tcW w:w="1195" w:type="dxa"/>
          </w:tcPr>
          <w:p w14:paraId="5FF1C2AE" w14:textId="77777777" w:rsidR="00401A64" w:rsidRPr="0047024D" w:rsidRDefault="00401A64" w:rsidP="00595B93">
            <w:pPr>
              <w:widowControl w:val="0"/>
              <w:jc w:val="center"/>
              <w:textAlignment w:val="top"/>
              <w:rPr>
                <w:bCs/>
                <w:sz w:val="20"/>
                <w:szCs w:val="20"/>
                <w:lang w:val="en-US"/>
              </w:rPr>
            </w:pPr>
          </w:p>
        </w:tc>
        <w:tc>
          <w:tcPr>
            <w:tcW w:w="1195" w:type="dxa"/>
          </w:tcPr>
          <w:p w14:paraId="58C684B8" w14:textId="77777777" w:rsidR="00401A64" w:rsidRPr="0047024D" w:rsidRDefault="00401A64" w:rsidP="00595B93">
            <w:pPr>
              <w:widowControl w:val="0"/>
              <w:jc w:val="center"/>
              <w:textAlignment w:val="top"/>
              <w:rPr>
                <w:bCs/>
                <w:sz w:val="20"/>
                <w:szCs w:val="20"/>
                <w:lang w:val="en-US"/>
              </w:rPr>
            </w:pPr>
          </w:p>
        </w:tc>
        <w:tc>
          <w:tcPr>
            <w:tcW w:w="1195" w:type="dxa"/>
          </w:tcPr>
          <w:p w14:paraId="52DE7C2E" w14:textId="77777777" w:rsidR="00401A64" w:rsidRPr="0047024D" w:rsidRDefault="00401A64" w:rsidP="00595B93">
            <w:pPr>
              <w:widowControl w:val="0"/>
              <w:jc w:val="center"/>
              <w:textAlignment w:val="top"/>
              <w:rPr>
                <w:bCs/>
                <w:sz w:val="20"/>
                <w:szCs w:val="20"/>
                <w:lang w:val="en-US"/>
              </w:rPr>
            </w:pPr>
          </w:p>
        </w:tc>
        <w:tc>
          <w:tcPr>
            <w:tcW w:w="1195" w:type="dxa"/>
          </w:tcPr>
          <w:p w14:paraId="3C4EDBC9"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1.3791**</w:t>
            </w:r>
          </w:p>
          <w:p w14:paraId="38527726"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(0.5954)</w:t>
            </w:r>
          </w:p>
          <w:p w14:paraId="4EB1D16F"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[2.3162]</w:t>
            </w:r>
          </w:p>
        </w:tc>
        <w:tc>
          <w:tcPr>
            <w:tcW w:w="1196" w:type="dxa"/>
          </w:tcPr>
          <w:p w14:paraId="16BC66FE" w14:textId="77777777" w:rsidR="00401A64" w:rsidRPr="0047024D" w:rsidRDefault="00401A64" w:rsidP="00595B93">
            <w:pPr>
              <w:widowControl w:val="0"/>
              <w:jc w:val="center"/>
              <w:textAlignment w:val="top"/>
              <w:rPr>
                <w:bCs/>
                <w:sz w:val="20"/>
                <w:szCs w:val="20"/>
                <w:lang w:val="en-US"/>
              </w:rPr>
            </w:pPr>
          </w:p>
        </w:tc>
      </w:tr>
      <w:tr w:rsidR="00401A64" w:rsidRPr="0047024D" w14:paraId="6D8A627E" w14:textId="77777777" w:rsidTr="00595B93">
        <w:tc>
          <w:tcPr>
            <w:tcW w:w="990" w:type="dxa"/>
            <w:tcBorders>
              <w:bottom w:val="single" w:sz="4" w:space="0" w:color="auto"/>
            </w:tcBorders>
          </w:tcPr>
          <w:p w14:paraId="13C32206" w14:textId="77777777" w:rsidR="00401A64" w:rsidRPr="0047024D" w:rsidRDefault="00401A64" w:rsidP="00595B93">
            <w:pPr>
              <w:widowControl w:val="0"/>
              <w:spacing w:before="60"/>
              <w:jc w:val="center"/>
              <w:textAlignment w:val="top"/>
              <w:rPr>
                <w:bCs/>
                <w:i/>
                <w:sz w:val="20"/>
                <w:szCs w:val="20"/>
                <w:lang w:val="en-US"/>
              </w:rPr>
            </w:pPr>
            <w:r w:rsidRPr="0047024D">
              <w:rPr>
                <w:bCs/>
                <w:i/>
                <w:sz w:val="20"/>
                <w:szCs w:val="20"/>
                <w:lang w:val="en-US"/>
              </w:rPr>
              <w:t>CORR</w:t>
            </w:r>
            <w:r w:rsidRPr="0047024D">
              <w:rPr>
                <w:bCs/>
                <w:i/>
                <w:sz w:val="20"/>
                <w:szCs w:val="20"/>
                <w:vertAlign w:val="subscript"/>
                <w:lang w:val="en-US"/>
              </w:rPr>
              <w:t>i,t-1</w:t>
            </w:r>
          </w:p>
        </w:tc>
        <w:tc>
          <w:tcPr>
            <w:tcW w:w="1195" w:type="dxa"/>
            <w:tcBorders>
              <w:bottom w:val="single" w:sz="4" w:space="0" w:color="auto"/>
            </w:tcBorders>
          </w:tcPr>
          <w:p w14:paraId="3FFD038A" w14:textId="77777777" w:rsidR="00401A64" w:rsidRPr="0047024D" w:rsidRDefault="00401A64" w:rsidP="00595B93">
            <w:pPr>
              <w:widowControl w:val="0"/>
              <w:jc w:val="center"/>
              <w:textAlignment w:val="top"/>
              <w:rPr>
                <w:bCs/>
                <w:sz w:val="20"/>
                <w:szCs w:val="20"/>
                <w:lang w:val="en-US"/>
              </w:rPr>
            </w:pPr>
          </w:p>
        </w:tc>
        <w:tc>
          <w:tcPr>
            <w:tcW w:w="1195" w:type="dxa"/>
            <w:tcBorders>
              <w:bottom w:val="single" w:sz="4" w:space="0" w:color="auto"/>
            </w:tcBorders>
          </w:tcPr>
          <w:p w14:paraId="687DAA49" w14:textId="77777777" w:rsidR="00401A64" w:rsidRPr="0047024D" w:rsidRDefault="00401A64" w:rsidP="00595B93">
            <w:pPr>
              <w:widowControl w:val="0"/>
              <w:jc w:val="center"/>
              <w:textAlignment w:val="top"/>
              <w:rPr>
                <w:bCs/>
                <w:sz w:val="20"/>
                <w:szCs w:val="20"/>
                <w:lang w:val="en-US"/>
              </w:rPr>
            </w:pPr>
          </w:p>
        </w:tc>
        <w:tc>
          <w:tcPr>
            <w:tcW w:w="1195" w:type="dxa"/>
            <w:tcBorders>
              <w:bottom w:val="single" w:sz="4" w:space="0" w:color="auto"/>
            </w:tcBorders>
          </w:tcPr>
          <w:p w14:paraId="37FA949A" w14:textId="77777777" w:rsidR="00401A64" w:rsidRPr="0047024D" w:rsidRDefault="00401A64" w:rsidP="00595B93">
            <w:pPr>
              <w:widowControl w:val="0"/>
              <w:jc w:val="center"/>
              <w:textAlignment w:val="top"/>
              <w:rPr>
                <w:bCs/>
                <w:sz w:val="20"/>
                <w:szCs w:val="20"/>
                <w:lang w:val="en-US"/>
              </w:rPr>
            </w:pPr>
          </w:p>
        </w:tc>
        <w:tc>
          <w:tcPr>
            <w:tcW w:w="1195" w:type="dxa"/>
            <w:tcBorders>
              <w:bottom w:val="single" w:sz="4" w:space="0" w:color="auto"/>
            </w:tcBorders>
          </w:tcPr>
          <w:p w14:paraId="2323A8DF" w14:textId="77777777" w:rsidR="00401A64" w:rsidRPr="0047024D" w:rsidRDefault="00401A64" w:rsidP="00595B93">
            <w:pPr>
              <w:widowControl w:val="0"/>
              <w:jc w:val="center"/>
              <w:textAlignment w:val="top"/>
              <w:rPr>
                <w:bCs/>
                <w:sz w:val="20"/>
                <w:szCs w:val="20"/>
                <w:lang w:val="en-US"/>
              </w:rPr>
            </w:pPr>
          </w:p>
        </w:tc>
        <w:tc>
          <w:tcPr>
            <w:tcW w:w="1195" w:type="dxa"/>
            <w:tcBorders>
              <w:bottom w:val="single" w:sz="4" w:space="0" w:color="auto"/>
            </w:tcBorders>
          </w:tcPr>
          <w:p w14:paraId="2A122D15" w14:textId="77777777" w:rsidR="00401A64" w:rsidRPr="0047024D" w:rsidRDefault="00401A64" w:rsidP="00595B93">
            <w:pPr>
              <w:widowControl w:val="0"/>
              <w:jc w:val="center"/>
              <w:textAlignment w:val="top"/>
              <w:rPr>
                <w:bCs/>
                <w:sz w:val="20"/>
                <w:szCs w:val="20"/>
                <w:lang w:val="en-US"/>
              </w:rPr>
            </w:pPr>
          </w:p>
        </w:tc>
        <w:tc>
          <w:tcPr>
            <w:tcW w:w="1195" w:type="dxa"/>
            <w:tcBorders>
              <w:bottom w:val="single" w:sz="4" w:space="0" w:color="auto"/>
            </w:tcBorders>
          </w:tcPr>
          <w:p w14:paraId="16584FB4" w14:textId="77777777" w:rsidR="00401A64" w:rsidRPr="0047024D" w:rsidRDefault="00401A64" w:rsidP="00595B93">
            <w:pPr>
              <w:widowControl w:val="0"/>
              <w:jc w:val="center"/>
              <w:textAlignment w:val="top"/>
              <w:rPr>
                <w:bCs/>
                <w:sz w:val="20"/>
                <w:szCs w:val="20"/>
                <w:lang w:val="en-US"/>
              </w:rPr>
            </w:pPr>
          </w:p>
        </w:tc>
        <w:tc>
          <w:tcPr>
            <w:tcW w:w="1196" w:type="dxa"/>
            <w:tcBorders>
              <w:bottom w:val="single" w:sz="4" w:space="0" w:color="auto"/>
            </w:tcBorders>
          </w:tcPr>
          <w:p w14:paraId="54F67465"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0.0011***</w:t>
            </w:r>
          </w:p>
          <w:p w14:paraId="0DDC35E3"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(0.0004)</w:t>
            </w:r>
          </w:p>
          <w:p w14:paraId="540C0E38" w14:textId="77777777" w:rsidR="00401A64" w:rsidRPr="0047024D" w:rsidRDefault="00401A64" w:rsidP="00595B93">
            <w:pPr>
              <w:widowControl w:val="0"/>
              <w:jc w:val="center"/>
              <w:textAlignment w:val="top"/>
              <w:rPr>
                <w:bCs/>
                <w:sz w:val="20"/>
                <w:szCs w:val="20"/>
                <w:lang w:val="en-US"/>
              </w:rPr>
            </w:pPr>
            <w:r w:rsidRPr="0047024D">
              <w:rPr>
                <w:bCs/>
                <w:sz w:val="20"/>
                <w:szCs w:val="20"/>
                <w:lang w:val="en-US"/>
              </w:rPr>
              <w:t>[2.8408]</w:t>
            </w:r>
          </w:p>
        </w:tc>
      </w:tr>
      <w:tr w:rsidR="00401A64" w:rsidRPr="0047024D" w14:paraId="1624D034" w14:textId="77777777" w:rsidTr="00595B93">
        <w:tc>
          <w:tcPr>
            <w:tcW w:w="990" w:type="dxa"/>
            <w:tcBorders>
              <w:top w:val="single" w:sz="4" w:space="0" w:color="auto"/>
            </w:tcBorders>
          </w:tcPr>
          <w:p w14:paraId="70F1680B" w14:textId="77777777" w:rsidR="00401A64" w:rsidRPr="0047024D" w:rsidRDefault="00401A64" w:rsidP="00595B93">
            <w:pPr>
              <w:widowControl w:val="0"/>
              <w:spacing w:before="60"/>
              <w:jc w:val="center"/>
              <w:textAlignment w:val="top"/>
              <w:rPr>
                <w:bCs/>
                <w:i/>
                <w:sz w:val="20"/>
                <w:szCs w:val="20"/>
                <w:lang w:val="en-US"/>
              </w:rPr>
            </w:pPr>
            <w:r w:rsidRPr="0047024D">
              <w:rPr>
                <w:bCs/>
                <w:i/>
                <w:sz w:val="20"/>
                <w:szCs w:val="20"/>
                <w:lang w:val="en-US"/>
              </w:rPr>
              <w:t>J-stat.</w:t>
            </w:r>
          </w:p>
        </w:tc>
        <w:tc>
          <w:tcPr>
            <w:tcW w:w="1195" w:type="dxa"/>
            <w:tcBorders>
              <w:top w:val="single" w:sz="4" w:space="0" w:color="auto"/>
            </w:tcBorders>
          </w:tcPr>
          <w:p w14:paraId="783159F7"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15.7519</w:t>
            </w:r>
          </w:p>
          <w:p w14:paraId="18554F32"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p&gt;0.35</w:t>
            </w:r>
          </w:p>
        </w:tc>
        <w:tc>
          <w:tcPr>
            <w:tcW w:w="1195" w:type="dxa"/>
            <w:tcBorders>
              <w:top w:val="single" w:sz="4" w:space="0" w:color="auto"/>
            </w:tcBorders>
          </w:tcPr>
          <w:p w14:paraId="1BCBEB63"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16.8766</w:t>
            </w:r>
          </w:p>
          <w:p w14:paraId="7911ED9C"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p&gt;0.45</w:t>
            </w:r>
          </w:p>
        </w:tc>
        <w:tc>
          <w:tcPr>
            <w:tcW w:w="1195" w:type="dxa"/>
            <w:tcBorders>
              <w:top w:val="single" w:sz="4" w:space="0" w:color="auto"/>
            </w:tcBorders>
          </w:tcPr>
          <w:p w14:paraId="3FD55FCD"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4.3807</w:t>
            </w:r>
          </w:p>
          <w:p w14:paraId="77C90520"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p&gt;0.95</w:t>
            </w:r>
          </w:p>
        </w:tc>
        <w:tc>
          <w:tcPr>
            <w:tcW w:w="1195" w:type="dxa"/>
            <w:tcBorders>
              <w:top w:val="single" w:sz="4" w:space="0" w:color="auto"/>
            </w:tcBorders>
          </w:tcPr>
          <w:p w14:paraId="75D68BAA"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17.8650</w:t>
            </w:r>
          </w:p>
          <w:p w14:paraId="42B90074"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p&gt;0.45</w:t>
            </w:r>
          </w:p>
        </w:tc>
        <w:tc>
          <w:tcPr>
            <w:tcW w:w="1195" w:type="dxa"/>
            <w:tcBorders>
              <w:top w:val="single" w:sz="4" w:space="0" w:color="auto"/>
            </w:tcBorders>
          </w:tcPr>
          <w:p w14:paraId="4E533A2E"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8.1331</w:t>
            </w:r>
          </w:p>
          <w:p w14:paraId="69EBE0F5"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p&gt;0.70</w:t>
            </w:r>
          </w:p>
        </w:tc>
        <w:tc>
          <w:tcPr>
            <w:tcW w:w="1195" w:type="dxa"/>
            <w:tcBorders>
              <w:top w:val="single" w:sz="4" w:space="0" w:color="auto"/>
            </w:tcBorders>
          </w:tcPr>
          <w:p w14:paraId="19220693"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23.1068</w:t>
            </w:r>
          </w:p>
          <w:p w14:paraId="4962FAA3"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p&gt;0.25</w:t>
            </w:r>
          </w:p>
        </w:tc>
        <w:tc>
          <w:tcPr>
            <w:tcW w:w="1196" w:type="dxa"/>
            <w:tcBorders>
              <w:top w:val="single" w:sz="4" w:space="0" w:color="auto"/>
            </w:tcBorders>
          </w:tcPr>
          <w:p w14:paraId="753612C2"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14.8607</w:t>
            </w:r>
          </w:p>
          <w:p w14:paraId="367A8A9F"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p&gt;0.35</w:t>
            </w:r>
          </w:p>
        </w:tc>
      </w:tr>
      <w:tr w:rsidR="00401A64" w:rsidRPr="0047024D" w14:paraId="67F85E0B" w14:textId="77777777" w:rsidTr="00595B93">
        <w:tc>
          <w:tcPr>
            <w:tcW w:w="990" w:type="dxa"/>
          </w:tcPr>
          <w:p w14:paraId="1D541796" w14:textId="77777777" w:rsidR="00401A64" w:rsidRPr="0047024D" w:rsidRDefault="00401A64" w:rsidP="00595B93">
            <w:pPr>
              <w:widowControl w:val="0"/>
              <w:spacing w:before="60"/>
              <w:jc w:val="center"/>
              <w:textAlignment w:val="top"/>
              <w:rPr>
                <w:bCs/>
                <w:i/>
                <w:sz w:val="20"/>
                <w:szCs w:val="20"/>
                <w:lang w:val="en-US"/>
              </w:rPr>
            </w:pPr>
            <w:r w:rsidRPr="0047024D">
              <w:rPr>
                <w:bCs/>
                <w:i/>
                <w:sz w:val="20"/>
                <w:szCs w:val="20"/>
                <w:lang w:val="en-US"/>
              </w:rPr>
              <w:t>m2</w:t>
            </w:r>
          </w:p>
        </w:tc>
        <w:tc>
          <w:tcPr>
            <w:tcW w:w="1195" w:type="dxa"/>
          </w:tcPr>
          <w:p w14:paraId="3E198DEA"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-0.0796</w:t>
            </w:r>
          </w:p>
        </w:tc>
        <w:tc>
          <w:tcPr>
            <w:tcW w:w="1195" w:type="dxa"/>
          </w:tcPr>
          <w:p w14:paraId="75661B3A"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-0.1286</w:t>
            </w:r>
          </w:p>
        </w:tc>
        <w:tc>
          <w:tcPr>
            <w:tcW w:w="1195" w:type="dxa"/>
          </w:tcPr>
          <w:p w14:paraId="692F7C60"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0.0789</w:t>
            </w:r>
          </w:p>
        </w:tc>
        <w:tc>
          <w:tcPr>
            <w:tcW w:w="1195" w:type="dxa"/>
          </w:tcPr>
          <w:p w14:paraId="5DC355E6"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-0.1100</w:t>
            </w:r>
          </w:p>
        </w:tc>
        <w:tc>
          <w:tcPr>
            <w:tcW w:w="1195" w:type="dxa"/>
          </w:tcPr>
          <w:p w14:paraId="29C34F65"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-0.0444</w:t>
            </w:r>
          </w:p>
        </w:tc>
        <w:tc>
          <w:tcPr>
            <w:tcW w:w="1195" w:type="dxa"/>
          </w:tcPr>
          <w:p w14:paraId="44C98C50"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-0.1144</w:t>
            </w:r>
          </w:p>
        </w:tc>
        <w:tc>
          <w:tcPr>
            <w:tcW w:w="1196" w:type="dxa"/>
          </w:tcPr>
          <w:p w14:paraId="0318C2DE"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-0.0325</w:t>
            </w:r>
          </w:p>
        </w:tc>
      </w:tr>
      <w:tr w:rsidR="00401A64" w:rsidRPr="0047024D" w14:paraId="0F435E70" w14:textId="77777777" w:rsidTr="00595B93">
        <w:tc>
          <w:tcPr>
            <w:tcW w:w="990" w:type="dxa"/>
          </w:tcPr>
          <w:p w14:paraId="3E3CA9F5" w14:textId="77777777" w:rsidR="00401A64" w:rsidRPr="0047024D" w:rsidRDefault="00401A64" w:rsidP="00595B93">
            <w:pPr>
              <w:widowControl w:val="0"/>
              <w:spacing w:before="60"/>
              <w:jc w:val="center"/>
              <w:textAlignment w:val="top"/>
              <w:rPr>
                <w:bCs/>
                <w:i/>
                <w:sz w:val="20"/>
                <w:szCs w:val="20"/>
                <w:lang w:val="en-US"/>
              </w:rPr>
            </w:pPr>
            <w:r w:rsidRPr="0047024D">
              <w:rPr>
                <w:bCs/>
                <w:i/>
                <w:sz w:val="20"/>
                <w:szCs w:val="20"/>
                <w:lang w:val="en-US"/>
              </w:rPr>
              <w:t>p-value</w:t>
            </w:r>
          </w:p>
        </w:tc>
        <w:tc>
          <w:tcPr>
            <w:tcW w:w="1195" w:type="dxa"/>
          </w:tcPr>
          <w:p w14:paraId="3851044E"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0.6703</w:t>
            </w:r>
          </w:p>
        </w:tc>
        <w:tc>
          <w:tcPr>
            <w:tcW w:w="1195" w:type="dxa"/>
          </w:tcPr>
          <w:p w14:paraId="171EF82F"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0.4619</w:t>
            </w:r>
          </w:p>
        </w:tc>
        <w:tc>
          <w:tcPr>
            <w:tcW w:w="1195" w:type="dxa"/>
          </w:tcPr>
          <w:p w14:paraId="1A23E05E"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0.7726</w:t>
            </w:r>
          </w:p>
        </w:tc>
        <w:tc>
          <w:tcPr>
            <w:tcW w:w="1195" w:type="dxa"/>
          </w:tcPr>
          <w:p w14:paraId="6D633FF3"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0.5058</w:t>
            </w:r>
          </w:p>
        </w:tc>
        <w:tc>
          <w:tcPr>
            <w:tcW w:w="1195" w:type="dxa"/>
          </w:tcPr>
          <w:p w14:paraId="13994A43"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0.7956</w:t>
            </w:r>
          </w:p>
        </w:tc>
        <w:tc>
          <w:tcPr>
            <w:tcW w:w="1195" w:type="dxa"/>
          </w:tcPr>
          <w:p w14:paraId="7AC29EEA"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0.4712</w:t>
            </w:r>
          </w:p>
        </w:tc>
        <w:tc>
          <w:tcPr>
            <w:tcW w:w="1196" w:type="dxa"/>
          </w:tcPr>
          <w:p w14:paraId="17576827" w14:textId="77777777" w:rsidR="00401A64" w:rsidRPr="0047024D" w:rsidRDefault="00401A64" w:rsidP="00595B93">
            <w:pPr>
              <w:widowControl w:val="0"/>
              <w:spacing w:before="60"/>
              <w:jc w:val="center"/>
              <w:textAlignment w:val="top"/>
              <w:rPr>
                <w:bCs/>
                <w:sz w:val="20"/>
                <w:szCs w:val="20"/>
                <w:lang w:val="en-US"/>
              </w:rPr>
            </w:pPr>
            <w:r w:rsidRPr="0047024D">
              <w:rPr>
                <w:bCs/>
                <w:sz w:val="20"/>
                <w:szCs w:val="20"/>
                <w:lang w:val="en-US"/>
              </w:rPr>
              <w:t>0.8362</w:t>
            </w:r>
          </w:p>
        </w:tc>
      </w:tr>
      <w:tr w:rsidR="00401A64" w:rsidRPr="0047024D" w14:paraId="582228B3" w14:textId="77777777" w:rsidTr="00595B93">
        <w:tc>
          <w:tcPr>
            <w:tcW w:w="990" w:type="dxa"/>
            <w:tcBorders>
              <w:bottom w:val="double" w:sz="4" w:space="0" w:color="auto"/>
            </w:tcBorders>
          </w:tcPr>
          <w:p w14:paraId="268A9FFE" w14:textId="77777777" w:rsidR="00401A64" w:rsidRPr="0047024D" w:rsidRDefault="00401A64" w:rsidP="00595B93">
            <w:pPr>
              <w:widowControl w:val="0"/>
              <w:spacing w:before="60"/>
              <w:jc w:val="center"/>
              <w:textAlignment w:val="top"/>
              <w:rPr>
                <w:bCs/>
                <w:i/>
                <w:sz w:val="20"/>
                <w:szCs w:val="20"/>
                <w:lang w:val="en-US"/>
              </w:rPr>
            </w:pPr>
            <w:r>
              <w:rPr>
                <w:bCs/>
                <w:i/>
                <w:sz w:val="20"/>
                <w:szCs w:val="20"/>
                <w:lang w:val="en-US"/>
              </w:rPr>
              <w:t>Instruments</w:t>
            </w:r>
          </w:p>
        </w:tc>
        <w:tc>
          <w:tcPr>
            <w:tcW w:w="1195" w:type="dxa"/>
            <w:tcBorders>
              <w:bottom w:val="double" w:sz="4" w:space="0" w:color="auto"/>
            </w:tcBorders>
          </w:tcPr>
          <w:p w14:paraId="2F289AAE" w14:textId="77777777" w:rsidR="00401A64" w:rsidRPr="0047024D" w:rsidRDefault="00401A64" w:rsidP="00595B93">
            <w:pPr>
              <w:widowControl w:val="0"/>
              <w:spacing w:before="60"/>
              <w:jc w:val="center"/>
              <w:textAlignment w:val="top"/>
              <w:rPr>
                <w:bCs/>
                <w:sz w:val="20"/>
                <w:szCs w:val="20"/>
                <w:lang w:val="en-US"/>
              </w:rPr>
            </w:pPr>
            <w:r>
              <w:rPr>
                <w:bCs/>
                <w:sz w:val="20"/>
                <w:szCs w:val="20"/>
                <w:lang w:val="en-US"/>
              </w:rPr>
              <w:t>20</w:t>
            </w:r>
          </w:p>
        </w:tc>
        <w:tc>
          <w:tcPr>
            <w:tcW w:w="1195" w:type="dxa"/>
            <w:tcBorders>
              <w:bottom w:val="double" w:sz="4" w:space="0" w:color="auto"/>
            </w:tcBorders>
          </w:tcPr>
          <w:p w14:paraId="43C2E305" w14:textId="77777777" w:rsidR="00401A64" w:rsidRPr="0047024D" w:rsidRDefault="00401A64" w:rsidP="00595B93">
            <w:pPr>
              <w:widowControl w:val="0"/>
              <w:spacing w:before="60"/>
              <w:jc w:val="center"/>
              <w:textAlignment w:val="top"/>
              <w:rPr>
                <w:bCs/>
                <w:sz w:val="20"/>
                <w:szCs w:val="20"/>
                <w:lang w:val="en-US"/>
              </w:rPr>
            </w:pPr>
            <w:r>
              <w:rPr>
                <w:bCs/>
                <w:sz w:val="20"/>
                <w:szCs w:val="20"/>
                <w:lang w:val="en-US"/>
              </w:rPr>
              <w:t>22</w:t>
            </w:r>
          </w:p>
        </w:tc>
        <w:tc>
          <w:tcPr>
            <w:tcW w:w="1195" w:type="dxa"/>
            <w:tcBorders>
              <w:bottom w:val="double" w:sz="4" w:space="0" w:color="auto"/>
            </w:tcBorders>
          </w:tcPr>
          <w:p w14:paraId="268C208B" w14:textId="77777777" w:rsidR="00401A64" w:rsidRPr="0047024D" w:rsidRDefault="00401A64" w:rsidP="00595B93">
            <w:pPr>
              <w:widowControl w:val="0"/>
              <w:spacing w:before="60"/>
              <w:jc w:val="center"/>
              <w:textAlignment w:val="top"/>
              <w:rPr>
                <w:bCs/>
                <w:sz w:val="20"/>
                <w:szCs w:val="20"/>
                <w:lang w:val="en-US"/>
              </w:rPr>
            </w:pPr>
            <w:r>
              <w:rPr>
                <w:bCs/>
                <w:sz w:val="20"/>
                <w:szCs w:val="20"/>
                <w:lang w:val="en-US"/>
              </w:rPr>
              <w:t>21</w:t>
            </w:r>
          </w:p>
        </w:tc>
        <w:tc>
          <w:tcPr>
            <w:tcW w:w="1195" w:type="dxa"/>
            <w:tcBorders>
              <w:bottom w:val="double" w:sz="4" w:space="0" w:color="auto"/>
            </w:tcBorders>
          </w:tcPr>
          <w:p w14:paraId="68C93349" w14:textId="77777777" w:rsidR="00401A64" w:rsidRPr="0047024D" w:rsidRDefault="00401A64" w:rsidP="00595B93">
            <w:pPr>
              <w:widowControl w:val="0"/>
              <w:spacing w:before="60"/>
              <w:jc w:val="center"/>
              <w:textAlignment w:val="top"/>
              <w:rPr>
                <w:bCs/>
                <w:sz w:val="20"/>
                <w:szCs w:val="20"/>
                <w:lang w:val="en-US"/>
              </w:rPr>
            </w:pPr>
            <w:r>
              <w:rPr>
                <w:bCs/>
                <w:sz w:val="20"/>
                <w:szCs w:val="20"/>
                <w:lang w:val="en-US"/>
              </w:rPr>
              <w:t>23</w:t>
            </w:r>
          </w:p>
        </w:tc>
        <w:tc>
          <w:tcPr>
            <w:tcW w:w="1195" w:type="dxa"/>
            <w:tcBorders>
              <w:bottom w:val="double" w:sz="4" w:space="0" w:color="auto"/>
            </w:tcBorders>
          </w:tcPr>
          <w:p w14:paraId="09C1599B" w14:textId="77777777" w:rsidR="00401A64" w:rsidRPr="0047024D" w:rsidRDefault="00401A64" w:rsidP="00595B93">
            <w:pPr>
              <w:widowControl w:val="0"/>
              <w:spacing w:before="60"/>
              <w:jc w:val="center"/>
              <w:textAlignment w:val="top"/>
              <w:rPr>
                <w:bCs/>
                <w:sz w:val="20"/>
                <w:szCs w:val="20"/>
                <w:lang w:val="en-US"/>
              </w:rPr>
            </w:pPr>
            <w:r>
              <w:rPr>
                <w:bCs/>
                <w:sz w:val="20"/>
                <w:szCs w:val="20"/>
                <w:lang w:val="en-US"/>
              </w:rPr>
              <w:t>16</w:t>
            </w:r>
          </w:p>
        </w:tc>
        <w:tc>
          <w:tcPr>
            <w:tcW w:w="1195" w:type="dxa"/>
            <w:tcBorders>
              <w:bottom w:val="double" w:sz="4" w:space="0" w:color="auto"/>
            </w:tcBorders>
          </w:tcPr>
          <w:p w14:paraId="599739DE" w14:textId="77777777" w:rsidR="00401A64" w:rsidRPr="0047024D" w:rsidRDefault="00401A64" w:rsidP="00595B93">
            <w:pPr>
              <w:widowControl w:val="0"/>
              <w:spacing w:before="60"/>
              <w:jc w:val="center"/>
              <w:textAlignment w:val="top"/>
              <w:rPr>
                <w:bCs/>
                <w:sz w:val="20"/>
                <w:szCs w:val="20"/>
                <w:lang w:val="en-US"/>
              </w:rPr>
            </w:pPr>
            <w:r>
              <w:rPr>
                <w:bCs/>
                <w:sz w:val="20"/>
                <w:szCs w:val="20"/>
                <w:lang w:val="en-US"/>
              </w:rPr>
              <w:t>25</w:t>
            </w:r>
          </w:p>
        </w:tc>
        <w:tc>
          <w:tcPr>
            <w:tcW w:w="1196" w:type="dxa"/>
            <w:tcBorders>
              <w:bottom w:val="double" w:sz="4" w:space="0" w:color="auto"/>
            </w:tcBorders>
          </w:tcPr>
          <w:p w14:paraId="1993DA15" w14:textId="77777777" w:rsidR="00401A64" w:rsidRPr="0047024D" w:rsidRDefault="00401A64" w:rsidP="00595B93">
            <w:pPr>
              <w:widowControl w:val="0"/>
              <w:spacing w:before="60"/>
              <w:jc w:val="center"/>
              <w:textAlignment w:val="top"/>
              <w:rPr>
                <w:bCs/>
                <w:sz w:val="20"/>
                <w:szCs w:val="20"/>
                <w:lang w:val="en-US"/>
              </w:rPr>
            </w:pPr>
            <w:r>
              <w:rPr>
                <w:bCs/>
                <w:sz w:val="20"/>
                <w:szCs w:val="20"/>
                <w:lang w:val="en-US"/>
              </w:rPr>
              <w:t>19</w:t>
            </w:r>
          </w:p>
        </w:tc>
      </w:tr>
    </w:tbl>
    <w:p w14:paraId="31804966" w14:textId="77777777" w:rsidR="00401A64" w:rsidRPr="001126A4" w:rsidRDefault="00401A64" w:rsidP="00401A64">
      <w:pPr>
        <w:widowControl w:val="0"/>
        <w:autoSpaceDE w:val="0"/>
        <w:autoSpaceDN w:val="0"/>
        <w:adjustRightInd w:val="0"/>
        <w:jc w:val="center"/>
        <w:rPr>
          <w:sz w:val="20"/>
          <w:szCs w:val="20"/>
          <w:lang w:val="en-US" w:eastAsia="en-US"/>
        </w:rPr>
      </w:pPr>
      <w:r w:rsidRPr="001A5D16">
        <w:rPr>
          <w:sz w:val="20"/>
          <w:szCs w:val="20"/>
          <w:lang w:val="en-US" w:eastAsia="en-US"/>
        </w:rPr>
        <w:t>Note: Marginal significance levels: (***) denotes 0.01, (**) denotes 0.05, and (*) denotes 0.1.</w:t>
      </w:r>
      <w:r w:rsidRPr="00621D18">
        <w:rPr>
          <w:sz w:val="20"/>
          <w:szCs w:val="20"/>
          <w:lang w:val="en-US" w:eastAsia="en-US"/>
        </w:rPr>
        <w:t xml:space="preserve"> </w:t>
      </w:r>
      <w:r w:rsidRPr="001126A4">
        <w:rPr>
          <w:sz w:val="20"/>
          <w:szCs w:val="20"/>
          <w:lang w:val="en-US" w:eastAsia="en-US"/>
        </w:rPr>
        <w:t>Standard errors in parentheses and t-statistics in brackets.</w:t>
      </w:r>
    </w:p>
    <w:p w14:paraId="218C96E3" w14:textId="77777777" w:rsidR="00401A64" w:rsidRPr="001161FC" w:rsidRDefault="00401A64" w:rsidP="00401A64">
      <w:pPr>
        <w:pStyle w:val="Corpodetexto"/>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jc w:val="center"/>
      </w:pPr>
    </w:p>
    <w:p w14:paraId="29854B39" w14:textId="77777777" w:rsidR="00401A64" w:rsidRDefault="00401A64" w:rsidP="00401A64">
      <w:pPr>
        <w:widowControl w:val="0"/>
        <w:ind w:firstLine="708"/>
        <w:jc w:val="both"/>
        <w:textAlignment w:val="top"/>
        <w:rPr>
          <w:bCs/>
          <w:lang w:val="en-US"/>
        </w:rPr>
      </w:pPr>
      <w:r>
        <w:rPr>
          <w:bCs/>
          <w:lang w:val="en-US"/>
        </w:rPr>
        <w:t xml:space="preserve">The set of variables that incorporates the influence of the political side on inequality shows interesting results. The </w:t>
      </w:r>
      <w:r>
        <w:rPr>
          <w:bCs/>
          <w:i/>
          <w:lang w:val="en-US"/>
        </w:rPr>
        <w:t xml:space="preserve">PC </w:t>
      </w:r>
      <w:r>
        <w:rPr>
          <w:bCs/>
          <w:lang w:val="en-US"/>
        </w:rPr>
        <w:t xml:space="preserve">coefficients are contrary to the standard argument that an increase in the change of political power reduces inequality. </w:t>
      </w:r>
      <w:r w:rsidRPr="0027358D">
        <w:rPr>
          <w:bCs/>
          <w:lang w:val="en-US"/>
        </w:rPr>
        <w:t>A possible reason for th</w:t>
      </w:r>
      <w:r>
        <w:rPr>
          <w:bCs/>
          <w:lang w:val="en-US"/>
        </w:rPr>
        <w:t>is</w:t>
      </w:r>
      <w:r w:rsidRPr="0027358D">
        <w:rPr>
          <w:bCs/>
          <w:lang w:val="en-US"/>
        </w:rPr>
        <w:t xml:space="preserve"> result is that successive political changes can </w:t>
      </w:r>
      <w:r>
        <w:rPr>
          <w:bCs/>
          <w:lang w:val="en-US"/>
        </w:rPr>
        <w:t xml:space="preserve">disrupt the continuity of social programs. Another possible reason is that when a political party has success in reducing income inequality, the chance of it remaining in power is high. The positive sign of the </w:t>
      </w:r>
      <w:r>
        <w:rPr>
          <w:bCs/>
          <w:i/>
          <w:lang w:val="en-US"/>
        </w:rPr>
        <w:t>SOC</w:t>
      </w:r>
      <w:r>
        <w:rPr>
          <w:bCs/>
          <w:lang w:val="en-US"/>
        </w:rPr>
        <w:t xml:space="preserve"> is, at first view, contrary to what would be expected. </w:t>
      </w:r>
      <w:r w:rsidRPr="00B82D1B">
        <w:rPr>
          <w:bCs/>
          <w:lang w:val="en-US"/>
        </w:rPr>
        <w:t xml:space="preserve">However, the result is in line with the idea that there is a </w:t>
      </w:r>
      <w:r>
        <w:rPr>
          <w:bCs/>
          <w:lang w:val="en-US"/>
        </w:rPr>
        <w:t xml:space="preserve">chance of these resources not reaching the poorest families (see </w:t>
      </w:r>
      <w:r w:rsidRPr="00387553">
        <w:rPr>
          <w:rFonts w:eastAsia="Times-Roman" w:cs="Times-Roman"/>
          <w:lang w:val="en-US"/>
        </w:rPr>
        <w:t xml:space="preserve">Feldstein, 1974; Browning and Browning, 1994; Mazza, 2001; and Perry et al., </w:t>
      </w:r>
      <w:r>
        <w:rPr>
          <w:rFonts w:eastAsia="Times-Roman" w:cs="Times-Roman"/>
          <w:lang w:val="en-US"/>
        </w:rPr>
        <w:t>2006</w:t>
      </w:r>
      <w:r>
        <w:rPr>
          <w:bCs/>
          <w:lang w:val="en-US"/>
        </w:rPr>
        <w:t xml:space="preserve">). In particular, the </w:t>
      </w:r>
      <w:r>
        <w:rPr>
          <w:bCs/>
          <w:i/>
          <w:lang w:val="en-US"/>
        </w:rPr>
        <w:t xml:space="preserve">CORR </w:t>
      </w:r>
      <w:r>
        <w:rPr>
          <w:bCs/>
          <w:lang w:val="en-US"/>
        </w:rPr>
        <w:t>coefficients (positive and statistically significant in the three models), indicate that an increase in the corruption implies a worsening in the inequality income.</w:t>
      </w:r>
    </w:p>
    <w:p w14:paraId="79A38B7E" w14:textId="77777777" w:rsidR="00401A64" w:rsidRPr="00843C49" w:rsidRDefault="00401A64" w:rsidP="00401A64">
      <w:pPr>
        <w:widowControl w:val="0"/>
        <w:textAlignment w:val="top"/>
        <w:rPr>
          <w:b/>
          <w:lang w:val="en-US"/>
        </w:rPr>
      </w:pPr>
    </w:p>
    <w:p w14:paraId="122B4D0C" w14:textId="77777777" w:rsidR="00401A64" w:rsidRDefault="00401A64" w:rsidP="00401A64">
      <w:pPr>
        <w:widowControl w:val="0"/>
        <w:jc w:val="center"/>
        <w:textAlignment w:val="top"/>
        <w:rPr>
          <w:b/>
        </w:rPr>
      </w:pPr>
      <w:r w:rsidRPr="00EE4F63">
        <w:rPr>
          <w:b/>
        </w:rPr>
        <w:t xml:space="preserve">Table </w:t>
      </w:r>
      <w:r>
        <w:rPr>
          <w:b/>
        </w:rPr>
        <w:t xml:space="preserve">4 </w:t>
      </w:r>
    </w:p>
    <w:p w14:paraId="22378AF8" w14:textId="77777777" w:rsidR="00401A64" w:rsidRDefault="00401A64" w:rsidP="00401A64">
      <w:pPr>
        <w:widowControl w:val="0"/>
        <w:jc w:val="center"/>
        <w:textAlignment w:val="top"/>
      </w:pPr>
      <w:r>
        <w:rPr>
          <w:i/>
        </w:rPr>
        <w:t>THEIL (system GMM)</w:t>
      </w:r>
    </w:p>
    <w:tbl>
      <w:tblPr>
        <w:tblW w:w="0" w:type="auto"/>
        <w:tblInd w:w="-176" w:type="dxa"/>
        <w:tblLook w:val="04A0" w:firstRow="1" w:lastRow="0" w:firstColumn="1" w:lastColumn="0" w:noHBand="0" w:noVBand="1"/>
      </w:tblPr>
      <w:tblGrid>
        <w:gridCol w:w="1161"/>
        <w:gridCol w:w="1125"/>
        <w:gridCol w:w="1066"/>
        <w:gridCol w:w="1025"/>
        <w:gridCol w:w="1025"/>
        <w:gridCol w:w="1126"/>
        <w:gridCol w:w="1125"/>
        <w:gridCol w:w="1026"/>
      </w:tblGrid>
      <w:tr w:rsidR="00401A64" w:rsidRPr="0047024D" w14:paraId="306CB04B" w14:textId="77777777" w:rsidTr="00595B93">
        <w:tc>
          <w:tcPr>
            <w:tcW w:w="1063" w:type="dxa"/>
            <w:tcBorders>
              <w:top w:val="double" w:sz="4" w:space="0" w:color="auto"/>
              <w:bottom w:val="single" w:sz="4" w:space="0" w:color="auto"/>
            </w:tcBorders>
          </w:tcPr>
          <w:p w14:paraId="47DB1C1E" w14:textId="77777777" w:rsidR="00401A64" w:rsidRPr="00491C04" w:rsidRDefault="00401A64" w:rsidP="00595B93">
            <w:pPr>
              <w:widowControl w:val="0"/>
              <w:jc w:val="center"/>
              <w:textAlignment w:val="top"/>
              <w:rPr>
                <w:bCs/>
                <w:sz w:val="20"/>
                <w:szCs w:val="20"/>
                <w:lang w:val="en-US"/>
              </w:rPr>
            </w:pPr>
          </w:p>
        </w:tc>
        <w:tc>
          <w:tcPr>
            <w:tcW w:w="1138" w:type="dxa"/>
            <w:tcBorders>
              <w:top w:val="double" w:sz="4" w:space="0" w:color="auto"/>
              <w:bottom w:val="single" w:sz="4" w:space="0" w:color="auto"/>
            </w:tcBorders>
          </w:tcPr>
          <w:p w14:paraId="3BD28470" w14:textId="77777777" w:rsidR="00401A64" w:rsidRPr="00491C04" w:rsidRDefault="00401A64" w:rsidP="00595B93">
            <w:pPr>
              <w:widowControl w:val="0"/>
              <w:jc w:val="center"/>
              <w:textAlignment w:val="top"/>
              <w:rPr>
                <w:bCs/>
                <w:i/>
                <w:sz w:val="20"/>
                <w:szCs w:val="20"/>
                <w:lang w:val="en-US"/>
              </w:rPr>
            </w:pPr>
            <w:r w:rsidRPr="00491C04">
              <w:rPr>
                <w:bCs/>
                <w:i/>
                <w:sz w:val="20"/>
                <w:szCs w:val="20"/>
                <w:lang w:val="en-US"/>
              </w:rPr>
              <w:t>Eq. 1</w:t>
            </w:r>
          </w:p>
        </w:tc>
        <w:tc>
          <w:tcPr>
            <w:tcW w:w="1087" w:type="dxa"/>
            <w:tcBorders>
              <w:top w:val="double" w:sz="4" w:space="0" w:color="auto"/>
              <w:bottom w:val="single" w:sz="4" w:space="0" w:color="auto"/>
            </w:tcBorders>
          </w:tcPr>
          <w:p w14:paraId="162F98DA" w14:textId="77777777" w:rsidR="00401A64" w:rsidRPr="00491C04" w:rsidRDefault="00401A64" w:rsidP="00595B93">
            <w:pPr>
              <w:widowControl w:val="0"/>
              <w:jc w:val="center"/>
              <w:textAlignment w:val="top"/>
              <w:rPr>
                <w:bCs/>
                <w:i/>
                <w:sz w:val="20"/>
                <w:szCs w:val="20"/>
                <w:lang w:val="en-US"/>
              </w:rPr>
            </w:pPr>
            <w:r w:rsidRPr="00491C04">
              <w:rPr>
                <w:bCs/>
                <w:i/>
                <w:sz w:val="20"/>
                <w:szCs w:val="20"/>
                <w:lang w:val="en-US"/>
              </w:rPr>
              <w:t>Eq. 2</w:t>
            </w:r>
          </w:p>
        </w:tc>
        <w:tc>
          <w:tcPr>
            <w:tcW w:w="1051" w:type="dxa"/>
            <w:tcBorders>
              <w:top w:val="double" w:sz="4" w:space="0" w:color="auto"/>
              <w:bottom w:val="single" w:sz="4" w:space="0" w:color="auto"/>
            </w:tcBorders>
          </w:tcPr>
          <w:p w14:paraId="3B07A6B5" w14:textId="77777777" w:rsidR="00401A64" w:rsidRPr="00491C04" w:rsidRDefault="00401A64" w:rsidP="00595B93">
            <w:pPr>
              <w:widowControl w:val="0"/>
              <w:jc w:val="center"/>
              <w:textAlignment w:val="top"/>
              <w:rPr>
                <w:bCs/>
                <w:i/>
                <w:sz w:val="20"/>
                <w:szCs w:val="20"/>
                <w:lang w:val="en-US"/>
              </w:rPr>
            </w:pPr>
            <w:r w:rsidRPr="00491C04">
              <w:rPr>
                <w:bCs/>
                <w:i/>
                <w:sz w:val="20"/>
                <w:szCs w:val="20"/>
                <w:lang w:val="en-US"/>
              </w:rPr>
              <w:t>Eq. 3</w:t>
            </w:r>
          </w:p>
        </w:tc>
        <w:tc>
          <w:tcPr>
            <w:tcW w:w="1051" w:type="dxa"/>
            <w:tcBorders>
              <w:top w:val="double" w:sz="4" w:space="0" w:color="auto"/>
              <w:bottom w:val="single" w:sz="4" w:space="0" w:color="auto"/>
            </w:tcBorders>
          </w:tcPr>
          <w:p w14:paraId="2F933A7B" w14:textId="77777777" w:rsidR="00401A64" w:rsidRPr="00491C04" w:rsidRDefault="00401A64" w:rsidP="00595B93">
            <w:pPr>
              <w:widowControl w:val="0"/>
              <w:jc w:val="center"/>
              <w:textAlignment w:val="top"/>
              <w:rPr>
                <w:bCs/>
                <w:i/>
                <w:sz w:val="20"/>
                <w:szCs w:val="20"/>
                <w:lang w:val="en-US"/>
              </w:rPr>
            </w:pPr>
            <w:r w:rsidRPr="00491C04">
              <w:rPr>
                <w:bCs/>
                <w:i/>
                <w:sz w:val="20"/>
                <w:szCs w:val="20"/>
                <w:lang w:val="en-US"/>
              </w:rPr>
              <w:t>Eq. 4</w:t>
            </w:r>
          </w:p>
        </w:tc>
        <w:tc>
          <w:tcPr>
            <w:tcW w:w="1139" w:type="dxa"/>
            <w:tcBorders>
              <w:top w:val="double" w:sz="4" w:space="0" w:color="auto"/>
              <w:bottom w:val="single" w:sz="4" w:space="0" w:color="auto"/>
            </w:tcBorders>
          </w:tcPr>
          <w:p w14:paraId="3E375A86" w14:textId="77777777" w:rsidR="00401A64" w:rsidRPr="00491C04" w:rsidRDefault="00401A64" w:rsidP="00595B93">
            <w:pPr>
              <w:widowControl w:val="0"/>
              <w:jc w:val="center"/>
              <w:textAlignment w:val="top"/>
              <w:rPr>
                <w:bCs/>
                <w:i/>
                <w:sz w:val="20"/>
                <w:szCs w:val="20"/>
                <w:lang w:val="en-US"/>
              </w:rPr>
            </w:pPr>
            <w:r w:rsidRPr="00491C04">
              <w:rPr>
                <w:bCs/>
                <w:i/>
                <w:sz w:val="20"/>
                <w:szCs w:val="20"/>
                <w:lang w:val="en-US"/>
              </w:rPr>
              <w:t>Eq. 5</w:t>
            </w:r>
          </w:p>
        </w:tc>
        <w:tc>
          <w:tcPr>
            <w:tcW w:w="1138" w:type="dxa"/>
            <w:tcBorders>
              <w:top w:val="double" w:sz="4" w:space="0" w:color="auto"/>
              <w:bottom w:val="single" w:sz="4" w:space="0" w:color="auto"/>
            </w:tcBorders>
          </w:tcPr>
          <w:p w14:paraId="6C989859" w14:textId="77777777" w:rsidR="00401A64" w:rsidRPr="00491C04" w:rsidRDefault="00401A64" w:rsidP="00595B93">
            <w:pPr>
              <w:widowControl w:val="0"/>
              <w:jc w:val="center"/>
              <w:textAlignment w:val="top"/>
              <w:rPr>
                <w:bCs/>
                <w:i/>
                <w:sz w:val="20"/>
                <w:szCs w:val="20"/>
                <w:lang w:val="en-US"/>
              </w:rPr>
            </w:pPr>
            <w:r w:rsidRPr="00491C04">
              <w:rPr>
                <w:bCs/>
                <w:i/>
                <w:sz w:val="20"/>
                <w:szCs w:val="20"/>
                <w:lang w:val="en-US"/>
              </w:rPr>
              <w:t>Eq. 6</w:t>
            </w:r>
          </w:p>
        </w:tc>
        <w:tc>
          <w:tcPr>
            <w:tcW w:w="1052" w:type="dxa"/>
            <w:tcBorders>
              <w:top w:val="double" w:sz="4" w:space="0" w:color="auto"/>
              <w:bottom w:val="single" w:sz="4" w:space="0" w:color="auto"/>
            </w:tcBorders>
          </w:tcPr>
          <w:p w14:paraId="35198E16" w14:textId="77777777" w:rsidR="00401A64" w:rsidRPr="00491C04" w:rsidRDefault="00401A64" w:rsidP="00595B93">
            <w:pPr>
              <w:widowControl w:val="0"/>
              <w:jc w:val="center"/>
              <w:textAlignment w:val="top"/>
              <w:rPr>
                <w:bCs/>
                <w:i/>
                <w:sz w:val="20"/>
                <w:szCs w:val="20"/>
                <w:lang w:val="en-US"/>
              </w:rPr>
            </w:pPr>
            <w:r w:rsidRPr="00491C04">
              <w:rPr>
                <w:bCs/>
                <w:i/>
                <w:sz w:val="20"/>
                <w:szCs w:val="20"/>
                <w:lang w:val="en-US"/>
              </w:rPr>
              <w:t>Eq. 7</w:t>
            </w:r>
          </w:p>
        </w:tc>
      </w:tr>
      <w:tr w:rsidR="00401A64" w:rsidRPr="0047024D" w14:paraId="0AC01809" w14:textId="77777777" w:rsidTr="00595B93">
        <w:tc>
          <w:tcPr>
            <w:tcW w:w="1063" w:type="dxa"/>
            <w:tcBorders>
              <w:top w:val="single" w:sz="4" w:space="0" w:color="auto"/>
            </w:tcBorders>
          </w:tcPr>
          <w:p w14:paraId="54B3FFF7"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THEIL</w:t>
            </w:r>
            <w:r w:rsidRPr="00491C04">
              <w:rPr>
                <w:bCs/>
                <w:i/>
                <w:sz w:val="20"/>
                <w:szCs w:val="20"/>
                <w:vertAlign w:val="subscript"/>
                <w:lang w:val="en-US"/>
              </w:rPr>
              <w:t>i,t-1</w:t>
            </w:r>
          </w:p>
        </w:tc>
        <w:tc>
          <w:tcPr>
            <w:tcW w:w="1138" w:type="dxa"/>
            <w:tcBorders>
              <w:top w:val="single" w:sz="4" w:space="0" w:color="auto"/>
            </w:tcBorders>
          </w:tcPr>
          <w:p w14:paraId="186F94F4" w14:textId="77777777" w:rsidR="00401A64" w:rsidRPr="002734E6" w:rsidRDefault="00401A64" w:rsidP="00595B93">
            <w:pPr>
              <w:widowControl w:val="0"/>
              <w:spacing w:before="60"/>
              <w:jc w:val="center"/>
              <w:textAlignment w:val="top"/>
              <w:rPr>
                <w:bCs/>
                <w:sz w:val="20"/>
                <w:szCs w:val="20"/>
                <w:lang w:val="en-US"/>
              </w:rPr>
            </w:pPr>
            <w:r w:rsidRPr="002734E6">
              <w:rPr>
                <w:bCs/>
                <w:sz w:val="20"/>
                <w:szCs w:val="20"/>
                <w:lang w:val="en-US"/>
              </w:rPr>
              <w:t>0.3</w:t>
            </w:r>
            <w:r>
              <w:rPr>
                <w:bCs/>
                <w:sz w:val="20"/>
                <w:szCs w:val="20"/>
                <w:lang w:val="en-US"/>
              </w:rPr>
              <w:t>181*</w:t>
            </w:r>
            <w:r w:rsidRPr="002734E6">
              <w:rPr>
                <w:bCs/>
                <w:sz w:val="20"/>
                <w:szCs w:val="20"/>
                <w:lang w:val="en-US"/>
              </w:rPr>
              <w:t>**</w:t>
            </w:r>
          </w:p>
          <w:p w14:paraId="0BB20F8A" w14:textId="77777777" w:rsidR="00401A64" w:rsidRPr="002734E6" w:rsidRDefault="00401A64" w:rsidP="00595B93">
            <w:pPr>
              <w:widowControl w:val="0"/>
              <w:jc w:val="center"/>
              <w:textAlignment w:val="top"/>
              <w:rPr>
                <w:bCs/>
                <w:sz w:val="20"/>
                <w:szCs w:val="20"/>
                <w:lang w:val="en-US"/>
              </w:rPr>
            </w:pPr>
            <w:r w:rsidRPr="002734E6">
              <w:rPr>
                <w:bCs/>
                <w:sz w:val="20"/>
                <w:szCs w:val="20"/>
                <w:lang w:val="en-US"/>
              </w:rPr>
              <w:lastRenderedPageBreak/>
              <w:t>(0.</w:t>
            </w:r>
            <w:r>
              <w:rPr>
                <w:bCs/>
                <w:sz w:val="20"/>
                <w:szCs w:val="20"/>
                <w:lang w:val="en-US"/>
              </w:rPr>
              <w:t>1193</w:t>
            </w:r>
            <w:r w:rsidRPr="002734E6">
              <w:rPr>
                <w:bCs/>
                <w:sz w:val="20"/>
                <w:szCs w:val="20"/>
                <w:lang w:val="en-US"/>
              </w:rPr>
              <w:t>)</w:t>
            </w:r>
          </w:p>
          <w:p w14:paraId="490ACBC4" w14:textId="77777777" w:rsidR="00401A64" w:rsidRPr="002734E6" w:rsidRDefault="00401A64" w:rsidP="00595B93">
            <w:pPr>
              <w:widowControl w:val="0"/>
              <w:jc w:val="center"/>
              <w:textAlignment w:val="top"/>
              <w:rPr>
                <w:bCs/>
                <w:sz w:val="20"/>
                <w:szCs w:val="20"/>
                <w:lang w:val="en-US"/>
              </w:rPr>
            </w:pPr>
            <w:r w:rsidRPr="002734E6">
              <w:rPr>
                <w:bCs/>
                <w:sz w:val="20"/>
                <w:szCs w:val="20"/>
                <w:lang w:val="en-US"/>
              </w:rPr>
              <w:t>[2.</w:t>
            </w:r>
            <w:r>
              <w:rPr>
                <w:bCs/>
                <w:sz w:val="20"/>
                <w:szCs w:val="20"/>
                <w:lang w:val="en-US"/>
              </w:rPr>
              <w:t>6657</w:t>
            </w:r>
            <w:r w:rsidRPr="002734E6">
              <w:rPr>
                <w:bCs/>
                <w:sz w:val="20"/>
                <w:szCs w:val="20"/>
                <w:lang w:val="en-US"/>
              </w:rPr>
              <w:t>]</w:t>
            </w:r>
          </w:p>
        </w:tc>
        <w:tc>
          <w:tcPr>
            <w:tcW w:w="1087" w:type="dxa"/>
            <w:tcBorders>
              <w:top w:val="single" w:sz="4" w:space="0" w:color="auto"/>
            </w:tcBorders>
          </w:tcPr>
          <w:p w14:paraId="3E38059B" w14:textId="77777777" w:rsidR="00401A64" w:rsidRPr="00844CAD" w:rsidRDefault="00401A64" w:rsidP="00595B93">
            <w:pPr>
              <w:widowControl w:val="0"/>
              <w:spacing w:before="60"/>
              <w:jc w:val="center"/>
              <w:textAlignment w:val="top"/>
              <w:rPr>
                <w:bCs/>
                <w:sz w:val="20"/>
                <w:szCs w:val="20"/>
                <w:lang w:val="en-US"/>
              </w:rPr>
            </w:pPr>
            <w:r w:rsidRPr="00844CAD">
              <w:rPr>
                <w:bCs/>
                <w:sz w:val="20"/>
                <w:szCs w:val="20"/>
                <w:lang w:val="en-US"/>
              </w:rPr>
              <w:lastRenderedPageBreak/>
              <w:t>0.2</w:t>
            </w:r>
            <w:r>
              <w:rPr>
                <w:bCs/>
                <w:sz w:val="20"/>
                <w:szCs w:val="20"/>
                <w:lang w:val="en-US"/>
              </w:rPr>
              <w:t>255</w:t>
            </w:r>
            <w:r w:rsidRPr="00844CAD">
              <w:rPr>
                <w:bCs/>
                <w:sz w:val="20"/>
                <w:szCs w:val="20"/>
                <w:lang w:val="en-US"/>
              </w:rPr>
              <w:t>*</w:t>
            </w:r>
          </w:p>
          <w:p w14:paraId="063BD844" w14:textId="77777777" w:rsidR="00401A64" w:rsidRPr="00844CAD" w:rsidRDefault="00401A64" w:rsidP="00595B93">
            <w:pPr>
              <w:widowControl w:val="0"/>
              <w:jc w:val="center"/>
              <w:textAlignment w:val="top"/>
              <w:rPr>
                <w:bCs/>
                <w:sz w:val="20"/>
                <w:szCs w:val="20"/>
                <w:lang w:val="en-US"/>
              </w:rPr>
            </w:pPr>
            <w:r w:rsidRPr="00844CAD">
              <w:rPr>
                <w:bCs/>
                <w:sz w:val="20"/>
                <w:szCs w:val="20"/>
                <w:lang w:val="en-US"/>
              </w:rPr>
              <w:lastRenderedPageBreak/>
              <w:t>(0.13</w:t>
            </w:r>
            <w:r>
              <w:rPr>
                <w:bCs/>
                <w:sz w:val="20"/>
                <w:szCs w:val="20"/>
                <w:lang w:val="en-US"/>
              </w:rPr>
              <w:t>56</w:t>
            </w:r>
            <w:r w:rsidRPr="00844CAD">
              <w:rPr>
                <w:bCs/>
                <w:sz w:val="20"/>
                <w:szCs w:val="20"/>
                <w:lang w:val="en-US"/>
              </w:rPr>
              <w:t>)</w:t>
            </w:r>
          </w:p>
          <w:p w14:paraId="40E44AB9" w14:textId="77777777" w:rsidR="00401A64" w:rsidRPr="00844CAD" w:rsidRDefault="00401A64" w:rsidP="00595B93">
            <w:pPr>
              <w:widowControl w:val="0"/>
              <w:jc w:val="center"/>
              <w:textAlignment w:val="top"/>
              <w:rPr>
                <w:bCs/>
                <w:sz w:val="20"/>
                <w:szCs w:val="20"/>
                <w:lang w:val="en-US"/>
              </w:rPr>
            </w:pPr>
            <w:r w:rsidRPr="00844CAD">
              <w:rPr>
                <w:bCs/>
                <w:sz w:val="20"/>
                <w:szCs w:val="20"/>
                <w:lang w:val="en-US"/>
              </w:rPr>
              <w:t>[1.</w:t>
            </w:r>
            <w:r>
              <w:rPr>
                <w:bCs/>
                <w:sz w:val="20"/>
                <w:szCs w:val="20"/>
                <w:lang w:val="en-US"/>
              </w:rPr>
              <w:t>6626</w:t>
            </w:r>
            <w:r w:rsidRPr="00844CAD">
              <w:rPr>
                <w:bCs/>
                <w:sz w:val="20"/>
                <w:szCs w:val="20"/>
                <w:lang w:val="en-US"/>
              </w:rPr>
              <w:t>]</w:t>
            </w:r>
          </w:p>
        </w:tc>
        <w:tc>
          <w:tcPr>
            <w:tcW w:w="1051" w:type="dxa"/>
            <w:tcBorders>
              <w:top w:val="single" w:sz="4" w:space="0" w:color="auto"/>
            </w:tcBorders>
          </w:tcPr>
          <w:p w14:paraId="11136085" w14:textId="77777777" w:rsidR="00401A64" w:rsidRPr="00727608" w:rsidRDefault="00401A64" w:rsidP="00595B93">
            <w:pPr>
              <w:widowControl w:val="0"/>
              <w:spacing w:before="60"/>
              <w:jc w:val="center"/>
              <w:textAlignment w:val="top"/>
              <w:rPr>
                <w:bCs/>
                <w:sz w:val="20"/>
                <w:szCs w:val="20"/>
                <w:lang w:val="en-US"/>
              </w:rPr>
            </w:pPr>
            <w:r w:rsidRPr="00727608">
              <w:rPr>
                <w:bCs/>
                <w:sz w:val="20"/>
                <w:szCs w:val="20"/>
                <w:lang w:val="en-US"/>
              </w:rPr>
              <w:lastRenderedPageBreak/>
              <w:t>0.0</w:t>
            </w:r>
            <w:r>
              <w:rPr>
                <w:bCs/>
                <w:sz w:val="20"/>
                <w:szCs w:val="20"/>
                <w:lang w:val="en-US"/>
              </w:rPr>
              <w:t>226</w:t>
            </w:r>
          </w:p>
          <w:p w14:paraId="2F6A8278" w14:textId="77777777" w:rsidR="00401A64" w:rsidRPr="00727608" w:rsidRDefault="00401A64" w:rsidP="00595B93">
            <w:pPr>
              <w:widowControl w:val="0"/>
              <w:jc w:val="center"/>
              <w:textAlignment w:val="top"/>
              <w:rPr>
                <w:bCs/>
                <w:sz w:val="20"/>
                <w:szCs w:val="20"/>
                <w:lang w:val="en-US"/>
              </w:rPr>
            </w:pPr>
            <w:r w:rsidRPr="00727608">
              <w:rPr>
                <w:bCs/>
                <w:sz w:val="20"/>
                <w:szCs w:val="20"/>
                <w:lang w:val="en-US"/>
              </w:rPr>
              <w:lastRenderedPageBreak/>
              <w:t>(0.2</w:t>
            </w:r>
            <w:r>
              <w:rPr>
                <w:bCs/>
                <w:sz w:val="20"/>
                <w:szCs w:val="20"/>
                <w:lang w:val="en-US"/>
              </w:rPr>
              <w:t>456</w:t>
            </w:r>
            <w:r w:rsidRPr="00727608">
              <w:rPr>
                <w:bCs/>
                <w:sz w:val="20"/>
                <w:szCs w:val="20"/>
                <w:lang w:val="en-US"/>
              </w:rPr>
              <w:t>)</w:t>
            </w:r>
          </w:p>
          <w:p w14:paraId="241BF942" w14:textId="77777777" w:rsidR="00401A64" w:rsidRPr="00727608" w:rsidRDefault="00401A64" w:rsidP="00595B93">
            <w:pPr>
              <w:widowControl w:val="0"/>
              <w:jc w:val="center"/>
              <w:textAlignment w:val="top"/>
              <w:rPr>
                <w:bCs/>
                <w:sz w:val="20"/>
                <w:szCs w:val="20"/>
                <w:lang w:val="en-US"/>
              </w:rPr>
            </w:pPr>
            <w:r w:rsidRPr="00727608">
              <w:rPr>
                <w:bCs/>
                <w:sz w:val="20"/>
                <w:szCs w:val="20"/>
                <w:lang w:val="en-US"/>
              </w:rPr>
              <w:t>[0.</w:t>
            </w:r>
            <w:r>
              <w:rPr>
                <w:bCs/>
                <w:sz w:val="20"/>
                <w:szCs w:val="20"/>
                <w:lang w:val="en-US"/>
              </w:rPr>
              <w:t>0922</w:t>
            </w:r>
            <w:r w:rsidRPr="00727608">
              <w:rPr>
                <w:bCs/>
                <w:sz w:val="20"/>
                <w:szCs w:val="20"/>
                <w:lang w:val="en-US"/>
              </w:rPr>
              <w:t>]</w:t>
            </w:r>
          </w:p>
        </w:tc>
        <w:tc>
          <w:tcPr>
            <w:tcW w:w="1051" w:type="dxa"/>
            <w:tcBorders>
              <w:top w:val="single" w:sz="4" w:space="0" w:color="auto"/>
            </w:tcBorders>
          </w:tcPr>
          <w:p w14:paraId="60360D46" w14:textId="77777777" w:rsidR="00401A64" w:rsidRPr="000D48C1" w:rsidRDefault="00401A64" w:rsidP="00595B93">
            <w:pPr>
              <w:widowControl w:val="0"/>
              <w:spacing w:before="60"/>
              <w:jc w:val="center"/>
              <w:textAlignment w:val="top"/>
              <w:rPr>
                <w:bCs/>
                <w:sz w:val="20"/>
                <w:szCs w:val="20"/>
                <w:lang w:val="en-US"/>
              </w:rPr>
            </w:pPr>
            <w:r w:rsidRPr="000D48C1">
              <w:rPr>
                <w:bCs/>
                <w:sz w:val="20"/>
                <w:szCs w:val="20"/>
                <w:lang w:val="en-US"/>
              </w:rPr>
              <w:lastRenderedPageBreak/>
              <w:t>0.</w:t>
            </w:r>
            <w:r>
              <w:rPr>
                <w:bCs/>
                <w:sz w:val="20"/>
                <w:szCs w:val="20"/>
                <w:lang w:val="en-US"/>
              </w:rPr>
              <w:t>3322*</w:t>
            </w:r>
          </w:p>
          <w:p w14:paraId="14A82E65" w14:textId="77777777" w:rsidR="00401A64" w:rsidRPr="000D48C1" w:rsidRDefault="00401A64" w:rsidP="00595B93">
            <w:pPr>
              <w:widowControl w:val="0"/>
              <w:jc w:val="center"/>
              <w:textAlignment w:val="top"/>
              <w:rPr>
                <w:bCs/>
                <w:sz w:val="20"/>
                <w:szCs w:val="20"/>
                <w:lang w:val="en-US"/>
              </w:rPr>
            </w:pPr>
            <w:r w:rsidRPr="000D48C1">
              <w:rPr>
                <w:bCs/>
                <w:sz w:val="20"/>
                <w:szCs w:val="20"/>
                <w:lang w:val="en-US"/>
              </w:rPr>
              <w:lastRenderedPageBreak/>
              <w:t>(0.1</w:t>
            </w:r>
            <w:r>
              <w:rPr>
                <w:bCs/>
                <w:sz w:val="20"/>
                <w:szCs w:val="20"/>
                <w:lang w:val="en-US"/>
              </w:rPr>
              <w:t>735</w:t>
            </w:r>
            <w:r w:rsidRPr="000D48C1">
              <w:rPr>
                <w:bCs/>
                <w:sz w:val="20"/>
                <w:szCs w:val="20"/>
                <w:lang w:val="en-US"/>
              </w:rPr>
              <w:t>)</w:t>
            </w:r>
          </w:p>
          <w:p w14:paraId="130884C1" w14:textId="77777777" w:rsidR="00401A64" w:rsidRPr="000D48C1" w:rsidRDefault="00401A64" w:rsidP="00595B93">
            <w:pPr>
              <w:widowControl w:val="0"/>
              <w:jc w:val="center"/>
              <w:textAlignment w:val="top"/>
              <w:rPr>
                <w:bCs/>
                <w:sz w:val="20"/>
                <w:szCs w:val="20"/>
                <w:lang w:val="en-US"/>
              </w:rPr>
            </w:pPr>
            <w:r w:rsidRPr="000D48C1">
              <w:rPr>
                <w:bCs/>
                <w:sz w:val="20"/>
                <w:szCs w:val="20"/>
                <w:lang w:val="en-US"/>
              </w:rPr>
              <w:t>[</w:t>
            </w:r>
            <w:r>
              <w:rPr>
                <w:bCs/>
                <w:sz w:val="20"/>
                <w:szCs w:val="20"/>
                <w:lang w:val="en-US"/>
              </w:rPr>
              <w:t>1.9143</w:t>
            </w:r>
            <w:r w:rsidRPr="000D48C1">
              <w:rPr>
                <w:bCs/>
                <w:sz w:val="20"/>
                <w:szCs w:val="20"/>
                <w:lang w:val="en-US"/>
              </w:rPr>
              <w:t>]</w:t>
            </w:r>
          </w:p>
        </w:tc>
        <w:tc>
          <w:tcPr>
            <w:tcW w:w="1139" w:type="dxa"/>
            <w:tcBorders>
              <w:top w:val="single" w:sz="4" w:space="0" w:color="auto"/>
            </w:tcBorders>
          </w:tcPr>
          <w:p w14:paraId="48D98C19" w14:textId="77777777" w:rsidR="00401A64" w:rsidRPr="00D730E5" w:rsidRDefault="00401A64" w:rsidP="00595B93">
            <w:pPr>
              <w:widowControl w:val="0"/>
              <w:spacing w:before="60"/>
              <w:jc w:val="center"/>
              <w:textAlignment w:val="top"/>
              <w:rPr>
                <w:bCs/>
                <w:sz w:val="20"/>
                <w:szCs w:val="20"/>
                <w:lang w:val="en-US"/>
              </w:rPr>
            </w:pPr>
            <w:r w:rsidRPr="00D730E5">
              <w:rPr>
                <w:bCs/>
                <w:sz w:val="20"/>
                <w:szCs w:val="20"/>
                <w:lang w:val="en-US"/>
              </w:rPr>
              <w:lastRenderedPageBreak/>
              <w:t>0.</w:t>
            </w:r>
            <w:r>
              <w:rPr>
                <w:bCs/>
                <w:sz w:val="20"/>
                <w:szCs w:val="20"/>
                <w:lang w:val="en-US"/>
              </w:rPr>
              <w:t>1798</w:t>
            </w:r>
          </w:p>
          <w:p w14:paraId="5CE06675" w14:textId="77777777" w:rsidR="00401A64" w:rsidRPr="00D730E5" w:rsidRDefault="00401A64" w:rsidP="00595B93">
            <w:pPr>
              <w:widowControl w:val="0"/>
              <w:jc w:val="center"/>
              <w:textAlignment w:val="top"/>
              <w:rPr>
                <w:bCs/>
                <w:sz w:val="20"/>
                <w:szCs w:val="20"/>
                <w:lang w:val="en-US"/>
              </w:rPr>
            </w:pPr>
            <w:r w:rsidRPr="00D730E5">
              <w:rPr>
                <w:bCs/>
                <w:sz w:val="20"/>
                <w:szCs w:val="20"/>
                <w:lang w:val="en-US"/>
              </w:rPr>
              <w:lastRenderedPageBreak/>
              <w:t>(0.1</w:t>
            </w:r>
            <w:r>
              <w:rPr>
                <w:bCs/>
                <w:sz w:val="20"/>
                <w:szCs w:val="20"/>
                <w:lang w:val="en-US"/>
              </w:rPr>
              <w:t>391</w:t>
            </w:r>
            <w:r w:rsidRPr="00D730E5">
              <w:rPr>
                <w:bCs/>
                <w:sz w:val="20"/>
                <w:szCs w:val="20"/>
                <w:lang w:val="en-US"/>
              </w:rPr>
              <w:t>)</w:t>
            </w:r>
          </w:p>
          <w:p w14:paraId="27C78C5E" w14:textId="77777777" w:rsidR="00401A64" w:rsidRPr="00D730E5" w:rsidRDefault="00401A64" w:rsidP="00595B93">
            <w:pPr>
              <w:widowControl w:val="0"/>
              <w:jc w:val="center"/>
              <w:textAlignment w:val="top"/>
              <w:rPr>
                <w:bCs/>
                <w:sz w:val="20"/>
                <w:szCs w:val="20"/>
                <w:lang w:val="en-US"/>
              </w:rPr>
            </w:pPr>
            <w:r w:rsidRPr="00D730E5">
              <w:rPr>
                <w:bCs/>
                <w:sz w:val="20"/>
                <w:szCs w:val="20"/>
                <w:lang w:val="en-US"/>
              </w:rPr>
              <w:t>[</w:t>
            </w:r>
            <w:r>
              <w:rPr>
                <w:bCs/>
                <w:sz w:val="20"/>
                <w:szCs w:val="20"/>
                <w:lang w:val="en-US"/>
              </w:rPr>
              <w:t>1.2932</w:t>
            </w:r>
            <w:r w:rsidRPr="00D730E5">
              <w:rPr>
                <w:bCs/>
                <w:sz w:val="20"/>
                <w:szCs w:val="20"/>
                <w:lang w:val="en-US"/>
              </w:rPr>
              <w:t>]</w:t>
            </w:r>
          </w:p>
        </w:tc>
        <w:tc>
          <w:tcPr>
            <w:tcW w:w="1138" w:type="dxa"/>
            <w:tcBorders>
              <w:top w:val="single" w:sz="4" w:space="0" w:color="auto"/>
            </w:tcBorders>
          </w:tcPr>
          <w:p w14:paraId="2D60C146" w14:textId="77777777" w:rsidR="00401A64" w:rsidRPr="00BA784B" w:rsidRDefault="00401A64" w:rsidP="00595B93">
            <w:pPr>
              <w:widowControl w:val="0"/>
              <w:spacing w:before="60"/>
              <w:jc w:val="center"/>
              <w:textAlignment w:val="top"/>
              <w:rPr>
                <w:bCs/>
                <w:sz w:val="20"/>
                <w:szCs w:val="20"/>
                <w:lang w:val="en-US"/>
              </w:rPr>
            </w:pPr>
            <w:r w:rsidRPr="00BA784B">
              <w:rPr>
                <w:bCs/>
                <w:sz w:val="20"/>
                <w:szCs w:val="20"/>
                <w:lang w:val="en-US"/>
              </w:rPr>
              <w:lastRenderedPageBreak/>
              <w:t>0.2</w:t>
            </w:r>
            <w:r>
              <w:rPr>
                <w:bCs/>
                <w:sz w:val="20"/>
                <w:szCs w:val="20"/>
                <w:lang w:val="en-US"/>
              </w:rPr>
              <w:t>365</w:t>
            </w:r>
            <w:r w:rsidRPr="00BA784B">
              <w:rPr>
                <w:bCs/>
                <w:sz w:val="20"/>
                <w:szCs w:val="20"/>
                <w:lang w:val="en-US"/>
              </w:rPr>
              <w:t>*</w:t>
            </w:r>
          </w:p>
          <w:p w14:paraId="73E36D13"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lastRenderedPageBreak/>
              <w:t>(0.1</w:t>
            </w:r>
            <w:r>
              <w:rPr>
                <w:bCs/>
                <w:sz w:val="20"/>
                <w:szCs w:val="20"/>
                <w:lang w:val="en-US"/>
              </w:rPr>
              <w:t>378</w:t>
            </w:r>
            <w:r w:rsidRPr="00BA784B">
              <w:rPr>
                <w:bCs/>
                <w:sz w:val="20"/>
                <w:szCs w:val="20"/>
                <w:lang w:val="en-US"/>
              </w:rPr>
              <w:t>)</w:t>
            </w:r>
          </w:p>
          <w:p w14:paraId="76DC5927"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t>[1.</w:t>
            </w:r>
            <w:r>
              <w:rPr>
                <w:bCs/>
                <w:sz w:val="20"/>
                <w:szCs w:val="20"/>
                <w:lang w:val="en-US"/>
              </w:rPr>
              <w:t>7151</w:t>
            </w:r>
            <w:r w:rsidRPr="00BA784B">
              <w:rPr>
                <w:bCs/>
                <w:sz w:val="20"/>
                <w:szCs w:val="20"/>
                <w:lang w:val="en-US"/>
              </w:rPr>
              <w:t>]</w:t>
            </w:r>
          </w:p>
        </w:tc>
        <w:tc>
          <w:tcPr>
            <w:tcW w:w="1052" w:type="dxa"/>
            <w:tcBorders>
              <w:top w:val="single" w:sz="4" w:space="0" w:color="auto"/>
            </w:tcBorders>
          </w:tcPr>
          <w:p w14:paraId="7E5512B1" w14:textId="77777777" w:rsidR="00401A64" w:rsidRPr="00BA784B" w:rsidRDefault="00401A64" w:rsidP="00595B93">
            <w:pPr>
              <w:widowControl w:val="0"/>
              <w:spacing w:before="60"/>
              <w:jc w:val="center"/>
              <w:textAlignment w:val="top"/>
              <w:rPr>
                <w:bCs/>
                <w:sz w:val="20"/>
                <w:szCs w:val="20"/>
                <w:lang w:val="en-US"/>
              </w:rPr>
            </w:pPr>
            <w:r w:rsidRPr="00BA784B">
              <w:rPr>
                <w:bCs/>
                <w:sz w:val="20"/>
                <w:szCs w:val="20"/>
                <w:lang w:val="en-US"/>
              </w:rPr>
              <w:lastRenderedPageBreak/>
              <w:t>0.</w:t>
            </w:r>
            <w:r>
              <w:rPr>
                <w:bCs/>
                <w:sz w:val="20"/>
                <w:szCs w:val="20"/>
                <w:lang w:val="en-US"/>
              </w:rPr>
              <w:t>2186</w:t>
            </w:r>
          </w:p>
          <w:p w14:paraId="20BB154D"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lastRenderedPageBreak/>
              <w:t>(0.</w:t>
            </w:r>
            <w:r>
              <w:rPr>
                <w:bCs/>
                <w:sz w:val="20"/>
                <w:szCs w:val="20"/>
                <w:lang w:val="en-US"/>
              </w:rPr>
              <w:t>2327</w:t>
            </w:r>
            <w:r w:rsidRPr="00BA784B">
              <w:rPr>
                <w:bCs/>
                <w:sz w:val="20"/>
                <w:szCs w:val="20"/>
                <w:lang w:val="en-US"/>
              </w:rPr>
              <w:t>)</w:t>
            </w:r>
          </w:p>
          <w:p w14:paraId="442CEE55"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t>[</w:t>
            </w:r>
            <w:r>
              <w:rPr>
                <w:bCs/>
                <w:sz w:val="20"/>
                <w:szCs w:val="20"/>
                <w:lang w:val="en-US"/>
              </w:rPr>
              <w:t>0.9394</w:t>
            </w:r>
            <w:r w:rsidRPr="00BA784B">
              <w:rPr>
                <w:bCs/>
                <w:sz w:val="20"/>
                <w:szCs w:val="20"/>
                <w:lang w:val="en-US"/>
              </w:rPr>
              <w:t>]</w:t>
            </w:r>
          </w:p>
        </w:tc>
      </w:tr>
      <w:tr w:rsidR="00401A64" w:rsidRPr="0047024D" w14:paraId="5A421903" w14:textId="77777777" w:rsidTr="00595B93">
        <w:tc>
          <w:tcPr>
            <w:tcW w:w="1063" w:type="dxa"/>
          </w:tcPr>
          <w:p w14:paraId="0666CCFE"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lastRenderedPageBreak/>
              <w:t>OPEN</w:t>
            </w:r>
            <w:r w:rsidRPr="00491C04">
              <w:rPr>
                <w:bCs/>
                <w:i/>
                <w:sz w:val="20"/>
                <w:szCs w:val="20"/>
                <w:vertAlign w:val="subscript"/>
                <w:lang w:val="en-US"/>
              </w:rPr>
              <w:t>i,t-1</w:t>
            </w:r>
          </w:p>
        </w:tc>
        <w:tc>
          <w:tcPr>
            <w:tcW w:w="1138" w:type="dxa"/>
          </w:tcPr>
          <w:p w14:paraId="30D2D6D5" w14:textId="77777777" w:rsidR="00401A64" w:rsidRPr="002734E6" w:rsidRDefault="00401A64" w:rsidP="00595B93">
            <w:pPr>
              <w:widowControl w:val="0"/>
              <w:spacing w:before="60"/>
              <w:jc w:val="center"/>
              <w:textAlignment w:val="top"/>
              <w:rPr>
                <w:bCs/>
                <w:sz w:val="20"/>
                <w:szCs w:val="20"/>
                <w:lang w:val="en-US"/>
              </w:rPr>
            </w:pPr>
            <w:r w:rsidRPr="002734E6">
              <w:rPr>
                <w:bCs/>
                <w:sz w:val="20"/>
                <w:szCs w:val="20"/>
                <w:lang w:val="en-US"/>
              </w:rPr>
              <w:t>-0.</w:t>
            </w:r>
            <w:r>
              <w:rPr>
                <w:bCs/>
                <w:sz w:val="20"/>
                <w:szCs w:val="20"/>
                <w:lang w:val="en-US"/>
              </w:rPr>
              <w:t>4547</w:t>
            </w:r>
            <w:r w:rsidRPr="002734E6">
              <w:rPr>
                <w:bCs/>
                <w:sz w:val="20"/>
                <w:szCs w:val="20"/>
                <w:lang w:val="en-US"/>
              </w:rPr>
              <w:t>**</w:t>
            </w:r>
          </w:p>
          <w:p w14:paraId="238889D0" w14:textId="77777777" w:rsidR="00401A64" w:rsidRPr="002734E6" w:rsidRDefault="00401A64" w:rsidP="00595B93">
            <w:pPr>
              <w:widowControl w:val="0"/>
              <w:jc w:val="center"/>
              <w:textAlignment w:val="top"/>
              <w:rPr>
                <w:bCs/>
                <w:sz w:val="20"/>
                <w:szCs w:val="20"/>
                <w:lang w:val="en-US"/>
              </w:rPr>
            </w:pPr>
            <w:r w:rsidRPr="002734E6">
              <w:rPr>
                <w:bCs/>
                <w:sz w:val="20"/>
                <w:szCs w:val="20"/>
                <w:lang w:val="en-US"/>
              </w:rPr>
              <w:t>(0.</w:t>
            </w:r>
            <w:r>
              <w:rPr>
                <w:bCs/>
                <w:sz w:val="20"/>
                <w:szCs w:val="20"/>
                <w:lang w:val="en-US"/>
              </w:rPr>
              <w:t>2170</w:t>
            </w:r>
            <w:r w:rsidRPr="002734E6">
              <w:rPr>
                <w:bCs/>
                <w:sz w:val="20"/>
                <w:szCs w:val="20"/>
                <w:lang w:val="en-US"/>
              </w:rPr>
              <w:t>)</w:t>
            </w:r>
          </w:p>
          <w:p w14:paraId="481BC1A2" w14:textId="77777777" w:rsidR="00401A64" w:rsidRPr="002734E6" w:rsidRDefault="00401A64" w:rsidP="00595B93">
            <w:pPr>
              <w:widowControl w:val="0"/>
              <w:jc w:val="center"/>
              <w:textAlignment w:val="top"/>
              <w:rPr>
                <w:bCs/>
                <w:sz w:val="20"/>
                <w:szCs w:val="20"/>
                <w:lang w:val="en-US"/>
              </w:rPr>
            </w:pPr>
            <w:r w:rsidRPr="002734E6">
              <w:rPr>
                <w:bCs/>
                <w:sz w:val="20"/>
                <w:szCs w:val="20"/>
                <w:lang w:val="en-US"/>
              </w:rPr>
              <w:t>[-</w:t>
            </w:r>
            <w:r>
              <w:rPr>
                <w:bCs/>
                <w:sz w:val="20"/>
                <w:szCs w:val="20"/>
                <w:lang w:val="en-US"/>
              </w:rPr>
              <w:t>2.0950</w:t>
            </w:r>
            <w:r w:rsidRPr="002734E6">
              <w:rPr>
                <w:bCs/>
                <w:sz w:val="20"/>
                <w:szCs w:val="20"/>
                <w:lang w:val="en-US"/>
              </w:rPr>
              <w:t>]</w:t>
            </w:r>
          </w:p>
        </w:tc>
        <w:tc>
          <w:tcPr>
            <w:tcW w:w="1087" w:type="dxa"/>
          </w:tcPr>
          <w:p w14:paraId="6BE05238" w14:textId="77777777" w:rsidR="00401A64" w:rsidRPr="00844CAD" w:rsidRDefault="00401A64" w:rsidP="00595B93">
            <w:pPr>
              <w:widowControl w:val="0"/>
              <w:spacing w:before="60"/>
              <w:jc w:val="center"/>
              <w:textAlignment w:val="top"/>
              <w:rPr>
                <w:bCs/>
                <w:sz w:val="20"/>
                <w:szCs w:val="20"/>
                <w:lang w:val="en-US"/>
              </w:rPr>
            </w:pPr>
            <w:r w:rsidRPr="00844CAD">
              <w:rPr>
                <w:bCs/>
                <w:sz w:val="20"/>
                <w:szCs w:val="20"/>
                <w:lang w:val="en-US"/>
              </w:rPr>
              <w:t>-0.</w:t>
            </w:r>
            <w:r>
              <w:rPr>
                <w:bCs/>
                <w:sz w:val="20"/>
                <w:szCs w:val="20"/>
                <w:lang w:val="en-US"/>
              </w:rPr>
              <w:t>7298</w:t>
            </w:r>
            <w:r w:rsidRPr="00844CAD">
              <w:rPr>
                <w:bCs/>
                <w:sz w:val="20"/>
                <w:szCs w:val="20"/>
                <w:lang w:val="en-US"/>
              </w:rPr>
              <w:t>**</w:t>
            </w:r>
          </w:p>
          <w:p w14:paraId="17BF1D8A" w14:textId="77777777" w:rsidR="00401A64" w:rsidRPr="00844CAD" w:rsidRDefault="00401A64" w:rsidP="00595B93">
            <w:pPr>
              <w:widowControl w:val="0"/>
              <w:jc w:val="center"/>
              <w:textAlignment w:val="top"/>
              <w:rPr>
                <w:bCs/>
                <w:sz w:val="20"/>
                <w:szCs w:val="20"/>
                <w:lang w:val="en-US"/>
              </w:rPr>
            </w:pPr>
            <w:r w:rsidRPr="00844CAD">
              <w:rPr>
                <w:bCs/>
                <w:sz w:val="20"/>
                <w:szCs w:val="20"/>
                <w:lang w:val="en-US"/>
              </w:rPr>
              <w:t>(0.</w:t>
            </w:r>
            <w:r>
              <w:rPr>
                <w:bCs/>
                <w:sz w:val="20"/>
                <w:szCs w:val="20"/>
                <w:lang w:val="en-US"/>
              </w:rPr>
              <w:t>2897</w:t>
            </w:r>
            <w:r w:rsidRPr="00844CAD">
              <w:rPr>
                <w:bCs/>
                <w:sz w:val="20"/>
                <w:szCs w:val="20"/>
                <w:lang w:val="en-US"/>
              </w:rPr>
              <w:t>)</w:t>
            </w:r>
          </w:p>
          <w:p w14:paraId="19DCFFE4" w14:textId="77777777" w:rsidR="00401A64" w:rsidRPr="00844CAD" w:rsidRDefault="00401A64" w:rsidP="00595B93">
            <w:pPr>
              <w:widowControl w:val="0"/>
              <w:jc w:val="center"/>
              <w:textAlignment w:val="top"/>
              <w:rPr>
                <w:bCs/>
                <w:sz w:val="20"/>
                <w:szCs w:val="20"/>
                <w:lang w:val="en-US"/>
              </w:rPr>
            </w:pPr>
            <w:r w:rsidRPr="00844CAD">
              <w:rPr>
                <w:bCs/>
                <w:sz w:val="20"/>
                <w:szCs w:val="20"/>
                <w:lang w:val="en-US"/>
              </w:rPr>
              <w:t>[-</w:t>
            </w:r>
            <w:r>
              <w:rPr>
                <w:bCs/>
                <w:sz w:val="20"/>
                <w:szCs w:val="20"/>
                <w:lang w:val="en-US"/>
              </w:rPr>
              <w:t>2</w:t>
            </w:r>
            <w:r w:rsidRPr="00844CAD">
              <w:rPr>
                <w:bCs/>
                <w:sz w:val="20"/>
                <w:szCs w:val="20"/>
                <w:lang w:val="en-US"/>
              </w:rPr>
              <w:t>.</w:t>
            </w:r>
            <w:r>
              <w:rPr>
                <w:bCs/>
                <w:sz w:val="20"/>
                <w:szCs w:val="20"/>
                <w:lang w:val="en-US"/>
              </w:rPr>
              <w:t>5188</w:t>
            </w:r>
            <w:r w:rsidRPr="00844CAD">
              <w:rPr>
                <w:bCs/>
                <w:sz w:val="20"/>
                <w:szCs w:val="20"/>
                <w:lang w:val="en-US"/>
              </w:rPr>
              <w:t>]</w:t>
            </w:r>
          </w:p>
        </w:tc>
        <w:tc>
          <w:tcPr>
            <w:tcW w:w="1051" w:type="dxa"/>
          </w:tcPr>
          <w:p w14:paraId="4E518F9D" w14:textId="77777777" w:rsidR="00401A64" w:rsidRPr="00727608" w:rsidRDefault="00401A64" w:rsidP="00595B93">
            <w:pPr>
              <w:widowControl w:val="0"/>
              <w:spacing w:before="60"/>
              <w:jc w:val="center"/>
              <w:textAlignment w:val="top"/>
              <w:rPr>
                <w:bCs/>
                <w:sz w:val="20"/>
                <w:szCs w:val="20"/>
                <w:lang w:val="en-US"/>
              </w:rPr>
            </w:pPr>
            <w:r w:rsidRPr="00727608">
              <w:rPr>
                <w:bCs/>
                <w:sz w:val="20"/>
                <w:szCs w:val="20"/>
                <w:lang w:val="en-US"/>
              </w:rPr>
              <w:t>-0.</w:t>
            </w:r>
            <w:r>
              <w:rPr>
                <w:bCs/>
                <w:sz w:val="20"/>
                <w:szCs w:val="20"/>
                <w:lang w:val="en-US"/>
              </w:rPr>
              <w:t>7865</w:t>
            </w:r>
            <w:r w:rsidRPr="00727608">
              <w:rPr>
                <w:bCs/>
                <w:sz w:val="20"/>
                <w:szCs w:val="20"/>
                <w:lang w:val="en-US"/>
              </w:rPr>
              <w:t>*</w:t>
            </w:r>
          </w:p>
          <w:p w14:paraId="29FF664F" w14:textId="77777777" w:rsidR="00401A64" w:rsidRPr="00727608" w:rsidRDefault="00401A64" w:rsidP="00595B93">
            <w:pPr>
              <w:widowControl w:val="0"/>
              <w:jc w:val="center"/>
              <w:textAlignment w:val="top"/>
              <w:rPr>
                <w:bCs/>
                <w:sz w:val="20"/>
                <w:szCs w:val="20"/>
                <w:lang w:val="en-US"/>
              </w:rPr>
            </w:pPr>
            <w:r w:rsidRPr="00727608">
              <w:rPr>
                <w:bCs/>
                <w:sz w:val="20"/>
                <w:szCs w:val="20"/>
                <w:lang w:val="en-US"/>
              </w:rPr>
              <w:t>(0.</w:t>
            </w:r>
            <w:r>
              <w:rPr>
                <w:bCs/>
                <w:sz w:val="20"/>
                <w:szCs w:val="20"/>
                <w:lang w:val="en-US"/>
              </w:rPr>
              <w:t>4439</w:t>
            </w:r>
            <w:r w:rsidRPr="00727608">
              <w:rPr>
                <w:bCs/>
                <w:sz w:val="20"/>
                <w:szCs w:val="20"/>
                <w:lang w:val="en-US"/>
              </w:rPr>
              <w:t>)</w:t>
            </w:r>
          </w:p>
          <w:p w14:paraId="4604AA3C" w14:textId="77777777" w:rsidR="00401A64" w:rsidRPr="00727608" w:rsidRDefault="00401A64" w:rsidP="00595B93">
            <w:pPr>
              <w:widowControl w:val="0"/>
              <w:jc w:val="center"/>
              <w:textAlignment w:val="top"/>
              <w:rPr>
                <w:bCs/>
                <w:sz w:val="20"/>
                <w:szCs w:val="20"/>
                <w:lang w:val="en-US"/>
              </w:rPr>
            </w:pPr>
            <w:r w:rsidRPr="00727608">
              <w:rPr>
                <w:bCs/>
                <w:sz w:val="20"/>
                <w:szCs w:val="20"/>
                <w:lang w:val="en-US"/>
              </w:rPr>
              <w:t>[-1.</w:t>
            </w:r>
            <w:r>
              <w:rPr>
                <w:bCs/>
                <w:sz w:val="20"/>
                <w:szCs w:val="20"/>
                <w:lang w:val="en-US"/>
              </w:rPr>
              <w:t>7717</w:t>
            </w:r>
            <w:r w:rsidRPr="00727608">
              <w:rPr>
                <w:bCs/>
                <w:sz w:val="20"/>
                <w:szCs w:val="20"/>
                <w:lang w:val="en-US"/>
              </w:rPr>
              <w:t>]</w:t>
            </w:r>
          </w:p>
        </w:tc>
        <w:tc>
          <w:tcPr>
            <w:tcW w:w="1051" w:type="dxa"/>
          </w:tcPr>
          <w:p w14:paraId="3C0388DA" w14:textId="77777777" w:rsidR="00401A64" w:rsidRPr="000D48C1" w:rsidRDefault="00401A64" w:rsidP="00595B93">
            <w:pPr>
              <w:widowControl w:val="0"/>
              <w:spacing w:before="60"/>
              <w:jc w:val="center"/>
              <w:textAlignment w:val="top"/>
              <w:rPr>
                <w:bCs/>
                <w:sz w:val="20"/>
                <w:szCs w:val="20"/>
                <w:lang w:val="en-US"/>
              </w:rPr>
            </w:pPr>
            <w:r w:rsidRPr="000D48C1">
              <w:rPr>
                <w:bCs/>
                <w:sz w:val="20"/>
                <w:szCs w:val="20"/>
                <w:lang w:val="en-US"/>
              </w:rPr>
              <w:t>-0.</w:t>
            </w:r>
            <w:r>
              <w:rPr>
                <w:bCs/>
                <w:sz w:val="20"/>
                <w:szCs w:val="20"/>
                <w:lang w:val="en-US"/>
              </w:rPr>
              <w:t>4683</w:t>
            </w:r>
            <w:r w:rsidRPr="000D48C1">
              <w:rPr>
                <w:bCs/>
                <w:sz w:val="20"/>
                <w:szCs w:val="20"/>
                <w:lang w:val="en-US"/>
              </w:rPr>
              <w:t>*</w:t>
            </w:r>
          </w:p>
          <w:p w14:paraId="6EA5F0DA" w14:textId="77777777" w:rsidR="00401A64" w:rsidRPr="000D48C1" w:rsidRDefault="00401A64" w:rsidP="00595B93">
            <w:pPr>
              <w:widowControl w:val="0"/>
              <w:jc w:val="center"/>
              <w:textAlignment w:val="top"/>
              <w:rPr>
                <w:bCs/>
                <w:sz w:val="20"/>
                <w:szCs w:val="20"/>
                <w:lang w:val="en-US"/>
              </w:rPr>
            </w:pPr>
            <w:r w:rsidRPr="000D48C1">
              <w:rPr>
                <w:bCs/>
                <w:sz w:val="20"/>
                <w:szCs w:val="20"/>
                <w:lang w:val="en-US"/>
              </w:rPr>
              <w:t>(0.</w:t>
            </w:r>
            <w:r>
              <w:rPr>
                <w:bCs/>
                <w:sz w:val="20"/>
                <w:szCs w:val="20"/>
                <w:lang w:val="en-US"/>
              </w:rPr>
              <w:t>2640</w:t>
            </w:r>
            <w:r w:rsidRPr="000D48C1">
              <w:rPr>
                <w:bCs/>
                <w:sz w:val="20"/>
                <w:szCs w:val="20"/>
                <w:lang w:val="en-US"/>
              </w:rPr>
              <w:t>)</w:t>
            </w:r>
          </w:p>
          <w:p w14:paraId="6F15DD58" w14:textId="77777777" w:rsidR="00401A64" w:rsidRPr="000D48C1" w:rsidRDefault="00401A64" w:rsidP="00595B93">
            <w:pPr>
              <w:widowControl w:val="0"/>
              <w:jc w:val="center"/>
              <w:textAlignment w:val="top"/>
              <w:rPr>
                <w:bCs/>
                <w:sz w:val="20"/>
                <w:szCs w:val="20"/>
                <w:lang w:val="en-US"/>
              </w:rPr>
            </w:pPr>
            <w:r w:rsidRPr="000D48C1">
              <w:rPr>
                <w:bCs/>
                <w:sz w:val="20"/>
                <w:szCs w:val="20"/>
                <w:lang w:val="en-US"/>
              </w:rPr>
              <w:t>[-</w:t>
            </w:r>
            <w:r>
              <w:rPr>
                <w:bCs/>
                <w:sz w:val="20"/>
                <w:szCs w:val="20"/>
                <w:lang w:val="en-US"/>
              </w:rPr>
              <w:t>1.7740</w:t>
            </w:r>
            <w:r w:rsidRPr="000D48C1">
              <w:rPr>
                <w:bCs/>
                <w:sz w:val="20"/>
                <w:szCs w:val="20"/>
                <w:lang w:val="en-US"/>
              </w:rPr>
              <w:t>]</w:t>
            </w:r>
          </w:p>
        </w:tc>
        <w:tc>
          <w:tcPr>
            <w:tcW w:w="1139" w:type="dxa"/>
          </w:tcPr>
          <w:p w14:paraId="34D96671" w14:textId="77777777" w:rsidR="00401A64" w:rsidRPr="00D730E5" w:rsidRDefault="00401A64" w:rsidP="00595B93">
            <w:pPr>
              <w:widowControl w:val="0"/>
              <w:spacing w:before="60"/>
              <w:jc w:val="center"/>
              <w:textAlignment w:val="top"/>
              <w:rPr>
                <w:bCs/>
                <w:sz w:val="20"/>
                <w:szCs w:val="20"/>
                <w:lang w:val="en-US"/>
              </w:rPr>
            </w:pPr>
            <w:r w:rsidRPr="00D730E5">
              <w:rPr>
                <w:bCs/>
                <w:sz w:val="20"/>
                <w:szCs w:val="20"/>
                <w:lang w:val="en-US"/>
              </w:rPr>
              <w:t>-</w:t>
            </w:r>
            <w:r>
              <w:rPr>
                <w:bCs/>
                <w:sz w:val="20"/>
                <w:szCs w:val="20"/>
                <w:lang w:val="en-US"/>
              </w:rPr>
              <w:t>1.1196</w:t>
            </w:r>
            <w:r w:rsidRPr="00D730E5">
              <w:rPr>
                <w:bCs/>
                <w:sz w:val="20"/>
                <w:szCs w:val="20"/>
                <w:lang w:val="en-US"/>
              </w:rPr>
              <w:t>***</w:t>
            </w:r>
          </w:p>
          <w:p w14:paraId="133BBF11" w14:textId="77777777" w:rsidR="00401A64" w:rsidRPr="00D730E5" w:rsidRDefault="00401A64" w:rsidP="00595B93">
            <w:pPr>
              <w:widowControl w:val="0"/>
              <w:jc w:val="center"/>
              <w:textAlignment w:val="top"/>
              <w:rPr>
                <w:bCs/>
                <w:sz w:val="20"/>
                <w:szCs w:val="20"/>
                <w:lang w:val="en-US"/>
              </w:rPr>
            </w:pPr>
            <w:r w:rsidRPr="00D730E5">
              <w:rPr>
                <w:bCs/>
                <w:sz w:val="20"/>
                <w:szCs w:val="20"/>
                <w:lang w:val="en-US"/>
              </w:rPr>
              <w:t>(0.</w:t>
            </w:r>
            <w:r>
              <w:rPr>
                <w:bCs/>
                <w:sz w:val="20"/>
                <w:szCs w:val="20"/>
                <w:lang w:val="en-US"/>
              </w:rPr>
              <w:t>2870</w:t>
            </w:r>
            <w:r w:rsidRPr="00D730E5">
              <w:rPr>
                <w:bCs/>
                <w:sz w:val="20"/>
                <w:szCs w:val="20"/>
                <w:lang w:val="en-US"/>
              </w:rPr>
              <w:t>)</w:t>
            </w:r>
          </w:p>
          <w:p w14:paraId="761DA39F" w14:textId="77777777" w:rsidR="00401A64" w:rsidRPr="00D730E5" w:rsidRDefault="00401A64" w:rsidP="00595B93">
            <w:pPr>
              <w:widowControl w:val="0"/>
              <w:jc w:val="center"/>
              <w:textAlignment w:val="top"/>
              <w:rPr>
                <w:bCs/>
                <w:sz w:val="20"/>
                <w:szCs w:val="20"/>
                <w:lang w:val="en-US"/>
              </w:rPr>
            </w:pPr>
            <w:r w:rsidRPr="00D730E5">
              <w:rPr>
                <w:bCs/>
                <w:sz w:val="20"/>
                <w:szCs w:val="20"/>
                <w:lang w:val="en-US"/>
              </w:rPr>
              <w:t>[-</w:t>
            </w:r>
            <w:r>
              <w:rPr>
                <w:bCs/>
                <w:sz w:val="20"/>
                <w:szCs w:val="20"/>
                <w:lang w:val="en-US"/>
              </w:rPr>
              <w:t>3.9001</w:t>
            </w:r>
            <w:r w:rsidRPr="00D730E5">
              <w:rPr>
                <w:bCs/>
                <w:sz w:val="20"/>
                <w:szCs w:val="20"/>
                <w:lang w:val="en-US"/>
              </w:rPr>
              <w:t>]</w:t>
            </w:r>
          </w:p>
        </w:tc>
        <w:tc>
          <w:tcPr>
            <w:tcW w:w="1138" w:type="dxa"/>
          </w:tcPr>
          <w:p w14:paraId="6A1B10A8" w14:textId="77777777" w:rsidR="00401A64" w:rsidRPr="00BA784B" w:rsidRDefault="00401A64" w:rsidP="00595B93">
            <w:pPr>
              <w:widowControl w:val="0"/>
              <w:spacing w:before="60"/>
              <w:jc w:val="center"/>
              <w:textAlignment w:val="top"/>
              <w:rPr>
                <w:bCs/>
                <w:sz w:val="20"/>
                <w:szCs w:val="20"/>
                <w:lang w:val="en-US"/>
              </w:rPr>
            </w:pPr>
            <w:r w:rsidRPr="00BA784B">
              <w:rPr>
                <w:bCs/>
                <w:sz w:val="20"/>
                <w:szCs w:val="20"/>
                <w:lang w:val="en-US"/>
              </w:rPr>
              <w:t>-0.</w:t>
            </w:r>
            <w:r>
              <w:rPr>
                <w:bCs/>
                <w:sz w:val="20"/>
                <w:szCs w:val="20"/>
                <w:lang w:val="en-US"/>
              </w:rPr>
              <w:t>8191</w:t>
            </w:r>
            <w:r w:rsidRPr="00BA784B">
              <w:rPr>
                <w:bCs/>
                <w:sz w:val="20"/>
                <w:szCs w:val="20"/>
                <w:lang w:val="en-US"/>
              </w:rPr>
              <w:t>***</w:t>
            </w:r>
          </w:p>
          <w:p w14:paraId="2B5AEDA6"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t>(0.</w:t>
            </w:r>
            <w:r>
              <w:rPr>
                <w:bCs/>
                <w:sz w:val="20"/>
                <w:szCs w:val="20"/>
                <w:lang w:val="en-US"/>
              </w:rPr>
              <w:t>2673</w:t>
            </w:r>
            <w:r w:rsidRPr="00BA784B">
              <w:rPr>
                <w:bCs/>
                <w:sz w:val="20"/>
                <w:szCs w:val="20"/>
                <w:lang w:val="en-US"/>
              </w:rPr>
              <w:t>)</w:t>
            </w:r>
          </w:p>
          <w:p w14:paraId="5A5BD35E"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t>[-3.</w:t>
            </w:r>
            <w:r>
              <w:rPr>
                <w:bCs/>
                <w:sz w:val="20"/>
                <w:szCs w:val="20"/>
                <w:lang w:val="en-US"/>
              </w:rPr>
              <w:t>0640</w:t>
            </w:r>
            <w:r w:rsidRPr="00BA784B">
              <w:rPr>
                <w:bCs/>
                <w:sz w:val="20"/>
                <w:szCs w:val="20"/>
                <w:lang w:val="en-US"/>
              </w:rPr>
              <w:t>]</w:t>
            </w:r>
          </w:p>
        </w:tc>
        <w:tc>
          <w:tcPr>
            <w:tcW w:w="1052" w:type="dxa"/>
          </w:tcPr>
          <w:p w14:paraId="0FC8A3BB" w14:textId="77777777" w:rsidR="00401A64" w:rsidRPr="00BA784B" w:rsidRDefault="00401A64" w:rsidP="00595B93">
            <w:pPr>
              <w:widowControl w:val="0"/>
              <w:spacing w:before="60"/>
              <w:jc w:val="center"/>
              <w:textAlignment w:val="top"/>
              <w:rPr>
                <w:bCs/>
                <w:sz w:val="20"/>
                <w:szCs w:val="20"/>
                <w:lang w:val="en-US"/>
              </w:rPr>
            </w:pPr>
            <w:r w:rsidRPr="00BA784B">
              <w:rPr>
                <w:bCs/>
                <w:sz w:val="20"/>
                <w:szCs w:val="20"/>
                <w:lang w:val="en-US"/>
              </w:rPr>
              <w:t>-0.</w:t>
            </w:r>
            <w:r>
              <w:rPr>
                <w:bCs/>
                <w:sz w:val="20"/>
                <w:szCs w:val="20"/>
                <w:lang w:val="en-US"/>
              </w:rPr>
              <w:t>6154</w:t>
            </w:r>
            <w:r w:rsidRPr="00BA784B">
              <w:rPr>
                <w:bCs/>
                <w:sz w:val="20"/>
                <w:szCs w:val="20"/>
                <w:lang w:val="en-US"/>
              </w:rPr>
              <w:t>*</w:t>
            </w:r>
          </w:p>
          <w:p w14:paraId="1F3DE399"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t>(0.</w:t>
            </w:r>
            <w:r>
              <w:rPr>
                <w:bCs/>
                <w:sz w:val="20"/>
                <w:szCs w:val="20"/>
                <w:lang w:val="en-US"/>
              </w:rPr>
              <w:t>3487</w:t>
            </w:r>
            <w:r w:rsidRPr="00BA784B">
              <w:rPr>
                <w:bCs/>
                <w:sz w:val="20"/>
                <w:szCs w:val="20"/>
                <w:lang w:val="en-US"/>
              </w:rPr>
              <w:t>)</w:t>
            </w:r>
          </w:p>
          <w:p w14:paraId="245133EF"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t>[-</w:t>
            </w:r>
            <w:r>
              <w:rPr>
                <w:bCs/>
                <w:sz w:val="20"/>
                <w:szCs w:val="20"/>
                <w:lang w:val="en-US"/>
              </w:rPr>
              <w:t>1.7649</w:t>
            </w:r>
            <w:r w:rsidRPr="00BA784B">
              <w:rPr>
                <w:bCs/>
                <w:sz w:val="20"/>
                <w:szCs w:val="20"/>
                <w:lang w:val="en-US"/>
              </w:rPr>
              <w:t>]</w:t>
            </w:r>
          </w:p>
        </w:tc>
      </w:tr>
      <w:tr w:rsidR="00401A64" w:rsidRPr="0047024D" w14:paraId="1538E7DF" w14:textId="77777777" w:rsidTr="00595B93">
        <w:tc>
          <w:tcPr>
            <w:tcW w:w="1063" w:type="dxa"/>
          </w:tcPr>
          <w:p w14:paraId="34C662FB"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PAT</w:t>
            </w:r>
            <w:r w:rsidRPr="00491C04">
              <w:rPr>
                <w:bCs/>
                <w:i/>
                <w:sz w:val="20"/>
                <w:szCs w:val="20"/>
                <w:vertAlign w:val="subscript"/>
                <w:lang w:val="en-US"/>
              </w:rPr>
              <w:t>,t-1</w:t>
            </w:r>
          </w:p>
        </w:tc>
        <w:tc>
          <w:tcPr>
            <w:tcW w:w="1138" w:type="dxa"/>
          </w:tcPr>
          <w:p w14:paraId="39CFF753" w14:textId="77777777" w:rsidR="00401A64" w:rsidRPr="002734E6" w:rsidRDefault="00401A64" w:rsidP="00595B93">
            <w:pPr>
              <w:widowControl w:val="0"/>
              <w:spacing w:before="60"/>
              <w:jc w:val="center"/>
              <w:textAlignment w:val="top"/>
              <w:rPr>
                <w:bCs/>
                <w:sz w:val="20"/>
                <w:szCs w:val="20"/>
                <w:lang w:val="en-US"/>
              </w:rPr>
            </w:pPr>
            <w:r w:rsidRPr="002734E6">
              <w:rPr>
                <w:bCs/>
                <w:sz w:val="20"/>
                <w:szCs w:val="20"/>
                <w:lang w:val="en-US"/>
              </w:rPr>
              <w:t>-0.</w:t>
            </w:r>
            <w:r>
              <w:rPr>
                <w:bCs/>
                <w:sz w:val="20"/>
                <w:szCs w:val="20"/>
                <w:lang w:val="en-US"/>
              </w:rPr>
              <w:t>3656</w:t>
            </w:r>
            <w:r w:rsidRPr="002734E6">
              <w:rPr>
                <w:bCs/>
                <w:sz w:val="20"/>
                <w:szCs w:val="20"/>
                <w:lang w:val="en-US"/>
              </w:rPr>
              <w:t>*</w:t>
            </w:r>
          </w:p>
          <w:p w14:paraId="7A4FF135" w14:textId="77777777" w:rsidR="00401A64" w:rsidRPr="002734E6" w:rsidRDefault="00401A64" w:rsidP="00595B93">
            <w:pPr>
              <w:widowControl w:val="0"/>
              <w:jc w:val="center"/>
              <w:textAlignment w:val="top"/>
              <w:rPr>
                <w:bCs/>
                <w:sz w:val="20"/>
                <w:szCs w:val="20"/>
                <w:lang w:val="en-US"/>
              </w:rPr>
            </w:pPr>
            <w:r w:rsidRPr="002734E6">
              <w:rPr>
                <w:bCs/>
                <w:sz w:val="20"/>
                <w:szCs w:val="20"/>
                <w:lang w:val="en-US"/>
              </w:rPr>
              <w:t>(0.</w:t>
            </w:r>
            <w:r>
              <w:rPr>
                <w:bCs/>
                <w:sz w:val="20"/>
                <w:szCs w:val="20"/>
                <w:lang w:val="en-US"/>
              </w:rPr>
              <w:t>2069</w:t>
            </w:r>
            <w:r w:rsidRPr="002734E6">
              <w:rPr>
                <w:bCs/>
                <w:sz w:val="20"/>
                <w:szCs w:val="20"/>
                <w:lang w:val="en-US"/>
              </w:rPr>
              <w:t>)</w:t>
            </w:r>
          </w:p>
          <w:p w14:paraId="67E57816" w14:textId="77777777" w:rsidR="00401A64" w:rsidRPr="002734E6" w:rsidRDefault="00401A64" w:rsidP="00595B93">
            <w:pPr>
              <w:widowControl w:val="0"/>
              <w:jc w:val="center"/>
              <w:textAlignment w:val="top"/>
              <w:rPr>
                <w:bCs/>
                <w:sz w:val="20"/>
                <w:szCs w:val="20"/>
                <w:lang w:val="en-US"/>
              </w:rPr>
            </w:pPr>
            <w:r w:rsidRPr="002734E6">
              <w:rPr>
                <w:bCs/>
                <w:sz w:val="20"/>
                <w:szCs w:val="20"/>
                <w:lang w:val="en-US"/>
              </w:rPr>
              <w:t>[-1.</w:t>
            </w:r>
            <w:r>
              <w:rPr>
                <w:bCs/>
                <w:sz w:val="20"/>
                <w:szCs w:val="20"/>
                <w:lang w:val="en-US"/>
              </w:rPr>
              <w:t>7664</w:t>
            </w:r>
            <w:r w:rsidRPr="002734E6">
              <w:rPr>
                <w:bCs/>
                <w:sz w:val="20"/>
                <w:szCs w:val="20"/>
                <w:lang w:val="en-US"/>
              </w:rPr>
              <w:t>]</w:t>
            </w:r>
          </w:p>
        </w:tc>
        <w:tc>
          <w:tcPr>
            <w:tcW w:w="1087" w:type="dxa"/>
          </w:tcPr>
          <w:p w14:paraId="693CCB51" w14:textId="77777777" w:rsidR="00401A64" w:rsidRPr="00844CAD" w:rsidRDefault="00401A64" w:rsidP="00595B93">
            <w:pPr>
              <w:widowControl w:val="0"/>
              <w:spacing w:before="60"/>
              <w:jc w:val="center"/>
              <w:textAlignment w:val="top"/>
              <w:rPr>
                <w:bCs/>
                <w:sz w:val="20"/>
                <w:szCs w:val="20"/>
                <w:lang w:val="en-US"/>
              </w:rPr>
            </w:pPr>
            <w:r w:rsidRPr="00844CAD">
              <w:rPr>
                <w:bCs/>
                <w:sz w:val="20"/>
                <w:szCs w:val="20"/>
                <w:lang w:val="en-US"/>
              </w:rPr>
              <w:t>-0.</w:t>
            </w:r>
            <w:r>
              <w:rPr>
                <w:bCs/>
                <w:sz w:val="20"/>
                <w:szCs w:val="20"/>
                <w:lang w:val="en-US"/>
              </w:rPr>
              <w:t>3671</w:t>
            </w:r>
          </w:p>
          <w:p w14:paraId="5C50CEC5" w14:textId="77777777" w:rsidR="00401A64" w:rsidRPr="00844CAD" w:rsidRDefault="00401A64" w:rsidP="00595B93">
            <w:pPr>
              <w:widowControl w:val="0"/>
              <w:jc w:val="center"/>
              <w:textAlignment w:val="top"/>
              <w:rPr>
                <w:bCs/>
                <w:sz w:val="20"/>
                <w:szCs w:val="20"/>
                <w:lang w:val="en-US"/>
              </w:rPr>
            </w:pPr>
            <w:r w:rsidRPr="00844CAD">
              <w:rPr>
                <w:bCs/>
                <w:sz w:val="20"/>
                <w:szCs w:val="20"/>
                <w:lang w:val="en-US"/>
              </w:rPr>
              <w:t>(0.</w:t>
            </w:r>
            <w:r>
              <w:rPr>
                <w:bCs/>
                <w:sz w:val="20"/>
                <w:szCs w:val="20"/>
                <w:lang w:val="en-US"/>
              </w:rPr>
              <w:t>2517</w:t>
            </w:r>
            <w:r w:rsidRPr="00844CAD">
              <w:rPr>
                <w:bCs/>
                <w:sz w:val="20"/>
                <w:szCs w:val="20"/>
                <w:lang w:val="en-US"/>
              </w:rPr>
              <w:t>)</w:t>
            </w:r>
          </w:p>
          <w:p w14:paraId="23194E6F" w14:textId="77777777" w:rsidR="00401A64" w:rsidRPr="00844CAD" w:rsidRDefault="00401A64" w:rsidP="00595B93">
            <w:pPr>
              <w:widowControl w:val="0"/>
              <w:jc w:val="center"/>
              <w:textAlignment w:val="top"/>
              <w:rPr>
                <w:bCs/>
                <w:sz w:val="20"/>
                <w:szCs w:val="20"/>
                <w:lang w:val="en-US"/>
              </w:rPr>
            </w:pPr>
            <w:r w:rsidRPr="00844CAD">
              <w:rPr>
                <w:bCs/>
                <w:sz w:val="20"/>
                <w:szCs w:val="20"/>
                <w:lang w:val="en-US"/>
              </w:rPr>
              <w:t>[-</w:t>
            </w:r>
            <w:r>
              <w:rPr>
                <w:bCs/>
                <w:sz w:val="20"/>
                <w:szCs w:val="20"/>
                <w:lang w:val="en-US"/>
              </w:rPr>
              <w:t>1.4584</w:t>
            </w:r>
            <w:r w:rsidRPr="00844CAD">
              <w:rPr>
                <w:bCs/>
                <w:sz w:val="20"/>
                <w:szCs w:val="20"/>
                <w:lang w:val="en-US"/>
              </w:rPr>
              <w:t>]</w:t>
            </w:r>
          </w:p>
        </w:tc>
        <w:tc>
          <w:tcPr>
            <w:tcW w:w="1051" w:type="dxa"/>
          </w:tcPr>
          <w:p w14:paraId="1CE2BD43" w14:textId="77777777" w:rsidR="00401A64" w:rsidRPr="00727608" w:rsidRDefault="00401A64" w:rsidP="00595B93">
            <w:pPr>
              <w:widowControl w:val="0"/>
              <w:spacing w:before="60"/>
              <w:jc w:val="center"/>
              <w:textAlignment w:val="top"/>
              <w:rPr>
                <w:bCs/>
                <w:sz w:val="20"/>
                <w:szCs w:val="20"/>
                <w:lang w:val="en-US"/>
              </w:rPr>
            </w:pPr>
            <w:r w:rsidRPr="00727608">
              <w:rPr>
                <w:bCs/>
                <w:sz w:val="20"/>
                <w:szCs w:val="20"/>
                <w:lang w:val="en-US"/>
              </w:rPr>
              <w:t>-0.1</w:t>
            </w:r>
            <w:r>
              <w:rPr>
                <w:bCs/>
                <w:sz w:val="20"/>
                <w:szCs w:val="20"/>
                <w:lang w:val="en-US"/>
              </w:rPr>
              <w:t>386</w:t>
            </w:r>
          </w:p>
          <w:p w14:paraId="41836B03" w14:textId="77777777" w:rsidR="00401A64" w:rsidRPr="00727608" w:rsidRDefault="00401A64" w:rsidP="00595B93">
            <w:pPr>
              <w:widowControl w:val="0"/>
              <w:jc w:val="center"/>
              <w:textAlignment w:val="top"/>
              <w:rPr>
                <w:bCs/>
                <w:sz w:val="20"/>
                <w:szCs w:val="20"/>
                <w:lang w:val="en-US"/>
              </w:rPr>
            </w:pPr>
            <w:r w:rsidRPr="00727608">
              <w:rPr>
                <w:bCs/>
                <w:sz w:val="20"/>
                <w:szCs w:val="20"/>
                <w:lang w:val="en-US"/>
              </w:rPr>
              <w:t>(0.</w:t>
            </w:r>
            <w:r>
              <w:rPr>
                <w:bCs/>
                <w:sz w:val="20"/>
                <w:szCs w:val="20"/>
                <w:lang w:val="en-US"/>
              </w:rPr>
              <w:t>3377</w:t>
            </w:r>
            <w:r w:rsidRPr="00727608">
              <w:rPr>
                <w:bCs/>
                <w:sz w:val="20"/>
                <w:szCs w:val="20"/>
                <w:lang w:val="en-US"/>
              </w:rPr>
              <w:t>)</w:t>
            </w:r>
          </w:p>
          <w:p w14:paraId="69AD2A5A" w14:textId="77777777" w:rsidR="00401A64" w:rsidRPr="00727608" w:rsidRDefault="00401A64" w:rsidP="00595B93">
            <w:pPr>
              <w:widowControl w:val="0"/>
              <w:jc w:val="center"/>
              <w:textAlignment w:val="top"/>
              <w:rPr>
                <w:bCs/>
                <w:sz w:val="20"/>
                <w:szCs w:val="20"/>
                <w:lang w:val="en-US"/>
              </w:rPr>
            </w:pPr>
            <w:r w:rsidRPr="00727608">
              <w:rPr>
                <w:bCs/>
                <w:sz w:val="20"/>
                <w:szCs w:val="20"/>
                <w:lang w:val="en-US"/>
              </w:rPr>
              <w:t>[-</w:t>
            </w:r>
            <w:r>
              <w:rPr>
                <w:bCs/>
                <w:sz w:val="20"/>
                <w:szCs w:val="20"/>
                <w:lang w:val="en-US"/>
              </w:rPr>
              <w:t>0.4104</w:t>
            </w:r>
            <w:r w:rsidRPr="00727608">
              <w:rPr>
                <w:bCs/>
                <w:sz w:val="20"/>
                <w:szCs w:val="20"/>
                <w:lang w:val="en-US"/>
              </w:rPr>
              <w:t>]</w:t>
            </w:r>
          </w:p>
        </w:tc>
        <w:tc>
          <w:tcPr>
            <w:tcW w:w="1051" w:type="dxa"/>
          </w:tcPr>
          <w:p w14:paraId="333EBDDA" w14:textId="77777777" w:rsidR="00401A64" w:rsidRPr="000D48C1" w:rsidRDefault="00401A64" w:rsidP="00595B93">
            <w:pPr>
              <w:widowControl w:val="0"/>
              <w:spacing w:before="60"/>
              <w:jc w:val="center"/>
              <w:textAlignment w:val="top"/>
              <w:rPr>
                <w:bCs/>
                <w:sz w:val="20"/>
                <w:szCs w:val="20"/>
                <w:lang w:val="en-US"/>
              </w:rPr>
            </w:pPr>
            <w:r w:rsidRPr="000D48C1">
              <w:rPr>
                <w:bCs/>
                <w:sz w:val="20"/>
                <w:szCs w:val="20"/>
                <w:lang w:val="en-US"/>
              </w:rPr>
              <w:t>-0.</w:t>
            </w:r>
            <w:r>
              <w:rPr>
                <w:bCs/>
                <w:sz w:val="20"/>
                <w:szCs w:val="20"/>
                <w:lang w:val="en-US"/>
              </w:rPr>
              <w:t>2108</w:t>
            </w:r>
          </w:p>
          <w:p w14:paraId="0906110A" w14:textId="77777777" w:rsidR="00401A64" w:rsidRPr="000D48C1" w:rsidRDefault="00401A64" w:rsidP="00595B93">
            <w:pPr>
              <w:widowControl w:val="0"/>
              <w:jc w:val="center"/>
              <w:textAlignment w:val="top"/>
              <w:rPr>
                <w:bCs/>
                <w:sz w:val="20"/>
                <w:szCs w:val="20"/>
                <w:lang w:val="en-US"/>
              </w:rPr>
            </w:pPr>
            <w:r w:rsidRPr="000D48C1">
              <w:rPr>
                <w:bCs/>
                <w:sz w:val="20"/>
                <w:szCs w:val="20"/>
                <w:lang w:val="en-US"/>
              </w:rPr>
              <w:t>(0.</w:t>
            </w:r>
            <w:r>
              <w:rPr>
                <w:bCs/>
                <w:sz w:val="20"/>
                <w:szCs w:val="20"/>
                <w:lang w:val="en-US"/>
              </w:rPr>
              <w:t>1652</w:t>
            </w:r>
            <w:r w:rsidRPr="000D48C1">
              <w:rPr>
                <w:bCs/>
                <w:sz w:val="20"/>
                <w:szCs w:val="20"/>
                <w:lang w:val="en-US"/>
              </w:rPr>
              <w:t>)</w:t>
            </w:r>
          </w:p>
          <w:p w14:paraId="48C872FE" w14:textId="77777777" w:rsidR="00401A64" w:rsidRPr="000D48C1" w:rsidRDefault="00401A64" w:rsidP="00595B93">
            <w:pPr>
              <w:widowControl w:val="0"/>
              <w:jc w:val="center"/>
              <w:textAlignment w:val="top"/>
              <w:rPr>
                <w:bCs/>
                <w:sz w:val="20"/>
                <w:szCs w:val="20"/>
                <w:lang w:val="en-US"/>
              </w:rPr>
            </w:pPr>
            <w:r w:rsidRPr="000D48C1">
              <w:rPr>
                <w:bCs/>
                <w:sz w:val="20"/>
                <w:szCs w:val="20"/>
                <w:lang w:val="en-US"/>
              </w:rPr>
              <w:t>[-</w:t>
            </w:r>
            <w:r>
              <w:rPr>
                <w:bCs/>
                <w:sz w:val="20"/>
                <w:szCs w:val="20"/>
                <w:lang w:val="en-US"/>
              </w:rPr>
              <w:t>1.2763</w:t>
            </w:r>
            <w:r w:rsidRPr="000D48C1">
              <w:rPr>
                <w:bCs/>
                <w:sz w:val="20"/>
                <w:szCs w:val="20"/>
                <w:lang w:val="en-US"/>
              </w:rPr>
              <w:t>]</w:t>
            </w:r>
          </w:p>
        </w:tc>
        <w:tc>
          <w:tcPr>
            <w:tcW w:w="1139" w:type="dxa"/>
          </w:tcPr>
          <w:p w14:paraId="4CF04341" w14:textId="77777777" w:rsidR="00401A64" w:rsidRPr="00D730E5" w:rsidRDefault="00401A64" w:rsidP="00595B93">
            <w:pPr>
              <w:widowControl w:val="0"/>
              <w:spacing w:before="60"/>
              <w:jc w:val="center"/>
              <w:textAlignment w:val="top"/>
              <w:rPr>
                <w:bCs/>
                <w:sz w:val="20"/>
                <w:szCs w:val="20"/>
                <w:lang w:val="en-US"/>
              </w:rPr>
            </w:pPr>
            <w:r w:rsidRPr="00D730E5">
              <w:rPr>
                <w:bCs/>
                <w:sz w:val="20"/>
                <w:szCs w:val="20"/>
                <w:lang w:val="en-US"/>
              </w:rPr>
              <w:t>-0.</w:t>
            </w:r>
            <w:r>
              <w:rPr>
                <w:bCs/>
                <w:sz w:val="20"/>
                <w:szCs w:val="20"/>
                <w:lang w:val="en-US"/>
              </w:rPr>
              <w:t>4275</w:t>
            </w:r>
          </w:p>
          <w:p w14:paraId="3850EB4E" w14:textId="77777777" w:rsidR="00401A64" w:rsidRPr="00D730E5" w:rsidRDefault="00401A64" w:rsidP="00595B93">
            <w:pPr>
              <w:widowControl w:val="0"/>
              <w:jc w:val="center"/>
              <w:textAlignment w:val="top"/>
              <w:rPr>
                <w:bCs/>
                <w:sz w:val="20"/>
                <w:szCs w:val="20"/>
                <w:lang w:val="en-US"/>
              </w:rPr>
            </w:pPr>
            <w:r w:rsidRPr="00D730E5">
              <w:rPr>
                <w:bCs/>
                <w:sz w:val="20"/>
                <w:szCs w:val="20"/>
                <w:lang w:val="en-US"/>
              </w:rPr>
              <w:t>(0.</w:t>
            </w:r>
            <w:r>
              <w:rPr>
                <w:bCs/>
                <w:sz w:val="20"/>
                <w:szCs w:val="20"/>
                <w:lang w:val="en-US"/>
              </w:rPr>
              <w:t>3680</w:t>
            </w:r>
            <w:r w:rsidRPr="00D730E5">
              <w:rPr>
                <w:bCs/>
                <w:sz w:val="20"/>
                <w:szCs w:val="20"/>
                <w:lang w:val="en-US"/>
              </w:rPr>
              <w:t>)</w:t>
            </w:r>
          </w:p>
          <w:p w14:paraId="135FEF3F" w14:textId="77777777" w:rsidR="00401A64" w:rsidRPr="00D730E5" w:rsidRDefault="00401A64" w:rsidP="00595B93">
            <w:pPr>
              <w:widowControl w:val="0"/>
              <w:jc w:val="center"/>
              <w:textAlignment w:val="top"/>
              <w:rPr>
                <w:bCs/>
                <w:sz w:val="20"/>
                <w:szCs w:val="20"/>
                <w:lang w:val="en-US"/>
              </w:rPr>
            </w:pPr>
            <w:r w:rsidRPr="00D730E5">
              <w:rPr>
                <w:bCs/>
                <w:sz w:val="20"/>
                <w:szCs w:val="20"/>
                <w:lang w:val="en-US"/>
              </w:rPr>
              <w:t>[-1.</w:t>
            </w:r>
            <w:r>
              <w:rPr>
                <w:bCs/>
                <w:sz w:val="20"/>
                <w:szCs w:val="20"/>
                <w:lang w:val="en-US"/>
              </w:rPr>
              <w:t>1617</w:t>
            </w:r>
            <w:r w:rsidRPr="00D730E5">
              <w:rPr>
                <w:bCs/>
                <w:sz w:val="20"/>
                <w:szCs w:val="20"/>
                <w:lang w:val="en-US"/>
              </w:rPr>
              <w:t>]</w:t>
            </w:r>
          </w:p>
        </w:tc>
        <w:tc>
          <w:tcPr>
            <w:tcW w:w="1138" w:type="dxa"/>
          </w:tcPr>
          <w:p w14:paraId="626A0A8B" w14:textId="77777777" w:rsidR="00401A64" w:rsidRPr="00BA784B" w:rsidRDefault="00401A64" w:rsidP="00595B93">
            <w:pPr>
              <w:widowControl w:val="0"/>
              <w:spacing w:before="60"/>
              <w:jc w:val="center"/>
              <w:textAlignment w:val="top"/>
              <w:rPr>
                <w:bCs/>
                <w:sz w:val="20"/>
                <w:szCs w:val="20"/>
                <w:lang w:val="en-US"/>
              </w:rPr>
            </w:pPr>
            <w:r w:rsidRPr="00BA784B">
              <w:rPr>
                <w:bCs/>
                <w:sz w:val="20"/>
                <w:szCs w:val="20"/>
                <w:lang w:val="en-US"/>
              </w:rPr>
              <w:t>-0.</w:t>
            </w:r>
            <w:r>
              <w:rPr>
                <w:bCs/>
                <w:sz w:val="20"/>
                <w:szCs w:val="20"/>
                <w:lang w:val="en-US"/>
              </w:rPr>
              <w:t>5312</w:t>
            </w:r>
            <w:r w:rsidRPr="00BA784B">
              <w:rPr>
                <w:bCs/>
                <w:sz w:val="20"/>
                <w:szCs w:val="20"/>
                <w:lang w:val="en-US"/>
              </w:rPr>
              <w:t>*</w:t>
            </w:r>
          </w:p>
          <w:p w14:paraId="19235B5A"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t>(0.</w:t>
            </w:r>
            <w:r>
              <w:rPr>
                <w:bCs/>
                <w:sz w:val="20"/>
                <w:szCs w:val="20"/>
                <w:lang w:val="en-US"/>
              </w:rPr>
              <w:t>3005</w:t>
            </w:r>
            <w:r w:rsidRPr="00BA784B">
              <w:rPr>
                <w:bCs/>
                <w:sz w:val="20"/>
                <w:szCs w:val="20"/>
                <w:lang w:val="en-US"/>
              </w:rPr>
              <w:t>)</w:t>
            </w:r>
          </w:p>
          <w:p w14:paraId="7C7451E6"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t>[-</w:t>
            </w:r>
            <w:r>
              <w:rPr>
                <w:bCs/>
                <w:sz w:val="20"/>
                <w:szCs w:val="20"/>
                <w:lang w:val="en-US"/>
              </w:rPr>
              <w:t>1.7678</w:t>
            </w:r>
            <w:r w:rsidRPr="00BA784B">
              <w:rPr>
                <w:bCs/>
                <w:sz w:val="20"/>
                <w:szCs w:val="20"/>
                <w:lang w:val="en-US"/>
              </w:rPr>
              <w:t>]</w:t>
            </w:r>
          </w:p>
        </w:tc>
        <w:tc>
          <w:tcPr>
            <w:tcW w:w="1052" w:type="dxa"/>
          </w:tcPr>
          <w:p w14:paraId="1576EC54" w14:textId="77777777" w:rsidR="00401A64" w:rsidRPr="00BA784B" w:rsidRDefault="00401A64" w:rsidP="00595B93">
            <w:pPr>
              <w:widowControl w:val="0"/>
              <w:spacing w:before="60"/>
              <w:jc w:val="center"/>
              <w:textAlignment w:val="top"/>
              <w:rPr>
                <w:bCs/>
                <w:sz w:val="20"/>
                <w:szCs w:val="20"/>
                <w:lang w:val="en-US"/>
              </w:rPr>
            </w:pPr>
            <w:r w:rsidRPr="00BA784B">
              <w:rPr>
                <w:bCs/>
                <w:sz w:val="20"/>
                <w:szCs w:val="20"/>
                <w:lang w:val="en-US"/>
              </w:rPr>
              <w:t>-0.</w:t>
            </w:r>
            <w:r>
              <w:rPr>
                <w:bCs/>
                <w:sz w:val="20"/>
                <w:szCs w:val="20"/>
                <w:lang w:val="en-US"/>
              </w:rPr>
              <w:t>2733</w:t>
            </w:r>
          </w:p>
          <w:p w14:paraId="0E550B17"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t>(0.</w:t>
            </w:r>
            <w:r>
              <w:rPr>
                <w:bCs/>
                <w:sz w:val="20"/>
                <w:szCs w:val="20"/>
                <w:lang w:val="en-US"/>
              </w:rPr>
              <w:t>2936</w:t>
            </w:r>
            <w:r w:rsidRPr="00BA784B">
              <w:rPr>
                <w:bCs/>
                <w:sz w:val="20"/>
                <w:szCs w:val="20"/>
                <w:lang w:val="en-US"/>
              </w:rPr>
              <w:t>)</w:t>
            </w:r>
          </w:p>
          <w:p w14:paraId="6F972A26"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t>[-</w:t>
            </w:r>
            <w:r>
              <w:rPr>
                <w:bCs/>
                <w:sz w:val="20"/>
                <w:szCs w:val="20"/>
                <w:lang w:val="en-US"/>
              </w:rPr>
              <w:t>0.9308</w:t>
            </w:r>
            <w:r w:rsidRPr="00BA784B">
              <w:rPr>
                <w:bCs/>
                <w:sz w:val="20"/>
                <w:szCs w:val="20"/>
                <w:lang w:val="en-US"/>
              </w:rPr>
              <w:t>]</w:t>
            </w:r>
          </w:p>
        </w:tc>
      </w:tr>
      <w:tr w:rsidR="00401A64" w:rsidRPr="0047024D" w14:paraId="742DE9A4" w14:textId="77777777" w:rsidTr="00595B93">
        <w:tc>
          <w:tcPr>
            <w:tcW w:w="1063" w:type="dxa"/>
          </w:tcPr>
          <w:p w14:paraId="4324176D"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FD</w:t>
            </w:r>
            <w:r w:rsidRPr="00491C04">
              <w:rPr>
                <w:bCs/>
                <w:i/>
                <w:sz w:val="20"/>
                <w:szCs w:val="20"/>
                <w:vertAlign w:val="subscript"/>
                <w:lang w:val="en-US"/>
              </w:rPr>
              <w:t>i,t-1</w:t>
            </w:r>
          </w:p>
        </w:tc>
        <w:tc>
          <w:tcPr>
            <w:tcW w:w="1138" w:type="dxa"/>
          </w:tcPr>
          <w:p w14:paraId="5AA37A07" w14:textId="77777777" w:rsidR="00401A64" w:rsidRPr="002734E6" w:rsidRDefault="00401A64" w:rsidP="00595B93">
            <w:pPr>
              <w:widowControl w:val="0"/>
              <w:spacing w:before="60"/>
              <w:jc w:val="center"/>
              <w:textAlignment w:val="top"/>
              <w:rPr>
                <w:bCs/>
                <w:sz w:val="20"/>
                <w:szCs w:val="20"/>
                <w:lang w:val="en-US"/>
              </w:rPr>
            </w:pPr>
            <w:r w:rsidRPr="002734E6">
              <w:rPr>
                <w:bCs/>
                <w:sz w:val="20"/>
                <w:szCs w:val="20"/>
                <w:lang w:val="en-US"/>
              </w:rPr>
              <w:t>-</w:t>
            </w:r>
            <w:r>
              <w:rPr>
                <w:bCs/>
                <w:sz w:val="20"/>
                <w:szCs w:val="20"/>
                <w:lang w:val="en-US"/>
              </w:rPr>
              <w:t>1.4097*</w:t>
            </w:r>
            <w:r w:rsidRPr="002734E6">
              <w:rPr>
                <w:bCs/>
                <w:sz w:val="20"/>
                <w:szCs w:val="20"/>
                <w:lang w:val="en-US"/>
              </w:rPr>
              <w:t>*</w:t>
            </w:r>
          </w:p>
          <w:p w14:paraId="4C8D38AE" w14:textId="77777777" w:rsidR="00401A64" w:rsidRPr="002734E6" w:rsidRDefault="00401A64" w:rsidP="00595B93">
            <w:pPr>
              <w:widowControl w:val="0"/>
              <w:jc w:val="center"/>
              <w:textAlignment w:val="top"/>
              <w:rPr>
                <w:bCs/>
                <w:sz w:val="20"/>
                <w:szCs w:val="20"/>
                <w:lang w:val="en-US"/>
              </w:rPr>
            </w:pPr>
            <w:r w:rsidRPr="002734E6">
              <w:rPr>
                <w:bCs/>
                <w:sz w:val="20"/>
                <w:szCs w:val="20"/>
                <w:lang w:val="en-US"/>
              </w:rPr>
              <w:t>(0.</w:t>
            </w:r>
            <w:r>
              <w:rPr>
                <w:bCs/>
                <w:sz w:val="20"/>
                <w:szCs w:val="20"/>
                <w:lang w:val="en-US"/>
              </w:rPr>
              <w:t>6760</w:t>
            </w:r>
            <w:r w:rsidRPr="002734E6">
              <w:rPr>
                <w:bCs/>
                <w:sz w:val="20"/>
                <w:szCs w:val="20"/>
                <w:lang w:val="en-US"/>
              </w:rPr>
              <w:t>)</w:t>
            </w:r>
          </w:p>
          <w:p w14:paraId="60C458C1" w14:textId="77777777" w:rsidR="00401A64" w:rsidRPr="002734E6" w:rsidRDefault="00401A64" w:rsidP="00595B93">
            <w:pPr>
              <w:widowControl w:val="0"/>
              <w:jc w:val="center"/>
              <w:textAlignment w:val="top"/>
              <w:rPr>
                <w:bCs/>
                <w:sz w:val="20"/>
                <w:szCs w:val="20"/>
                <w:lang w:val="en-US"/>
              </w:rPr>
            </w:pPr>
            <w:r w:rsidRPr="002734E6">
              <w:rPr>
                <w:bCs/>
                <w:sz w:val="20"/>
                <w:szCs w:val="20"/>
                <w:lang w:val="en-US"/>
              </w:rPr>
              <w:t>[-</w:t>
            </w:r>
            <w:r>
              <w:rPr>
                <w:bCs/>
                <w:sz w:val="20"/>
                <w:szCs w:val="20"/>
                <w:lang w:val="en-US"/>
              </w:rPr>
              <w:t>2.0853</w:t>
            </w:r>
            <w:r w:rsidRPr="002734E6">
              <w:rPr>
                <w:bCs/>
                <w:sz w:val="20"/>
                <w:szCs w:val="20"/>
                <w:lang w:val="en-US"/>
              </w:rPr>
              <w:t>]</w:t>
            </w:r>
          </w:p>
        </w:tc>
        <w:tc>
          <w:tcPr>
            <w:tcW w:w="1087" w:type="dxa"/>
          </w:tcPr>
          <w:p w14:paraId="678DD361" w14:textId="77777777" w:rsidR="00401A64" w:rsidRPr="00844CAD" w:rsidRDefault="00401A64" w:rsidP="00595B93">
            <w:pPr>
              <w:widowControl w:val="0"/>
              <w:spacing w:before="60"/>
              <w:jc w:val="center"/>
              <w:textAlignment w:val="top"/>
              <w:rPr>
                <w:bCs/>
                <w:sz w:val="20"/>
                <w:szCs w:val="20"/>
                <w:lang w:val="en-US"/>
              </w:rPr>
            </w:pPr>
            <w:r w:rsidRPr="00844CAD">
              <w:rPr>
                <w:bCs/>
                <w:sz w:val="20"/>
                <w:szCs w:val="20"/>
                <w:lang w:val="en-US"/>
              </w:rPr>
              <w:t>-</w:t>
            </w:r>
            <w:r>
              <w:rPr>
                <w:bCs/>
                <w:sz w:val="20"/>
                <w:szCs w:val="20"/>
                <w:lang w:val="en-US"/>
              </w:rPr>
              <w:t>1.5366</w:t>
            </w:r>
            <w:r w:rsidRPr="00844CAD">
              <w:rPr>
                <w:bCs/>
                <w:sz w:val="20"/>
                <w:szCs w:val="20"/>
                <w:lang w:val="en-US"/>
              </w:rPr>
              <w:t>**</w:t>
            </w:r>
          </w:p>
          <w:p w14:paraId="46F32653" w14:textId="77777777" w:rsidR="00401A64" w:rsidRPr="00844CAD" w:rsidRDefault="00401A64" w:rsidP="00595B93">
            <w:pPr>
              <w:widowControl w:val="0"/>
              <w:jc w:val="center"/>
              <w:textAlignment w:val="top"/>
              <w:rPr>
                <w:bCs/>
                <w:sz w:val="20"/>
                <w:szCs w:val="20"/>
                <w:lang w:val="en-US"/>
              </w:rPr>
            </w:pPr>
            <w:r w:rsidRPr="00844CAD">
              <w:rPr>
                <w:bCs/>
                <w:sz w:val="20"/>
                <w:szCs w:val="20"/>
                <w:lang w:val="en-US"/>
              </w:rPr>
              <w:t>(0.</w:t>
            </w:r>
            <w:r>
              <w:rPr>
                <w:bCs/>
                <w:sz w:val="20"/>
                <w:szCs w:val="20"/>
                <w:lang w:val="en-US"/>
              </w:rPr>
              <w:t>5957</w:t>
            </w:r>
            <w:r w:rsidRPr="00844CAD">
              <w:rPr>
                <w:bCs/>
                <w:sz w:val="20"/>
                <w:szCs w:val="20"/>
                <w:lang w:val="en-US"/>
              </w:rPr>
              <w:t>)</w:t>
            </w:r>
          </w:p>
          <w:p w14:paraId="7912222E" w14:textId="77777777" w:rsidR="00401A64" w:rsidRPr="00844CAD" w:rsidRDefault="00401A64" w:rsidP="00595B93">
            <w:pPr>
              <w:widowControl w:val="0"/>
              <w:jc w:val="center"/>
              <w:textAlignment w:val="top"/>
              <w:rPr>
                <w:bCs/>
                <w:sz w:val="20"/>
                <w:szCs w:val="20"/>
                <w:lang w:val="en-US"/>
              </w:rPr>
            </w:pPr>
            <w:r w:rsidRPr="00844CAD">
              <w:rPr>
                <w:bCs/>
                <w:sz w:val="20"/>
                <w:szCs w:val="20"/>
                <w:lang w:val="en-US"/>
              </w:rPr>
              <w:t>[-2.</w:t>
            </w:r>
            <w:r>
              <w:rPr>
                <w:bCs/>
                <w:sz w:val="20"/>
                <w:szCs w:val="20"/>
                <w:lang w:val="en-US"/>
              </w:rPr>
              <w:t>5791</w:t>
            </w:r>
            <w:r w:rsidRPr="00844CAD">
              <w:rPr>
                <w:bCs/>
                <w:sz w:val="20"/>
                <w:szCs w:val="20"/>
                <w:lang w:val="en-US"/>
              </w:rPr>
              <w:t>]</w:t>
            </w:r>
          </w:p>
        </w:tc>
        <w:tc>
          <w:tcPr>
            <w:tcW w:w="1051" w:type="dxa"/>
          </w:tcPr>
          <w:p w14:paraId="47B62B5B" w14:textId="77777777" w:rsidR="00401A64" w:rsidRPr="00727608" w:rsidRDefault="00401A64" w:rsidP="00595B93">
            <w:pPr>
              <w:widowControl w:val="0"/>
              <w:spacing w:before="60"/>
              <w:jc w:val="center"/>
              <w:textAlignment w:val="top"/>
              <w:rPr>
                <w:bCs/>
                <w:sz w:val="20"/>
                <w:szCs w:val="20"/>
                <w:lang w:val="en-US"/>
              </w:rPr>
            </w:pPr>
            <w:r w:rsidRPr="00727608">
              <w:rPr>
                <w:bCs/>
                <w:sz w:val="20"/>
                <w:szCs w:val="20"/>
                <w:lang w:val="en-US"/>
              </w:rPr>
              <w:t>-</w:t>
            </w:r>
            <w:r>
              <w:rPr>
                <w:bCs/>
                <w:sz w:val="20"/>
                <w:szCs w:val="20"/>
                <w:lang w:val="en-US"/>
              </w:rPr>
              <w:t>1.4353</w:t>
            </w:r>
            <w:r w:rsidRPr="00727608">
              <w:rPr>
                <w:bCs/>
                <w:sz w:val="20"/>
                <w:szCs w:val="20"/>
                <w:lang w:val="en-US"/>
              </w:rPr>
              <w:t>*</w:t>
            </w:r>
          </w:p>
          <w:p w14:paraId="32AA2A96" w14:textId="77777777" w:rsidR="00401A64" w:rsidRPr="00727608" w:rsidRDefault="00401A64" w:rsidP="00595B93">
            <w:pPr>
              <w:widowControl w:val="0"/>
              <w:jc w:val="center"/>
              <w:textAlignment w:val="top"/>
              <w:rPr>
                <w:bCs/>
                <w:sz w:val="20"/>
                <w:szCs w:val="20"/>
                <w:lang w:val="en-US"/>
              </w:rPr>
            </w:pPr>
            <w:r w:rsidRPr="00727608">
              <w:rPr>
                <w:bCs/>
                <w:sz w:val="20"/>
                <w:szCs w:val="20"/>
                <w:lang w:val="en-US"/>
              </w:rPr>
              <w:t>(0.</w:t>
            </w:r>
            <w:r>
              <w:rPr>
                <w:bCs/>
                <w:sz w:val="20"/>
                <w:szCs w:val="20"/>
                <w:lang w:val="en-US"/>
              </w:rPr>
              <w:t>7599</w:t>
            </w:r>
            <w:r w:rsidRPr="00727608">
              <w:rPr>
                <w:bCs/>
                <w:sz w:val="20"/>
                <w:szCs w:val="20"/>
                <w:lang w:val="en-US"/>
              </w:rPr>
              <w:t>)</w:t>
            </w:r>
          </w:p>
          <w:p w14:paraId="45307EE1" w14:textId="77777777" w:rsidR="00401A64" w:rsidRPr="00727608" w:rsidRDefault="00401A64" w:rsidP="00595B93">
            <w:pPr>
              <w:widowControl w:val="0"/>
              <w:jc w:val="center"/>
              <w:textAlignment w:val="top"/>
              <w:rPr>
                <w:bCs/>
                <w:sz w:val="20"/>
                <w:szCs w:val="20"/>
                <w:lang w:val="en-US"/>
              </w:rPr>
            </w:pPr>
            <w:r w:rsidRPr="00727608">
              <w:rPr>
                <w:bCs/>
                <w:sz w:val="20"/>
                <w:szCs w:val="20"/>
                <w:lang w:val="en-US"/>
              </w:rPr>
              <w:t>[-</w:t>
            </w:r>
            <w:r>
              <w:rPr>
                <w:bCs/>
                <w:sz w:val="20"/>
                <w:szCs w:val="20"/>
                <w:lang w:val="en-US"/>
              </w:rPr>
              <w:t>1.8885</w:t>
            </w:r>
            <w:r w:rsidRPr="00727608">
              <w:rPr>
                <w:bCs/>
                <w:sz w:val="20"/>
                <w:szCs w:val="20"/>
                <w:lang w:val="en-US"/>
              </w:rPr>
              <w:t>]</w:t>
            </w:r>
          </w:p>
        </w:tc>
        <w:tc>
          <w:tcPr>
            <w:tcW w:w="1051" w:type="dxa"/>
          </w:tcPr>
          <w:p w14:paraId="70805507" w14:textId="77777777" w:rsidR="00401A64" w:rsidRPr="000D48C1" w:rsidRDefault="00401A64" w:rsidP="00595B93">
            <w:pPr>
              <w:widowControl w:val="0"/>
              <w:spacing w:before="60"/>
              <w:jc w:val="center"/>
              <w:textAlignment w:val="top"/>
              <w:rPr>
                <w:bCs/>
                <w:sz w:val="20"/>
                <w:szCs w:val="20"/>
                <w:lang w:val="en-US"/>
              </w:rPr>
            </w:pPr>
            <w:r w:rsidRPr="000D48C1">
              <w:rPr>
                <w:bCs/>
                <w:sz w:val="20"/>
                <w:szCs w:val="20"/>
                <w:lang w:val="en-US"/>
              </w:rPr>
              <w:t>-0.</w:t>
            </w:r>
            <w:r>
              <w:rPr>
                <w:bCs/>
                <w:sz w:val="20"/>
                <w:szCs w:val="20"/>
                <w:lang w:val="en-US"/>
              </w:rPr>
              <w:t>4021</w:t>
            </w:r>
          </w:p>
          <w:p w14:paraId="064ADED7" w14:textId="77777777" w:rsidR="00401A64" w:rsidRPr="000D48C1" w:rsidRDefault="00401A64" w:rsidP="00595B93">
            <w:pPr>
              <w:widowControl w:val="0"/>
              <w:jc w:val="center"/>
              <w:textAlignment w:val="top"/>
              <w:rPr>
                <w:bCs/>
                <w:sz w:val="20"/>
                <w:szCs w:val="20"/>
                <w:lang w:val="en-US"/>
              </w:rPr>
            </w:pPr>
            <w:r w:rsidRPr="000D48C1">
              <w:rPr>
                <w:bCs/>
                <w:sz w:val="20"/>
                <w:szCs w:val="20"/>
                <w:lang w:val="en-US"/>
              </w:rPr>
              <w:t>(0.</w:t>
            </w:r>
            <w:r>
              <w:rPr>
                <w:bCs/>
                <w:sz w:val="20"/>
                <w:szCs w:val="20"/>
                <w:lang w:val="en-US"/>
              </w:rPr>
              <w:t>6474</w:t>
            </w:r>
            <w:r w:rsidRPr="000D48C1">
              <w:rPr>
                <w:bCs/>
                <w:sz w:val="20"/>
                <w:szCs w:val="20"/>
                <w:lang w:val="en-US"/>
              </w:rPr>
              <w:t>)</w:t>
            </w:r>
          </w:p>
          <w:p w14:paraId="015383CC" w14:textId="77777777" w:rsidR="00401A64" w:rsidRPr="000D48C1" w:rsidRDefault="00401A64" w:rsidP="00595B93">
            <w:pPr>
              <w:widowControl w:val="0"/>
              <w:jc w:val="center"/>
              <w:textAlignment w:val="top"/>
              <w:rPr>
                <w:bCs/>
                <w:sz w:val="20"/>
                <w:szCs w:val="20"/>
                <w:lang w:val="en-US"/>
              </w:rPr>
            </w:pPr>
            <w:r w:rsidRPr="000D48C1">
              <w:rPr>
                <w:bCs/>
                <w:sz w:val="20"/>
                <w:szCs w:val="20"/>
                <w:lang w:val="en-US"/>
              </w:rPr>
              <w:t>[-</w:t>
            </w:r>
            <w:r>
              <w:rPr>
                <w:bCs/>
                <w:sz w:val="20"/>
                <w:szCs w:val="20"/>
                <w:lang w:val="en-US"/>
              </w:rPr>
              <w:t>0.6212</w:t>
            </w:r>
            <w:r w:rsidRPr="000D48C1">
              <w:rPr>
                <w:bCs/>
                <w:sz w:val="20"/>
                <w:szCs w:val="20"/>
                <w:lang w:val="en-US"/>
              </w:rPr>
              <w:t>]</w:t>
            </w:r>
          </w:p>
        </w:tc>
        <w:tc>
          <w:tcPr>
            <w:tcW w:w="1139" w:type="dxa"/>
          </w:tcPr>
          <w:p w14:paraId="7BF3EA98" w14:textId="77777777" w:rsidR="00401A64" w:rsidRPr="00D730E5" w:rsidRDefault="00401A64" w:rsidP="00595B93">
            <w:pPr>
              <w:widowControl w:val="0"/>
              <w:spacing w:before="60"/>
              <w:jc w:val="center"/>
              <w:textAlignment w:val="top"/>
              <w:rPr>
                <w:bCs/>
                <w:sz w:val="20"/>
                <w:szCs w:val="20"/>
                <w:lang w:val="en-US"/>
              </w:rPr>
            </w:pPr>
            <w:r w:rsidRPr="00D730E5">
              <w:rPr>
                <w:bCs/>
                <w:sz w:val="20"/>
                <w:szCs w:val="20"/>
                <w:lang w:val="en-US"/>
              </w:rPr>
              <w:t>-</w:t>
            </w:r>
            <w:r>
              <w:rPr>
                <w:bCs/>
                <w:sz w:val="20"/>
                <w:szCs w:val="20"/>
                <w:lang w:val="en-US"/>
              </w:rPr>
              <w:t>1.9878**</w:t>
            </w:r>
            <w:r w:rsidRPr="00D730E5">
              <w:rPr>
                <w:bCs/>
                <w:sz w:val="20"/>
                <w:szCs w:val="20"/>
                <w:lang w:val="en-US"/>
              </w:rPr>
              <w:t>*</w:t>
            </w:r>
          </w:p>
          <w:p w14:paraId="577BBFFB" w14:textId="77777777" w:rsidR="00401A64" w:rsidRPr="00D730E5" w:rsidRDefault="00401A64" w:rsidP="00595B93">
            <w:pPr>
              <w:widowControl w:val="0"/>
              <w:jc w:val="center"/>
              <w:textAlignment w:val="top"/>
              <w:rPr>
                <w:bCs/>
                <w:sz w:val="20"/>
                <w:szCs w:val="20"/>
                <w:lang w:val="en-US"/>
              </w:rPr>
            </w:pPr>
            <w:r w:rsidRPr="00D730E5">
              <w:rPr>
                <w:bCs/>
                <w:sz w:val="20"/>
                <w:szCs w:val="20"/>
                <w:lang w:val="en-US"/>
              </w:rPr>
              <w:t>(0.</w:t>
            </w:r>
            <w:r>
              <w:rPr>
                <w:bCs/>
                <w:sz w:val="20"/>
                <w:szCs w:val="20"/>
                <w:lang w:val="en-US"/>
              </w:rPr>
              <w:t>7372</w:t>
            </w:r>
            <w:r w:rsidRPr="00D730E5">
              <w:rPr>
                <w:bCs/>
                <w:sz w:val="20"/>
                <w:szCs w:val="20"/>
                <w:lang w:val="en-US"/>
              </w:rPr>
              <w:t>)</w:t>
            </w:r>
          </w:p>
          <w:p w14:paraId="4180E1D1" w14:textId="77777777" w:rsidR="00401A64" w:rsidRPr="00D730E5" w:rsidRDefault="00401A64" w:rsidP="00595B93">
            <w:pPr>
              <w:widowControl w:val="0"/>
              <w:jc w:val="center"/>
              <w:textAlignment w:val="top"/>
              <w:rPr>
                <w:bCs/>
                <w:sz w:val="20"/>
                <w:szCs w:val="20"/>
                <w:lang w:val="en-US"/>
              </w:rPr>
            </w:pPr>
            <w:r w:rsidRPr="00D730E5">
              <w:rPr>
                <w:bCs/>
                <w:sz w:val="20"/>
                <w:szCs w:val="20"/>
                <w:lang w:val="en-US"/>
              </w:rPr>
              <w:t>[-</w:t>
            </w:r>
            <w:r>
              <w:rPr>
                <w:bCs/>
                <w:sz w:val="20"/>
                <w:szCs w:val="20"/>
                <w:lang w:val="en-US"/>
              </w:rPr>
              <w:t>2.6963</w:t>
            </w:r>
            <w:r w:rsidRPr="00D730E5">
              <w:rPr>
                <w:bCs/>
                <w:sz w:val="20"/>
                <w:szCs w:val="20"/>
                <w:lang w:val="en-US"/>
              </w:rPr>
              <w:t>]</w:t>
            </w:r>
          </w:p>
        </w:tc>
        <w:tc>
          <w:tcPr>
            <w:tcW w:w="1138" w:type="dxa"/>
          </w:tcPr>
          <w:p w14:paraId="0863DC68" w14:textId="77777777" w:rsidR="00401A64" w:rsidRPr="00BA784B" w:rsidRDefault="00401A64" w:rsidP="00595B93">
            <w:pPr>
              <w:widowControl w:val="0"/>
              <w:spacing w:before="60"/>
              <w:jc w:val="center"/>
              <w:textAlignment w:val="top"/>
              <w:rPr>
                <w:bCs/>
                <w:sz w:val="20"/>
                <w:szCs w:val="20"/>
                <w:lang w:val="en-US"/>
              </w:rPr>
            </w:pPr>
            <w:r w:rsidRPr="00BA784B">
              <w:rPr>
                <w:bCs/>
                <w:sz w:val="20"/>
                <w:szCs w:val="20"/>
                <w:lang w:val="en-US"/>
              </w:rPr>
              <w:t>-</w:t>
            </w:r>
            <w:r>
              <w:rPr>
                <w:bCs/>
                <w:sz w:val="20"/>
                <w:szCs w:val="20"/>
                <w:lang w:val="en-US"/>
              </w:rPr>
              <w:t>1.4884</w:t>
            </w:r>
            <w:r w:rsidRPr="00BA784B">
              <w:rPr>
                <w:bCs/>
                <w:sz w:val="20"/>
                <w:szCs w:val="20"/>
                <w:lang w:val="en-US"/>
              </w:rPr>
              <w:t>*</w:t>
            </w:r>
          </w:p>
          <w:p w14:paraId="7A0B2E36"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t>(0.</w:t>
            </w:r>
            <w:r>
              <w:rPr>
                <w:bCs/>
                <w:sz w:val="20"/>
                <w:szCs w:val="20"/>
                <w:lang w:val="en-US"/>
              </w:rPr>
              <w:t>7821</w:t>
            </w:r>
            <w:r w:rsidRPr="00BA784B">
              <w:rPr>
                <w:bCs/>
                <w:sz w:val="20"/>
                <w:szCs w:val="20"/>
                <w:lang w:val="en-US"/>
              </w:rPr>
              <w:t>)</w:t>
            </w:r>
          </w:p>
          <w:p w14:paraId="19F8C2CF"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t>[-1.</w:t>
            </w:r>
            <w:r>
              <w:rPr>
                <w:bCs/>
                <w:sz w:val="20"/>
                <w:szCs w:val="20"/>
                <w:lang w:val="en-US"/>
              </w:rPr>
              <w:t>9029</w:t>
            </w:r>
            <w:r w:rsidRPr="00BA784B">
              <w:rPr>
                <w:bCs/>
                <w:sz w:val="20"/>
                <w:szCs w:val="20"/>
                <w:lang w:val="en-US"/>
              </w:rPr>
              <w:t>]</w:t>
            </w:r>
          </w:p>
        </w:tc>
        <w:tc>
          <w:tcPr>
            <w:tcW w:w="1052" w:type="dxa"/>
          </w:tcPr>
          <w:p w14:paraId="775635F8" w14:textId="77777777" w:rsidR="00401A64" w:rsidRPr="00BA784B" w:rsidRDefault="00401A64" w:rsidP="00595B93">
            <w:pPr>
              <w:widowControl w:val="0"/>
              <w:spacing w:before="60"/>
              <w:jc w:val="center"/>
              <w:textAlignment w:val="top"/>
              <w:rPr>
                <w:bCs/>
                <w:sz w:val="20"/>
                <w:szCs w:val="20"/>
                <w:lang w:val="en-US"/>
              </w:rPr>
            </w:pPr>
            <w:r w:rsidRPr="00BA784B">
              <w:rPr>
                <w:bCs/>
                <w:sz w:val="20"/>
                <w:szCs w:val="20"/>
                <w:lang w:val="en-US"/>
              </w:rPr>
              <w:t>-</w:t>
            </w:r>
            <w:r>
              <w:rPr>
                <w:bCs/>
                <w:sz w:val="20"/>
                <w:szCs w:val="20"/>
                <w:lang w:val="en-US"/>
              </w:rPr>
              <w:t>1.5142*</w:t>
            </w:r>
          </w:p>
          <w:p w14:paraId="416162D4"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t>(0.</w:t>
            </w:r>
            <w:r>
              <w:rPr>
                <w:bCs/>
                <w:sz w:val="20"/>
                <w:szCs w:val="20"/>
                <w:lang w:val="en-US"/>
              </w:rPr>
              <w:t>7964</w:t>
            </w:r>
            <w:r w:rsidRPr="00BA784B">
              <w:rPr>
                <w:bCs/>
                <w:sz w:val="20"/>
                <w:szCs w:val="20"/>
                <w:lang w:val="en-US"/>
              </w:rPr>
              <w:t>)</w:t>
            </w:r>
          </w:p>
          <w:p w14:paraId="5019430B"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t>[-</w:t>
            </w:r>
            <w:r>
              <w:rPr>
                <w:bCs/>
                <w:sz w:val="20"/>
                <w:szCs w:val="20"/>
                <w:lang w:val="en-US"/>
              </w:rPr>
              <w:t>1.9012</w:t>
            </w:r>
            <w:r w:rsidRPr="00BA784B">
              <w:rPr>
                <w:bCs/>
                <w:sz w:val="20"/>
                <w:szCs w:val="20"/>
                <w:lang w:val="en-US"/>
              </w:rPr>
              <w:t>]</w:t>
            </w:r>
          </w:p>
        </w:tc>
      </w:tr>
      <w:tr w:rsidR="00401A64" w:rsidRPr="0047024D" w14:paraId="302580C3" w14:textId="77777777" w:rsidTr="00595B93">
        <w:tc>
          <w:tcPr>
            <w:tcW w:w="1063" w:type="dxa"/>
          </w:tcPr>
          <w:p w14:paraId="206920F5"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MW</w:t>
            </w:r>
            <w:r w:rsidRPr="00491C04">
              <w:rPr>
                <w:bCs/>
                <w:i/>
                <w:sz w:val="20"/>
                <w:szCs w:val="20"/>
                <w:vertAlign w:val="subscript"/>
                <w:lang w:val="en-US"/>
              </w:rPr>
              <w:t>i,t-1</w:t>
            </w:r>
          </w:p>
        </w:tc>
        <w:tc>
          <w:tcPr>
            <w:tcW w:w="1138" w:type="dxa"/>
          </w:tcPr>
          <w:p w14:paraId="7C220B86" w14:textId="77777777" w:rsidR="00401A64" w:rsidRPr="0047024D" w:rsidRDefault="00401A64" w:rsidP="00595B93">
            <w:pPr>
              <w:widowControl w:val="0"/>
              <w:jc w:val="center"/>
              <w:textAlignment w:val="top"/>
              <w:rPr>
                <w:bCs/>
                <w:sz w:val="20"/>
                <w:szCs w:val="20"/>
                <w:highlight w:val="yellow"/>
                <w:lang w:val="en-US"/>
              </w:rPr>
            </w:pPr>
          </w:p>
        </w:tc>
        <w:tc>
          <w:tcPr>
            <w:tcW w:w="1087" w:type="dxa"/>
          </w:tcPr>
          <w:p w14:paraId="4121208C" w14:textId="77777777" w:rsidR="00401A64" w:rsidRPr="00844CAD" w:rsidRDefault="00401A64" w:rsidP="00595B93">
            <w:pPr>
              <w:widowControl w:val="0"/>
              <w:spacing w:before="60"/>
              <w:jc w:val="center"/>
              <w:textAlignment w:val="top"/>
              <w:rPr>
                <w:bCs/>
                <w:sz w:val="20"/>
                <w:szCs w:val="20"/>
                <w:lang w:val="en-US"/>
              </w:rPr>
            </w:pPr>
            <w:r w:rsidRPr="00844CAD">
              <w:rPr>
                <w:bCs/>
                <w:sz w:val="20"/>
                <w:szCs w:val="20"/>
                <w:lang w:val="en-US"/>
              </w:rPr>
              <w:t>-0.</w:t>
            </w:r>
            <w:r>
              <w:rPr>
                <w:bCs/>
                <w:sz w:val="20"/>
                <w:szCs w:val="20"/>
                <w:lang w:val="en-US"/>
              </w:rPr>
              <w:t>1909</w:t>
            </w:r>
            <w:r w:rsidRPr="00844CAD">
              <w:rPr>
                <w:bCs/>
                <w:sz w:val="20"/>
                <w:szCs w:val="20"/>
                <w:lang w:val="en-US"/>
              </w:rPr>
              <w:t>*</w:t>
            </w:r>
          </w:p>
          <w:p w14:paraId="2EEA60EB" w14:textId="77777777" w:rsidR="00401A64" w:rsidRPr="00844CAD" w:rsidRDefault="00401A64" w:rsidP="00595B93">
            <w:pPr>
              <w:widowControl w:val="0"/>
              <w:jc w:val="center"/>
              <w:textAlignment w:val="top"/>
              <w:rPr>
                <w:bCs/>
                <w:sz w:val="20"/>
                <w:szCs w:val="20"/>
                <w:lang w:val="en-US"/>
              </w:rPr>
            </w:pPr>
            <w:r w:rsidRPr="00844CAD">
              <w:rPr>
                <w:bCs/>
                <w:sz w:val="20"/>
                <w:szCs w:val="20"/>
                <w:lang w:val="en-US"/>
              </w:rPr>
              <w:t>(0.</w:t>
            </w:r>
            <w:r>
              <w:rPr>
                <w:bCs/>
                <w:sz w:val="20"/>
                <w:szCs w:val="20"/>
                <w:lang w:val="en-US"/>
              </w:rPr>
              <w:t>1065</w:t>
            </w:r>
            <w:r w:rsidRPr="00844CAD">
              <w:rPr>
                <w:bCs/>
                <w:sz w:val="20"/>
                <w:szCs w:val="20"/>
                <w:lang w:val="en-US"/>
              </w:rPr>
              <w:t>)</w:t>
            </w:r>
          </w:p>
          <w:p w14:paraId="7094EAD7" w14:textId="77777777" w:rsidR="00401A64" w:rsidRPr="00844CAD" w:rsidRDefault="00401A64" w:rsidP="00595B93">
            <w:pPr>
              <w:widowControl w:val="0"/>
              <w:jc w:val="center"/>
              <w:textAlignment w:val="top"/>
              <w:rPr>
                <w:bCs/>
                <w:sz w:val="20"/>
                <w:szCs w:val="20"/>
                <w:lang w:val="en-US"/>
              </w:rPr>
            </w:pPr>
            <w:r w:rsidRPr="00844CAD">
              <w:rPr>
                <w:bCs/>
                <w:sz w:val="20"/>
                <w:szCs w:val="20"/>
                <w:lang w:val="en-US"/>
              </w:rPr>
              <w:t>[-1.</w:t>
            </w:r>
            <w:r>
              <w:rPr>
                <w:bCs/>
                <w:sz w:val="20"/>
                <w:szCs w:val="20"/>
                <w:lang w:val="en-US"/>
              </w:rPr>
              <w:t>7914</w:t>
            </w:r>
            <w:r w:rsidRPr="00844CAD">
              <w:rPr>
                <w:bCs/>
                <w:sz w:val="20"/>
                <w:szCs w:val="20"/>
                <w:lang w:val="en-US"/>
              </w:rPr>
              <w:t>]</w:t>
            </w:r>
          </w:p>
        </w:tc>
        <w:tc>
          <w:tcPr>
            <w:tcW w:w="1051" w:type="dxa"/>
          </w:tcPr>
          <w:p w14:paraId="1C022149" w14:textId="77777777" w:rsidR="00401A64" w:rsidRPr="00727608" w:rsidRDefault="00401A64" w:rsidP="00595B93">
            <w:pPr>
              <w:widowControl w:val="0"/>
              <w:jc w:val="center"/>
              <w:textAlignment w:val="top"/>
              <w:rPr>
                <w:bCs/>
                <w:sz w:val="20"/>
                <w:szCs w:val="20"/>
                <w:lang w:val="en-US"/>
              </w:rPr>
            </w:pPr>
          </w:p>
        </w:tc>
        <w:tc>
          <w:tcPr>
            <w:tcW w:w="1051" w:type="dxa"/>
          </w:tcPr>
          <w:p w14:paraId="18C3A5A5" w14:textId="77777777" w:rsidR="00401A64" w:rsidRPr="000D48C1" w:rsidRDefault="00401A64" w:rsidP="00595B93">
            <w:pPr>
              <w:widowControl w:val="0"/>
              <w:jc w:val="center"/>
              <w:textAlignment w:val="top"/>
              <w:rPr>
                <w:bCs/>
                <w:sz w:val="20"/>
                <w:szCs w:val="20"/>
                <w:lang w:val="en-US"/>
              </w:rPr>
            </w:pPr>
          </w:p>
        </w:tc>
        <w:tc>
          <w:tcPr>
            <w:tcW w:w="1139" w:type="dxa"/>
          </w:tcPr>
          <w:p w14:paraId="24B6604B" w14:textId="77777777" w:rsidR="00401A64" w:rsidRPr="00D730E5" w:rsidRDefault="00401A64" w:rsidP="00595B93">
            <w:pPr>
              <w:widowControl w:val="0"/>
              <w:jc w:val="center"/>
              <w:textAlignment w:val="top"/>
              <w:rPr>
                <w:bCs/>
                <w:sz w:val="20"/>
                <w:szCs w:val="20"/>
                <w:lang w:val="en-US"/>
              </w:rPr>
            </w:pPr>
          </w:p>
        </w:tc>
        <w:tc>
          <w:tcPr>
            <w:tcW w:w="1138" w:type="dxa"/>
          </w:tcPr>
          <w:p w14:paraId="0398DD50" w14:textId="77777777" w:rsidR="00401A64" w:rsidRPr="00BA784B" w:rsidRDefault="00401A64" w:rsidP="00595B93">
            <w:pPr>
              <w:widowControl w:val="0"/>
              <w:jc w:val="center"/>
              <w:textAlignment w:val="top"/>
              <w:rPr>
                <w:bCs/>
                <w:sz w:val="20"/>
                <w:szCs w:val="20"/>
                <w:lang w:val="en-US"/>
              </w:rPr>
            </w:pPr>
          </w:p>
        </w:tc>
        <w:tc>
          <w:tcPr>
            <w:tcW w:w="1052" w:type="dxa"/>
          </w:tcPr>
          <w:p w14:paraId="1A6F0528" w14:textId="77777777" w:rsidR="00401A64" w:rsidRPr="00BA784B" w:rsidRDefault="00401A64" w:rsidP="00595B93">
            <w:pPr>
              <w:widowControl w:val="0"/>
              <w:jc w:val="center"/>
              <w:textAlignment w:val="top"/>
              <w:rPr>
                <w:bCs/>
                <w:sz w:val="20"/>
                <w:szCs w:val="20"/>
                <w:lang w:val="en-US"/>
              </w:rPr>
            </w:pPr>
          </w:p>
        </w:tc>
      </w:tr>
      <w:tr w:rsidR="00401A64" w:rsidRPr="0047024D" w14:paraId="66DCC11F" w14:textId="77777777" w:rsidTr="00595B93">
        <w:tc>
          <w:tcPr>
            <w:tcW w:w="1063" w:type="dxa"/>
          </w:tcPr>
          <w:p w14:paraId="29C97948"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UNE</w:t>
            </w:r>
            <w:r w:rsidRPr="00491C04">
              <w:rPr>
                <w:bCs/>
                <w:i/>
                <w:sz w:val="20"/>
                <w:szCs w:val="20"/>
                <w:vertAlign w:val="subscript"/>
                <w:lang w:val="en-US"/>
              </w:rPr>
              <w:t>i,t-1</w:t>
            </w:r>
          </w:p>
        </w:tc>
        <w:tc>
          <w:tcPr>
            <w:tcW w:w="1138" w:type="dxa"/>
          </w:tcPr>
          <w:p w14:paraId="313E7ABA" w14:textId="77777777" w:rsidR="00401A64" w:rsidRPr="0047024D" w:rsidRDefault="00401A64" w:rsidP="00595B93">
            <w:pPr>
              <w:widowControl w:val="0"/>
              <w:jc w:val="center"/>
              <w:textAlignment w:val="top"/>
              <w:rPr>
                <w:bCs/>
                <w:sz w:val="20"/>
                <w:szCs w:val="20"/>
                <w:highlight w:val="yellow"/>
                <w:lang w:val="en-US"/>
              </w:rPr>
            </w:pPr>
          </w:p>
        </w:tc>
        <w:tc>
          <w:tcPr>
            <w:tcW w:w="1087" w:type="dxa"/>
          </w:tcPr>
          <w:p w14:paraId="44F6F48E" w14:textId="77777777" w:rsidR="00401A64" w:rsidRPr="0047024D" w:rsidRDefault="00401A64" w:rsidP="00595B93">
            <w:pPr>
              <w:widowControl w:val="0"/>
              <w:jc w:val="center"/>
              <w:textAlignment w:val="top"/>
              <w:rPr>
                <w:bCs/>
                <w:sz w:val="20"/>
                <w:szCs w:val="20"/>
                <w:highlight w:val="yellow"/>
                <w:lang w:val="en-US"/>
              </w:rPr>
            </w:pPr>
          </w:p>
        </w:tc>
        <w:tc>
          <w:tcPr>
            <w:tcW w:w="1051" w:type="dxa"/>
          </w:tcPr>
          <w:p w14:paraId="5110D443" w14:textId="77777777" w:rsidR="00401A64" w:rsidRPr="00727608" w:rsidRDefault="00401A64" w:rsidP="00595B93">
            <w:pPr>
              <w:widowControl w:val="0"/>
              <w:spacing w:before="60"/>
              <w:jc w:val="center"/>
              <w:textAlignment w:val="top"/>
              <w:rPr>
                <w:bCs/>
                <w:sz w:val="20"/>
                <w:szCs w:val="20"/>
                <w:lang w:val="en-US"/>
              </w:rPr>
            </w:pPr>
            <w:r>
              <w:rPr>
                <w:bCs/>
                <w:sz w:val="20"/>
                <w:szCs w:val="20"/>
                <w:lang w:val="en-US"/>
              </w:rPr>
              <w:t>3.4700</w:t>
            </w:r>
            <w:r w:rsidRPr="00727608">
              <w:rPr>
                <w:bCs/>
                <w:sz w:val="20"/>
                <w:szCs w:val="20"/>
                <w:lang w:val="en-US"/>
              </w:rPr>
              <w:t>*</w:t>
            </w:r>
          </w:p>
          <w:p w14:paraId="0DABDEAB" w14:textId="77777777" w:rsidR="00401A64" w:rsidRPr="00727608" w:rsidRDefault="00401A64" w:rsidP="00595B93">
            <w:pPr>
              <w:widowControl w:val="0"/>
              <w:jc w:val="center"/>
              <w:textAlignment w:val="top"/>
              <w:rPr>
                <w:bCs/>
                <w:sz w:val="20"/>
                <w:szCs w:val="20"/>
                <w:lang w:val="en-US"/>
              </w:rPr>
            </w:pPr>
            <w:r w:rsidRPr="00727608">
              <w:rPr>
                <w:bCs/>
                <w:sz w:val="20"/>
                <w:szCs w:val="20"/>
                <w:lang w:val="en-US"/>
              </w:rPr>
              <w:t>(</w:t>
            </w:r>
            <w:r>
              <w:rPr>
                <w:bCs/>
                <w:sz w:val="20"/>
                <w:szCs w:val="20"/>
                <w:lang w:val="en-US"/>
              </w:rPr>
              <w:t>1.9531</w:t>
            </w:r>
            <w:r w:rsidRPr="00727608">
              <w:rPr>
                <w:bCs/>
                <w:sz w:val="20"/>
                <w:szCs w:val="20"/>
                <w:lang w:val="en-US"/>
              </w:rPr>
              <w:t>)</w:t>
            </w:r>
          </w:p>
          <w:p w14:paraId="1589EECF" w14:textId="77777777" w:rsidR="00401A64" w:rsidRPr="00727608" w:rsidRDefault="00401A64" w:rsidP="00595B93">
            <w:pPr>
              <w:widowControl w:val="0"/>
              <w:jc w:val="center"/>
              <w:textAlignment w:val="top"/>
              <w:rPr>
                <w:bCs/>
                <w:sz w:val="20"/>
                <w:szCs w:val="20"/>
                <w:lang w:val="en-US"/>
              </w:rPr>
            </w:pPr>
            <w:r w:rsidRPr="00727608">
              <w:rPr>
                <w:bCs/>
                <w:sz w:val="20"/>
                <w:szCs w:val="20"/>
                <w:lang w:val="en-US"/>
              </w:rPr>
              <w:t>[1.7</w:t>
            </w:r>
            <w:r>
              <w:rPr>
                <w:bCs/>
                <w:sz w:val="20"/>
                <w:szCs w:val="20"/>
                <w:lang w:val="en-US"/>
              </w:rPr>
              <w:t>766</w:t>
            </w:r>
            <w:r w:rsidRPr="00727608">
              <w:rPr>
                <w:bCs/>
                <w:sz w:val="20"/>
                <w:szCs w:val="20"/>
                <w:lang w:val="en-US"/>
              </w:rPr>
              <w:t>]</w:t>
            </w:r>
          </w:p>
        </w:tc>
        <w:tc>
          <w:tcPr>
            <w:tcW w:w="1051" w:type="dxa"/>
          </w:tcPr>
          <w:p w14:paraId="679B46E0" w14:textId="77777777" w:rsidR="00401A64" w:rsidRPr="000D48C1" w:rsidRDefault="00401A64" w:rsidP="00595B93">
            <w:pPr>
              <w:widowControl w:val="0"/>
              <w:jc w:val="center"/>
              <w:textAlignment w:val="top"/>
              <w:rPr>
                <w:bCs/>
                <w:sz w:val="20"/>
                <w:szCs w:val="20"/>
                <w:lang w:val="en-US"/>
              </w:rPr>
            </w:pPr>
          </w:p>
        </w:tc>
        <w:tc>
          <w:tcPr>
            <w:tcW w:w="1139" w:type="dxa"/>
          </w:tcPr>
          <w:p w14:paraId="4AFAEABF" w14:textId="77777777" w:rsidR="00401A64" w:rsidRPr="00D730E5" w:rsidRDefault="00401A64" w:rsidP="00595B93">
            <w:pPr>
              <w:widowControl w:val="0"/>
              <w:jc w:val="center"/>
              <w:textAlignment w:val="top"/>
              <w:rPr>
                <w:bCs/>
                <w:sz w:val="20"/>
                <w:szCs w:val="20"/>
                <w:lang w:val="en-US"/>
              </w:rPr>
            </w:pPr>
          </w:p>
        </w:tc>
        <w:tc>
          <w:tcPr>
            <w:tcW w:w="1138" w:type="dxa"/>
          </w:tcPr>
          <w:p w14:paraId="170C8665" w14:textId="77777777" w:rsidR="00401A64" w:rsidRPr="00BA784B" w:rsidRDefault="00401A64" w:rsidP="00595B93">
            <w:pPr>
              <w:widowControl w:val="0"/>
              <w:jc w:val="center"/>
              <w:textAlignment w:val="top"/>
              <w:rPr>
                <w:bCs/>
                <w:sz w:val="20"/>
                <w:szCs w:val="20"/>
                <w:lang w:val="en-US"/>
              </w:rPr>
            </w:pPr>
          </w:p>
        </w:tc>
        <w:tc>
          <w:tcPr>
            <w:tcW w:w="1052" w:type="dxa"/>
          </w:tcPr>
          <w:p w14:paraId="568C7E79" w14:textId="77777777" w:rsidR="00401A64" w:rsidRPr="00BA784B" w:rsidRDefault="00401A64" w:rsidP="00595B93">
            <w:pPr>
              <w:widowControl w:val="0"/>
              <w:jc w:val="center"/>
              <w:textAlignment w:val="top"/>
              <w:rPr>
                <w:bCs/>
                <w:sz w:val="20"/>
                <w:szCs w:val="20"/>
                <w:lang w:val="en-US"/>
              </w:rPr>
            </w:pPr>
          </w:p>
        </w:tc>
      </w:tr>
      <w:tr w:rsidR="00401A64" w:rsidRPr="0047024D" w14:paraId="2B154C34" w14:textId="77777777" w:rsidTr="00595B93">
        <w:tc>
          <w:tcPr>
            <w:tcW w:w="1063" w:type="dxa"/>
          </w:tcPr>
          <w:p w14:paraId="3DE9A1F2"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BF</w:t>
            </w:r>
            <w:r w:rsidRPr="00491C04">
              <w:rPr>
                <w:bCs/>
                <w:i/>
                <w:sz w:val="20"/>
                <w:szCs w:val="20"/>
                <w:vertAlign w:val="subscript"/>
                <w:lang w:val="en-US"/>
              </w:rPr>
              <w:t>i,t-1</w:t>
            </w:r>
          </w:p>
        </w:tc>
        <w:tc>
          <w:tcPr>
            <w:tcW w:w="1138" w:type="dxa"/>
          </w:tcPr>
          <w:p w14:paraId="46F69908" w14:textId="77777777" w:rsidR="00401A64" w:rsidRPr="0047024D" w:rsidRDefault="00401A64" w:rsidP="00595B93">
            <w:pPr>
              <w:widowControl w:val="0"/>
              <w:jc w:val="center"/>
              <w:textAlignment w:val="top"/>
              <w:rPr>
                <w:bCs/>
                <w:sz w:val="20"/>
                <w:szCs w:val="20"/>
                <w:highlight w:val="yellow"/>
                <w:lang w:val="en-US"/>
              </w:rPr>
            </w:pPr>
          </w:p>
        </w:tc>
        <w:tc>
          <w:tcPr>
            <w:tcW w:w="1087" w:type="dxa"/>
          </w:tcPr>
          <w:p w14:paraId="7D5992C2" w14:textId="77777777" w:rsidR="00401A64" w:rsidRPr="0047024D" w:rsidRDefault="00401A64" w:rsidP="00595B93">
            <w:pPr>
              <w:widowControl w:val="0"/>
              <w:jc w:val="center"/>
              <w:textAlignment w:val="top"/>
              <w:rPr>
                <w:bCs/>
                <w:sz w:val="20"/>
                <w:szCs w:val="20"/>
                <w:highlight w:val="yellow"/>
                <w:lang w:val="en-US"/>
              </w:rPr>
            </w:pPr>
          </w:p>
        </w:tc>
        <w:tc>
          <w:tcPr>
            <w:tcW w:w="1051" w:type="dxa"/>
          </w:tcPr>
          <w:p w14:paraId="706007EC" w14:textId="77777777" w:rsidR="00401A64" w:rsidRPr="0047024D" w:rsidRDefault="00401A64" w:rsidP="00595B93">
            <w:pPr>
              <w:widowControl w:val="0"/>
              <w:jc w:val="center"/>
              <w:textAlignment w:val="top"/>
              <w:rPr>
                <w:bCs/>
                <w:sz w:val="20"/>
                <w:szCs w:val="20"/>
                <w:highlight w:val="yellow"/>
                <w:lang w:val="en-US"/>
              </w:rPr>
            </w:pPr>
          </w:p>
        </w:tc>
        <w:tc>
          <w:tcPr>
            <w:tcW w:w="1051" w:type="dxa"/>
          </w:tcPr>
          <w:p w14:paraId="2F1CD4DB" w14:textId="77777777" w:rsidR="00401A64" w:rsidRPr="000D48C1" w:rsidRDefault="00401A64" w:rsidP="00595B93">
            <w:pPr>
              <w:widowControl w:val="0"/>
              <w:spacing w:before="60"/>
              <w:jc w:val="center"/>
              <w:textAlignment w:val="top"/>
              <w:rPr>
                <w:bCs/>
                <w:sz w:val="20"/>
                <w:szCs w:val="20"/>
                <w:lang w:val="en-US"/>
              </w:rPr>
            </w:pPr>
            <w:r w:rsidRPr="000D48C1">
              <w:rPr>
                <w:bCs/>
                <w:sz w:val="20"/>
                <w:szCs w:val="20"/>
                <w:lang w:val="en-US"/>
              </w:rPr>
              <w:t>-0.</w:t>
            </w:r>
            <w:r>
              <w:rPr>
                <w:bCs/>
                <w:sz w:val="20"/>
                <w:szCs w:val="20"/>
                <w:lang w:val="en-US"/>
              </w:rPr>
              <w:t>4888</w:t>
            </w:r>
            <w:r w:rsidRPr="000D48C1">
              <w:rPr>
                <w:bCs/>
                <w:sz w:val="20"/>
                <w:szCs w:val="20"/>
                <w:lang w:val="en-US"/>
              </w:rPr>
              <w:t>*</w:t>
            </w:r>
          </w:p>
          <w:p w14:paraId="001EB399" w14:textId="77777777" w:rsidR="00401A64" w:rsidRPr="000D48C1" w:rsidRDefault="00401A64" w:rsidP="00595B93">
            <w:pPr>
              <w:widowControl w:val="0"/>
              <w:jc w:val="center"/>
              <w:textAlignment w:val="top"/>
              <w:rPr>
                <w:bCs/>
                <w:sz w:val="20"/>
                <w:szCs w:val="20"/>
                <w:lang w:val="en-US"/>
              </w:rPr>
            </w:pPr>
            <w:r w:rsidRPr="000D48C1">
              <w:rPr>
                <w:bCs/>
                <w:sz w:val="20"/>
                <w:szCs w:val="20"/>
                <w:lang w:val="en-US"/>
              </w:rPr>
              <w:t>(0.</w:t>
            </w:r>
            <w:r>
              <w:rPr>
                <w:bCs/>
                <w:sz w:val="20"/>
                <w:szCs w:val="20"/>
                <w:lang w:val="en-US"/>
              </w:rPr>
              <w:t>2491</w:t>
            </w:r>
            <w:r w:rsidRPr="000D48C1">
              <w:rPr>
                <w:bCs/>
                <w:sz w:val="20"/>
                <w:szCs w:val="20"/>
                <w:lang w:val="en-US"/>
              </w:rPr>
              <w:t>)</w:t>
            </w:r>
          </w:p>
          <w:p w14:paraId="34DCA67C" w14:textId="77777777" w:rsidR="00401A64" w:rsidRPr="000D48C1" w:rsidRDefault="00401A64" w:rsidP="00595B93">
            <w:pPr>
              <w:widowControl w:val="0"/>
              <w:jc w:val="center"/>
              <w:textAlignment w:val="top"/>
              <w:rPr>
                <w:bCs/>
                <w:sz w:val="20"/>
                <w:szCs w:val="20"/>
                <w:lang w:val="en-US"/>
              </w:rPr>
            </w:pPr>
            <w:r w:rsidRPr="000D48C1">
              <w:rPr>
                <w:bCs/>
                <w:sz w:val="20"/>
                <w:szCs w:val="20"/>
                <w:lang w:val="en-US"/>
              </w:rPr>
              <w:t>[-</w:t>
            </w:r>
            <w:r>
              <w:rPr>
                <w:bCs/>
                <w:sz w:val="20"/>
                <w:szCs w:val="20"/>
                <w:lang w:val="en-US"/>
              </w:rPr>
              <w:t>1.9624</w:t>
            </w:r>
            <w:r w:rsidRPr="000D48C1">
              <w:rPr>
                <w:bCs/>
                <w:sz w:val="20"/>
                <w:szCs w:val="20"/>
                <w:lang w:val="en-US"/>
              </w:rPr>
              <w:t>]</w:t>
            </w:r>
          </w:p>
        </w:tc>
        <w:tc>
          <w:tcPr>
            <w:tcW w:w="1139" w:type="dxa"/>
          </w:tcPr>
          <w:p w14:paraId="0FEBBBD7" w14:textId="77777777" w:rsidR="00401A64" w:rsidRPr="00D730E5" w:rsidRDefault="00401A64" w:rsidP="00595B93">
            <w:pPr>
              <w:widowControl w:val="0"/>
              <w:jc w:val="center"/>
              <w:textAlignment w:val="top"/>
              <w:rPr>
                <w:bCs/>
                <w:sz w:val="20"/>
                <w:szCs w:val="20"/>
                <w:lang w:val="en-US"/>
              </w:rPr>
            </w:pPr>
          </w:p>
        </w:tc>
        <w:tc>
          <w:tcPr>
            <w:tcW w:w="1138" w:type="dxa"/>
          </w:tcPr>
          <w:p w14:paraId="6191F255" w14:textId="77777777" w:rsidR="00401A64" w:rsidRPr="00BA784B" w:rsidRDefault="00401A64" w:rsidP="00595B93">
            <w:pPr>
              <w:widowControl w:val="0"/>
              <w:jc w:val="center"/>
              <w:textAlignment w:val="top"/>
              <w:rPr>
                <w:bCs/>
                <w:sz w:val="20"/>
                <w:szCs w:val="20"/>
                <w:lang w:val="en-US"/>
              </w:rPr>
            </w:pPr>
          </w:p>
        </w:tc>
        <w:tc>
          <w:tcPr>
            <w:tcW w:w="1052" w:type="dxa"/>
          </w:tcPr>
          <w:p w14:paraId="370A8ECE" w14:textId="77777777" w:rsidR="00401A64" w:rsidRPr="00BA784B" w:rsidRDefault="00401A64" w:rsidP="00595B93">
            <w:pPr>
              <w:widowControl w:val="0"/>
              <w:jc w:val="center"/>
              <w:textAlignment w:val="top"/>
              <w:rPr>
                <w:bCs/>
                <w:sz w:val="20"/>
                <w:szCs w:val="20"/>
                <w:lang w:val="en-US"/>
              </w:rPr>
            </w:pPr>
          </w:p>
        </w:tc>
      </w:tr>
      <w:tr w:rsidR="00401A64" w:rsidRPr="0047024D" w14:paraId="23357DE3" w14:textId="77777777" w:rsidTr="00595B93">
        <w:tc>
          <w:tcPr>
            <w:tcW w:w="1063" w:type="dxa"/>
          </w:tcPr>
          <w:p w14:paraId="6B1938C9"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PC</w:t>
            </w:r>
            <w:r w:rsidRPr="00491C04">
              <w:rPr>
                <w:bCs/>
                <w:i/>
                <w:sz w:val="20"/>
                <w:szCs w:val="20"/>
                <w:vertAlign w:val="subscript"/>
                <w:lang w:val="en-US"/>
              </w:rPr>
              <w:t>i,t-1</w:t>
            </w:r>
          </w:p>
        </w:tc>
        <w:tc>
          <w:tcPr>
            <w:tcW w:w="1138" w:type="dxa"/>
          </w:tcPr>
          <w:p w14:paraId="41A46550" w14:textId="77777777" w:rsidR="00401A64" w:rsidRPr="0047024D" w:rsidRDefault="00401A64" w:rsidP="00595B93">
            <w:pPr>
              <w:widowControl w:val="0"/>
              <w:jc w:val="center"/>
              <w:textAlignment w:val="top"/>
              <w:rPr>
                <w:bCs/>
                <w:sz w:val="20"/>
                <w:szCs w:val="20"/>
                <w:highlight w:val="yellow"/>
                <w:lang w:val="en-US"/>
              </w:rPr>
            </w:pPr>
          </w:p>
        </w:tc>
        <w:tc>
          <w:tcPr>
            <w:tcW w:w="1087" w:type="dxa"/>
          </w:tcPr>
          <w:p w14:paraId="5ACF9649" w14:textId="77777777" w:rsidR="00401A64" w:rsidRPr="0047024D" w:rsidRDefault="00401A64" w:rsidP="00595B93">
            <w:pPr>
              <w:widowControl w:val="0"/>
              <w:jc w:val="center"/>
              <w:textAlignment w:val="top"/>
              <w:rPr>
                <w:bCs/>
                <w:sz w:val="20"/>
                <w:szCs w:val="20"/>
                <w:highlight w:val="yellow"/>
                <w:lang w:val="en-US"/>
              </w:rPr>
            </w:pPr>
          </w:p>
        </w:tc>
        <w:tc>
          <w:tcPr>
            <w:tcW w:w="1051" w:type="dxa"/>
          </w:tcPr>
          <w:p w14:paraId="68C561C2" w14:textId="77777777" w:rsidR="00401A64" w:rsidRPr="0047024D" w:rsidRDefault="00401A64" w:rsidP="00595B93">
            <w:pPr>
              <w:widowControl w:val="0"/>
              <w:jc w:val="center"/>
              <w:textAlignment w:val="top"/>
              <w:rPr>
                <w:bCs/>
                <w:sz w:val="20"/>
                <w:szCs w:val="20"/>
                <w:highlight w:val="yellow"/>
                <w:lang w:val="en-US"/>
              </w:rPr>
            </w:pPr>
          </w:p>
        </w:tc>
        <w:tc>
          <w:tcPr>
            <w:tcW w:w="1051" w:type="dxa"/>
          </w:tcPr>
          <w:p w14:paraId="77443740" w14:textId="77777777" w:rsidR="00401A64" w:rsidRPr="000D48C1" w:rsidRDefault="00401A64" w:rsidP="00595B93">
            <w:pPr>
              <w:widowControl w:val="0"/>
              <w:jc w:val="center"/>
              <w:textAlignment w:val="top"/>
              <w:rPr>
                <w:bCs/>
                <w:sz w:val="20"/>
                <w:szCs w:val="20"/>
                <w:lang w:val="en-US"/>
              </w:rPr>
            </w:pPr>
          </w:p>
        </w:tc>
        <w:tc>
          <w:tcPr>
            <w:tcW w:w="1139" w:type="dxa"/>
          </w:tcPr>
          <w:p w14:paraId="0F08820C" w14:textId="77777777" w:rsidR="00401A64" w:rsidRPr="00D730E5" w:rsidRDefault="00401A64" w:rsidP="00595B93">
            <w:pPr>
              <w:widowControl w:val="0"/>
              <w:spacing w:before="60"/>
              <w:jc w:val="center"/>
              <w:textAlignment w:val="top"/>
              <w:rPr>
                <w:bCs/>
                <w:sz w:val="20"/>
                <w:szCs w:val="20"/>
                <w:lang w:val="en-US"/>
              </w:rPr>
            </w:pPr>
            <w:r w:rsidRPr="00D730E5">
              <w:rPr>
                <w:bCs/>
                <w:sz w:val="20"/>
                <w:szCs w:val="20"/>
                <w:lang w:val="en-US"/>
              </w:rPr>
              <w:t>0.0</w:t>
            </w:r>
            <w:r>
              <w:rPr>
                <w:bCs/>
                <w:sz w:val="20"/>
                <w:szCs w:val="20"/>
                <w:lang w:val="en-US"/>
              </w:rPr>
              <w:t>516*</w:t>
            </w:r>
            <w:r w:rsidRPr="00D730E5">
              <w:rPr>
                <w:bCs/>
                <w:sz w:val="20"/>
                <w:szCs w:val="20"/>
                <w:lang w:val="en-US"/>
              </w:rPr>
              <w:t>*</w:t>
            </w:r>
          </w:p>
          <w:p w14:paraId="5471BA22" w14:textId="77777777" w:rsidR="00401A64" w:rsidRPr="00D730E5" w:rsidRDefault="00401A64" w:rsidP="00595B93">
            <w:pPr>
              <w:widowControl w:val="0"/>
              <w:jc w:val="center"/>
              <w:textAlignment w:val="top"/>
              <w:rPr>
                <w:bCs/>
                <w:sz w:val="20"/>
                <w:szCs w:val="20"/>
                <w:lang w:val="en-US"/>
              </w:rPr>
            </w:pPr>
            <w:r w:rsidRPr="00D730E5">
              <w:rPr>
                <w:bCs/>
                <w:sz w:val="20"/>
                <w:szCs w:val="20"/>
                <w:lang w:val="en-US"/>
              </w:rPr>
              <w:t>(0.0</w:t>
            </w:r>
            <w:r>
              <w:rPr>
                <w:bCs/>
                <w:sz w:val="20"/>
                <w:szCs w:val="20"/>
                <w:lang w:val="en-US"/>
              </w:rPr>
              <w:t>254</w:t>
            </w:r>
            <w:r w:rsidRPr="00D730E5">
              <w:rPr>
                <w:bCs/>
                <w:sz w:val="20"/>
                <w:szCs w:val="20"/>
                <w:lang w:val="en-US"/>
              </w:rPr>
              <w:t>)</w:t>
            </w:r>
          </w:p>
          <w:p w14:paraId="29FE97E6" w14:textId="77777777" w:rsidR="00401A64" w:rsidRPr="00D730E5" w:rsidRDefault="00401A64" w:rsidP="00595B93">
            <w:pPr>
              <w:widowControl w:val="0"/>
              <w:jc w:val="center"/>
              <w:textAlignment w:val="top"/>
              <w:rPr>
                <w:bCs/>
                <w:sz w:val="20"/>
                <w:szCs w:val="20"/>
                <w:lang w:val="en-US"/>
              </w:rPr>
            </w:pPr>
            <w:r w:rsidRPr="00D730E5">
              <w:rPr>
                <w:bCs/>
                <w:sz w:val="20"/>
                <w:szCs w:val="20"/>
                <w:lang w:val="en-US"/>
              </w:rPr>
              <w:t>[</w:t>
            </w:r>
            <w:r>
              <w:rPr>
                <w:bCs/>
                <w:sz w:val="20"/>
                <w:szCs w:val="20"/>
                <w:lang w:val="en-US"/>
              </w:rPr>
              <w:t>2.0319</w:t>
            </w:r>
            <w:r w:rsidRPr="00D730E5">
              <w:rPr>
                <w:bCs/>
                <w:sz w:val="20"/>
                <w:szCs w:val="20"/>
                <w:lang w:val="en-US"/>
              </w:rPr>
              <w:t>]</w:t>
            </w:r>
          </w:p>
        </w:tc>
        <w:tc>
          <w:tcPr>
            <w:tcW w:w="1138" w:type="dxa"/>
          </w:tcPr>
          <w:p w14:paraId="27161B76" w14:textId="77777777" w:rsidR="00401A64" w:rsidRPr="00BA784B" w:rsidRDefault="00401A64" w:rsidP="00595B93">
            <w:pPr>
              <w:widowControl w:val="0"/>
              <w:jc w:val="center"/>
              <w:textAlignment w:val="top"/>
              <w:rPr>
                <w:bCs/>
                <w:sz w:val="20"/>
                <w:szCs w:val="20"/>
                <w:lang w:val="en-US"/>
              </w:rPr>
            </w:pPr>
          </w:p>
        </w:tc>
        <w:tc>
          <w:tcPr>
            <w:tcW w:w="1052" w:type="dxa"/>
          </w:tcPr>
          <w:p w14:paraId="16284D98" w14:textId="77777777" w:rsidR="00401A64" w:rsidRPr="00BA784B" w:rsidRDefault="00401A64" w:rsidP="00595B93">
            <w:pPr>
              <w:widowControl w:val="0"/>
              <w:jc w:val="center"/>
              <w:textAlignment w:val="top"/>
              <w:rPr>
                <w:bCs/>
                <w:sz w:val="20"/>
                <w:szCs w:val="20"/>
                <w:lang w:val="en-US"/>
              </w:rPr>
            </w:pPr>
          </w:p>
        </w:tc>
      </w:tr>
      <w:tr w:rsidR="00401A64" w:rsidRPr="0047024D" w14:paraId="3B19D742" w14:textId="77777777" w:rsidTr="00595B93">
        <w:tc>
          <w:tcPr>
            <w:tcW w:w="1063" w:type="dxa"/>
          </w:tcPr>
          <w:p w14:paraId="562B33BF"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SOC</w:t>
            </w:r>
            <w:r w:rsidRPr="00491C04">
              <w:rPr>
                <w:bCs/>
                <w:i/>
                <w:sz w:val="20"/>
                <w:szCs w:val="20"/>
                <w:vertAlign w:val="subscript"/>
                <w:lang w:val="en-US"/>
              </w:rPr>
              <w:t>i,t-1</w:t>
            </w:r>
          </w:p>
        </w:tc>
        <w:tc>
          <w:tcPr>
            <w:tcW w:w="1138" w:type="dxa"/>
          </w:tcPr>
          <w:p w14:paraId="526D0EC3" w14:textId="77777777" w:rsidR="00401A64" w:rsidRPr="0047024D" w:rsidRDefault="00401A64" w:rsidP="00595B93">
            <w:pPr>
              <w:widowControl w:val="0"/>
              <w:jc w:val="center"/>
              <w:textAlignment w:val="top"/>
              <w:rPr>
                <w:bCs/>
                <w:sz w:val="20"/>
                <w:szCs w:val="20"/>
                <w:highlight w:val="yellow"/>
                <w:lang w:val="en-US"/>
              </w:rPr>
            </w:pPr>
          </w:p>
        </w:tc>
        <w:tc>
          <w:tcPr>
            <w:tcW w:w="1087" w:type="dxa"/>
          </w:tcPr>
          <w:p w14:paraId="3CDC29A7" w14:textId="77777777" w:rsidR="00401A64" w:rsidRPr="0047024D" w:rsidRDefault="00401A64" w:rsidP="00595B93">
            <w:pPr>
              <w:widowControl w:val="0"/>
              <w:jc w:val="center"/>
              <w:textAlignment w:val="top"/>
              <w:rPr>
                <w:bCs/>
                <w:sz w:val="20"/>
                <w:szCs w:val="20"/>
                <w:highlight w:val="yellow"/>
                <w:lang w:val="en-US"/>
              </w:rPr>
            </w:pPr>
          </w:p>
        </w:tc>
        <w:tc>
          <w:tcPr>
            <w:tcW w:w="1051" w:type="dxa"/>
          </w:tcPr>
          <w:p w14:paraId="6536CB33" w14:textId="77777777" w:rsidR="00401A64" w:rsidRPr="0047024D" w:rsidRDefault="00401A64" w:rsidP="00595B93">
            <w:pPr>
              <w:widowControl w:val="0"/>
              <w:jc w:val="center"/>
              <w:textAlignment w:val="top"/>
              <w:rPr>
                <w:bCs/>
                <w:sz w:val="20"/>
                <w:szCs w:val="20"/>
                <w:highlight w:val="yellow"/>
                <w:lang w:val="en-US"/>
              </w:rPr>
            </w:pPr>
          </w:p>
        </w:tc>
        <w:tc>
          <w:tcPr>
            <w:tcW w:w="1051" w:type="dxa"/>
          </w:tcPr>
          <w:p w14:paraId="021E5413" w14:textId="77777777" w:rsidR="00401A64" w:rsidRPr="0047024D" w:rsidRDefault="00401A64" w:rsidP="00595B93">
            <w:pPr>
              <w:widowControl w:val="0"/>
              <w:jc w:val="center"/>
              <w:textAlignment w:val="top"/>
              <w:rPr>
                <w:bCs/>
                <w:sz w:val="20"/>
                <w:szCs w:val="20"/>
                <w:highlight w:val="yellow"/>
                <w:lang w:val="en-US"/>
              </w:rPr>
            </w:pPr>
          </w:p>
        </w:tc>
        <w:tc>
          <w:tcPr>
            <w:tcW w:w="1139" w:type="dxa"/>
          </w:tcPr>
          <w:p w14:paraId="608C09A2" w14:textId="77777777" w:rsidR="00401A64" w:rsidRPr="00D730E5" w:rsidRDefault="00401A64" w:rsidP="00595B93">
            <w:pPr>
              <w:widowControl w:val="0"/>
              <w:jc w:val="center"/>
              <w:textAlignment w:val="top"/>
              <w:rPr>
                <w:bCs/>
                <w:sz w:val="20"/>
                <w:szCs w:val="20"/>
                <w:lang w:val="en-US"/>
              </w:rPr>
            </w:pPr>
          </w:p>
        </w:tc>
        <w:tc>
          <w:tcPr>
            <w:tcW w:w="1138" w:type="dxa"/>
          </w:tcPr>
          <w:p w14:paraId="775A768C" w14:textId="77777777" w:rsidR="00401A64" w:rsidRPr="00BA784B" w:rsidRDefault="00401A64" w:rsidP="00595B93">
            <w:pPr>
              <w:widowControl w:val="0"/>
              <w:spacing w:before="60"/>
              <w:jc w:val="center"/>
              <w:textAlignment w:val="top"/>
              <w:rPr>
                <w:bCs/>
                <w:sz w:val="20"/>
                <w:szCs w:val="20"/>
                <w:lang w:val="en-US"/>
              </w:rPr>
            </w:pPr>
            <w:r>
              <w:rPr>
                <w:bCs/>
                <w:sz w:val="20"/>
                <w:szCs w:val="20"/>
                <w:lang w:val="en-US"/>
              </w:rPr>
              <w:t>5.8652</w:t>
            </w:r>
            <w:r w:rsidRPr="00BA784B">
              <w:rPr>
                <w:bCs/>
                <w:sz w:val="20"/>
                <w:szCs w:val="20"/>
                <w:lang w:val="en-US"/>
              </w:rPr>
              <w:t>*</w:t>
            </w:r>
          </w:p>
          <w:p w14:paraId="6482E2E0"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t>(</w:t>
            </w:r>
            <w:r>
              <w:rPr>
                <w:bCs/>
                <w:sz w:val="20"/>
                <w:szCs w:val="20"/>
                <w:lang w:val="en-US"/>
              </w:rPr>
              <w:t>3.2236</w:t>
            </w:r>
            <w:r w:rsidRPr="00BA784B">
              <w:rPr>
                <w:bCs/>
                <w:sz w:val="20"/>
                <w:szCs w:val="20"/>
                <w:lang w:val="en-US"/>
              </w:rPr>
              <w:t>)</w:t>
            </w:r>
          </w:p>
          <w:p w14:paraId="0C469BB2"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t>[</w:t>
            </w:r>
            <w:r>
              <w:rPr>
                <w:bCs/>
                <w:sz w:val="20"/>
                <w:szCs w:val="20"/>
                <w:lang w:val="en-US"/>
              </w:rPr>
              <w:t>1.8194</w:t>
            </w:r>
            <w:r w:rsidRPr="00BA784B">
              <w:rPr>
                <w:bCs/>
                <w:sz w:val="20"/>
                <w:szCs w:val="20"/>
                <w:lang w:val="en-US"/>
              </w:rPr>
              <w:t>]</w:t>
            </w:r>
          </w:p>
        </w:tc>
        <w:tc>
          <w:tcPr>
            <w:tcW w:w="1052" w:type="dxa"/>
          </w:tcPr>
          <w:p w14:paraId="0BCFB9DC" w14:textId="77777777" w:rsidR="00401A64" w:rsidRPr="00BA784B" w:rsidRDefault="00401A64" w:rsidP="00595B93">
            <w:pPr>
              <w:widowControl w:val="0"/>
              <w:jc w:val="center"/>
              <w:textAlignment w:val="top"/>
              <w:rPr>
                <w:bCs/>
                <w:sz w:val="20"/>
                <w:szCs w:val="20"/>
                <w:lang w:val="en-US"/>
              </w:rPr>
            </w:pPr>
          </w:p>
        </w:tc>
      </w:tr>
      <w:tr w:rsidR="00401A64" w:rsidRPr="0047024D" w14:paraId="245BDE8A" w14:textId="77777777" w:rsidTr="00595B93">
        <w:tc>
          <w:tcPr>
            <w:tcW w:w="1063" w:type="dxa"/>
            <w:tcBorders>
              <w:bottom w:val="single" w:sz="4" w:space="0" w:color="auto"/>
            </w:tcBorders>
          </w:tcPr>
          <w:p w14:paraId="6963CA81"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CORR</w:t>
            </w:r>
            <w:r w:rsidRPr="00491C04">
              <w:rPr>
                <w:bCs/>
                <w:i/>
                <w:sz w:val="20"/>
                <w:szCs w:val="20"/>
                <w:vertAlign w:val="subscript"/>
                <w:lang w:val="en-US"/>
              </w:rPr>
              <w:t>i,t-1</w:t>
            </w:r>
          </w:p>
        </w:tc>
        <w:tc>
          <w:tcPr>
            <w:tcW w:w="1138" w:type="dxa"/>
            <w:tcBorders>
              <w:bottom w:val="single" w:sz="4" w:space="0" w:color="auto"/>
            </w:tcBorders>
          </w:tcPr>
          <w:p w14:paraId="345C944D" w14:textId="77777777" w:rsidR="00401A64" w:rsidRPr="0047024D" w:rsidRDefault="00401A64" w:rsidP="00595B93">
            <w:pPr>
              <w:widowControl w:val="0"/>
              <w:jc w:val="center"/>
              <w:textAlignment w:val="top"/>
              <w:rPr>
                <w:bCs/>
                <w:sz w:val="20"/>
                <w:szCs w:val="20"/>
                <w:highlight w:val="yellow"/>
                <w:lang w:val="en-US"/>
              </w:rPr>
            </w:pPr>
          </w:p>
        </w:tc>
        <w:tc>
          <w:tcPr>
            <w:tcW w:w="1087" w:type="dxa"/>
            <w:tcBorders>
              <w:bottom w:val="single" w:sz="4" w:space="0" w:color="auto"/>
            </w:tcBorders>
          </w:tcPr>
          <w:p w14:paraId="5EB214DA" w14:textId="77777777" w:rsidR="00401A64" w:rsidRPr="0047024D" w:rsidRDefault="00401A64" w:rsidP="00595B93">
            <w:pPr>
              <w:widowControl w:val="0"/>
              <w:jc w:val="center"/>
              <w:textAlignment w:val="top"/>
              <w:rPr>
                <w:bCs/>
                <w:sz w:val="20"/>
                <w:szCs w:val="20"/>
                <w:highlight w:val="yellow"/>
                <w:lang w:val="en-US"/>
              </w:rPr>
            </w:pPr>
          </w:p>
        </w:tc>
        <w:tc>
          <w:tcPr>
            <w:tcW w:w="1051" w:type="dxa"/>
            <w:tcBorders>
              <w:bottom w:val="single" w:sz="4" w:space="0" w:color="auto"/>
            </w:tcBorders>
          </w:tcPr>
          <w:p w14:paraId="70D6E8F3" w14:textId="77777777" w:rsidR="00401A64" w:rsidRPr="0047024D" w:rsidRDefault="00401A64" w:rsidP="00595B93">
            <w:pPr>
              <w:widowControl w:val="0"/>
              <w:jc w:val="center"/>
              <w:textAlignment w:val="top"/>
              <w:rPr>
                <w:bCs/>
                <w:sz w:val="20"/>
                <w:szCs w:val="20"/>
                <w:highlight w:val="yellow"/>
                <w:lang w:val="en-US"/>
              </w:rPr>
            </w:pPr>
          </w:p>
        </w:tc>
        <w:tc>
          <w:tcPr>
            <w:tcW w:w="1051" w:type="dxa"/>
            <w:tcBorders>
              <w:bottom w:val="single" w:sz="4" w:space="0" w:color="auto"/>
            </w:tcBorders>
          </w:tcPr>
          <w:p w14:paraId="7FB3B8D8" w14:textId="77777777" w:rsidR="00401A64" w:rsidRPr="0047024D" w:rsidRDefault="00401A64" w:rsidP="00595B93">
            <w:pPr>
              <w:widowControl w:val="0"/>
              <w:jc w:val="center"/>
              <w:textAlignment w:val="top"/>
              <w:rPr>
                <w:bCs/>
                <w:sz w:val="20"/>
                <w:szCs w:val="20"/>
                <w:highlight w:val="yellow"/>
                <w:lang w:val="en-US"/>
              </w:rPr>
            </w:pPr>
          </w:p>
        </w:tc>
        <w:tc>
          <w:tcPr>
            <w:tcW w:w="1139" w:type="dxa"/>
            <w:tcBorders>
              <w:bottom w:val="single" w:sz="4" w:space="0" w:color="auto"/>
            </w:tcBorders>
          </w:tcPr>
          <w:p w14:paraId="2CC73F5D" w14:textId="77777777" w:rsidR="00401A64" w:rsidRPr="0047024D" w:rsidRDefault="00401A64" w:rsidP="00595B93">
            <w:pPr>
              <w:widowControl w:val="0"/>
              <w:jc w:val="center"/>
              <w:textAlignment w:val="top"/>
              <w:rPr>
                <w:bCs/>
                <w:sz w:val="20"/>
                <w:szCs w:val="20"/>
                <w:highlight w:val="yellow"/>
                <w:lang w:val="en-US"/>
              </w:rPr>
            </w:pPr>
          </w:p>
        </w:tc>
        <w:tc>
          <w:tcPr>
            <w:tcW w:w="1138" w:type="dxa"/>
            <w:tcBorders>
              <w:bottom w:val="single" w:sz="4" w:space="0" w:color="auto"/>
            </w:tcBorders>
          </w:tcPr>
          <w:p w14:paraId="72D6A73A" w14:textId="77777777" w:rsidR="00401A64" w:rsidRPr="0047024D" w:rsidRDefault="00401A64" w:rsidP="00595B93">
            <w:pPr>
              <w:widowControl w:val="0"/>
              <w:jc w:val="center"/>
              <w:textAlignment w:val="top"/>
              <w:rPr>
                <w:bCs/>
                <w:sz w:val="20"/>
                <w:szCs w:val="20"/>
                <w:highlight w:val="yellow"/>
                <w:lang w:val="en-US"/>
              </w:rPr>
            </w:pPr>
          </w:p>
        </w:tc>
        <w:tc>
          <w:tcPr>
            <w:tcW w:w="1052" w:type="dxa"/>
            <w:tcBorders>
              <w:bottom w:val="single" w:sz="4" w:space="0" w:color="auto"/>
            </w:tcBorders>
          </w:tcPr>
          <w:p w14:paraId="2FDA511C" w14:textId="77777777" w:rsidR="00401A64" w:rsidRPr="00BA784B" w:rsidRDefault="00401A64" w:rsidP="00595B93">
            <w:pPr>
              <w:widowControl w:val="0"/>
              <w:spacing w:before="60"/>
              <w:jc w:val="center"/>
              <w:textAlignment w:val="top"/>
              <w:rPr>
                <w:bCs/>
                <w:sz w:val="20"/>
                <w:szCs w:val="20"/>
                <w:lang w:val="en-US"/>
              </w:rPr>
            </w:pPr>
            <w:r w:rsidRPr="00BA784B">
              <w:rPr>
                <w:bCs/>
                <w:sz w:val="20"/>
                <w:szCs w:val="20"/>
                <w:lang w:val="en-US"/>
              </w:rPr>
              <w:t>0.0027*</w:t>
            </w:r>
          </w:p>
          <w:p w14:paraId="65666E85"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t>(0.0015)</w:t>
            </w:r>
          </w:p>
          <w:p w14:paraId="25AACBDF" w14:textId="77777777" w:rsidR="00401A64" w:rsidRPr="00BA784B" w:rsidRDefault="00401A64" w:rsidP="00595B93">
            <w:pPr>
              <w:widowControl w:val="0"/>
              <w:jc w:val="center"/>
              <w:textAlignment w:val="top"/>
              <w:rPr>
                <w:bCs/>
                <w:sz w:val="20"/>
                <w:szCs w:val="20"/>
                <w:lang w:val="en-US"/>
              </w:rPr>
            </w:pPr>
            <w:r w:rsidRPr="00BA784B">
              <w:rPr>
                <w:bCs/>
                <w:sz w:val="20"/>
                <w:szCs w:val="20"/>
                <w:lang w:val="en-US"/>
              </w:rPr>
              <w:t>[1.7249]</w:t>
            </w:r>
          </w:p>
        </w:tc>
      </w:tr>
      <w:tr w:rsidR="00401A64" w:rsidRPr="0047024D" w14:paraId="304302F2" w14:textId="77777777" w:rsidTr="00595B93">
        <w:tc>
          <w:tcPr>
            <w:tcW w:w="1063" w:type="dxa"/>
            <w:tcBorders>
              <w:top w:val="single" w:sz="4" w:space="0" w:color="auto"/>
            </w:tcBorders>
          </w:tcPr>
          <w:p w14:paraId="73751445"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J-stat.</w:t>
            </w:r>
          </w:p>
        </w:tc>
        <w:tc>
          <w:tcPr>
            <w:tcW w:w="1138" w:type="dxa"/>
            <w:tcBorders>
              <w:top w:val="single" w:sz="4" w:space="0" w:color="auto"/>
            </w:tcBorders>
          </w:tcPr>
          <w:p w14:paraId="6D97877C" w14:textId="77777777" w:rsidR="00401A64" w:rsidRPr="007D1278" w:rsidRDefault="00401A64" w:rsidP="00595B93">
            <w:pPr>
              <w:widowControl w:val="0"/>
              <w:spacing w:before="60"/>
              <w:jc w:val="center"/>
              <w:textAlignment w:val="top"/>
              <w:rPr>
                <w:bCs/>
                <w:sz w:val="20"/>
                <w:szCs w:val="20"/>
                <w:lang w:val="en-US"/>
              </w:rPr>
            </w:pPr>
            <w:r>
              <w:rPr>
                <w:bCs/>
                <w:sz w:val="20"/>
                <w:szCs w:val="20"/>
                <w:lang w:val="en-US"/>
              </w:rPr>
              <w:t>30.3120</w:t>
            </w:r>
          </w:p>
          <w:p w14:paraId="693599F4" w14:textId="77777777" w:rsidR="00401A64" w:rsidRPr="007D1278" w:rsidRDefault="00401A64" w:rsidP="00595B93">
            <w:pPr>
              <w:widowControl w:val="0"/>
              <w:spacing w:before="60"/>
              <w:jc w:val="center"/>
              <w:textAlignment w:val="top"/>
              <w:rPr>
                <w:bCs/>
                <w:sz w:val="20"/>
                <w:szCs w:val="20"/>
                <w:lang w:val="en-US"/>
              </w:rPr>
            </w:pPr>
            <w:r w:rsidRPr="007D1278">
              <w:rPr>
                <w:bCs/>
                <w:sz w:val="20"/>
                <w:szCs w:val="20"/>
                <w:lang w:val="en-US"/>
              </w:rPr>
              <w:t>p&gt;0.</w:t>
            </w:r>
            <w:r>
              <w:rPr>
                <w:bCs/>
                <w:sz w:val="20"/>
                <w:szCs w:val="20"/>
                <w:lang w:val="en-US"/>
              </w:rPr>
              <w:t>14</w:t>
            </w:r>
          </w:p>
        </w:tc>
        <w:tc>
          <w:tcPr>
            <w:tcW w:w="1087" w:type="dxa"/>
            <w:tcBorders>
              <w:top w:val="single" w:sz="4" w:space="0" w:color="auto"/>
            </w:tcBorders>
          </w:tcPr>
          <w:p w14:paraId="486013DC" w14:textId="77777777" w:rsidR="00401A64" w:rsidRPr="007D1278" w:rsidRDefault="00401A64" w:rsidP="00595B93">
            <w:pPr>
              <w:widowControl w:val="0"/>
              <w:spacing w:before="60"/>
              <w:jc w:val="center"/>
              <w:textAlignment w:val="top"/>
              <w:rPr>
                <w:bCs/>
                <w:sz w:val="20"/>
                <w:szCs w:val="20"/>
                <w:lang w:val="en-US"/>
              </w:rPr>
            </w:pPr>
            <w:r>
              <w:rPr>
                <w:bCs/>
                <w:sz w:val="20"/>
                <w:szCs w:val="20"/>
                <w:lang w:val="en-US"/>
              </w:rPr>
              <w:t>23.3662</w:t>
            </w:r>
          </w:p>
          <w:p w14:paraId="28E6C02E" w14:textId="77777777" w:rsidR="00401A64" w:rsidRPr="007D1278" w:rsidRDefault="00401A64" w:rsidP="00595B93">
            <w:pPr>
              <w:widowControl w:val="0"/>
              <w:spacing w:before="60"/>
              <w:jc w:val="center"/>
              <w:textAlignment w:val="top"/>
              <w:rPr>
                <w:bCs/>
                <w:sz w:val="20"/>
                <w:szCs w:val="20"/>
                <w:lang w:val="en-US"/>
              </w:rPr>
            </w:pPr>
            <w:r w:rsidRPr="007D1278">
              <w:rPr>
                <w:bCs/>
                <w:sz w:val="20"/>
                <w:szCs w:val="20"/>
                <w:lang w:val="en-US"/>
              </w:rPr>
              <w:t>p&gt;0.</w:t>
            </w:r>
            <w:r>
              <w:rPr>
                <w:bCs/>
                <w:sz w:val="20"/>
                <w:szCs w:val="20"/>
                <w:lang w:val="en-US"/>
              </w:rPr>
              <w:t>35</w:t>
            </w:r>
          </w:p>
        </w:tc>
        <w:tc>
          <w:tcPr>
            <w:tcW w:w="1051" w:type="dxa"/>
            <w:tcBorders>
              <w:top w:val="single" w:sz="4" w:space="0" w:color="auto"/>
            </w:tcBorders>
          </w:tcPr>
          <w:p w14:paraId="376775B6" w14:textId="77777777" w:rsidR="00401A64" w:rsidRPr="007D1278" w:rsidRDefault="00401A64" w:rsidP="00595B93">
            <w:pPr>
              <w:widowControl w:val="0"/>
              <w:spacing w:before="60"/>
              <w:jc w:val="center"/>
              <w:textAlignment w:val="top"/>
              <w:rPr>
                <w:bCs/>
                <w:sz w:val="20"/>
                <w:szCs w:val="20"/>
                <w:lang w:val="en-US"/>
              </w:rPr>
            </w:pPr>
            <w:r>
              <w:rPr>
                <w:bCs/>
                <w:sz w:val="20"/>
                <w:szCs w:val="20"/>
                <w:lang w:val="en-US"/>
              </w:rPr>
              <w:t>14.6388</w:t>
            </w:r>
          </w:p>
          <w:p w14:paraId="171B8828" w14:textId="77777777" w:rsidR="00401A64" w:rsidRPr="007D1278" w:rsidRDefault="00401A64" w:rsidP="00595B93">
            <w:pPr>
              <w:widowControl w:val="0"/>
              <w:spacing w:before="60"/>
              <w:jc w:val="center"/>
              <w:textAlignment w:val="top"/>
              <w:rPr>
                <w:bCs/>
                <w:sz w:val="20"/>
                <w:szCs w:val="20"/>
                <w:lang w:val="en-US"/>
              </w:rPr>
            </w:pPr>
            <w:r w:rsidRPr="007D1278">
              <w:rPr>
                <w:bCs/>
                <w:sz w:val="20"/>
                <w:szCs w:val="20"/>
                <w:lang w:val="en-US"/>
              </w:rPr>
              <w:t>p&gt;0.</w:t>
            </w:r>
            <w:r>
              <w:rPr>
                <w:bCs/>
                <w:sz w:val="20"/>
                <w:szCs w:val="20"/>
                <w:lang w:val="en-US"/>
              </w:rPr>
              <w:t>4</w:t>
            </w:r>
            <w:r w:rsidRPr="007D1278">
              <w:rPr>
                <w:bCs/>
                <w:sz w:val="20"/>
                <w:szCs w:val="20"/>
                <w:lang w:val="en-US"/>
              </w:rPr>
              <w:t>5</w:t>
            </w:r>
          </w:p>
        </w:tc>
        <w:tc>
          <w:tcPr>
            <w:tcW w:w="1051" w:type="dxa"/>
            <w:tcBorders>
              <w:top w:val="single" w:sz="4" w:space="0" w:color="auto"/>
            </w:tcBorders>
          </w:tcPr>
          <w:p w14:paraId="1643337C" w14:textId="77777777" w:rsidR="00401A64" w:rsidRPr="007D1278" w:rsidRDefault="00401A64" w:rsidP="00595B93">
            <w:pPr>
              <w:widowControl w:val="0"/>
              <w:spacing w:before="60"/>
              <w:jc w:val="center"/>
              <w:textAlignment w:val="top"/>
              <w:rPr>
                <w:bCs/>
                <w:sz w:val="20"/>
                <w:szCs w:val="20"/>
                <w:lang w:val="en-US"/>
              </w:rPr>
            </w:pPr>
            <w:r>
              <w:rPr>
                <w:bCs/>
                <w:sz w:val="20"/>
                <w:szCs w:val="20"/>
                <w:lang w:val="en-US"/>
              </w:rPr>
              <w:t>25.4334</w:t>
            </w:r>
          </w:p>
          <w:p w14:paraId="2B1AE46E" w14:textId="77777777" w:rsidR="00401A64" w:rsidRPr="007D1278" w:rsidRDefault="00401A64" w:rsidP="00595B93">
            <w:pPr>
              <w:widowControl w:val="0"/>
              <w:spacing w:before="60"/>
              <w:jc w:val="center"/>
              <w:textAlignment w:val="top"/>
              <w:rPr>
                <w:bCs/>
                <w:sz w:val="20"/>
                <w:szCs w:val="20"/>
                <w:lang w:val="en-US"/>
              </w:rPr>
            </w:pPr>
            <w:r w:rsidRPr="007D1278">
              <w:rPr>
                <w:bCs/>
                <w:sz w:val="20"/>
                <w:szCs w:val="20"/>
                <w:lang w:val="en-US"/>
              </w:rPr>
              <w:t>p&gt;0.</w:t>
            </w:r>
            <w:r>
              <w:rPr>
                <w:bCs/>
                <w:sz w:val="20"/>
                <w:szCs w:val="20"/>
                <w:lang w:val="en-US"/>
              </w:rPr>
              <w:t>14</w:t>
            </w:r>
          </w:p>
        </w:tc>
        <w:tc>
          <w:tcPr>
            <w:tcW w:w="1139" w:type="dxa"/>
            <w:tcBorders>
              <w:top w:val="single" w:sz="4" w:space="0" w:color="auto"/>
            </w:tcBorders>
          </w:tcPr>
          <w:p w14:paraId="41BA1545" w14:textId="77777777" w:rsidR="00401A64" w:rsidRPr="00D730E5" w:rsidRDefault="00401A64" w:rsidP="00595B93">
            <w:pPr>
              <w:widowControl w:val="0"/>
              <w:spacing w:before="60"/>
              <w:jc w:val="center"/>
              <w:textAlignment w:val="top"/>
              <w:rPr>
                <w:bCs/>
                <w:sz w:val="20"/>
                <w:szCs w:val="20"/>
                <w:lang w:val="en-US"/>
              </w:rPr>
            </w:pPr>
            <w:r>
              <w:rPr>
                <w:bCs/>
                <w:sz w:val="20"/>
                <w:szCs w:val="20"/>
                <w:lang w:val="en-US"/>
              </w:rPr>
              <w:t>12.1678</w:t>
            </w:r>
          </w:p>
          <w:p w14:paraId="1ACED295" w14:textId="77777777" w:rsidR="00401A64" w:rsidRPr="00D730E5" w:rsidRDefault="00401A64" w:rsidP="00595B93">
            <w:pPr>
              <w:widowControl w:val="0"/>
              <w:spacing w:before="60"/>
              <w:jc w:val="center"/>
              <w:textAlignment w:val="top"/>
              <w:rPr>
                <w:bCs/>
                <w:sz w:val="20"/>
                <w:szCs w:val="20"/>
                <w:lang w:val="en-US"/>
              </w:rPr>
            </w:pPr>
            <w:r w:rsidRPr="00D730E5">
              <w:rPr>
                <w:bCs/>
                <w:sz w:val="20"/>
                <w:szCs w:val="20"/>
                <w:lang w:val="en-US"/>
              </w:rPr>
              <w:t>p&gt;0.</w:t>
            </w:r>
            <w:r>
              <w:rPr>
                <w:bCs/>
                <w:sz w:val="20"/>
                <w:szCs w:val="20"/>
                <w:lang w:val="en-US"/>
              </w:rPr>
              <w:t>8</w:t>
            </w:r>
            <w:r w:rsidRPr="00D730E5">
              <w:rPr>
                <w:bCs/>
                <w:sz w:val="20"/>
                <w:szCs w:val="20"/>
                <w:lang w:val="en-US"/>
              </w:rPr>
              <w:t>0</w:t>
            </w:r>
          </w:p>
        </w:tc>
        <w:tc>
          <w:tcPr>
            <w:tcW w:w="1138" w:type="dxa"/>
            <w:tcBorders>
              <w:top w:val="single" w:sz="4" w:space="0" w:color="auto"/>
            </w:tcBorders>
          </w:tcPr>
          <w:p w14:paraId="0B7161CB" w14:textId="77777777" w:rsidR="00401A64" w:rsidRPr="00BA784B" w:rsidRDefault="00401A64" w:rsidP="00595B93">
            <w:pPr>
              <w:widowControl w:val="0"/>
              <w:spacing w:before="60"/>
              <w:jc w:val="center"/>
              <w:textAlignment w:val="top"/>
              <w:rPr>
                <w:bCs/>
                <w:sz w:val="20"/>
                <w:szCs w:val="20"/>
                <w:lang w:val="en-US"/>
              </w:rPr>
            </w:pPr>
            <w:r>
              <w:rPr>
                <w:bCs/>
                <w:sz w:val="20"/>
                <w:szCs w:val="20"/>
                <w:lang w:val="en-US"/>
              </w:rPr>
              <w:t>14.0110</w:t>
            </w:r>
          </w:p>
          <w:p w14:paraId="17C15D0C" w14:textId="77777777" w:rsidR="00401A64" w:rsidRPr="00BA784B" w:rsidRDefault="00401A64" w:rsidP="00595B93">
            <w:pPr>
              <w:widowControl w:val="0"/>
              <w:spacing w:before="60"/>
              <w:jc w:val="center"/>
              <w:textAlignment w:val="top"/>
              <w:rPr>
                <w:bCs/>
                <w:sz w:val="20"/>
                <w:szCs w:val="20"/>
                <w:lang w:val="en-US"/>
              </w:rPr>
            </w:pPr>
            <w:r w:rsidRPr="00BA784B">
              <w:rPr>
                <w:bCs/>
                <w:sz w:val="20"/>
                <w:szCs w:val="20"/>
                <w:lang w:val="en-US"/>
              </w:rPr>
              <w:t>p&gt;0.</w:t>
            </w:r>
            <w:r>
              <w:rPr>
                <w:bCs/>
                <w:sz w:val="20"/>
                <w:szCs w:val="20"/>
                <w:lang w:val="en-US"/>
              </w:rPr>
              <w:t>80</w:t>
            </w:r>
          </w:p>
        </w:tc>
        <w:tc>
          <w:tcPr>
            <w:tcW w:w="1052" w:type="dxa"/>
            <w:tcBorders>
              <w:top w:val="single" w:sz="4" w:space="0" w:color="auto"/>
            </w:tcBorders>
          </w:tcPr>
          <w:p w14:paraId="701B66F4" w14:textId="77777777" w:rsidR="00401A64" w:rsidRPr="00BA784B" w:rsidRDefault="00401A64" w:rsidP="00595B93">
            <w:pPr>
              <w:widowControl w:val="0"/>
              <w:spacing w:before="60"/>
              <w:jc w:val="center"/>
              <w:textAlignment w:val="top"/>
              <w:rPr>
                <w:bCs/>
                <w:sz w:val="20"/>
                <w:szCs w:val="20"/>
                <w:lang w:val="en-US"/>
              </w:rPr>
            </w:pPr>
            <w:r w:rsidRPr="00BA784B">
              <w:rPr>
                <w:bCs/>
                <w:sz w:val="20"/>
                <w:szCs w:val="20"/>
                <w:lang w:val="en-US"/>
              </w:rPr>
              <w:t>9.0667</w:t>
            </w:r>
          </w:p>
          <w:p w14:paraId="6649976C" w14:textId="77777777" w:rsidR="00401A64" w:rsidRPr="00BA784B" w:rsidRDefault="00401A64" w:rsidP="00595B93">
            <w:pPr>
              <w:widowControl w:val="0"/>
              <w:spacing w:before="60"/>
              <w:jc w:val="center"/>
              <w:textAlignment w:val="top"/>
              <w:rPr>
                <w:bCs/>
                <w:sz w:val="20"/>
                <w:szCs w:val="20"/>
                <w:lang w:val="en-US"/>
              </w:rPr>
            </w:pPr>
            <w:r w:rsidRPr="00BA784B">
              <w:rPr>
                <w:bCs/>
                <w:sz w:val="20"/>
                <w:szCs w:val="20"/>
                <w:lang w:val="en-US"/>
              </w:rPr>
              <w:t>p&gt;0.75</w:t>
            </w:r>
          </w:p>
        </w:tc>
      </w:tr>
      <w:tr w:rsidR="00401A64" w:rsidRPr="0047024D" w14:paraId="489F6DF8" w14:textId="77777777" w:rsidTr="00595B93">
        <w:trPr>
          <w:trHeight w:val="106"/>
        </w:trPr>
        <w:tc>
          <w:tcPr>
            <w:tcW w:w="1063" w:type="dxa"/>
          </w:tcPr>
          <w:p w14:paraId="15D4C94B"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m2</w:t>
            </w:r>
          </w:p>
        </w:tc>
        <w:tc>
          <w:tcPr>
            <w:tcW w:w="1138" w:type="dxa"/>
          </w:tcPr>
          <w:p w14:paraId="1F3B11BF" w14:textId="77777777" w:rsidR="00401A64" w:rsidRPr="007D1278" w:rsidRDefault="00401A64" w:rsidP="00595B93">
            <w:pPr>
              <w:widowControl w:val="0"/>
              <w:spacing w:before="60"/>
              <w:jc w:val="center"/>
              <w:textAlignment w:val="top"/>
              <w:rPr>
                <w:bCs/>
                <w:sz w:val="20"/>
                <w:szCs w:val="20"/>
                <w:lang w:val="en-US"/>
              </w:rPr>
            </w:pPr>
            <w:r w:rsidRPr="007D1278">
              <w:rPr>
                <w:bCs/>
                <w:sz w:val="20"/>
                <w:szCs w:val="20"/>
                <w:lang w:val="en-US"/>
              </w:rPr>
              <w:t>-0.</w:t>
            </w:r>
            <w:r>
              <w:rPr>
                <w:bCs/>
                <w:sz w:val="20"/>
                <w:szCs w:val="20"/>
                <w:lang w:val="en-US"/>
              </w:rPr>
              <w:t>1610</w:t>
            </w:r>
          </w:p>
        </w:tc>
        <w:tc>
          <w:tcPr>
            <w:tcW w:w="1087" w:type="dxa"/>
          </w:tcPr>
          <w:p w14:paraId="38249B83" w14:textId="77777777" w:rsidR="00401A64" w:rsidRPr="007D1278" w:rsidRDefault="00401A64" w:rsidP="00595B93">
            <w:pPr>
              <w:widowControl w:val="0"/>
              <w:spacing w:before="60"/>
              <w:jc w:val="center"/>
              <w:textAlignment w:val="top"/>
              <w:rPr>
                <w:bCs/>
                <w:sz w:val="20"/>
                <w:szCs w:val="20"/>
                <w:lang w:val="en-US"/>
              </w:rPr>
            </w:pPr>
            <w:r w:rsidRPr="007D1278">
              <w:rPr>
                <w:bCs/>
                <w:sz w:val="20"/>
                <w:szCs w:val="20"/>
                <w:lang w:val="en-US"/>
              </w:rPr>
              <w:t>-0.1</w:t>
            </w:r>
            <w:r>
              <w:rPr>
                <w:bCs/>
                <w:sz w:val="20"/>
                <w:szCs w:val="20"/>
                <w:lang w:val="en-US"/>
              </w:rPr>
              <w:t>606</w:t>
            </w:r>
          </w:p>
        </w:tc>
        <w:tc>
          <w:tcPr>
            <w:tcW w:w="1051" w:type="dxa"/>
          </w:tcPr>
          <w:p w14:paraId="6F6EC33C" w14:textId="77777777" w:rsidR="00401A64" w:rsidRPr="007D1278" w:rsidRDefault="00401A64" w:rsidP="00595B93">
            <w:pPr>
              <w:widowControl w:val="0"/>
              <w:spacing w:before="60"/>
              <w:jc w:val="center"/>
              <w:textAlignment w:val="top"/>
              <w:rPr>
                <w:bCs/>
                <w:sz w:val="20"/>
                <w:szCs w:val="20"/>
                <w:lang w:val="en-US"/>
              </w:rPr>
            </w:pPr>
            <w:r w:rsidRPr="007D1278">
              <w:rPr>
                <w:bCs/>
                <w:sz w:val="20"/>
                <w:szCs w:val="20"/>
                <w:lang w:val="en-US"/>
              </w:rPr>
              <w:t>0.</w:t>
            </w:r>
            <w:r>
              <w:rPr>
                <w:bCs/>
                <w:sz w:val="20"/>
                <w:szCs w:val="20"/>
                <w:lang w:val="en-US"/>
              </w:rPr>
              <w:t>3007</w:t>
            </w:r>
          </w:p>
        </w:tc>
        <w:tc>
          <w:tcPr>
            <w:tcW w:w="1051" w:type="dxa"/>
          </w:tcPr>
          <w:p w14:paraId="0744BC0D" w14:textId="77777777" w:rsidR="00401A64" w:rsidRPr="007D1278" w:rsidRDefault="00401A64" w:rsidP="00595B93">
            <w:pPr>
              <w:widowControl w:val="0"/>
              <w:spacing w:before="60"/>
              <w:jc w:val="center"/>
              <w:textAlignment w:val="top"/>
              <w:rPr>
                <w:bCs/>
                <w:sz w:val="20"/>
                <w:szCs w:val="20"/>
                <w:lang w:val="en-US"/>
              </w:rPr>
            </w:pPr>
            <w:r w:rsidRPr="007D1278">
              <w:rPr>
                <w:bCs/>
                <w:sz w:val="20"/>
                <w:szCs w:val="20"/>
                <w:lang w:val="en-US"/>
              </w:rPr>
              <w:t>-0.1</w:t>
            </w:r>
            <w:r>
              <w:rPr>
                <w:bCs/>
                <w:sz w:val="20"/>
                <w:szCs w:val="20"/>
                <w:lang w:val="en-US"/>
              </w:rPr>
              <w:t>5</w:t>
            </w:r>
            <w:r w:rsidRPr="007D1278">
              <w:rPr>
                <w:bCs/>
                <w:sz w:val="20"/>
                <w:szCs w:val="20"/>
                <w:lang w:val="en-US"/>
              </w:rPr>
              <w:t>00</w:t>
            </w:r>
          </w:p>
        </w:tc>
        <w:tc>
          <w:tcPr>
            <w:tcW w:w="1139" w:type="dxa"/>
          </w:tcPr>
          <w:p w14:paraId="72EEFDE2" w14:textId="77777777" w:rsidR="00401A64" w:rsidRPr="00D730E5" w:rsidRDefault="00401A64" w:rsidP="00595B93">
            <w:pPr>
              <w:widowControl w:val="0"/>
              <w:spacing w:before="60"/>
              <w:jc w:val="center"/>
              <w:textAlignment w:val="top"/>
              <w:rPr>
                <w:bCs/>
                <w:sz w:val="20"/>
                <w:szCs w:val="20"/>
                <w:lang w:val="en-US"/>
              </w:rPr>
            </w:pPr>
            <w:r w:rsidRPr="00D730E5">
              <w:rPr>
                <w:bCs/>
                <w:sz w:val="20"/>
                <w:szCs w:val="20"/>
                <w:lang w:val="en-US"/>
              </w:rPr>
              <w:t>-0.</w:t>
            </w:r>
            <w:r>
              <w:rPr>
                <w:bCs/>
                <w:sz w:val="20"/>
                <w:szCs w:val="20"/>
                <w:lang w:val="en-US"/>
              </w:rPr>
              <w:t>1108</w:t>
            </w:r>
          </w:p>
        </w:tc>
        <w:tc>
          <w:tcPr>
            <w:tcW w:w="1138" w:type="dxa"/>
          </w:tcPr>
          <w:p w14:paraId="558ECC06" w14:textId="77777777" w:rsidR="00401A64" w:rsidRPr="00BA784B" w:rsidRDefault="00401A64" w:rsidP="00595B93">
            <w:pPr>
              <w:widowControl w:val="0"/>
              <w:spacing w:before="60"/>
              <w:jc w:val="center"/>
              <w:textAlignment w:val="top"/>
              <w:rPr>
                <w:bCs/>
                <w:sz w:val="20"/>
                <w:szCs w:val="20"/>
                <w:lang w:val="en-US"/>
              </w:rPr>
            </w:pPr>
            <w:r w:rsidRPr="00BA784B">
              <w:rPr>
                <w:bCs/>
                <w:sz w:val="20"/>
                <w:szCs w:val="20"/>
                <w:lang w:val="en-US"/>
              </w:rPr>
              <w:t>-0.1</w:t>
            </w:r>
            <w:r>
              <w:rPr>
                <w:bCs/>
                <w:sz w:val="20"/>
                <w:szCs w:val="20"/>
                <w:lang w:val="en-US"/>
              </w:rPr>
              <w:t>755</w:t>
            </w:r>
          </w:p>
        </w:tc>
        <w:tc>
          <w:tcPr>
            <w:tcW w:w="1052" w:type="dxa"/>
          </w:tcPr>
          <w:p w14:paraId="6235E502" w14:textId="77777777" w:rsidR="00401A64" w:rsidRPr="00BA784B" w:rsidRDefault="00401A64" w:rsidP="00595B93">
            <w:pPr>
              <w:widowControl w:val="0"/>
              <w:spacing w:before="60"/>
              <w:jc w:val="center"/>
              <w:textAlignment w:val="top"/>
              <w:rPr>
                <w:bCs/>
                <w:sz w:val="20"/>
                <w:szCs w:val="20"/>
                <w:lang w:val="en-US"/>
              </w:rPr>
            </w:pPr>
            <w:r w:rsidRPr="00BA784B">
              <w:rPr>
                <w:bCs/>
                <w:sz w:val="20"/>
                <w:szCs w:val="20"/>
                <w:lang w:val="en-US"/>
              </w:rPr>
              <w:t>-0.1149</w:t>
            </w:r>
          </w:p>
        </w:tc>
      </w:tr>
      <w:tr w:rsidR="00401A64" w:rsidRPr="0047024D" w14:paraId="26789BB3" w14:textId="77777777" w:rsidTr="00595B93">
        <w:tc>
          <w:tcPr>
            <w:tcW w:w="1063" w:type="dxa"/>
          </w:tcPr>
          <w:p w14:paraId="274AA0AE"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p-value</w:t>
            </w:r>
          </w:p>
        </w:tc>
        <w:tc>
          <w:tcPr>
            <w:tcW w:w="1138" w:type="dxa"/>
          </w:tcPr>
          <w:p w14:paraId="75030807" w14:textId="77777777" w:rsidR="00401A64" w:rsidRPr="007D1278" w:rsidRDefault="00401A64" w:rsidP="00595B93">
            <w:pPr>
              <w:widowControl w:val="0"/>
              <w:spacing w:before="60"/>
              <w:jc w:val="center"/>
              <w:textAlignment w:val="top"/>
              <w:rPr>
                <w:bCs/>
                <w:sz w:val="20"/>
                <w:szCs w:val="20"/>
                <w:lang w:val="en-US"/>
              </w:rPr>
            </w:pPr>
            <w:r w:rsidRPr="007D1278">
              <w:rPr>
                <w:bCs/>
                <w:sz w:val="20"/>
                <w:szCs w:val="20"/>
                <w:lang w:val="en-US"/>
              </w:rPr>
              <w:t>0.</w:t>
            </w:r>
            <w:r>
              <w:rPr>
                <w:bCs/>
                <w:sz w:val="20"/>
                <w:szCs w:val="20"/>
                <w:lang w:val="en-US"/>
              </w:rPr>
              <w:t>5785</w:t>
            </w:r>
          </w:p>
        </w:tc>
        <w:tc>
          <w:tcPr>
            <w:tcW w:w="1087" w:type="dxa"/>
          </w:tcPr>
          <w:p w14:paraId="1057E610" w14:textId="77777777" w:rsidR="00401A64" w:rsidRPr="007D1278" w:rsidRDefault="00401A64" w:rsidP="00595B93">
            <w:pPr>
              <w:widowControl w:val="0"/>
              <w:spacing w:before="60"/>
              <w:jc w:val="center"/>
              <w:textAlignment w:val="top"/>
              <w:rPr>
                <w:bCs/>
                <w:sz w:val="20"/>
                <w:szCs w:val="20"/>
                <w:lang w:val="en-US"/>
              </w:rPr>
            </w:pPr>
            <w:r w:rsidRPr="007D1278">
              <w:rPr>
                <w:bCs/>
                <w:sz w:val="20"/>
                <w:szCs w:val="20"/>
                <w:lang w:val="en-US"/>
              </w:rPr>
              <w:t>0.</w:t>
            </w:r>
            <w:r>
              <w:rPr>
                <w:bCs/>
                <w:sz w:val="20"/>
                <w:szCs w:val="20"/>
                <w:lang w:val="en-US"/>
              </w:rPr>
              <w:t>6079</w:t>
            </w:r>
          </w:p>
        </w:tc>
        <w:tc>
          <w:tcPr>
            <w:tcW w:w="1051" w:type="dxa"/>
          </w:tcPr>
          <w:p w14:paraId="1721AE7C" w14:textId="77777777" w:rsidR="00401A64" w:rsidRPr="007D1278" w:rsidRDefault="00401A64" w:rsidP="00595B93">
            <w:pPr>
              <w:widowControl w:val="0"/>
              <w:spacing w:before="60"/>
              <w:jc w:val="center"/>
              <w:textAlignment w:val="top"/>
              <w:rPr>
                <w:bCs/>
                <w:sz w:val="20"/>
                <w:szCs w:val="20"/>
                <w:lang w:val="en-US"/>
              </w:rPr>
            </w:pPr>
            <w:r w:rsidRPr="007D1278">
              <w:rPr>
                <w:bCs/>
                <w:sz w:val="20"/>
                <w:szCs w:val="20"/>
                <w:lang w:val="en-US"/>
              </w:rPr>
              <w:t>0.26</w:t>
            </w:r>
            <w:r>
              <w:rPr>
                <w:bCs/>
                <w:sz w:val="20"/>
                <w:szCs w:val="20"/>
                <w:lang w:val="en-US"/>
              </w:rPr>
              <w:t>03</w:t>
            </w:r>
          </w:p>
        </w:tc>
        <w:tc>
          <w:tcPr>
            <w:tcW w:w="1051" w:type="dxa"/>
          </w:tcPr>
          <w:p w14:paraId="022F8725" w14:textId="77777777" w:rsidR="00401A64" w:rsidRPr="007D1278" w:rsidRDefault="00401A64" w:rsidP="00595B93">
            <w:pPr>
              <w:widowControl w:val="0"/>
              <w:spacing w:before="60"/>
              <w:jc w:val="center"/>
              <w:textAlignment w:val="top"/>
              <w:rPr>
                <w:bCs/>
                <w:sz w:val="20"/>
                <w:szCs w:val="20"/>
                <w:lang w:val="en-US"/>
              </w:rPr>
            </w:pPr>
            <w:r w:rsidRPr="007D1278">
              <w:rPr>
                <w:bCs/>
                <w:sz w:val="20"/>
                <w:szCs w:val="20"/>
                <w:lang w:val="en-US"/>
              </w:rPr>
              <w:t>0.</w:t>
            </w:r>
            <w:r>
              <w:rPr>
                <w:bCs/>
                <w:sz w:val="20"/>
                <w:szCs w:val="20"/>
                <w:lang w:val="en-US"/>
              </w:rPr>
              <w:t>6</w:t>
            </w:r>
            <w:r w:rsidRPr="007D1278">
              <w:rPr>
                <w:bCs/>
                <w:sz w:val="20"/>
                <w:szCs w:val="20"/>
                <w:lang w:val="en-US"/>
              </w:rPr>
              <w:t>0</w:t>
            </w:r>
            <w:r>
              <w:rPr>
                <w:bCs/>
                <w:sz w:val="20"/>
                <w:szCs w:val="20"/>
                <w:lang w:val="en-US"/>
              </w:rPr>
              <w:t>11</w:t>
            </w:r>
          </w:p>
        </w:tc>
        <w:tc>
          <w:tcPr>
            <w:tcW w:w="1139" w:type="dxa"/>
          </w:tcPr>
          <w:p w14:paraId="74603D7A" w14:textId="77777777" w:rsidR="00401A64" w:rsidRPr="00D730E5" w:rsidRDefault="00401A64" w:rsidP="00595B93">
            <w:pPr>
              <w:widowControl w:val="0"/>
              <w:spacing w:before="60"/>
              <w:jc w:val="center"/>
              <w:textAlignment w:val="top"/>
              <w:rPr>
                <w:bCs/>
                <w:sz w:val="20"/>
                <w:szCs w:val="20"/>
                <w:lang w:val="en-US"/>
              </w:rPr>
            </w:pPr>
            <w:r w:rsidRPr="00D730E5">
              <w:rPr>
                <w:bCs/>
                <w:sz w:val="20"/>
                <w:szCs w:val="20"/>
                <w:lang w:val="en-US"/>
              </w:rPr>
              <w:t>0.</w:t>
            </w:r>
            <w:r>
              <w:rPr>
                <w:bCs/>
                <w:sz w:val="20"/>
                <w:szCs w:val="20"/>
                <w:lang w:val="en-US"/>
              </w:rPr>
              <w:t>6855</w:t>
            </w:r>
          </w:p>
        </w:tc>
        <w:tc>
          <w:tcPr>
            <w:tcW w:w="1138" w:type="dxa"/>
          </w:tcPr>
          <w:p w14:paraId="2B236384" w14:textId="77777777" w:rsidR="00401A64" w:rsidRPr="00BA784B" w:rsidRDefault="00401A64" w:rsidP="00595B93">
            <w:pPr>
              <w:widowControl w:val="0"/>
              <w:spacing w:before="60"/>
              <w:jc w:val="center"/>
              <w:textAlignment w:val="top"/>
              <w:rPr>
                <w:bCs/>
                <w:sz w:val="20"/>
                <w:szCs w:val="20"/>
                <w:lang w:val="en-US"/>
              </w:rPr>
            </w:pPr>
            <w:r w:rsidRPr="00BA784B">
              <w:rPr>
                <w:bCs/>
                <w:sz w:val="20"/>
                <w:szCs w:val="20"/>
                <w:lang w:val="en-US"/>
              </w:rPr>
              <w:t>0.4</w:t>
            </w:r>
            <w:r>
              <w:rPr>
                <w:bCs/>
                <w:sz w:val="20"/>
                <w:szCs w:val="20"/>
                <w:lang w:val="en-US"/>
              </w:rPr>
              <w:t>884</w:t>
            </w:r>
          </w:p>
        </w:tc>
        <w:tc>
          <w:tcPr>
            <w:tcW w:w="1052" w:type="dxa"/>
          </w:tcPr>
          <w:p w14:paraId="07AD829E" w14:textId="77777777" w:rsidR="00401A64" w:rsidRPr="00BA784B" w:rsidRDefault="00401A64" w:rsidP="00595B93">
            <w:pPr>
              <w:widowControl w:val="0"/>
              <w:spacing w:before="60"/>
              <w:jc w:val="center"/>
              <w:textAlignment w:val="top"/>
              <w:rPr>
                <w:bCs/>
                <w:sz w:val="20"/>
                <w:szCs w:val="20"/>
                <w:lang w:val="en-US"/>
              </w:rPr>
            </w:pPr>
            <w:r w:rsidRPr="00BA784B">
              <w:rPr>
                <w:bCs/>
                <w:sz w:val="20"/>
                <w:szCs w:val="20"/>
                <w:lang w:val="en-US"/>
              </w:rPr>
              <w:t>0.6647</w:t>
            </w:r>
          </w:p>
        </w:tc>
      </w:tr>
      <w:tr w:rsidR="00401A64" w:rsidRPr="0047024D" w14:paraId="4D08BD48" w14:textId="77777777" w:rsidTr="00595B93">
        <w:tc>
          <w:tcPr>
            <w:tcW w:w="1063" w:type="dxa"/>
            <w:tcBorders>
              <w:bottom w:val="double" w:sz="4" w:space="0" w:color="auto"/>
            </w:tcBorders>
          </w:tcPr>
          <w:p w14:paraId="7BF9F39F" w14:textId="77777777" w:rsidR="00401A64" w:rsidRPr="00491C04" w:rsidRDefault="00401A64" w:rsidP="00595B93">
            <w:pPr>
              <w:widowControl w:val="0"/>
              <w:spacing w:before="60"/>
              <w:jc w:val="center"/>
              <w:textAlignment w:val="top"/>
              <w:rPr>
                <w:bCs/>
                <w:i/>
                <w:sz w:val="20"/>
                <w:szCs w:val="20"/>
                <w:lang w:val="en-US"/>
              </w:rPr>
            </w:pPr>
            <w:r>
              <w:rPr>
                <w:bCs/>
                <w:i/>
                <w:sz w:val="20"/>
                <w:szCs w:val="20"/>
                <w:lang w:val="en-US"/>
              </w:rPr>
              <w:t>Instruments</w:t>
            </w:r>
          </w:p>
        </w:tc>
        <w:tc>
          <w:tcPr>
            <w:tcW w:w="1138" w:type="dxa"/>
            <w:tcBorders>
              <w:bottom w:val="double" w:sz="4" w:space="0" w:color="auto"/>
            </w:tcBorders>
          </w:tcPr>
          <w:p w14:paraId="3F04138C" w14:textId="77777777" w:rsidR="00401A64" w:rsidRPr="007D1278" w:rsidRDefault="00401A64" w:rsidP="00595B93">
            <w:pPr>
              <w:widowControl w:val="0"/>
              <w:spacing w:before="60"/>
              <w:jc w:val="center"/>
              <w:textAlignment w:val="top"/>
              <w:rPr>
                <w:bCs/>
                <w:sz w:val="20"/>
                <w:szCs w:val="20"/>
                <w:lang w:val="en-US"/>
              </w:rPr>
            </w:pPr>
            <w:r>
              <w:rPr>
                <w:bCs/>
                <w:sz w:val="20"/>
                <w:szCs w:val="20"/>
                <w:lang w:val="en-US"/>
              </w:rPr>
              <w:t>27</w:t>
            </w:r>
          </w:p>
        </w:tc>
        <w:tc>
          <w:tcPr>
            <w:tcW w:w="1087" w:type="dxa"/>
            <w:tcBorders>
              <w:bottom w:val="double" w:sz="4" w:space="0" w:color="auto"/>
            </w:tcBorders>
          </w:tcPr>
          <w:p w14:paraId="1A6EB435" w14:textId="77777777" w:rsidR="00401A64" w:rsidRPr="007D1278" w:rsidRDefault="00401A64" w:rsidP="00595B93">
            <w:pPr>
              <w:widowControl w:val="0"/>
              <w:spacing w:before="60"/>
              <w:jc w:val="center"/>
              <w:textAlignment w:val="top"/>
              <w:rPr>
                <w:bCs/>
                <w:sz w:val="20"/>
                <w:szCs w:val="20"/>
                <w:lang w:val="en-US"/>
              </w:rPr>
            </w:pPr>
            <w:r>
              <w:rPr>
                <w:bCs/>
                <w:sz w:val="20"/>
                <w:szCs w:val="20"/>
                <w:lang w:val="en-US"/>
              </w:rPr>
              <w:t>27</w:t>
            </w:r>
          </w:p>
        </w:tc>
        <w:tc>
          <w:tcPr>
            <w:tcW w:w="1051" w:type="dxa"/>
            <w:tcBorders>
              <w:bottom w:val="double" w:sz="4" w:space="0" w:color="auto"/>
            </w:tcBorders>
          </w:tcPr>
          <w:p w14:paraId="240420A2" w14:textId="77777777" w:rsidR="00401A64" w:rsidRPr="007D1278" w:rsidRDefault="00401A64" w:rsidP="00595B93">
            <w:pPr>
              <w:widowControl w:val="0"/>
              <w:spacing w:before="60"/>
              <w:jc w:val="center"/>
              <w:textAlignment w:val="top"/>
              <w:rPr>
                <w:bCs/>
                <w:sz w:val="20"/>
                <w:szCs w:val="20"/>
                <w:lang w:val="en-US"/>
              </w:rPr>
            </w:pPr>
            <w:r>
              <w:rPr>
                <w:bCs/>
                <w:sz w:val="20"/>
                <w:szCs w:val="20"/>
                <w:lang w:val="en-US"/>
              </w:rPr>
              <w:t>20</w:t>
            </w:r>
          </w:p>
        </w:tc>
        <w:tc>
          <w:tcPr>
            <w:tcW w:w="1051" w:type="dxa"/>
            <w:tcBorders>
              <w:bottom w:val="double" w:sz="4" w:space="0" w:color="auto"/>
            </w:tcBorders>
          </w:tcPr>
          <w:p w14:paraId="4D64B65A" w14:textId="77777777" w:rsidR="00401A64" w:rsidRPr="007D1278" w:rsidRDefault="00401A64" w:rsidP="00595B93">
            <w:pPr>
              <w:widowControl w:val="0"/>
              <w:spacing w:before="60"/>
              <w:jc w:val="center"/>
              <w:textAlignment w:val="top"/>
              <w:rPr>
                <w:bCs/>
                <w:sz w:val="20"/>
                <w:szCs w:val="20"/>
                <w:lang w:val="en-US"/>
              </w:rPr>
            </w:pPr>
            <w:r>
              <w:rPr>
                <w:bCs/>
                <w:sz w:val="20"/>
                <w:szCs w:val="20"/>
                <w:lang w:val="en-US"/>
              </w:rPr>
              <w:t>24</w:t>
            </w:r>
          </w:p>
        </w:tc>
        <w:tc>
          <w:tcPr>
            <w:tcW w:w="1139" w:type="dxa"/>
            <w:tcBorders>
              <w:bottom w:val="double" w:sz="4" w:space="0" w:color="auto"/>
            </w:tcBorders>
          </w:tcPr>
          <w:p w14:paraId="2BB469D2" w14:textId="77777777" w:rsidR="00401A64" w:rsidRPr="00D730E5" w:rsidRDefault="00401A64" w:rsidP="00595B93">
            <w:pPr>
              <w:widowControl w:val="0"/>
              <w:spacing w:before="60"/>
              <w:jc w:val="center"/>
              <w:textAlignment w:val="top"/>
              <w:rPr>
                <w:bCs/>
                <w:sz w:val="20"/>
                <w:szCs w:val="20"/>
                <w:lang w:val="en-US"/>
              </w:rPr>
            </w:pPr>
            <w:r>
              <w:rPr>
                <w:bCs/>
                <w:sz w:val="20"/>
                <w:szCs w:val="20"/>
                <w:lang w:val="en-US"/>
              </w:rPr>
              <w:t>23</w:t>
            </w:r>
          </w:p>
        </w:tc>
        <w:tc>
          <w:tcPr>
            <w:tcW w:w="1138" w:type="dxa"/>
            <w:tcBorders>
              <w:bottom w:val="double" w:sz="4" w:space="0" w:color="auto"/>
            </w:tcBorders>
          </w:tcPr>
          <w:p w14:paraId="434C6FEF" w14:textId="77777777" w:rsidR="00401A64" w:rsidRPr="00BA784B" w:rsidRDefault="00401A64" w:rsidP="00595B93">
            <w:pPr>
              <w:widowControl w:val="0"/>
              <w:spacing w:before="60"/>
              <w:jc w:val="center"/>
              <w:textAlignment w:val="top"/>
              <w:rPr>
                <w:bCs/>
                <w:sz w:val="20"/>
                <w:szCs w:val="20"/>
                <w:lang w:val="en-US"/>
              </w:rPr>
            </w:pPr>
            <w:r>
              <w:rPr>
                <w:bCs/>
                <w:sz w:val="20"/>
                <w:szCs w:val="20"/>
                <w:lang w:val="en-US"/>
              </w:rPr>
              <w:t>25</w:t>
            </w:r>
          </w:p>
        </w:tc>
        <w:tc>
          <w:tcPr>
            <w:tcW w:w="1052" w:type="dxa"/>
            <w:tcBorders>
              <w:bottom w:val="double" w:sz="4" w:space="0" w:color="auto"/>
            </w:tcBorders>
          </w:tcPr>
          <w:p w14:paraId="666F0B13" w14:textId="77777777" w:rsidR="00401A64" w:rsidRPr="00BA784B" w:rsidRDefault="00401A64" w:rsidP="00595B93">
            <w:pPr>
              <w:widowControl w:val="0"/>
              <w:spacing w:before="60"/>
              <w:jc w:val="center"/>
              <w:textAlignment w:val="top"/>
              <w:rPr>
                <w:bCs/>
                <w:sz w:val="20"/>
                <w:szCs w:val="20"/>
                <w:lang w:val="en-US"/>
              </w:rPr>
            </w:pPr>
            <w:r>
              <w:rPr>
                <w:bCs/>
                <w:sz w:val="20"/>
                <w:szCs w:val="20"/>
                <w:lang w:val="en-US"/>
              </w:rPr>
              <w:t>18</w:t>
            </w:r>
          </w:p>
        </w:tc>
      </w:tr>
    </w:tbl>
    <w:p w14:paraId="635243C7" w14:textId="77777777" w:rsidR="00401A64" w:rsidRPr="001126A4" w:rsidRDefault="00401A64" w:rsidP="00401A64">
      <w:pPr>
        <w:widowControl w:val="0"/>
        <w:autoSpaceDE w:val="0"/>
        <w:autoSpaceDN w:val="0"/>
        <w:adjustRightInd w:val="0"/>
        <w:jc w:val="center"/>
        <w:rPr>
          <w:sz w:val="20"/>
          <w:szCs w:val="20"/>
          <w:lang w:val="en-US" w:eastAsia="en-US"/>
        </w:rPr>
      </w:pPr>
      <w:r w:rsidRPr="001A5D16">
        <w:rPr>
          <w:sz w:val="20"/>
          <w:szCs w:val="20"/>
          <w:lang w:val="en-US" w:eastAsia="en-US"/>
        </w:rPr>
        <w:t>Note: Marginal significance levels: (***) denotes 0.01, (**) denotes 0.05, and (*) denotes 0.1.</w:t>
      </w:r>
      <w:r w:rsidRPr="00621D18">
        <w:rPr>
          <w:sz w:val="20"/>
          <w:szCs w:val="20"/>
          <w:lang w:val="en-US" w:eastAsia="en-US"/>
        </w:rPr>
        <w:t xml:space="preserve"> </w:t>
      </w:r>
      <w:r w:rsidRPr="001126A4">
        <w:rPr>
          <w:sz w:val="20"/>
          <w:szCs w:val="20"/>
          <w:lang w:val="en-US" w:eastAsia="en-US"/>
        </w:rPr>
        <w:t>Standard errors in parentheses and t-statistics in brackets.</w:t>
      </w:r>
    </w:p>
    <w:p w14:paraId="65FF1437" w14:textId="77777777" w:rsidR="00401A64" w:rsidRDefault="00401A64" w:rsidP="00401A64">
      <w:pPr>
        <w:widowControl w:val="0"/>
        <w:jc w:val="center"/>
        <w:textAlignment w:val="top"/>
        <w:rPr>
          <w:b/>
        </w:rPr>
      </w:pPr>
      <w:r>
        <w:br w:type="page"/>
      </w:r>
      <w:r w:rsidRPr="00EE4F63">
        <w:rPr>
          <w:b/>
        </w:rPr>
        <w:lastRenderedPageBreak/>
        <w:t xml:space="preserve">Table </w:t>
      </w:r>
      <w:r>
        <w:rPr>
          <w:b/>
        </w:rPr>
        <w:t>5</w:t>
      </w:r>
    </w:p>
    <w:p w14:paraId="05B7638A" w14:textId="77777777" w:rsidR="00401A64" w:rsidRDefault="00401A64" w:rsidP="00401A64">
      <w:pPr>
        <w:widowControl w:val="0"/>
        <w:jc w:val="center"/>
        <w:textAlignment w:val="top"/>
      </w:pPr>
      <w:r>
        <w:rPr>
          <w:i/>
        </w:rPr>
        <w:t>10%/40% (system GMM)</w:t>
      </w:r>
    </w:p>
    <w:tbl>
      <w:tblPr>
        <w:tblW w:w="9180" w:type="dxa"/>
        <w:tblLook w:val="04A0" w:firstRow="1" w:lastRow="0" w:firstColumn="1" w:lastColumn="0" w:noHBand="0" w:noVBand="1"/>
      </w:tblPr>
      <w:tblGrid>
        <w:gridCol w:w="1172"/>
        <w:gridCol w:w="1144"/>
        <w:gridCol w:w="1144"/>
        <w:gridCol w:w="1144"/>
        <w:gridCol w:w="1144"/>
        <w:gridCol w:w="1144"/>
        <w:gridCol w:w="1144"/>
        <w:gridCol w:w="1144"/>
      </w:tblGrid>
      <w:tr w:rsidR="00401A64" w:rsidRPr="0047024D" w14:paraId="56201F2E" w14:textId="77777777" w:rsidTr="00595B93">
        <w:tc>
          <w:tcPr>
            <w:tcW w:w="1172" w:type="dxa"/>
            <w:tcBorders>
              <w:top w:val="double" w:sz="4" w:space="0" w:color="auto"/>
              <w:bottom w:val="single" w:sz="4" w:space="0" w:color="auto"/>
            </w:tcBorders>
          </w:tcPr>
          <w:p w14:paraId="67726BA3" w14:textId="77777777" w:rsidR="00401A64" w:rsidRPr="00491C04" w:rsidRDefault="00401A64" w:rsidP="00595B93">
            <w:pPr>
              <w:widowControl w:val="0"/>
              <w:jc w:val="center"/>
              <w:textAlignment w:val="top"/>
              <w:rPr>
                <w:bCs/>
                <w:sz w:val="20"/>
                <w:szCs w:val="20"/>
                <w:lang w:val="en-US"/>
              </w:rPr>
            </w:pPr>
          </w:p>
        </w:tc>
        <w:tc>
          <w:tcPr>
            <w:tcW w:w="1144" w:type="dxa"/>
            <w:tcBorders>
              <w:top w:val="double" w:sz="4" w:space="0" w:color="auto"/>
              <w:bottom w:val="single" w:sz="4" w:space="0" w:color="auto"/>
            </w:tcBorders>
          </w:tcPr>
          <w:p w14:paraId="2B98497F" w14:textId="77777777" w:rsidR="00401A64" w:rsidRPr="00491C04" w:rsidRDefault="00401A64" w:rsidP="00595B93">
            <w:pPr>
              <w:widowControl w:val="0"/>
              <w:jc w:val="center"/>
              <w:textAlignment w:val="top"/>
              <w:rPr>
                <w:bCs/>
                <w:i/>
                <w:sz w:val="20"/>
                <w:szCs w:val="20"/>
                <w:lang w:val="en-US"/>
              </w:rPr>
            </w:pPr>
            <w:r w:rsidRPr="00491C04">
              <w:rPr>
                <w:bCs/>
                <w:i/>
                <w:sz w:val="20"/>
                <w:szCs w:val="20"/>
                <w:lang w:val="en-US"/>
              </w:rPr>
              <w:t>Eq. 1</w:t>
            </w:r>
          </w:p>
        </w:tc>
        <w:tc>
          <w:tcPr>
            <w:tcW w:w="1144" w:type="dxa"/>
            <w:tcBorders>
              <w:top w:val="double" w:sz="4" w:space="0" w:color="auto"/>
              <w:bottom w:val="single" w:sz="4" w:space="0" w:color="auto"/>
            </w:tcBorders>
          </w:tcPr>
          <w:p w14:paraId="0C485B97" w14:textId="77777777" w:rsidR="00401A64" w:rsidRPr="00491C04" w:rsidRDefault="00401A64" w:rsidP="00595B93">
            <w:pPr>
              <w:widowControl w:val="0"/>
              <w:jc w:val="center"/>
              <w:textAlignment w:val="top"/>
              <w:rPr>
                <w:bCs/>
                <w:i/>
                <w:sz w:val="20"/>
                <w:szCs w:val="20"/>
                <w:lang w:val="en-US"/>
              </w:rPr>
            </w:pPr>
            <w:r w:rsidRPr="00491C04">
              <w:rPr>
                <w:bCs/>
                <w:i/>
                <w:sz w:val="20"/>
                <w:szCs w:val="20"/>
                <w:lang w:val="en-US"/>
              </w:rPr>
              <w:t>Eq. 2</w:t>
            </w:r>
          </w:p>
        </w:tc>
        <w:tc>
          <w:tcPr>
            <w:tcW w:w="1144" w:type="dxa"/>
            <w:tcBorders>
              <w:top w:val="double" w:sz="4" w:space="0" w:color="auto"/>
              <w:bottom w:val="single" w:sz="4" w:space="0" w:color="auto"/>
            </w:tcBorders>
          </w:tcPr>
          <w:p w14:paraId="4EEE6A26" w14:textId="77777777" w:rsidR="00401A64" w:rsidRPr="00491C04" w:rsidRDefault="00401A64" w:rsidP="00595B93">
            <w:pPr>
              <w:widowControl w:val="0"/>
              <w:jc w:val="center"/>
              <w:textAlignment w:val="top"/>
              <w:rPr>
                <w:bCs/>
                <w:i/>
                <w:sz w:val="20"/>
                <w:szCs w:val="20"/>
                <w:lang w:val="en-US"/>
              </w:rPr>
            </w:pPr>
            <w:r w:rsidRPr="00491C04">
              <w:rPr>
                <w:bCs/>
                <w:i/>
                <w:sz w:val="20"/>
                <w:szCs w:val="20"/>
                <w:lang w:val="en-US"/>
              </w:rPr>
              <w:t>Eq. 3</w:t>
            </w:r>
          </w:p>
        </w:tc>
        <w:tc>
          <w:tcPr>
            <w:tcW w:w="1144" w:type="dxa"/>
            <w:tcBorders>
              <w:top w:val="double" w:sz="4" w:space="0" w:color="auto"/>
              <w:bottom w:val="single" w:sz="4" w:space="0" w:color="auto"/>
            </w:tcBorders>
          </w:tcPr>
          <w:p w14:paraId="2B6B19C9" w14:textId="77777777" w:rsidR="00401A64" w:rsidRPr="00491C04" w:rsidRDefault="00401A64" w:rsidP="00595B93">
            <w:pPr>
              <w:widowControl w:val="0"/>
              <w:jc w:val="center"/>
              <w:textAlignment w:val="top"/>
              <w:rPr>
                <w:bCs/>
                <w:i/>
                <w:sz w:val="20"/>
                <w:szCs w:val="20"/>
                <w:lang w:val="en-US"/>
              </w:rPr>
            </w:pPr>
            <w:r w:rsidRPr="00491C04">
              <w:rPr>
                <w:bCs/>
                <w:i/>
                <w:sz w:val="20"/>
                <w:szCs w:val="20"/>
                <w:lang w:val="en-US"/>
              </w:rPr>
              <w:t>Eq. 4</w:t>
            </w:r>
          </w:p>
        </w:tc>
        <w:tc>
          <w:tcPr>
            <w:tcW w:w="1144" w:type="dxa"/>
            <w:tcBorders>
              <w:top w:val="double" w:sz="4" w:space="0" w:color="auto"/>
              <w:bottom w:val="single" w:sz="4" w:space="0" w:color="auto"/>
            </w:tcBorders>
          </w:tcPr>
          <w:p w14:paraId="46C8EFAA" w14:textId="77777777" w:rsidR="00401A64" w:rsidRPr="00491C04" w:rsidRDefault="00401A64" w:rsidP="00595B93">
            <w:pPr>
              <w:widowControl w:val="0"/>
              <w:jc w:val="center"/>
              <w:textAlignment w:val="top"/>
              <w:rPr>
                <w:bCs/>
                <w:i/>
                <w:sz w:val="20"/>
                <w:szCs w:val="20"/>
                <w:lang w:val="en-US"/>
              </w:rPr>
            </w:pPr>
            <w:r w:rsidRPr="00491C04">
              <w:rPr>
                <w:bCs/>
                <w:i/>
                <w:sz w:val="20"/>
                <w:szCs w:val="20"/>
                <w:lang w:val="en-US"/>
              </w:rPr>
              <w:t>Eq. 5</w:t>
            </w:r>
          </w:p>
        </w:tc>
        <w:tc>
          <w:tcPr>
            <w:tcW w:w="1144" w:type="dxa"/>
            <w:tcBorders>
              <w:top w:val="double" w:sz="4" w:space="0" w:color="auto"/>
              <w:bottom w:val="single" w:sz="4" w:space="0" w:color="auto"/>
            </w:tcBorders>
          </w:tcPr>
          <w:p w14:paraId="259F16B7" w14:textId="77777777" w:rsidR="00401A64" w:rsidRPr="00491C04" w:rsidRDefault="00401A64" w:rsidP="00595B93">
            <w:pPr>
              <w:widowControl w:val="0"/>
              <w:jc w:val="center"/>
              <w:textAlignment w:val="top"/>
              <w:rPr>
                <w:bCs/>
                <w:i/>
                <w:sz w:val="20"/>
                <w:szCs w:val="20"/>
                <w:lang w:val="en-US"/>
              </w:rPr>
            </w:pPr>
            <w:r w:rsidRPr="00491C04">
              <w:rPr>
                <w:bCs/>
                <w:i/>
                <w:sz w:val="20"/>
                <w:szCs w:val="20"/>
                <w:lang w:val="en-US"/>
              </w:rPr>
              <w:t>Eq. 6</w:t>
            </w:r>
          </w:p>
        </w:tc>
        <w:tc>
          <w:tcPr>
            <w:tcW w:w="1144" w:type="dxa"/>
            <w:tcBorders>
              <w:top w:val="double" w:sz="4" w:space="0" w:color="auto"/>
              <w:bottom w:val="single" w:sz="4" w:space="0" w:color="auto"/>
            </w:tcBorders>
          </w:tcPr>
          <w:p w14:paraId="633728AB" w14:textId="77777777" w:rsidR="00401A64" w:rsidRPr="00491C04" w:rsidRDefault="00401A64" w:rsidP="00595B93">
            <w:pPr>
              <w:widowControl w:val="0"/>
              <w:jc w:val="center"/>
              <w:textAlignment w:val="top"/>
              <w:rPr>
                <w:bCs/>
                <w:i/>
                <w:sz w:val="20"/>
                <w:szCs w:val="20"/>
                <w:lang w:val="en-US"/>
              </w:rPr>
            </w:pPr>
            <w:r w:rsidRPr="00491C04">
              <w:rPr>
                <w:bCs/>
                <w:i/>
                <w:sz w:val="20"/>
                <w:szCs w:val="20"/>
                <w:lang w:val="en-US"/>
              </w:rPr>
              <w:t>Eq. 7</w:t>
            </w:r>
          </w:p>
        </w:tc>
      </w:tr>
      <w:tr w:rsidR="00401A64" w:rsidRPr="0047024D" w14:paraId="55306470" w14:textId="77777777" w:rsidTr="00595B93">
        <w:tc>
          <w:tcPr>
            <w:tcW w:w="1172" w:type="dxa"/>
            <w:tcBorders>
              <w:top w:val="single" w:sz="4" w:space="0" w:color="auto"/>
            </w:tcBorders>
          </w:tcPr>
          <w:p w14:paraId="2959199B" w14:textId="77777777" w:rsidR="00401A64" w:rsidRPr="00491C04" w:rsidRDefault="00401A64" w:rsidP="00595B93">
            <w:pPr>
              <w:widowControl w:val="0"/>
              <w:spacing w:before="60"/>
              <w:jc w:val="center"/>
              <w:textAlignment w:val="top"/>
              <w:rPr>
                <w:bCs/>
                <w:i/>
                <w:sz w:val="20"/>
                <w:szCs w:val="20"/>
                <w:lang w:val="en-US"/>
              </w:rPr>
            </w:pPr>
            <w:r>
              <w:rPr>
                <w:bCs/>
                <w:i/>
                <w:sz w:val="20"/>
                <w:szCs w:val="20"/>
                <w:lang w:val="en-US"/>
              </w:rPr>
              <w:t>10%/40%</w:t>
            </w:r>
            <w:r w:rsidRPr="00491C04">
              <w:rPr>
                <w:bCs/>
                <w:i/>
                <w:sz w:val="20"/>
                <w:szCs w:val="20"/>
                <w:vertAlign w:val="subscript"/>
                <w:lang w:val="en-US"/>
              </w:rPr>
              <w:t>i,t-1</w:t>
            </w:r>
          </w:p>
        </w:tc>
        <w:tc>
          <w:tcPr>
            <w:tcW w:w="1144" w:type="dxa"/>
            <w:tcBorders>
              <w:top w:val="single" w:sz="4" w:space="0" w:color="auto"/>
            </w:tcBorders>
          </w:tcPr>
          <w:p w14:paraId="5A380661" w14:textId="77777777" w:rsidR="00401A64" w:rsidRPr="006467AD" w:rsidRDefault="00401A64" w:rsidP="00595B93">
            <w:pPr>
              <w:widowControl w:val="0"/>
              <w:spacing w:before="60"/>
              <w:jc w:val="center"/>
              <w:textAlignment w:val="top"/>
              <w:rPr>
                <w:bCs/>
                <w:sz w:val="20"/>
                <w:szCs w:val="20"/>
                <w:lang w:val="en-US"/>
              </w:rPr>
            </w:pPr>
            <w:r w:rsidRPr="006467AD">
              <w:rPr>
                <w:bCs/>
                <w:sz w:val="20"/>
                <w:szCs w:val="20"/>
                <w:lang w:val="en-US"/>
              </w:rPr>
              <w:t>0.3</w:t>
            </w:r>
            <w:r>
              <w:rPr>
                <w:bCs/>
                <w:sz w:val="20"/>
                <w:szCs w:val="20"/>
                <w:lang w:val="en-US"/>
              </w:rPr>
              <w:t>202</w:t>
            </w:r>
            <w:r w:rsidRPr="006467AD">
              <w:rPr>
                <w:bCs/>
                <w:sz w:val="20"/>
                <w:szCs w:val="20"/>
                <w:lang w:val="en-US"/>
              </w:rPr>
              <w:t>*</w:t>
            </w:r>
          </w:p>
          <w:p w14:paraId="3259A47C" w14:textId="77777777" w:rsidR="00401A64" w:rsidRPr="006467AD" w:rsidRDefault="00401A64" w:rsidP="00595B93">
            <w:pPr>
              <w:widowControl w:val="0"/>
              <w:jc w:val="center"/>
              <w:textAlignment w:val="top"/>
              <w:rPr>
                <w:bCs/>
                <w:sz w:val="20"/>
                <w:szCs w:val="20"/>
                <w:lang w:val="en-US"/>
              </w:rPr>
            </w:pPr>
            <w:r w:rsidRPr="006467AD">
              <w:rPr>
                <w:bCs/>
                <w:sz w:val="20"/>
                <w:szCs w:val="20"/>
                <w:lang w:val="en-US"/>
              </w:rPr>
              <w:t>(0.1</w:t>
            </w:r>
            <w:r>
              <w:rPr>
                <w:bCs/>
                <w:sz w:val="20"/>
                <w:szCs w:val="20"/>
                <w:lang w:val="en-US"/>
              </w:rPr>
              <w:t>651</w:t>
            </w:r>
            <w:r w:rsidRPr="006467AD">
              <w:rPr>
                <w:bCs/>
                <w:sz w:val="20"/>
                <w:szCs w:val="20"/>
                <w:lang w:val="en-US"/>
              </w:rPr>
              <w:t>)</w:t>
            </w:r>
          </w:p>
          <w:p w14:paraId="3407FC71" w14:textId="77777777" w:rsidR="00401A64" w:rsidRPr="006467AD" w:rsidRDefault="00401A64" w:rsidP="00595B93">
            <w:pPr>
              <w:widowControl w:val="0"/>
              <w:jc w:val="center"/>
              <w:textAlignment w:val="top"/>
              <w:rPr>
                <w:bCs/>
                <w:sz w:val="20"/>
                <w:szCs w:val="20"/>
                <w:lang w:val="en-US"/>
              </w:rPr>
            </w:pPr>
            <w:r w:rsidRPr="006467AD">
              <w:rPr>
                <w:bCs/>
                <w:sz w:val="20"/>
                <w:szCs w:val="20"/>
                <w:lang w:val="en-US"/>
              </w:rPr>
              <w:t>[</w:t>
            </w:r>
            <w:r>
              <w:rPr>
                <w:bCs/>
                <w:sz w:val="20"/>
                <w:szCs w:val="20"/>
                <w:lang w:val="en-US"/>
              </w:rPr>
              <w:t>1.9388</w:t>
            </w:r>
            <w:r w:rsidRPr="006467AD">
              <w:rPr>
                <w:bCs/>
                <w:sz w:val="20"/>
                <w:szCs w:val="20"/>
                <w:lang w:val="en-US"/>
              </w:rPr>
              <w:t>]</w:t>
            </w:r>
          </w:p>
        </w:tc>
        <w:tc>
          <w:tcPr>
            <w:tcW w:w="1144" w:type="dxa"/>
            <w:tcBorders>
              <w:top w:val="single" w:sz="4" w:space="0" w:color="auto"/>
            </w:tcBorders>
          </w:tcPr>
          <w:p w14:paraId="316C5B43" w14:textId="77777777" w:rsidR="00401A64" w:rsidRPr="00602165" w:rsidRDefault="00401A64" w:rsidP="00595B93">
            <w:pPr>
              <w:widowControl w:val="0"/>
              <w:spacing w:before="60"/>
              <w:jc w:val="center"/>
              <w:textAlignment w:val="top"/>
              <w:rPr>
                <w:bCs/>
                <w:sz w:val="20"/>
                <w:szCs w:val="20"/>
                <w:lang w:val="en-US"/>
              </w:rPr>
            </w:pPr>
            <w:r w:rsidRPr="00602165">
              <w:rPr>
                <w:bCs/>
                <w:sz w:val="20"/>
                <w:szCs w:val="20"/>
                <w:lang w:val="en-US"/>
              </w:rPr>
              <w:t>0.2</w:t>
            </w:r>
            <w:r>
              <w:rPr>
                <w:bCs/>
                <w:sz w:val="20"/>
                <w:szCs w:val="20"/>
                <w:lang w:val="en-US"/>
              </w:rPr>
              <w:t>761</w:t>
            </w:r>
          </w:p>
          <w:p w14:paraId="24F5D582" w14:textId="77777777" w:rsidR="00401A64" w:rsidRPr="00602165" w:rsidRDefault="00401A64" w:rsidP="00595B93">
            <w:pPr>
              <w:widowControl w:val="0"/>
              <w:jc w:val="center"/>
              <w:textAlignment w:val="top"/>
              <w:rPr>
                <w:bCs/>
                <w:sz w:val="20"/>
                <w:szCs w:val="20"/>
                <w:lang w:val="en-US"/>
              </w:rPr>
            </w:pPr>
            <w:r w:rsidRPr="00602165">
              <w:rPr>
                <w:bCs/>
                <w:sz w:val="20"/>
                <w:szCs w:val="20"/>
                <w:lang w:val="en-US"/>
              </w:rPr>
              <w:t>(0.1</w:t>
            </w:r>
            <w:r>
              <w:rPr>
                <w:bCs/>
                <w:sz w:val="20"/>
                <w:szCs w:val="20"/>
                <w:lang w:val="en-US"/>
              </w:rPr>
              <w:t>570</w:t>
            </w:r>
            <w:r w:rsidRPr="00602165">
              <w:rPr>
                <w:bCs/>
                <w:sz w:val="20"/>
                <w:szCs w:val="20"/>
                <w:lang w:val="en-US"/>
              </w:rPr>
              <w:t>)</w:t>
            </w:r>
          </w:p>
          <w:p w14:paraId="060CB09A" w14:textId="77777777" w:rsidR="00401A64" w:rsidRPr="00602165" w:rsidRDefault="00401A64" w:rsidP="00595B93">
            <w:pPr>
              <w:widowControl w:val="0"/>
              <w:jc w:val="center"/>
              <w:textAlignment w:val="top"/>
              <w:rPr>
                <w:bCs/>
                <w:sz w:val="20"/>
                <w:szCs w:val="20"/>
                <w:lang w:val="en-US"/>
              </w:rPr>
            </w:pPr>
            <w:r w:rsidRPr="00602165">
              <w:rPr>
                <w:bCs/>
                <w:sz w:val="20"/>
                <w:szCs w:val="20"/>
                <w:lang w:val="en-US"/>
              </w:rPr>
              <w:t>[1.</w:t>
            </w:r>
            <w:r>
              <w:rPr>
                <w:bCs/>
                <w:sz w:val="20"/>
                <w:szCs w:val="20"/>
                <w:lang w:val="en-US"/>
              </w:rPr>
              <w:t>7577</w:t>
            </w:r>
            <w:r w:rsidRPr="00602165">
              <w:rPr>
                <w:bCs/>
                <w:sz w:val="20"/>
                <w:szCs w:val="20"/>
                <w:lang w:val="en-US"/>
              </w:rPr>
              <w:t>]</w:t>
            </w:r>
          </w:p>
        </w:tc>
        <w:tc>
          <w:tcPr>
            <w:tcW w:w="1144" w:type="dxa"/>
            <w:tcBorders>
              <w:top w:val="single" w:sz="4" w:space="0" w:color="auto"/>
            </w:tcBorders>
          </w:tcPr>
          <w:p w14:paraId="2FDFA54A" w14:textId="77777777" w:rsidR="00401A64" w:rsidRPr="009756F4" w:rsidRDefault="00401A64" w:rsidP="00595B93">
            <w:pPr>
              <w:widowControl w:val="0"/>
              <w:spacing w:before="60"/>
              <w:jc w:val="center"/>
              <w:textAlignment w:val="top"/>
              <w:rPr>
                <w:bCs/>
                <w:sz w:val="20"/>
                <w:szCs w:val="20"/>
                <w:lang w:val="en-US"/>
              </w:rPr>
            </w:pPr>
            <w:r w:rsidRPr="009756F4">
              <w:rPr>
                <w:bCs/>
                <w:sz w:val="20"/>
                <w:szCs w:val="20"/>
                <w:lang w:val="en-US"/>
              </w:rPr>
              <w:t>0.0</w:t>
            </w:r>
            <w:r>
              <w:rPr>
                <w:bCs/>
                <w:sz w:val="20"/>
                <w:szCs w:val="20"/>
                <w:lang w:val="en-US"/>
              </w:rPr>
              <w:t>840</w:t>
            </w:r>
          </w:p>
          <w:p w14:paraId="31D4DB34" w14:textId="77777777" w:rsidR="00401A64" w:rsidRPr="009756F4" w:rsidRDefault="00401A64" w:rsidP="00595B93">
            <w:pPr>
              <w:widowControl w:val="0"/>
              <w:jc w:val="center"/>
              <w:textAlignment w:val="top"/>
              <w:rPr>
                <w:bCs/>
                <w:sz w:val="20"/>
                <w:szCs w:val="20"/>
                <w:lang w:val="en-US"/>
              </w:rPr>
            </w:pPr>
            <w:r w:rsidRPr="009756F4">
              <w:rPr>
                <w:bCs/>
                <w:sz w:val="20"/>
                <w:szCs w:val="20"/>
                <w:lang w:val="en-US"/>
              </w:rPr>
              <w:t>(0.2</w:t>
            </w:r>
            <w:r>
              <w:rPr>
                <w:bCs/>
                <w:sz w:val="20"/>
                <w:szCs w:val="20"/>
                <w:lang w:val="en-US"/>
              </w:rPr>
              <w:t>000</w:t>
            </w:r>
            <w:r w:rsidRPr="009756F4">
              <w:rPr>
                <w:bCs/>
                <w:sz w:val="20"/>
                <w:szCs w:val="20"/>
                <w:lang w:val="en-US"/>
              </w:rPr>
              <w:t>)</w:t>
            </w:r>
          </w:p>
          <w:p w14:paraId="4DEA3321" w14:textId="77777777" w:rsidR="00401A64" w:rsidRPr="009756F4" w:rsidRDefault="00401A64" w:rsidP="00595B93">
            <w:pPr>
              <w:widowControl w:val="0"/>
              <w:jc w:val="center"/>
              <w:textAlignment w:val="top"/>
              <w:rPr>
                <w:bCs/>
                <w:sz w:val="20"/>
                <w:szCs w:val="20"/>
                <w:lang w:val="en-US"/>
              </w:rPr>
            </w:pPr>
            <w:r w:rsidRPr="009756F4">
              <w:rPr>
                <w:bCs/>
                <w:sz w:val="20"/>
                <w:szCs w:val="20"/>
                <w:lang w:val="en-US"/>
              </w:rPr>
              <w:t>[0.</w:t>
            </w:r>
            <w:r>
              <w:rPr>
                <w:bCs/>
                <w:sz w:val="20"/>
                <w:szCs w:val="20"/>
                <w:lang w:val="en-US"/>
              </w:rPr>
              <w:t>4203</w:t>
            </w:r>
            <w:r w:rsidRPr="009756F4">
              <w:rPr>
                <w:bCs/>
                <w:sz w:val="20"/>
                <w:szCs w:val="20"/>
                <w:lang w:val="en-US"/>
              </w:rPr>
              <w:t>]</w:t>
            </w:r>
          </w:p>
        </w:tc>
        <w:tc>
          <w:tcPr>
            <w:tcW w:w="1144" w:type="dxa"/>
            <w:tcBorders>
              <w:top w:val="single" w:sz="4" w:space="0" w:color="auto"/>
            </w:tcBorders>
          </w:tcPr>
          <w:p w14:paraId="2CB85FA4" w14:textId="77777777" w:rsidR="00401A64" w:rsidRPr="00F50950" w:rsidRDefault="00401A64" w:rsidP="00595B93">
            <w:pPr>
              <w:widowControl w:val="0"/>
              <w:spacing w:before="60"/>
              <w:jc w:val="center"/>
              <w:textAlignment w:val="top"/>
              <w:rPr>
                <w:bCs/>
                <w:sz w:val="20"/>
                <w:szCs w:val="20"/>
                <w:lang w:val="en-US"/>
              </w:rPr>
            </w:pPr>
            <w:r w:rsidRPr="00F50950">
              <w:rPr>
                <w:bCs/>
                <w:sz w:val="20"/>
                <w:szCs w:val="20"/>
                <w:lang w:val="en-US"/>
              </w:rPr>
              <w:t>0.</w:t>
            </w:r>
            <w:r>
              <w:rPr>
                <w:bCs/>
                <w:sz w:val="20"/>
                <w:szCs w:val="20"/>
                <w:lang w:val="en-US"/>
              </w:rPr>
              <w:t>1089</w:t>
            </w:r>
          </w:p>
          <w:p w14:paraId="3839EA93" w14:textId="77777777" w:rsidR="00401A64" w:rsidRPr="00F50950" w:rsidRDefault="00401A64" w:rsidP="00595B93">
            <w:pPr>
              <w:widowControl w:val="0"/>
              <w:jc w:val="center"/>
              <w:textAlignment w:val="top"/>
              <w:rPr>
                <w:bCs/>
                <w:sz w:val="20"/>
                <w:szCs w:val="20"/>
                <w:lang w:val="en-US"/>
              </w:rPr>
            </w:pPr>
            <w:r w:rsidRPr="00F50950">
              <w:rPr>
                <w:bCs/>
                <w:sz w:val="20"/>
                <w:szCs w:val="20"/>
                <w:lang w:val="en-US"/>
              </w:rPr>
              <w:t>(0.1</w:t>
            </w:r>
            <w:r>
              <w:rPr>
                <w:bCs/>
                <w:sz w:val="20"/>
                <w:szCs w:val="20"/>
                <w:lang w:val="en-US"/>
              </w:rPr>
              <w:t>408</w:t>
            </w:r>
            <w:r w:rsidRPr="00F50950">
              <w:rPr>
                <w:bCs/>
                <w:sz w:val="20"/>
                <w:szCs w:val="20"/>
                <w:lang w:val="en-US"/>
              </w:rPr>
              <w:t>)</w:t>
            </w:r>
          </w:p>
          <w:p w14:paraId="20E8D4A2" w14:textId="77777777" w:rsidR="00401A64" w:rsidRPr="00F50950" w:rsidRDefault="00401A64" w:rsidP="00595B93">
            <w:pPr>
              <w:widowControl w:val="0"/>
              <w:jc w:val="center"/>
              <w:textAlignment w:val="top"/>
              <w:rPr>
                <w:bCs/>
                <w:sz w:val="20"/>
                <w:szCs w:val="20"/>
                <w:lang w:val="en-US"/>
              </w:rPr>
            </w:pPr>
            <w:r w:rsidRPr="00F50950">
              <w:rPr>
                <w:bCs/>
                <w:sz w:val="20"/>
                <w:szCs w:val="20"/>
                <w:lang w:val="en-US"/>
              </w:rPr>
              <w:t>[</w:t>
            </w:r>
            <w:r>
              <w:rPr>
                <w:bCs/>
                <w:sz w:val="20"/>
                <w:szCs w:val="20"/>
                <w:lang w:val="en-US"/>
              </w:rPr>
              <w:t>0.7733</w:t>
            </w:r>
            <w:r w:rsidRPr="00F50950">
              <w:rPr>
                <w:bCs/>
                <w:sz w:val="20"/>
                <w:szCs w:val="20"/>
                <w:lang w:val="en-US"/>
              </w:rPr>
              <w:t>]</w:t>
            </w:r>
          </w:p>
        </w:tc>
        <w:tc>
          <w:tcPr>
            <w:tcW w:w="1144" w:type="dxa"/>
            <w:tcBorders>
              <w:top w:val="single" w:sz="4" w:space="0" w:color="auto"/>
            </w:tcBorders>
          </w:tcPr>
          <w:p w14:paraId="1F320C6B" w14:textId="77777777" w:rsidR="00401A64" w:rsidRPr="00D34BB5" w:rsidRDefault="00401A64" w:rsidP="00595B93">
            <w:pPr>
              <w:widowControl w:val="0"/>
              <w:spacing w:before="60"/>
              <w:jc w:val="center"/>
              <w:textAlignment w:val="top"/>
              <w:rPr>
                <w:bCs/>
                <w:sz w:val="20"/>
                <w:szCs w:val="20"/>
                <w:lang w:val="en-US"/>
              </w:rPr>
            </w:pPr>
            <w:r w:rsidRPr="00D34BB5">
              <w:rPr>
                <w:bCs/>
                <w:sz w:val="20"/>
                <w:szCs w:val="20"/>
                <w:lang w:val="en-US"/>
              </w:rPr>
              <w:t>0.1</w:t>
            </w:r>
            <w:r>
              <w:rPr>
                <w:bCs/>
                <w:sz w:val="20"/>
                <w:szCs w:val="20"/>
                <w:lang w:val="en-US"/>
              </w:rPr>
              <w:t>584</w:t>
            </w:r>
          </w:p>
          <w:p w14:paraId="5E1315DF" w14:textId="77777777" w:rsidR="00401A64" w:rsidRPr="00D34BB5" w:rsidRDefault="00401A64" w:rsidP="00595B93">
            <w:pPr>
              <w:widowControl w:val="0"/>
              <w:jc w:val="center"/>
              <w:textAlignment w:val="top"/>
              <w:rPr>
                <w:bCs/>
                <w:sz w:val="20"/>
                <w:szCs w:val="20"/>
                <w:lang w:val="en-US"/>
              </w:rPr>
            </w:pPr>
            <w:r w:rsidRPr="00D34BB5">
              <w:rPr>
                <w:bCs/>
                <w:sz w:val="20"/>
                <w:szCs w:val="20"/>
                <w:lang w:val="en-US"/>
              </w:rPr>
              <w:t>(0.1</w:t>
            </w:r>
            <w:r>
              <w:rPr>
                <w:bCs/>
                <w:sz w:val="20"/>
                <w:szCs w:val="20"/>
                <w:lang w:val="en-US"/>
              </w:rPr>
              <w:t>581</w:t>
            </w:r>
            <w:r w:rsidRPr="00D34BB5">
              <w:rPr>
                <w:bCs/>
                <w:sz w:val="20"/>
                <w:szCs w:val="20"/>
                <w:lang w:val="en-US"/>
              </w:rPr>
              <w:t>)</w:t>
            </w:r>
          </w:p>
          <w:p w14:paraId="1D3B0446" w14:textId="77777777" w:rsidR="00401A64" w:rsidRPr="00D34BB5" w:rsidRDefault="00401A64" w:rsidP="00595B93">
            <w:pPr>
              <w:widowControl w:val="0"/>
              <w:jc w:val="center"/>
              <w:textAlignment w:val="top"/>
              <w:rPr>
                <w:bCs/>
                <w:sz w:val="20"/>
                <w:szCs w:val="20"/>
                <w:lang w:val="en-US"/>
              </w:rPr>
            </w:pPr>
            <w:r w:rsidRPr="00D34BB5">
              <w:rPr>
                <w:bCs/>
                <w:sz w:val="20"/>
                <w:szCs w:val="20"/>
                <w:lang w:val="en-US"/>
              </w:rPr>
              <w:t>[1.</w:t>
            </w:r>
            <w:r>
              <w:rPr>
                <w:bCs/>
                <w:sz w:val="20"/>
                <w:szCs w:val="20"/>
                <w:lang w:val="en-US"/>
              </w:rPr>
              <w:t>0015</w:t>
            </w:r>
            <w:r w:rsidRPr="00D34BB5">
              <w:rPr>
                <w:bCs/>
                <w:sz w:val="20"/>
                <w:szCs w:val="20"/>
                <w:lang w:val="en-US"/>
              </w:rPr>
              <w:t>]</w:t>
            </w:r>
          </w:p>
        </w:tc>
        <w:tc>
          <w:tcPr>
            <w:tcW w:w="1144" w:type="dxa"/>
            <w:tcBorders>
              <w:top w:val="single" w:sz="4" w:space="0" w:color="auto"/>
            </w:tcBorders>
          </w:tcPr>
          <w:p w14:paraId="7C1FB95C" w14:textId="77777777" w:rsidR="00401A64" w:rsidRPr="0089404C" w:rsidRDefault="00401A64" w:rsidP="00595B93">
            <w:pPr>
              <w:widowControl w:val="0"/>
              <w:spacing w:before="60"/>
              <w:jc w:val="center"/>
              <w:textAlignment w:val="top"/>
              <w:rPr>
                <w:bCs/>
                <w:sz w:val="20"/>
                <w:szCs w:val="20"/>
                <w:lang w:val="en-US"/>
              </w:rPr>
            </w:pPr>
            <w:r w:rsidRPr="0089404C">
              <w:rPr>
                <w:bCs/>
                <w:sz w:val="20"/>
                <w:szCs w:val="20"/>
                <w:lang w:val="en-US"/>
              </w:rPr>
              <w:t>0.3354**</w:t>
            </w:r>
          </w:p>
          <w:p w14:paraId="6816E6A5" w14:textId="77777777" w:rsidR="00401A64" w:rsidRPr="0089404C" w:rsidRDefault="00401A64" w:rsidP="00595B93">
            <w:pPr>
              <w:widowControl w:val="0"/>
              <w:jc w:val="center"/>
              <w:textAlignment w:val="top"/>
              <w:rPr>
                <w:bCs/>
                <w:sz w:val="20"/>
                <w:szCs w:val="20"/>
                <w:lang w:val="en-US"/>
              </w:rPr>
            </w:pPr>
            <w:r w:rsidRPr="0089404C">
              <w:rPr>
                <w:bCs/>
                <w:sz w:val="20"/>
                <w:szCs w:val="20"/>
                <w:lang w:val="en-US"/>
              </w:rPr>
              <w:t>(0.1337)</w:t>
            </w:r>
          </w:p>
          <w:p w14:paraId="519B3B41" w14:textId="77777777" w:rsidR="00401A64" w:rsidRPr="0089404C" w:rsidRDefault="00401A64" w:rsidP="00595B93">
            <w:pPr>
              <w:widowControl w:val="0"/>
              <w:jc w:val="center"/>
              <w:textAlignment w:val="top"/>
              <w:rPr>
                <w:bCs/>
                <w:sz w:val="20"/>
                <w:szCs w:val="20"/>
                <w:lang w:val="en-US"/>
              </w:rPr>
            </w:pPr>
            <w:r w:rsidRPr="0089404C">
              <w:rPr>
                <w:bCs/>
                <w:sz w:val="20"/>
                <w:szCs w:val="20"/>
                <w:lang w:val="en-US"/>
              </w:rPr>
              <w:t>[2.5085]</w:t>
            </w:r>
          </w:p>
        </w:tc>
        <w:tc>
          <w:tcPr>
            <w:tcW w:w="1144" w:type="dxa"/>
            <w:tcBorders>
              <w:top w:val="single" w:sz="4" w:space="0" w:color="auto"/>
            </w:tcBorders>
          </w:tcPr>
          <w:p w14:paraId="4B3D1B5B" w14:textId="77777777" w:rsidR="00401A64" w:rsidRPr="006B4ECF" w:rsidRDefault="00401A64" w:rsidP="00595B93">
            <w:pPr>
              <w:widowControl w:val="0"/>
              <w:spacing w:before="60"/>
              <w:jc w:val="center"/>
              <w:textAlignment w:val="top"/>
              <w:rPr>
                <w:bCs/>
                <w:sz w:val="20"/>
                <w:szCs w:val="20"/>
                <w:lang w:val="en-US"/>
              </w:rPr>
            </w:pPr>
            <w:r w:rsidRPr="006B4ECF">
              <w:rPr>
                <w:bCs/>
                <w:sz w:val="20"/>
                <w:szCs w:val="20"/>
                <w:lang w:val="en-US"/>
              </w:rPr>
              <w:t>0.</w:t>
            </w:r>
            <w:r>
              <w:rPr>
                <w:bCs/>
                <w:sz w:val="20"/>
                <w:szCs w:val="20"/>
                <w:lang w:val="en-US"/>
              </w:rPr>
              <w:t>4430</w:t>
            </w:r>
            <w:r w:rsidRPr="006B4ECF">
              <w:rPr>
                <w:bCs/>
                <w:sz w:val="20"/>
                <w:szCs w:val="20"/>
                <w:lang w:val="en-US"/>
              </w:rPr>
              <w:t>**</w:t>
            </w:r>
          </w:p>
          <w:p w14:paraId="024F5DBC" w14:textId="77777777" w:rsidR="00401A64" w:rsidRPr="006B4ECF" w:rsidRDefault="00401A64" w:rsidP="00595B93">
            <w:pPr>
              <w:widowControl w:val="0"/>
              <w:jc w:val="center"/>
              <w:textAlignment w:val="top"/>
              <w:rPr>
                <w:bCs/>
                <w:sz w:val="20"/>
                <w:szCs w:val="20"/>
                <w:lang w:val="en-US"/>
              </w:rPr>
            </w:pPr>
            <w:r w:rsidRPr="006B4ECF">
              <w:rPr>
                <w:bCs/>
                <w:sz w:val="20"/>
                <w:szCs w:val="20"/>
                <w:lang w:val="en-US"/>
              </w:rPr>
              <w:t>(0.</w:t>
            </w:r>
            <w:r>
              <w:rPr>
                <w:bCs/>
                <w:sz w:val="20"/>
                <w:szCs w:val="20"/>
                <w:lang w:val="en-US"/>
              </w:rPr>
              <w:t>1869</w:t>
            </w:r>
            <w:r w:rsidRPr="006B4ECF">
              <w:rPr>
                <w:bCs/>
                <w:sz w:val="20"/>
                <w:szCs w:val="20"/>
                <w:lang w:val="en-US"/>
              </w:rPr>
              <w:t>)</w:t>
            </w:r>
          </w:p>
          <w:p w14:paraId="39CBA973" w14:textId="77777777" w:rsidR="00401A64" w:rsidRPr="006B4ECF" w:rsidRDefault="00401A64" w:rsidP="00595B93">
            <w:pPr>
              <w:widowControl w:val="0"/>
              <w:jc w:val="center"/>
              <w:textAlignment w:val="top"/>
              <w:rPr>
                <w:bCs/>
                <w:sz w:val="20"/>
                <w:szCs w:val="20"/>
                <w:lang w:val="en-US"/>
              </w:rPr>
            </w:pPr>
            <w:r w:rsidRPr="006B4ECF">
              <w:rPr>
                <w:bCs/>
                <w:sz w:val="20"/>
                <w:szCs w:val="20"/>
                <w:lang w:val="en-US"/>
              </w:rPr>
              <w:t>[</w:t>
            </w:r>
            <w:r>
              <w:rPr>
                <w:bCs/>
                <w:sz w:val="20"/>
                <w:szCs w:val="20"/>
                <w:lang w:val="en-US"/>
              </w:rPr>
              <w:t>2.3695</w:t>
            </w:r>
            <w:r w:rsidRPr="006B4ECF">
              <w:rPr>
                <w:bCs/>
                <w:sz w:val="20"/>
                <w:szCs w:val="20"/>
                <w:lang w:val="en-US"/>
              </w:rPr>
              <w:t>]</w:t>
            </w:r>
          </w:p>
        </w:tc>
      </w:tr>
      <w:tr w:rsidR="00401A64" w:rsidRPr="0047024D" w14:paraId="46561CBB" w14:textId="77777777" w:rsidTr="00595B93">
        <w:tc>
          <w:tcPr>
            <w:tcW w:w="1172" w:type="dxa"/>
          </w:tcPr>
          <w:p w14:paraId="3C8A0E5B"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OPEN</w:t>
            </w:r>
            <w:r w:rsidRPr="00491C04">
              <w:rPr>
                <w:bCs/>
                <w:i/>
                <w:sz w:val="20"/>
                <w:szCs w:val="20"/>
                <w:vertAlign w:val="subscript"/>
                <w:lang w:val="en-US"/>
              </w:rPr>
              <w:t>i,t-1</w:t>
            </w:r>
          </w:p>
        </w:tc>
        <w:tc>
          <w:tcPr>
            <w:tcW w:w="1144" w:type="dxa"/>
          </w:tcPr>
          <w:p w14:paraId="17558198" w14:textId="77777777" w:rsidR="00401A64" w:rsidRPr="006467AD" w:rsidRDefault="00401A64" w:rsidP="00595B93">
            <w:pPr>
              <w:widowControl w:val="0"/>
              <w:spacing w:before="60"/>
              <w:jc w:val="center"/>
              <w:textAlignment w:val="top"/>
              <w:rPr>
                <w:bCs/>
                <w:sz w:val="20"/>
                <w:szCs w:val="20"/>
                <w:lang w:val="en-US"/>
              </w:rPr>
            </w:pPr>
            <w:r w:rsidRPr="006467AD">
              <w:rPr>
                <w:bCs/>
                <w:sz w:val="20"/>
                <w:szCs w:val="20"/>
                <w:lang w:val="en-US"/>
              </w:rPr>
              <w:t>-0.</w:t>
            </w:r>
            <w:r>
              <w:rPr>
                <w:bCs/>
                <w:sz w:val="20"/>
                <w:szCs w:val="20"/>
                <w:lang w:val="en-US"/>
              </w:rPr>
              <w:t>2878*</w:t>
            </w:r>
            <w:r w:rsidRPr="006467AD">
              <w:rPr>
                <w:bCs/>
                <w:sz w:val="20"/>
                <w:szCs w:val="20"/>
                <w:lang w:val="en-US"/>
              </w:rPr>
              <w:t>**</w:t>
            </w:r>
          </w:p>
          <w:p w14:paraId="4659511A" w14:textId="77777777" w:rsidR="00401A64" w:rsidRPr="006467AD" w:rsidRDefault="00401A64" w:rsidP="00595B93">
            <w:pPr>
              <w:widowControl w:val="0"/>
              <w:jc w:val="center"/>
              <w:textAlignment w:val="top"/>
              <w:rPr>
                <w:bCs/>
                <w:sz w:val="20"/>
                <w:szCs w:val="20"/>
                <w:lang w:val="en-US"/>
              </w:rPr>
            </w:pPr>
            <w:r w:rsidRPr="006467AD">
              <w:rPr>
                <w:bCs/>
                <w:sz w:val="20"/>
                <w:szCs w:val="20"/>
                <w:lang w:val="en-US"/>
              </w:rPr>
              <w:t>(0.</w:t>
            </w:r>
            <w:r>
              <w:rPr>
                <w:bCs/>
                <w:sz w:val="20"/>
                <w:szCs w:val="20"/>
                <w:lang w:val="en-US"/>
              </w:rPr>
              <w:t>0856</w:t>
            </w:r>
            <w:r w:rsidRPr="006467AD">
              <w:rPr>
                <w:bCs/>
                <w:sz w:val="20"/>
                <w:szCs w:val="20"/>
                <w:lang w:val="en-US"/>
              </w:rPr>
              <w:t>)</w:t>
            </w:r>
          </w:p>
          <w:p w14:paraId="6B8924B7" w14:textId="77777777" w:rsidR="00401A64" w:rsidRPr="006467AD" w:rsidRDefault="00401A64" w:rsidP="00595B93">
            <w:pPr>
              <w:widowControl w:val="0"/>
              <w:jc w:val="center"/>
              <w:textAlignment w:val="top"/>
              <w:rPr>
                <w:bCs/>
                <w:sz w:val="20"/>
                <w:szCs w:val="20"/>
                <w:lang w:val="en-US"/>
              </w:rPr>
            </w:pPr>
            <w:r w:rsidRPr="006467AD">
              <w:rPr>
                <w:bCs/>
                <w:sz w:val="20"/>
                <w:szCs w:val="20"/>
                <w:lang w:val="en-US"/>
              </w:rPr>
              <w:t>[-</w:t>
            </w:r>
            <w:r>
              <w:rPr>
                <w:bCs/>
                <w:sz w:val="20"/>
                <w:szCs w:val="20"/>
                <w:lang w:val="en-US"/>
              </w:rPr>
              <w:t>3.3601</w:t>
            </w:r>
            <w:r w:rsidRPr="006467AD">
              <w:rPr>
                <w:bCs/>
                <w:sz w:val="20"/>
                <w:szCs w:val="20"/>
                <w:lang w:val="en-US"/>
              </w:rPr>
              <w:t>]</w:t>
            </w:r>
          </w:p>
        </w:tc>
        <w:tc>
          <w:tcPr>
            <w:tcW w:w="1144" w:type="dxa"/>
          </w:tcPr>
          <w:p w14:paraId="07526B42" w14:textId="77777777" w:rsidR="00401A64" w:rsidRPr="00602165" w:rsidRDefault="00401A64" w:rsidP="00595B93">
            <w:pPr>
              <w:widowControl w:val="0"/>
              <w:spacing w:before="60"/>
              <w:jc w:val="center"/>
              <w:textAlignment w:val="top"/>
              <w:rPr>
                <w:bCs/>
                <w:sz w:val="20"/>
                <w:szCs w:val="20"/>
                <w:lang w:val="en-US"/>
              </w:rPr>
            </w:pPr>
            <w:r w:rsidRPr="00602165">
              <w:rPr>
                <w:bCs/>
                <w:sz w:val="20"/>
                <w:szCs w:val="20"/>
                <w:lang w:val="en-US"/>
              </w:rPr>
              <w:t>-0.</w:t>
            </w:r>
            <w:r>
              <w:rPr>
                <w:bCs/>
                <w:sz w:val="20"/>
                <w:szCs w:val="20"/>
                <w:lang w:val="en-US"/>
              </w:rPr>
              <w:t>3318</w:t>
            </w:r>
            <w:r w:rsidRPr="00602165">
              <w:rPr>
                <w:bCs/>
                <w:sz w:val="20"/>
                <w:szCs w:val="20"/>
                <w:lang w:val="en-US"/>
              </w:rPr>
              <w:t>**</w:t>
            </w:r>
          </w:p>
          <w:p w14:paraId="7FE9704E" w14:textId="77777777" w:rsidR="00401A64" w:rsidRPr="00602165" w:rsidRDefault="00401A64" w:rsidP="00595B93">
            <w:pPr>
              <w:widowControl w:val="0"/>
              <w:jc w:val="center"/>
              <w:textAlignment w:val="top"/>
              <w:rPr>
                <w:bCs/>
                <w:sz w:val="20"/>
                <w:szCs w:val="20"/>
                <w:lang w:val="en-US"/>
              </w:rPr>
            </w:pPr>
            <w:r w:rsidRPr="00602165">
              <w:rPr>
                <w:bCs/>
                <w:sz w:val="20"/>
                <w:szCs w:val="20"/>
                <w:lang w:val="en-US"/>
              </w:rPr>
              <w:t>(0.</w:t>
            </w:r>
            <w:r>
              <w:rPr>
                <w:bCs/>
                <w:sz w:val="20"/>
                <w:szCs w:val="20"/>
                <w:lang w:val="en-US"/>
              </w:rPr>
              <w:t>0881</w:t>
            </w:r>
            <w:r w:rsidRPr="00602165">
              <w:rPr>
                <w:bCs/>
                <w:sz w:val="20"/>
                <w:szCs w:val="20"/>
                <w:lang w:val="en-US"/>
              </w:rPr>
              <w:t>)</w:t>
            </w:r>
          </w:p>
          <w:p w14:paraId="39865C6B" w14:textId="77777777" w:rsidR="00401A64" w:rsidRPr="00602165" w:rsidRDefault="00401A64" w:rsidP="00595B93">
            <w:pPr>
              <w:widowControl w:val="0"/>
              <w:jc w:val="center"/>
              <w:textAlignment w:val="top"/>
              <w:rPr>
                <w:bCs/>
                <w:sz w:val="20"/>
                <w:szCs w:val="20"/>
                <w:lang w:val="en-US"/>
              </w:rPr>
            </w:pPr>
            <w:r w:rsidRPr="00602165">
              <w:rPr>
                <w:bCs/>
                <w:sz w:val="20"/>
                <w:szCs w:val="20"/>
                <w:lang w:val="en-US"/>
              </w:rPr>
              <w:t>[-</w:t>
            </w:r>
            <w:r>
              <w:rPr>
                <w:bCs/>
                <w:sz w:val="20"/>
                <w:szCs w:val="20"/>
                <w:lang w:val="en-US"/>
              </w:rPr>
              <w:t>3.7663</w:t>
            </w:r>
            <w:r w:rsidRPr="00602165">
              <w:rPr>
                <w:bCs/>
                <w:sz w:val="20"/>
                <w:szCs w:val="20"/>
                <w:lang w:val="en-US"/>
              </w:rPr>
              <w:t>]</w:t>
            </w:r>
          </w:p>
        </w:tc>
        <w:tc>
          <w:tcPr>
            <w:tcW w:w="1144" w:type="dxa"/>
          </w:tcPr>
          <w:p w14:paraId="729446EA" w14:textId="77777777" w:rsidR="00401A64" w:rsidRPr="009756F4" w:rsidRDefault="00401A64" w:rsidP="00595B93">
            <w:pPr>
              <w:widowControl w:val="0"/>
              <w:spacing w:before="60"/>
              <w:jc w:val="center"/>
              <w:textAlignment w:val="top"/>
              <w:rPr>
                <w:bCs/>
                <w:sz w:val="20"/>
                <w:szCs w:val="20"/>
                <w:lang w:val="en-US"/>
              </w:rPr>
            </w:pPr>
            <w:r w:rsidRPr="009756F4">
              <w:rPr>
                <w:bCs/>
                <w:sz w:val="20"/>
                <w:szCs w:val="20"/>
                <w:lang w:val="en-US"/>
              </w:rPr>
              <w:t>-0.</w:t>
            </w:r>
            <w:r>
              <w:rPr>
                <w:bCs/>
                <w:sz w:val="20"/>
                <w:szCs w:val="20"/>
                <w:lang w:val="en-US"/>
              </w:rPr>
              <w:t>24</w:t>
            </w:r>
            <w:r w:rsidRPr="009756F4">
              <w:rPr>
                <w:bCs/>
                <w:sz w:val="20"/>
                <w:szCs w:val="20"/>
                <w:lang w:val="en-US"/>
              </w:rPr>
              <w:t>65*</w:t>
            </w:r>
            <w:r>
              <w:rPr>
                <w:bCs/>
                <w:sz w:val="20"/>
                <w:szCs w:val="20"/>
                <w:lang w:val="en-US"/>
              </w:rPr>
              <w:t>*</w:t>
            </w:r>
          </w:p>
          <w:p w14:paraId="3D717B3D" w14:textId="77777777" w:rsidR="00401A64" w:rsidRPr="009756F4" w:rsidRDefault="00401A64" w:rsidP="00595B93">
            <w:pPr>
              <w:widowControl w:val="0"/>
              <w:jc w:val="center"/>
              <w:textAlignment w:val="top"/>
              <w:rPr>
                <w:bCs/>
                <w:sz w:val="20"/>
                <w:szCs w:val="20"/>
                <w:lang w:val="en-US"/>
              </w:rPr>
            </w:pPr>
            <w:r w:rsidRPr="009756F4">
              <w:rPr>
                <w:bCs/>
                <w:sz w:val="20"/>
                <w:szCs w:val="20"/>
                <w:lang w:val="en-US"/>
              </w:rPr>
              <w:t>(0.</w:t>
            </w:r>
            <w:r>
              <w:rPr>
                <w:bCs/>
                <w:sz w:val="20"/>
                <w:szCs w:val="20"/>
                <w:lang w:val="en-US"/>
              </w:rPr>
              <w:t>1201</w:t>
            </w:r>
            <w:r w:rsidRPr="009756F4">
              <w:rPr>
                <w:bCs/>
                <w:sz w:val="20"/>
                <w:szCs w:val="20"/>
                <w:lang w:val="en-US"/>
              </w:rPr>
              <w:t>)</w:t>
            </w:r>
          </w:p>
          <w:p w14:paraId="4591B34B" w14:textId="77777777" w:rsidR="00401A64" w:rsidRPr="009756F4" w:rsidRDefault="00401A64" w:rsidP="00595B93">
            <w:pPr>
              <w:widowControl w:val="0"/>
              <w:jc w:val="center"/>
              <w:textAlignment w:val="top"/>
              <w:rPr>
                <w:bCs/>
                <w:sz w:val="20"/>
                <w:szCs w:val="20"/>
                <w:lang w:val="en-US"/>
              </w:rPr>
            </w:pPr>
            <w:r w:rsidRPr="009756F4">
              <w:rPr>
                <w:bCs/>
                <w:sz w:val="20"/>
                <w:szCs w:val="20"/>
                <w:lang w:val="en-US"/>
              </w:rPr>
              <w:t>[-</w:t>
            </w:r>
            <w:r>
              <w:rPr>
                <w:bCs/>
                <w:sz w:val="20"/>
                <w:szCs w:val="20"/>
                <w:lang w:val="en-US"/>
              </w:rPr>
              <w:t>2.0519</w:t>
            </w:r>
            <w:r w:rsidRPr="009756F4">
              <w:rPr>
                <w:bCs/>
                <w:sz w:val="20"/>
                <w:szCs w:val="20"/>
                <w:lang w:val="en-US"/>
              </w:rPr>
              <w:t>]</w:t>
            </w:r>
          </w:p>
        </w:tc>
        <w:tc>
          <w:tcPr>
            <w:tcW w:w="1144" w:type="dxa"/>
          </w:tcPr>
          <w:p w14:paraId="01981FD0" w14:textId="77777777" w:rsidR="00401A64" w:rsidRPr="00F50950" w:rsidRDefault="00401A64" w:rsidP="00595B93">
            <w:pPr>
              <w:widowControl w:val="0"/>
              <w:spacing w:before="60"/>
              <w:jc w:val="center"/>
              <w:textAlignment w:val="top"/>
              <w:rPr>
                <w:bCs/>
                <w:sz w:val="20"/>
                <w:szCs w:val="20"/>
                <w:lang w:val="en-US"/>
              </w:rPr>
            </w:pPr>
            <w:r w:rsidRPr="00F50950">
              <w:rPr>
                <w:bCs/>
                <w:sz w:val="20"/>
                <w:szCs w:val="20"/>
                <w:lang w:val="en-US"/>
              </w:rPr>
              <w:t>-0.</w:t>
            </w:r>
            <w:r>
              <w:rPr>
                <w:bCs/>
                <w:sz w:val="20"/>
                <w:szCs w:val="20"/>
                <w:lang w:val="en-US"/>
              </w:rPr>
              <w:t>1607*</w:t>
            </w:r>
            <w:r w:rsidRPr="00F50950">
              <w:rPr>
                <w:bCs/>
                <w:sz w:val="20"/>
                <w:szCs w:val="20"/>
                <w:lang w:val="en-US"/>
              </w:rPr>
              <w:t>*</w:t>
            </w:r>
          </w:p>
          <w:p w14:paraId="440920B1" w14:textId="77777777" w:rsidR="00401A64" w:rsidRPr="00F50950" w:rsidRDefault="00401A64" w:rsidP="00595B93">
            <w:pPr>
              <w:widowControl w:val="0"/>
              <w:jc w:val="center"/>
              <w:textAlignment w:val="top"/>
              <w:rPr>
                <w:bCs/>
                <w:sz w:val="20"/>
                <w:szCs w:val="20"/>
                <w:lang w:val="en-US"/>
              </w:rPr>
            </w:pPr>
            <w:r w:rsidRPr="00F50950">
              <w:rPr>
                <w:bCs/>
                <w:sz w:val="20"/>
                <w:szCs w:val="20"/>
                <w:lang w:val="en-US"/>
              </w:rPr>
              <w:t>(0.</w:t>
            </w:r>
            <w:r>
              <w:rPr>
                <w:bCs/>
                <w:sz w:val="20"/>
                <w:szCs w:val="20"/>
                <w:lang w:val="en-US"/>
              </w:rPr>
              <w:t>0636</w:t>
            </w:r>
            <w:r w:rsidRPr="00F50950">
              <w:rPr>
                <w:bCs/>
                <w:sz w:val="20"/>
                <w:szCs w:val="20"/>
                <w:lang w:val="en-US"/>
              </w:rPr>
              <w:t>)</w:t>
            </w:r>
          </w:p>
          <w:p w14:paraId="2D37EDA3" w14:textId="77777777" w:rsidR="00401A64" w:rsidRPr="00F50950" w:rsidRDefault="00401A64" w:rsidP="00595B93">
            <w:pPr>
              <w:widowControl w:val="0"/>
              <w:jc w:val="center"/>
              <w:textAlignment w:val="top"/>
              <w:rPr>
                <w:bCs/>
                <w:sz w:val="20"/>
                <w:szCs w:val="20"/>
                <w:lang w:val="en-US"/>
              </w:rPr>
            </w:pPr>
            <w:r w:rsidRPr="00F50950">
              <w:rPr>
                <w:bCs/>
                <w:sz w:val="20"/>
                <w:szCs w:val="20"/>
                <w:lang w:val="en-US"/>
              </w:rPr>
              <w:t>[-</w:t>
            </w:r>
            <w:r>
              <w:rPr>
                <w:bCs/>
                <w:sz w:val="20"/>
                <w:szCs w:val="20"/>
                <w:lang w:val="en-US"/>
              </w:rPr>
              <w:t>2.5247</w:t>
            </w:r>
            <w:r w:rsidRPr="00F50950">
              <w:rPr>
                <w:bCs/>
                <w:sz w:val="20"/>
                <w:szCs w:val="20"/>
                <w:lang w:val="en-US"/>
              </w:rPr>
              <w:t>]</w:t>
            </w:r>
          </w:p>
        </w:tc>
        <w:tc>
          <w:tcPr>
            <w:tcW w:w="1144" w:type="dxa"/>
          </w:tcPr>
          <w:p w14:paraId="55A44228" w14:textId="77777777" w:rsidR="00401A64" w:rsidRPr="00D34BB5" w:rsidRDefault="00401A64" w:rsidP="00595B93">
            <w:pPr>
              <w:widowControl w:val="0"/>
              <w:spacing w:before="60"/>
              <w:jc w:val="center"/>
              <w:textAlignment w:val="top"/>
              <w:rPr>
                <w:bCs/>
                <w:sz w:val="20"/>
                <w:szCs w:val="20"/>
                <w:lang w:val="en-US"/>
              </w:rPr>
            </w:pPr>
            <w:r w:rsidRPr="00D34BB5">
              <w:rPr>
                <w:bCs/>
                <w:sz w:val="20"/>
                <w:szCs w:val="20"/>
                <w:lang w:val="en-US"/>
              </w:rPr>
              <w:t>-</w:t>
            </w:r>
            <w:r>
              <w:rPr>
                <w:bCs/>
                <w:sz w:val="20"/>
                <w:szCs w:val="20"/>
                <w:lang w:val="en-US"/>
              </w:rPr>
              <w:t>0.3259</w:t>
            </w:r>
            <w:r w:rsidRPr="00D34BB5">
              <w:rPr>
                <w:bCs/>
                <w:sz w:val="20"/>
                <w:szCs w:val="20"/>
                <w:lang w:val="en-US"/>
              </w:rPr>
              <w:t>***</w:t>
            </w:r>
          </w:p>
          <w:p w14:paraId="198ADE5D" w14:textId="77777777" w:rsidR="00401A64" w:rsidRPr="00D34BB5" w:rsidRDefault="00401A64" w:rsidP="00595B93">
            <w:pPr>
              <w:widowControl w:val="0"/>
              <w:jc w:val="center"/>
              <w:textAlignment w:val="top"/>
              <w:rPr>
                <w:bCs/>
                <w:sz w:val="20"/>
                <w:szCs w:val="20"/>
                <w:lang w:val="en-US"/>
              </w:rPr>
            </w:pPr>
            <w:r w:rsidRPr="00D34BB5">
              <w:rPr>
                <w:bCs/>
                <w:sz w:val="20"/>
                <w:szCs w:val="20"/>
                <w:lang w:val="en-US"/>
              </w:rPr>
              <w:t>(0.</w:t>
            </w:r>
            <w:r>
              <w:rPr>
                <w:bCs/>
                <w:sz w:val="20"/>
                <w:szCs w:val="20"/>
                <w:lang w:val="en-US"/>
              </w:rPr>
              <w:t>0932</w:t>
            </w:r>
            <w:r w:rsidRPr="00D34BB5">
              <w:rPr>
                <w:bCs/>
                <w:sz w:val="20"/>
                <w:szCs w:val="20"/>
                <w:lang w:val="en-US"/>
              </w:rPr>
              <w:t>)</w:t>
            </w:r>
          </w:p>
          <w:p w14:paraId="7F81437D" w14:textId="77777777" w:rsidR="00401A64" w:rsidRPr="00D34BB5" w:rsidRDefault="00401A64" w:rsidP="00595B93">
            <w:pPr>
              <w:widowControl w:val="0"/>
              <w:jc w:val="center"/>
              <w:textAlignment w:val="top"/>
              <w:rPr>
                <w:bCs/>
                <w:sz w:val="20"/>
                <w:szCs w:val="20"/>
                <w:lang w:val="en-US"/>
              </w:rPr>
            </w:pPr>
            <w:r w:rsidRPr="00D34BB5">
              <w:rPr>
                <w:bCs/>
                <w:sz w:val="20"/>
                <w:szCs w:val="20"/>
                <w:lang w:val="en-US"/>
              </w:rPr>
              <w:t>[-3.</w:t>
            </w:r>
            <w:r>
              <w:rPr>
                <w:bCs/>
                <w:sz w:val="20"/>
                <w:szCs w:val="20"/>
                <w:lang w:val="en-US"/>
              </w:rPr>
              <w:t>4957</w:t>
            </w:r>
            <w:r w:rsidRPr="00D34BB5">
              <w:rPr>
                <w:bCs/>
                <w:sz w:val="20"/>
                <w:szCs w:val="20"/>
                <w:lang w:val="en-US"/>
              </w:rPr>
              <w:t>]</w:t>
            </w:r>
          </w:p>
        </w:tc>
        <w:tc>
          <w:tcPr>
            <w:tcW w:w="1144" w:type="dxa"/>
          </w:tcPr>
          <w:p w14:paraId="1D070AF9" w14:textId="77777777" w:rsidR="00401A64" w:rsidRPr="0089404C" w:rsidRDefault="00401A64" w:rsidP="00595B93">
            <w:pPr>
              <w:widowControl w:val="0"/>
              <w:spacing w:before="60"/>
              <w:jc w:val="center"/>
              <w:textAlignment w:val="top"/>
              <w:rPr>
                <w:bCs/>
                <w:sz w:val="20"/>
                <w:szCs w:val="20"/>
                <w:lang w:val="en-US"/>
              </w:rPr>
            </w:pPr>
            <w:r w:rsidRPr="0089404C">
              <w:rPr>
                <w:bCs/>
                <w:sz w:val="20"/>
                <w:szCs w:val="20"/>
                <w:lang w:val="en-US"/>
              </w:rPr>
              <w:t>-0.1482**</w:t>
            </w:r>
          </w:p>
          <w:p w14:paraId="323CAFF9" w14:textId="77777777" w:rsidR="00401A64" w:rsidRPr="0089404C" w:rsidRDefault="00401A64" w:rsidP="00595B93">
            <w:pPr>
              <w:widowControl w:val="0"/>
              <w:jc w:val="center"/>
              <w:textAlignment w:val="top"/>
              <w:rPr>
                <w:bCs/>
                <w:sz w:val="20"/>
                <w:szCs w:val="20"/>
                <w:lang w:val="en-US"/>
              </w:rPr>
            </w:pPr>
            <w:r w:rsidRPr="0089404C">
              <w:rPr>
                <w:bCs/>
                <w:sz w:val="20"/>
                <w:szCs w:val="20"/>
                <w:lang w:val="en-US"/>
              </w:rPr>
              <w:t>(0.0659)</w:t>
            </w:r>
          </w:p>
          <w:p w14:paraId="5D37C22A" w14:textId="77777777" w:rsidR="00401A64" w:rsidRPr="0089404C" w:rsidRDefault="00401A64" w:rsidP="00595B93">
            <w:pPr>
              <w:widowControl w:val="0"/>
              <w:jc w:val="center"/>
              <w:textAlignment w:val="top"/>
              <w:rPr>
                <w:bCs/>
                <w:sz w:val="20"/>
                <w:szCs w:val="20"/>
                <w:lang w:val="en-US"/>
              </w:rPr>
            </w:pPr>
            <w:r w:rsidRPr="0089404C">
              <w:rPr>
                <w:bCs/>
                <w:sz w:val="20"/>
                <w:szCs w:val="20"/>
                <w:lang w:val="en-US"/>
              </w:rPr>
              <w:t>[-2.2482]</w:t>
            </w:r>
          </w:p>
        </w:tc>
        <w:tc>
          <w:tcPr>
            <w:tcW w:w="1144" w:type="dxa"/>
          </w:tcPr>
          <w:p w14:paraId="3F20B5E0" w14:textId="77777777" w:rsidR="00401A64" w:rsidRPr="006B4ECF" w:rsidRDefault="00401A64" w:rsidP="00595B93">
            <w:pPr>
              <w:widowControl w:val="0"/>
              <w:spacing w:before="60"/>
              <w:jc w:val="center"/>
              <w:textAlignment w:val="top"/>
              <w:rPr>
                <w:bCs/>
                <w:sz w:val="20"/>
                <w:szCs w:val="20"/>
                <w:lang w:val="en-US"/>
              </w:rPr>
            </w:pPr>
            <w:r w:rsidRPr="006B4ECF">
              <w:rPr>
                <w:bCs/>
                <w:sz w:val="20"/>
                <w:szCs w:val="20"/>
                <w:lang w:val="en-US"/>
              </w:rPr>
              <w:t>-0.</w:t>
            </w:r>
            <w:r>
              <w:rPr>
                <w:bCs/>
                <w:sz w:val="20"/>
                <w:szCs w:val="20"/>
                <w:lang w:val="en-US"/>
              </w:rPr>
              <w:t>3721</w:t>
            </w:r>
            <w:r w:rsidRPr="006B4ECF">
              <w:rPr>
                <w:bCs/>
                <w:sz w:val="20"/>
                <w:szCs w:val="20"/>
                <w:lang w:val="en-US"/>
              </w:rPr>
              <w:t>***</w:t>
            </w:r>
          </w:p>
          <w:p w14:paraId="64EE2C70" w14:textId="77777777" w:rsidR="00401A64" w:rsidRPr="006B4ECF" w:rsidRDefault="00401A64" w:rsidP="00595B93">
            <w:pPr>
              <w:widowControl w:val="0"/>
              <w:jc w:val="center"/>
              <w:textAlignment w:val="top"/>
              <w:rPr>
                <w:bCs/>
                <w:sz w:val="20"/>
                <w:szCs w:val="20"/>
                <w:lang w:val="en-US"/>
              </w:rPr>
            </w:pPr>
            <w:r w:rsidRPr="006B4ECF">
              <w:rPr>
                <w:bCs/>
                <w:sz w:val="20"/>
                <w:szCs w:val="20"/>
                <w:lang w:val="en-US"/>
              </w:rPr>
              <w:t>(0.</w:t>
            </w:r>
            <w:r>
              <w:rPr>
                <w:bCs/>
                <w:sz w:val="20"/>
                <w:szCs w:val="20"/>
                <w:lang w:val="en-US"/>
              </w:rPr>
              <w:t>0840</w:t>
            </w:r>
            <w:r w:rsidRPr="006B4ECF">
              <w:rPr>
                <w:bCs/>
                <w:sz w:val="20"/>
                <w:szCs w:val="20"/>
                <w:lang w:val="en-US"/>
              </w:rPr>
              <w:t>)</w:t>
            </w:r>
          </w:p>
          <w:p w14:paraId="202BAB44" w14:textId="77777777" w:rsidR="00401A64" w:rsidRPr="006B4ECF" w:rsidRDefault="00401A64" w:rsidP="00595B93">
            <w:pPr>
              <w:widowControl w:val="0"/>
              <w:jc w:val="center"/>
              <w:textAlignment w:val="top"/>
              <w:rPr>
                <w:bCs/>
                <w:sz w:val="20"/>
                <w:szCs w:val="20"/>
                <w:lang w:val="en-US"/>
              </w:rPr>
            </w:pPr>
            <w:r w:rsidRPr="006B4ECF">
              <w:rPr>
                <w:bCs/>
                <w:sz w:val="20"/>
                <w:szCs w:val="20"/>
                <w:lang w:val="en-US"/>
              </w:rPr>
              <w:t>[-</w:t>
            </w:r>
            <w:r>
              <w:rPr>
                <w:bCs/>
                <w:sz w:val="20"/>
                <w:szCs w:val="20"/>
                <w:lang w:val="en-US"/>
              </w:rPr>
              <w:t>4.4301</w:t>
            </w:r>
            <w:r w:rsidRPr="006B4ECF">
              <w:rPr>
                <w:bCs/>
                <w:sz w:val="20"/>
                <w:szCs w:val="20"/>
                <w:lang w:val="en-US"/>
              </w:rPr>
              <w:t>]</w:t>
            </w:r>
          </w:p>
        </w:tc>
      </w:tr>
      <w:tr w:rsidR="00401A64" w:rsidRPr="0047024D" w14:paraId="0A4DE89F" w14:textId="77777777" w:rsidTr="00595B93">
        <w:tc>
          <w:tcPr>
            <w:tcW w:w="1172" w:type="dxa"/>
          </w:tcPr>
          <w:p w14:paraId="70990148"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PAT</w:t>
            </w:r>
            <w:r w:rsidRPr="00491C04">
              <w:rPr>
                <w:bCs/>
                <w:i/>
                <w:sz w:val="20"/>
                <w:szCs w:val="20"/>
                <w:vertAlign w:val="subscript"/>
                <w:lang w:val="en-US"/>
              </w:rPr>
              <w:t>,t-1</w:t>
            </w:r>
          </w:p>
        </w:tc>
        <w:tc>
          <w:tcPr>
            <w:tcW w:w="1144" w:type="dxa"/>
          </w:tcPr>
          <w:p w14:paraId="38D30EB5" w14:textId="77777777" w:rsidR="00401A64" w:rsidRPr="006467AD" w:rsidRDefault="00401A64" w:rsidP="00595B93">
            <w:pPr>
              <w:widowControl w:val="0"/>
              <w:spacing w:before="60"/>
              <w:jc w:val="center"/>
              <w:textAlignment w:val="top"/>
              <w:rPr>
                <w:bCs/>
                <w:sz w:val="20"/>
                <w:szCs w:val="20"/>
                <w:lang w:val="en-US"/>
              </w:rPr>
            </w:pPr>
            <w:r w:rsidRPr="006467AD">
              <w:rPr>
                <w:bCs/>
                <w:sz w:val="20"/>
                <w:szCs w:val="20"/>
                <w:lang w:val="en-US"/>
              </w:rPr>
              <w:t>-0.</w:t>
            </w:r>
            <w:r>
              <w:rPr>
                <w:bCs/>
                <w:sz w:val="20"/>
                <w:szCs w:val="20"/>
                <w:lang w:val="en-US"/>
              </w:rPr>
              <w:t>1512</w:t>
            </w:r>
            <w:r w:rsidRPr="006467AD">
              <w:rPr>
                <w:bCs/>
                <w:sz w:val="20"/>
                <w:szCs w:val="20"/>
                <w:lang w:val="en-US"/>
              </w:rPr>
              <w:t>*</w:t>
            </w:r>
          </w:p>
          <w:p w14:paraId="13E810CB" w14:textId="77777777" w:rsidR="00401A64" w:rsidRPr="006467AD" w:rsidRDefault="00401A64" w:rsidP="00595B93">
            <w:pPr>
              <w:widowControl w:val="0"/>
              <w:jc w:val="center"/>
              <w:textAlignment w:val="top"/>
              <w:rPr>
                <w:bCs/>
                <w:sz w:val="20"/>
                <w:szCs w:val="20"/>
                <w:lang w:val="en-US"/>
              </w:rPr>
            </w:pPr>
            <w:r w:rsidRPr="006467AD">
              <w:rPr>
                <w:bCs/>
                <w:sz w:val="20"/>
                <w:szCs w:val="20"/>
                <w:lang w:val="en-US"/>
              </w:rPr>
              <w:t>(0.</w:t>
            </w:r>
            <w:r>
              <w:rPr>
                <w:bCs/>
                <w:sz w:val="20"/>
                <w:szCs w:val="20"/>
                <w:lang w:val="en-US"/>
              </w:rPr>
              <w:t>0771</w:t>
            </w:r>
            <w:r w:rsidRPr="006467AD">
              <w:rPr>
                <w:bCs/>
                <w:sz w:val="20"/>
                <w:szCs w:val="20"/>
                <w:lang w:val="en-US"/>
              </w:rPr>
              <w:t>)</w:t>
            </w:r>
          </w:p>
          <w:p w14:paraId="48D909D2" w14:textId="77777777" w:rsidR="00401A64" w:rsidRPr="006467AD" w:rsidRDefault="00401A64" w:rsidP="00595B93">
            <w:pPr>
              <w:widowControl w:val="0"/>
              <w:jc w:val="center"/>
              <w:textAlignment w:val="top"/>
              <w:rPr>
                <w:bCs/>
                <w:sz w:val="20"/>
                <w:szCs w:val="20"/>
                <w:lang w:val="en-US"/>
              </w:rPr>
            </w:pPr>
            <w:r w:rsidRPr="006467AD">
              <w:rPr>
                <w:bCs/>
                <w:sz w:val="20"/>
                <w:szCs w:val="20"/>
                <w:lang w:val="en-US"/>
              </w:rPr>
              <w:t>[-1.</w:t>
            </w:r>
            <w:r>
              <w:rPr>
                <w:bCs/>
                <w:sz w:val="20"/>
                <w:szCs w:val="20"/>
                <w:lang w:val="en-US"/>
              </w:rPr>
              <w:t>9609</w:t>
            </w:r>
            <w:r w:rsidRPr="006467AD">
              <w:rPr>
                <w:bCs/>
                <w:sz w:val="20"/>
                <w:szCs w:val="20"/>
                <w:lang w:val="en-US"/>
              </w:rPr>
              <w:t>]</w:t>
            </w:r>
          </w:p>
        </w:tc>
        <w:tc>
          <w:tcPr>
            <w:tcW w:w="1144" w:type="dxa"/>
          </w:tcPr>
          <w:p w14:paraId="495AA178" w14:textId="77777777" w:rsidR="00401A64" w:rsidRPr="00602165" w:rsidRDefault="00401A64" w:rsidP="00595B93">
            <w:pPr>
              <w:widowControl w:val="0"/>
              <w:spacing w:before="60"/>
              <w:jc w:val="center"/>
              <w:textAlignment w:val="top"/>
              <w:rPr>
                <w:bCs/>
                <w:sz w:val="20"/>
                <w:szCs w:val="20"/>
                <w:lang w:val="en-US"/>
              </w:rPr>
            </w:pPr>
            <w:r w:rsidRPr="00602165">
              <w:rPr>
                <w:bCs/>
                <w:sz w:val="20"/>
                <w:szCs w:val="20"/>
                <w:lang w:val="en-US"/>
              </w:rPr>
              <w:t>-0.</w:t>
            </w:r>
            <w:r>
              <w:rPr>
                <w:bCs/>
                <w:sz w:val="20"/>
                <w:szCs w:val="20"/>
                <w:lang w:val="en-US"/>
              </w:rPr>
              <w:t>1893**</w:t>
            </w:r>
          </w:p>
          <w:p w14:paraId="34F14CD0" w14:textId="77777777" w:rsidR="00401A64" w:rsidRPr="00602165" w:rsidRDefault="00401A64" w:rsidP="00595B93">
            <w:pPr>
              <w:widowControl w:val="0"/>
              <w:jc w:val="center"/>
              <w:textAlignment w:val="top"/>
              <w:rPr>
                <w:bCs/>
                <w:sz w:val="20"/>
                <w:szCs w:val="20"/>
                <w:lang w:val="en-US"/>
              </w:rPr>
            </w:pPr>
            <w:r w:rsidRPr="00602165">
              <w:rPr>
                <w:bCs/>
                <w:sz w:val="20"/>
                <w:szCs w:val="20"/>
                <w:lang w:val="en-US"/>
              </w:rPr>
              <w:t>(0.</w:t>
            </w:r>
            <w:r>
              <w:rPr>
                <w:bCs/>
                <w:sz w:val="20"/>
                <w:szCs w:val="20"/>
                <w:lang w:val="en-US"/>
              </w:rPr>
              <w:t>1081</w:t>
            </w:r>
            <w:r w:rsidRPr="00602165">
              <w:rPr>
                <w:bCs/>
                <w:sz w:val="20"/>
                <w:szCs w:val="20"/>
                <w:lang w:val="en-US"/>
              </w:rPr>
              <w:t>)</w:t>
            </w:r>
          </w:p>
          <w:p w14:paraId="281CA7B3" w14:textId="77777777" w:rsidR="00401A64" w:rsidRPr="00602165" w:rsidRDefault="00401A64" w:rsidP="00595B93">
            <w:pPr>
              <w:widowControl w:val="0"/>
              <w:jc w:val="center"/>
              <w:textAlignment w:val="top"/>
              <w:rPr>
                <w:bCs/>
                <w:sz w:val="20"/>
                <w:szCs w:val="20"/>
                <w:lang w:val="en-US"/>
              </w:rPr>
            </w:pPr>
            <w:r w:rsidRPr="00602165">
              <w:rPr>
                <w:bCs/>
                <w:sz w:val="20"/>
                <w:szCs w:val="20"/>
                <w:lang w:val="en-US"/>
              </w:rPr>
              <w:t>[-1.</w:t>
            </w:r>
            <w:r>
              <w:rPr>
                <w:bCs/>
                <w:sz w:val="20"/>
                <w:szCs w:val="20"/>
                <w:lang w:val="en-US"/>
              </w:rPr>
              <w:t>7511</w:t>
            </w:r>
            <w:r w:rsidRPr="00602165">
              <w:rPr>
                <w:bCs/>
                <w:sz w:val="20"/>
                <w:szCs w:val="20"/>
                <w:lang w:val="en-US"/>
              </w:rPr>
              <w:t>]</w:t>
            </w:r>
          </w:p>
        </w:tc>
        <w:tc>
          <w:tcPr>
            <w:tcW w:w="1144" w:type="dxa"/>
          </w:tcPr>
          <w:p w14:paraId="6E5A3339" w14:textId="77777777" w:rsidR="00401A64" w:rsidRPr="009756F4" w:rsidRDefault="00401A64" w:rsidP="00595B93">
            <w:pPr>
              <w:widowControl w:val="0"/>
              <w:spacing w:before="60"/>
              <w:jc w:val="center"/>
              <w:textAlignment w:val="top"/>
              <w:rPr>
                <w:bCs/>
                <w:sz w:val="20"/>
                <w:szCs w:val="20"/>
                <w:lang w:val="en-US"/>
              </w:rPr>
            </w:pPr>
            <w:r w:rsidRPr="009756F4">
              <w:rPr>
                <w:bCs/>
                <w:sz w:val="20"/>
                <w:szCs w:val="20"/>
                <w:lang w:val="en-US"/>
              </w:rPr>
              <w:t>-0.1</w:t>
            </w:r>
            <w:r>
              <w:rPr>
                <w:bCs/>
                <w:sz w:val="20"/>
                <w:szCs w:val="20"/>
                <w:lang w:val="en-US"/>
              </w:rPr>
              <w:t>182</w:t>
            </w:r>
          </w:p>
          <w:p w14:paraId="156C1090" w14:textId="77777777" w:rsidR="00401A64" w:rsidRPr="009756F4" w:rsidRDefault="00401A64" w:rsidP="00595B93">
            <w:pPr>
              <w:widowControl w:val="0"/>
              <w:jc w:val="center"/>
              <w:textAlignment w:val="top"/>
              <w:rPr>
                <w:bCs/>
                <w:sz w:val="20"/>
                <w:szCs w:val="20"/>
                <w:lang w:val="en-US"/>
              </w:rPr>
            </w:pPr>
            <w:r w:rsidRPr="009756F4">
              <w:rPr>
                <w:bCs/>
                <w:sz w:val="20"/>
                <w:szCs w:val="20"/>
                <w:lang w:val="en-US"/>
              </w:rPr>
              <w:t>(0.</w:t>
            </w:r>
            <w:r>
              <w:rPr>
                <w:bCs/>
                <w:sz w:val="20"/>
                <w:szCs w:val="20"/>
                <w:lang w:val="en-US"/>
              </w:rPr>
              <w:t>1070</w:t>
            </w:r>
            <w:r w:rsidRPr="009756F4">
              <w:rPr>
                <w:bCs/>
                <w:sz w:val="20"/>
                <w:szCs w:val="20"/>
                <w:lang w:val="en-US"/>
              </w:rPr>
              <w:t>)</w:t>
            </w:r>
          </w:p>
          <w:p w14:paraId="6DC42BB7" w14:textId="77777777" w:rsidR="00401A64" w:rsidRPr="009756F4" w:rsidRDefault="00401A64" w:rsidP="00595B93">
            <w:pPr>
              <w:widowControl w:val="0"/>
              <w:jc w:val="center"/>
              <w:textAlignment w:val="top"/>
              <w:rPr>
                <w:bCs/>
                <w:sz w:val="20"/>
                <w:szCs w:val="20"/>
                <w:lang w:val="en-US"/>
              </w:rPr>
            </w:pPr>
            <w:r w:rsidRPr="009756F4">
              <w:rPr>
                <w:bCs/>
                <w:sz w:val="20"/>
                <w:szCs w:val="20"/>
                <w:lang w:val="en-US"/>
              </w:rPr>
              <w:t>[-</w:t>
            </w:r>
            <w:r>
              <w:rPr>
                <w:bCs/>
                <w:sz w:val="20"/>
                <w:szCs w:val="20"/>
                <w:lang w:val="en-US"/>
              </w:rPr>
              <w:t>1.1051</w:t>
            </w:r>
            <w:r w:rsidRPr="009756F4">
              <w:rPr>
                <w:bCs/>
                <w:sz w:val="20"/>
                <w:szCs w:val="20"/>
                <w:lang w:val="en-US"/>
              </w:rPr>
              <w:t>]</w:t>
            </w:r>
          </w:p>
        </w:tc>
        <w:tc>
          <w:tcPr>
            <w:tcW w:w="1144" w:type="dxa"/>
          </w:tcPr>
          <w:p w14:paraId="19CE0FA8" w14:textId="77777777" w:rsidR="00401A64" w:rsidRPr="00F50950" w:rsidRDefault="00401A64" w:rsidP="00595B93">
            <w:pPr>
              <w:widowControl w:val="0"/>
              <w:spacing w:before="60"/>
              <w:jc w:val="center"/>
              <w:textAlignment w:val="top"/>
              <w:rPr>
                <w:bCs/>
                <w:sz w:val="20"/>
                <w:szCs w:val="20"/>
                <w:lang w:val="en-US"/>
              </w:rPr>
            </w:pPr>
            <w:r w:rsidRPr="00F50950">
              <w:rPr>
                <w:bCs/>
                <w:sz w:val="20"/>
                <w:szCs w:val="20"/>
                <w:lang w:val="en-US"/>
              </w:rPr>
              <w:t>-0.</w:t>
            </w:r>
            <w:r>
              <w:rPr>
                <w:bCs/>
                <w:sz w:val="20"/>
                <w:szCs w:val="20"/>
                <w:lang w:val="en-US"/>
              </w:rPr>
              <w:t>1827***</w:t>
            </w:r>
          </w:p>
          <w:p w14:paraId="113B6365" w14:textId="77777777" w:rsidR="00401A64" w:rsidRPr="00F50950" w:rsidRDefault="00401A64" w:rsidP="00595B93">
            <w:pPr>
              <w:widowControl w:val="0"/>
              <w:jc w:val="center"/>
              <w:textAlignment w:val="top"/>
              <w:rPr>
                <w:bCs/>
                <w:sz w:val="20"/>
                <w:szCs w:val="20"/>
                <w:lang w:val="en-US"/>
              </w:rPr>
            </w:pPr>
            <w:r w:rsidRPr="00F50950">
              <w:rPr>
                <w:bCs/>
                <w:sz w:val="20"/>
                <w:szCs w:val="20"/>
                <w:lang w:val="en-US"/>
              </w:rPr>
              <w:t>(0.</w:t>
            </w:r>
            <w:r>
              <w:rPr>
                <w:bCs/>
                <w:sz w:val="20"/>
                <w:szCs w:val="20"/>
                <w:lang w:val="en-US"/>
              </w:rPr>
              <w:t>0639</w:t>
            </w:r>
            <w:r w:rsidRPr="00F50950">
              <w:rPr>
                <w:bCs/>
                <w:sz w:val="20"/>
                <w:szCs w:val="20"/>
                <w:lang w:val="en-US"/>
              </w:rPr>
              <w:t>)</w:t>
            </w:r>
          </w:p>
          <w:p w14:paraId="2E60D87C" w14:textId="77777777" w:rsidR="00401A64" w:rsidRPr="00F50950" w:rsidRDefault="00401A64" w:rsidP="00595B93">
            <w:pPr>
              <w:widowControl w:val="0"/>
              <w:jc w:val="center"/>
              <w:textAlignment w:val="top"/>
              <w:rPr>
                <w:bCs/>
                <w:sz w:val="20"/>
                <w:szCs w:val="20"/>
                <w:lang w:val="en-US"/>
              </w:rPr>
            </w:pPr>
            <w:r w:rsidRPr="00F50950">
              <w:rPr>
                <w:bCs/>
                <w:sz w:val="20"/>
                <w:szCs w:val="20"/>
                <w:lang w:val="en-US"/>
              </w:rPr>
              <w:t>[-</w:t>
            </w:r>
            <w:r>
              <w:rPr>
                <w:bCs/>
                <w:sz w:val="20"/>
                <w:szCs w:val="20"/>
                <w:lang w:val="en-US"/>
              </w:rPr>
              <w:t>2.8562</w:t>
            </w:r>
            <w:r w:rsidRPr="00F50950">
              <w:rPr>
                <w:bCs/>
                <w:sz w:val="20"/>
                <w:szCs w:val="20"/>
                <w:lang w:val="en-US"/>
              </w:rPr>
              <w:t>]</w:t>
            </w:r>
          </w:p>
        </w:tc>
        <w:tc>
          <w:tcPr>
            <w:tcW w:w="1144" w:type="dxa"/>
          </w:tcPr>
          <w:p w14:paraId="545DC8C4" w14:textId="77777777" w:rsidR="00401A64" w:rsidRPr="00D34BB5" w:rsidRDefault="00401A64" w:rsidP="00595B93">
            <w:pPr>
              <w:widowControl w:val="0"/>
              <w:spacing w:before="60"/>
              <w:jc w:val="center"/>
              <w:textAlignment w:val="top"/>
              <w:rPr>
                <w:bCs/>
                <w:sz w:val="20"/>
                <w:szCs w:val="20"/>
                <w:lang w:val="en-US"/>
              </w:rPr>
            </w:pPr>
            <w:r w:rsidRPr="00D34BB5">
              <w:rPr>
                <w:bCs/>
                <w:sz w:val="20"/>
                <w:szCs w:val="20"/>
                <w:lang w:val="en-US"/>
              </w:rPr>
              <w:t>-0.</w:t>
            </w:r>
            <w:r>
              <w:rPr>
                <w:bCs/>
                <w:sz w:val="20"/>
                <w:szCs w:val="20"/>
                <w:lang w:val="en-US"/>
              </w:rPr>
              <w:t>2285*</w:t>
            </w:r>
          </w:p>
          <w:p w14:paraId="2CEBD821" w14:textId="77777777" w:rsidR="00401A64" w:rsidRPr="00D34BB5" w:rsidRDefault="00401A64" w:rsidP="00595B93">
            <w:pPr>
              <w:widowControl w:val="0"/>
              <w:jc w:val="center"/>
              <w:textAlignment w:val="top"/>
              <w:rPr>
                <w:bCs/>
                <w:sz w:val="20"/>
                <w:szCs w:val="20"/>
                <w:lang w:val="en-US"/>
              </w:rPr>
            </w:pPr>
            <w:r w:rsidRPr="00D34BB5">
              <w:rPr>
                <w:bCs/>
                <w:sz w:val="20"/>
                <w:szCs w:val="20"/>
                <w:lang w:val="en-US"/>
              </w:rPr>
              <w:t>(0.</w:t>
            </w:r>
            <w:r>
              <w:rPr>
                <w:bCs/>
                <w:sz w:val="20"/>
                <w:szCs w:val="20"/>
                <w:lang w:val="en-US"/>
              </w:rPr>
              <w:t>1332</w:t>
            </w:r>
            <w:r w:rsidRPr="00D34BB5">
              <w:rPr>
                <w:bCs/>
                <w:sz w:val="20"/>
                <w:szCs w:val="20"/>
                <w:lang w:val="en-US"/>
              </w:rPr>
              <w:t>)</w:t>
            </w:r>
          </w:p>
          <w:p w14:paraId="6ECF240E" w14:textId="77777777" w:rsidR="00401A64" w:rsidRPr="00D34BB5" w:rsidRDefault="00401A64" w:rsidP="00595B93">
            <w:pPr>
              <w:widowControl w:val="0"/>
              <w:jc w:val="center"/>
              <w:textAlignment w:val="top"/>
              <w:rPr>
                <w:bCs/>
                <w:sz w:val="20"/>
                <w:szCs w:val="20"/>
                <w:lang w:val="en-US"/>
              </w:rPr>
            </w:pPr>
            <w:r w:rsidRPr="00D34BB5">
              <w:rPr>
                <w:bCs/>
                <w:sz w:val="20"/>
                <w:szCs w:val="20"/>
                <w:lang w:val="en-US"/>
              </w:rPr>
              <w:t>[-1.</w:t>
            </w:r>
            <w:r>
              <w:rPr>
                <w:bCs/>
                <w:sz w:val="20"/>
                <w:szCs w:val="20"/>
                <w:lang w:val="en-US"/>
              </w:rPr>
              <w:t>7145</w:t>
            </w:r>
            <w:r w:rsidRPr="00D34BB5">
              <w:rPr>
                <w:bCs/>
                <w:sz w:val="20"/>
                <w:szCs w:val="20"/>
                <w:lang w:val="en-US"/>
              </w:rPr>
              <w:t>]</w:t>
            </w:r>
          </w:p>
        </w:tc>
        <w:tc>
          <w:tcPr>
            <w:tcW w:w="1144" w:type="dxa"/>
          </w:tcPr>
          <w:p w14:paraId="1BA72486" w14:textId="77777777" w:rsidR="00401A64" w:rsidRPr="0089404C" w:rsidRDefault="00401A64" w:rsidP="00595B93">
            <w:pPr>
              <w:widowControl w:val="0"/>
              <w:spacing w:before="60"/>
              <w:jc w:val="center"/>
              <w:textAlignment w:val="top"/>
              <w:rPr>
                <w:bCs/>
                <w:sz w:val="20"/>
                <w:szCs w:val="20"/>
                <w:lang w:val="en-US"/>
              </w:rPr>
            </w:pPr>
            <w:r w:rsidRPr="0089404C">
              <w:rPr>
                <w:bCs/>
                <w:sz w:val="20"/>
                <w:szCs w:val="20"/>
                <w:lang w:val="en-US"/>
              </w:rPr>
              <w:t>-0.1670*</w:t>
            </w:r>
          </w:p>
          <w:p w14:paraId="7630F0D5" w14:textId="77777777" w:rsidR="00401A64" w:rsidRPr="0089404C" w:rsidRDefault="00401A64" w:rsidP="00595B93">
            <w:pPr>
              <w:widowControl w:val="0"/>
              <w:jc w:val="center"/>
              <w:textAlignment w:val="top"/>
              <w:rPr>
                <w:bCs/>
                <w:sz w:val="20"/>
                <w:szCs w:val="20"/>
                <w:lang w:val="en-US"/>
              </w:rPr>
            </w:pPr>
            <w:r w:rsidRPr="0089404C">
              <w:rPr>
                <w:bCs/>
                <w:sz w:val="20"/>
                <w:szCs w:val="20"/>
                <w:lang w:val="en-US"/>
              </w:rPr>
              <w:t>(0.0865)</w:t>
            </w:r>
          </w:p>
          <w:p w14:paraId="4E941882" w14:textId="77777777" w:rsidR="00401A64" w:rsidRPr="0089404C" w:rsidRDefault="00401A64" w:rsidP="00595B93">
            <w:pPr>
              <w:widowControl w:val="0"/>
              <w:jc w:val="center"/>
              <w:textAlignment w:val="top"/>
              <w:rPr>
                <w:bCs/>
                <w:sz w:val="20"/>
                <w:szCs w:val="20"/>
                <w:lang w:val="en-US"/>
              </w:rPr>
            </w:pPr>
            <w:r w:rsidRPr="0089404C">
              <w:rPr>
                <w:bCs/>
                <w:sz w:val="20"/>
                <w:szCs w:val="20"/>
                <w:lang w:val="en-US"/>
              </w:rPr>
              <w:t>[-1.9301]</w:t>
            </w:r>
          </w:p>
        </w:tc>
        <w:tc>
          <w:tcPr>
            <w:tcW w:w="1144" w:type="dxa"/>
          </w:tcPr>
          <w:p w14:paraId="227D1A41" w14:textId="77777777" w:rsidR="00401A64" w:rsidRPr="006B4ECF" w:rsidRDefault="00401A64" w:rsidP="00595B93">
            <w:pPr>
              <w:widowControl w:val="0"/>
              <w:spacing w:before="60"/>
              <w:jc w:val="center"/>
              <w:textAlignment w:val="top"/>
              <w:rPr>
                <w:bCs/>
                <w:sz w:val="20"/>
                <w:szCs w:val="20"/>
                <w:lang w:val="en-US"/>
              </w:rPr>
            </w:pPr>
            <w:r w:rsidRPr="006B4ECF">
              <w:rPr>
                <w:bCs/>
                <w:sz w:val="20"/>
                <w:szCs w:val="20"/>
                <w:lang w:val="en-US"/>
              </w:rPr>
              <w:t>-0.</w:t>
            </w:r>
            <w:r>
              <w:rPr>
                <w:bCs/>
                <w:sz w:val="20"/>
                <w:szCs w:val="20"/>
                <w:lang w:val="en-US"/>
              </w:rPr>
              <w:t>1368</w:t>
            </w:r>
          </w:p>
          <w:p w14:paraId="34650016" w14:textId="77777777" w:rsidR="00401A64" w:rsidRPr="006B4ECF" w:rsidRDefault="00401A64" w:rsidP="00595B93">
            <w:pPr>
              <w:widowControl w:val="0"/>
              <w:jc w:val="center"/>
              <w:textAlignment w:val="top"/>
              <w:rPr>
                <w:bCs/>
                <w:sz w:val="20"/>
                <w:szCs w:val="20"/>
                <w:lang w:val="en-US"/>
              </w:rPr>
            </w:pPr>
            <w:r w:rsidRPr="006B4ECF">
              <w:rPr>
                <w:bCs/>
                <w:sz w:val="20"/>
                <w:szCs w:val="20"/>
                <w:lang w:val="en-US"/>
              </w:rPr>
              <w:t>(0.</w:t>
            </w:r>
            <w:r>
              <w:rPr>
                <w:bCs/>
                <w:sz w:val="20"/>
                <w:szCs w:val="20"/>
                <w:lang w:val="en-US"/>
              </w:rPr>
              <w:t>1076</w:t>
            </w:r>
            <w:r w:rsidRPr="006B4ECF">
              <w:rPr>
                <w:bCs/>
                <w:sz w:val="20"/>
                <w:szCs w:val="20"/>
                <w:lang w:val="en-US"/>
              </w:rPr>
              <w:t>)</w:t>
            </w:r>
          </w:p>
          <w:p w14:paraId="21C128FB" w14:textId="77777777" w:rsidR="00401A64" w:rsidRPr="006B4ECF" w:rsidRDefault="00401A64" w:rsidP="00595B93">
            <w:pPr>
              <w:widowControl w:val="0"/>
              <w:jc w:val="center"/>
              <w:textAlignment w:val="top"/>
              <w:rPr>
                <w:bCs/>
                <w:sz w:val="20"/>
                <w:szCs w:val="20"/>
                <w:lang w:val="en-US"/>
              </w:rPr>
            </w:pPr>
            <w:r w:rsidRPr="006B4ECF">
              <w:rPr>
                <w:bCs/>
                <w:sz w:val="20"/>
                <w:szCs w:val="20"/>
                <w:lang w:val="en-US"/>
              </w:rPr>
              <w:t>[-</w:t>
            </w:r>
            <w:r>
              <w:rPr>
                <w:bCs/>
                <w:sz w:val="20"/>
                <w:szCs w:val="20"/>
                <w:lang w:val="en-US"/>
              </w:rPr>
              <w:t>1.2707</w:t>
            </w:r>
            <w:r w:rsidRPr="006B4ECF">
              <w:rPr>
                <w:bCs/>
                <w:sz w:val="20"/>
                <w:szCs w:val="20"/>
                <w:lang w:val="en-US"/>
              </w:rPr>
              <w:t>]</w:t>
            </w:r>
          </w:p>
        </w:tc>
      </w:tr>
      <w:tr w:rsidR="00401A64" w:rsidRPr="0047024D" w14:paraId="24459D39" w14:textId="77777777" w:rsidTr="00595B93">
        <w:tc>
          <w:tcPr>
            <w:tcW w:w="1172" w:type="dxa"/>
          </w:tcPr>
          <w:p w14:paraId="69E1E185"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FD</w:t>
            </w:r>
            <w:r w:rsidRPr="00491C04">
              <w:rPr>
                <w:bCs/>
                <w:i/>
                <w:sz w:val="20"/>
                <w:szCs w:val="20"/>
                <w:vertAlign w:val="subscript"/>
                <w:lang w:val="en-US"/>
              </w:rPr>
              <w:t>i,t-1</w:t>
            </w:r>
          </w:p>
        </w:tc>
        <w:tc>
          <w:tcPr>
            <w:tcW w:w="1144" w:type="dxa"/>
          </w:tcPr>
          <w:p w14:paraId="19958947" w14:textId="77777777" w:rsidR="00401A64" w:rsidRPr="006467AD" w:rsidRDefault="00401A64" w:rsidP="00595B93">
            <w:pPr>
              <w:widowControl w:val="0"/>
              <w:spacing w:before="60"/>
              <w:jc w:val="center"/>
              <w:textAlignment w:val="top"/>
              <w:rPr>
                <w:bCs/>
                <w:sz w:val="20"/>
                <w:szCs w:val="20"/>
                <w:lang w:val="en-US"/>
              </w:rPr>
            </w:pPr>
            <w:r w:rsidRPr="006467AD">
              <w:rPr>
                <w:bCs/>
                <w:sz w:val="20"/>
                <w:szCs w:val="20"/>
                <w:lang w:val="en-US"/>
              </w:rPr>
              <w:t>-</w:t>
            </w:r>
            <w:r>
              <w:rPr>
                <w:bCs/>
                <w:sz w:val="20"/>
                <w:szCs w:val="20"/>
                <w:lang w:val="en-US"/>
              </w:rPr>
              <w:t>0.3983</w:t>
            </w:r>
            <w:r w:rsidRPr="006467AD">
              <w:rPr>
                <w:bCs/>
                <w:sz w:val="20"/>
                <w:szCs w:val="20"/>
                <w:lang w:val="en-US"/>
              </w:rPr>
              <w:t>*</w:t>
            </w:r>
          </w:p>
          <w:p w14:paraId="18C03A18" w14:textId="77777777" w:rsidR="00401A64" w:rsidRPr="006467AD" w:rsidRDefault="00401A64" w:rsidP="00595B93">
            <w:pPr>
              <w:widowControl w:val="0"/>
              <w:jc w:val="center"/>
              <w:textAlignment w:val="top"/>
              <w:rPr>
                <w:bCs/>
                <w:sz w:val="20"/>
                <w:szCs w:val="20"/>
                <w:lang w:val="en-US"/>
              </w:rPr>
            </w:pPr>
            <w:r w:rsidRPr="006467AD">
              <w:rPr>
                <w:bCs/>
                <w:sz w:val="20"/>
                <w:szCs w:val="20"/>
                <w:lang w:val="en-US"/>
              </w:rPr>
              <w:t>(0.</w:t>
            </w:r>
            <w:r>
              <w:rPr>
                <w:bCs/>
                <w:sz w:val="20"/>
                <w:szCs w:val="20"/>
                <w:lang w:val="en-US"/>
              </w:rPr>
              <w:t>2289</w:t>
            </w:r>
            <w:r w:rsidRPr="006467AD">
              <w:rPr>
                <w:bCs/>
                <w:sz w:val="20"/>
                <w:szCs w:val="20"/>
                <w:lang w:val="en-US"/>
              </w:rPr>
              <w:t>)</w:t>
            </w:r>
          </w:p>
          <w:p w14:paraId="21816145" w14:textId="77777777" w:rsidR="00401A64" w:rsidRPr="006467AD" w:rsidRDefault="00401A64" w:rsidP="00595B93">
            <w:pPr>
              <w:widowControl w:val="0"/>
              <w:jc w:val="center"/>
              <w:textAlignment w:val="top"/>
              <w:rPr>
                <w:bCs/>
                <w:sz w:val="20"/>
                <w:szCs w:val="20"/>
                <w:lang w:val="en-US"/>
              </w:rPr>
            </w:pPr>
            <w:r w:rsidRPr="006467AD">
              <w:rPr>
                <w:bCs/>
                <w:sz w:val="20"/>
                <w:szCs w:val="20"/>
                <w:lang w:val="en-US"/>
              </w:rPr>
              <w:t>[-</w:t>
            </w:r>
            <w:r>
              <w:rPr>
                <w:bCs/>
                <w:sz w:val="20"/>
                <w:szCs w:val="20"/>
                <w:lang w:val="en-US"/>
              </w:rPr>
              <w:t>1.7399</w:t>
            </w:r>
            <w:r w:rsidRPr="006467AD">
              <w:rPr>
                <w:bCs/>
                <w:sz w:val="20"/>
                <w:szCs w:val="20"/>
                <w:lang w:val="en-US"/>
              </w:rPr>
              <w:t>]</w:t>
            </w:r>
          </w:p>
        </w:tc>
        <w:tc>
          <w:tcPr>
            <w:tcW w:w="1144" w:type="dxa"/>
          </w:tcPr>
          <w:p w14:paraId="7B7D5088" w14:textId="77777777" w:rsidR="00401A64" w:rsidRPr="00602165" w:rsidRDefault="00401A64" w:rsidP="00595B93">
            <w:pPr>
              <w:widowControl w:val="0"/>
              <w:spacing w:before="60"/>
              <w:jc w:val="center"/>
              <w:textAlignment w:val="top"/>
              <w:rPr>
                <w:bCs/>
                <w:sz w:val="20"/>
                <w:szCs w:val="20"/>
                <w:lang w:val="en-US"/>
              </w:rPr>
            </w:pPr>
            <w:r w:rsidRPr="00602165">
              <w:rPr>
                <w:bCs/>
                <w:sz w:val="20"/>
                <w:szCs w:val="20"/>
                <w:lang w:val="en-US"/>
              </w:rPr>
              <w:t>-</w:t>
            </w:r>
            <w:r>
              <w:rPr>
                <w:bCs/>
                <w:sz w:val="20"/>
                <w:szCs w:val="20"/>
                <w:lang w:val="en-US"/>
              </w:rPr>
              <w:t>0.7164</w:t>
            </w:r>
            <w:r w:rsidRPr="00602165">
              <w:rPr>
                <w:bCs/>
                <w:sz w:val="20"/>
                <w:szCs w:val="20"/>
                <w:lang w:val="en-US"/>
              </w:rPr>
              <w:t>**</w:t>
            </w:r>
          </w:p>
          <w:p w14:paraId="118761A7" w14:textId="77777777" w:rsidR="00401A64" w:rsidRPr="00602165" w:rsidRDefault="00401A64" w:rsidP="00595B93">
            <w:pPr>
              <w:widowControl w:val="0"/>
              <w:jc w:val="center"/>
              <w:textAlignment w:val="top"/>
              <w:rPr>
                <w:bCs/>
                <w:sz w:val="20"/>
                <w:szCs w:val="20"/>
                <w:lang w:val="en-US"/>
              </w:rPr>
            </w:pPr>
            <w:r w:rsidRPr="00602165">
              <w:rPr>
                <w:bCs/>
                <w:sz w:val="20"/>
                <w:szCs w:val="20"/>
                <w:lang w:val="en-US"/>
              </w:rPr>
              <w:t>(0.</w:t>
            </w:r>
            <w:r>
              <w:rPr>
                <w:bCs/>
                <w:sz w:val="20"/>
                <w:szCs w:val="20"/>
                <w:lang w:val="en-US"/>
              </w:rPr>
              <w:t>3438</w:t>
            </w:r>
            <w:r w:rsidRPr="00602165">
              <w:rPr>
                <w:bCs/>
                <w:sz w:val="20"/>
                <w:szCs w:val="20"/>
                <w:lang w:val="en-US"/>
              </w:rPr>
              <w:t>)</w:t>
            </w:r>
          </w:p>
          <w:p w14:paraId="11B9FB0B" w14:textId="77777777" w:rsidR="00401A64" w:rsidRPr="00602165" w:rsidRDefault="00401A64" w:rsidP="00595B93">
            <w:pPr>
              <w:widowControl w:val="0"/>
              <w:jc w:val="center"/>
              <w:textAlignment w:val="top"/>
              <w:rPr>
                <w:bCs/>
                <w:sz w:val="20"/>
                <w:szCs w:val="20"/>
                <w:lang w:val="en-US"/>
              </w:rPr>
            </w:pPr>
            <w:r w:rsidRPr="00602165">
              <w:rPr>
                <w:bCs/>
                <w:sz w:val="20"/>
                <w:szCs w:val="20"/>
                <w:lang w:val="en-US"/>
              </w:rPr>
              <w:t>[-2.</w:t>
            </w:r>
            <w:r>
              <w:rPr>
                <w:bCs/>
                <w:sz w:val="20"/>
                <w:szCs w:val="20"/>
                <w:lang w:val="en-US"/>
              </w:rPr>
              <w:t>0838</w:t>
            </w:r>
            <w:r w:rsidRPr="00602165">
              <w:rPr>
                <w:bCs/>
                <w:sz w:val="20"/>
                <w:szCs w:val="20"/>
                <w:lang w:val="en-US"/>
              </w:rPr>
              <w:t>]</w:t>
            </w:r>
          </w:p>
        </w:tc>
        <w:tc>
          <w:tcPr>
            <w:tcW w:w="1144" w:type="dxa"/>
          </w:tcPr>
          <w:p w14:paraId="26E09164" w14:textId="77777777" w:rsidR="00401A64" w:rsidRPr="009756F4" w:rsidRDefault="00401A64" w:rsidP="00595B93">
            <w:pPr>
              <w:widowControl w:val="0"/>
              <w:spacing w:before="60"/>
              <w:jc w:val="center"/>
              <w:textAlignment w:val="top"/>
              <w:rPr>
                <w:bCs/>
                <w:sz w:val="20"/>
                <w:szCs w:val="20"/>
                <w:lang w:val="en-US"/>
              </w:rPr>
            </w:pPr>
            <w:r w:rsidRPr="009756F4">
              <w:rPr>
                <w:bCs/>
                <w:sz w:val="20"/>
                <w:szCs w:val="20"/>
                <w:lang w:val="en-US"/>
              </w:rPr>
              <w:t>-</w:t>
            </w:r>
            <w:r>
              <w:rPr>
                <w:bCs/>
                <w:sz w:val="20"/>
                <w:szCs w:val="20"/>
                <w:lang w:val="en-US"/>
              </w:rPr>
              <w:t>0.6747*</w:t>
            </w:r>
            <w:r w:rsidRPr="009756F4">
              <w:rPr>
                <w:bCs/>
                <w:sz w:val="20"/>
                <w:szCs w:val="20"/>
                <w:lang w:val="en-US"/>
              </w:rPr>
              <w:t>*</w:t>
            </w:r>
          </w:p>
          <w:p w14:paraId="10366C3E" w14:textId="77777777" w:rsidR="00401A64" w:rsidRPr="009756F4" w:rsidRDefault="00401A64" w:rsidP="00595B93">
            <w:pPr>
              <w:widowControl w:val="0"/>
              <w:jc w:val="center"/>
              <w:textAlignment w:val="top"/>
              <w:rPr>
                <w:bCs/>
                <w:sz w:val="20"/>
                <w:szCs w:val="20"/>
                <w:lang w:val="en-US"/>
              </w:rPr>
            </w:pPr>
            <w:r w:rsidRPr="009756F4">
              <w:rPr>
                <w:bCs/>
                <w:sz w:val="20"/>
                <w:szCs w:val="20"/>
                <w:lang w:val="en-US"/>
              </w:rPr>
              <w:t>(0.</w:t>
            </w:r>
            <w:r>
              <w:rPr>
                <w:bCs/>
                <w:sz w:val="20"/>
                <w:szCs w:val="20"/>
                <w:lang w:val="en-US"/>
              </w:rPr>
              <w:t>3047</w:t>
            </w:r>
            <w:r w:rsidRPr="009756F4">
              <w:rPr>
                <w:bCs/>
                <w:sz w:val="20"/>
                <w:szCs w:val="20"/>
                <w:lang w:val="en-US"/>
              </w:rPr>
              <w:t>)</w:t>
            </w:r>
          </w:p>
          <w:p w14:paraId="12E341DF" w14:textId="77777777" w:rsidR="00401A64" w:rsidRPr="009756F4" w:rsidRDefault="00401A64" w:rsidP="00595B93">
            <w:pPr>
              <w:widowControl w:val="0"/>
              <w:jc w:val="center"/>
              <w:textAlignment w:val="top"/>
              <w:rPr>
                <w:bCs/>
                <w:sz w:val="20"/>
                <w:szCs w:val="20"/>
                <w:lang w:val="en-US"/>
              </w:rPr>
            </w:pPr>
            <w:r w:rsidRPr="009756F4">
              <w:rPr>
                <w:bCs/>
                <w:sz w:val="20"/>
                <w:szCs w:val="20"/>
                <w:lang w:val="en-US"/>
              </w:rPr>
              <w:t>[-</w:t>
            </w:r>
            <w:r>
              <w:rPr>
                <w:bCs/>
                <w:sz w:val="20"/>
                <w:szCs w:val="20"/>
                <w:lang w:val="en-US"/>
              </w:rPr>
              <w:t>2.2141</w:t>
            </w:r>
            <w:r w:rsidRPr="009756F4">
              <w:rPr>
                <w:bCs/>
                <w:sz w:val="20"/>
                <w:szCs w:val="20"/>
                <w:lang w:val="en-US"/>
              </w:rPr>
              <w:t>]</w:t>
            </w:r>
          </w:p>
        </w:tc>
        <w:tc>
          <w:tcPr>
            <w:tcW w:w="1144" w:type="dxa"/>
          </w:tcPr>
          <w:p w14:paraId="3362B618" w14:textId="77777777" w:rsidR="00401A64" w:rsidRPr="00F50950" w:rsidRDefault="00401A64" w:rsidP="00595B93">
            <w:pPr>
              <w:widowControl w:val="0"/>
              <w:spacing w:before="60"/>
              <w:jc w:val="center"/>
              <w:textAlignment w:val="top"/>
              <w:rPr>
                <w:bCs/>
                <w:sz w:val="20"/>
                <w:szCs w:val="20"/>
                <w:lang w:val="en-US"/>
              </w:rPr>
            </w:pPr>
            <w:r w:rsidRPr="00F50950">
              <w:rPr>
                <w:bCs/>
                <w:sz w:val="20"/>
                <w:szCs w:val="20"/>
                <w:lang w:val="en-US"/>
              </w:rPr>
              <w:t>-0.</w:t>
            </w:r>
            <w:r>
              <w:rPr>
                <w:bCs/>
                <w:sz w:val="20"/>
                <w:szCs w:val="20"/>
                <w:lang w:val="en-US"/>
              </w:rPr>
              <w:t>1495</w:t>
            </w:r>
          </w:p>
          <w:p w14:paraId="6CF08564" w14:textId="77777777" w:rsidR="00401A64" w:rsidRPr="00F50950" w:rsidRDefault="00401A64" w:rsidP="00595B93">
            <w:pPr>
              <w:widowControl w:val="0"/>
              <w:jc w:val="center"/>
              <w:textAlignment w:val="top"/>
              <w:rPr>
                <w:bCs/>
                <w:sz w:val="20"/>
                <w:szCs w:val="20"/>
                <w:lang w:val="en-US"/>
              </w:rPr>
            </w:pPr>
            <w:r w:rsidRPr="00F50950">
              <w:rPr>
                <w:bCs/>
                <w:sz w:val="20"/>
                <w:szCs w:val="20"/>
                <w:lang w:val="en-US"/>
              </w:rPr>
              <w:t>(0.</w:t>
            </w:r>
            <w:r>
              <w:rPr>
                <w:bCs/>
                <w:sz w:val="20"/>
                <w:szCs w:val="20"/>
                <w:lang w:val="en-US"/>
              </w:rPr>
              <w:t>1864</w:t>
            </w:r>
            <w:r w:rsidRPr="00F50950">
              <w:rPr>
                <w:bCs/>
                <w:sz w:val="20"/>
                <w:szCs w:val="20"/>
                <w:lang w:val="en-US"/>
              </w:rPr>
              <w:t>)</w:t>
            </w:r>
          </w:p>
          <w:p w14:paraId="623A42E4" w14:textId="77777777" w:rsidR="00401A64" w:rsidRPr="00F50950" w:rsidRDefault="00401A64" w:rsidP="00595B93">
            <w:pPr>
              <w:widowControl w:val="0"/>
              <w:jc w:val="center"/>
              <w:textAlignment w:val="top"/>
              <w:rPr>
                <w:bCs/>
                <w:sz w:val="20"/>
                <w:szCs w:val="20"/>
                <w:lang w:val="en-US"/>
              </w:rPr>
            </w:pPr>
            <w:r w:rsidRPr="00F50950">
              <w:rPr>
                <w:bCs/>
                <w:sz w:val="20"/>
                <w:szCs w:val="20"/>
                <w:lang w:val="en-US"/>
              </w:rPr>
              <w:t>[-0.</w:t>
            </w:r>
            <w:r>
              <w:rPr>
                <w:bCs/>
                <w:sz w:val="20"/>
                <w:szCs w:val="20"/>
                <w:lang w:val="en-US"/>
              </w:rPr>
              <w:t>8020</w:t>
            </w:r>
            <w:r w:rsidRPr="00F50950">
              <w:rPr>
                <w:bCs/>
                <w:sz w:val="20"/>
                <w:szCs w:val="20"/>
                <w:lang w:val="en-US"/>
              </w:rPr>
              <w:t>]</w:t>
            </w:r>
          </w:p>
        </w:tc>
        <w:tc>
          <w:tcPr>
            <w:tcW w:w="1144" w:type="dxa"/>
          </w:tcPr>
          <w:p w14:paraId="7024FE84" w14:textId="77777777" w:rsidR="00401A64" w:rsidRPr="00D34BB5" w:rsidRDefault="00401A64" w:rsidP="00595B93">
            <w:pPr>
              <w:widowControl w:val="0"/>
              <w:spacing w:before="60"/>
              <w:jc w:val="center"/>
              <w:textAlignment w:val="top"/>
              <w:rPr>
                <w:bCs/>
                <w:sz w:val="20"/>
                <w:szCs w:val="20"/>
                <w:lang w:val="en-US"/>
              </w:rPr>
            </w:pPr>
            <w:r w:rsidRPr="00D34BB5">
              <w:rPr>
                <w:bCs/>
                <w:sz w:val="20"/>
                <w:szCs w:val="20"/>
                <w:lang w:val="en-US"/>
              </w:rPr>
              <w:t>-</w:t>
            </w:r>
            <w:r>
              <w:rPr>
                <w:bCs/>
                <w:sz w:val="20"/>
                <w:szCs w:val="20"/>
                <w:lang w:val="en-US"/>
              </w:rPr>
              <w:t>0.6786</w:t>
            </w:r>
            <w:r w:rsidRPr="00D34BB5">
              <w:rPr>
                <w:bCs/>
                <w:sz w:val="20"/>
                <w:szCs w:val="20"/>
                <w:lang w:val="en-US"/>
              </w:rPr>
              <w:t>**</w:t>
            </w:r>
          </w:p>
          <w:p w14:paraId="5644F80D" w14:textId="77777777" w:rsidR="00401A64" w:rsidRPr="00D34BB5" w:rsidRDefault="00401A64" w:rsidP="00595B93">
            <w:pPr>
              <w:widowControl w:val="0"/>
              <w:jc w:val="center"/>
              <w:textAlignment w:val="top"/>
              <w:rPr>
                <w:bCs/>
                <w:sz w:val="20"/>
                <w:szCs w:val="20"/>
                <w:lang w:val="en-US"/>
              </w:rPr>
            </w:pPr>
            <w:r w:rsidRPr="00D34BB5">
              <w:rPr>
                <w:bCs/>
                <w:sz w:val="20"/>
                <w:szCs w:val="20"/>
                <w:lang w:val="en-US"/>
              </w:rPr>
              <w:t>(0.</w:t>
            </w:r>
            <w:r>
              <w:rPr>
                <w:bCs/>
                <w:sz w:val="20"/>
                <w:szCs w:val="20"/>
                <w:lang w:val="en-US"/>
              </w:rPr>
              <w:t>2797</w:t>
            </w:r>
            <w:r w:rsidRPr="00D34BB5">
              <w:rPr>
                <w:bCs/>
                <w:sz w:val="20"/>
                <w:szCs w:val="20"/>
                <w:lang w:val="en-US"/>
              </w:rPr>
              <w:t>)</w:t>
            </w:r>
          </w:p>
          <w:p w14:paraId="2EECEC5B" w14:textId="77777777" w:rsidR="00401A64" w:rsidRPr="00D34BB5" w:rsidRDefault="00401A64" w:rsidP="00595B93">
            <w:pPr>
              <w:widowControl w:val="0"/>
              <w:jc w:val="center"/>
              <w:textAlignment w:val="top"/>
              <w:rPr>
                <w:bCs/>
                <w:sz w:val="20"/>
                <w:szCs w:val="20"/>
                <w:lang w:val="en-US"/>
              </w:rPr>
            </w:pPr>
            <w:r w:rsidRPr="00D34BB5">
              <w:rPr>
                <w:bCs/>
                <w:sz w:val="20"/>
                <w:szCs w:val="20"/>
                <w:lang w:val="en-US"/>
              </w:rPr>
              <w:t>[-2.</w:t>
            </w:r>
            <w:r>
              <w:rPr>
                <w:bCs/>
                <w:sz w:val="20"/>
                <w:szCs w:val="20"/>
                <w:lang w:val="en-US"/>
              </w:rPr>
              <w:t>4257</w:t>
            </w:r>
            <w:r w:rsidRPr="00D34BB5">
              <w:rPr>
                <w:bCs/>
                <w:sz w:val="20"/>
                <w:szCs w:val="20"/>
                <w:lang w:val="en-US"/>
              </w:rPr>
              <w:t>]</w:t>
            </w:r>
          </w:p>
        </w:tc>
        <w:tc>
          <w:tcPr>
            <w:tcW w:w="1144" w:type="dxa"/>
          </w:tcPr>
          <w:p w14:paraId="52342C89" w14:textId="77777777" w:rsidR="00401A64" w:rsidRPr="0089404C" w:rsidRDefault="00401A64" w:rsidP="00595B93">
            <w:pPr>
              <w:widowControl w:val="0"/>
              <w:spacing w:before="60"/>
              <w:jc w:val="center"/>
              <w:textAlignment w:val="top"/>
              <w:rPr>
                <w:bCs/>
                <w:sz w:val="20"/>
                <w:szCs w:val="20"/>
                <w:lang w:val="en-US"/>
              </w:rPr>
            </w:pPr>
            <w:r w:rsidRPr="0089404C">
              <w:rPr>
                <w:bCs/>
                <w:sz w:val="20"/>
                <w:szCs w:val="20"/>
                <w:lang w:val="en-US"/>
              </w:rPr>
              <w:t>-0.4622*</w:t>
            </w:r>
          </w:p>
          <w:p w14:paraId="369D5691" w14:textId="77777777" w:rsidR="00401A64" w:rsidRPr="0089404C" w:rsidRDefault="00401A64" w:rsidP="00595B93">
            <w:pPr>
              <w:widowControl w:val="0"/>
              <w:jc w:val="center"/>
              <w:textAlignment w:val="top"/>
              <w:rPr>
                <w:bCs/>
                <w:sz w:val="20"/>
                <w:szCs w:val="20"/>
                <w:lang w:val="en-US"/>
              </w:rPr>
            </w:pPr>
            <w:r w:rsidRPr="0089404C">
              <w:rPr>
                <w:bCs/>
                <w:sz w:val="20"/>
                <w:szCs w:val="20"/>
                <w:lang w:val="en-US"/>
              </w:rPr>
              <w:t>(0.2485)</w:t>
            </w:r>
          </w:p>
          <w:p w14:paraId="4D0EC780" w14:textId="77777777" w:rsidR="00401A64" w:rsidRPr="0089404C" w:rsidRDefault="00401A64" w:rsidP="00595B93">
            <w:pPr>
              <w:widowControl w:val="0"/>
              <w:jc w:val="center"/>
              <w:textAlignment w:val="top"/>
              <w:rPr>
                <w:bCs/>
                <w:sz w:val="20"/>
                <w:szCs w:val="20"/>
                <w:lang w:val="en-US"/>
              </w:rPr>
            </w:pPr>
            <w:r w:rsidRPr="0089404C">
              <w:rPr>
                <w:bCs/>
                <w:sz w:val="20"/>
                <w:szCs w:val="20"/>
                <w:lang w:val="en-US"/>
              </w:rPr>
              <w:t>[-1.8600]</w:t>
            </w:r>
          </w:p>
        </w:tc>
        <w:tc>
          <w:tcPr>
            <w:tcW w:w="1144" w:type="dxa"/>
          </w:tcPr>
          <w:p w14:paraId="4B0856A3" w14:textId="77777777" w:rsidR="00401A64" w:rsidRPr="006B4ECF" w:rsidRDefault="00401A64" w:rsidP="00595B93">
            <w:pPr>
              <w:widowControl w:val="0"/>
              <w:spacing w:before="60"/>
              <w:jc w:val="center"/>
              <w:textAlignment w:val="top"/>
              <w:rPr>
                <w:bCs/>
                <w:sz w:val="20"/>
                <w:szCs w:val="20"/>
                <w:lang w:val="en-US"/>
              </w:rPr>
            </w:pPr>
            <w:r w:rsidRPr="006B4ECF">
              <w:rPr>
                <w:bCs/>
                <w:sz w:val="20"/>
                <w:szCs w:val="20"/>
                <w:lang w:val="en-US"/>
              </w:rPr>
              <w:t>-</w:t>
            </w:r>
            <w:r>
              <w:rPr>
                <w:bCs/>
                <w:sz w:val="20"/>
                <w:szCs w:val="20"/>
                <w:lang w:val="en-US"/>
              </w:rPr>
              <w:t>0.1130</w:t>
            </w:r>
          </w:p>
          <w:p w14:paraId="19F07C97" w14:textId="77777777" w:rsidR="00401A64" w:rsidRPr="006B4ECF" w:rsidRDefault="00401A64" w:rsidP="00595B93">
            <w:pPr>
              <w:widowControl w:val="0"/>
              <w:jc w:val="center"/>
              <w:textAlignment w:val="top"/>
              <w:rPr>
                <w:bCs/>
                <w:sz w:val="20"/>
                <w:szCs w:val="20"/>
                <w:lang w:val="en-US"/>
              </w:rPr>
            </w:pPr>
            <w:r w:rsidRPr="006B4ECF">
              <w:rPr>
                <w:bCs/>
                <w:sz w:val="20"/>
                <w:szCs w:val="20"/>
                <w:lang w:val="en-US"/>
              </w:rPr>
              <w:t>(0.</w:t>
            </w:r>
            <w:r>
              <w:rPr>
                <w:bCs/>
                <w:sz w:val="20"/>
                <w:szCs w:val="20"/>
                <w:lang w:val="en-US"/>
              </w:rPr>
              <w:t>2864</w:t>
            </w:r>
            <w:r w:rsidRPr="006B4ECF">
              <w:rPr>
                <w:bCs/>
                <w:sz w:val="20"/>
                <w:szCs w:val="20"/>
                <w:lang w:val="en-US"/>
              </w:rPr>
              <w:t>)</w:t>
            </w:r>
          </w:p>
          <w:p w14:paraId="39E86A5F" w14:textId="77777777" w:rsidR="00401A64" w:rsidRPr="006B4ECF" w:rsidRDefault="00401A64" w:rsidP="00595B93">
            <w:pPr>
              <w:widowControl w:val="0"/>
              <w:jc w:val="center"/>
              <w:textAlignment w:val="top"/>
              <w:rPr>
                <w:bCs/>
                <w:sz w:val="20"/>
                <w:szCs w:val="20"/>
                <w:lang w:val="en-US"/>
              </w:rPr>
            </w:pPr>
            <w:r w:rsidRPr="006B4ECF">
              <w:rPr>
                <w:bCs/>
                <w:sz w:val="20"/>
                <w:szCs w:val="20"/>
                <w:lang w:val="en-US"/>
              </w:rPr>
              <w:t>[-</w:t>
            </w:r>
            <w:r>
              <w:rPr>
                <w:bCs/>
                <w:sz w:val="20"/>
                <w:szCs w:val="20"/>
                <w:lang w:val="en-US"/>
              </w:rPr>
              <w:t>0</w:t>
            </w:r>
            <w:r w:rsidRPr="006B4ECF">
              <w:rPr>
                <w:bCs/>
                <w:sz w:val="20"/>
                <w:szCs w:val="20"/>
                <w:lang w:val="en-US"/>
              </w:rPr>
              <w:t>.</w:t>
            </w:r>
            <w:r>
              <w:rPr>
                <w:bCs/>
                <w:sz w:val="20"/>
                <w:szCs w:val="20"/>
                <w:lang w:val="en-US"/>
              </w:rPr>
              <w:t>3946</w:t>
            </w:r>
            <w:r w:rsidRPr="006B4ECF">
              <w:rPr>
                <w:bCs/>
                <w:sz w:val="20"/>
                <w:szCs w:val="20"/>
                <w:lang w:val="en-US"/>
              </w:rPr>
              <w:t>]</w:t>
            </w:r>
          </w:p>
        </w:tc>
      </w:tr>
      <w:tr w:rsidR="00401A64" w:rsidRPr="0047024D" w14:paraId="6D28E2FB" w14:textId="77777777" w:rsidTr="00595B93">
        <w:tc>
          <w:tcPr>
            <w:tcW w:w="1172" w:type="dxa"/>
          </w:tcPr>
          <w:p w14:paraId="1DAD5DF7"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MW</w:t>
            </w:r>
            <w:r w:rsidRPr="00491C04">
              <w:rPr>
                <w:bCs/>
                <w:i/>
                <w:sz w:val="20"/>
                <w:szCs w:val="20"/>
                <w:vertAlign w:val="subscript"/>
                <w:lang w:val="en-US"/>
              </w:rPr>
              <w:t>i,t-1</w:t>
            </w:r>
          </w:p>
        </w:tc>
        <w:tc>
          <w:tcPr>
            <w:tcW w:w="1144" w:type="dxa"/>
          </w:tcPr>
          <w:p w14:paraId="1EFA806F" w14:textId="77777777" w:rsidR="00401A64" w:rsidRPr="006467AD" w:rsidRDefault="00401A64" w:rsidP="00595B93">
            <w:pPr>
              <w:widowControl w:val="0"/>
              <w:jc w:val="center"/>
              <w:textAlignment w:val="top"/>
              <w:rPr>
                <w:bCs/>
                <w:sz w:val="20"/>
                <w:szCs w:val="20"/>
                <w:lang w:val="en-US"/>
              </w:rPr>
            </w:pPr>
          </w:p>
        </w:tc>
        <w:tc>
          <w:tcPr>
            <w:tcW w:w="1144" w:type="dxa"/>
          </w:tcPr>
          <w:p w14:paraId="0B1DE28B" w14:textId="77777777" w:rsidR="00401A64" w:rsidRPr="00602165" w:rsidRDefault="00401A64" w:rsidP="00595B93">
            <w:pPr>
              <w:widowControl w:val="0"/>
              <w:spacing w:before="60"/>
              <w:jc w:val="center"/>
              <w:textAlignment w:val="top"/>
              <w:rPr>
                <w:bCs/>
                <w:sz w:val="20"/>
                <w:szCs w:val="20"/>
                <w:lang w:val="en-US"/>
              </w:rPr>
            </w:pPr>
            <w:r w:rsidRPr="00602165">
              <w:rPr>
                <w:bCs/>
                <w:sz w:val="20"/>
                <w:szCs w:val="20"/>
                <w:lang w:val="en-US"/>
              </w:rPr>
              <w:t>-0.</w:t>
            </w:r>
            <w:r>
              <w:rPr>
                <w:bCs/>
                <w:sz w:val="20"/>
                <w:szCs w:val="20"/>
                <w:lang w:val="en-US"/>
              </w:rPr>
              <w:t>0684</w:t>
            </w:r>
            <w:r w:rsidRPr="00602165">
              <w:rPr>
                <w:bCs/>
                <w:sz w:val="20"/>
                <w:szCs w:val="20"/>
                <w:lang w:val="en-US"/>
              </w:rPr>
              <w:t>*</w:t>
            </w:r>
          </w:p>
          <w:p w14:paraId="14889529" w14:textId="77777777" w:rsidR="00401A64" w:rsidRPr="00602165" w:rsidRDefault="00401A64" w:rsidP="00595B93">
            <w:pPr>
              <w:widowControl w:val="0"/>
              <w:jc w:val="center"/>
              <w:textAlignment w:val="top"/>
              <w:rPr>
                <w:bCs/>
                <w:sz w:val="20"/>
                <w:szCs w:val="20"/>
                <w:lang w:val="en-US"/>
              </w:rPr>
            </w:pPr>
            <w:r w:rsidRPr="00602165">
              <w:rPr>
                <w:bCs/>
                <w:sz w:val="20"/>
                <w:szCs w:val="20"/>
                <w:lang w:val="en-US"/>
              </w:rPr>
              <w:t>(0.</w:t>
            </w:r>
            <w:r>
              <w:rPr>
                <w:bCs/>
                <w:sz w:val="20"/>
                <w:szCs w:val="20"/>
                <w:lang w:val="en-US"/>
              </w:rPr>
              <w:t>0365</w:t>
            </w:r>
            <w:r w:rsidRPr="00602165">
              <w:rPr>
                <w:bCs/>
                <w:sz w:val="20"/>
                <w:szCs w:val="20"/>
                <w:lang w:val="en-US"/>
              </w:rPr>
              <w:t>)</w:t>
            </w:r>
          </w:p>
          <w:p w14:paraId="56CF153E" w14:textId="77777777" w:rsidR="00401A64" w:rsidRPr="00602165" w:rsidRDefault="00401A64" w:rsidP="00595B93">
            <w:pPr>
              <w:widowControl w:val="0"/>
              <w:jc w:val="center"/>
              <w:textAlignment w:val="top"/>
              <w:rPr>
                <w:bCs/>
                <w:sz w:val="20"/>
                <w:szCs w:val="20"/>
                <w:lang w:val="en-US"/>
              </w:rPr>
            </w:pPr>
            <w:r w:rsidRPr="00602165">
              <w:rPr>
                <w:bCs/>
                <w:sz w:val="20"/>
                <w:szCs w:val="20"/>
                <w:lang w:val="en-US"/>
              </w:rPr>
              <w:t>[-1.</w:t>
            </w:r>
            <w:r>
              <w:rPr>
                <w:bCs/>
                <w:sz w:val="20"/>
                <w:szCs w:val="20"/>
                <w:lang w:val="en-US"/>
              </w:rPr>
              <w:t>8727</w:t>
            </w:r>
            <w:r w:rsidRPr="00602165">
              <w:rPr>
                <w:bCs/>
                <w:sz w:val="20"/>
                <w:szCs w:val="20"/>
                <w:lang w:val="en-US"/>
              </w:rPr>
              <w:t>]</w:t>
            </w:r>
          </w:p>
        </w:tc>
        <w:tc>
          <w:tcPr>
            <w:tcW w:w="1144" w:type="dxa"/>
          </w:tcPr>
          <w:p w14:paraId="616ED313" w14:textId="77777777" w:rsidR="00401A64" w:rsidRPr="009756F4" w:rsidRDefault="00401A64" w:rsidP="00595B93">
            <w:pPr>
              <w:widowControl w:val="0"/>
              <w:jc w:val="center"/>
              <w:textAlignment w:val="top"/>
              <w:rPr>
                <w:bCs/>
                <w:sz w:val="20"/>
                <w:szCs w:val="20"/>
                <w:lang w:val="en-US"/>
              </w:rPr>
            </w:pPr>
          </w:p>
        </w:tc>
        <w:tc>
          <w:tcPr>
            <w:tcW w:w="1144" w:type="dxa"/>
          </w:tcPr>
          <w:p w14:paraId="73A45ACA" w14:textId="77777777" w:rsidR="00401A64" w:rsidRPr="00F50950" w:rsidRDefault="00401A64" w:rsidP="00595B93">
            <w:pPr>
              <w:widowControl w:val="0"/>
              <w:jc w:val="center"/>
              <w:textAlignment w:val="top"/>
              <w:rPr>
                <w:bCs/>
                <w:sz w:val="20"/>
                <w:szCs w:val="20"/>
                <w:lang w:val="en-US"/>
              </w:rPr>
            </w:pPr>
          </w:p>
        </w:tc>
        <w:tc>
          <w:tcPr>
            <w:tcW w:w="1144" w:type="dxa"/>
          </w:tcPr>
          <w:p w14:paraId="033BDDE4" w14:textId="77777777" w:rsidR="00401A64" w:rsidRPr="00D34BB5" w:rsidRDefault="00401A64" w:rsidP="00595B93">
            <w:pPr>
              <w:widowControl w:val="0"/>
              <w:jc w:val="center"/>
              <w:textAlignment w:val="top"/>
              <w:rPr>
                <w:bCs/>
                <w:sz w:val="20"/>
                <w:szCs w:val="20"/>
                <w:lang w:val="en-US"/>
              </w:rPr>
            </w:pPr>
          </w:p>
        </w:tc>
        <w:tc>
          <w:tcPr>
            <w:tcW w:w="1144" w:type="dxa"/>
          </w:tcPr>
          <w:p w14:paraId="2ABC1386" w14:textId="77777777" w:rsidR="00401A64" w:rsidRPr="0089404C" w:rsidRDefault="00401A64" w:rsidP="00595B93">
            <w:pPr>
              <w:widowControl w:val="0"/>
              <w:jc w:val="center"/>
              <w:textAlignment w:val="top"/>
              <w:rPr>
                <w:bCs/>
                <w:sz w:val="20"/>
                <w:szCs w:val="20"/>
                <w:lang w:val="en-US"/>
              </w:rPr>
            </w:pPr>
          </w:p>
        </w:tc>
        <w:tc>
          <w:tcPr>
            <w:tcW w:w="1144" w:type="dxa"/>
          </w:tcPr>
          <w:p w14:paraId="0C45CF28" w14:textId="77777777" w:rsidR="00401A64" w:rsidRPr="006B4ECF" w:rsidRDefault="00401A64" w:rsidP="00595B93">
            <w:pPr>
              <w:widowControl w:val="0"/>
              <w:jc w:val="center"/>
              <w:textAlignment w:val="top"/>
              <w:rPr>
                <w:bCs/>
                <w:sz w:val="20"/>
                <w:szCs w:val="20"/>
                <w:lang w:val="en-US"/>
              </w:rPr>
            </w:pPr>
          </w:p>
        </w:tc>
      </w:tr>
      <w:tr w:rsidR="00401A64" w:rsidRPr="0047024D" w14:paraId="305B432F" w14:textId="77777777" w:rsidTr="00595B93">
        <w:tc>
          <w:tcPr>
            <w:tcW w:w="1172" w:type="dxa"/>
          </w:tcPr>
          <w:p w14:paraId="5498B2E4"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UNE</w:t>
            </w:r>
            <w:r w:rsidRPr="00491C04">
              <w:rPr>
                <w:bCs/>
                <w:i/>
                <w:sz w:val="20"/>
                <w:szCs w:val="20"/>
                <w:vertAlign w:val="subscript"/>
                <w:lang w:val="en-US"/>
              </w:rPr>
              <w:t>i,t-1</w:t>
            </w:r>
          </w:p>
        </w:tc>
        <w:tc>
          <w:tcPr>
            <w:tcW w:w="1144" w:type="dxa"/>
          </w:tcPr>
          <w:p w14:paraId="0113AA7A" w14:textId="77777777" w:rsidR="00401A64" w:rsidRPr="006467AD" w:rsidRDefault="00401A64" w:rsidP="00595B93">
            <w:pPr>
              <w:widowControl w:val="0"/>
              <w:jc w:val="center"/>
              <w:textAlignment w:val="top"/>
              <w:rPr>
                <w:bCs/>
                <w:sz w:val="20"/>
                <w:szCs w:val="20"/>
                <w:lang w:val="en-US"/>
              </w:rPr>
            </w:pPr>
          </w:p>
        </w:tc>
        <w:tc>
          <w:tcPr>
            <w:tcW w:w="1144" w:type="dxa"/>
          </w:tcPr>
          <w:p w14:paraId="6A7FAF08" w14:textId="77777777" w:rsidR="00401A64" w:rsidRPr="00602165" w:rsidRDefault="00401A64" w:rsidP="00595B93">
            <w:pPr>
              <w:widowControl w:val="0"/>
              <w:jc w:val="center"/>
              <w:textAlignment w:val="top"/>
              <w:rPr>
                <w:bCs/>
                <w:sz w:val="20"/>
                <w:szCs w:val="20"/>
                <w:lang w:val="en-US"/>
              </w:rPr>
            </w:pPr>
          </w:p>
        </w:tc>
        <w:tc>
          <w:tcPr>
            <w:tcW w:w="1144" w:type="dxa"/>
          </w:tcPr>
          <w:p w14:paraId="3F6AC643" w14:textId="77777777" w:rsidR="00401A64" w:rsidRPr="009756F4" w:rsidRDefault="00401A64" w:rsidP="00595B93">
            <w:pPr>
              <w:widowControl w:val="0"/>
              <w:spacing w:before="60"/>
              <w:jc w:val="center"/>
              <w:textAlignment w:val="top"/>
              <w:rPr>
                <w:bCs/>
                <w:sz w:val="20"/>
                <w:szCs w:val="20"/>
                <w:lang w:val="en-US"/>
              </w:rPr>
            </w:pPr>
            <w:r>
              <w:rPr>
                <w:bCs/>
                <w:sz w:val="20"/>
                <w:szCs w:val="20"/>
                <w:lang w:val="en-US"/>
              </w:rPr>
              <w:t>0.9448</w:t>
            </w:r>
            <w:r w:rsidRPr="009756F4">
              <w:rPr>
                <w:bCs/>
                <w:sz w:val="20"/>
                <w:szCs w:val="20"/>
                <w:lang w:val="en-US"/>
              </w:rPr>
              <w:t>*</w:t>
            </w:r>
          </w:p>
          <w:p w14:paraId="7E44BD0C" w14:textId="77777777" w:rsidR="00401A64" w:rsidRPr="009756F4" w:rsidRDefault="00401A64" w:rsidP="00595B93">
            <w:pPr>
              <w:widowControl w:val="0"/>
              <w:jc w:val="center"/>
              <w:textAlignment w:val="top"/>
              <w:rPr>
                <w:bCs/>
                <w:sz w:val="20"/>
                <w:szCs w:val="20"/>
                <w:lang w:val="en-US"/>
              </w:rPr>
            </w:pPr>
            <w:r w:rsidRPr="009756F4">
              <w:rPr>
                <w:bCs/>
                <w:sz w:val="20"/>
                <w:szCs w:val="20"/>
                <w:lang w:val="en-US"/>
              </w:rPr>
              <w:t>(</w:t>
            </w:r>
            <w:r>
              <w:rPr>
                <w:bCs/>
                <w:sz w:val="20"/>
                <w:szCs w:val="20"/>
                <w:lang w:val="en-US"/>
              </w:rPr>
              <w:t>0.5678</w:t>
            </w:r>
            <w:r w:rsidRPr="009756F4">
              <w:rPr>
                <w:bCs/>
                <w:sz w:val="20"/>
                <w:szCs w:val="20"/>
                <w:lang w:val="en-US"/>
              </w:rPr>
              <w:t>)</w:t>
            </w:r>
          </w:p>
          <w:p w14:paraId="2E1564DB" w14:textId="77777777" w:rsidR="00401A64" w:rsidRPr="009756F4" w:rsidRDefault="00401A64" w:rsidP="00595B93">
            <w:pPr>
              <w:widowControl w:val="0"/>
              <w:jc w:val="center"/>
              <w:textAlignment w:val="top"/>
              <w:rPr>
                <w:bCs/>
                <w:sz w:val="20"/>
                <w:szCs w:val="20"/>
                <w:lang w:val="en-US"/>
              </w:rPr>
            </w:pPr>
            <w:r w:rsidRPr="009756F4">
              <w:rPr>
                <w:bCs/>
                <w:sz w:val="20"/>
                <w:szCs w:val="20"/>
                <w:lang w:val="en-US"/>
              </w:rPr>
              <w:t>[1.66</w:t>
            </w:r>
            <w:r>
              <w:rPr>
                <w:bCs/>
                <w:sz w:val="20"/>
                <w:szCs w:val="20"/>
                <w:lang w:val="en-US"/>
              </w:rPr>
              <w:t>39</w:t>
            </w:r>
            <w:r w:rsidRPr="009756F4">
              <w:rPr>
                <w:bCs/>
                <w:sz w:val="20"/>
                <w:szCs w:val="20"/>
                <w:lang w:val="en-US"/>
              </w:rPr>
              <w:t>]</w:t>
            </w:r>
          </w:p>
        </w:tc>
        <w:tc>
          <w:tcPr>
            <w:tcW w:w="1144" w:type="dxa"/>
          </w:tcPr>
          <w:p w14:paraId="05CAE3D4" w14:textId="77777777" w:rsidR="00401A64" w:rsidRPr="00F50950" w:rsidRDefault="00401A64" w:rsidP="00595B93">
            <w:pPr>
              <w:widowControl w:val="0"/>
              <w:jc w:val="center"/>
              <w:textAlignment w:val="top"/>
              <w:rPr>
                <w:bCs/>
                <w:sz w:val="20"/>
                <w:szCs w:val="20"/>
                <w:lang w:val="en-US"/>
              </w:rPr>
            </w:pPr>
          </w:p>
        </w:tc>
        <w:tc>
          <w:tcPr>
            <w:tcW w:w="1144" w:type="dxa"/>
          </w:tcPr>
          <w:p w14:paraId="5392ED51" w14:textId="77777777" w:rsidR="00401A64" w:rsidRPr="00D34BB5" w:rsidRDefault="00401A64" w:rsidP="00595B93">
            <w:pPr>
              <w:widowControl w:val="0"/>
              <w:jc w:val="center"/>
              <w:textAlignment w:val="top"/>
              <w:rPr>
                <w:bCs/>
                <w:sz w:val="20"/>
                <w:szCs w:val="20"/>
                <w:lang w:val="en-US"/>
              </w:rPr>
            </w:pPr>
          </w:p>
        </w:tc>
        <w:tc>
          <w:tcPr>
            <w:tcW w:w="1144" w:type="dxa"/>
          </w:tcPr>
          <w:p w14:paraId="46A72A32" w14:textId="77777777" w:rsidR="00401A64" w:rsidRPr="0089404C" w:rsidRDefault="00401A64" w:rsidP="00595B93">
            <w:pPr>
              <w:widowControl w:val="0"/>
              <w:jc w:val="center"/>
              <w:textAlignment w:val="top"/>
              <w:rPr>
                <w:bCs/>
                <w:sz w:val="20"/>
                <w:szCs w:val="20"/>
                <w:lang w:val="en-US"/>
              </w:rPr>
            </w:pPr>
          </w:p>
        </w:tc>
        <w:tc>
          <w:tcPr>
            <w:tcW w:w="1144" w:type="dxa"/>
          </w:tcPr>
          <w:p w14:paraId="160A9DFA" w14:textId="77777777" w:rsidR="00401A64" w:rsidRPr="006B4ECF" w:rsidRDefault="00401A64" w:rsidP="00595B93">
            <w:pPr>
              <w:widowControl w:val="0"/>
              <w:jc w:val="center"/>
              <w:textAlignment w:val="top"/>
              <w:rPr>
                <w:bCs/>
                <w:sz w:val="20"/>
                <w:szCs w:val="20"/>
                <w:lang w:val="en-US"/>
              </w:rPr>
            </w:pPr>
          </w:p>
        </w:tc>
      </w:tr>
      <w:tr w:rsidR="00401A64" w:rsidRPr="0047024D" w14:paraId="67AA684C" w14:textId="77777777" w:rsidTr="00595B93">
        <w:tc>
          <w:tcPr>
            <w:tcW w:w="1172" w:type="dxa"/>
          </w:tcPr>
          <w:p w14:paraId="382D20DD"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BF</w:t>
            </w:r>
            <w:r w:rsidRPr="00491C04">
              <w:rPr>
                <w:bCs/>
                <w:i/>
                <w:sz w:val="20"/>
                <w:szCs w:val="20"/>
                <w:vertAlign w:val="subscript"/>
                <w:lang w:val="en-US"/>
              </w:rPr>
              <w:t>i,t-1</w:t>
            </w:r>
          </w:p>
        </w:tc>
        <w:tc>
          <w:tcPr>
            <w:tcW w:w="1144" w:type="dxa"/>
          </w:tcPr>
          <w:p w14:paraId="3652A05E" w14:textId="77777777" w:rsidR="00401A64" w:rsidRPr="006467AD" w:rsidRDefault="00401A64" w:rsidP="00595B93">
            <w:pPr>
              <w:widowControl w:val="0"/>
              <w:jc w:val="center"/>
              <w:textAlignment w:val="top"/>
              <w:rPr>
                <w:bCs/>
                <w:sz w:val="20"/>
                <w:szCs w:val="20"/>
                <w:lang w:val="en-US"/>
              </w:rPr>
            </w:pPr>
          </w:p>
        </w:tc>
        <w:tc>
          <w:tcPr>
            <w:tcW w:w="1144" w:type="dxa"/>
          </w:tcPr>
          <w:p w14:paraId="1ADF0713" w14:textId="77777777" w:rsidR="00401A64" w:rsidRPr="00602165" w:rsidRDefault="00401A64" w:rsidP="00595B93">
            <w:pPr>
              <w:widowControl w:val="0"/>
              <w:jc w:val="center"/>
              <w:textAlignment w:val="top"/>
              <w:rPr>
                <w:bCs/>
                <w:sz w:val="20"/>
                <w:szCs w:val="20"/>
                <w:lang w:val="en-US"/>
              </w:rPr>
            </w:pPr>
          </w:p>
        </w:tc>
        <w:tc>
          <w:tcPr>
            <w:tcW w:w="1144" w:type="dxa"/>
          </w:tcPr>
          <w:p w14:paraId="791F1DF8" w14:textId="77777777" w:rsidR="00401A64" w:rsidRPr="009756F4" w:rsidRDefault="00401A64" w:rsidP="00595B93">
            <w:pPr>
              <w:widowControl w:val="0"/>
              <w:jc w:val="center"/>
              <w:textAlignment w:val="top"/>
              <w:rPr>
                <w:bCs/>
                <w:sz w:val="20"/>
                <w:szCs w:val="20"/>
                <w:lang w:val="en-US"/>
              </w:rPr>
            </w:pPr>
          </w:p>
        </w:tc>
        <w:tc>
          <w:tcPr>
            <w:tcW w:w="1144" w:type="dxa"/>
          </w:tcPr>
          <w:p w14:paraId="39CDAA88" w14:textId="77777777" w:rsidR="00401A64" w:rsidRPr="00F50950" w:rsidRDefault="00401A64" w:rsidP="00595B93">
            <w:pPr>
              <w:widowControl w:val="0"/>
              <w:spacing w:before="60"/>
              <w:jc w:val="center"/>
              <w:textAlignment w:val="top"/>
              <w:rPr>
                <w:bCs/>
                <w:sz w:val="20"/>
                <w:szCs w:val="20"/>
                <w:lang w:val="en-US"/>
              </w:rPr>
            </w:pPr>
            <w:r w:rsidRPr="00F50950">
              <w:rPr>
                <w:bCs/>
                <w:sz w:val="20"/>
                <w:szCs w:val="20"/>
                <w:lang w:val="en-US"/>
              </w:rPr>
              <w:t>-0.</w:t>
            </w:r>
            <w:r>
              <w:rPr>
                <w:bCs/>
                <w:sz w:val="20"/>
                <w:szCs w:val="20"/>
                <w:lang w:val="en-US"/>
              </w:rPr>
              <w:t>2582**</w:t>
            </w:r>
            <w:r w:rsidRPr="00F50950">
              <w:rPr>
                <w:bCs/>
                <w:sz w:val="20"/>
                <w:szCs w:val="20"/>
                <w:lang w:val="en-US"/>
              </w:rPr>
              <w:t>*</w:t>
            </w:r>
          </w:p>
          <w:p w14:paraId="2213EB90" w14:textId="77777777" w:rsidR="00401A64" w:rsidRPr="00F50950" w:rsidRDefault="00401A64" w:rsidP="00595B93">
            <w:pPr>
              <w:widowControl w:val="0"/>
              <w:jc w:val="center"/>
              <w:textAlignment w:val="top"/>
              <w:rPr>
                <w:bCs/>
                <w:sz w:val="20"/>
                <w:szCs w:val="20"/>
                <w:lang w:val="en-US"/>
              </w:rPr>
            </w:pPr>
            <w:r w:rsidRPr="00F50950">
              <w:rPr>
                <w:bCs/>
                <w:sz w:val="20"/>
                <w:szCs w:val="20"/>
                <w:lang w:val="en-US"/>
              </w:rPr>
              <w:t>(0.</w:t>
            </w:r>
            <w:r>
              <w:rPr>
                <w:bCs/>
                <w:sz w:val="20"/>
                <w:szCs w:val="20"/>
                <w:lang w:val="en-US"/>
              </w:rPr>
              <w:t>0820</w:t>
            </w:r>
            <w:r w:rsidRPr="00F50950">
              <w:rPr>
                <w:bCs/>
                <w:sz w:val="20"/>
                <w:szCs w:val="20"/>
                <w:lang w:val="en-US"/>
              </w:rPr>
              <w:t>)</w:t>
            </w:r>
          </w:p>
          <w:p w14:paraId="7140CA14" w14:textId="77777777" w:rsidR="00401A64" w:rsidRPr="00F50950" w:rsidRDefault="00401A64" w:rsidP="00595B93">
            <w:pPr>
              <w:widowControl w:val="0"/>
              <w:jc w:val="center"/>
              <w:textAlignment w:val="top"/>
              <w:rPr>
                <w:bCs/>
                <w:sz w:val="20"/>
                <w:szCs w:val="20"/>
                <w:lang w:val="en-US"/>
              </w:rPr>
            </w:pPr>
            <w:r w:rsidRPr="00F50950">
              <w:rPr>
                <w:bCs/>
                <w:sz w:val="20"/>
                <w:szCs w:val="20"/>
                <w:lang w:val="en-US"/>
              </w:rPr>
              <w:t>[-</w:t>
            </w:r>
            <w:r>
              <w:rPr>
                <w:bCs/>
                <w:sz w:val="20"/>
                <w:szCs w:val="20"/>
                <w:lang w:val="en-US"/>
              </w:rPr>
              <w:t>3.1482</w:t>
            </w:r>
            <w:r w:rsidRPr="00F50950">
              <w:rPr>
                <w:bCs/>
                <w:sz w:val="20"/>
                <w:szCs w:val="20"/>
                <w:lang w:val="en-US"/>
              </w:rPr>
              <w:t>]</w:t>
            </w:r>
          </w:p>
        </w:tc>
        <w:tc>
          <w:tcPr>
            <w:tcW w:w="1144" w:type="dxa"/>
          </w:tcPr>
          <w:p w14:paraId="5D954824" w14:textId="77777777" w:rsidR="00401A64" w:rsidRPr="00D34BB5" w:rsidRDefault="00401A64" w:rsidP="00595B93">
            <w:pPr>
              <w:widowControl w:val="0"/>
              <w:jc w:val="center"/>
              <w:textAlignment w:val="top"/>
              <w:rPr>
                <w:bCs/>
                <w:sz w:val="20"/>
                <w:szCs w:val="20"/>
                <w:lang w:val="en-US"/>
              </w:rPr>
            </w:pPr>
          </w:p>
        </w:tc>
        <w:tc>
          <w:tcPr>
            <w:tcW w:w="1144" w:type="dxa"/>
          </w:tcPr>
          <w:p w14:paraId="42FD760E" w14:textId="77777777" w:rsidR="00401A64" w:rsidRPr="0089404C" w:rsidRDefault="00401A64" w:rsidP="00595B93">
            <w:pPr>
              <w:widowControl w:val="0"/>
              <w:jc w:val="center"/>
              <w:textAlignment w:val="top"/>
              <w:rPr>
                <w:bCs/>
                <w:sz w:val="20"/>
                <w:szCs w:val="20"/>
                <w:lang w:val="en-US"/>
              </w:rPr>
            </w:pPr>
          </w:p>
        </w:tc>
        <w:tc>
          <w:tcPr>
            <w:tcW w:w="1144" w:type="dxa"/>
          </w:tcPr>
          <w:p w14:paraId="10A6BCEC" w14:textId="77777777" w:rsidR="00401A64" w:rsidRPr="006B4ECF" w:rsidRDefault="00401A64" w:rsidP="00595B93">
            <w:pPr>
              <w:widowControl w:val="0"/>
              <w:jc w:val="center"/>
              <w:textAlignment w:val="top"/>
              <w:rPr>
                <w:bCs/>
                <w:sz w:val="20"/>
                <w:szCs w:val="20"/>
                <w:lang w:val="en-US"/>
              </w:rPr>
            </w:pPr>
          </w:p>
        </w:tc>
      </w:tr>
      <w:tr w:rsidR="00401A64" w:rsidRPr="0047024D" w14:paraId="0EA276ED" w14:textId="77777777" w:rsidTr="00595B93">
        <w:tc>
          <w:tcPr>
            <w:tcW w:w="1172" w:type="dxa"/>
          </w:tcPr>
          <w:p w14:paraId="0F701F27"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PC</w:t>
            </w:r>
            <w:r w:rsidRPr="00491C04">
              <w:rPr>
                <w:bCs/>
                <w:i/>
                <w:sz w:val="20"/>
                <w:szCs w:val="20"/>
                <w:vertAlign w:val="subscript"/>
                <w:lang w:val="en-US"/>
              </w:rPr>
              <w:t>i,t-1</w:t>
            </w:r>
          </w:p>
        </w:tc>
        <w:tc>
          <w:tcPr>
            <w:tcW w:w="1144" w:type="dxa"/>
          </w:tcPr>
          <w:p w14:paraId="5B67D217" w14:textId="77777777" w:rsidR="00401A64" w:rsidRPr="006467AD" w:rsidRDefault="00401A64" w:rsidP="00595B93">
            <w:pPr>
              <w:widowControl w:val="0"/>
              <w:jc w:val="center"/>
              <w:textAlignment w:val="top"/>
              <w:rPr>
                <w:bCs/>
                <w:sz w:val="20"/>
                <w:szCs w:val="20"/>
                <w:lang w:val="en-US"/>
              </w:rPr>
            </w:pPr>
          </w:p>
        </w:tc>
        <w:tc>
          <w:tcPr>
            <w:tcW w:w="1144" w:type="dxa"/>
          </w:tcPr>
          <w:p w14:paraId="38F39BAA" w14:textId="77777777" w:rsidR="00401A64" w:rsidRPr="00602165" w:rsidRDefault="00401A64" w:rsidP="00595B93">
            <w:pPr>
              <w:widowControl w:val="0"/>
              <w:jc w:val="center"/>
              <w:textAlignment w:val="top"/>
              <w:rPr>
                <w:bCs/>
                <w:sz w:val="20"/>
                <w:szCs w:val="20"/>
                <w:lang w:val="en-US"/>
              </w:rPr>
            </w:pPr>
          </w:p>
        </w:tc>
        <w:tc>
          <w:tcPr>
            <w:tcW w:w="1144" w:type="dxa"/>
          </w:tcPr>
          <w:p w14:paraId="74A7A464" w14:textId="77777777" w:rsidR="00401A64" w:rsidRPr="009756F4" w:rsidRDefault="00401A64" w:rsidP="00595B93">
            <w:pPr>
              <w:widowControl w:val="0"/>
              <w:jc w:val="center"/>
              <w:textAlignment w:val="top"/>
              <w:rPr>
                <w:bCs/>
                <w:sz w:val="20"/>
                <w:szCs w:val="20"/>
                <w:lang w:val="en-US"/>
              </w:rPr>
            </w:pPr>
          </w:p>
        </w:tc>
        <w:tc>
          <w:tcPr>
            <w:tcW w:w="1144" w:type="dxa"/>
          </w:tcPr>
          <w:p w14:paraId="5E5A9626" w14:textId="77777777" w:rsidR="00401A64" w:rsidRPr="00F50950" w:rsidRDefault="00401A64" w:rsidP="00595B93">
            <w:pPr>
              <w:widowControl w:val="0"/>
              <w:jc w:val="center"/>
              <w:textAlignment w:val="top"/>
              <w:rPr>
                <w:bCs/>
                <w:sz w:val="20"/>
                <w:szCs w:val="20"/>
                <w:lang w:val="en-US"/>
              </w:rPr>
            </w:pPr>
          </w:p>
        </w:tc>
        <w:tc>
          <w:tcPr>
            <w:tcW w:w="1144" w:type="dxa"/>
          </w:tcPr>
          <w:p w14:paraId="543F1987" w14:textId="77777777" w:rsidR="00401A64" w:rsidRPr="00D34BB5" w:rsidRDefault="00401A64" w:rsidP="00595B93">
            <w:pPr>
              <w:widowControl w:val="0"/>
              <w:spacing w:before="60"/>
              <w:jc w:val="center"/>
              <w:textAlignment w:val="top"/>
              <w:rPr>
                <w:bCs/>
                <w:sz w:val="20"/>
                <w:szCs w:val="20"/>
                <w:lang w:val="en-US"/>
              </w:rPr>
            </w:pPr>
            <w:r w:rsidRPr="00D34BB5">
              <w:rPr>
                <w:bCs/>
                <w:sz w:val="20"/>
                <w:szCs w:val="20"/>
                <w:lang w:val="en-US"/>
              </w:rPr>
              <w:t>0.0</w:t>
            </w:r>
            <w:r>
              <w:rPr>
                <w:bCs/>
                <w:sz w:val="20"/>
                <w:szCs w:val="20"/>
                <w:lang w:val="en-US"/>
              </w:rPr>
              <w:t>219</w:t>
            </w:r>
            <w:r w:rsidRPr="00D34BB5">
              <w:rPr>
                <w:bCs/>
                <w:sz w:val="20"/>
                <w:szCs w:val="20"/>
                <w:lang w:val="en-US"/>
              </w:rPr>
              <w:t>**</w:t>
            </w:r>
          </w:p>
          <w:p w14:paraId="13C33533" w14:textId="77777777" w:rsidR="00401A64" w:rsidRPr="00D34BB5" w:rsidRDefault="00401A64" w:rsidP="00595B93">
            <w:pPr>
              <w:widowControl w:val="0"/>
              <w:jc w:val="center"/>
              <w:textAlignment w:val="top"/>
              <w:rPr>
                <w:bCs/>
                <w:sz w:val="20"/>
                <w:szCs w:val="20"/>
                <w:lang w:val="en-US"/>
              </w:rPr>
            </w:pPr>
            <w:r w:rsidRPr="00D34BB5">
              <w:rPr>
                <w:bCs/>
                <w:sz w:val="20"/>
                <w:szCs w:val="20"/>
                <w:lang w:val="en-US"/>
              </w:rPr>
              <w:t>(0.0</w:t>
            </w:r>
            <w:r>
              <w:rPr>
                <w:bCs/>
                <w:sz w:val="20"/>
                <w:szCs w:val="20"/>
                <w:lang w:val="en-US"/>
              </w:rPr>
              <w:t>105</w:t>
            </w:r>
            <w:r w:rsidRPr="00D34BB5">
              <w:rPr>
                <w:bCs/>
                <w:sz w:val="20"/>
                <w:szCs w:val="20"/>
                <w:lang w:val="en-US"/>
              </w:rPr>
              <w:t>)</w:t>
            </w:r>
          </w:p>
          <w:p w14:paraId="42DCA13F" w14:textId="77777777" w:rsidR="00401A64" w:rsidRPr="00D34BB5" w:rsidRDefault="00401A64" w:rsidP="00595B93">
            <w:pPr>
              <w:widowControl w:val="0"/>
              <w:jc w:val="center"/>
              <w:textAlignment w:val="top"/>
              <w:rPr>
                <w:bCs/>
                <w:sz w:val="20"/>
                <w:szCs w:val="20"/>
                <w:lang w:val="en-US"/>
              </w:rPr>
            </w:pPr>
            <w:r w:rsidRPr="00D34BB5">
              <w:rPr>
                <w:bCs/>
                <w:sz w:val="20"/>
                <w:szCs w:val="20"/>
                <w:lang w:val="en-US"/>
              </w:rPr>
              <w:t>[2.0</w:t>
            </w:r>
            <w:r>
              <w:rPr>
                <w:bCs/>
                <w:sz w:val="20"/>
                <w:szCs w:val="20"/>
                <w:lang w:val="en-US"/>
              </w:rPr>
              <w:t>787</w:t>
            </w:r>
            <w:r w:rsidRPr="00D34BB5">
              <w:rPr>
                <w:bCs/>
                <w:sz w:val="20"/>
                <w:szCs w:val="20"/>
                <w:lang w:val="en-US"/>
              </w:rPr>
              <w:t>]</w:t>
            </w:r>
          </w:p>
        </w:tc>
        <w:tc>
          <w:tcPr>
            <w:tcW w:w="1144" w:type="dxa"/>
          </w:tcPr>
          <w:p w14:paraId="2522BED0" w14:textId="77777777" w:rsidR="00401A64" w:rsidRPr="0089404C" w:rsidRDefault="00401A64" w:rsidP="00595B93">
            <w:pPr>
              <w:widowControl w:val="0"/>
              <w:jc w:val="center"/>
              <w:textAlignment w:val="top"/>
              <w:rPr>
                <w:bCs/>
                <w:sz w:val="20"/>
                <w:szCs w:val="20"/>
                <w:lang w:val="en-US"/>
              </w:rPr>
            </w:pPr>
          </w:p>
        </w:tc>
        <w:tc>
          <w:tcPr>
            <w:tcW w:w="1144" w:type="dxa"/>
          </w:tcPr>
          <w:p w14:paraId="40FEEBA2" w14:textId="77777777" w:rsidR="00401A64" w:rsidRPr="006B4ECF" w:rsidRDefault="00401A64" w:rsidP="00595B93">
            <w:pPr>
              <w:widowControl w:val="0"/>
              <w:jc w:val="center"/>
              <w:textAlignment w:val="top"/>
              <w:rPr>
                <w:bCs/>
                <w:sz w:val="20"/>
                <w:szCs w:val="20"/>
                <w:lang w:val="en-US"/>
              </w:rPr>
            </w:pPr>
          </w:p>
        </w:tc>
      </w:tr>
      <w:tr w:rsidR="00401A64" w:rsidRPr="0047024D" w14:paraId="6247D0AE" w14:textId="77777777" w:rsidTr="00595B93">
        <w:tc>
          <w:tcPr>
            <w:tcW w:w="1172" w:type="dxa"/>
          </w:tcPr>
          <w:p w14:paraId="09B92A1B"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SOC</w:t>
            </w:r>
            <w:r w:rsidRPr="00491C04">
              <w:rPr>
                <w:bCs/>
                <w:i/>
                <w:sz w:val="20"/>
                <w:szCs w:val="20"/>
                <w:vertAlign w:val="subscript"/>
                <w:lang w:val="en-US"/>
              </w:rPr>
              <w:t>i,t-1</w:t>
            </w:r>
          </w:p>
        </w:tc>
        <w:tc>
          <w:tcPr>
            <w:tcW w:w="1144" w:type="dxa"/>
          </w:tcPr>
          <w:p w14:paraId="1F9116A4" w14:textId="77777777" w:rsidR="00401A64" w:rsidRPr="006467AD" w:rsidRDefault="00401A64" w:rsidP="00595B93">
            <w:pPr>
              <w:widowControl w:val="0"/>
              <w:jc w:val="center"/>
              <w:textAlignment w:val="top"/>
              <w:rPr>
                <w:bCs/>
                <w:sz w:val="20"/>
                <w:szCs w:val="20"/>
                <w:lang w:val="en-US"/>
              </w:rPr>
            </w:pPr>
          </w:p>
        </w:tc>
        <w:tc>
          <w:tcPr>
            <w:tcW w:w="1144" w:type="dxa"/>
          </w:tcPr>
          <w:p w14:paraId="1C1E5A56" w14:textId="77777777" w:rsidR="00401A64" w:rsidRPr="00602165" w:rsidRDefault="00401A64" w:rsidP="00595B93">
            <w:pPr>
              <w:widowControl w:val="0"/>
              <w:jc w:val="center"/>
              <w:textAlignment w:val="top"/>
              <w:rPr>
                <w:bCs/>
                <w:sz w:val="20"/>
                <w:szCs w:val="20"/>
                <w:lang w:val="en-US"/>
              </w:rPr>
            </w:pPr>
          </w:p>
        </w:tc>
        <w:tc>
          <w:tcPr>
            <w:tcW w:w="1144" w:type="dxa"/>
          </w:tcPr>
          <w:p w14:paraId="537C5707" w14:textId="77777777" w:rsidR="00401A64" w:rsidRPr="009756F4" w:rsidRDefault="00401A64" w:rsidP="00595B93">
            <w:pPr>
              <w:widowControl w:val="0"/>
              <w:jc w:val="center"/>
              <w:textAlignment w:val="top"/>
              <w:rPr>
                <w:bCs/>
                <w:sz w:val="20"/>
                <w:szCs w:val="20"/>
                <w:lang w:val="en-US"/>
              </w:rPr>
            </w:pPr>
          </w:p>
        </w:tc>
        <w:tc>
          <w:tcPr>
            <w:tcW w:w="1144" w:type="dxa"/>
          </w:tcPr>
          <w:p w14:paraId="642393D0" w14:textId="77777777" w:rsidR="00401A64" w:rsidRPr="00F50950" w:rsidRDefault="00401A64" w:rsidP="00595B93">
            <w:pPr>
              <w:widowControl w:val="0"/>
              <w:jc w:val="center"/>
              <w:textAlignment w:val="top"/>
              <w:rPr>
                <w:bCs/>
                <w:sz w:val="20"/>
                <w:szCs w:val="20"/>
                <w:lang w:val="en-US"/>
              </w:rPr>
            </w:pPr>
          </w:p>
        </w:tc>
        <w:tc>
          <w:tcPr>
            <w:tcW w:w="1144" w:type="dxa"/>
          </w:tcPr>
          <w:p w14:paraId="43EA7E76" w14:textId="77777777" w:rsidR="00401A64" w:rsidRPr="00D34BB5" w:rsidRDefault="00401A64" w:rsidP="00595B93">
            <w:pPr>
              <w:widowControl w:val="0"/>
              <w:jc w:val="center"/>
              <w:textAlignment w:val="top"/>
              <w:rPr>
                <w:bCs/>
                <w:sz w:val="20"/>
                <w:szCs w:val="20"/>
                <w:lang w:val="en-US"/>
              </w:rPr>
            </w:pPr>
          </w:p>
        </w:tc>
        <w:tc>
          <w:tcPr>
            <w:tcW w:w="1144" w:type="dxa"/>
          </w:tcPr>
          <w:p w14:paraId="16023DED" w14:textId="77777777" w:rsidR="00401A64" w:rsidRPr="0089404C" w:rsidRDefault="00401A64" w:rsidP="00595B93">
            <w:pPr>
              <w:widowControl w:val="0"/>
              <w:spacing w:before="60"/>
              <w:jc w:val="center"/>
              <w:textAlignment w:val="top"/>
              <w:rPr>
                <w:bCs/>
                <w:sz w:val="20"/>
                <w:szCs w:val="20"/>
                <w:lang w:val="en-US"/>
              </w:rPr>
            </w:pPr>
            <w:r w:rsidRPr="0089404C">
              <w:rPr>
                <w:bCs/>
                <w:sz w:val="20"/>
                <w:szCs w:val="20"/>
                <w:lang w:val="en-US"/>
              </w:rPr>
              <w:t>0.0568</w:t>
            </w:r>
          </w:p>
          <w:p w14:paraId="6F0E6464" w14:textId="77777777" w:rsidR="00401A64" w:rsidRPr="0089404C" w:rsidRDefault="00401A64" w:rsidP="00595B93">
            <w:pPr>
              <w:widowControl w:val="0"/>
              <w:jc w:val="center"/>
              <w:textAlignment w:val="top"/>
              <w:rPr>
                <w:bCs/>
                <w:sz w:val="20"/>
                <w:szCs w:val="20"/>
                <w:lang w:val="en-US"/>
              </w:rPr>
            </w:pPr>
            <w:r w:rsidRPr="0089404C">
              <w:rPr>
                <w:bCs/>
                <w:sz w:val="20"/>
                <w:szCs w:val="20"/>
                <w:lang w:val="en-US"/>
              </w:rPr>
              <w:t>(0.7209)</w:t>
            </w:r>
          </w:p>
          <w:p w14:paraId="162E527B" w14:textId="77777777" w:rsidR="00401A64" w:rsidRPr="0089404C" w:rsidRDefault="00401A64" w:rsidP="00595B93">
            <w:pPr>
              <w:widowControl w:val="0"/>
              <w:jc w:val="center"/>
              <w:textAlignment w:val="top"/>
              <w:rPr>
                <w:bCs/>
                <w:sz w:val="20"/>
                <w:szCs w:val="20"/>
                <w:lang w:val="en-US"/>
              </w:rPr>
            </w:pPr>
            <w:r w:rsidRPr="0089404C">
              <w:rPr>
                <w:bCs/>
                <w:sz w:val="20"/>
                <w:szCs w:val="20"/>
                <w:lang w:val="en-US"/>
              </w:rPr>
              <w:t>[0.0788]</w:t>
            </w:r>
          </w:p>
        </w:tc>
        <w:tc>
          <w:tcPr>
            <w:tcW w:w="1144" w:type="dxa"/>
          </w:tcPr>
          <w:p w14:paraId="0A1EFFCB" w14:textId="77777777" w:rsidR="00401A64" w:rsidRPr="006B4ECF" w:rsidRDefault="00401A64" w:rsidP="00595B93">
            <w:pPr>
              <w:widowControl w:val="0"/>
              <w:jc w:val="center"/>
              <w:textAlignment w:val="top"/>
              <w:rPr>
                <w:bCs/>
                <w:sz w:val="20"/>
                <w:szCs w:val="20"/>
                <w:lang w:val="en-US"/>
              </w:rPr>
            </w:pPr>
          </w:p>
        </w:tc>
      </w:tr>
      <w:tr w:rsidR="00401A64" w:rsidRPr="0047024D" w14:paraId="4F8E04D8" w14:textId="77777777" w:rsidTr="00595B93">
        <w:tc>
          <w:tcPr>
            <w:tcW w:w="1172" w:type="dxa"/>
            <w:tcBorders>
              <w:bottom w:val="single" w:sz="4" w:space="0" w:color="auto"/>
            </w:tcBorders>
          </w:tcPr>
          <w:p w14:paraId="781D9D6A"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CORR</w:t>
            </w:r>
            <w:r w:rsidRPr="00491C04">
              <w:rPr>
                <w:bCs/>
                <w:i/>
                <w:sz w:val="20"/>
                <w:szCs w:val="20"/>
                <w:vertAlign w:val="subscript"/>
                <w:lang w:val="en-US"/>
              </w:rPr>
              <w:t>i,t-1</w:t>
            </w:r>
          </w:p>
        </w:tc>
        <w:tc>
          <w:tcPr>
            <w:tcW w:w="1144" w:type="dxa"/>
            <w:tcBorders>
              <w:bottom w:val="single" w:sz="4" w:space="0" w:color="auto"/>
            </w:tcBorders>
          </w:tcPr>
          <w:p w14:paraId="232CF587" w14:textId="77777777" w:rsidR="00401A64" w:rsidRPr="006467AD" w:rsidRDefault="00401A64" w:rsidP="00595B93">
            <w:pPr>
              <w:widowControl w:val="0"/>
              <w:jc w:val="center"/>
              <w:textAlignment w:val="top"/>
              <w:rPr>
                <w:bCs/>
                <w:sz w:val="20"/>
                <w:szCs w:val="20"/>
                <w:lang w:val="en-US"/>
              </w:rPr>
            </w:pPr>
          </w:p>
        </w:tc>
        <w:tc>
          <w:tcPr>
            <w:tcW w:w="1144" w:type="dxa"/>
            <w:tcBorders>
              <w:bottom w:val="single" w:sz="4" w:space="0" w:color="auto"/>
            </w:tcBorders>
          </w:tcPr>
          <w:p w14:paraId="0ED40600" w14:textId="77777777" w:rsidR="00401A64" w:rsidRPr="00602165" w:rsidRDefault="00401A64" w:rsidP="00595B93">
            <w:pPr>
              <w:widowControl w:val="0"/>
              <w:jc w:val="center"/>
              <w:textAlignment w:val="top"/>
              <w:rPr>
                <w:bCs/>
                <w:sz w:val="20"/>
                <w:szCs w:val="20"/>
                <w:lang w:val="en-US"/>
              </w:rPr>
            </w:pPr>
          </w:p>
        </w:tc>
        <w:tc>
          <w:tcPr>
            <w:tcW w:w="1144" w:type="dxa"/>
            <w:tcBorders>
              <w:bottom w:val="single" w:sz="4" w:space="0" w:color="auto"/>
            </w:tcBorders>
          </w:tcPr>
          <w:p w14:paraId="76F6EC30" w14:textId="77777777" w:rsidR="00401A64" w:rsidRPr="009756F4" w:rsidRDefault="00401A64" w:rsidP="00595B93">
            <w:pPr>
              <w:widowControl w:val="0"/>
              <w:jc w:val="center"/>
              <w:textAlignment w:val="top"/>
              <w:rPr>
                <w:bCs/>
                <w:sz w:val="20"/>
                <w:szCs w:val="20"/>
                <w:lang w:val="en-US"/>
              </w:rPr>
            </w:pPr>
          </w:p>
        </w:tc>
        <w:tc>
          <w:tcPr>
            <w:tcW w:w="1144" w:type="dxa"/>
            <w:tcBorders>
              <w:bottom w:val="single" w:sz="4" w:space="0" w:color="auto"/>
            </w:tcBorders>
          </w:tcPr>
          <w:p w14:paraId="79CFE47F" w14:textId="77777777" w:rsidR="00401A64" w:rsidRPr="00F50950" w:rsidRDefault="00401A64" w:rsidP="00595B93">
            <w:pPr>
              <w:widowControl w:val="0"/>
              <w:jc w:val="center"/>
              <w:textAlignment w:val="top"/>
              <w:rPr>
                <w:bCs/>
                <w:sz w:val="20"/>
                <w:szCs w:val="20"/>
                <w:lang w:val="en-US"/>
              </w:rPr>
            </w:pPr>
          </w:p>
        </w:tc>
        <w:tc>
          <w:tcPr>
            <w:tcW w:w="1144" w:type="dxa"/>
            <w:tcBorders>
              <w:bottom w:val="single" w:sz="4" w:space="0" w:color="auto"/>
            </w:tcBorders>
          </w:tcPr>
          <w:p w14:paraId="377DCE1A" w14:textId="77777777" w:rsidR="00401A64" w:rsidRPr="00D34BB5" w:rsidRDefault="00401A64" w:rsidP="00595B93">
            <w:pPr>
              <w:widowControl w:val="0"/>
              <w:jc w:val="center"/>
              <w:textAlignment w:val="top"/>
              <w:rPr>
                <w:bCs/>
                <w:sz w:val="20"/>
                <w:szCs w:val="20"/>
                <w:lang w:val="en-US"/>
              </w:rPr>
            </w:pPr>
          </w:p>
        </w:tc>
        <w:tc>
          <w:tcPr>
            <w:tcW w:w="1144" w:type="dxa"/>
            <w:tcBorders>
              <w:bottom w:val="single" w:sz="4" w:space="0" w:color="auto"/>
            </w:tcBorders>
          </w:tcPr>
          <w:p w14:paraId="70589FEC" w14:textId="77777777" w:rsidR="00401A64" w:rsidRPr="0089404C" w:rsidRDefault="00401A64" w:rsidP="00595B93">
            <w:pPr>
              <w:widowControl w:val="0"/>
              <w:jc w:val="center"/>
              <w:textAlignment w:val="top"/>
              <w:rPr>
                <w:bCs/>
                <w:sz w:val="20"/>
                <w:szCs w:val="20"/>
                <w:lang w:val="en-US"/>
              </w:rPr>
            </w:pPr>
          </w:p>
        </w:tc>
        <w:tc>
          <w:tcPr>
            <w:tcW w:w="1144" w:type="dxa"/>
            <w:tcBorders>
              <w:bottom w:val="single" w:sz="4" w:space="0" w:color="auto"/>
            </w:tcBorders>
          </w:tcPr>
          <w:p w14:paraId="12FC10D5" w14:textId="77777777" w:rsidR="00401A64" w:rsidRPr="006B4ECF" w:rsidRDefault="00401A64" w:rsidP="00595B93">
            <w:pPr>
              <w:widowControl w:val="0"/>
              <w:spacing w:before="60"/>
              <w:jc w:val="center"/>
              <w:textAlignment w:val="top"/>
              <w:rPr>
                <w:bCs/>
                <w:sz w:val="20"/>
                <w:szCs w:val="20"/>
                <w:lang w:val="en-US"/>
              </w:rPr>
            </w:pPr>
            <w:r w:rsidRPr="006B4ECF">
              <w:rPr>
                <w:bCs/>
                <w:sz w:val="20"/>
                <w:szCs w:val="20"/>
                <w:lang w:val="en-US"/>
              </w:rPr>
              <w:t>0.00</w:t>
            </w:r>
            <w:r>
              <w:rPr>
                <w:bCs/>
                <w:sz w:val="20"/>
                <w:szCs w:val="20"/>
                <w:lang w:val="en-US"/>
              </w:rPr>
              <w:t>12</w:t>
            </w:r>
            <w:r w:rsidRPr="006B4ECF">
              <w:rPr>
                <w:bCs/>
                <w:sz w:val="20"/>
                <w:szCs w:val="20"/>
                <w:lang w:val="en-US"/>
              </w:rPr>
              <w:t>***</w:t>
            </w:r>
          </w:p>
          <w:p w14:paraId="6B1E64A9" w14:textId="77777777" w:rsidR="00401A64" w:rsidRPr="006B4ECF" w:rsidRDefault="00401A64" w:rsidP="00595B93">
            <w:pPr>
              <w:widowControl w:val="0"/>
              <w:jc w:val="center"/>
              <w:textAlignment w:val="top"/>
              <w:rPr>
                <w:bCs/>
                <w:sz w:val="20"/>
                <w:szCs w:val="20"/>
                <w:lang w:val="en-US"/>
              </w:rPr>
            </w:pPr>
            <w:r w:rsidRPr="006B4ECF">
              <w:rPr>
                <w:bCs/>
                <w:sz w:val="20"/>
                <w:szCs w:val="20"/>
                <w:lang w:val="en-US"/>
              </w:rPr>
              <w:t>(0.00</w:t>
            </w:r>
            <w:r>
              <w:rPr>
                <w:bCs/>
                <w:sz w:val="20"/>
                <w:szCs w:val="20"/>
                <w:lang w:val="en-US"/>
              </w:rPr>
              <w:t>04</w:t>
            </w:r>
            <w:r w:rsidRPr="006B4ECF">
              <w:rPr>
                <w:bCs/>
                <w:sz w:val="20"/>
                <w:szCs w:val="20"/>
                <w:lang w:val="en-US"/>
              </w:rPr>
              <w:t>)</w:t>
            </w:r>
          </w:p>
          <w:p w14:paraId="0808AAD3" w14:textId="77777777" w:rsidR="00401A64" w:rsidRPr="006B4ECF" w:rsidRDefault="00401A64" w:rsidP="00595B93">
            <w:pPr>
              <w:widowControl w:val="0"/>
              <w:jc w:val="center"/>
              <w:textAlignment w:val="top"/>
              <w:rPr>
                <w:bCs/>
                <w:sz w:val="20"/>
                <w:szCs w:val="20"/>
                <w:lang w:val="en-US"/>
              </w:rPr>
            </w:pPr>
            <w:r w:rsidRPr="006B4ECF">
              <w:rPr>
                <w:bCs/>
                <w:sz w:val="20"/>
                <w:szCs w:val="20"/>
                <w:lang w:val="en-US"/>
              </w:rPr>
              <w:t>[</w:t>
            </w:r>
            <w:r>
              <w:rPr>
                <w:bCs/>
                <w:sz w:val="20"/>
                <w:szCs w:val="20"/>
                <w:lang w:val="en-US"/>
              </w:rPr>
              <w:t>2.9981</w:t>
            </w:r>
            <w:r w:rsidRPr="006B4ECF">
              <w:rPr>
                <w:bCs/>
                <w:sz w:val="20"/>
                <w:szCs w:val="20"/>
                <w:lang w:val="en-US"/>
              </w:rPr>
              <w:t>]</w:t>
            </w:r>
          </w:p>
        </w:tc>
      </w:tr>
      <w:tr w:rsidR="00401A64" w:rsidRPr="0047024D" w14:paraId="50B2A9BB" w14:textId="77777777" w:rsidTr="00595B93">
        <w:tc>
          <w:tcPr>
            <w:tcW w:w="1172" w:type="dxa"/>
            <w:tcBorders>
              <w:top w:val="single" w:sz="4" w:space="0" w:color="auto"/>
            </w:tcBorders>
          </w:tcPr>
          <w:p w14:paraId="165CA20C"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J-stat.</w:t>
            </w:r>
          </w:p>
        </w:tc>
        <w:tc>
          <w:tcPr>
            <w:tcW w:w="1144" w:type="dxa"/>
            <w:tcBorders>
              <w:top w:val="single" w:sz="4" w:space="0" w:color="auto"/>
            </w:tcBorders>
          </w:tcPr>
          <w:p w14:paraId="7AC15616" w14:textId="77777777" w:rsidR="00401A64" w:rsidRPr="006467AD" w:rsidRDefault="00401A64" w:rsidP="00595B93">
            <w:pPr>
              <w:widowControl w:val="0"/>
              <w:spacing w:before="60"/>
              <w:jc w:val="center"/>
              <w:textAlignment w:val="top"/>
              <w:rPr>
                <w:bCs/>
                <w:sz w:val="20"/>
                <w:szCs w:val="20"/>
                <w:lang w:val="en-US"/>
              </w:rPr>
            </w:pPr>
            <w:r>
              <w:rPr>
                <w:bCs/>
                <w:sz w:val="20"/>
                <w:szCs w:val="20"/>
                <w:lang w:val="en-US"/>
              </w:rPr>
              <w:t>21.5093</w:t>
            </w:r>
          </w:p>
          <w:p w14:paraId="66107EE1" w14:textId="77777777" w:rsidR="00401A64" w:rsidRPr="006467AD" w:rsidRDefault="00401A64" w:rsidP="00595B93">
            <w:pPr>
              <w:widowControl w:val="0"/>
              <w:spacing w:before="60"/>
              <w:jc w:val="center"/>
              <w:textAlignment w:val="top"/>
              <w:rPr>
                <w:bCs/>
                <w:sz w:val="20"/>
                <w:szCs w:val="20"/>
                <w:lang w:val="en-US"/>
              </w:rPr>
            </w:pPr>
            <w:r w:rsidRPr="006467AD">
              <w:rPr>
                <w:bCs/>
                <w:sz w:val="20"/>
                <w:szCs w:val="20"/>
                <w:lang w:val="en-US"/>
              </w:rPr>
              <w:t>p&gt;0.</w:t>
            </w:r>
            <w:r>
              <w:rPr>
                <w:bCs/>
                <w:sz w:val="20"/>
                <w:szCs w:val="20"/>
                <w:lang w:val="en-US"/>
              </w:rPr>
              <w:t>25</w:t>
            </w:r>
          </w:p>
        </w:tc>
        <w:tc>
          <w:tcPr>
            <w:tcW w:w="1144" w:type="dxa"/>
            <w:tcBorders>
              <w:top w:val="single" w:sz="4" w:space="0" w:color="auto"/>
            </w:tcBorders>
          </w:tcPr>
          <w:p w14:paraId="21E0655E" w14:textId="77777777" w:rsidR="00401A64" w:rsidRPr="00602165" w:rsidRDefault="00401A64" w:rsidP="00595B93">
            <w:pPr>
              <w:widowControl w:val="0"/>
              <w:spacing w:before="60"/>
              <w:jc w:val="center"/>
              <w:textAlignment w:val="top"/>
              <w:rPr>
                <w:bCs/>
                <w:sz w:val="20"/>
                <w:szCs w:val="20"/>
                <w:lang w:val="en-US"/>
              </w:rPr>
            </w:pPr>
            <w:r>
              <w:rPr>
                <w:bCs/>
                <w:sz w:val="20"/>
                <w:szCs w:val="20"/>
                <w:lang w:val="en-US"/>
              </w:rPr>
              <w:t>1</w:t>
            </w:r>
            <w:r w:rsidRPr="00602165">
              <w:rPr>
                <w:bCs/>
                <w:sz w:val="20"/>
                <w:szCs w:val="20"/>
                <w:lang w:val="en-US"/>
              </w:rPr>
              <w:t>3.</w:t>
            </w:r>
            <w:r>
              <w:rPr>
                <w:bCs/>
                <w:sz w:val="20"/>
                <w:szCs w:val="20"/>
                <w:lang w:val="en-US"/>
              </w:rPr>
              <w:t>7063</w:t>
            </w:r>
          </w:p>
          <w:p w14:paraId="389D82A4" w14:textId="77777777" w:rsidR="00401A64" w:rsidRPr="00602165" w:rsidRDefault="00401A64" w:rsidP="00595B93">
            <w:pPr>
              <w:widowControl w:val="0"/>
              <w:spacing w:before="60"/>
              <w:jc w:val="center"/>
              <w:textAlignment w:val="top"/>
              <w:rPr>
                <w:bCs/>
                <w:sz w:val="20"/>
                <w:szCs w:val="20"/>
                <w:lang w:val="en-US"/>
              </w:rPr>
            </w:pPr>
            <w:r w:rsidRPr="00602165">
              <w:rPr>
                <w:bCs/>
                <w:sz w:val="20"/>
                <w:szCs w:val="20"/>
                <w:lang w:val="en-US"/>
              </w:rPr>
              <w:t>p&gt;0.</w:t>
            </w:r>
            <w:r>
              <w:rPr>
                <w:bCs/>
                <w:sz w:val="20"/>
                <w:szCs w:val="20"/>
                <w:lang w:val="en-US"/>
              </w:rPr>
              <w:t>80</w:t>
            </w:r>
          </w:p>
        </w:tc>
        <w:tc>
          <w:tcPr>
            <w:tcW w:w="1144" w:type="dxa"/>
            <w:tcBorders>
              <w:top w:val="single" w:sz="4" w:space="0" w:color="auto"/>
            </w:tcBorders>
          </w:tcPr>
          <w:p w14:paraId="0DA9AFF6" w14:textId="77777777" w:rsidR="00401A64" w:rsidRPr="009756F4" w:rsidRDefault="00401A64" w:rsidP="00595B93">
            <w:pPr>
              <w:widowControl w:val="0"/>
              <w:spacing w:before="60"/>
              <w:jc w:val="center"/>
              <w:textAlignment w:val="top"/>
              <w:rPr>
                <w:bCs/>
                <w:sz w:val="20"/>
                <w:szCs w:val="20"/>
                <w:lang w:val="en-US"/>
              </w:rPr>
            </w:pPr>
            <w:r>
              <w:rPr>
                <w:bCs/>
                <w:sz w:val="20"/>
                <w:szCs w:val="20"/>
                <w:lang w:val="en-US"/>
              </w:rPr>
              <w:t>11.1198</w:t>
            </w:r>
          </w:p>
          <w:p w14:paraId="41D036CD" w14:textId="77777777" w:rsidR="00401A64" w:rsidRPr="009756F4" w:rsidRDefault="00401A64" w:rsidP="00595B93">
            <w:pPr>
              <w:widowControl w:val="0"/>
              <w:spacing w:before="60"/>
              <w:jc w:val="center"/>
              <w:textAlignment w:val="top"/>
              <w:rPr>
                <w:bCs/>
                <w:sz w:val="20"/>
                <w:szCs w:val="20"/>
                <w:lang w:val="en-US"/>
              </w:rPr>
            </w:pPr>
            <w:r w:rsidRPr="009756F4">
              <w:rPr>
                <w:bCs/>
                <w:sz w:val="20"/>
                <w:szCs w:val="20"/>
                <w:lang w:val="en-US"/>
              </w:rPr>
              <w:t>p&gt;0.</w:t>
            </w:r>
            <w:r>
              <w:rPr>
                <w:bCs/>
                <w:sz w:val="20"/>
                <w:szCs w:val="20"/>
                <w:lang w:val="en-US"/>
              </w:rPr>
              <w:t>8</w:t>
            </w:r>
            <w:r w:rsidRPr="009756F4">
              <w:rPr>
                <w:bCs/>
                <w:sz w:val="20"/>
                <w:szCs w:val="20"/>
                <w:lang w:val="en-US"/>
              </w:rPr>
              <w:t>5</w:t>
            </w:r>
          </w:p>
        </w:tc>
        <w:tc>
          <w:tcPr>
            <w:tcW w:w="1144" w:type="dxa"/>
            <w:tcBorders>
              <w:top w:val="single" w:sz="4" w:space="0" w:color="auto"/>
            </w:tcBorders>
          </w:tcPr>
          <w:p w14:paraId="6BD3266B" w14:textId="77777777" w:rsidR="00401A64" w:rsidRPr="00F50950" w:rsidRDefault="00401A64" w:rsidP="00595B93">
            <w:pPr>
              <w:widowControl w:val="0"/>
              <w:spacing w:before="60"/>
              <w:jc w:val="center"/>
              <w:textAlignment w:val="top"/>
              <w:rPr>
                <w:bCs/>
                <w:sz w:val="20"/>
                <w:szCs w:val="20"/>
                <w:lang w:val="en-US"/>
              </w:rPr>
            </w:pPr>
            <w:r w:rsidRPr="00F50950">
              <w:rPr>
                <w:bCs/>
                <w:sz w:val="20"/>
                <w:szCs w:val="20"/>
                <w:lang w:val="en-US"/>
              </w:rPr>
              <w:t>2</w:t>
            </w:r>
            <w:r>
              <w:rPr>
                <w:bCs/>
                <w:sz w:val="20"/>
                <w:szCs w:val="20"/>
                <w:lang w:val="en-US"/>
              </w:rPr>
              <w:t>6.5805</w:t>
            </w:r>
          </w:p>
          <w:p w14:paraId="1E75CFCF" w14:textId="77777777" w:rsidR="00401A64" w:rsidRPr="00F50950" w:rsidRDefault="00401A64" w:rsidP="00595B93">
            <w:pPr>
              <w:widowControl w:val="0"/>
              <w:spacing w:before="60"/>
              <w:jc w:val="center"/>
              <w:textAlignment w:val="top"/>
              <w:rPr>
                <w:bCs/>
                <w:sz w:val="20"/>
                <w:szCs w:val="20"/>
                <w:lang w:val="en-US"/>
              </w:rPr>
            </w:pPr>
            <w:r w:rsidRPr="00F50950">
              <w:rPr>
                <w:bCs/>
                <w:sz w:val="20"/>
                <w:szCs w:val="20"/>
                <w:lang w:val="en-US"/>
              </w:rPr>
              <w:t>p&gt;0.14</w:t>
            </w:r>
          </w:p>
        </w:tc>
        <w:tc>
          <w:tcPr>
            <w:tcW w:w="1144" w:type="dxa"/>
            <w:tcBorders>
              <w:top w:val="single" w:sz="4" w:space="0" w:color="auto"/>
            </w:tcBorders>
          </w:tcPr>
          <w:p w14:paraId="28B1F245" w14:textId="77777777" w:rsidR="00401A64" w:rsidRPr="00D34BB5" w:rsidRDefault="00401A64" w:rsidP="00595B93">
            <w:pPr>
              <w:widowControl w:val="0"/>
              <w:spacing w:before="60"/>
              <w:jc w:val="center"/>
              <w:textAlignment w:val="top"/>
              <w:rPr>
                <w:bCs/>
                <w:sz w:val="20"/>
                <w:szCs w:val="20"/>
                <w:lang w:val="en-US"/>
              </w:rPr>
            </w:pPr>
            <w:r w:rsidRPr="00D34BB5">
              <w:rPr>
                <w:bCs/>
                <w:sz w:val="20"/>
                <w:szCs w:val="20"/>
                <w:lang w:val="en-US"/>
              </w:rPr>
              <w:t>1</w:t>
            </w:r>
            <w:r>
              <w:rPr>
                <w:bCs/>
                <w:sz w:val="20"/>
                <w:szCs w:val="20"/>
                <w:lang w:val="en-US"/>
              </w:rPr>
              <w:t>4.5990</w:t>
            </w:r>
          </w:p>
          <w:p w14:paraId="4DA81223" w14:textId="77777777" w:rsidR="00401A64" w:rsidRPr="00D34BB5" w:rsidRDefault="00401A64" w:rsidP="00595B93">
            <w:pPr>
              <w:widowControl w:val="0"/>
              <w:spacing w:before="60"/>
              <w:jc w:val="center"/>
              <w:textAlignment w:val="top"/>
              <w:rPr>
                <w:bCs/>
                <w:sz w:val="20"/>
                <w:szCs w:val="20"/>
                <w:lang w:val="en-US"/>
              </w:rPr>
            </w:pPr>
            <w:r w:rsidRPr="00D34BB5">
              <w:rPr>
                <w:bCs/>
                <w:sz w:val="20"/>
                <w:szCs w:val="20"/>
                <w:lang w:val="en-US"/>
              </w:rPr>
              <w:t>p&gt;0.</w:t>
            </w:r>
            <w:r>
              <w:rPr>
                <w:bCs/>
                <w:sz w:val="20"/>
                <w:szCs w:val="20"/>
                <w:lang w:val="en-US"/>
              </w:rPr>
              <w:t>65</w:t>
            </w:r>
          </w:p>
        </w:tc>
        <w:tc>
          <w:tcPr>
            <w:tcW w:w="1144" w:type="dxa"/>
            <w:tcBorders>
              <w:top w:val="single" w:sz="4" w:space="0" w:color="auto"/>
            </w:tcBorders>
          </w:tcPr>
          <w:p w14:paraId="43CCB716" w14:textId="77777777" w:rsidR="00401A64" w:rsidRPr="0089404C" w:rsidRDefault="00401A64" w:rsidP="00595B93">
            <w:pPr>
              <w:widowControl w:val="0"/>
              <w:spacing w:before="60"/>
              <w:jc w:val="center"/>
              <w:textAlignment w:val="top"/>
              <w:rPr>
                <w:bCs/>
                <w:sz w:val="20"/>
                <w:szCs w:val="20"/>
                <w:lang w:val="en-US"/>
              </w:rPr>
            </w:pPr>
            <w:r w:rsidRPr="0089404C">
              <w:rPr>
                <w:bCs/>
                <w:sz w:val="20"/>
                <w:szCs w:val="20"/>
                <w:lang w:val="en-US"/>
              </w:rPr>
              <w:t>27.1170</w:t>
            </w:r>
          </w:p>
          <w:p w14:paraId="1F988FD3" w14:textId="77777777" w:rsidR="00401A64" w:rsidRPr="0089404C" w:rsidRDefault="00401A64" w:rsidP="00595B93">
            <w:pPr>
              <w:widowControl w:val="0"/>
              <w:spacing w:before="60"/>
              <w:jc w:val="center"/>
              <w:textAlignment w:val="top"/>
              <w:rPr>
                <w:bCs/>
                <w:sz w:val="20"/>
                <w:szCs w:val="20"/>
                <w:lang w:val="en-US"/>
              </w:rPr>
            </w:pPr>
            <w:r w:rsidRPr="0089404C">
              <w:rPr>
                <w:bCs/>
                <w:sz w:val="20"/>
                <w:szCs w:val="20"/>
                <w:lang w:val="en-US"/>
              </w:rPr>
              <w:t>p&gt;0.15</w:t>
            </w:r>
          </w:p>
        </w:tc>
        <w:tc>
          <w:tcPr>
            <w:tcW w:w="1144" w:type="dxa"/>
            <w:tcBorders>
              <w:top w:val="single" w:sz="4" w:space="0" w:color="auto"/>
            </w:tcBorders>
          </w:tcPr>
          <w:p w14:paraId="3AD25A69" w14:textId="77777777" w:rsidR="00401A64" w:rsidRPr="006B4ECF" w:rsidRDefault="00401A64" w:rsidP="00595B93">
            <w:pPr>
              <w:widowControl w:val="0"/>
              <w:spacing w:before="60"/>
              <w:jc w:val="center"/>
              <w:textAlignment w:val="top"/>
              <w:rPr>
                <w:bCs/>
                <w:sz w:val="20"/>
                <w:szCs w:val="20"/>
                <w:lang w:val="en-US"/>
              </w:rPr>
            </w:pPr>
            <w:r>
              <w:rPr>
                <w:bCs/>
                <w:sz w:val="20"/>
                <w:szCs w:val="20"/>
                <w:lang w:val="en-US"/>
              </w:rPr>
              <w:t>8.7405</w:t>
            </w:r>
          </w:p>
          <w:p w14:paraId="32E32FEF" w14:textId="77777777" w:rsidR="00401A64" w:rsidRPr="006B4ECF" w:rsidRDefault="00401A64" w:rsidP="00595B93">
            <w:pPr>
              <w:widowControl w:val="0"/>
              <w:spacing w:before="60"/>
              <w:jc w:val="center"/>
              <w:textAlignment w:val="top"/>
              <w:rPr>
                <w:bCs/>
                <w:sz w:val="20"/>
                <w:szCs w:val="20"/>
                <w:lang w:val="en-US"/>
              </w:rPr>
            </w:pPr>
            <w:r w:rsidRPr="006B4ECF">
              <w:rPr>
                <w:bCs/>
                <w:sz w:val="20"/>
                <w:szCs w:val="20"/>
                <w:lang w:val="en-US"/>
              </w:rPr>
              <w:t>p&gt;0.</w:t>
            </w:r>
            <w:r>
              <w:rPr>
                <w:bCs/>
                <w:sz w:val="20"/>
                <w:szCs w:val="20"/>
                <w:lang w:val="en-US"/>
              </w:rPr>
              <w:t>80</w:t>
            </w:r>
          </w:p>
        </w:tc>
      </w:tr>
      <w:tr w:rsidR="00401A64" w:rsidRPr="0047024D" w14:paraId="3BC3D91E" w14:textId="77777777" w:rsidTr="00595B93">
        <w:tc>
          <w:tcPr>
            <w:tcW w:w="1172" w:type="dxa"/>
          </w:tcPr>
          <w:p w14:paraId="712656D4"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m2</w:t>
            </w:r>
          </w:p>
        </w:tc>
        <w:tc>
          <w:tcPr>
            <w:tcW w:w="1144" w:type="dxa"/>
          </w:tcPr>
          <w:p w14:paraId="66DDF26F" w14:textId="77777777" w:rsidR="00401A64" w:rsidRPr="006467AD" w:rsidRDefault="00401A64" w:rsidP="00595B93">
            <w:pPr>
              <w:widowControl w:val="0"/>
              <w:spacing w:before="60"/>
              <w:jc w:val="center"/>
              <w:textAlignment w:val="top"/>
              <w:rPr>
                <w:bCs/>
                <w:sz w:val="20"/>
                <w:szCs w:val="20"/>
                <w:lang w:val="en-US"/>
              </w:rPr>
            </w:pPr>
            <w:r w:rsidRPr="006467AD">
              <w:rPr>
                <w:bCs/>
                <w:sz w:val="20"/>
                <w:szCs w:val="20"/>
                <w:lang w:val="en-US"/>
              </w:rPr>
              <w:t>-0.</w:t>
            </w:r>
            <w:r>
              <w:rPr>
                <w:bCs/>
                <w:sz w:val="20"/>
                <w:szCs w:val="20"/>
                <w:lang w:val="en-US"/>
              </w:rPr>
              <w:t>0359</w:t>
            </w:r>
          </w:p>
        </w:tc>
        <w:tc>
          <w:tcPr>
            <w:tcW w:w="1144" w:type="dxa"/>
          </w:tcPr>
          <w:p w14:paraId="6BAA6A0F" w14:textId="77777777" w:rsidR="00401A64" w:rsidRPr="00602165" w:rsidRDefault="00401A64" w:rsidP="00595B93">
            <w:pPr>
              <w:widowControl w:val="0"/>
              <w:spacing w:before="60"/>
              <w:jc w:val="center"/>
              <w:textAlignment w:val="top"/>
              <w:rPr>
                <w:bCs/>
                <w:sz w:val="20"/>
                <w:szCs w:val="20"/>
                <w:lang w:val="en-US"/>
              </w:rPr>
            </w:pPr>
            <w:r w:rsidRPr="00602165">
              <w:rPr>
                <w:bCs/>
                <w:sz w:val="20"/>
                <w:szCs w:val="20"/>
                <w:lang w:val="en-US"/>
              </w:rPr>
              <w:t>-0.</w:t>
            </w:r>
            <w:r>
              <w:rPr>
                <w:bCs/>
                <w:sz w:val="20"/>
                <w:szCs w:val="20"/>
                <w:lang w:val="en-US"/>
              </w:rPr>
              <w:t>0637</w:t>
            </w:r>
          </w:p>
        </w:tc>
        <w:tc>
          <w:tcPr>
            <w:tcW w:w="1144" w:type="dxa"/>
          </w:tcPr>
          <w:p w14:paraId="03B3A435" w14:textId="77777777" w:rsidR="00401A64" w:rsidRPr="009756F4" w:rsidRDefault="00401A64" w:rsidP="00595B93">
            <w:pPr>
              <w:widowControl w:val="0"/>
              <w:spacing w:before="60"/>
              <w:jc w:val="center"/>
              <w:textAlignment w:val="top"/>
              <w:rPr>
                <w:bCs/>
                <w:sz w:val="20"/>
                <w:szCs w:val="20"/>
                <w:lang w:val="en-US"/>
              </w:rPr>
            </w:pPr>
            <w:r w:rsidRPr="009756F4">
              <w:rPr>
                <w:bCs/>
                <w:sz w:val="20"/>
                <w:szCs w:val="20"/>
                <w:lang w:val="en-US"/>
              </w:rPr>
              <w:t>0.</w:t>
            </w:r>
            <w:r>
              <w:rPr>
                <w:bCs/>
                <w:sz w:val="20"/>
                <w:szCs w:val="20"/>
                <w:lang w:val="en-US"/>
              </w:rPr>
              <w:t>1127</w:t>
            </w:r>
          </w:p>
        </w:tc>
        <w:tc>
          <w:tcPr>
            <w:tcW w:w="1144" w:type="dxa"/>
          </w:tcPr>
          <w:p w14:paraId="1DAF4851" w14:textId="77777777" w:rsidR="00401A64" w:rsidRPr="00F50950" w:rsidRDefault="00401A64" w:rsidP="00595B93">
            <w:pPr>
              <w:widowControl w:val="0"/>
              <w:spacing w:before="60"/>
              <w:jc w:val="center"/>
              <w:textAlignment w:val="top"/>
              <w:rPr>
                <w:bCs/>
                <w:sz w:val="20"/>
                <w:szCs w:val="20"/>
                <w:lang w:val="en-US"/>
              </w:rPr>
            </w:pPr>
            <w:r w:rsidRPr="00F50950">
              <w:rPr>
                <w:bCs/>
                <w:sz w:val="20"/>
                <w:szCs w:val="20"/>
                <w:lang w:val="en-US"/>
              </w:rPr>
              <w:t>-0.</w:t>
            </w:r>
            <w:r>
              <w:rPr>
                <w:bCs/>
                <w:sz w:val="20"/>
                <w:szCs w:val="20"/>
                <w:lang w:val="en-US"/>
              </w:rPr>
              <w:t>0800</w:t>
            </w:r>
          </w:p>
        </w:tc>
        <w:tc>
          <w:tcPr>
            <w:tcW w:w="1144" w:type="dxa"/>
          </w:tcPr>
          <w:p w14:paraId="687614B4" w14:textId="77777777" w:rsidR="00401A64" w:rsidRPr="00D34BB5" w:rsidRDefault="00401A64" w:rsidP="00595B93">
            <w:pPr>
              <w:widowControl w:val="0"/>
              <w:spacing w:before="60"/>
              <w:jc w:val="center"/>
              <w:textAlignment w:val="top"/>
              <w:rPr>
                <w:bCs/>
                <w:sz w:val="20"/>
                <w:szCs w:val="20"/>
                <w:lang w:val="en-US"/>
              </w:rPr>
            </w:pPr>
            <w:r w:rsidRPr="00D34BB5">
              <w:rPr>
                <w:bCs/>
                <w:sz w:val="20"/>
                <w:szCs w:val="20"/>
                <w:lang w:val="en-US"/>
              </w:rPr>
              <w:t>-0.</w:t>
            </w:r>
            <w:r>
              <w:rPr>
                <w:bCs/>
                <w:sz w:val="20"/>
                <w:szCs w:val="20"/>
                <w:lang w:val="en-US"/>
              </w:rPr>
              <w:t>0119</w:t>
            </w:r>
          </w:p>
        </w:tc>
        <w:tc>
          <w:tcPr>
            <w:tcW w:w="1144" w:type="dxa"/>
          </w:tcPr>
          <w:p w14:paraId="15052FF5" w14:textId="77777777" w:rsidR="00401A64" w:rsidRPr="0089404C" w:rsidRDefault="00401A64" w:rsidP="00595B93">
            <w:pPr>
              <w:widowControl w:val="0"/>
              <w:spacing w:before="60"/>
              <w:jc w:val="center"/>
              <w:textAlignment w:val="top"/>
              <w:rPr>
                <w:bCs/>
                <w:sz w:val="20"/>
                <w:szCs w:val="20"/>
                <w:lang w:val="en-US"/>
              </w:rPr>
            </w:pPr>
            <w:r w:rsidRPr="0089404C">
              <w:rPr>
                <w:bCs/>
                <w:sz w:val="20"/>
                <w:szCs w:val="20"/>
                <w:lang w:val="en-US"/>
              </w:rPr>
              <w:t>-0.0573</w:t>
            </w:r>
          </w:p>
        </w:tc>
        <w:tc>
          <w:tcPr>
            <w:tcW w:w="1144" w:type="dxa"/>
          </w:tcPr>
          <w:p w14:paraId="030D996F" w14:textId="77777777" w:rsidR="00401A64" w:rsidRPr="006B4ECF" w:rsidRDefault="00401A64" w:rsidP="00595B93">
            <w:pPr>
              <w:widowControl w:val="0"/>
              <w:spacing w:before="60"/>
              <w:jc w:val="center"/>
              <w:textAlignment w:val="top"/>
              <w:rPr>
                <w:bCs/>
                <w:sz w:val="20"/>
                <w:szCs w:val="20"/>
                <w:lang w:val="en-US"/>
              </w:rPr>
            </w:pPr>
            <w:r>
              <w:rPr>
                <w:bCs/>
                <w:sz w:val="20"/>
                <w:szCs w:val="20"/>
                <w:lang w:val="en-US"/>
              </w:rPr>
              <w:t>0.0274</w:t>
            </w:r>
          </w:p>
        </w:tc>
      </w:tr>
      <w:tr w:rsidR="00401A64" w:rsidRPr="0047024D" w14:paraId="319C1EA3" w14:textId="77777777" w:rsidTr="00595B93">
        <w:tc>
          <w:tcPr>
            <w:tcW w:w="1172" w:type="dxa"/>
          </w:tcPr>
          <w:p w14:paraId="636D2AAA" w14:textId="77777777" w:rsidR="00401A64" w:rsidRPr="00491C04" w:rsidRDefault="00401A64" w:rsidP="00595B93">
            <w:pPr>
              <w:widowControl w:val="0"/>
              <w:spacing w:before="60"/>
              <w:jc w:val="center"/>
              <w:textAlignment w:val="top"/>
              <w:rPr>
                <w:bCs/>
                <w:i/>
                <w:sz w:val="20"/>
                <w:szCs w:val="20"/>
                <w:lang w:val="en-US"/>
              </w:rPr>
            </w:pPr>
            <w:r w:rsidRPr="00491C04">
              <w:rPr>
                <w:bCs/>
                <w:i/>
                <w:sz w:val="20"/>
                <w:szCs w:val="20"/>
                <w:lang w:val="en-US"/>
              </w:rPr>
              <w:t>p-value</w:t>
            </w:r>
          </w:p>
        </w:tc>
        <w:tc>
          <w:tcPr>
            <w:tcW w:w="1144" w:type="dxa"/>
          </w:tcPr>
          <w:p w14:paraId="6E0AB9A3" w14:textId="77777777" w:rsidR="00401A64" w:rsidRPr="006467AD" w:rsidRDefault="00401A64" w:rsidP="00595B93">
            <w:pPr>
              <w:widowControl w:val="0"/>
              <w:spacing w:before="60"/>
              <w:jc w:val="center"/>
              <w:textAlignment w:val="top"/>
              <w:rPr>
                <w:bCs/>
                <w:sz w:val="20"/>
                <w:szCs w:val="20"/>
                <w:lang w:val="en-US"/>
              </w:rPr>
            </w:pPr>
            <w:r w:rsidRPr="006467AD">
              <w:rPr>
                <w:bCs/>
                <w:sz w:val="20"/>
                <w:szCs w:val="20"/>
                <w:lang w:val="en-US"/>
              </w:rPr>
              <w:t>0.</w:t>
            </w:r>
            <w:r>
              <w:rPr>
                <w:bCs/>
                <w:sz w:val="20"/>
                <w:szCs w:val="20"/>
                <w:lang w:val="en-US"/>
              </w:rPr>
              <w:t>8297</w:t>
            </w:r>
          </w:p>
        </w:tc>
        <w:tc>
          <w:tcPr>
            <w:tcW w:w="1144" w:type="dxa"/>
          </w:tcPr>
          <w:p w14:paraId="2C80820D" w14:textId="77777777" w:rsidR="00401A64" w:rsidRPr="00602165" w:rsidRDefault="00401A64" w:rsidP="00595B93">
            <w:pPr>
              <w:widowControl w:val="0"/>
              <w:spacing w:before="60"/>
              <w:jc w:val="center"/>
              <w:textAlignment w:val="top"/>
              <w:rPr>
                <w:bCs/>
                <w:sz w:val="20"/>
                <w:szCs w:val="20"/>
                <w:lang w:val="en-US"/>
              </w:rPr>
            </w:pPr>
            <w:r w:rsidRPr="00602165">
              <w:rPr>
                <w:bCs/>
                <w:sz w:val="20"/>
                <w:szCs w:val="20"/>
                <w:lang w:val="en-US"/>
              </w:rPr>
              <w:t>0.</w:t>
            </w:r>
            <w:r>
              <w:rPr>
                <w:bCs/>
                <w:sz w:val="20"/>
                <w:szCs w:val="20"/>
                <w:lang w:val="en-US"/>
              </w:rPr>
              <w:t>7042</w:t>
            </w:r>
          </w:p>
        </w:tc>
        <w:tc>
          <w:tcPr>
            <w:tcW w:w="1144" w:type="dxa"/>
          </w:tcPr>
          <w:p w14:paraId="5909EC7C" w14:textId="77777777" w:rsidR="00401A64" w:rsidRPr="009756F4" w:rsidRDefault="00401A64" w:rsidP="00595B93">
            <w:pPr>
              <w:widowControl w:val="0"/>
              <w:spacing w:before="60"/>
              <w:jc w:val="center"/>
              <w:textAlignment w:val="top"/>
              <w:rPr>
                <w:bCs/>
                <w:sz w:val="20"/>
                <w:szCs w:val="20"/>
                <w:lang w:val="en-US"/>
              </w:rPr>
            </w:pPr>
            <w:r w:rsidRPr="009756F4">
              <w:rPr>
                <w:bCs/>
                <w:sz w:val="20"/>
                <w:szCs w:val="20"/>
                <w:lang w:val="en-US"/>
              </w:rPr>
              <w:t>0.</w:t>
            </w:r>
            <w:r>
              <w:rPr>
                <w:bCs/>
                <w:sz w:val="20"/>
                <w:szCs w:val="20"/>
                <w:lang w:val="en-US"/>
              </w:rPr>
              <w:t>6239</w:t>
            </w:r>
          </w:p>
        </w:tc>
        <w:tc>
          <w:tcPr>
            <w:tcW w:w="1144" w:type="dxa"/>
          </w:tcPr>
          <w:p w14:paraId="6CC240FD" w14:textId="77777777" w:rsidR="00401A64" w:rsidRPr="00F50950" w:rsidRDefault="00401A64" w:rsidP="00595B93">
            <w:pPr>
              <w:widowControl w:val="0"/>
              <w:spacing w:before="60"/>
              <w:jc w:val="center"/>
              <w:textAlignment w:val="top"/>
              <w:rPr>
                <w:bCs/>
                <w:sz w:val="20"/>
                <w:szCs w:val="20"/>
                <w:lang w:val="en-US"/>
              </w:rPr>
            </w:pPr>
            <w:r w:rsidRPr="00F50950">
              <w:rPr>
                <w:bCs/>
                <w:sz w:val="20"/>
                <w:szCs w:val="20"/>
                <w:lang w:val="en-US"/>
              </w:rPr>
              <w:t>0.</w:t>
            </w:r>
            <w:r>
              <w:rPr>
                <w:bCs/>
                <w:sz w:val="20"/>
                <w:szCs w:val="20"/>
                <w:lang w:val="en-US"/>
              </w:rPr>
              <w:t>5891</w:t>
            </w:r>
          </w:p>
        </w:tc>
        <w:tc>
          <w:tcPr>
            <w:tcW w:w="1144" w:type="dxa"/>
          </w:tcPr>
          <w:p w14:paraId="734411FC" w14:textId="77777777" w:rsidR="00401A64" w:rsidRPr="00D34BB5" w:rsidRDefault="00401A64" w:rsidP="00595B93">
            <w:pPr>
              <w:widowControl w:val="0"/>
              <w:spacing w:before="60"/>
              <w:jc w:val="center"/>
              <w:textAlignment w:val="top"/>
              <w:rPr>
                <w:bCs/>
                <w:sz w:val="20"/>
                <w:szCs w:val="20"/>
                <w:lang w:val="en-US"/>
              </w:rPr>
            </w:pPr>
            <w:r w:rsidRPr="00D34BB5">
              <w:rPr>
                <w:bCs/>
                <w:sz w:val="20"/>
                <w:szCs w:val="20"/>
                <w:lang w:val="en-US"/>
              </w:rPr>
              <w:t>0.</w:t>
            </w:r>
            <w:r>
              <w:rPr>
                <w:bCs/>
                <w:sz w:val="20"/>
                <w:szCs w:val="20"/>
                <w:lang w:val="en-US"/>
              </w:rPr>
              <w:t>9375</w:t>
            </w:r>
          </w:p>
        </w:tc>
        <w:tc>
          <w:tcPr>
            <w:tcW w:w="1144" w:type="dxa"/>
          </w:tcPr>
          <w:p w14:paraId="1572D5EE" w14:textId="77777777" w:rsidR="00401A64" w:rsidRPr="0089404C" w:rsidRDefault="00401A64" w:rsidP="00595B93">
            <w:pPr>
              <w:widowControl w:val="0"/>
              <w:spacing w:before="60"/>
              <w:jc w:val="center"/>
              <w:textAlignment w:val="top"/>
              <w:rPr>
                <w:bCs/>
                <w:sz w:val="20"/>
                <w:szCs w:val="20"/>
                <w:lang w:val="en-US"/>
              </w:rPr>
            </w:pPr>
            <w:r w:rsidRPr="0089404C">
              <w:rPr>
                <w:bCs/>
                <w:sz w:val="20"/>
                <w:szCs w:val="20"/>
                <w:lang w:val="en-US"/>
              </w:rPr>
              <w:t>0.7123</w:t>
            </w:r>
          </w:p>
        </w:tc>
        <w:tc>
          <w:tcPr>
            <w:tcW w:w="1144" w:type="dxa"/>
          </w:tcPr>
          <w:p w14:paraId="7185B5CB" w14:textId="77777777" w:rsidR="00401A64" w:rsidRPr="006B4ECF" w:rsidRDefault="00401A64" w:rsidP="00595B93">
            <w:pPr>
              <w:widowControl w:val="0"/>
              <w:spacing w:before="60"/>
              <w:jc w:val="center"/>
              <w:textAlignment w:val="top"/>
              <w:rPr>
                <w:bCs/>
                <w:sz w:val="20"/>
                <w:szCs w:val="20"/>
                <w:lang w:val="en-US"/>
              </w:rPr>
            </w:pPr>
            <w:r w:rsidRPr="006B4ECF">
              <w:rPr>
                <w:bCs/>
                <w:sz w:val="20"/>
                <w:szCs w:val="20"/>
                <w:lang w:val="en-US"/>
              </w:rPr>
              <w:t>0.</w:t>
            </w:r>
            <w:r>
              <w:rPr>
                <w:bCs/>
                <w:sz w:val="20"/>
                <w:szCs w:val="20"/>
                <w:lang w:val="en-US"/>
              </w:rPr>
              <w:t>8536</w:t>
            </w:r>
          </w:p>
        </w:tc>
      </w:tr>
      <w:tr w:rsidR="00401A64" w:rsidRPr="0047024D" w14:paraId="20C40087" w14:textId="77777777" w:rsidTr="00595B93">
        <w:tc>
          <w:tcPr>
            <w:tcW w:w="1172" w:type="dxa"/>
            <w:tcBorders>
              <w:bottom w:val="double" w:sz="4" w:space="0" w:color="auto"/>
            </w:tcBorders>
          </w:tcPr>
          <w:p w14:paraId="4D5030A6" w14:textId="77777777" w:rsidR="00401A64" w:rsidRPr="00491C04" w:rsidRDefault="00401A64" w:rsidP="00595B93">
            <w:pPr>
              <w:widowControl w:val="0"/>
              <w:spacing w:before="60"/>
              <w:jc w:val="center"/>
              <w:textAlignment w:val="top"/>
              <w:rPr>
                <w:bCs/>
                <w:i/>
                <w:sz w:val="20"/>
                <w:szCs w:val="20"/>
                <w:lang w:val="en-US"/>
              </w:rPr>
            </w:pPr>
            <w:r>
              <w:rPr>
                <w:bCs/>
                <w:i/>
                <w:sz w:val="20"/>
                <w:szCs w:val="20"/>
                <w:lang w:val="en-US"/>
              </w:rPr>
              <w:t>Instruments</w:t>
            </w:r>
          </w:p>
        </w:tc>
        <w:tc>
          <w:tcPr>
            <w:tcW w:w="1144" w:type="dxa"/>
            <w:tcBorders>
              <w:bottom w:val="double" w:sz="4" w:space="0" w:color="auto"/>
            </w:tcBorders>
          </w:tcPr>
          <w:p w14:paraId="18673D8E" w14:textId="77777777" w:rsidR="00401A64" w:rsidRPr="006467AD" w:rsidRDefault="00401A64" w:rsidP="00595B93">
            <w:pPr>
              <w:widowControl w:val="0"/>
              <w:spacing w:before="60"/>
              <w:jc w:val="center"/>
              <w:textAlignment w:val="top"/>
              <w:rPr>
                <w:bCs/>
                <w:sz w:val="20"/>
                <w:szCs w:val="20"/>
                <w:lang w:val="en-US"/>
              </w:rPr>
            </w:pPr>
            <w:r>
              <w:rPr>
                <w:bCs/>
                <w:sz w:val="20"/>
                <w:szCs w:val="20"/>
                <w:lang w:val="en-US"/>
              </w:rPr>
              <w:t>23</w:t>
            </w:r>
          </w:p>
        </w:tc>
        <w:tc>
          <w:tcPr>
            <w:tcW w:w="1144" w:type="dxa"/>
            <w:tcBorders>
              <w:bottom w:val="double" w:sz="4" w:space="0" w:color="auto"/>
            </w:tcBorders>
          </w:tcPr>
          <w:p w14:paraId="4BB11D9E" w14:textId="77777777" w:rsidR="00401A64" w:rsidRPr="00602165" w:rsidRDefault="00401A64" w:rsidP="00595B93">
            <w:pPr>
              <w:widowControl w:val="0"/>
              <w:spacing w:before="60"/>
              <w:jc w:val="center"/>
              <w:textAlignment w:val="top"/>
              <w:rPr>
                <w:bCs/>
                <w:sz w:val="20"/>
                <w:szCs w:val="20"/>
                <w:lang w:val="en-US"/>
              </w:rPr>
            </w:pPr>
            <w:r>
              <w:rPr>
                <w:bCs/>
                <w:sz w:val="20"/>
                <w:szCs w:val="20"/>
                <w:lang w:val="en-US"/>
              </w:rPr>
              <w:t>24</w:t>
            </w:r>
          </w:p>
        </w:tc>
        <w:tc>
          <w:tcPr>
            <w:tcW w:w="1144" w:type="dxa"/>
            <w:tcBorders>
              <w:bottom w:val="double" w:sz="4" w:space="0" w:color="auto"/>
            </w:tcBorders>
          </w:tcPr>
          <w:p w14:paraId="64CA169B" w14:textId="77777777" w:rsidR="00401A64" w:rsidRPr="009756F4" w:rsidRDefault="00401A64" w:rsidP="00595B93">
            <w:pPr>
              <w:widowControl w:val="0"/>
              <w:spacing w:before="60"/>
              <w:jc w:val="center"/>
              <w:textAlignment w:val="top"/>
              <w:rPr>
                <w:bCs/>
                <w:sz w:val="20"/>
                <w:szCs w:val="20"/>
                <w:lang w:val="en-US"/>
              </w:rPr>
            </w:pPr>
            <w:r>
              <w:rPr>
                <w:bCs/>
                <w:sz w:val="20"/>
                <w:szCs w:val="20"/>
                <w:lang w:val="en-US"/>
              </w:rPr>
              <w:t>22</w:t>
            </w:r>
          </w:p>
        </w:tc>
        <w:tc>
          <w:tcPr>
            <w:tcW w:w="1144" w:type="dxa"/>
            <w:tcBorders>
              <w:bottom w:val="double" w:sz="4" w:space="0" w:color="auto"/>
            </w:tcBorders>
          </w:tcPr>
          <w:p w14:paraId="37D21AD7" w14:textId="77777777" w:rsidR="00401A64" w:rsidRPr="00F50950" w:rsidRDefault="00401A64" w:rsidP="00595B93">
            <w:pPr>
              <w:widowControl w:val="0"/>
              <w:spacing w:before="60"/>
              <w:jc w:val="center"/>
              <w:textAlignment w:val="top"/>
              <w:rPr>
                <w:bCs/>
                <w:sz w:val="20"/>
                <w:szCs w:val="20"/>
                <w:lang w:val="en-US"/>
              </w:rPr>
            </w:pPr>
            <w:r>
              <w:rPr>
                <w:bCs/>
                <w:sz w:val="20"/>
                <w:szCs w:val="20"/>
                <w:lang w:val="en-US"/>
              </w:rPr>
              <w:t>25</w:t>
            </w:r>
          </w:p>
        </w:tc>
        <w:tc>
          <w:tcPr>
            <w:tcW w:w="1144" w:type="dxa"/>
            <w:tcBorders>
              <w:bottom w:val="double" w:sz="4" w:space="0" w:color="auto"/>
            </w:tcBorders>
          </w:tcPr>
          <w:p w14:paraId="125C7E7A" w14:textId="77777777" w:rsidR="00401A64" w:rsidRPr="00D34BB5" w:rsidRDefault="00401A64" w:rsidP="00595B93">
            <w:pPr>
              <w:widowControl w:val="0"/>
              <w:spacing w:before="60"/>
              <w:jc w:val="center"/>
              <w:textAlignment w:val="top"/>
              <w:rPr>
                <w:bCs/>
                <w:sz w:val="20"/>
                <w:szCs w:val="20"/>
                <w:lang w:val="en-US"/>
              </w:rPr>
            </w:pPr>
            <w:r>
              <w:rPr>
                <w:bCs/>
                <w:sz w:val="20"/>
                <w:szCs w:val="20"/>
                <w:lang w:val="en-US"/>
              </w:rPr>
              <w:t>23</w:t>
            </w:r>
          </w:p>
        </w:tc>
        <w:tc>
          <w:tcPr>
            <w:tcW w:w="1144" w:type="dxa"/>
            <w:tcBorders>
              <w:bottom w:val="double" w:sz="4" w:space="0" w:color="auto"/>
            </w:tcBorders>
          </w:tcPr>
          <w:p w14:paraId="016CD608" w14:textId="77777777" w:rsidR="00401A64" w:rsidRPr="0089404C" w:rsidRDefault="00401A64" w:rsidP="00595B93">
            <w:pPr>
              <w:widowControl w:val="0"/>
              <w:spacing w:before="60"/>
              <w:jc w:val="center"/>
              <w:textAlignment w:val="top"/>
              <w:rPr>
                <w:bCs/>
                <w:sz w:val="20"/>
                <w:szCs w:val="20"/>
                <w:lang w:val="en-US"/>
              </w:rPr>
            </w:pPr>
            <w:r>
              <w:rPr>
                <w:bCs/>
                <w:sz w:val="20"/>
                <w:szCs w:val="20"/>
                <w:lang w:val="en-US"/>
              </w:rPr>
              <w:t>26</w:t>
            </w:r>
          </w:p>
        </w:tc>
        <w:tc>
          <w:tcPr>
            <w:tcW w:w="1144" w:type="dxa"/>
            <w:tcBorders>
              <w:bottom w:val="double" w:sz="4" w:space="0" w:color="auto"/>
            </w:tcBorders>
          </w:tcPr>
          <w:p w14:paraId="475B9DDD" w14:textId="77777777" w:rsidR="00401A64" w:rsidRPr="006B4ECF" w:rsidRDefault="00401A64" w:rsidP="00595B93">
            <w:pPr>
              <w:widowControl w:val="0"/>
              <w:spacing w:before="60"/>
              <w:jc w:val="center"/>
              <w:textAlignment w:val="top"/>
              <w:rPr>
                <w:bCs/>
                <w:sz w:val="20"/>
                <w:szCs w:val="20"/>
                <w:lang w:val="en-US"/>
              </w:rPr>
            </w:pPr>
            <w:r>
              <w:rPr>
                <w:bCs/>
                <w:sz w:val="20"/>
                <w:szCs w:val="20"/>
                <w:lang w:val="en-US"/>
              </w:rPr>
              <w:t>19</w:t>
            </w:r>
          </w:p>
        </w:tc>
      </w:tr>
    </w:tbl>
    <w:p w14:paraId="1A5506CC" w14:textId="77777777" w:rsidR="00401A64" w:rsidRPr="001126A4" w:rsidRDefault="00401A64" w:rsidP="00401A64">
      <w:pPr>
        <w:widowControl w:val="0"/>
        <w:autoSpaceDE w:val="0"/>
        <w:autoSpaceDN w:val="0"/>
        <w:adjustRightInd w:val="0"/>
        <w:jc w:val="center"/>
        <w:rPr>
          <w:sz w:val="20"/>
          <w:szCs w:val="20"/>
          <w:lang w:val="en-US" w:eastAsia="en-US"/>
        </w:rPr>
      </w:pPr>
      <w:r w:rsidRPr="001A5D16">
        <w:rPr>
          <w:sz w:val="20"/>
          <w:szCs w:val="20"/>
          <w:lang w:val="en-US" w:eastAsia="en-US"/>
        </w:rPr>
        <w:t>Note: Marginal significance levels: (***) denotes 0.01, (**) denotes 0.05, and (*) denotes 0.1.</w:t>
      </w:r>
      <w:r w:rsidRPr="00621D18">
        <w:rPr>
          <w:sz w:val="20"/>
          <w:szCs w:val="20"/>
          <w:lang w:val="en-US" w:eastAsia="en-US"/>
        </w:rPr>
        <w:t xml:space="preserve"> </w:t>
      </w:r>
      <w:r w:rsidRPr="001126A4">
        <w:rPr>
          <w:sz w:val="20"/>
          <w:szCs w:val="20"/>
          <w:lang w:val="en-US" w:eastAsia="en-US"/>
        </w:rPr>
        <w:t>Standard errors in parentheses and t-statistics in brackets.</w:t>
      </w:r>
    </w:p>
    <w:p w14:paraId="4AF28C16" w14:textId="77777777" w:rsidR="00401A64" w:rsidRPr="00621D18" w:rsidRDefault="00401A64" w:rsidP="00401A64">
      <w:pPr>
        <w:widowControl w:val="0"/>
        <w:jc w:val="both"/>
        <w:textAlignment w:val="top"/>
        <w:rPr>
          <w:bCs/>
          <w:lang w:val="en-US"/>
        </w:rPr>
      </w:pPr>
    </w:p>
    <w:p w14:paraId="55F508E0" w14:textId="77777777" w:rsidR="00401A64" w:rsidRPr="00636E34" w:rsidRDefault="00401A64" w:rsidP="00401A64">
      <w:pPr>
        <w:widowControl w:val="0"/>
        <w:rPr>
          <w:rFonts w:ascii="Arial" w:hAnsi="Arial" w:cs="Arial"/>
          <w:b/>
        </w:rPr>
      </w:pPr>
      <w:r w:rsidRPr="00636E34">
        <w:rPr>
          <w:rFonts w:ascii="Arial" w:hAnsi="Arial" w:cs="Arial"/>
          <w:b/>
        </w:rPr>
        <w:t>4. Conclusion</w:t>
      </w:r>
    </w:p>
    <w:p w14:paraId="34624DE5" w14:textId="77777777" w:rsidR="00401A64" w:rsidRDefault="00401A64" w:rsidP="00401A64">
      <w:pPr>
        <w:widowControl w:val="0"/>
        <w:jc w:val="both"/>
        <w:rPr>
          <w:lang w:val="en-US"/>
        </w:rPr>
      </w:pPr>
    </w:p>
    <w:p w14:paraId="3A531FD6" w14:textId="77777777" w:rsidR="00401A64" w:rsidRPr="00B033A4" w:rsidRDefault="00401A64" w:rsidP="00401A64">
      <w:pPr>
        <w:widowControl w:val="0"/>
        <w:jc w:val="both"/>
        <w:rPr>
          <w:lang w:val="en-US"/>
        </w:rPr>
      </w:pPr>
      <w:r w:rsidRPr="00E22DEE">
        <w:rPr>
          <w:lang w:val="en-US"/>
        </w:rPr>
        <w:tab/>
      </w:r>
      <w:r w:rsidRPr="003866BE">
        <w:rPr>
          <w:lang w:val="en-US"/>
        </w:rPr>
        <w:t xml:space="preserve">This study presented empirical evidence regarding income inequality in the Brazilian economy. The analysis in a regional perspective showed that there are </w:t>
      </w:r>
      <w:r>
        <w:rPr>
          <w:lang w:val="en-US"/>
        </w:rPr>
        <w:t xml:space="preserve">considerable </w:t>
      </w:r>
      <w:r w:rsidRPr="003866BE">
        <w:rPr>
          <w:lang w:val="en-US"/>
        </w:rPr>
        <w:t xml:space="preserve">differences </w:t>
      </w:r>
      <w:r>
        <w:rPr>
          <w:lang w:val="en-US"/>
        </w:rPr>
        <w:t xml:space="preserve">across </w:t>
      </w:r>
      <w:r w:rsidRPr="003866BE">
        <w:rPr>
          <w:lang w:val="en-US"/>
        </w:rPr>
        <w:t>the regions. In general, the South is the region with the lowest inco</w:t>
      </w:r>
      <w:r>
        <w:rPr>
          <w:lang w:val="en-US"/>
        </w:rPr>
        <w:t>me inequality and best indicators. In contrast, the Northeast is the region with the worst performance over time. However, the introduction of the social policies, such as the Bolsa Família, is associated with an improvement in all regions.</w:t>
      </w:r>
    </w:p>
    <w:p w14:paraId="21F91FD3" w14:textId="77777777" w:rsidR="00401A64" w:rsidRPr="00435E7F" w:rsidRDefault="00401A64" w:rsidP="00401A64">
      <w:pPr>
        <w:widowControl w:val="0"/>
        <w:jc w:val="both"/>
        <w:rPr>
          <w:lang w:val="en-US"/>
        </w:rPr>
      </w:pPr>
      <w:r w:rsidRPr="00B033A4">
        <w:rPr>
          <w:lang w:val="en-US"/>
        </w:rPr>
        <w:tab/>
      </w:r>
      <w:r w:rsidRPr="007C1C16">
        <w:rPr>
          <w:lang w:val="en-US"/>
        </w:rPr>
        <w:t xml:space="preserve">The </w:t>
      </w:r>
      <w:r>
        <w:rPr>
          <w:lang w:val="en-US"/>
        </w:rPr>
        <w:t xml:space="preserve">results of the </w:t>
      </w:r>
      <w:r w:rsidRPr="007C1C16">
        <w:rPr>
          <w:lang w:val="en-US"/>
        </w:rPr>
        <w:t xml:space="preserve">empirical </w:t>
      </w:r>
      <w:r>
        <w:rPr>
          <w:lang w:val="en-US"/>
        </w:rPr>
        <w:t xml:space="preserve">analysis indicated </w:t>
      </w:r>
      <w:r w:rsidRPr="007C1C16">
        <w:rPr>
          <w:lang w:val="en-US"/>
        </w:rPr>
        <w:t xml:space="preserve">that there are several factors that </w:t>
      </w:r>
      <w:r>
        <w:rPr>
          <w:lang w:val="en-US"/>
        </w:rPr>
        <w:t xml:space="preserve">can </w:t>
      </w:r>
      <w:r w:rsidRPr="007C1C16">
        <w:rPr>
          <w:lang w:val="en-US"/>
        </w:rPr>
        <w:t xml:space="preserve">explain the recent fall in </w:t>
      </w:r>
      <w:r>
        <w:rPr>
          <w:lang w:val="en-US"/>
        </w:rPr>
        <w:t xml:space="preserve">the </w:t>
      </w:r>
      <w:r w:rsidRPr="007C1C16">
        <w:rPr>
          <w:lang w:val="en-US"/>
        </w:rPr>
        <w:t xml:space="preserve">inequality </w:t>
      </w:r>
      <w:r>
        <w:rPr>
          <w:lang w:val="en-US"/>
        </w:rPr>
        <w:t xml:space="preserve">in Brazil. An example is the openness. As highlighted by Rodrick (2007), Easterly (2005), and Nissanke and Thorbeck (2006), in the case of economies that have an export sector which is labor intensive, as in Brazil, an </w:t>
      </w:r>
      <w:r>
        <w:rPr>
          <w:lang w:val="en-US"/>
        </w:rPr>
        <w:lastRenderedPageBreak/>
        <w:t xml:space="preserve">increase in the trade openness contributes to an improvement in the income inequality. </w:t>
      </w:r>
      <w:r w:rsidRPr="00D41527">
        <w:rPr>
          <w:lang w:val="en-US"/>
        </w:rPr>
        <w:t>In this sense, expand</w:t>
      </w:r>
      <w:r>
        <w:rPr>
          <w:lang w:val="en-US"/>
        </w:rPr>
        <w:t>ing</w:t>
      </w:r>
      <w:r w:rsidRPr="00D41527">
        <w:rPr>
          <w:lang w:val="en-US"/>
        </w:rPr>
        <w:t xml:space="preserve"> trade agr</w:t>
      </w:r>
      <w:r>
        <w:rPr>
          <w:lang w:val="en-US"/>
        </w:rPr>
        <w:t>ee</w:t>
      </w:r>
      <w:r w:rsidRPr="00D41527">
        <w:rPr>
          <w:lang w:val="en-US"/>
        </w:rPr>
        <w:t xml:space="preserve">ments </w:t>
      </w:r>
      <w:r>
        <w:rPr>
          <w:lang w:val="en-US"/>
        </w:rPr>
        <w:t xml:space="preserve">and searching for a tax harmonization can improve trade openness. Furthermore, in consonance with the argument presented by </w:t>
      </w:r>
      <w:r>
        <w:rPr>
          <w:rFonts w:ascii="TimesNewRomanPSMT" w:eastAsia="TimesNewRomanPSMT" w:hAnsi="TimesNewRomanPSMT" w:cs="TimesNewRomanPSMT"/>
          <w:lang w:val="en-US"/>
        </w:rPr>
        <w:t>Acemoglu</w:t>
      </w:r>
      <w:r w:rsidRPr="008A37A8">
        <w:rPr>
          <w:rFonts w:ascii="TimesNewRomanPSMT" w:eastAsia="TimesNewRomanPSMT" w:hAnsi="TimesNewRomanPSMT" w:cs="TimesNewRomanPSMT"/>
          <w:lang w:val="en-US"/>
        </w:rPr>
        <w:t xml:space="preserve"> (200</w:t>
      </w:r>
      <w:r>
        <w:rPr>
          <w:rFonts w:ascii="TimesNewRomanPSMT" w:eastAsia="TimesNewRomanPSMT" w:hAnsi="TimesNewRomanPSMT" w:cs="TimesNewRomanPSMT"/>
          <w:lang w:val="en-US"/>
        </w:rPr>
        <w:t>2</w:t>
      </w:r>
      <w:r w:rsidRPr="008A37A8">
        <w:rPr>
          <w:rFonts w:ascii="TimesNewRomanPSMT" w:eastAsia="TimesNewRomanPSMT" w:hAnsi="TimesNewRomanPSMT" w:cs="TimesNewRomanPSMT"/>
          <w:lang w:val="en-US"/>
        </w:rPr>
        <w:t>)</w:t>
      </w:r>
      <w:r>
        <w:rPr>
          <w:rFonts w:ascii="TimesNewRomanPSMT" w:eastAsia="TimesNewRomanPSMT" w:hAnsi="TimesNewRomanPSMT" w:cs="TimesNewRomanPSMT"/>
          <w:lang w:val="en-US"/>
        </w:rPr>
        <w:t xml:space="preserve"> </w:t>
      </w:r>
      <w:r>
        <w:rPr>
          <w:lang w:val="en-US"/>
        </w:rPr>
        <w:t xml:space="preserve">the results indicate that an increase in the technological progress implies lower income inequality. In the same direction, as observed by Liang (2006) and Ang (2010), the findings also indicate that greater financial development is related to reductions in the inequality. </w:t>
      </w:r>
      <w:r w:rsidRPr="00435E7F">
        <w:rPr>
          <w:lang w:val="en-US"/>
        </w:rPr>
        <w:t xml:space="preserve">Hence a recommended policy would be an increase in partnerships between companies and universities and </w:t>
      </w:r>
      <w:r>
        <w:rPr>
          <w:lang w:val="en-US"/>
        </w:rPr>
        <w:t xml:space="preserve">a </w:t>
      </w:r>
      <w:r w:rsidRPr="00435E7F">
        <w:rPr>
          <w:lang w:val="en-US"/>
        </w:rPr>
        <w:t>foster</w:t>
      </w:r>
      <w:r>
        <w:rPr>
          <w:lang w:val="en-US"/>
        </w:rPr>
        <w:t xml:space="preserve">ing of </w:t>
      </w:r>
      <w:r w:rsidRPr="00435E7F">
        <w:rPr>
          <w:lang w:val="en-US"/>
        </w:rPr>
        <w:t>a legal environment capable of stimulating private sector investing in technology.</w:t>
      </w:r>
    </w:p>
    <w:p w14:paraId="6D469547" w14:textId="77777777" w:rsidR="00401A64" w:rsidRPr="0026612B" w:rsidRDefault="00401A64" w:rsidP="00401A64">
      <w:pPr>
        <w:widowControl w:val="0"/>
        <w:jc w:val="both"/>
        <w:rPr>
          <w:lang w:val="en-US"/>
        </w:rPr>
      </w:pPr>
      <w:r w:rsidRPr="00435E7F">
        <w:rPr>
          <w:lang w:val="en-US"/>
        </w:rPr>
        <w:tab/>
      </w:r>
      <w:r>
        <w:rPr>
          <w:lang w:val="en-US"/>
        </w:rPr>
        <w:t xml:space="preserve">In regard to the strategy of the Brazilian government to give real increases in the minimum wage over time, it is observed that it is negatively related with inequality. In contrast, there exists evidence that unemployment increases inequality and thus the adoption of policies for eliminating unemployment is crucial. In addition, the results from the empirical models denoted that the </w:t>
      </w:r>
      <w:r w:rsidRPr="00EE4F63">
        <w:rPr>
          <w:lang w:val="en-US"/>
        </w:rPr>
        <w:t>Bolsa Família program</w:t>
      </w:r>
      <w:r>
        <w:rPr>
          <w:lang w:val="en-US"/>
        </w:rPr>
        <w:t xml:space="preserve"> is associated with decreases in income inequality. </w:t>
      </w:r>
      <w:r w:rsidRPr="0026612B">
        <w:rPr>
          <w:lang w:val="en-US"/>
        </w:rPr>
        <w:t xml:space="preserve"> </w:t>
      </w:r>
    </w:p>
    <w:p w14:paraId="47D9A467" w14:textId="77777777" w:rsidR="00401A64" w:rsidRPr="00786FFF" w:rsidRDefault="00401A64" w:rsidP="00401A64">
      <w:pPr>
        <w:widowControl w:val="0"/>
        <w:jc w:val="both"/>
        <w:rPr>
          <w:lang w:val="en-US"/>
        </w:rPr>
      </w:pPr>
      <w:r w:rsidRPr="0026612B">
        <w:rPr>
          <w:lang w:val="en-US"/>
        </w:rPr>
        <w:tab/>
      </w:r>
      <w:r>
        <w:rPr>
          <w:lang w:val="en-US"/>
        </w:rPr>
        <w:t xml:space="preserve">The empirical evidence regarding the effect of the political side on inequality indicates that the change of political power does not contribute to an improvement in the social condition. Furthermore, an increase in social spending also does not suggest a decrease in the income inequality. In agreement with the argument in the literature (see </w:t>
      </w:r>
      <w:r w:rsidRPr="005B5620">
        <w:rPr>
          <w:rFonts w:eastAsia="Times-Roman" w:cs="Times-Roman"/>
          <w:lang w:val="en-US"/>
        </w:rPr>
        <w:t>Feldstein</w:t>
      </w:r>
      <w:r>
        <w:rPr>
          <w:rFonts w:eastAsia="Times-Roman" w:cs="Times-Roman"/>
          <w:lang w:val="en-US"/>
        </w:rPr>
        <w:t>,</w:t>
      </w:r>
      <w:r w:rsidRPr="005B5620">
        <w:rPr>
          <w:rFonts w:eastAsia="Times-Roman" w:cs="Times-Roman"/>
          <w:lang w:val="en-US"/>
        </w:rPr>
        <w:t xml:space="preserve"> 1974</w:t>
      </w:r>
      <w:r>
        <w:rPr>
          <w:rFonts w:eastAsia="Times-Roman" w:cs="Times-Roman"/>
          <w:lang w:val="en-US"/>
        </w:rPr>
        <w:t>;</w:t>
      </w:r>
      <w:r w:rsidRPr="005B5620">
        <w:rPr>
          <w:rFonts w:eastAsia="Times-Roman" w:cs="Times-Roman"/>
          <w:lang w:val="en-US"/>
        </w:rPr>
        <w:t xml:space="preserve"> Browning and Browning</w:t>
      </w:r>
      <w:r>
        <w:rPr>
          <w:rFonts w:eastAsia="Times-Roman" w:cs="Times-Roman"/>
          <w:lang w:val="en-US"/>
        </w:rPr>
        <w:t xml:space="preserve">, </w:t>
      </w:r>
      <w:r w:rsidRPr="005B5620">
        <w:rPr>
          <w:rFonts w:eastAsia="Times-Roman" w:cs="Times-Roman"/>
          <w:lang w:val="en-US"/>
        </w:rPr>
        <w:t>1994</w:t>
      </w:r>
      <w:r>
        <w:rPr>
          <w:rFonts w:eastAsia="Times-Roman" w:cs="Times-Roman"/>
          <w:lang w:val="en-US"/>
        </w:rPr>
        <w:t>;</w:t>
      </w:r>
      <w:r w:rsidRPr="005B5620">
        <w:rPr>
          <w:rFonts w:eastAsia="Times-Roman" w:cs="Times-Roman"/>
          <w:lang w:val="en-US"/>
        </w:rPr>
        <w:t xml:space="preserve"> Mazza</w:t>
      </w:r>
      <w:r>
        <w:rPr>
          <w:rFonts w:eastAsia="Times-Roman" w:cs="Times-Roman"/>
          <w:lang w:val="en-US"/>
        </w:rPr>
        <w:t>,</w:t>
      </w:r>
      <w:r w:rsidRPr="005B5620">
        <w:rPr>
          <w:rFonts w:eastAsia="Times-Roman" w:cs="Times-Roman"/>
          <w:lang w:val="en-US"/>
        </w:rPr>
        <w:t xml:space="preserve"> </w:t>
      </w:r>
      <w:r>
        <w:rPr>
          <w:rFonts w:eastAsia="Times-Roman" w:cs="Times-Roman"/>
          <w:lang w:val="en-US"/>
        </w:rPr>
        <w:t>2001;</w:t>
      </w:r>
      <w:r w:rsidRPr="005B5620">
        <w:rPr>
          <w:rFonts w:eastAsia="Times-Roman" w:cs="Times-Roman"/>
          <w:lang w:val="en-US"/>
        </w:rPr>
        <w:t xml:space="preserve"> </w:t>
      </w:r>
      <w:r>
        <w:rPr>
          <w:rFonts w:eastAsia="Times-Roman" w:cs="Times-Roman"/>
          <w:lang w:val="en-US"/>
        </w:rPr>
        <w:t xml:space="preserve">and </w:t>
      </w:r>
      <w:r w:rsidRPr="00B55CA4">
        <w:rPr>
          <w:rFonts w:eastAsia="Times-Roman" w:cs="Times-Roman"/>
          <w:lang w:val="en-US"/>
        </w:rPr>
        <w:t>Perry et al., 2006</w:t>
      </w:r>
      <w:r>
        <w:rPr>
          <w:lang w:val="en-US"/>
        </w:rPr>
        <w:t>), a possible explanation is that these resources do not reach the poor families. In this sense the use of specific tools against poverty could imply better results</w:t>
      </w:r>
      <w:r w:rsidRPr="00023EE3">
        <w:rPr>
          <w:lang w:val="en-US"/>
        </w:rPr>
        <w:t xml:space="preserve">. </w:t>
      </w:r>
      <w:r>
        <w:rPr>
          <w:lang w:val="en-US"/>
        </w:rPr>
        <w:t xml:space="preserve">Last but not least, the Brazilian case confirms the assumption that higher corruption implies an increase in inequality </w:t>
      </w:r>
      <w:r w:rsidRPr="00786FFF">
        <w:rPr>
          <w:lang w:val="en-US"/>
        </w:rPr>
        <w:t>(see</w:t>
      </w:r>
      <w:r w:rsidRPr="00786FFF">
        <w:rPr>
          <w:rFonts w:eastAsia="TimesNewRomanPSMT"/>
          <w:lang w:val="en-US"/>
        </w:rPr>
        <w:t xml:space="preserve"> </w:t>
      </w:r>
      <w:r w:rsidRPr="00786FFF">
        <w:rPr>
          <w:rFonts w:eastAsia="ElegantGaramondBT-Roman"/>
          <w:lang w:val="en-US"/>
        </w:rPr>
        <w:t>Gupta, Davoodi, and Alonso-Terme, 1998</w:t>
      </w:r>
      <w:r w:rsidRPr="00786FFF">
        <w:rPr>
          <w:lang w:val="en-US"/>
        </w:rPr>
        <w:t>)</w:t>
      </w:r>
      <w:r>
        <w:rPr>
          <w:lang w:val="en-US"/>
        </w:rPr>
        <w:t>.</w:t>
      </w:r>
    </w:p>
    <w:p w14:paraId="0384D492" w14:textId="77777777" w:rsidR="00401A64" w:rsidRPr="00BE120A" w:rsidRDefault="00401A64" w:rsidP="00401A64">
      <w:pPr>
        <w:widowControl w:val="0"/>
        <w:jc w:val="both"/>
        <w:rPr>
          <w:highlight w:val="yellow"/>
          <w:lang w:val="en-US"/>
        </w:rPr>
      </w:pPr>
      <w:r w:rsidRPr="00DB1FFC">
        <w:rPr>
          <w:lang w:val="en-US"/>
        </w:rPr>
        <w:tab/>
      </w:r>
      <w:r>
        <w:rPr>
          <w:lang w:val="en-US"/>
        </w:rPr>
        <w:t>In short, the empirical evidence in thi</w:t>
      </w:r>
      <w:r w:rsidRPr="00283D0D">
        <w:rPr>
          <w:lang w:val="en-US"/>
        </w:rPr>
        <w:t xml:space="preserve">s </w:t>
      </w:r>
      <w:r>
        <w:rPr>
          <w:lang w:val="en-US"/>
        </w:rPr>
        <w:t xml:space="preserve">study </w:t>
      </w:r>
      <w:r w:rsidRPr="00CB51E4">
        <w:rPr>
          <w:lang w:val="en-US"/>
        </w:rPr>
        <w:t xml:space="preserve">allows one to </w:t>
      </w:r>
      <w:r>
        <w:rPr>
          <w:lang w:val="en-US"/>
        </w:rPr>
        <w:t>observe that it is possible to improve the fight</w:t>
      </w:r>
      <w:r w:rsidRPr="00CB51E4">
        <w:rPr>
          <w:lang w:val="en-US"/>
        </w:rPr>
        <w:t xml:space="preserve"> </w:t>
      </w:r>
      <w:r>
        <w:rPr>
          <w:lang w:val="en-US"/>
        </w:rPr>
        <w:t xml:space="preserve">against </w:t>
      </w:r>
      <w:r w:rsidRPr="00CB51E4">
        <w:rPr>
          <w:lang w:val="en-US"/>
        </w:rPr>
        <w:t>inequality</w:t>
      </w:r>
      <w:r>
        <w:rPr>
          <w:lang w:val="en-US"/>
        </w:rPr>
        <w:t xml:space="preserve"> through the </w:t>
      </w:r>
      <w:r>
        <w:rPr>
          <w:lang w:val="en-US"/>
        </w:rPr>
        <w:t xml:space="preserve">combination of: </w:t>
      </w:r>
      <w:r>
        <w:rPr>
          <w:lang w:val="en-US"/>
        </w:rPr>
        <w:t>increase trade openness</w:t>
      </w:r>
      <w:r w:rsidRPr="00CB51E4">
        <w:rPr>
          <w:lang w:val="en-US"/>
        </w:rPr>
        <w:t>, technological and financial development, r</w:t>
      </w:r>
      <w:r>
        <w:rPr>
          <w:lang w:val="en-US"/>
        </w:rPr>
        <w:t xml:space="preserve">eduction of the unemployment rate, adoption of social policies that imply a direct effect on the poorest families, and adoption of mechanisms that inhibit corruption. </w:t>
      </w:r>
    </w:p>
    <w:p w14:paraId="19DB8DA7" w14:textId="77777777" w:rsidR="00401A64" w:rsidRPr="00636E34" w:rsidRDefault="00401A64" w:rsidP="00401A64">
      <w:pPr>
        <w:widowControl w:val="0"/>
        <w:rPr>
          <w:rFonts w:ascii="Arial" w:hAnsi="Arial" w:cs="Arial"/>
          <w:b/>
          <w:bCs/>
          <w:lang w:val="en-US"/>
        </w:rPr>
      </w:pPr>
      <w:r w:rsidRPr="007C3B28">
        <w:rPr>
          <w:rFonts w:ascii="Arial" w:hAnsi="Arial" w:cs="Arial"/>
          <w:b/>
          <w:bCs/>
          <w:lang w:val="en-US"/>
        </w:rPr>
        <w:t>5. References</w:t>
      </w:r>
    </w:p>
    <w:p w14:paraId="16D60461" w14:textId="77777777" w:rsidR="00401A64" w:rsidRDefault="00401A64" w:rsidP="00401A64">
      <w:pPr>
        <w:widowControl w:val="0"/>
        <w:suppressAutoHyphens w:val="0"/>
        <w:autoSpaceDE w:val="0"/>
        <w:autoSpaceDN w:val="0"/>
        <w:adjustRightInd w:val="0"/>
        <w:ind w:left="426" w:hanging="426"/>
        <w:jc w:val="both"/>
        <w:rPr>
          <w:lang w:val="en-US" w:eastAsia="pt-BR"/>
        </w:rPr>
      </w:pPr>
    </w:p>
    <w:p w14:paraId="2B72C65F" w14:textId="77777777" w:rsidR="00401A64" w:rsidRPr="00710D1A" w:rsidRDefault="00401A64" w:rsidP="00401A64">
      <w:pPr>
        <w:widowControl w:val="0"/>
        <w:suppressAutoHyphens w:val="0"/>
        <w:autoSpaceDE w:val="0"/>
        <w:autoSpaceDN w:val="0"/>
        <w:adjustRightInd w:val="0"/>
        <w:ind w:left="426" w:hanging="426"/>
        <w:jc w:val="both"/>
        <w:rPr>
          <w:lang w:val="en-US"/>
        </w:rPr>
      </w:pPr>
      <w:r w:rsidRPr="00710D1A">
        <w:rPr>
          <w:lang w:val="en-US" w:eastAsia="pt-BR"/>
        </w:rPr>
        <w:t>A</w:t>
      </w:r>
      <w:r>
        <w:rPr>
          <w:lang w:val="en-US" w:eastAsia="pt-BR"/>
        </w:rPr>
        <w:t>CEMOGLU</w:t>
      </w:r>
      <w:r w:rsidRPr="00710D1A">
        <w:rPr>
          <w:lang w:val="en-US" w:eastAsia="pt-BR"/>
        </w:rPr>
        <w:t>, D</w:t>
      </w:r>
      <w:r>
        <w:rPr>
          <w:lang w:val="en-US" w:eastAsia="pt-BR"/>
        </w:rPr>
        <w:t>. (2002). “</w:t>
      </w:r>
      <w:r w:rsidRPr="00710D1A">
        <w:rPr>
          <w:lang w:val="en-US" w:eastAsia="pt-BR"/>
        </w:rPr>
        <w:t xml:space="preserve">Technical </w:t>
      </w:r>
      <w:r>
        <w:rPr>
          <w:lang w:val="en-US" w:eastAsia="pt-BR"/>
        </w:rPr>
        <w:t>c</w:t>
      </w:r>
      <w:r w:rsidRPr="00710D1A">
        <w:rPr>
          <w:lang w:val="en-US" w:eastAsia="pt-BR"/>
        </w:rPr>
        <w:t xml:space="preserve">hange, </w:t>
      </w:r>
      <w:r>
        <w:rPr>
          <w:lang w:val="en-US" w:eastAsia="pt-BR"/>
        </w:rPr>
        <w:t>i</w:t>
      </w:r>
      <w:r w:rsidRPr="00710D1A">
        <w:rPr>
          <w:lang w:val="en-US" w:eastAsia="pt-BR"/>
        </w:rPr>
        <w:t xml:space="preserve">nequality, and the </w:t>
      </w:r>
      <w:r>
        <w:rPr>
          <w:lang w:val="en-US" w:eastAsia="pt-BR"/>
        </w:rPr>
        <w:t>l</w:t>
      </w:r>
      <w:r w:rsidRPr="00710D1A">
        <w:rPr>
          <w:lang w:val="en-US" w:eastAsia="pt-BR"/>
        </w:rPr>
        <w:t xml:space="preserve">abor </w:t>
      </w:r>
      <w:r>
        <w:rPr>
          <w:lang w:val="en-US" w:eastAsia="pt-BR"/>
        </w:rPr>
        <w:t>m</w:t>
      </w:r>
      <w:r w:rsidRPr="00710D1A">
        <w:rPr>
          <w:lang w:val="en-US" w:eastAsia="pt-BR"/>
        </w:rPr>
        <w:t>arket</w:t>
      </w:r>
      <w:r>
        <w:rPr>
          <w:lang w:val="en-US" w:eastAsia="pt-BR"/>
        </w:rPr>
        <w:t>”</w:t>
      </w:r>
      <w:r w:rsidRPr="00710D1A">
        <w:rPr>
          <w:lang w:val="en-US" w:eastAsia="pt-BR"/>
        </w:rPr>
        <w:t>.</w:t>
      </w:r>
      <w:r>
        <w:rPr>
          <w:lang w:val="en-US" w:eastAsia="pt-BR"/>
        </w:rPr>
        <w:t xml:space="preserve"> </w:t>
      </w:r>
      <w:r w:rsidRPr="00710D1A">
        <w:rPr>
          <w:i/>
          <w:iCs/>
          <w:lang w:val="en-US" w:eastAsia="pt-BR"/>
        </w:rPr>
        <w:t>Journal of</w:t>
      </w:r>
      <w:r>
        <w:rPr>
          <w:i/>
          <w:iCs/>
          <w:lang w:val="en-US" w:eastAsia="pt-BR"/>
        </w:rPr>
        <w:t xml:space="preserve"> </w:t>
      </w:r>
      <w:r w:rsidRPr="00710D1A">
        <w:rPr>
          <w:i/>
          <w:iCs/>
          <w:lang w:val="en-US" w:eastAsia="pt-BR"/>
        </w:rPr>
        <w:t>Economic Literature</w:t>
      </w:r>
      <w:r>
        <w:rPr>
          <w:iCs/>
          <w:lang w:val="en-US" w:eastAsia="pt-BR"/>
        </w:rPr>
        <w:t>,</w:t>
      </w:r>
      <w:r w:rsidRPr="00710D1A">
        <w:rPr>
          <w:i/>
          <w:iCs/>
          <w:lang w:val="en-US" w:eastAsia="pt-BR"/>
        </w:rPr>
        <w:t xml:space="preserve"> </w:t>
      </w:r>
      <w:r w:rsidRPr="00710D1A">
        <w:rPr>
          <w:lang w:val="en-US" w:eastAsia="pt-BR"/>
        </w:rPr>
        <w:t>40</w:t>
      </w:r>
      <w:r>
        <w:rPr>
          <w:lang w:val="en-US" w:eastAsia="pt-BR"/>
        </w:rPr>
        <w:t>(1)</w:t>
      </w:r>
      <w:r w:rsidRPr="00710D1A">
        <w:rPr>
          <w:lang w:val="en-US" w:eastAsia="pt-BR"/>
        </w:rPr>
        <w:t>, 7-72</w:t>
      </w:r>
      <w:r>
        <w:rPr>
          <w:lang w:val="en-US" w:eastAsia="pt-BR"/>
        </w:rPr>
        <w:t>.</w:t>
      </w:r>
    </w:p>
    <w:p w14:paraId="6D30E8C6" w14:textId="77777777" w:rsidR="00401A64" w:rsidRPr="00EE4F63" w:rsidRDefault="00401A64" w:rsidP="00401A64">
      <w:pPr>
        <w:widowControl w:val="0"/>
        <w:ind w:left="426" w:hanging="426"/>
        <w:jc w:val="both"/>
        <w:rPr>
          <w:lang w:val="en-US"/>
        </w:rPr>
      </w:pPr>
      <w:r w:rsidRPr="00EE4F63">
        <w:rPr>
          <w:lang w:val="en-US"/>
        </w:rPr>
        <w:t xml:space="preserve">ACEMOGLU, D. </w:t>
      </w:r>
      <w:r>
        <w:rPr>
          <w:lang w:val="en-US"/>
        </w:rPr>
        <w:t xml:space="preserve">and </w:t>
      </w:r>
      <w:r w:rsidRPr="00EE4F63">
        <w:rPr>
          <w:lang w:val="en-US"/>
        </w:rPr>
        <w:t>NEWMAN, A.</w:t>
      </w:r>
      <w:r>
        <w:rPr>
          <w:lang w:val="en-US"/>
        </w:rPr>
        <w:t xml:space="preserve"> </w:t>
      </w:r>
      <w:r w:rsidRPr="00EE4F63">
        <w:rPr>
          <w:lang w:val="en-US"/>
        </w:rPr>
        <w:t xml:space="preserve">(2002). “The labour market and corporate structure”. </w:t>
      </w:r>
      <w:r w:rsidRPr="000D7C8C">
        <w:rPr>
          <w:i/>
          <w:lang w:val="en-US"/>
        </w:rPr>
        <w:t>European Economic Review</w:t>
      </w:r>
      <w:r w:rsidRPr="00EE4F63">
        <w:rPr>
          <w:lang w:val="en-US"/>
        </w:rPr>
        <w:t>, 46(10), 1733-1756.</w:t>
      </w:r>
    </w:p>
    <w:p w14:paraId="085EF1F6" w14:textId="77777777" w:rsidR="00401A64" w:rsidRPr="00EE4F63" w:rsidRDefault="00401A64" w:rsidP="00401A64">
      <w:pPr>
        <w:widowControl w:val="0"/>
        <w:ind w:left="426" w:hanging="426"/>
        <w:jc w:val="both"/>
        <w:rPr>
          <w:lang w:val="en-US"/>
        </w:rPr>
      </w:pPr>
      <w:r w:rsidRPr="00EE4F63">
        <w:rPr>
          <w:lang w:val="en-US"/>
        </w:rPr>
        <w:t>ADAMS, S.</w:t>
      </w:r>
      <w:r>
        <w:rPr>
          <w:lang w:val="en-US"/>
        </w:rPr>
        <w:t xml:space="preserve"> </w:t>
      </w:r>
      <w:r w:rsidRPr="00EE4F63">
        <w:rPr>
          <w:lang w:val="en-US"/>
        </w:rPr>
        <w:t xml:space="preserve">(2008). “Globalization and income inequality: Implications for intellectual property rights”. </w:t>
      </w:r>
      <w:r w:rsidRPr="000D7C8C">
        <w:rPr>
          <w:i/>
          <w:lang w:val="en-US"/>
        </w:rPr>
        <w:t>Journal of Policy Modeling</w:t>
      </w:r>
      <w:r w:rsidRPr="00EE4F63">
        <w:rPr>
          <w:lang w:val="en-US"/>
        </w:rPr>
        <w:t xml:space="preserve">, </w:t>
      </w:r>
      <w:r>
        <w:rPr>
          <w:lang w:val="en-US"/>
        </w:rPr>
        <w:t>30(5)</w:t>
      </w:r>
      <w:r w:rsidRPr="00EE4F63">
        <w:rPr>
          <w:lang w:val="en-US"/>
        </w:rPr>
        <w:t>, 725-735.</w:t>
      </w:r>
    </w:p>
    <w:p w14:paraId="3D7531ED" w14:textId="77777777" w:rsidR="00401A64" w:rsidRPr="00EE4F63" w:rsidRDefault="00401A64" w:rsidP="00401A64">
      <w:pPr>
        <w:widowControl w:val="0"/>
        <w:ind w:left="426" w:hanging="426"/>
        <w:jc w:val="both"/>
        <w:rPr>
          <w:rFonts w:eastAsia="AdvGulliv-R"/>
          <w:lang w:val="en-US"/>
        </w:rPr>
      </w:pPr>
      <w:r w:rsidRPr="00EE4F63">
        <w:rPr>
          <w:rFonts w:eastAsia="AdvGulliv-R"/>
          <w:lang w:val="en-US"/>
        </w:rPr>
        <w:t>ADELMAN, I.</w:t>
      </w:r>
      <w:r>
        <w:rPr>
          <w:rFonts w:eastAsia="AdvGulliv-R"/>
          <w:lang w:val="en-US"/>
        </w:rPr>
        <w:t xml:space="preserve"> and</w:t>
      </w:r>
      <w:r w:rsidRPr="00EE4F63">
        <w:rPr>
          <w:rFonts w:eastAsia="AdvGulliv-R"/>
          <w:lang w:val="en-US"/>
        </w:rPr>
        <w:t xml:space="preserve"> MORRIS, C. (1965)</w:t>
      </w:r>
      <w:r>
        <w:rPr>
          <w:rFonts w:eastAsia="AdvGulliv-R"/>
          <w:lang w:val="en-US"/>
        </w:rPr>
        <w:t>.</w:t>
      </w:r>
      <w:r w:rsidRPr="00EE4F63">
        <w:rPr>
          <w:rFonts w:eastAsia="AdvGulliv-R"/>
          <w:lang w:val="en-US"/>
        </w:rPr>
        <w:t xml:space="preserve"> “A </w:t>
      </w:r>
      <w:r>
        <w:rPr>
          <w:rFonts w:eastAsia="AdvGulliv-R"/>
          <w:lang w:val="en-US"/>
        </w:rPr>
        <w:t>f</w:t>
      </w:r>
      <w:r w:rsidRPr="00EE4F63">
        <w:rPr>
          <w:rFonts w:eastAsia="AdvGulliv-R"/>
          <w:lang w:val="en-US"/>
        </w:rPr>
        <w:t xml:space="preserve">actor </w:t>
      </w:r>
      <w:r>
        <w:rPr>
          <w:rFonts w:eastAsia="AdvGulliv-R"/>
          <w:lang w:val="en-US"/>
        </w:rPr>
        <w:t>a</w:t>
      </w:r>
      <w:r w:rsidRPr="00EE4F63">
        <w:rPr>
          <w:rFonts w:eastAsia="AdvGulliv-R"/>
          <w:lang w:val="en-US"/>
        </w:rPr>
        <w:t xml:space="preserve">nalysis of the </w:t>
      </w:r>
      <w:r>
        <w:rPr>
          <w:rFonts w:eastAsia="AdvGulliv-R"/>
          <w:lang w:val="en-US"/>
        </w:rPr>
        <w:t>i</w:t>
      </w:r>
      <w:r w:rsidRPr="00EE4F63">
        <w:rPr>
          <w:rFonts w:eastAsia="AdvGulliv-R"/>
          <w:lang w:val="en-US"/>
        </w:rPr>
        <w:t xml:space="preserve">nterrelationship </w:t>
      </w:r>
      <w:r>
        <w:rPr>
          <w:rFonts w:eastAsia="AdvGulliv-R"/>
          <w:lang w:val="en-US"/>
        </w:rPr>
        <w:t>b</w:t>
      </w:r>
      <w:r w:rsidRPr="00EE4F63">
        <w:rPr>
          <w:rFonts w:eastAsia="AdvGulliv-R"/>
          <w:lang w:val="en-US"/>
        </w:rPr>
        <w:t xml:space="preserve">etween </w:t>
      </w:r>
      <w:r>
        <w:rPr>
          <w:rFonts w:eastAsia="AdvGulliv-R"/>
          <w:lang w:val="en-US"/>
        </w:rPr>
        <w:t>s</w:t>
      </w:r>
      <w:r w:rsidRPr="00EE4F63">
        <w:rPr>
          <w:rFonts w:eastAsia="AdvGulliv-R"/>
          <w:lang w:val="en-US"/>
        </w:rPr>
        <w:t xml:space="preserve">ocial and </w:t>
      </w:r>
      <w:r>
        <w:rPr>
          <w:rFonts w:eastAsia="AdvGulliv-R"/>
          <w:lang w:val="en-US"/>
        </w:rPr>
        <w:t>p</w:t>
      </w:r>
      <w:r w:rsidRPr="00EE4F63">
        <w:rPr>
          <w:rFonts w:eastAsia="AdvGulliv-R"/>
          <w:lang w:val="en-US"/>
        </w:rPr>
        <w:t xml:space="preserve">olitical </w:t>
      </w:r>
      <w:r>
        <w:rPr>
          <w:rFonts w:eastAsia="AdvGulliv-R"/>
          <w:lang w:val="en-US"/>
        </w:rPr>
        <w:t>v</w:t>
      </w:r>
      <w:r w:rsidRPr="00EE4F63">
        <w:rPr>
          <w:rFonts w:eastAsia="AdvGulliv-R"/>
          <w:lang w:val="en-US"/>
        </w:rPr>
        <w:t xml:space="preserve">ariables and </w:t>
      </w:r>
      <w:r>
        <w:rPr>
          <w:rFonts w:eastAsia="AdvGulliv-R"/>
          <w:lang w:val="en-US"/>
        </w:rPr>
        <w:t>p</w:t>
      </w:r>
      <w:r w:rsidRPr="00EE4F63">
        <w:rPr>
          <w:rFonts w:eastAsia="AdvGulliv-R"/>
          <w:lang w:val="en-US"/>
        </w:rPr>
        <w:t xml:space="preserve">er </w:t>
      </w:r>
      <w:r>
        <w:rPr>
          <w:rFonts w:eastAsia="AdvGulliv-R"/>
          <w:lang w:val="en-US"/>
        </w:rPr>
        <w:t>c</w:t>
      </w:r>
      <w:r w:rsidRPr="00EE4F63">
        <w:rPr>
          <w:rFonts w:eastAsia="AdvGulliv-R"/>
          <w:lang w:val="en-US"/>
        </w:rPr>
        <w:t xml:space="preserve">apita </w:t>
      </w:r>
      <w:r>
        <w:rPr>
          <w:rFonts w:eastAsia="AdvGulliv-R"/>
          <w:lang w:val="en-US"/>
        </w:rPr>
        <w:t>g</w:t>
      </w:r>
      <w:r w:rsidRPr="00EE4F63">
        <w:rPr>
          <w:rFonts w:eastAsia="AdvGulliv-R"/>
          <w:lang w:val="en-US"/>
        </w:rPr>
        <w:t xml:space="preserve">ross </w:t>
      </w:r>
      <w:r>
        <w:rPr>
          <w:rFonts w:eastAsia="AdvGulliv-R"/>
          <w:lang w:val="en-US"/>
        </w:rPr>
        <w:t>n</w:t>
      </w:r>
      <w:r w:rsidRPr="00EE4F63">
        <w:rPr>
          <w:rFonts w:eastAsia="AdvGulliv-R"/>
          <w:lang w:val="en-US"/>
        </w:rPr>
        <w:t xml:space="preserve">ational </w:t>
      </w:r>
      <w:r>
        <w:rPr>
          <w:rFonts w:eastAsia="AdvGulliv-R"/>
          <w:lang w:val="en-US"/>
        </w:rPr>
        <w:t>p</w:t>
      </w:r>
      <w:r w:rsidRPr="00EE4F63">
        <w:rPr>
          <w:rFonts w:eastAsia="AdvGulliv-R"/>
          <w:lang w:val="en-US"/>
        </w:rPr>
        <w:t xml:space="preserve">roduct”. </w:t>
      </w:r>
      <w:r w:rsidRPr="00EE4F63">
        <w:rPr>
          <w:rFonts w:eastAsia="AdvGulliv-R"/>
          <w:i/>
          <w:iCs/>
          <w:lang w:val="en-US"/>
        </w:rPr>
        <w:t xml:space="preserve"> Quarterly journal of Economics</w:t>
      </w:r>
      <w:r>
        <w:rPr>
          <w:rFonts w:eastAsia="AdvGulliv-R"/>
          <w:iCs/>
          <w:lang w:val="en-US"/>
        </w:rPr>
        <w:t xml:space="preserve">, </w:t>
      </w:r>
      <w:r w:rsidRPr="00EE4F63">
        <w:rPr>
          <w:rFonts w:eastAsia="AdvGulliv-R"/>
          <w:lang w:val="en-US"/>
        </w:rPr>
        <w:t>79(4), 555-578.</w:t>
      </w:r>
    </w:p>
    <w:p w14:paraId="5409167B" w14:textId="77777777" w:rsidR="00401A64" w:rsidRPr="00EE4F63" w:rsidRDefault="00401A64" w:rsidP="00401A64">
      <w:pPr>
        <w:widowControl w:val="0"/>
        <w:ind w:left="426" w:hanging="426"/>
        <w:jc w:val="both"/>
        <w:rPr>
          <w:lang w:val="en-US"/>
        </w:rPr>
      </w:pPr>
      <w:r w:rsidRPr="00EE4F63">
        <w:rPr>
          <w:lang w:val="en-US"/>
        </w:rPr>
        <w:t>AGHION, P.</w:t>
      </w:r>
      <w:r>
        <w:rPr>
          <w:lang w:val="en-US"/>
        </w:rPr>
        <w:t xml:space="preserve"> and</w:t>
      </w:r>
      <w:r w:rsidRPr="00EE4F63">
        <w:rPr>
          <w:lang w:val="en-US"/>
        </w:rPr>
        <w:t xml:space="preserve"> BOLTON, P. (1997). “A theory of trickle-down growth and development”. </w:t>
      </w:r>
      <w:r w:rsidRPr="00576D2B">
        <w:rPr>
          <w:i/>
          <w:lang w:val="en-US"/>
        </w:rPr>
        <w:t>Review of Economic Studies</w:t>
      </w:r>
      <w:r w:rsidRPr="00EE4F63">
        <w:rPr>
          <w:lang w:val="en-US"/>
        </w:rPr>
        <w:t>, 64</w:t>
      </w:r>
      <w:r>
        <w:rPr>
          <w:lang w:val="en-US"/>
        </w:rPr>
        <w:t xml:space="preserve">(2), </w:t>
      </w:r>
      <w:r w:rsidRPr="00EE4F63">
        <w:rPr>
          <w:lang w:val="en-US"/>
        </w:rPr>
        <w:t xml:space="preserve">151–172. </w:t>
      </w:r>
    </w:p>
    <w:p w14:paraId="7BB04E29" w14:textId="77777777" w:rsidR="00401A64" w:rsidRDefault="00401A64" w:rsidP="00401A64">
      <w:pPr>
        <w:pStyle w:val="Corpodetexto"/>
        <w:spacing w:after="0"/>
        <w:ind w:left="425" w:hanging="425"/>
        <w:jc w:val="both"/>
      </w:pPr>
      <w:r w:rsidRPr="00F8458A">
        <w:t>ALONSO-BORREGO, C. and A</w:t>
      </w:r>
      <w:r>
        <w:t>RELLANO</w:t>
      </w:r>
      <w:r w:rsidRPr="00F8458A">
        <w:t xml:space="preserve">, M. </w:t>
      </w:r>
      <w:r>
        <w:t>(</w:t>
      </w:r>
      <w:r w:rsidRPr="00F8458A">
        <w:t>199</w:t>
      </w:r>
      <w:r>
        <w:t>8)</w:t>
      </w:r>
      <w:r w:rsidRPr="00F8458A">
        <w:t xml:space="preserve">. </w:t>
      </w:r>
      <w:r>
        <w:t>“</w:t>
      </w:r>
      <w:r w:rsidRPr="00F8458A">
        <w:t>Symmetrically normali</w:t>
      </w:r>
      <w:r>
        <w:t>z</w:t>
      </w:r>
      <w:r w:rsidRPr="00F8458A">
        <w:t>ed instrumental variable estimation</w:t>
      </w:r>
      <w:r>
        <w:t xml:space="preserve"> </w:t>
      </w:r>
      <w:r w:rsidRPr="00F8458A">
        <w:t>using panel data</w:t>
      </w:r>
      <w:r>
        <w:t>.”</w:t>
      </w:r>
      <w:r w:rsidRPr="00F8458A">
        <w:t xml:space="preserve"> </w:t>
      </w:r>
      <w:r w:rsidRPr="00F8458A">
        <w:rPr>
          <w:i/>
        </w:rPr>
        <w:t>CEMFI Working Paper</w:t>
      </w:r>
      <w:r w:rsidRPr="00F8458A">
        <w:t xml:space="preserve"> No. 9612, September.</w:t>
      </w:r>
    </w:p>
    <w:p w14:paraId="35B38729" w14:textId="77777777" w:rsidR="00401A64" w:rsidRPr="00EE4F63" w:rsidRDefault="00401A64" w:rsidP="00401A64">
      <w:pPr>
        <w:widowControl w:val="0"/>
        <w:ind w:left="426" w:hanging="426"/>
        <w:jc w:val="both"/>
        <w:rPr>
          <w:rFonts w:eastAsia="AdvGulliv-R"/>
          <w:i/>
          <w:lang w:val="en-US"/>
        </w:rPr>
      </w:pPr>
      <w:r w:rsidRPr="00EE4F63">
        <w:rPr>
          <w:rFonts w:eastAsia="AdvGulliv-R"/>
          <w:lang w:val="en-US"/>
        </w:rPr>
        <w:t>ALT, J.</w:t>
      </w:r>
      <w:r>
        <w:rPr>
          <w:rFonts w:eastAsia="AdvGulliv-R"/>
          <w:lang w:val="en-US"/>
        </w:rPr>
        <w:t xml:space="preserve"> and</w:t>
      </w:r>
      <w:r w:rsidRPr="00EE4F63">
        <w:rPr>
          <w:rFonts w:eastAsia="AdvGulliv-R"/>
          <w:lang w:val="en-US"/>
        </w:rPr>
        <w:t xml:space="preserve"> LASSEN, D. (2010). “ Enforcement and </w:t>
      </w:r>
      <w:r>
        <w:rPr>
          <w:rFonts w:eastAsia="AdvGulliv-R"/>
          <w:lang w:val="en-US"/>
        </w:rPr>
        <w:t>p</w:t>
      </w:r>
      <w:r w:rsidRPr="00EE4F63">
        <w:rPr>
          <w:rFonts w:eastAsia="AdvGulliv-R"/>
          <w:lang w:val="en-US"/>
        </w:rPr>
        <w:t xml:space="preserve">ublic </w:t>
      </w:r>
      <w:r>
        <w:rPr>
          <w:rFonts w:eastAsia="AdvGulliv-R"/>
          <w:lang w:val="en-US"/>
        </w:rPr>
        <w:t>c</w:t>
      </w:r>
      <w:r w:rsidRPr="00EE4F63">
        <w:rPr>
          <w:rFonts w:eastAsia="AdvGulliv-R"/>
          <w:lang w:val="en-US"/>
        </w:rPr>
        <w:t xml:space="preserve">orruption: Evidence from US </w:t>
      </w:r>
      <w:r>
        <w:rPr>
          <w:rFonts w:eastAsia="AdvGulliv-R"/>
          <w:lang w:val="en-US"/>
        </w:rPr>
        <w:t>s</w:t>
      </w:r>
      <w:r w:rsidRPr="00EE4F63">
        <w:rPr>
          <w:rFonts w:eastAsia="AdvGulliv-R"/>
          <w:lang w:val="en-US"/>
        </w:rPr>
        <w:t xml:space="preserve">tates”. University of Copenhagem </w:t>
      </w:r>
      <w:r>
        <w:rPr>
          <w:rFonts w:eastAsia="AdvGulliv-R"/>
          <w:lang w:val="en-US"/>
        </w:rPr>
        <w:t xml:space="preserve">- </w:t>
      </w:r>
      <w:r w:rsidRPr="00EE4F63">
        <w:rPr>
          <w:rFonts w:eastAsia="AdvGulliv-R"/>
          <w:lang w:val="en-US"/>
        </w:rPr>
        <w:t xml:space="preserve">Departament of Economics EPRU </w:t>
      </w:r>
      <w:r w:rsidRPr="00EE4F63">
        <w:rPr>
          <w:rFonts w:eastAsia="AdvGulliv-R"/>
          <w:i/>
          <w:lang w:val="en-US"/>
        </w:rPr>
        <w:t xml:space="preserve">Working paper </w:t>
      </w:r>
      <w:r>
        <w:rPr>
          <w:rFonts w:eastAsia="AdvGulliv-R"/>
          <w:i/>
          <w:lang w:val="en-US"/>
        </w:rPr>
        <w:t xml:space="preserve">N. </w:t>
      </w:r>
      <w:r w:rsidRPr="00EE4F63">
        <w:rPr>
          <w:rFonts w:eastAsia="AdvGulliv-R"/>
          <w:i/>
          <w:lang w:val="en-US"/>
        </w:rPr>
        <w:t>2010-08.</w:t>
      </w:r>
    </w:p>
    <w:p w14:paraId="43550AEF" w14:textId="77777777" w:rsidR="00401A64" w:rsidRPr="00EE4F63" w:rsidRDefault="00401A64" w:rsidP="00401A64">
      <w:pPr>
        <w:widowControl w:val="0"/>
        <w:ind w:left="425" w:hanging="425"/>
        <w:jc w:val="both"/>
        <w:rPr>
          <w:rFonts w:eastAsia="AdvGulliv-R"/>
          <w:lang w:val="en-US"/>
        </w:rPr>
      </w:pPr>
      <w:r w:rsidRPr="00EE4F63">
        <w:rPr>
          <w:rFonts w:eastAsia="AdvGulliv-R"/>
          <w:lang w:val="en-US"/>
        </w:rPr>
        <w:t>ANG, J</w:t>
      </w:r>
      <w:r>
        <w:rPr>
          <w:rFonts w:eastAsia="AdvGulliv-R"/>
          <w:lang w:val="en-US"/>
        </w:rPr>
        <w:t>.</w:t>
      </w:r>
      <w:r w:rsidRPr="00EE4F63">
        <w:rPr>
          <w:rFonts w:eastAsia="AdvGulliv-R"/>
          <w:lang w:val="en-US"/>
        </w:rPr>
        <w:t xml:space="preserve">B. (2010). “Finance and inequality: the case of India”. </w:t>
      </w:r>
      <w:r w:rsidRPr="00EE4F63">
        <w:rPr>
          <w:rFonts w:eastAsia="AdvGulliv-R"/>
          <w:i/>
          <w:iCs/>
          <w:lang w:val="en-US"/>
        </w:rPr>
        <w:t>Southern Economic Journal</w:t>
      </w:r>
      <w:r>
        <w:rPr>
          <w:rFonts w:eastAsia="AdvGulliv-R"/>
          <w:lang w:val="en-US"/>
        </w:rPr>
        <w:t xml:space="preserve">, </w:t>
      </w:r>
      <w:r w:rsidRPr="00EE4F63">
        <w:rPr>
          <w:rFonts w:eastAsia="AdvGulliv-R"/>
          <w:lang w:val="en-US"/>
        </w:rPr>
        <w:t>76</w:t>
      </w:r>
      <w:r>
        <w:rPr>
          <w:rFonts w:eastAsia="AdvGulliv-R"/>
          <w:lang w:val="en-US"/>
        </w:rPr>
        <w:t>(3)</w:t>
      </w:r>
      <w:r w:rsidRPr="00EE4F63">
        <w:rPr>
          <w:rFonts w:eastAsia="AdvGulliv-R"/>
          <w:lang w:val="en-US"/>
        </w:rPr>
        <w:t>, 738–761.</w:t>
      </w:r>
    </w:p>
    <w:p w14:paraId="309140E7" w14:textId="77777777" w:rsidR="00401A64" w:rsidRPr="00E54E55" w:rsidRDefault="00401A64" w:rsidP="00401A64">
      <w:pPr>
        <w:pStyle w:val="Corpodetexto"/>
        <w:spacing w:after="0"/>
        <w:ind w:left="425" w:hanging="425"/>
        <w:jc w:val="both"/>
      </w:pPr>
      <w:r w:rsidRPr="00E54E55">
        <w:lastRenderedPageBreak/>
        <w:t>APERGIS, N., DINCER, O.C., and PAYNE, J.E. (2010)</w:t>
      </w:r>
      <w:r>
        <w:t xml:space="preserve">. “The relationship between corruption and income inequality in U.S. states: evidence from a panel cointegration and error correction model”. </w:t>
      </w:r>
      <w:r>
        <w:rPr>
          <w:i/>
        </w:rPr>
        <w:t>Public Choice</w:t>
      </w:r>
      <w:r>
        <w:t>, 145(1), 125-135.</w:t>
      </w:r>
    </w:p>
    <w:p w14:paraId="4F739BBC" w14:textId="77777777" w:rsidR="00401A64" w:rsidRDefault="00401A64" w:rsidP="00401A64">
      <w:pPr>
        <w:pStyle w:val="Corpodetexto"/>
        <w:spacing w:after="0"/>
        <w:ind w:left="425" w:hanging="425"/>
        <w:jc w:val="both"/>
      </w:pPr>
      <w:r w:rsidRPr="00222061">
        <w:t xml:space="preserve">ARELLANO, M. (2003). “Panel data econometrics.” </w:t>
      </w:r>
      <w:r w:rsidRPr="00FD3627">
        <w:t>Oxford</w:t>
      </w:r>
      <w:r>
        <w:t xml:space="preserve"> University press</w:t>
      </w:r>
      <w:r w:rsidRPr="00FD3627">
        <w:t>.</w:t>
      </w:r>
    </w:p>
    <w:p w14:paraId="212A4F85" w14:textId="77777777" w:rsidR="00401A64" w:rsidRDefault="00401A64" w:rsidP="00401A64">
      <w:pPr>
        <w:pStyle w:val="Corpodetexto"/>
        <w:spacing w:after="0"/>
        <w:ind w:left="425" w:hanging="425"/>
        <w:jc w:val="both"/>
      </w:pPr>
      <w:r w:rsidRPr="00FD3627">
        <w:t xml:space="preserve">ARELLANO, M. </w:t>
      </w:r>
      <w:r>
        <w:t>and</w:t>
      </w:r>
      <w:r w:rsidRPr="00FD3627">
        <w:t xml:space="preserve"> BOND, S</w:t>
      </w:r>
      <w:r>
        <w:t>.</w:t>
      </w:r>
      <w:r w:rsidRPr="00FD3627">
        <w:t xml:space="preserve"> (1991). </w:t>
      </w:r>
      <w:r>
        <w:t>“</w:t>
      </w:r>
      <w:r w:rsidRPr="00FD3627">
        <w:t>Some tests of specification for panel data: Monte Carlo evidence and an application to employment equations</w:t>
      </w:r>
      <w:r>
        <w:t>.”</w:t>
      </w:r>
      <w:r w:rsidRPr="00FD3627">
        <w:t xml:space="preserve"> </w:t>
      </w:r>
      <w:r w:rsidRPr="00E946DA">
        <w:rPr>
          <w:i/>
        </w:rPr>
        <w:t>Review of Economic Studies</w:t>
      </w:r>
      <w:r>
        <w:t xml:space="preserve">, </w:t>
      </w:r>
      <w:r w:rsidRPr="00FD3627">
        <w:t>58</w:t>
      </w:r>
      <w:r>
        <w:t>(</w:t>
      </w:r>
      <w:r w:rsidRPr="00FD3627">
        <w:t>2</w:t>
      </w:r>
      <w:r>
        <w:t xml:space="preserve">), </w:t>
      </w:r>
      <w:r w:rsidRPr="00FD3627">
        <w:t>277-297.</w:t>
      </w:r>
    </w:p>
    <w:p w14:paraId="6F395B15" w14:textId="77777777" w:rsidR="00401A64" w:rsidRPr="00AD1D5D" w:rsidRDefault="00401A64" w:rsidP="00401A64">
      <w:pPr>
        <w:pStyle w:val="Corpodetexto"/>
        <w:spacing w:after="0"/>
        <w:ind w:left="425" w:hanging="425"/>
        <w:jc w:val="both"/>
        <w:rPr>
          <w:lang w:val="pt-BR"/>
        </w:rPr>
      </w:pPr>
      <w:r>
        <w:t xml:space="preserve">ARELLANO, M. and BOVER, O. (1995). “Another look at the instrumental variable estimation of error-components model.” </w:t>
      </w:r>
      <w:r w:rsidRPr="00AD1D5D">
        <w:rPr>
          <w:i/>
          <w:lang w:val="pt-BR"/>
        </w:rPr>
        <w:t>Journal of Econometrics</w:t>
      </w:r>
      <w:r w:rsidRPr="00AD1D5D">
        <w:rPr>
          <w:lang w:val="pt-BR"/>
        </w:rPr>
        <w:t>, 68(1), 29-51.</w:t>
      </w:r>
    </w:p>
    <w:p w14:paraId="0668368F" w14:textId="77777777" w:rsidR="00401A64" w:rsidRPr="000B35D8" w:rsidRDefault="00401A64" w:rsidP="00401A64">
      <w:pPr>
        <w:widowControl w:val="0"/>
        <w:ind w:left="426" w:hanging="426"/>
        <w:jc w:val="both"/>
        <w:rPr>
          <w:lang w:val="en-US"/>
        </w:rPr>
      </w:pPr>
      <w:r w:rsidRPr="000B35D8">
        <w:rPr>
          <w:lang w:val="en-US"/>
        </w:rPr>
        <w:t>B</w:t>
      </w:r>
      <w:r>
        <w:rPr>
          <w:lang w:val="en-US"/>
        </w:rPr>
        <w:t>LINDER</w:t>
      </w:r>
      <w:r w:rsidRPr="000B35D8">
        <w:rPr>
          <w:lang w:val="en-US"/>
        </w:rPr>
        <w:t>, A</w:t>
      </w:r>
      <w:r>
        <w:rPr>
          <w:lang w:val="en-US"/>
        </w:rPr>
        <w:t>.S.</w:t>
      </w:r>
      <w:r w:rsidRPr="000B35D8">
        <w:rPr>
          <w:lang w:val="en-US"/>
        </w:rPr>
        <w:t xml:space="preserve"> </w:t>
      </w:r>
      <w:r>
        <w:rPr>
          <w:lang w:val="en-US"/>
        </w:rPr>
        <w:t>and</w:t>
      </w:r>
      <w:r w:rsidRPr="000B35D8">
        <w:rPr>
          <w:lang w:val="en-US"/>
        </w:rPr>
        <w:t xml:space="preserve"> E</w:t>
      </w:r>
      <w:r>
        <w:rPr>
          <w:lang w:val="en-US"/>
        </w:rPr>
        <w:t>SAKI</w:t>
      </w:r>
      <w:r w:rsidRPr="000B35D8">
        <w:rPr>
          <w:lang w:val="en-US"/>
        </w:rPr>
        <w:t>, H</w:t>
      </w:r>
      <w:r>
        <w:rPr>
          <w:lang w:val="en-US"/>
        </w:rPr>
        <w:t>.</w:t>
      </w:r>
      <w:r w:rsidRPr="000B35D8">
        <w:rPr>
          <w:lang w:val="en-US"/>
        </w:rPr>
        <w:t>Y</w:t>
      </w:r>
      <w:r>
        <w:rPr>
          <w:lang w:val="en-US"/>
        </w:rPr>
        <w:t>. (1</w:t>
      </w:r>
      <w:r w:rsidRPr="000B35D8">
        <w:rPr>
          <w:lang w:val="en-US"/>
        </w:rPr>
        <w:t>978</w:t>
      </w:r>
      <w:r>
        <w:rPr>
          <w:lang w:val="en-US"/>
        </w:rPr>
        <w:t>)</w:t>
      </w:r>
      <w:r w:rsidRPr="000B35D8">
        <w:rPr>
          <w:lang w:val="en-US"/>
        </w:rPr>
        <w:t xml:space="preserve">. </w:t>
      </w:r>
      <w:r>
        <w:rPr>
          <w:lang w:val="en-US"/>
        </w:rPr>
        <w:t>“</w:t>
      </w:r>
      <w:hyperlink r:id="rId36" w:history="1">
        <w:r w:rsidRPr="000B35D8">
          <w:rPr>
            <w:rStyle w:val="Hyperlink"/>
            <w:bCs/>
          </w:rPr>
          <w:t xml:space="preserve">Macroeconomic </w:t>
        </w:r>
        <w:r w:rsidRPr="00705812">
          <w:rPr>
            <w:rStyle w:val="Hyperlink"/>
            <w:bCs/>
            <w:lang w:val="en-US"/>
          </w:rPr>
          <w:t>a</w:t>
        </w:r>
        <w:r w:rsidRPr="000B35D8">
          <w:rPr>
            <w:rStyle w:val="Hyperlink"/>
            <w:bCs/>
          </w:rPr>
          <w:t xml:space="preserve">ctivity and </w:t>
        </w:r>
        <w:r w:rsidRPr="00705812">
          <w:rPr>
            <w:rStyle w:val="Hyperlink"/>
            <w:bCs/>
            <w:lang w:val="en-US"/>
          </w:rPr>
          <w:t>i</w:t>
        </w:r>
        <w:r w:rsidRPr="000B35D8">
          <w:rPr>
            <w:rStyle w:val="Hyperlink"/>
            <w:bCs/>
          </w:rPr>
          <w:t xml:space="preserve">ncome </w:t>
        </w:r>
        <w:r w:rsidRPr="00705812">
          <w:rPr>
            <w:rStyle w:val="Hyperlink"/>
            <w:bCs/>
            <w:lang w:val="en-US"/>
          </w:rPr>
          <w:t>d</w:t>
        </w:r>
        <w:r w:rsidRPr="000B35D8">
          <w:rPr>
            <w:rStyle w:val="Hyperlink"/>
            <w:bCs/>
          </w:rPr>
          <w:t xml:space="preserve">istribution in the </w:t>
        </w:r>
        <w:r w:rsidRPr="00705812">
          <w:rPr>
            <w:rStyle w:val="Hyperlink"/>
            <w:bCs/>
            <w:lang w:val="en-US"/>
          </w:rPr>
          <w:t>p</w:t>
        </w:r>
        <w:r w:rsidRPr="000B35D8">
          <w:rPr>
            <w:rStyle w:val="Hyperlink"/>
            <w:bCs/>
          </w:rPr>
          <w:t>ostwar United States</w:t>
        </w:r>
      </w:hyperlink>
      <w:r w:rsidRPr="000B35D8">
        <w:rPr>
          <w:bCs/>
          <w:lang w:val="en-US"/>
        </w:rPr>
        <w:t>”.</w:t>
      </w:r>
      <w:r>
        <w:rPr>
          <w:bCs/>
          <w:lang w:val="en-US"/>
        </w:rPr>
        <w:t xml:space="preserve"> </w:t>
      </w:r>
      <w:hyperlink r:id="rId37" w:history="1">
        <w:r w:rsidRPr="000B35D8">
          <w:rPr>
            <w:rStyle w:val="Hyperlink"/>
            <w:i/>
          </w:rPr>
          <w:t>Review of Economics and Statistics</w:t>
        </w:r>
      </w:hyperlink>
      <w:r w:rsidRPr="000B35D8">
        <w:rPr>
          <w:lang w:val="en-US"/>
        </w:rPr>
        <w:t>, 60(4), 604-09</w:t>
      </w:r>
      <w:r>
        <w:rPr>
          <w:lang w:val="en-US"/>
        </w:rPr>
        <w:t>.</w:t>
      </w:r>
    </w:p>
    <w:p w14:paraId="6701BE39" w14:textId="77777777" w:rsidR="00401A64" w:rsidRDefault="00401A64" w:rsidP="00401A64">
      <w:pPr>
        <w:pStyle w:val="Corpodetexto"/>
        <w:spacing w:after="0"/>
        <w:ind w:left="426" w:hanging="426"/>
      </w:pPr>
      <w:r w:rsidRPr="00A179B5">
        <w:t>B</w:t>
      </w:r>
      <w:r>
        <w:t>LUNDELL</w:t>
      </w:r>
      <w:r w:rsidRPr="00A179B5">
        <w:t>,</w:t>
      </w:r>
      <w:r>
        <w:t xml:space="preserve"> R. and BOND,</w:t>
      </w:r>
      <w:r w:rsidRPr="00A179B5">
        <w:t xml:space="preserve"> S</w:t>
      </w:r>
      <w:r>
        <w:t>. (1998).</w:t>
      </w:r>
      <w:r w:rsidRPr="00A179B5">
        <w:t xml:space="preserve"> </w:t>
      </w:r>
      <w:r>
        <w:t>“</w:t>
      </w:r>
      <w:r w:rsidRPr="00A179B5">
        <w:t>Initial conditions and moment restrictions</w:t>
      </w:r>
      <w:r>
        <w:t xml:space="preserve"> </w:t>
      </w:r>
      <w:r w:rsidRPr="00A179B5">
        <w:t>in dynamic panel data models</w:t>
      </w:r>
      <w:r>
        <w:t xml:space="preserve">.” </w:t>
      </w:r>
      <w:r w:rsidRPr="00A179B5">
        <w:rPr>
          <w:i/>
        </w:rPr>
        <w:t>Journal of Econometrics</w:t>
      </w:r>
      <w:r>
        <w:t>, 87(1), 115-143.</w:t>
      </w:r>
    </w:p>
    <w:p w14:paraId="48EB8C57" w14:textId="77777777" w:rsidR="00401A64" w:rsidRPr="00B41869" w:rsidRDefault="00401A64" w:rsidP="00401A64">
      <w:pPr>
        <w:pStyle w:val="Corpodetexto"/>
        <w:spacing w:after="0"/>
        <w:ind w:left="425" w:hanging="425"/>
        <w:jc w:val="both"/>
        <w:rPr>
          <w:lang w:val="pt-BR"/>
        </w:rPr>
      </w:pPr>
      <w:r w:rsidRPr="00B41869">
        <w:rPr>
          <w:lang w:val="pt-BR"/>
        </w:rPr>
        <w:t>BOLL, J.L.S. (2010)</w:t>
      </w:r>
      <w:r>
        <w:rPr>
          <w:lang w:val="pt-BR"/>
        </w:rPr>
        <w:t xml:space="preserve"> </w:t>
      </w:r>
      <w:r>
        <w:rPr>
          <w:color w:val="000000"/>
          <w:lang w:val="pt-BR"/>
        </w:rPr>
        <w:t>“</w:t>
      </w:r>
      <w:r w:rsidRPr="00B41869">
        <w:rPr>
          <w:color w:val="000000"/>
          <w:lang w:val="pt-BR"/>
        </w:rPr>
        <w:t>A corrupção governamental no Brasil: construção de indicadores e análise da sua incidência relativa nos estados brasileiros</w:t>
      </w:r>
      <w:r>
        <w:rPr>
          <w:color w:val="000000"/>
          <w:lang w:val="pt-BR"/>
        </w:rPr>
        <w:t>”</w:t>
      </w:r>
      <w:r w:rsidRPr="00B41869">
        <w:rPr>
          <w:color w:val="000000"/>
          <w:lang w:val="pt-BR"/>
        </w:rPr>
        <w:t>. 5º Concurso de Monografias da Controladoria-Geral da União - Controladoria-Geral da União, Brasília.</w:t>
      </w:r>
    </w:p>
    <w:p w14:paraId="0F73B435" w14:textId="77777777" w:rsidR="00401A64" w:rsidRDefault="00401A64" w:rsidP="00401A64">
      <w:pPr>
        <w:pStyle w:val="Corpodetexto"/>
        <w:spacing w:after="0"/>
        <w:ind w:left="425" w:hanging="425"/>
        <w:jc w:val="both"/>
      </w:pPr>
      <w:r w:rsidRPr="00FD3627">
        <w:t>BOND, S.R</w:t>
      </w:r>
      <w:r>
        <w:t>.,</w:t>
      </w:r>
      <w:r w:rsidRPr="00FD3627">
        <w:t xml:space="preserve"> HOEFFLER, A</w:t>
      </w:r>
      <w:r>
        <w:t>., and</w:t>
      </w:r>
      <w:r w:rsidRPr="00FD3627">
        <w:t xml:space="preserve"> TEMPLE, J. (2001). </w:t>
      </w:r>
      <w:r>
        <w:t>“</w:t>
      </w:r>
      <w:r w:rsidRPr="00FD3627">
        <w:t>GMM estimation of empirical growth models</w:t>
      </w:r>
      <w:r>
        <w:t>.”</w:t>
      </w:r>
      <w:r w:rsidRPr="00FD3627">
        <w:t xml:space="preserve"> </w:t>
      </w:r>
      <w:r w:rsidRPr="00E946DA">
        <w:rPr>
          <w:i/>
        </w:rPr>
        <w:t>CEPR Discussion Paper</w:t>
      </w:r>
      <w:r w:rsidRPr="00FD3627">
        <w:t xml:space="preserve"> 3048, London.</w:t>
      </w:r>
    </w:p>
    <w:p w14:paraId="64D51D7C" w14:textId="77777777" w:rsidR="00401A64" w:rsidRPr="00573234" w:rsidRDefault="00401A64" w:rsidP="00401A64">
      <w:pPr>
        <w:widowControl w:val="0"/>
        <w:suppressAutoHyphens w:val="0"/>
        <w:autoSpaceDE w:val="0"/>
        <w:autoSpaceDN w:val="0"/>
        <w:adjustRightInd w:val="0"/>
        <w:ind w:left="426" w:hanging="426"/>
        <w:jc w:val="both"/>
        <w:rPr>
          <w:lang w:val="en-US"/>
        </w:rPr>
      </w:pPr>
      <w:r w:rsidRPr="00573234">
        <w:rPr>
          <w:lang w:val="en-US" w:eastAsia="pt-BR"/>
        </w:rPr>
        <w:t>B</w:t>
      </w:r>
      <w:r>
        <w:rPr>
          <w:lang w:val="en-US" w:eastAsia="pt-BR"/>
        </w:rPr>
        <w:t>ROWNING</w:t>
      </w:r>
      <w:r w:rsidRPr="00573234">
        <w:rPr>
          <w:lang w:val="en-US" w:eastAsia="pt-BR"/>
        </w:rPr>
        <w:t>, E</w:t>
      </w:r>
      <w:r>
        <w:rPr>
          <w:lang w:val="en-US" w:eastAsia="pt-BR"/>
        </w:rPr>
        <w:t>. and</w:t>
      </w:r>
      <w:r w:rsidRPr="00573234">
        <w:rPr>
          <w:lang w:val="en-US" w:eastAsia="pt-BR"/>
        </w:rPr>
        <w:t xml:space="preserve"> B</w:t>
      </w:r>
      <w:r>
        <w:rPr>
          <w:lang w:val="en-US" w:eastAsia="pt-BR"/>
        </w:rPr>
        <w:t>ROWNING</w:t>
      </w:r>
      <w:r w:rsidRPr="00573234">
        <w:rPr>
          <w:lang w:val="en-US" w:eastAsia="pt-BR"/>
        </w:rPr>
        <w:t>, J</w:t>
      </w:r>
      <w:r>
        <w:rPr>
          <w:lang w:val="en-US" w:eastAsia="pt-BR"/>
        </w:rPr>
        <w:t>.</w:t>
      </w:r>
      <w:r w:rsidRPr="00573234">
        <w:rPr>
          <w:lang w:val="en-US" w:eastAsia="pt-BR"/>
        </w:rPr>
        <w:t>M. (1994)</w:t>
      </w:r>
      <w:r>
        <w:rPr>
          <w:lang w:val="en-US" w:eastAsia="pt-BR"/>
        </w:rPr>
        <w:t>. “</w:t>
      </w:r>
      <w:r w:rsidRPr="00573234">
        <w:rPr>
          <w:lang w:val="en-US" w:eastAsia="pt-BR"/>
        </w:rPr>
        <w:t xml:space="preserve">Public </w:t>
      </w:r>
      <w:r>
        <w:rPr>
          <w:lang w:val="en-US" w:eastAsia="pt-BR"/>
        </w:rPr>
        <w:t>f</w:t>
      </w:r>
      <w:r w:rsidRPr="00573234">
        <w:rPr>
          <w:lang w:val="en-US" w:eastAsia="pt-BR"/>
        </w:rPr>
        <w:t xml:space="preserve">inance and the </w:t>
      </w:r>
      <w:r>
        <w:rPr>
          <w:lang w:val="en-US" w:eastAsia="pt-BR"/>
        </w:rPr>
        <w:t>p</w:t>
      </w:r>
      <w:r w:rsidRPr="00573234">
        <w:rPr>
          <w:lang w:val="en-US" w:eastAsia="pt-BR"/>
        </w:rPr>
        <w:t xml:space="preserve">rice </w:t>
      </w:r>
      <w:r>
        <w:rPr>
          <w:lang w:val="en-US" w:eastAsia="pt-BR"/>
        </w:rPr>
        <w:t>s</w:t>
      </w:r>
      <w:r w:rsidRPr="00573234">
        <w:rPr>
          <w:lang w:val="en-US" w:eastAsia="pt-BR"/>
        </w:rPr>
        <w:t>ystem.</w:t>
      </w:r>
      <w:r>
        <w:rPr>
          <w:lang w:val="en-US" w:eastAsia="pt-BR"/>
        </w:rPr>
        <w:t xml:space="preserve">” </w:t>
      </w:r>
      <w:r w:rsidRPr="00573234">
        <w:rPr>
          <w:lang w:val="en-US" w:eastAsia="pt-BR"/>
        </w:rPr>
        <w:t>Englewood Cliffs, Prentice Hall.</w:t>
      </w:r>
    </w:p>
    <w:p w14:paraId="5ED8FBC8" w14:textId="77777777" w:rsidR="00401A64" w:rsidRPr="00EE4F63" w:rsidRDefault="00401A64" w:rsidP="00401A64">
      <w:pPr>
        <w:widowControl w:val="0"/>
        <w:ind w:left="426" w:hanging="426"/>
        <w:jc w:val="both"/>
        <w:rPr>
          <w:lang w:val="en-US"/>
        </w:rPr>
      </w:pPr>
      <w:r w:rsidRPr="00540754">
        <w:rPr>
          <w:lang w:val="en-US"/>
        </w:rPr>
        <w:t xml:space="preserve">CLAESSENS, S. and PEROTTI, E. (2005). </w:t>
      </w:r>
      <w:r w:rsidRPr="00EE4F63">
        <w:rPr>
          <w:lang w:val="en-US"/>
        </w:rPr>
        <w:t>“The links between finance and inequality: channels and evidence”. Background paper to the World Development Report 2006. World Bank</w:t>
      </w:r>
      <w:r>
        <w:rPr>
          <w:lang w:val="en-US"/>
        </w:rPr>
        <w:t>, Washington D.C</w:t>
      </w:r>
      <w:r w:rsidRPr="00EE4F63">
        <w:rPr>
          <w:lang w:val="en-US"/>
        </w:rPr>
        <w:t>.</w:t>
      </w:r>
    </w:p>
    <w:p w14:paraId="45400A69" w14:textId="77777777" w:rsidR="00401A64" w:rsidRPr="00E574A1" w:rsidRDefault="00401A64" w:rsidP="00401A64">
      <w:pPr>
        <w:widowControl w:val="0"/>
        <w:suppressAutoHyphens w:val="0"/>
        <w:autoSpaceDE w:val="0"/>
        <w:autoSpaceDN w:val="0"/>
        <w:adjustRightInd w:val="0"/>
        <w:ind w:left="450" w:hanging="450"/>
        <w:jc w:val="both"/>
        <w:rPr>
          <w:lang w:val="en-US"/>
        </w:rPr>
      </w:pPr>
      <w:r w:rsidRPr="00E574A1">
        <w:rPr>
          <w:lang w:val="en-US" w:eastAsia="pt-BR"/>
        </w:rPr>
        <w:t>D</w:t>
      </w:r>
      <w:r>
        <w:rPr>
          <w:lang w:val="en-US" w:eastAsia="pt-BR"/>
        </w:rPr>
        <w:t>INCER</w:t>
      </w:r>
      <w:r w:rsidRPr="00E574A1">
        <w:rPr>
          <w:lang w:val="en-US" w:eastAsia="pt-BR"/>
        </w:rPr>
        <w:t>, O.C. and G</w:t>
      </w:r>
      <w:r>
        <w:rPr>
          <w:lang w:val="en-US" w:eastAsia="pt-BR"/>
        </w:rPr>
        <w:t>UNALP</w:t>
      </w:r>
      <w:r w:rsidRPr="00E574A1">
        <w:rPr>
          <w:lang w:val="en-US" w:eastAsia="pt-BR"/>
        </w:rPr>
        <w:t xml:space="preserve">, B. (2008). </w:t>
      </w:r>
      <w:r>
        <w:rPr>
          <w:lang w:val="en-US" w:eastAsia="pt-BR"/>
        </w:rPr>
        <w:t>“</w:t>
      </w:r>
      <w:r w:rsidRPr="00E574A1">
        <w:rPr>
          <w:iCs/>
          <w:lang w:val="en-US" w:eastAsia="pt-BR"/>
        </w:rPr>
        <w:t>Corruption, income inequality and poverty in the United States</w:t>
      </w:r>
      <w:r w:rsidRPr="00E574A1">
        <w:rPr>
          <w:lang w:val="en-US" w:eastAsia="pt-BR"/>
        </w:rPr>
        <w:t>.</w:t>
      </w:r>
      <w:r>
        <w:rPr>
          <w:lang w:val="en-US" w:eastAsia="pt-BR"/>
        </w:rPr>
        <w:t>”</w:t>
      </w:r>
      <w:r w:rsidRPr="00E574A1">
        <w:rPr>
          <w:lang w:val="en-US" w:eastAsia="pt-BR"/>
        </w:rPr>
        <w:t xml:space="preserve"> FEEM</w:t>
      </w:r>
      <w:r>
        <w:rPr>
          <w:lang w:val="en-US" w:eastAsia="pt-BR"/>
        </w:rPr>
        <w:t xml:space="preserve"> </w:t>
      </w:r>
      <w:r w:rsidRPr="00E574A1">
        <w:rPr>
          <w:lang w:val="en-US" w:eastAsia="pt-BR"/>
        </w:rPr>
        <w:t>Working Paper 54.</w:t>
      </w:r>
    </w:p>
    <w:p w14:paraId="44DC476B" w14:textId="77777777" w:rsidR="00401A64" w:rsidRPr="00EE4F63" w:rsidRDefault="00401A64" w:rsidP="00401A64">
      <w:pPr>
        <w:widowControl w:val="0"/>
        <w:ind w:left="426" w:hanging="426"/>
        <w:jc w:val="both"/>
        <w:rPr>
          <w:lang w:val="en-US"/>
        </w:rPr>
      </w:pPr>
      <w:r w:rsidRPr="00EE4F63">
        <w:rPr>
          <w:lang w:val="en-US"/>
        </w:rPr>
        <w:t>EASTERLY, W. (2005). “National policies and economic growth”. In: Philippe, Aghion, Steven, Durlauf (Eds.), Handbook of Economic Growth. Elsevier.</w:t>
      </w:r>
    </w:p>
    <w:p w14:paraId="51ACB594" w14:textId="77777777" w:rsidR="00401A64" w:rsidRPr="00EE4F63" w:rsidRDefault="00401A64" w:rsidP="00401A64">
      <w:pPr>
        <w:widowControl w:val="0"/>
        <w:autoSpaceDE w:val="0"/>
        <w:ind w:left="426" w:hanging="426"/>
        <w:jc w:val="both"/>
        <w:rPr>
          <w:rFonts w:eastAsia="AdvEPSTIM"/>
          <w:lang w:val="en-US"/>
        </w:rPr>
      </w:pPr>
      <w:r w:rsidRPr="005B5F6D">
        <w:rPr>
          <w:rFonts w:eastAsia="AdvEPSTIM"/>
          <w:lang w:val="en-US"/>
        </w:rPr>
        <w:t>ENGEL, E</w:t>
      </w:r>
      <w:r>
        <w:rPr>
          <w:rFonts w:eastAsia="AdvEPSTIM"/>
          <w:lang w:val="en-US"/>
        </w:rPr>
        <w:t>.,</w:t>
      </w:r>
      <w:r w:rsidRPr="005B5F6D">
        <w:rPr>
          <w:rFonts w:eastAsia="AdvEPSTIM"/>
          <w:lang w:val="en-US"/>
        </w:rPr>
        <w:t xml:space="preserve"> GALETOVIC, A</w:t>
      </w:r>
      <w:r>
        <w:rPr>
          <w:rFonts w:eastAsia="AdvEPSTIM"/>
          <w:lang w:val="en-US"/>
        </w:rPr>
        <w:t>.,</w:t>
      </w:r>
      <w:r w:rsidRPr="005B5F6D">
        <w:rPr>
          <w:rFonts w:eastAsia="AdvEPSTIM"/>
          <w:lang w:val="en-US"/>
        </w:rPr>
        <w:t xml:space="preserve"> and RADDATZ, C. (1999). </w:t>
      </w:r>
      <w:r w:rsidRPr="00EE4F63">
        <w:rPr>
          <w:rFonts w:eastAsia="AdvEPSTIM"/>
          <w:lang w:val="en-US"/>
        </w:rPr>
        <w:t xml:space="preserve">“Taxes and income distribution in Chile: Some unpleasant redistributive arithmetic”. </w:t>
      </w:r>
      <w:r w:rsidRPr="00EE4F63">
        <w:rPr>
          <w:rFonts w:eastAsia="AdvEPSTIM-I"/>
          <w:i/>
          <w:iCs/>
          <w:lang w:val="en-US"/>
        </w:rPr>
        <w:t>Journal of Development Economics</w:t>
      </w:r>
      <w:r>
        <w:rPr>
          <w:rFonts w:eastAsia="AdvEPSTIM-I"/>
          <w:iCs/>
          <w:lang w:val="en-US"/>
        </w:rPr>
        <w:t xml:space="preserve">, </w:t>
      </w:r>
      <w:r w:rsidRPr="00EE4F63">
        <w:rPr>
          <w:rFonts w:eastAsia="AdvEPSTIM-I"/>
          <w:lang w:val="en-US"/>
        </w:rPr>
        <w:t>59</w:t>
      </w:r>
      <w:r>
        <w:rPr>
          <w:rFonts w:eastAsia="AdvEPSTIM-I"/>
          <w:lang w:val="en-US"/>
        </w:rPr>
        <w:t>(1)</w:t>
      </w:r>
      <w:r w:rsidRPr="00EE4F63">
        <w:rPr>
          <w:rFonts w:eastAsia="AdvEPSTIM"/>
          <w:lang w:val="en-US"/>
        </w:rPr>
        <w:t>, 155–192.</w:t>
      </w:r>
    </w:p>
    <w:p w14:paraId="69BEC335" w14:textId="77777777" w:rsidR="00401A64" w:rsidRPr="00DB3A34" w:rsidRDefault="00401A64" w:rsidP="00401A64">
      <w:pPr>
        <w:widowControl w:val="0"/>
        <w:ind w:left="426" w:hanging="426"/>
        <w:jc w:val="both"/>
        <w:rPr>
          <w:lang w:val="en-US"/>
        </w:rPr>
      </w:pPr>
      <w:r w:rsidRPr="00EE4F63">
        <w:rPr>
          <w:lang w:val="en-US"/>
        </w:rPr>
        <w:t>FANG, C</w:t>
      </w:r>
      <w:r>
        <w:rPr>
          <w:lang w:val="en-US"/>
        </w:rPr>
        <w:t>.,</w:t>
      </w:r>
      <w:r w:rsidRPr="00EE4F63">
        <w:rPr>
          <w:lang w:val="en-US"/>
        </w:rPr>
        <w:t xml:space="preserve"> HUANG, L</w:t>
      </w:r>
      <w:r>
        <w:rPr>
          <w:lang w:val="en-US"/>
        </w:rPr>
        <w:t>.,</w:t>
      </w:r>
      <w:r w:rsidRPr="00EE4F63">
        <w:rPr>
          <w:lang w:val="en-US"/>
        </w:rPr>
        <w:t xml:space="preserve"> </w:t>
      </w:r>
      <w:r>
        <w:rPr>
          <w:lang w:val="en-US"/>
        </w:rPr>
        <w:t xml:space="preserve">and </w:t>
      </w:r>
      <w:r w:rsidRPr="00EE4F63">
        <w:rPr>
          <w:lang w:val="en-US"/>
        </w:rPr>
        <w:t xml:space="preserve">WANG, M. (2008). “Technology spillover and wage inequality”. </w:t>
      </w:r>
      <w:r w:rsidRPr="00DB3A34">
        <w:rPr>
          <w:i/>
          <w:lang w:val="en-US"/>
        </w:rPr>
        <w:t>Economic Modelling</w:t>
      </w:r>
      <w:r w:rsidRPr="00DB3A34">
        <w:rPr>
          <w:lang w:val="en-US"/>
        </w:rPr>
        <w:t>, 25(1), 137-147.</w:t>
      </w:r>
    </w:p>
    <w:p w14:paraId="5653BD4A" w14:textId="77777777" w:rsidR="00401A64" w:rsidRPr="00E54E55" w:rsidRDefault="00401A64" w:rsidP="00401A64">
      <w:pPr>
        <w:widowControl w:val="0"/>
        <w:ind w:left="426" w:hanging="426"/>
        <w:jc w:val="both"/>
        <w:rPr>
          <w:lang w:val="en-US"/>
        </w:rPr>
      </w:pPr>
      <w:r w:rsidRPr="00E54E55">
        <w:rPr>
          <w:lang w:val="en-US"/>
        </w:rPr>
        <w:t xml:space="preserve">FELDSTEIN, M. (1974). “Social security, induced retirement, and aggregate capital accumulation.” </w:t>
      </w:r>
      <w:r w:rsidRPr="00E54E55">
        <w:rPr>
          <w:i/>
          <w:iCs/>
          <w:lang w:val="en-US"/>
        </w:rPr>
        <w:t>Journal of Political Economy</w:t>
      </w:r>
      <w:r w:rsidRPr="00E54E55">
        <w:rPr>
          <w:lang w:val="en-US"/>
        </w:rPr>
        <w:t>, 82 (5), 905-926.</w:t>
      </w:r>
    </w:p>
    <w:p w14:paraId="6591B571" w14:textId="77777777" w:rsidR="00401A64" w:rsidRPr="00DB3A34" w:rsidRDefault="00401A64" w:rsidP="00401A64">
      <w:pPr>
        <w:widowControl w:val="0"/>
        <w:ind w:left="426" w:hanging="426"/>
        <w:jc w:val="both"/>
        <w:rPr>
          <w:rFonts w:eastAsia="AdvGulliv-R"/>
          <w:lang w:val="en-US"/>
        </w:rPr>
      </w:pPr>
      <w:r>
        <w:rPr>
          <w:rFonts w:eastAsia="AdvGulliv-R"/>
          <w:lang w:val="en-US"/>
        </w:rPr>
        <w:t xml:space="preserve">FORTEZA, A. and </w:t>
      </w:r>
      <w:r w:rsidRPr="00EE4F63">
        <w:rPr>
          <w:rFonts w:eastAsia="AdvGulliv-R"/>
          <w:lang w:val="en-US"/>
        </w:rPr>
        <w:t>ROSSI, I. (2009) “The contribution of gov</w:t>
      </w:r>
      <w:r>
        <w:rPr>
          <w:rFonts w:eastAsia="AdvGulliv-R"/>
          <w:lang w:val="en-US"/>
        </w:rPr>
        <w:t>ernment transfer programs to ine</w:t>
      </w:r>
      <w:r w:rsidRPr="00EE4F63">
        <w:rPr>
          <w:rFonts w:eastAsia="AdvGulliv-R"/>
          <w:lang w:val="en-US"/>
        </w:rPr>
        <w:t>quality</w:t>
      </w:r>
      <w:r>
        <w:rPr>
          <w:rFonts w:eastAsia="AdvGulliv-R"/>
          <w:lang w:val="en-US"/>
        </w:rPr>
        <w:t>:</w:t>
      </w:r>
      <w:r w:rsidRPr="00EE4F63">
        <w:rPr>
          <w:rFonts w:eastAsia="AdvGulliv-R"/>
          <w:lang w:val="en-US"/>
        </w:rPr>
        <w:t xml:space="preserve"> A net-benefit approach”. </w:t>
      </w:r>
      <w:r w:rsidRPr="00EE4F63">
        <w:rPr>
          <w:rFonts w:eastAsia="AdvGulliv-R"/>
          <w:i/>
          <w:iCs/>
          <w:lang w:val="en-US"/>
        </w:rPr>
        <w:t>Journal of Applied Economics</w:t>
      </w:r>
      <w:r>
        <w:rPr>
          <w:rFonts w:eastAsia="AdvGulliv-R"/>
          <w:iCs/>
          <w:lang w:val="en-US"/>
        </w:rPr>
        <w:t xml:space="preserve">, </w:t>
      </w:r>
      <w:r w:rsidRPr="00EE4F63">
        <w:rPr>
          <w:rFonts w:eastAsia="AdvGulliv-R"/>
          <w:lang w:val="en-US"/>
        </w:rPr>
        <w:t>XII(1)</w:t>
      </w:r>
      <w:r>
        <w:rPr>
          <w:rFonts w:eastAsia="AdvGulliv-R"/>
          <w:lang w:val="en-US"/>
        </w:rPr>
        <w:t xml:space="preserve">, </w:t>
      </w:r>
      <w:r w:rsidRPr="00EE4F63">
        <w:rPr>
          <w:rFonts w:eastAsia="AdvGulliv-R"/>
          <w:lang w:val="en-US"/>
        </w:rPr>
        <w:t>55-67</w:t>
      </w:r>
      <w:r>
        <w:rPr>
          <w:rFonts w:eastAsia="AdvGulliv-R"/>
          <w:lang w:val="en-US"/>
        </w:rPr>
        <w:t>.</w:t>
      </w:r>
    </w:p>
    <w:p w14:paraId="21EAB008" w14:textId="77777777" w:rsidR="00401A64" w:rsidRPr="00EE4F63" w:rsidRDefault="00401A64" w:rsidP="00401A64">
      <w:pPr>
        <w:widowControl w:val="0"/>
        <w:ind w:left="426" w:hanging="426"/>
        <w:jc w:val="both"/>
        <w:rPr>
          <w:lang w:val="en-US"/>
        </w:rPr>
      </w:pPr>
      <w:r w:rsidRPr="00FD3967">
        <w:t>GALOR, O. a</w:t>
      </w:r>
      <w:r>
        <w:t>nd</w:t>
      </w:r>
      <w:r w:rsidRPr="00FD3967">
        <w:t xml:space="preserve"> ZEIRA, J. (1993). </w:t>
      </w:r>
      <w:r w:rsidRPr="00EE4F63">
        <w:rPr>
          <w:lang w:val="en-US"/>
        </w:rPr>
        <w:t xml:space="preserve">“Income distribution and macroeconomics”. </w:t>
      </w:r>
      <w:r w:rsidRPr="00FD3967">
        <w:rPr>
          <w:i/>
          <w:lang w:val="en-US"/>
        </w:rPr>
        <w:t>Review of Economic Studies</w:t>
      </w:r>
      <w:r>
        <w:rPr>
          <w:lang w:val="en-US"/>
        </w:rPr>
        <w:t xml:space="preserve">, </w:t>
      </w:r>
      <w:r w:rsidRPr="00EE4F63">
        <w:rPr>
          <w:lang w:val="en-US"/>
        </w:rPr>
        <w:t>60</w:t>
      </w:r>
      <w:r>
        <w:rPr>
          <w:lang w:val="en-US"/>
        </w:rPr>
        <w:t>(1)</w:t>
      </w:r>
      <w:r w:rsidRPr="00EE4F63">
        <w:rPr>
          <w:lang w:val="en-US"/>
        </w:rPr>
        <w:t>, 35–52.</w:t>
      </w:r>
    </w:p>
    <w:p w14:paraId="436FDFAC" w14:textId="77777777" w:rsidR="00401A64" w:rsidRDefault="00401A64" w:rsidP="00401A64">
      <w:pPr>
        <w:widowControl w:val="0"/>
        <w:ind w:left="426" w:hanging="426"/>
        <w:jc w:val="both"/>
        <w:rPr>
          <w:lang w:val="en-US"/>
        </w:rPr>
      </w:pPr>
      <w:r w:rsidRPr="00EE4F63">
        <w:rPr>
          <w:lang w:val="en-US"/>
        </w:rPr>
        <w:t xml:space="preserve">GASPARINI, L. (2003). </w:t>
      </w:r>
      <w:r>
        <w:rPr>
          <w:lang w:val="en-US"/>
        </w:rPr>
        <w:t>“</w:t>
      </w:r>
      <w:r w:rsidRPr="00EE4F63">
        <w:rPr>
          <w:lang w:val="en-US"/>
        </w:rPr>
        <w:t>Different lives: inequality in Latin America the Caribbean</w:t>
      </w:r>
      <w:r>
        <w:rPr>
          <w:lang w:val="en-US"/>
        </w:rPr>
        <w:t>.”</w:t>
      </w:r>
      <w:r w:rsidRPr="00EE4F63">
        <w:rPr>
          <w:lang w:val="en-US"/>
        </w:rPr>
        <w:t xml:space="preserve"> </w:t>
      </w:r>
      <w:r>
        <w:rPr>
          <w:lang w:val="en-US"/>
        </w:rPr>
        <w:t>(in) I</w:t>
      </w:r>
      <w:r w:rsidRPr="00EE4F63">
        <w:rPr>
          <w:lang w:val="en-US"/>
        </w:rPr>
        <w:t xml:space="preserve">nequality the </w:t>
      </w:r>
      <w:r>
        <w:rPr>
          <w:lang w:val="en-US"/>
        </w:rPr>
        <w:t>S</w:t>
      </w:r>
      <w:r w:rsidRPr="00EE4F63">
        <w:rPr>
          <w:lang w:val="en-US"/>
        </w:rPr>
        <w:t xml:space="preserve">tate in Latin America </w:t>
      </w:r>
      <w:r>
        <w:rPr>
          <w:lang w:val="en-US"/>
        </w:rPr>
        <w:t xml:space="preserve">and </w:t>
      </w:r>
      <w:r w:rsidRPr="00EE4F63">
        <w:rPr>
          <w:lang w:val="en-US"/>
        </w:rPr>
        <w:t>the Caribbean</w:t>
      </w:r>
      <w:r>
        <w:rPr>
          <w:lang w:val="en-US"/>
        </w:rPr>
        <w:t>,</w:t>
      </w:r>
      <w:r w:rsidRPr="00EE4F63">
        <w:rPr>
          <w:lang w:val="en-US"/>
        </w:rPr>
        <w:t xml:space="preserve"> World Bank LAC Flagship Report. Washington, D.C.: World Bank. </w:t>
      </w:r>
    </w:p>
    <w:p w14:paraId="35E4AF3D" w14:textId="77777777" w:rsidR="00401A64" w:rsidRPr="00EE4F63" w:rsidRDefault="00401A64" w:rsidP="00401A64">
      <w:pPr>
        <w:widowControl w:val="0"/>
        <w:autoSpaceDE w:val="0"/>
        <w:ind w:left="432" w:hanging="432"/>
        <w:jc w:val="both"/>
        <w:rPr>
          <w:rFonts w:eastAsia="AdvGulliv-R"/>
          <w:lang w:val="en-US"/>
        </w:rPr>
      </w:pPr>
      <w:r w:rsidRPr="00AE129C">
        <w:rPr>
          <w:rFonts w:eastAsia="AdvGulliv-R"/>
          <w:lang w:val="en-US"/>
        </w:rPr>
        <w:t>GOÑI, E., LÓPEZ, J., and SERVÉN, L. (2011)</w:t>
      </w:r>
      <w:r w:rsidRPr="00AE129C">
        <w:rPr>
          <w:rFonts w:eastAsia="AdvGulliv-R"/>
          <w:i/>
          <w:iCs/>
          <w:lang w:val="en-US"/>
        </w:rPr>
        <w:t xml:space="preserve">. </w:t>
      </w:r>
      <w:r w:rsidRPr="00EE4F63">
        <w:rPr>
          <w:rFonts w:eastAsia="AdvGulliv-R"/>
          <w:i/>
          <w:iCs/>
          <w:lang w:val="en-US"/>
        </w:rPr>
        <w:t>“</w:t>
      </w:r>
      <w:r w:rsidRPr="00EE4F63">
        <w:rPr>
          <w:rFonts w:eastAsia="AdvGulliv-R"/>
          <w:lang w:val="en-US"/>
        </w:rPr>
        <w:t xml:space="preserve">Fiscal </w:t>
      </w:r>
      <w:r>
        <w:rPr>
          <w:rFonts w:eastAsia="AdvGulliv-R"/>
          <w:lang w:val="en-US"/>
        </w:rPr>
        <w:t>r</w:t>
      </w:r>
      <w:r w:rsidRPr="00EE4F63">
        <w:rPr>
          <w:rFonts w:eastAsia="AdvGulliv-R"/>
          <w:lang w:val="en-US"/>
        </w:rPr>
        <w:t xml:space="preserve">edistribution and </w:t>
      </w:r>
      <w:r>
        <w:rPr>
          <w:rFonts w:eastAsia="AdvGulliv-R"/>
          <w:lang w:val="en-US"/>
        </w:rPr>
        <w:t>i</w:t>
      </w:r>
      <w:r w:rsidRPr="00EE4F63">
        <w:rPr>
          <w:rFonts w:eastAsia="AdvGulliv-R"/>
          <w:lang w:val="en-US"/>
        </w:rPr>
        <w:t xml:space="preserve">ncome </w:t>
      </w:r>
      <w:r>
        <w:rPr>
          <w:rFonts w:eastAsia="AdvGulliv-R"/>
          <w:lang w:val="en-US"/>
        </w:rPr>
        <w:t>i</w:t>
      </w:r>
      <w:r w:rsidRPr="00EE4F63">
        <w:rPr>
          <w:rFonts w:eastAsia="AdvGulliv-R"/>
          <w:lang w:val="en-US"/>
        </w:rPr>
        <w:t xml:space="preserve">nequality in Latin America”. </w:t>
      </w:r>
      <w:r w:rsidRPr="00EE4F63">
        <w:rPr>
          <w:rFonts w:eastAsia="AdvGulliv-R"/>
          <w:i/>
          <w:iCs/>
          <w:lang w:val="en-US"/>
        </w:rPr>
        <w:t>World Development</w:t>
      </w:r>
      <w:r>
        <w:rPr>
          <w:rFonts w:eastAsia="AdvGulliv-R"/>
          <w:iCs/>
          <w:lang w:val="en-US"/>
        </w:rPr>
        <w:t xml:space="preserve">, </w:t>
      </w:r>
      <w:r w:rsidRPr="00EE4F63">
        <w:rPr>
          <w:rFonts w:eastAsia="AdvGulliv-R"/>
          <w:lang w:val="en-US"/>
        </w:rPr>
        <w:t>39</w:t>
      </w:r>
      <w:r>
        <w:rPr>
          <w:rFonts w:eastAsia="AdvGulliv-R"/>
          <w:lang w:val="en-US"/>
        </w:rPr>
        <w:t>0</w:t>
      </w:r>
      <w:r w:rsidRPr="00EE4F63">
        <w:rPr>
          <w:rFonts w:eastAsia="AdvGulliv-R"/>
          <w:lang w:val="en-US"/>
        </w:rPr>
        <w:t>(9)</w:t>
      </w:r>
      <w:r>
        <w:rPr>
          <w:rFonts w:eastAsia="AdvGulliv-R"/>
          <w:lang w:val="en-US"/>
        </w:rPr>
        <w:t xml:space="preserve">, </w:t>
      </w:r>
      <w:r w:rsidRPr="00EE4F63">
        <w:rPr>
          <w:rFonts w:eastAsia="AdvGulliv-R"/>
          <w:lang w:val="en-US"/>
        </w:rPr>
        <w:t>1558-1569</w:t>
      </w:r>
      <w:r>
        <w:rPr>
          <w:rFonts w:eastAsia="AdvGulliv-R"/>
          <w:lang w:val="en-US"/>
        </w:rPr>
        <w:t>.</w:t>
      </w:r>
    </w:p>
    <w:p w14:paraId="21238443" w14:textId="77777777" w:rsidR="00401A64" w:rsidRPr="00EE4F63" w:rsidRDefault="00401A64" w:rsidP="00401A64">
      <w:pPr>
        <w:widowControl w:val="0"/>
        <w:ind w:left="432" w:hanging="432"/>
        <w:jc w:val="both"/>
        <w:rPr>
          <w:lang w:val="en-US"/>
        </w:rPr>
      </w:pPr>
      <w:r w:rsidRPr="00EE4F63">
        <w:rPr>
          <w:lang w:val="en-US"/>
        </w:rPr>
        <w:t>GREENWOOD, J.</w:t>
      </w:r>
      <w:r>
        <w:rPr>
          <w:lang w:val="en-US"/>
        </w:rPr>
        <w:t xml:space="preserve"> and</w:t>
      </w:r>
      <w:r w:rsidRPr="00EE4F63">
        <w:rPr>
          <w:lang w:val="en-US"/>
        </w:rPr>
        <w:t xml:space="preserve"> JOVANOVIC, B. (1990). “Financial </w:t>
      </w:r>
      <w:r>
        <w:rPr>
          <w:lang w:val="en-US"/>
        </w:rPr>
        <w:t>d</w:t>
      </w:r>
      <w:r w:rsidRPr="00EE4F63">
        <w:rPr>
          <w:lang w:val="en-US"/>
        </w:rPr>
        <w:t xml:space="preserve">evelopment, </w:t>
      </w:r>
      <w:r>
        <w:rPr>
          <w:lang w:val="en-US"/>
        </w:rPr>
        <w:t>g</w:t>
      </w:r>
      <w:r w:rsidRPr="00EE4F63">
        <w:rPr>
          <w:lang w:val="en-US"/>
        </w:rPr>
        <w:t>rowth and</w:t>
      </w:r>
      <w:r>
        <w:rPr>
          <w:lang w:val="en-US"/>
        </w:rPr>
        <w:t>,</w:t>
      </w:r>
      <w:r w:rsidRPr="00EE4F63">
        <w:rPr>
          <w:lang w:val="en-US"/>
        </w:rPr>
        <w:t xml:space="preserve"> the </w:t>
      </w:r>
      <w:r>
        <w:rPr>
          <w:lang w:val="en-US"/>
        </w:rPr>
        <w:t>distribution of i</w:t>
      </w:r>
      <w:r w:rsidRPr="00EE4F63">
        <w:rPr>
          <w:lang w:val="en-US"/>
        </w:rPr>
        <w:t xml:space="preserve">ncome”. </w:t>
      </w:r>
      <w:r w:rsidRPr="006F59AC">
        <w:rPr>
          <w:i/>
          <w:lang w:val="en-US"/>
        </w:rPr>
        <w:t>Journal of Political Economy</w:t>
      </w:r>
      <w:r w:rsidRPr="00EE4F63">
        <w:rPr>
          <w:lang w:val="en-US"/>
        </w:rPr>
        <w:t>, 98</w:t>
      </w:r>
      <w:r>
        <w:rPr>
          <w:lang w:val="en-US"/>
        </w:rPr>
        <w:t>(5),</w:t>
      </w:r>
      <w:r w:rsidRPr="00EE4F63">
        <w:rPr>
          <w:lang w:val="en-US"/>
        </w:rPr>
        <w:t xml:space="preserve"> 1076–1107.</w:t>
      </w:r>
    </w:p>
    <w:p w14:paraId="6A95D4A8" w14:textId="77777777" w:rsidR="00401A64" w:rsidRDefault="00401A64" w:rsidP="00401A64">
      <w:pPr>
        <w:widowControl w:val="0"/>
        <w:autoSpaceDE w:val="0"/>
        <w:ind w:left="426" w:hanging="426"/>
        <w:jc w:val="both"/>
        <w:rPr>
          <w:lang w:val="en-US"/>
        </w:rPr>
      </w:pPr>
      <w:r w:rsidRPr="00200EC2">
        <w:rPr>
          <w:lang w:val="en-US" w:eastAsia="pt-BR"/>
        </w:rPr>
        <w:t>GUPTA, S</w:t>
      </w:r>
      <w:r>
        <w:rPr>
          <w:lang w:val="en-US" w:eastAsia="pt-BR"/>
        </w:rPr>
        <w:t>.,</w:t>
      </w:r>
      <w:r w:rsidRPr="00200EC2">
        <w:rPr>
          <w:lang w:val="en-US" w:eastAsia="pt-BR"/>
        </w:rPr>
        <w:t xml:space="preserve"> DAVOODI, H</w:t>
      </w:r>
      <w:r>
        <w:rPr>
          <w:lang w:val="en-US" w:eastAsia="pt-BR"/>
        </w:rPr>
        <w:t>.,</w:t>
      </w:r>
      <w:r w:rsidRPr="00200EC2">
        <w:rPr>
          <w:lang w:val="en-US" w:eastAsia="pt-BR"/>
        </w:rPr>
        <w:t xml:space="preserve"> and ALONSO-TERME, R. (2002). “Does corruption affect income inequality and poverty?</w:t>
      </w:r>
      <w:r>
        <w:rPr>
          <w:lang w:val="en-US" w:eastAsia="pt-BR"/>
        </w:rPr>
        <w:t xml:space="preserve">”, </w:t>
      </w:r>
      <w:r w:rsidRPr="00200EC2">
        <w:rPr>
          <w:i/>
          <w:iCs/>
          <w:lang w:val="en-US" w:eastAsia="pt-BR"/>
        </w:rPr>
        <w:t>Economics of Governance</w:t>
      </w:r>
      <w:r w:rsidRPr="00200EC2">
        <w:rPr>
          <w:lang w:val="en-US" w:eastAsia="pt-BR"/>
        </w:rPr>
        <w:t xml:space="preserve">, </w:t>
      </w:r>
      <w:r w:rsidRPr="00200EC2">
        <w:rPr>
          <w:iCs/>
          <w:lang w:val="en-US" w:eastAsia="pt-BR"/>
        </w:rPr>
        <w:t>3(1)</w:t>
      </w:r>
      <w:r w:rsidRPr="00200EC2">
        <w:rPr>
          <w:lang w:val="en-US" w:eastAsia="pt-BR"/>
        </w:rPr>
        <w:t>, 23–45.</w:t>
      </w:r>
    </w:p>
    <w:p w14:paraId="110C1477" w14:textId="77777777" w:rsidR="00401A64" w:rsidRDefault="00401A64" w:rsidP="00401A64">
      <w:pPr>
        <w:widowControl w:val="0"/>
        <w:autoSpaceDE w:val="0"/>
        <w:ind w:left="426" w:hanging="426"/>
        <w:jc w:val="both"/>
        <w:rPr>
          <w:lang w:val="en-US"/>
        </w:rPr>
      </w:pPr>
      <w:r>
        <w:rPr>
          <w:lang w:val="en-US"/>
        </w:rPr>
        <w:t xml:space="preserve">KUMAR, A. (2005). “Access to financial services in Brazil”. (in) Directions in </w:t>
      </w:r>
      <w:r>
        <w:rPr>
          <w:lang w:val="en-US"/>
        </w:rPr>
        <w:lastRenderedPageBreak/>
        <w:t xml:space="preserve">development. </w:t>
      </w:r>
      <w:r w:rsidRPr="00EE4F63">
        <w:rPr>
          <w:lang w:val="en-US"/>
        </w:rPr>
        <w:t>Washington, D.C.: World Bank.</w:t>
      </w:r>
    </w:p>
    <w:p w14:paraId="1779CE22" w14:textId="77777777" w:rsidR="00401A64" w:rsidRPr="00EE4F63" w:rsidRDefault="00401A64" w:rsidP="00401A64">
      <w:pPr>
        <w:widowControl w:val="0"/>
        <w:autoSpaceDE w:val="0"/>
        <w:ind w:left="426" w:hanging="426"/>
        <w:jc w:val="both"/>
        <w:rPr>
          <w:lang w:val="en-US"/>
        </w:rPr>
      </w:pPr>
      <w:r w:rsidRPr="00EE4F63">
        <w:rPr>
          <w:lang w:val="en-US"/>
        </w:rPr>
        <w:t xml:space="preserve">LEMOS, S. (2009). “Minimum wage effects in a developing country”. </w:t>
      </w:r>
      <w:r w:rsidRPr="00EE4F63">
        <w:rPr>
          <w:i/>
          <w:lang w:val="en-US"/>
        </w:rPr>
        <w:t>Labour Economics</w:t>
      </w:r>
      <w:r>
        <w:rPr>
          <w:lang w:val="en-US"/>
        </w:rPr>
        <w:t xml:space="preserve">, </w:t>
      </w:r>
      <w:r w:rsidRPr="00EE4F63">
        <w:rPr>
          <w:lang w:val="en-US"/>
        </w:rPr>
        <w:t>16(2)</w:t>
      </w:r>
      <w:r>
        <w:rPr>
          <w:lang w:val="en-US"/>
        </w:rPr>
        <w:t>,</w:t>
      </w:r>
      <w:r w:rsidRPr="00EE4F63">
        <w:rPr>
          <w:lang w:val="en-US"/>
        </w:rPr>
        <w:t xml:space="preserve"> 224-237</w:t>
      </w:r>
      <w:r>
        <w:rPr>
          <w:lang w:val="en-US"/>
        </w:rPr>
        <w:t>.</w:t>
      </w:r>
    </w:p>
    <w:p w14:paraId="36E5AAF8" w14:textId="77777777" w:rsidR="00401A64" w:rsidRPr="00EE4F63" w:rsidRDefault="00401A64" w:rsidP="00401A64">
      <w:pPr>
        <w:widowControl w:val="0"/>
        <w:autoSpaceDE w:val="0"/>
        <w:ind w:left="426" w:hanging="426"/>
        <w:jc w:val="both"/>
        <w:rPr>
          <w:rFonts w:eastAsia="AdvGulliv-R"/>
          <w:lang w:val="en-US"/>
        </w:rPr>
      </w:pPr>
      <w:r>
        <w:rPr>
          <w:rFonts w:eastAsia="AdvGulliv-R"/>
          <w:lang w:val="en-US"/>
        </w:rPr>
        <w:t xml:space="preserve">LEVITT, S. and </w:t>
      </w:r>
      <w:r w:rsidRPr="00EE4F63">
        <w:rPr>
          <w:rFonts w:eastAsia="AdvGulliv-R"/>
          <w:lang w:val="en-US"/>
        </w:rPr>
        <w:t xml:space="preserve">POTERBA, J. (1999). “Congressional distributive politics and state economic performance”. </w:t>
      </w:r>
      <w:r>
        <w:rPr>
          <w:rFonts w:eastAsia="AdvGulliv-R"/>
          <w:i/>
          <w:iCs/>
          <w:lang w:val="en-US"/>
        </w:rPr>
        <w:t>Public Choice</w:t>
      </w:r>
      <w:r w:rsidRPr="00610036">
        <w:rPr>
          <w:rFonts w:eastAsia="AdvGulliv-R"/>
          <w:iCs/>
          <w:lang w:val="en-US"/>
        </w:rPr>
        <w:t>,</w:t>
      </w:r>
      <w:r w:rsidRPr="00EE4F63">
        <w:rPr>
          <w:rFonts w:eastAsia="AdvGulliv-R"/>
          <w:i/>
          <w:iCs/>
          <w:lang w:val="en-US"/>
        </w:rPr>
        <w:t xml:space="preserve"> </w:t>
      </w:r>
      <w:r w:rsidRPr="00EE4F63">
        <w:rPr>
          <w:rFonts w:eastAsia="AdvGulliv-R"/>
          <w:lang w:val="en-US"/>
        </w:rPr>
        <w:t>99</w:t>
      </w:r>
      <w:r>
        <w:rPr>
          <w:rFonts w:eastAsia="AdvGulliv-R"/>
          <w:lang w:val="en-US"/>
        </w:rPr>
        <w:t>(1-2)</w:t>
      </w:r>
      <w:r w:rsidRPr="00EE4F63">
        <w:rPr>
          <w:rFonts w:eastAsia="AdvGulliv-R"/>
          <w:lang w:val="en-US"/>
        </w:rPr>
        <w:t xml:space="preserve">, </w:t>
      </w:r>
      <w:r>
        <w:rPr>
          <w:rFonts w:eastAsia="AdvGulliv-R"/>
          <w:lang w:val="en-US"/>
        </w:rPr>
        <w:t>1</w:t>
      </w:r>
      <w:r w:rsidRPr="00EE4F63">
        <w:rPr>
          <w:rFonts w:eastAsia="AdvGulliv-R"/>
          <w:lang w:val="en-US"/>
        </w:rPr>
        <w:t>85-216.</w:t>
      </w:r>
    </w:p>
    <w:p w14:paraId="23DCC3E9" w14:textId="77777777" w:rsidR="00401A64" w:rsidRPr="00610036" w:rsidRDefault="00401A64" w:rsidP="00401A64">
      <w:pPr>
        <w:widowControl w:val="0"/>
        <w:ind w:left="426" w:hanging="426"/>
        <w:jc w:val="both"/>
        <w:rPr>
          <w:rFonts w:eastAsia="AdvGulliv-R"/>
          <w:lang w:val="en-US"/>
        </w:rPr>
      </w:pPr>
      <w:r w:rsidRPr="00EE4F63">
        <w:rPr>
          <w:rFonts w:eastAsia="AdvGulliv-R"/>
          <w:lang w:val="en-US"/>
        </w:rPr>
        <w:t>LIANG, Z</w:t>
      </w:r>
      <w:r>
        <w:rPr>
          <w:rFonts w:eastAsia="AdvGulliv-R"/>
          <w:lang w:val="en-US"/>
        </w:rPr>
        <w:t>.</w:t>
      </w:r>
      <w:r w:rsidRPr="00EE4F63">
        <w:rPr>
          <w:rFonts w:eastAsia="AdvGulliv-R"/>
          <w:lang w:val="en-US"/>
        </w:rPr>
        <w:t xml:space="preserve"> (2006). “Financial development and income distribution: a system GMM panel analysis with application to urban China”. </w:t>
      </w:r>
      <w:r w:rsidRPr="00610036">
        <w:rPr>
          <w:rFonts w:eastAsia="AdvGulliv-R"/>
          <w:i/>
          <w:iCs/>
          <w:lang w:val="en-US"/>
        </w:rPr>
        <w:t>Journal of Economic Development</w:t>
      </w:r>
      <w:r w:rsidRPr="00610036">
        <w:rPr>
          <w:rFonts w:eastAsia="AdvGulliv-R"/>
          <w:iCs/>
          <w:lang w:val="en-US"/>
        </w:rPr>
        <w:t>,</w:t>
      </w:r>
      <w:r w:rsidRPr="00610036">
        <w:rPr>
          <w:rFonts w:eastAsia="AdvGulliv-R"/>
          <w:lang w:val="en-US"/>
        </w:rPr>
        <w:t xml:space="preserve"> 31</w:t>
      </w:r>
      <w:r>
        <w:rPr>
          <w:rFonts w:eastAsia="AdvGulliv-R"/>
          <w:lang w:val="en-US"/>
        </w:rPr>
        <w:t>(2)</w:t>
      </w:r>
      <w:r w:rsidRPr="00610036">
        <w:rPr>
          <w:rFonts w:eastAsia="AdvGulliv-R"/>
          <w:lang w:val="en-US"/>
        </w:rPr>
        <w:t>, 1–21.</w:t>
      </w:r>
    </w:p>
    <w:p w14:paraId="675496FC" w14:textId="77777777" w:rsidR="00401A64" w:rsidRPr="00EE4F63" w:rsidRDefault="00401A64" w:rsidP="00401A64">
      <w:pPr>
        <w:widowControl w:val="0"/>
        <w:ind w:left="426" w:hanging="426"/>
        <w:jc w:val="both"/>
        <w:rPr>
          <w:lang w:val="en-US"/>
        </w:rPr>
      </w:pPr>
      <w:r w:rsidRPr="00EE4F63">
        <w:rPr>
          <w:lang w:val="en-US"/>
        </w:rPr>
        <w:t xml:space="preserve">MADSEN, J. (2007). “Technology spillover through trade and TFP convergence: 135 years of evidence for the OECD countries”. </w:t>
      </w:r>
      <w:r w:rsidRPr="00551EB1">
        <w:rPr>
          <w:i/>
          <w:lang w:val="en-US"/>
        </w:rPr>
        <w:t>Journal of International Economics</w:t>
      </w:r>
      <w:r>
        <w:rPr>
          <w:lang w:val="en-US"/>
        </w:rPr>
        <w:t>,</w:t>
      </w:r>
      <w:r w:rsidRPr="00EE4F63">
        <w:rPr>
          <w:lang w:val="en-US"/>
        </w:rPr>
        <w:t xml:space="preserve"> 72 (2), 464–480.</w:t>
      </w:r>
    </w:p>
    <w:p w14:paraId="33313D7B" w14:textId="77777777" w:rsidR="00401A64" w:rsidRPr="00AE129C" w:rsidRDefault="00401A64" w:rsidP="00401A64">
      <w:pPr>
        <w:widowControl w:val="0"/>
        <w:autoSpaceDE w:val="0"/>
        <w:ind w:left="426" w:hanging="426"/>
        <w:jc w:val="both"/>
        <w:rPr>
          <w:rFonts w:eastAsia="AdvGulliv-R"/>
          <w:lang w:val="en-US"/>
        </w:rPr>
      </w:pPr>
      <w:r w:rsidRPr="00401A64">
        <w:rPr>
          <w:rFonts w:eastAsia="AdvGulliv-R"/>
          <w:lang w:val="en-US"/>
        </w:rPr>
        <w:t xml:space="preserve">MARTÍNEZ, R., AYALA, L., and RUIZ-HUERTA (2001). </w:t>
      </w:r>
      <w:r w:rsidRPr="00AE129C">
        <w:rPr>
          <w:rFonts w:eastAsia="AdvGulliv-R"/>
          <w:lang w:val="en-US"/>
        </w:rPr>
        <w:t>“The impacto f unemployment on inequality and poverty in OECD countries”</w:t>
      </w:r>
      <w:r>
        <w:rPr>
          <w:rFonts w:eastAsia="AdvGulliv-R"/>
          <w:lang w:val="en-US"/>
        </w:rPr>
        <w:t xml:space="preserve">. </w:t>
      </w:r>
      <w:r>
        <w:rPr>
          <w:rFonts w:eastAsia="AdvGulliv-R"/>
          <w:i/>
          <w:lang w:val="en-US"/>
        </w:rPr>
        <w:t>Economics of Transition</w:t>
      </w:r>
      <w:r>
        <w:rPr>
          <w:rFonts w:eastAsia="AdvGulliv-R"/>
          <w:lang w:val="en-US"/>
        </w:rPr>
        <w:t>, 9(2), 417-447.</w:t>
      </w:r>
    </w:p>
    <w:p w14:paraId="03105BCC" w14:textId="77777777" w:rsidR="00401A64" w:rsidRDefault="00401A64" w:rsidP="00401A64">
      <w:pPr>
        <w:widowControl w:val="0"/>
        <w:suppressAutoHyphens w:val="0"/>
        <w:autoSpaceDE w:val="0"/>
        <w:autoSpaceDN w:val="0"/>
        <w:adjustRightInd w:val="0"/>
        <w:ind w:left="426" w:hanging="426"/>
        <w:jc w:val="both"/>
        <w:rPr>
          <w:rFonts w:eastAsia="AdvGulliv-R"/>
          <w:lang w:val="en-US"/>
        </w:rPr>
      </w:pPr>
      <w:r>
        <w:rPr>
          <w:rFonts w:eastAsia="AdvGulliv-R"/>
          <w:lang w:val="en-US"/>
        </w:rPr>
        <w:t>MAZZA, J. (2001). “</w:t>
      </w:r>
      <w:r w:rsidRPr="00205B74">
        <w:rPr>
          <w:lang w:val="en-US" w:eastAsia="pt-BR"/>
        </w:rPr>
        <w:t xml:space="preserve">Unemployment </w:t>
      </w:r>
      <w:r>
        <w:rPr>
          <w:lang w:val="en-US" w:eastAsia="pt-BR"/>
        </w:rPr>
        <w:t>i</w:t>
      </w:r>
      <w:r w:rsidRPr="00205B74">
        <w:rPr>
          <w:lang w:val="en-US" w:eastAsia="pt-BR"/>
        </w:rPr>
        <w:t xml:space="preserve">nsurance: </w:t>
      </w:r>
      <w:r>
        <w:rPr>
          <w:lang w:val="en-US" w:eastAsia="pt-BR"/>
        </w:rPr>
        <w:t>c</w:t>
      </w:r>
      <w:r w:rsidRPr="00205B74">
        <w:rPr>
          <w:lang w:val="en-US" w:eastAsia="pt-BR"/>
        </w:rPr>
        <w:t xml:space="preserve">ase </w:t>
      </w:r>
      <w:r>
        <w:rPr>
          <w:lang w:val="en-US" w:eastAsia="pt-BR"/>
        </w:rPr>
        <w:t>s</w:t>
      </w:r>
      <w:r w:rsidRPr="00205B74">
        <w:rPr>
          <w:lang w:val="en-US" w:eastAsia="pt-BR"/>
        </w:rPr>
        <w:t xml:space="preserve">tudies and </w:t>
      </w:r>
      <w:r>
        <w:rPr>
          <w:lang w:val="en-US" w:eastAsia="pt-BR"/>
        </w:rPr>
        <w:t>l</w:t>
      </w:r>
      <w:r w:rsidRPr="00205B74">
        <w:rPr>
          <w:lang w:val="en-US" w:eastAsia="pt-BR"/>
        </w:rPr>
        <w:t>essons for Latin</w:t>
      </w:r>
      <w:r>
        <w:rPr>
          <w:lang w:val="en-US" w:eastAsia="pt-BR"/>
        </w:rPr>
        <w:t xml:space="preserve"> </w:t>
      </w:r>
      <w:r w:rsidRPr="00205B74">
        <w:rPr>
          <w:lang w:val="en-US" w:eastAsia="pt-BR"/>
        </w:rPr>
        <w:t>America and the Caribbean.</w:t>
      </w:r>
      <w:r>
        <w:rPr>
          <w:rFonts w:eastAsia="AdvGulliv-R"/>
          <w:lang w:val="en-US"/>
        </w:rPr>
        <w:t>” Research Department Working Paper N. 411, Inter-American Development Bank.</w:t>
      </w:r>
    </w:p>
    <w:p w14:paraId="259E58DC" w14:textId="77777777" w:rsidR="00401A64" w:rsidRPr="00EE4F63" w:rsidRDefault="00401A64" w:rsidP="00401A64">
      <w:pPr>
        <w:widowControl w:val="0"/>
        <w:autoSpaceDE w:val="0"/>
        <w:ind w:left="426" w:hanging="426"/>
        <w:jc w:val="both"/>
        <w:rPr>
          <w:rFonts w:eastAsia="AdvGulliv-R"/>
          <w:lang w:val="en-US"/>
        </w:rPr>
      </w:pPr>
      <w:r w:rsidRPr="00FA410A">
        <w:rPr>
          <w:rFonts w:eastAsia="AdvGulliv-R"/>
          <w:lang w:val="en-US"/>
        </w:rPr>
        <w:t xml:space="preserve">MESCHI, E. and VIVARELLI, M. (2009). </w:t>
      </w:r>
      <w:r w:rsidRPr="00EE4F63">
        <w:rPr>
          <w:rFonts w:eastAsia="AdvGulliv-R"/>
          <w:lang w:val="en-US"/>
        </w:rPr>
        <w:t>“Trade and income in</w:t>
      </w:r>
      <w:r>
        <w:rPr>
          <w:rFonts w:eastAsia="AdvGulliv-R"/>
          <w:lang w:val="en-US"/>
        </w:rPr>
        <w:t>e</w:t>
      </w:r>
      <w:r w:rsidRPr="00EE4F63">
        <w:rPr>
          <w:rFonts w:eastAsia="AdvGulliv-R"/>
          <w:lang w:val="en-US"/>
        </w:rPr>
        <w:t>quality in developing cou</w:t>
      </w:r>
      <w:r>
        <w:rPr>
          <w:rFonts w:eastAsia="AdvGulliv-R"/>
          <w:lang w:val="en-US"/>
        </w:rPr>
        <w:t>n</w:t>
      </w:r>
      <w:r w:rsidRPr="00EE4F63">
        <w:rPr>
          <w:rFonts w:eastAsia="AdvGulliv-R"/>
          <w:lang w:val="en-US"/>
        </w:rPr>
        <w:t xml:space="preserve">tries.” </w:t>
      </w:r>
      <w:r w:rsidRPr="00EE4F63">
        <w:rPr>
          <w:rFonts w:eastAsia="AdvGulliv-R"/>
          <w:i/>
          <w:iCs/>
          <w:lang w:val="en-US"/>
        </w:rPr>
        <w:t>World Development</w:t>
      </w:r>
      <w:r>
        <w:rPr>
          <w:rFonts w:eastAsia="AdvGulliv-R"/>
          <w:iCs/>
          <w:lang w:val="en-US"/>
        </w:rPr>
        <w:t xml:space="preserve">, </w:t>
      </w:r>
      <w:r w:rsidRPr="00EE4F63">
        <w:rPr>
          <w:rFonts w:eastAsia="AdvGulliv-R"/>
          <w:lang w:val="en-US"/>
        </w:rPr>
        <w:t>37(2)</w:t>
      </w:r>
      <w:r>
        <w:rPr>
          <w:rFonts w:eastAsia="AdvGulliv-R"/>
          <w:lang w:val="en-US"/>
        </w:rPr>
        <w:t>,</w:t>
      </w:r>
      <w:r w:rsidRPr="00EE4F63">
        <w:rPr>
          <w:rFonts w:eastAsia="AdvGulliv-R"/>
          <w:lang w:val="en-US"/>
        </w:rPr>
        <w:t xml:space="preserve"> 287-302</w:t>
      </w:r>
      <w:r>
        <w:rPr>
          <w:rFonts w:eastAsia="AdvGulliv-R"/>
          <w:lang w:val="en-US"/>
        </w:rPr>
        <w:t>.</w:t>
      </w:r>
    </w:p>
    <w:p w14:paraId="46C3A8CB" w14:textId="77777777" w:rsidR="00401A64" w:rsidRPr="00EE4F63" w:rsidRDefault="00401A64" w:rsidP="00401A64">
      <w:pPr>
        <w:widowControl w:val="0"/>
        <w:ind w:left="426" w:hanging="426"/>
        <w:jc w:val="both"/>
        <w:rPr>
          <w:lang w:val="en-US"/>
        </w:rPr>
      </w:pPr>
      <w:r w:rsidRPr="00EE4F63">
        <w:rPr>
          <w:lang w:val="en-US"/>
        </w:rPr>
        <w:t>NISSANKE, M.</w:t>
      </w:r>
      <w:r>
        <w:rPr>
          <w:lang w:val="en-US"/>
        </w:rPr>
        <w:t xml:space="preserve"> and THORBECK, H.</w:t>
      </w:r>
      <w:r w:rsidRPr="00EE4F63">
        <w:rPr>
          <w:lang w:val="en-US"/>
        </w:rPr>
        <w:t xml:space="preserve"> (2006) “Channels and policy debate in the globalization-inequality-poverty nexus”. </w:t>
      </w:r>
      <w:r w:rsidRPr="00FA410A">
        <w:rPr>
          <w:i/>
          <w:lang w:val="en-US"/>
        </w:rPr>
        <w:t xml:space="preserve">World </w:t>
      </w:r>
      <w:r>
        <w:rPr>
          <w:i/>
          <w:lang w:val="en-US"/>
        </w:rPr>
        <w:t>D</w:t>
      </w:r>
      <w:r w:rsidRPr="00FA410A">
        <w:rPr>
          <w:i/>
          <w:lang w:val="en-US"/>
        </w:rPr>
        <w:t>evelopment</w:t>
      </w:r>
      <w:r>
        <w:rPr>
          <w:lang w:val="en-US"/>
        </w:rPr>
        <w:t xml:space="preserve">, </w:t>
      </w:r>
      <w:r w:rsidRPr="00EE4F63">
        <w:rPr>
          <w:lang w:val="en-US"/>
        </w:rPr>
        <w:t>34</w:t>
      </w:r>
      <w:r>
        <w:rPr>
          <w:lang w:val="en-US"/>
        </w:rPr>
        <w:t>(</w:t>
      </w:r>
      <w:r w:rsidRPr="00EE4F63">
        <w:rPr>
          <w:lang w:val="en-US"/>
        </w:rPr>
        <w:t>8</w:t>
      </w:r>
      <w:r>
        <w:rPr>
          <w:lang w:val="en-US"/>
        </w:rPr>
        <w:t>)</w:t>
      </w:r>
      <w:r w:rsidRPr="00EE4F63">
        <w:rPr>
          <w:lang w:val="en-US"/>
        </w:rPr>
        <w:t>, 1338-1360.</w:t>
      </w:r>
    </w:p>
    <w:p w14:paraId="5B2F5F6B" w14:textId="77777777" w:rsidR="00401A64" w:rsidRDefault="00401A64" w:rsidP="00401A64">
      <w:pPr>
        <w:widowControl w:val="0"/>
        <w:suppressAutoHyphens w:val="0"/>
        <w:autoSpaceDE w:val="0"/>
        <w:autoSpaceDN w:val="0"/>
        <w:adjustRightInd w:val="0"/>
        <w:ind w:left="426" w:hanging="426"/>
        <w:jc w:val="both"/>
        <w:rPr>
          <w:lang w:val="en-US"/>
        </w:rPr>
      </w:pPr>
      <w:r w:rsidRPr="00C54A1A">
        <w:rPr>
          <w:sz w:val="23"/>
          <w:szCs w:val="23"/>
          <w:lang w:val="en-US" w:eastAsia="pt-BR"/>
        </w:rPr>
        <w:t>P</w:t>
      </w:r>
      <w:r>
        <w:rPr>
          <w:sz w:val="23"/>
          <w:szCs w:val="23"/>
          <w:lang w:val="en-US" w:eastAsia="pt-BR"/>
        </w:rPr>
        <w:t>ERRY</w:t>
      </w:r>
      <w:r w:rsidRPr="00C54A1A">
        <w:rPr>
          <w:sz w:val="23"/>
          <w:szCs w:val="23"/>
          <w:lang w:val="en-US" w:eastAsia="pt-BR"/>
        </w:rPr>
        <w:t>, G</w:t>
      </w:r>
      <w:r>
        <w:rPr>
          <w:sz w:val="23"/>
          <w:szCs w:val="23"/>
          <w:lang w:val="en-US" w:eastAsia="pt-BR"/>
        </w:rPr>
        <w:t>.,</w:t>
      </w:r>
      <w:r w:rsidRPr="00C54A1A">
        <w:rPr>
          <w:sz w:val="23"/>
          <w:szCs w:val="23"/>
          <w:lang w:val="en-US" w:eastAsia="pt-BR"/>
        </w:rPr>
        <w:t xml:space="preserve"> A</w:t>
      </w:r>
      <w:r>
        <w:rPr>
          <w:sz w:val="23"/>
          <w:szCs w:val="23"/>
          <w:lang w:val="en-US" w:eastAsia="pt-BR"/>
        </w:rPr>
        <w:t>RIAS</w:t>
      </w:r>
      <w:r w:rsidRPr="00C54A1A">
        <w:rPr>
          <w:sz w:val="23"/>
          <w:szCs w:val="23"/>
          <w:lang w:val="en-US" w:eastAsia="pt-BR"/>
        </w:rPr>
        <w:t>, O</w:t>
      </w:r>
      <w:r>
        <w:rPr>
          <w:sz w:val="23"/>
          <w:szCs w:val="23"/>
          <w:lang w:val="en-US" w:eastAsia="pt-BR"/>
        </w:rPr>
        <w:t>.</w:t>
      </w:r>
      <w:r w:rsidRPr="00C54A1A">
        <w:rPr>
          <w:sz w:val="23"/>
          <w:szCs w:val="23"/>
          <w:lang w:val="en-US" w:eastAsia="pt-BR"/>
        </w:rPr>
        <w:t>S</w:t>
      </w:r>
      <w:r>
        <w:rPr>
          <w:sz w:val="23"/>
          <w:szCs w:val="23"/>
          <w:lang w:val="en-US" w:eastAsia="pt-BR"/>
        </w:rPr>
        <w:t xml:space="preserve">., </w:t>
      </w:r>
      <w:r w:rsidRPr="00C54A1A">
        <w:rPr>
          <w:sz w:val="23"/>
          <w:szCs w:val="23"/>
          <w:lang w:val="en-US" w:eastAsia="pt-BR"/>
        </w:rPr>
        <w:t>L</w:t>
      </w:r>
      <w:r>
        <w:rPr>
          <w:sz w:val="23"/>
          <w:szCs w:val="23"/>
          <w:lang w:val="en-US" w:eastAsia="pt-BR"/>
        </w:rPr>
        <w:t>ÓPEZ</w:t>
      </w:r>
      <w:r w:rsidRPr="00C54A1A">
        <w:rPr>
          <w:sz w:val="23"/>
          <w:szCs w:val="23"/>
          <w:lang w:val="en-US" w:eastAsia="pt-BR"/>
        </w:rPr>
        <w:t>, J.H</w:t>
      </w:r>
      <w:r>
        <w:rPr>
          <w:sz w:val="23"/>
          <w:szCs w:val="23"/>
          <w:lang w:val="en-US" w:eastAsia="pt-BR"/>
        </w:rPr>
        <w:t xml:space="preserve">., </w:t>
      </w:r>
      <w:r w:rsidRPr="00C54A1A">
        <w:rPr>
          <w:sz w:val="23"/>
          <w:szCs w:val="23"/>
          <w:lang w:val="en-US" w:eastAsia="pt-BR"/>
        </w:rPr>
        <w:t>M</w:t>
      </w:r>
      <w:r>
        <w:rPr>
          <w:sz w:val="23"/>
          <w:szCs w:val="23"/>
          <w:lang w:val="en-US" w:eastAsia="pt-BR"/>
        </w:rPr>
        <w:t>ALONEY</w:t>
      </w:r>
      <w:r w:rsidRPr="00C54A1A">
        <w:rPr>
          <w:sz w:val="23"/>
          <w:szCs w:val="23"/>
          <w:lang w:val="en-US" w:eastAsia="pt-BR"/>
        </w:rPr>
        <w:t>, W</w:t>
      </w:r>
      <w:r>
        <w:rPr>
          <w:sz w:val="23"/>
          <w:szCs w:val="23"/>
          <w:lang w:val="en-US" w:eastAsia="pt-BR"/>
        </w:rPr>
        <w:t>.</w:t>
      </w:r>
      <w:r w:rsidRPr="00C54A1A">
        <w:rPr>
          <w:sz w:val="23"/>
          <w:szCs w:val="23"/>
          <w:lang w:val="en-US" w:eastAsia="pt-BR"/>
        </w:rPr>
        <w:t>F</w:t>
      </w:r>
      <w:r>
        <w:rPr>
          <w:sz w:val="23"/>
          <w:szCs w:val="23"/>
          <w:lang w:val="en-US" w:eastAsia="pt-BR"/>
        </w:rPr>
        <w:t xml:space="preserve">., and </w:t>
      </w:r>
      <w:r w:rsidRPr="00C54A1A">
        <w:rPr>
          <w:sz w:val="23"/>
          <w:szCs w:val="23"/>
          <w:lang w:val="en-US" w:eastAsia="pt-BR"/>
        </w:rPr>
        <w:t>S</w:t>
      </w:r>
      <w:r>
        <w:rPr>
          <w:sz w:val="23"/>
          <w:szCs w:val="23"/>
          <w:lang w:val="en-US" w:eastAsia="pt-BR"/>
        </w:rPr>
        <w:t>ERVÉN</w:t>
      </w:r>
      <w:r w:rsidRPr="00C54A1A">
        <w:rPr>
          <w:sz w:val="23"/>
          <w:szCs w:val="23"/>
          <w:lang w:val="en-US" w:eastAsia="pt-BR"/>
        </w:rPr>
        <w:t>, L</w:t>
      </w:r>
      <w:r>
        <w:rPr>
          <w:sz w:val="23"/>
          <w:szCs w:val="23"/>
          <w:lang w:val="en-US" w:eastAsia="pt-BR"/>
        </w:rPr>
        <w:t xml:space="preserve">. </w:t>
      </w:r>
      <w:r w:rsidRPr="00C54A1A">
        <w:rPr>
          <w:sz w:val="23"/>
          <w:szCs w:val="23"/>
          <w:lang w:val="en-US" w:eastAsia="pt-BR"/>
        </w:rPr>
        <w:t>(2006)</w:t>
      </w:r>
      <w:r>
        <w:rPr>
          <w:sz w:val="23"/>
          <w:szCs w:val="23"/>
          <w:lang w:val="en-US" w:eastAsia="pt-BR"/>
        </w:rPr>
        <w:t xml:space="preserve"> “</w:t>
      </w:r>
      <w:r w:rsidRPr="00C54A1A">
        <w:rPr>
          <w:sz w:val="23"/>
          <w:szCs w:val="23"/>
          <w:lang w:val="en-US" w:eastAsia="pt-BR"/>
        </w:rPr>
        <w:t>Poverty</w:t>
      </w:r>
      <w:r>
        <w:rPr>
          <w:sz w:val="23"/>
          <w:szCs w:val="23"/>
          <w:lang w:val="en-US" w:eastAsia="pt-BR"/>
        </w:rPr>
        <w:t xml:space="preserve"> r</w:t>
      </w:r>
      <w:r w:rsidRPr="00C54A1A">
        <w:rPr>
          <w:sz w:val="23"/>
          <w:szCs w:val="23"/>
          <w:lang w:val="en-US" w:eastAsia="pt-BR"/>
        </w:rPr>
        <w:t xml:space="preserve">eduction and </w:t>
      </w:r>
      <w:r>
        <w:rPr>
          <w:sz w:val="23"/>
          <w:szCs w:val="23"/>
          <w:lang w:val="en-US" w:eastAsia="pt-BR"/>
        </w:rPr>
        <w:t>g</w:t>
      </w:r>
      <w:r w:rsidRPr="00C54A1A">
        <w:rPr>
          <w:sz w:val="23"/>
          <w:szCs w:val="23"/>
          <w:lang w:val="en-US" w:eastAsia="pt-BR"/>
        </w:rPr>
        <w:t xml:space="preserve">rowth: Virtuous and </w:t>
      </w:r>
      <w:r>
        <w:rPr>
          <w:sz w:val="23"/>
          <w:szCs w:val="23"/>
          <w:lang w:val="en-US" w:eastAsia="pt-BR"/>
        </w:rPr>
        <w:t>v</w:t>
      </w:r>
      <w:r w:rsidRPr="00C54A1A">
        <w:rPr>
          <w:sz w:val="23"/>
          <w:szCs w:val="23"/>
          <w:lang w:val="en-US" w:eastAsia="pt-BR"/>
        </w:rPr>
        <w:t xml:space="preserve">icious </w:t>
      </w:r>
      <w:r>
        <w:rPr>
          <w:sz w:val="23"/>
          <w:szCs w:val="23"/>
          <w:lang w:val="en-US" w:eastAsia="pt-BR"/>
        </w:rPr>
        <w:t>c</w:t>
      </w:r>
      <w:r w:rsidRPr="00C54A1A">
        <w:rPr>
          <w:sz w:val="23"/>
          <w:szCs w:val="23"/>
          <w:lang w:val="en-US" w:eastAsia="pt-BR"/>
        </w:rPr>
        <w:t>ircles. The World Bank,</w:t>
      </w:r>
      <w:r>
        <w:rPr>
          <w:sz w:val="23"/>
          <w:szCs w:val="23"/>
          <w:lang w:val="en-US" w:eastAsia="pt-BR"/>
        </w:rPr>
        <w:t xml:space="preserve"> </w:t>
      </w:r>
      <w:r w:rsidRPr="00C54A1A">
        <w:rPr>
          <w:sz w:val="23"/>
          <w:szCs w:val="23"/>
          <w:lang w:val="en-US" w:eastAsia="pt-BR"/>
        </w:rPr>
        <w:t>Washington D</w:t>
      </w:r>
      <w:r>
        <w:rPr>
          <w:sz w:val="23"/>
          <w:szCs w:val="23"/>
          <w:lang w:val="en-US" w:eastAsia="pt-BR"/>
        </w:rPr>
        <w:t>.</w:t>
      </w:r>
      <w:r w:rsidRPr="00C54A1A">
        <w:rPr>
          <w:sz w:val="23"/>
          <w:szCs w:val="23"/>
          <w:lang w:val="en-US" w:eastAsia="pt-BR"/>
        </w:rPr>
        <w:t>C.</w:t>
      </w:r>
    </w:p>
    <w:p w14:paraId="436C6662" w14:textId="77777777" w:rsidR="00401A64" w:rsidRPr="00EE4F63" w:rsidRDefault="00401A64" w:rsidP="00401A64">
      <w:pPr>
        <w:widowControl w:val="0"/>
        <w:ind w:left="426" w:hanging="426"/>
        <w:jc w:val="both"/>
        <w:rPr>
          <w:lang w:val="en-US"/>
        </w:rPr>
      </w:pPr>
      <w:r w:rsidRPr="00EE4F63">
        <w:rPr>
          <w:lang w:val="en-US"/>
        </w:rPr>
        <w:t xml:space="preserve">RODRIK, D. (1997). </w:t>
      </w:r>
      <w:r>
        <w:rPr>
          <w:lang w:val="en-US"/>
        </w:rPr>
        <w:t>“</w:t>
      </w:r>
      <w:r w:rsidRPr="00EE4F63">
        <w:rPr>
          <w:lang w:val="en-US"/>
        </w:rPr>
        <w:t xml:space="preserve">Has </w:t>
      </w:r>
      <w:r>
        <w:rPr>
          <w:lang w:val="en-US"/>
        </w:rPr>
        <w:t>g</w:t>
      </w:r>
      <w:r w:rsidRPr="00EE4F63">
        <w:rPr>
          <w:lang w:val="en-US"/>
        </w:rPr>
        <w:t xml:space="preserve">lobalization </w:t>
      </w:r>
      <w:r>
        <w:rPr>
          <w:lang w:val="en-US"/>
        </w:rPr>
        <w:t>g</w:t>
      </w:r>
      <w:r w:rsidRPr="00EE4F63">
        <w:rPr>
          <w:lang w:val="en-US"/>
        </w:rPr>
        <w:t xml:space="preserve">one </w:t>
      </w:r>
      <w:r>
        <w:rPr>
          <w:lang w:val="en-US"/>
        </w:rPr>
        <w:t>t</w:t>
      </w:r>
      <w:r w:rsidRPr="00EE4F63">
        <w:rPr>
          <w:lang w:val="en-US"/>
        </w:rPr>
        <w:t xml:space="preserve">oo </w:t>
      </w:r>
      <w:r>
        <w:rPr>
          <w:lang w:val="en-US"/>
        </w:rPr>
        <w:t>f</w:t>
      </w:r>
      <w:r w:rsidRPr="00EE4F63">
        <w:rPr>
          <w:lang w:val="en-US"/>
        </w:rPr>
        <w:t>ar?</w:t>
      </w:r>
      <w:r>
        <w:rPr>
          <w:lang w:val="en-US"/>
        </w:rPr>
        <w:t>”</w:t>
      </w:r>
      <w:r w:rsidRPr="00EE4F63">
        <w:rPr>
          <w:lang w:val="en-US"/>
        </w:rPr>
        <w:t xml:space="preserve"> Institute for International Economics, Washington DC.</w:t>
      </w:r>
    </w:p>
    <w:p w14:paraId="30A0A7A0" w14:textId="77777777" w:rsidR="00401A64" w:rsidRDefault="00401A64" w:rsidP="00401A64">
      <w:pPr>
        <w:widowControl w:val="0"/>
        <w:ind w:left="426" w:hanging="426"/>
        <w:jc w:val="both"/>
        <w:rPr>
          <w:rFonts w:eastAsia="AdvGulliv-R"/>
        </w:rPr>
      </w:pPr>
      <w:r w:rsidRPr="00EE4F63">
        <w:rPr>
          <w:rFonts w:eastAsia="AdvGulliv-R"/>
          <w:lang w:val="en-US"/>
        </w:rPr>
        <w:t>RUPASINGHA, A.</w:t>
      </w:r>
      <w:r>
        <w:rPr>
          <w:rFonts w:eastAsia="AdvGulliv-R"/>
          <w:lang w:val="en-US"/>
        </w:rPr>
        <w:t xml:space="preserve"> and GOETZ, S.</w:t>
      </w:r>
      <w:r w:rsidRPr="00EE4F63">
        <w:rPr>
          <w:rFonts w:eastAsia="AdvGulliv-R"/>
          <w:lang w:val="en-US"/>
        </w:rPr>
        <w:t xml:space="preserve"> (2007). “Social and political forces as determinants of poverty: A spatial analysis”. </w:t>
      </w:r>
      <w:r w:rsidRPr="00EE4F63">
        <w:rPr>
          <w:rFonts w:eastAsia="AdvGulliv-R"/>
          <w:i/>
          <w:iCs/>
        </w:rPr>
        <w:t>Journal of Socio-Economics</w:t>
      </w:r>
      <w:r>
        <w:rPr>
          <w:rFonts w:eastAsia="AdvGulliv-R"/>
          <w:iCs/>
        </w:rPr>
        <w:t xml:space="preserve">, </w:t>
      </w:r>
      <w:r w:rsidRPr="00EE4F63">
        <w:rPr>
          <w:rFonts w:eastAsia="AdvGulliv-R"/>
        </w:rPr>
        <w:t>36</w:t>
      </w:r>
      <w:r>
        <w:rPr>
          <w:rFonts w:eastAsia="AdvGulliv-R"/>
        </w:rPr>
        <w:t>(4)</w:t>
      </w:r>
      <w:r w:rsidRPr="00EE4F63">
        <w:rPr>
          <w:rFonts w:eastAsia="AdvGulliv-R"/>
        </w:rPr>
        <w:t>, 650-671.</w:t>
      </w:r>
    </w:p>
    <w:p w14:paraId="1E4B7FCA" w14:textId="77777777" w:rsidR="00401A64" w:rsidRDefault="00401A64" w:rsidP="00401A64">
      <w:pPr>
        <w:pStyle w:val="Corpodetexto"/>
        <w:spacing w:after="0"/>
        <w:ind w:left="425" w:hanging="425"/>
      </w:pPr>
      <w:r w:rsidRPr="00F8458A">
        <w:t>S</w:t>
      </w:r>
      <w:r>
        <w:t>TAIGER</w:t>
      </w:r>
      <w:r w:rsidRPr="00F8458A">
        <w:t>, D.</w:t>
      </w:r>
      <w:r>
        <w:t xml:space="preserve"> and</w:t>
      </w:r>
      <w:r w:rsidRPr="00F8458A">
        <w:t xml:space="preserve"> S</w:t>
      </w:r>
      <w:r>
        <w:t>TOCK</w:t>
      </w:r>
      <w:r w:rsidRPr="00F8458A">
        <w:t>, J.</w:t>
      </w:r>
      <w:r>
        <w:t xml:space="preserve"> </w:t>
      </w:r>
      <w:r w:rsidRPr="00F8458A">
        <w:t xml:space="preserve">H. </w:t>
      </w:r>
      <w:r>
        <w:t>(</w:t>
      </w:r>
      <w:r w:rsidRPr="00F8458A">
        <w:t>1997</w:t>
      </w:r>
      <w:r>
        <w:t>)</w:t>
      </w:r>
      <w:r w:rsidRPr="00F8458A">
        <w:t xml:space="preserve">. </w:t>
      </w:r>
      <w:r>
        <w:t>“</w:t>
      </w:r>
      <w:r w:rsidRPr="00F8458A">
        <w:t>Instrumental variables regression with weak instruments</w:t>
      </w:r>
      <w:r>
        <w:t>.”</w:t>
      </w:r>
      <w:r w:rsidRPr="00F8458A">
        <w:t xml:space="preserve"> </w:t>
      </w:r>
      <w:r w:rsidRPr="00F8458A">
        <w:rPr>
          <w:i/>
        </w:rPr>
        <w:t>Econometrica</w:t>
      </w:r>
      <w:r>
        <w:t xml:space="preserve">, </w:t>
      </w:r>
      <w:r w:rsidRPr="00F8458A">
        <w:t>65</w:t>
      </w:r>
      <w:r>
        <w:t>(3)</w:t>
      </w:r>
      <w:r w:rsidRPr="00F8458A">
        <w:t>, 557</w:t>
      </w:r>
      <w:r>
        <w:t>-</w:t>
      </w:r>
      <w:r w:rsidRPr="00F8458A">
        <w:t>586.</w:t>
      </w:r>
    </w:p>
    <w:p w14:paraId="517239FB" w14:textId="77777777" w:rsidR="00401A64" w:rsidRDefault="00401A64" w:rsidP="00401A64">
      <w:pPr>
        <w:widowControl w:val="0"/>
        <w:ind w:left="425" w:hanging="425"/>
        <w:jc w:val="both"/>
        <w:rPr>
          <w:lang w:val="en-US"/>
        </w:rPr>
      </w:pPr>
      <w:r w:rsidRPr="00EE4F63">
        <w:rPr>
          <w:lang w:val="en-US"/>
        </w:rPr>
        <w:t>WOODRIDGE, J.</w:t>
      </w:r>
      <w:r>
        <w:rPr>
          <w:lang w:val="en-US"/>
        </w:rPr>
        <w:t xml:space="preserve"> </w:t>
      </w:r>
      <w:r w:rsidRPr="00EE4F63">
        <w:rPr>
          <w:lang w:val="en-US"/>
        </w:rPr>
        <w:t xml:space="preserve">(2001). “Econometric </w:t>
      </w:r>
      <w:r>
        <w:rPr>
          <w:lang w:val="en-US"/>
        </w:rPr>
        <w:t>a</w:t>
      </w:r>
      <w:r w:rsidRPr="00EE4F63">
        <w:rPr>
          <w:lang w:val="en-US"/>
        </w:rPr>
        <w:t xml:space="preserve">nalysis of </w:t>
      </w:r>
      <w:r>
        <w:rPr>
          <w:lang w:val="en-US"/>
        </w:rPr>
        <w:t>c</w:t>
      </w:r>
      <w:r w:rsidRPr="00EE4F63">
        <w:rPr>
          <w:lang w:val="en-US"/>
        </w:rPr>
        <w:t xml:space="preserve">ross </w:t>
      </w:r>
      <w:r>
        <w:rPr>
          <w:lang w:val="en-US"/>
        </w:rPr>
        <w:t>s</w:t>
      </w:r>
      <w:r w:rsidRPr="00EE4F63">
        <w:rPr>
          <w:lang w:val="en-US"/>
        </w:rPr>
        <w:t xml:space="preserve">ection and </w:t>
      </w:r>
      <w:r>
        <w:rPr>
          <w:lang w:val="en-US"/>
        </w:rPr>
        <w:t>p</w:t>
      </w:r>
      <w:r w:rsidRPr="00EE4F63">
        <w:rPr>
          <w:lang w:val="en-US"/>
        </w:rPr>
        <w:t xml:space="preserve">anel </w:t>
      </w:r>
      <w:r>
        <w:rPr>
          <w:lang w:val="en-US"/>
        </w:rPr>
        <w:t>d</w:t>
      </w:r>
      <w:r w:rsidRPr="00EE4F63">
        <w:rPr>
          <w:lang w:val="en-US"/>
        </w:rPr>
        <w:t>ata”. The MIT Press</w:t>
      </w:r>
      <w:r>
        <w:rPr>
          <w:lang w:val="en-US"/>
        </w:rPr>
        <w:t>.</w:t>
      </w:r>
    </w:p>
    <w:p w14:paraId="2627249B" w14:textId="77777777" w:rsidR="00401A64" w:rsidRDefault="00401A64" w:rsidP="00401A64">
      <w:pPr>
        <w:widowControl w:val="0"/>
        <w:ind w:left="425" w:hanging="425"/>
        <w:jc w:val="both"/>
        <w:rPr>
          <w:lang w:val="en-US"/>
        </w:rPr>
      </w:pPr>
    </w:p>
    <w:p w14:paraId="7EE6ED7B" w14:textId="77777777" w:rsidR="002722D8" w:rsidRDefault="00B744BC"/>
    <w:sectPr w:rsidR="002722D8" w:rsidSect="000869A7">
      <w:footerReference w:type="default" r:id="rId38"/>
      <w:pgSz w:w="11905" w:h="16837"/>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53AB8" w14:textId="77777777" w:rsidR="00B744BC" w:rsidRDefault="00B744BC" w:rsidP="00401A64">
      <w:r>
        <w:separator/>
      </w:r>
    </w:p>
  </w:endnote>
  <w:endnote w:type="continuationSeparator" w:id="0">
    <w:p w14:paraId="67959849" w14:textId="77777777" w:rsidR="00B744BC" w:rsidRDefault="00B744BC" w:rsidP="00401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imbus Sans L">
    <w:altName w:val="Arial Unicode MS"/>
    <w:charset w:val="80"/>
    <w:family w:val="swiss"/>
    <w:pitch w:val="variable"/>
  </w:font>
  <w:font w:name="DejaVu Sans">
    <w:charset w:val="00"/>
    <w:family w:val="swiss"/>
    <w:pitch w:val="variable"/>
    <w:sig w:usb0="E7002EFF" w:usb1="D200FDFF" w:usb2="0A246029" w:usb3="00000000" w:csb0="000001FF" w:csb1="00000000"/>
  </w:font>
  <w:font w:name="TimesNewRomanPSMT">
    <w:altName w:val="Times New Roman"/>
    <w:charset w:val="00"/>
    <w:family w:val="roman"/>
    <w:pitch w:val="default"/>
  </w:font>
  <w:font w:name="Palatino-Roman">
    <w:altName w:val="Palatino Linotype"/>
    <w:panose1 w:val="00000000000000000000"/>
    <w:charset w:val="00"/>
    <w:family w:val="auto"/>
    <w:notTrueType/>
    <w:pitch w:val="default"/>
    <w:sig w:usb0="00000003" w:usb1="00000000" w:usb2="00000000" w:usb3="00000000" w:csb0="00000001" w:csb1="00000000"/>
  </w:font>
  <w:font w:name="ElegantGaramondBT-Roman">
    <w:altName w:val="Times New Roman"/>
    <w:charset w:val="00"/>
    <w:family w:val="roman"/>
    <w:pitch w:val="default"/>
  </w:font>
  <w:font w:name="Times-Roman">
    <w:altName w:val="Times New Roman"/>
    <w:charset w:val="00"/>
    <w:family w:val="roman"/>
    <w:pitch w:val="default"/>
  </w:font>
  <w:font w:name="AdvGulliv-R">
    <w:altName w:val="Times New Roman"/>
    <w:charset w:val="00"/>
    <w:family w:val="auto"/>
    <w:pitch w:val="default"/>
  </w:font>
  <w:font w:name="AdvEPSTIM">
    <w:altName w:val="Times New Roman"/>
    <w:charset w:val="00"/>
    <w:family w:val="auto"/>
    <w:pitch w:val="default"/>
  </w:font>
  <w:font w:name="AdvEPSTIM-I">
    <w:altName w:val="MS Mincho"/>
    <w:charset w:val="8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2E58A" w14:textId="77777777" w:rsidR="000869A7" w:rsidRDefault="00B744BC">
    <w:pPr>
      <w:pStyle w:val="Rodap"/>
      <w:jc w:val="center"/>
    </w:pPr>
    <w:r>
      <w:fldChar w:fldCharType="begin"/>
    </w:r>
    <w:r>
      <w:instrText>PAGE   \* MERGEFORMAT</w:instrText>
    </w:r>
    <w:r>
      <w:fldChar w:fldCharType="separate"/>
    </w:r>
    <w:r w:rsidRPr="0029508E">
      <w:rPr>
        <w:noProof/>
        <w:lang w:val="pt-BR"/>
      </w:rPr>
      <w:t>1</w:t>
    </w:r>
    <w:r>
      <w:fldChar w:fldCharType="end"/>
    </w:r>
  </w:p>
  <w:p w14:paraId="03ACC484" w14:textId="77777777" w:rsidR="000869A7" w:rsidRDefault="00B744B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934E7" w14:textId="77777777" w:rsidR="00B744BC" w:rsidRDefault="00B744BC" w:rsidP="00401A64">
      <w:r>
        <w:separator/>
      </w:r>
    </w:p>
  </w:footnote>
  <w:footnote w:type="continuationSeparator" w:id="0">
    <w:p w14:paraId="2D2997D2" w14:textId="77777777" w:rsidR="00B744BC" w:rsidRDefault="00B744BC" w:rsidP="00401A64">
      <w:r>
        <w:continuationSeparator/>
      </w:r>
    </w:p>
  </w:footnote>
  <w:footnote w:id="1">
    <w:p w14:paraId="46B420A8" w14:textId="77777777" w:rsidR="00401A64" w:rsidRPr="001A0E02" w:rsidRDefault="00401A64" w:rsidP="00401A64">
      <w:pPr>
        <w:pStyle w:val="Textodenotaderodap"/>
        <w:ind w:left="0" w:firstLine="0"/>
        <w:jc w:val="both"/>
      </w:pPr>
      <w:r>
        <w:rPr>
          <w:rStyle w:val="Refdenotaderodap"/>
        </w:rPr>
        <w:footnoteRef/>
      </w:r>
      <w:r>
        <w:t xml:space="preserve"> </w:t>
      </w:r>
      <w:r w:rsidRPr="001A0E02">
        <w:t xml:space="preserve">For an empirical analysis contrary to the argument that trade openness </w:t>
      </w:r>
      <w:r>
        <w:t>reduces income inequality, see Meschi and Vivarelli (2009).</w:t>
      </w:r>
      <w:r w:rsidRPr="001A0E02">
        <w:t xml:space="preserve"> </w:t>
      </w:r>
    </w:p>
  </w:footnote>
  <w:footnote w:id="2">
    <w:p w14:paraId="0755986A" w14:textId="77777777" w:rsidR="00401A64" w:rsidRPr="00EE4F63" w:rsidRDefault="00401A64" w:rsidP="00401A64">
      <w:pPr>
        <w:pStyle w:val="Textodenotaderodap"/>
      </w:pPr>
      <w:r w:rsidRPr="00EE4F63">
        <w:rPr>
          <w:rStyle w:val="Refdenotaderodap"/>
        </w:rPr>
        <w:footnoteRef/>
      </w:r>
      <w:r w:rsidRPr="00EE4F63">
        <w:t xml:space="preserve"> The period under analysis ends in 2008 due to the lack of data after this period.</w:t>
      </w:r>
    </w:p>
  </w:footnote>
  <w:footnote w:id="3">
    <w:p w14:paraId="79C4C3A4" w14:textId="77777777" w:rsidR="00401A64" w:rsidRPr="00EE4F63" w:rsidRDefault="00401A64" w:rsidP="00401A64">
      <w:pPr>
        <w:pStyle w:val="Textodenotaderodap"/>
        <w:ind w:left="0" w:firstLine="0"/>
        <w:jc w:val="both"/>
      </w:pPr>
      <w:r w:rsidRPr="00EE4F63">
        <w:rPr>
          <w:rStyle w:val="Refdenotaderodap"/>
        </w:rPr>
        <w:footnoteRef/>
      </w:r>
      <w:r w:rsidRPr="00EE4F63">
        <w:t xml:space="preserve"> In 2007 and 2008 the total patents coming from abroad was excluded from th</w:t>
      </w:r>
      <w:r>
        <w:t>ose</w:t>
      </w:r>
      <w:r w:rsidRPr="00EE4F63">
        <w:t xml:space="preserve"> attributed to Rio de Janeiro.</w:t>
      </w:r>
    </w:p>
  </w:footnote>
  <w:footnote w:id="4">
    <w:p w14:paraId="0C926012" w14:textId="77777777" w:rsidR="00401A64" w:rsidRPr="00F84F63" w:rsidRDefault="00401A64" w:rsidP="00401A64">
      <w:pPr>
        <w:pStyle w:val="Textodenotaderodap"/>
        <w:ind w:left="0" w:firstLine="0"/>
      </w:pPr>
      <w:r>
        <w:rPr>
          <w:rStyle w:val="Refdenotaderodap"/>
        </w:rPr>
        <w:footnoteRef/>
      </w:r>
      <w:r w:rsidRPr="00F84F63">
        <w:t xml:space="preserve"> </w:t>
      </w:r>
      <w:r>
        <w:rPr>
          <w:lang w:eastAsia="pt-BR"/>
        </w:rPr>
        <w:t>According to Kumar (2005) 97% of all clients in Brazil hold their money in the form of special savings deposits.</w:t>
      </w:r>
    </w:p>
  </w:footnote>
  <w:footnote w:id="5">
    <w:p w14:paraId="667C3ED2" w14:textId="77777777" w:rsidR="00401A64" w:rsidRPr="00ED233F" w:rsidRDefault="00401A64" w:rsidP="00401A64">
      <w:pPr>
        <w:pStyle w:val="Textodenotaderodap"/>
        <w:ind w:left="0" w:firstLine="0"/>
        <w:jc w:val="both"/>
      </w:pPr>
      <w:r>
        <w:rPr>
          <w:rStyle w:val="Refdenotaderodap"/>
        </w:rPr>
        <w:footnoteRef/>
      </w:r>
      <w:r w:rsidRPr="00ED233F">
        <w:t xml:space="preserve"> According to Ministry</w:t>
      </w:r>
      <w:r>
        <w:t xml:space="preserve"> of Labour and Employment</w:t>
      </w:r>
      <w:r w:rsidRPr="00ED233F">
        <w:t xml:space="preserve"> these categories </w:t>
      </w:r>
      <w:r>
        <w:t>impact directly over 8.4% of the population in 2003.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090E"/>
    <w:multiLevelType w:val="hybridMultilevel"/>
    <w:tmpl w:val="9F225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F1D65"/>
    <w:multiLevelType w:val="hybridMultilevel"/>
    <w:tmpl w:val="9F225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774EB"/>
    <w:multiLevelType w:val="hybridMultilevel"/>
    <w:tmpl w:val="4CD6290E"/>
    <w:lvl w:ilvl="0" w:tplc="04090015">
      <w:start w:val="1"/>
      <w:numFmt w:val="upperLetter"/>
      <w:lvlText w:val="%1."/>
      <w:lvlJc w:val="left"/>
      <w:pPr>
        <w:ind w:left="360" w:hanging="360"/>
      </w:pPr>
      <w:rPr>
        <w:rFonts w:hint="default"/>
      </w:rPr>
    </w:lvl>
    <w:lvl w:ilvl="1" w:tplc="04090019">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3A"/>
    <w:rsid w:val="0006797E"/>
    <w:rsid w:val="0030103A"/>
    <w:rsid w:val="003039F9"/>
    <w:rsid w:val="00401A64"/>
    <w:rsid w:val="005C7720"/>
    <w:rsid w:val="007C05B7"/>
    <w:rsid w:val="00B7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27A01-C97F-40B0-8275-A7706E81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A64"/>
    <w:pPr>
      <w:suppressAutoHyphens/>
      <w:spacing w:after="0" w:line="240" w:lineRule="auto"/>
      <w:jc w:val="left"/>
    </w:pPr>
    <w:rPr>
      <w:rFonts w:ascii="Times New Roman" w:eastAsia="Times New Roman" w:hAnsi="Times New Roman" w:cs="Times New Roman"/>
      <w:lang w:val="pt-BR" w:eastAsia="ar-SA"/>
    </w:rPr>
  </w:style>
  <w:style w:type="paragraph" w:styleId="Ttulo1">
    <w:name w:val="heading 1"/>
    <w:basedOn w:val="Normal"/>
    <w:next w:val="Normal"/>
    <w:link w:val="Ttulo1Char"/>
    <w:uiPriority w:val="9"/>
    <w:qFormat/>
    <w:rsid w:val="00401A64"/>
    <w:pPr>
      <w:keepNext/>
      <w:spacing w:before="240" w:after="60"/>
      <w:outlineLvl w:val="0"/>
    </w:pPr>
    <w:rPr>
      <w:rFonts w:ascii="Cambria" w:hAnsi="Cambria"/>
      <w:b/>
      <w:bCs/>
      <w:kern w:val="32"/>
      <w:sz w:val="32"/>
      <w:szCs w:val="32"/>
      <w:lang w:val="x-none"/>
    </w:rPr>
  </w:style>
  <w:style w:type="paragraph" w:styleId="Ttulo2">
    <w:name w:val="heading 2"/>
    <w:basedOn w:val="Normal"/>
    <w:next w:val="Normal"/>
    <w:link w:val="Ttulo2Char"/>
    <w:uiPriority w:val="99"/>
    <w:qFormat/>
    <w:rsid w:val="00401A64"/>
    <w:pPr>
      <w:keepNext/>
      <w:suppressAutoHyphens w:val="0"/>
      <w:ind w:left="2880" w:right="57" w:firstLine="720"/>
      <w:jc w:val="both"/>
      <w:outlineLvl w:val="1"/>
    </w:pPr>
    <w:rPr>
      <w:b/>
      <w:bCs/>
      <w:lang w:val="en-US" w:eastAsia="x-none"/>
    </w:rPr>
  </w:style>
  <w:style w:type="paragraph" w:styleId="Ttulo3">
    <w:name w:val="heading 3"/>
    <w:basedOn w:val="Normal"/>
    <w:next w:val="Normal"/>
    <w:link w:val="Ttulo3Char"/>
    <w:uiPriority w:val="99"/>
    <w:qFormat/>
    <w:rsid w:val="00401A64"/>
    <w:pPr>
      <w:keepNext/>
      <w:suppressAutoHyphens w:val="0"/>
      <w:ind w:left="57" w:right="57" w:hanging="57"/>
      <w:jc w:val="center"/>
      <w:outlineLvl w:val="2"/>
    </w:pPr>
    <w:rPr>
      <w:lang w:val="en-US" w:eastAsia="x-none"/>
    </w:rPr>
  </w:style>
  <w:style w:type="paragraph" w:styleId="Ttulo4">
    <w:name w:val="heading 4"/>
    <w:basedOn w:val="Normal"/>
    <w:next w:val="Normal"/>
    <w:link w:val="Ttulo4Char"/>
    <w:uiPriority w:val="99"/>
    <w:qFormat/>
    <w:rsid w:val="00401A64"/>
    <w:pPr>
      <w:keepNext/>
      <w:suppressAutoHyphens w:val="0"/>
      <w:ind w:left="57" w:right="57"/>
      <w:jc w:val="center"/>
      <w:outlineLvl w:val="3"/>
    </w:pPr>
    <w:rPr>
      <w:lang w:val="en-US" w:eastAsia="x-none"/>
    </w:rPr>
  </w:style>
  <w:style w:type="paragraph" w:styleId="Ttulo5">
    <w:name w:val="heading 5"/>
    <w:basedOn w:val="Normal"/>
    <w:next w:val="Normal"/>
    <w:link w:val="Ttulo5Char"/>
    <w:uiPriority w:val="9"/>
    <w:semiHidden/>
    <w:unhideWhenUsed/>
    <w:qFormat/>
    <w:rsid w:val="00401A64"/>
    <w:pPr>
      <w:spacing w:before="240" w:after="60"/>
      <w:outlineLvl w:val="4"/>
    </w:pPr>
    <w:rPr>
      <w:rFonts w:ascii="Calibri" w:hAnsi="Calibri"/>
      <w:b/>
      <w:bCs/>
      <w:i/>
      <w:iCs/>
      <w:sz w:val="26"/>
      <w:szCs w:val="26"/>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01A64"/>
    <w:rPr>
      <w:rFonts w:ascii="Cambria" w:eastAsia="Times New Roman" w:hAnsi="Cambria" w:cs="Times New Roman"/>
      <w:b/>
      <w:bCs/>
      <w:kern w:val="32"/>
      <w:sz w:val="32"/>
      <w:szCs w:val="32"/>
      <w:lang w:val="x-none" w:eastAsia="ar-SA"/>
    </w:rPr>
  </w:style>
  <w:style w:type="character" w:customStyle="1" w:styleId="Ttulo2Char">
    <w:name w:val="Título 2 Char"/>
    <w:basedOn w:val="Fontepargpadro"/>
    <w:link w:val="Ttulo2"/>
    <w:uiPriority w:val="99"/>
    <w:rsid w:val="00401A64"/>
    <w:rPr>
      <w:rFonts w:ascii="Times New Roman" w:eastAsia="Times New Roman" w:hAnsi="Times New Roman" w:cs="Times New Roman"/>
      <w:b/>
      <w:bCs/>
      <w:lang w:eastAsia="x-none"/>
    </w:rPr>
  </w:style>
  <w:style w:type="character" w:customStyle="1" w:styleId="Ttulo3Char">
    <w:name w:val="Título 3 Char"/>
    <w:basedOn w:val="Fontepargpadro"/>
    <w:link w:val="Ttulo3"/>
    <w:uiPriority w:val="99"/>
    <w:rsid w:val="00401A64"/>
    <w:rPr>
      <w:rFonts w:ascii="Times New Roman" w:eastAsia="Times New Roman" w:hAnsi="Times New Roman" w:cs="Times New Roman"/>
      <w:lang w:eastAsia="x-none"/>
    </w:rPr>
  </w:style>
  <w:style w:type="character" w:customStyle="1" w:styleId="Ttulo4Char">
    <w:name w:val="Título 4 Char"/>
    <w:basedOn w:val="Fontepargpadro"/>
    <w:link w:val="Ttulo4"/>
    <w:uiPriority w:val="99"/>
    <w:rsid w:val="00401A64"/>
    <w:rPr>
      <w:rFonts w:ascii="Times New Roman" w:eastAsia="Times New Roman" w:hAnsi="Times New Roman" w:cs="Times New Roman"/>
      <w:lang w:eastAsia="x-none"/>
    </w:rPr>
  </w:style>
  <w:style w:type="character" w:customStyle="1" w:styleId="Ttulo5Char">
    <w:name w:val="Título 5 Char"/>
    <w:basedOn w:val="Fontepargpadro"/>
    <w:link w:val="Ttulo5"/>
    <w:uiPriority w:val="9"/>
    <w:semiHidden/>
    <w:rsid w:val="00401A64"/>
    <w:rPr>
      <w:rFonts w:ascii="Calibri" w:eastAsia="Times New Roman" w:hAnsi="Calibri" w:cs="Times New Roman"/>
      <w:b/>
      <w:bCs/>
      <w:i/>
      <w:iCs/>
      <w:sz w:val="26"/>
      <w:szCs w:val="26"/>
      <w:lang w:val="x-none" w:eastAsia="ar-SA"/>
    </w:rPr>
  </w:style>
  <w:style w:type="character" w:customStyle="1" w:styleId="Fontepargpadro2">
    <w:name w:val="Fonte parág. padrão2"/>
    <w:rsid w:val="00401A64"/>
  </w:style>
  <w:style w:type="character" w:customStyle="1" w:styleId="Fontepargpadro1">
    <w:name w:val="Fonte parág. padrão1"/>
    <w:rsid w:val="00401A64"/>
  </w:style>
  <w:style w:type="character" w:customStyle="1" w:styleId="Refdenotaderodap2">
    <w:name w:val="Ref. de nota de rodapé2"/>
    <w:rsid w:val="00401A64"/>
    <w:rPr>
      <w:vertAlign w:val="superscript"/>
    </w:rPr>
  </w:style>
  <w:style w:type="character" w:customStyle="1" w:styleId="Refdenotaderodap1">
    <w:name w:val="Ref. de nota de rodapé1"/>
    <w:rsid w:val="00401A64"/>
    <w:rPr>
      <w:vertAlign w:val="superscript"/>
    </w:rPr>
  </w:style>
  <w:style w:type="character" w:customStyle="1" w:styleId="Caracteresdenotaderodap">
    <w:name w:val="Caracteres de nota de rodapé"/>
    <w:rsid w:val="00401A64"/>
  </w:style>
  <w:style w:type="character" w:customStyle="1" w:styleId="Refdenotaderodap3">
    <w:name w:val="Ref. de nota de rodapé3"/>
    <w:rsid w:val="00401A64"/>
    <w:rPr>
      <w:vertAlign w:val="superscript"/>
    </w:rPr>
  </w:style>
  <w:style w:type="character" w:customStyle="1" w:styleId="Refdenotaderodap7">
    <w:name w:val="Ref. de nota de rodapé7"/>
    <w:rsid w:val="00401A64"/>
    <w:rPr>
      <w:vertAlign w:val="superscript"/>
    </w:rPr>
  </w:style>
  <w:style w:type="character" w:customStyle="1" w:styleId="Refdenotaderodap4">
    <w:name w:val="Ref. de nota de rodapé4"/>
    <w:rsid w:val="00401A64"/>
    <w:rPr>
      <w:vertAlign w:val="superscript"/>
    </w:rPr>
  </w:style>
  <w:style w:type="character" w:customStyle="1" w:styleId="Refdenotaderodap5">
    <w:name w:val="Ref. de nota de rodapé5"/>
    <w:rsid w:val="00401A64"/>
    <w:rPr>
      <w:vertAlign w:val="superscript"/>
    </w:rPr>
  </w:style>
  <w:style w:type="character" w:customStyle="1" w:styleId="Refdenotaderodap6">
    <w:name w:val="Ref. de nota de rodapé6"/>
    <w:rsid w:val="00401A64"/>
    <w:rPr>
      <w:vertAlign w:val="superscript"/>
    </w:rPr>
  </w:style>
  <w:style w:type="character" w:styleId="Hyperlink">
    <w:name w:val="Hyperlink"/>
    <w:rsid w:val="00401A64"/>
    <w:rPr>
      <w:color w:val="000080"/>
      <w:u w:val="single"/>
      <w:lang/>
    </w:rPr>
  </w:style>
  <w:style w:type="character" w:customStyle="1" w:styleId="Refdenotaderodap8">
    <w:name w:val="Ref. de nota de rodapé8"/>
    <w:rsid w:val="00401A64"/>
    <w:rPr>
      <w:vertAlign w:val="superscript"/>
    </w:rPr>
  </w:style>
  <w:style w:type="character" w:customStyle="1" w:styleId="Caracteresdenotadefim">
    <w:name w:val="Caracteres de nota de fim"/>
    <w:rsid w:val="00401A64"/>
    <w:rPr>
      <w:vertAlign w:val="superscript"/>
    </w:rPr>
  </w:style>
  <w:style w:type="character" w:customStyle="1" w:styleId="WW-Caracteresdenotadefim">
    <w:name w:val="WW-Caracteres de nota de fim"/>
    <w:rsid w:val="00401A64"/>
  </w:style>
  <w:style w:type="character" w:customStyle="1" w:styleId="apple-converted-space">
    <w:name w:val="apple-converted-space"/>
    <w:basedOn w:val="Fontepargpadro2"/>
    <w:rsid w:val="00401A64"/>
  </w:style>
  <w:style w:type="character" w:customStyle="1" w:styleId="RodapChar">
    <w:name w:val="Rodapé Char"/>
    <w:uiPriority w:val="99"/>
    <w:rsid w:val="00401A64"/>
    <w:rPr>
      <w:rFonts w:eastAsia="Lucida Sans Unicode"/>
      <w:kern w:val="1"/>
      <w:sz w:val="24"/>
      <w:szCs w:val="24"/>
      <w:lang w:val="en-US"/>
    </w:rPr>
  </w:style>
  <w:style w:type="character" w:styleId="Refdenotaderodap">
    <w:name w:val="footnote reference"/>
    <w:rsid w:val="00401A64"/>
    <w:rPr>
      <w:vertAlign w:val="superscript"/>
    </w:rPr>
  </w:style>
  <w:style w:type="character" w:styleId="Refdenotadefim">
    <w:name w:val="endnote reference"/>
    <w:rsid w:val="00401A64"/>
    <w:rPr>
      <w:vertAlign w:val="superscript"/>
    </w:rPr>
  </w:style>
  <w:style w:type="paragraph" w:customStyle="1" w:styleId="Ttulo20">
    <w:name w:val="Título2"/>
    <w:basedOn w:val="Normal"/>
    <w:next w:val="Corpodetexto"/>
    <w:rsid w:val="00401A64"/>
    <w:pPr>
      <w:keepNext/>
      <w:spacing w:before="240" w:after="120"/>
    </w:pPr>
    <w:rPr>
      <w:rFonts w:ascii="Arial" w:eastAsia="MS Mincho" w:hAnsi="Arial" w:cs="Tahoma"/>
      <w:sz w:val="28"/>
      <w:szCs w:val="28"/>
    </w:rPr>
  </w:style>
  <w:style w:type="paragraph" w:styleId="Corpodetexto">
    <w:name w:val="Body Text"/>
    <w:basedOn w:val="Normal"/>
    <w:link w:val="CorpodetextoChar"/>
    <w:rsid w:val="00401A64"/>
    <w:pPr>
      <w:widowControl w:val="0"/>
      <w:spacing w:after="120"/>
    </w:pPr>
    <w:rPr>
      <w:rFonts w:eastAsia="Lucida Sans Unicode"/>
      <w:kern w:val="1"/>
      <w:lang w:val="en-US"/>
    </w:rPr>
  </w:style>
  <w:style w:type="character" w:customStyle="1" w:styleId="CorpodetextoChar">
    <w:name w:val="Corpo de texto Char"/>
    <w:basedOn w:val="Fontepargpadro"/>
    <w:link w:val="Corpodetexto"/>
    <w:rsid w:val="00401A64"/>
    <w:rPr>
      <w:rFonts w:ascii="Times New Roman" w:eastAsia="Lucida Sans Unicode" w:hAnsi="Times New Roman" w:cs="Times New Roman"/>
      <w:kern w:val="1"/>
      <w:lang w:eastAsia="ar-SA"/>
    </w:rPr>
  </w:style>
  <w:style w:type="paragraph" w:styleId="Lista">
    <w:name w:val="List"/>
    <w:basedOn w:val="Corpodetexto"/>
    <w:rsid w:val="00401A64"/>
  </w:style>
  <w:style w:type="paragraph" w:customStyle="1" w:styleId="Legenda2">
    <w:name w:val="Legenda2"/>
    <w:basedOn w:val="Normal"/>
    <w:rsid w:val="00401A64"/>
    <w:pPr>
      <w:suppressLineNumbers/>
      <w:spacing w:before="120" w:after="120"/>
    </w:pPr>
    <w:rPr>
      <w:rFonts w:cs="Tahoma"/>
      <w:i/>
      <w:iCs/>
    </w:rPr>
  </w:style>
  <w:style w:type="paragraph" w:customStyle="1" w:styleId="ndice">
    <w:name w:val="Índice"/>
    <w:basedOn w:val="Normal"/>
    <w:rsid w:val="00401A64"/>
    <w:pPr>
      <w:suppressLineNumbers/>
    </w:pPr>
  </w:style>
  <w:style w:type="paragraph" w:customStyle="1" w:styleId="Ttulo10">
    <w:name w:val="Título1"/>
    <w:basedOn w:val="Normal"/>
    <w:next w:val="Corpodetexto"/>
    <w:rsid w:val="00401A64"/>
    <w:pPr>
      <w:keepNext/>
      <w:spacing w:before="240" w:after="120"/>
    </w:pPr>
    <w:rPr>
      <w:rFonts w:ascii="Nimbus Sans L" w:eastAsia="DejaVu Sans" w:hAnsi="Nimbus Sans L" w:cs="DejaVu Sans"/>
      <w:sz w:val="28"/>
      <w:szCs w:val="28"/>
    </w:rPr>
  </w:style>
  <w:style w:type="paragraph" w:customStyle="1" w:styleId="Legenda1">
    <w:name w:val="Legenda1"/>
    <w:basedOn w:val="Normal"/>
    <w:rsid w:val="00401A64"/>
    <w:pPr>
      <w:suppressLineNumbers/>
      <w:spacing w:before="120" w:after="120"/>
    </w:pPr>
    <w:rPr>
      <w:i/>
      <w:iCs/>
    </w:rPr>
  </w:style>
  <w:style w:type="paragraph" w:styleId="Textodenotaderodap">
    <w:name w:val="footnote text"/>
    <w:basedOn w:val="Normal"/>
    <w:link w:val="TextodenotaderodapChar"/>
    <w:rsid w:val="00401A64"/>
    <w:pPr>
      <w:widowControl w:val="0"/>
      <w:suppressLineNumbers/>
      <w:ind w:left="283" w:hanging="283"/>
    </w:pPr>
    <w:rPr>
      <w:rFonts w:eastAsia="Lucida Sans Unicode"/>
      <w:kern w:val="1"/>
      <w:sz w:val="20"/>
      <w:szCs w:val="20"/>
      <w:lang w:val="en-US"/>
    </w:rPr>
  </w:style>
  <w:style w:type="character" w:customStyle="1" w:styleId="TextodenotaderodapChar">
    <w:name w:val="Texto de nota de rodapé Char"/>
    <w:basedOn w:val="Fontepargpadro"/>
    <w:link w:val="Textodenotaderodap"/>
    <w:rsid w:val="00401A64"/>
    <w:rPr>
      <w:rFonts w:ascii="Times New Roman" w:eastAsia="Lucida Sans Unicode" w:hAnsi="Times New Roman" w:cs="Times New Roman"/>
      <w:kern w:val="1"/>
      <w:sz w:val="20"/>
      <w:szCs w:val="20"/>
      <w:lang w:eastAsia="ar-SA"/>
    </w:rPr>
  </w:style>
  <w:style w:type="paragraph" w:styleId="Rodap">
    <w:name w:val="footer"/>
    <w:basedOn w:val="Normal"/>
    <w:link w:val="RodapChar1"/>
    <w:uiPriority w:val="99"/>
    <w:rsid w:val="00401A64"/>
    <w:pPr>
      <w:widowControl w:val="0"/>
      <w:tabs>
        <w:tab w:val="center" w:pos="4252"/>
        <w:tab w:val="right" w:pos="8504"/>
      </w:tabs>
    </w:pPr>
    <w:rPr>
      <w:rFonts w:eastAsia="Lucida Sans Unicode"/>
      <w:kern w:val="1"/>
      <w:lang w:val="en-US"/>
    </w:rPr>
  </w:style>
  <w:style w:type="character" w:customStyle="1" w:styleId="RodapChar1">
    <w:name w:val="Rodapé Char1"/>
    <w:basedOn w:val="Fontepargpadro"/>
    <w:link w:val="Rodap"/>
    <w:uiPriority w:val="99"/>
    <w:rsid w:val="00401A64"/>
    <w:rPr>
      <w:rFonts w:ascii="Times New Roman" w:eastAsia="Lucida Sans Unicode" w:hAnsi="Times New Roman" w:cs="Times New Roman"/>
      <w:kern w:val="1"/>
      <w:lang w:eastAsia="ar-SA"/>
    </w:rPr>
  </w:style>
  <w:style w:type="paragraph" w:customStyle="1" w:styleId="Contedodequadro">
    <w:name w:val="Conteúdo de quadro"/>
    <w:basedOn w:val="Corpodetexto"/>
    <w:rsid w:val="00401A64"/>
  </w:style>
  <w:style w:type="paragraph" w:styleId="Cabealho">
    <w:name w:val="header"/>
    <w:basedOn w:val="Normal"/>
    <w:link w:val="CabealhoChar"/>
    <w:rsid w:val="00401A64"/>
    <w:pPr>
      <w:suppressLineNumbers/>
      <w:tabs>
        <w:tab w:val="center" w:pos="4818"/>
        <w:tab w:val="right" w:pos="9637"/>
      </w:tabs>
    </w:pPr>
  </w:style>
  <w:style w:type="character" w:customStyle="1" w:styleId="CabealhoChar">
    <w:name w:val="Cabeçalho Char"/>
    <w:basedOn w:val="Fontepargpadro"/>
    <w:link w:val="Cabealho"/>
    <w:rsid w:val="00401A64"/>
    <w:rPr>
      <w:rFonts w:ascii="Times New Roman" w:eastAsia="Times New Roman" w:hAnsi="Times New Roman" w:cs="Times New Roman"/>
      <w:lang w:val="pt-BR" w:eastAsia="ar-SA"/>
    </w:rPr>
  </w:style>
  <w:style w:type="paragraph" w:styleId="Corpodetexto2">
    <w:name w:val="Body Text 2"/>
    <w:basedOn w:val="Normal"/>
    <w:link w:val="Corpodetexto2Char"/>
    <w:uiPriority w:val="99"/>
    <w:semiHidden/>
    <w:rsid w:val="00401A64"/>
    <w:pPr>
      <w:suppressAutoHyphens w:val="0"/>
      <w:spacing w:after="120" w:line="480" w:lineRule="auto"/>
    </w:pPr>
    <w:rPr>
      <w:rFonts w:ascii="Calibri" w:hAnsi="Calibri"/>
      <w:sz w:val="22"/>
      <w:szCs w:val="22"/>
      <w:lang w:val="en-US" w:eastAsia="en-US"/>
    </w:rPr>
  </w:style>
  <w:style w:type="character" w:customStyle="1" w:styleId="Corpodetexto2Char">
    <w:name w:val="Corpo de texto 2 Char"/>
    <w:basedOn w:val="Fontepargpadro"/>
    <w:link w:val="Corpodetexto2"/>
    <w:uiPriority w:val="99"/>
    <w:semiHidden/>
    <w:rsid w:val="00401A64"/>
    <w:rPr>
      <w:rFonts w:ascii="Calibri" w:eastAsia="Times New Roman" w:hAnsi="Calibri" w:cs="Times New Roman"/>
      <w:sz w:val="22"/>
      <w:szCs w:val="22"/>
    </w:rPr>
  </w:style>
  <w:style w:type="character" w:customStyle="1" w:styleId="blockemailnoname2">
    <w:name w:val="blockemailnoname2"/>
    <w:rsid w:val="00401A64"/>
    <w:rPr>
      <w:color w:val="2A2A2A"/>
    </w:rPr>
  </w:style>
  <w:style w:type="character" w:customStyle="1" w:styleId="hps">
    <w:name w:val="hps"/>
    <w:basedOn w:val="Fontepargpadro"/>
    <w:rsid w:val="00401A64"/>
  </w:style>
  <w:style w:type="character" w:styleId="Forte">
    <w:name w:val="Strong"/>
    <w:uiPriority w:val="22"/>
    <w:qFormat/>
    <w:rsid w:val="00401A64"/>
    <w:rPr>
      <w:b/>
      <w:bCs/>
    </w:rPr>
  </w:style>
  <w:style w:type="paragraph" w:styleId="NormalWeb">
    <w:name w:val="Normal (Web)"/>
    <w:basedOn w:val="Normal"/>
    <w:uiPriority w:val="99"/>
    <w:semiHidden/>
    <w:unhideWhenUsed/>
    <w:rsid w:val="00401A64"/>
    <w:pPr>
      <w:suppressAutoHyphens w:val="0"/>
      <w:spacing w:before="100" w:beforeAutospacing="1" w:after="100" w:afterAutospacing="1"/>
    </w:pPr>
    <w:rPr>
      <w:lang w:eastAsia="pt-BR"/>
    </w:rPr>
  </w:style>
  <w:style w:type="paragraph" w:styleId="SemEspaamento">
    <w:name w:val="No Spacing"/>
    <w:uiPriority w:val="1"/>
    <w:qFormat/>
    <w:rsid w:val="00401A64"/>
    <w:pPr>
      <w:suppressAutoHyphens/>
      <w:spacing w:after="0" w:line="240" w:lineRule="auto"/>
      <w:jc w:val="left"/>
    </w:pPr>
    <w:rPr>
      <w:rFonts w:ascii="Times New Roman" w:eastAsia="Times New Roman" w:hAnsi="Times New Roman" w:cs="Times New Roman"/>
      <w:lang w:val="pt-BR" w:eastAsia="ar-SA"/>
    </w:rPr>
  </w:style>
  <w:style w:type="character" w:customStyle="1" w:styleId="st1">
    <w:name w:val="st1"/>
    <w:rsid w:val="00401A64"/>
  </w:style>
  <w:style w:type="table" w:styleId="Tabelacomgrade">
    <w:name w:val="Table Grid"/>
    <w:basedOn w:val="Tabelanormal"/>
    <w:uiPriority w:val="59"/>
    <w:rsid w:val="00401A64"/>
    <w:pPr>
      <w:spacing w:after="0" w:line="240" w:lineRule="auto"/>
      <w:jc w:val="left"/>
    </w:pPr>
    <w:rPr>
      <w:rFonts w:ascii="Times New Roman" w:eastAsia="Times New Roman"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01A64"/>
    <w:pPr>
      <w:suppressAutoHyphens w:val="0"/>
      <w:ind w:left="720"/>
      <w:contextualSpacing/>
      <w:jc w:val="both"/>
    </w:pPr>
    <w:rPr>
      <w:rFonts w:ascii="Cambria" w:eastAsia="Cambria" w:hAnsi="Cambria"/>
      <w:lang w:val="es-ES_tradnl" w:eastAsia="en-US"/>
    </w:rPr>
  </w:style>
  <w:style w:type="paragraph" w:styleId="Textodebalo">
    <w:name w:val="Balloon Text"/>
    <w:basedOn w:val="Normal"/>
    <w:link w:val="TextodebaloChar"/>
    <w:uiPriority w:val="99"/>
    <w:semiHidden/>
    <w:unhideWhenUsed/>
    <w:rsid w:val="00401A64"/>
    <w:rPr>
      <w:rFonts w:ascii="Tahoma" w:hAnsi="Tahoma"/>
      <w:sz w:val="16"/>
      <w:szCs w:val="16"/>
      <w:lang w:val="x-none"/>
    </w:rPr>
  </w:style>
  <w:style w:type="character" w:customStyle="1" w:styleId="TextodebaloChar">
    <w:name w:val="Texto de balão Char"/>
    <w:basedOn w:val="Fontepargpadro"/>
    <w:link w:val="Textodebalo"/>
    <w:uiPriority w:val="99"/>
    <w:semiHidden/>
    <w:rsid w:val="00401A64"/>
    <w:rPr>
      <w:rFonts w:ascii="Tahoma" w:eastAsia="Times New Roman" w:hAnsi="Tahoma" w:cs="Times New Roman"/>
      <w:sz w:val="16"/>
      <w:szCs w:val="16"/>
      <w:lang w:val="x-none" w:eastAsia="ar-SA"/>
    </w:rPr>
  </w:style>
  <w:style w:type="character" w:styleId="Refdecomentrio">
    <w:name w:val="annotation reference"/>
    <w:uiPriority w:val="99"/>
    <w:semiHidden/>
    <w:unhideWhenUsed/>
    <w:rsid w:val="00401A64"/>
    <w:rPr>
      <w:sz w:val="16"/>
      <w:szCs w:val="16"/>
    </w:rPr>
  </w:style>
  <w:style w:type="paragraph" w:styleId="Textodecomentrio">
    <w:name w:val="annotation text"/>
    <w:basedOn w:val="Normal"/>
    <w:link w:val="TextodecomentrioChar"/>
    <w:uiPriority w:val="99"/>
    <w:semiHidden/>
    <w:unhideWhenUsed/>
    <w:rsid w:val="00401A64"/>
    <w:rPr>
      <w:sz w:val="20"/>
      <w:szCs w:val="20"/>
      <w:lang w:val="x-none"/>
    </w:rPr>
  </w:style>
  <w:style w:type="character" w:customStyle="1" w:styleId="TextodecomentrioChar">
    <w:name w:val="Texto de comentário Char"/>
    <w:basedOn w:val="Fontepargpadro"/>
    <w:link w:val="Textodecomentrio"/>
    <w:uiPriority w:val="99"/>
    <w:semiHidden/>
    <w:rsid w:val="00401A64"/>
    <w:rPr>
      <w:rFonts w:ascii="Times New Roman" w:eastAsia="Times New Roman" w:hAnsi="Times New Roman" w:cs="Times New Roman"/>
      <w:sz w:val="20"/>
      <w:szCs w:val="20"/>
      <w:lang w:val="x-none" w:eastAsia="ar-SA"/>
    </w:rPr>
  </w:style>
  <w:style w:type="paragraph" w:styleId="Assuntodocomentrio">
    <w:name w:val="annotation subject"/>
    <w:basedOn w:val="Textodecomentrio"/>
    <w:next w:val="Textodecomentrio"/>
    <w:link w:val="AssuntodocomentrioChar"/>
    <w:uiPriority w:val="99"/>
    <w:semiHidden/>
    <w:unhideWhenUsed/>
    <w:rsid w:val="00401A64"/>
    <w:rPr>
      <w:b/>
      <w:bCs/>
    </w:rPr>
  </w:style>
  <w:style w:type="character" w:customStyle="1" w:styleId="AssuntodocomentrioChar">
    <w:name w:val="Assunto do comentário Char"/>
    <w:basedOn w:val="TextodecomentrioChar"/>
    <w:link w:val="Assuntodocomentrio"/>
    <w:uiPriority w:val="99"/>
    <w:semiHidden/>
    <w:rsid w:val="00401A64"/>
    <w:rPr>
      <w:rFonts w:ascii="Times New Roman" w:eastAsia="Times New Roman" w:hAnsi="Times New Roman" w:cs="Times New Roman"/>
      <w:b/>
      <w:bCs/>
      <w:sz w:val="20"/>
      <w:szCs w:val="20"/>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wmf"/><Relationship Id="rId39" Type="http://schemas.openxmlformats.org/officeDocument/2006/relationships/fontTable" Target="fontTable.xml"/><Relationship Id="rId21" Type="http://schemas.openxmlformats.org/officeDocument/2006/relationships/oleObject" Target="embeddings/oleObject1.bin"/><Relationship Id="rId34" Type="http://schemas.openxmlformats.org/officeDocument/2006/relationships/image" Target="media/image19.wmf"/><Relationship Id="rId7" Type="http://schemas.openxmlformats.org/officeDocument/2006/relationships/hyperlink" Target="mailto:helderfm@hot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hyperlink" Target="http://ideas.repec.org/s/tpr/restat.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oleObject" Target="embeddings/oleObject2.bin"/><Relationship Id="rId28" Type="http://schemas.openxmlformats.org/officeDocument/2006/relationships/image" Target="media/image16.wmf"/><Relationship Id="rId36" Type="http://schemas.openxmlformats.org/officeDocument/2006/relationships/hyperlink" Target="http://ideas.repec.org/a/tpr/restat/v60y1978i4p604-09.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wmf"/><Relationship Id="rId27" Type="http://schemas.openxmlformats.org/officeDocument/2006/relationships/oleObject" Target="embeddings/oleObject4.bin"/><Relationship Id="rId30" Type="http://schemas.openxmlformats.org/officeDocument/2006/relationships/image" Target="media/image17.wmf"/><Relationship Id="rId35" Type="http://schemas.openxmlformats.org/officeDocument/2006/relationships/oleObject" Target="embeddings/oleObject8.bin"/><Relationship Id="rId8" Type="http://schemas.openxmlformats.org/officeDocument/2006/relationships/hyperlink" Target="http://en.wikipedia.org/wiki/Economic_inequality"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6806</Words>
  <Characters>36753</Characters>
  <Application>Microsoft Office Word</Application>
  <DocSecurity>0</DocSecurity>
  <Lines>306</Lines>
  <Paragraphs>86</Paragraphs>
  <ScaleCrop>false</ScaleCrop>
  <Company/>
  <LinksUpToDate>false</LinksUpToDate>
  <CharactersWithSpaces>43473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2020-11-17T20:09:00Z</dcterms:created>
  <dcterms:modified xsi:type="dcterms:W3CDTF">2020-11-17T20:09:00Z</dcterms:modified>
</cp:coreProperties>
</file>