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0E4" w:rsidRPr="00562D5F" w:rsidRDefault="00F830E4" w:rsidP="001F03CD">
      <w:pPr>
        <w:spacing w:line="240" w:lineRule="auto"/>
        <w:jc w:val="center"/>
        <w:rPr>
          <w:rFonts w:ascii="Times New Roman" w:hAnsi="Times New Roman"/>
          <w:b/>
          <w:sz w:val="28"/>
          <w:szCs w:val="28"/>
        </w:rPr>
      </w:pPr>
      <w:r w:rsidRPr="00562D5F">
        <w:rPr>
          <w:rFonts w:ascii="Times New Roman" w:hAnsi="Times New Roman"/>
          <w:b/>
          <w:sz w:val="28"/>
          <w:szCs w:val="28"/>
        </w:rPr>
        <w:t>Evolução Recente da Informalidade no Brasil</w:t>
      </w:r>
      <w:r w:rsidR="00461937">
        <w:rPr>
          <w:rFonts w:ascii="Times New Roman" w:hAnsi="Times New Roman"/>
          <w:b/>
          <w:sz w:val="28"/>
          <w:szCs w:val="28"/>
        </w:rPr>
        <w:t xml:space="preserve">: Uma Análise segundo Características da Oferta e Demanda de Trabalho </w:t>
      </w:r>
    </w:p>
    <w:p w:rsidR="00AA5B2E" w:rsidRDefault="00AA5B2E" w:rsidP="001F03CD">
      <w:pPr>
        <w:spacing w:after="0" w:line="240" w:lineRule="auto"/>
        <w:rPr>
          <w:rFonts w:ascii="Times New Roman" w:hAnsi="Times New Roman"/>
          <w:b/>
          <w:sz w:val="24"/>
          <w:szCs w:val="24"/>
        </w:rPr>
      </w:pPr>
    </w:p>
    <w:p w:rsidR="00AA5B2E" w:rsidRDefault="00AA5B2E" w:rsidP="001F03CD">
      <w:pPr>
        <w:spacing w:after="0" w:line="240" w:lineRule="auto"/>
        <w:rPr>
          <w:rFonts w:ascii="Times New Roman" w:hAnsi="Times New Roman"/>
          <w:b/>
          <w:sz w:val="24"/>
          <w:szCs w:val="24"/>
        </w:rPr>
      </w:pPr>
      <w:r>
        <w:rPr>
          <w:rFonts w:ascii="Times New Roman" w:hAnsi="Times New Roman"/>
          <w:b/>
          <w:sz w:val="24"/>
          <w:szCs w:val="24"/>
        </w:rPr>
        <w:t>Rodrigo Leandro de Moura</w:t>
      </w:r>
    </w:p>
    <w:p w:rsidR="00AA5B2E" w:rsidRDefault="00AA5B2E" w:rsidP="001F03CD">
      <w:pPr>
        <w:spacing w:after="0" w:line="240" w:lineRule="auto"/>
        <w:rPr>
          <w:rFonts w:ascii="Times New Roman" w:hAnsi="Times New Roman"/>
          <w:b/>
          <w:sz w:val="24"/>
          <w:szCs w:val="24"/>
        </w:rPr>
      </w:pPr>
      <w:r>
        <w:rPr>
          <w:rFonts w:ascii="Times New Roman" w:hAnsi="Times New Roman"/>
          <w:b/>
          <w:sz w:val="24"/>
          <w:szCs w:val="24"/>
        </w:rPr>
        <w:t>IBRE/FGV-RJ</w:t>
      </w:r>
    </w:p>
    <w:p w:rsidR="00AA5B2E" w:rsidRDefault="00AA5B2E" w:rsidP="001F03CD">
      <w:pPr>
        <w:spacing w:after="0" w:line="240" w:lineRule="auto"/>
        <w:rPr>
          <w:rFonts w:ascii="Times New Roman" w:hAnsi="Times New Roman"/>
          <w:b/>
          <w:sz w:val="24"/>
          <w:szCs w:val="24"/>
        </w:rPr>
      </w:pPr>
    </w:p>
    <w:p w:rsidR="00AA5B2E" w:rsidRDefault="00AA5B2E" w:rsidP="001F03CD">
      <w:pPr>
        <w:spacing w:after="0" w:line="240" w:lineRule="auto"/>
        <w:rPr>
          <w:rFonts w:ascii="Times New Roman" w:hAnsi="Times New Roman"/>
          <w:b/>
          <w:sz w:val="24"/>
          <w:szCs w:val="24"/>
        </w:rPr>
      </w:pPr>
      <w:r>
        <w:rPr>
          <w:rFonts w:ascii="Times New Roman" w:hAnsi="Times New Roman"/>
          <w:b/>
          <w:sz w:val="24"/>
          <w:szCs w:val="24"/>
        </w:rPr>
        <w:t>Fernando Holanda Barbosa Filho</w:t>
      </w:r>
    </w:p>
    <w:p w:rsidR="00AA5B2E" w:rsidRDefault="00AA5B2E" w:rsidP="001F03CD">
      <w:pPr>
        <w:spacing w:after="0" w:line="240" w:lineRule="auto"/>
        <w:rPr>
          <w:rFonts w:ascii="Times New Roman" w:hAnsi="Times New Roman"/>
          <w:b/>
          <w:sz w:val="24"/>
          <w:szCs w:val="24"/>
        </w:rPr>
      </w:pPr>
      <w:r>
        <w:rPr>
          <w:rFonts w:ascii="Times New Roman" w:hAnsi="Times New Roman"/>
          <w:b/>
          <w:sz w:val="24"/>
          <w:szCs w:val="24"/>
        </w:rPr>
        <w:t>IBRE/FGV-RJ</w:t>
      </w:r>
    </w:p>
    <w:p w:rsidR="00AA5B2E" w:rsidRDefault="00AA5B2E" w:rsidP="001F03CD">
      <w:pPr>
        <w:spacing w:after="0" w:line="240" w:lineRule="auto"/>
        <w:rPr>
          <w:rFonts w:ascii="Times New Roman" w:hAnsi="Times New Roman"/>
          <w:b/>
          <w:sz w:val="24"/>
          <w:szCs w:val="24"/>
        </w:rPr>
      </w:pPr>
    </w:p>
    <w:p w:rsidR="00AA5B2E" w:rsidRDefault="00AA5B2E" w:rsidP="001F03CD">
      <w:pPr>
        <w:spacing w:after="0" w:line="240" w:lineRule="auto"/>
        <w:rPr>
          <w:rFonts w:ascii="Times New Roman" w:hAnsi="Times New Roman"/>
          <w:b/>
          <w:sz w:val="24"/>
          <w:szCs w:val="24"/>
        </w:rPr>
      </w:pPr>
    </w:p>
    <w:p w:rsidR="00F830E4" w:rsidRPr="0085749C" w:rsidRDefault="00F830E4" w:rsidP="001F03CD">
      <w:pPr>
        <w:spacing w:after="0" w:line="240" w:lineRule="auto"/>
        <w:rPr>
          <w:rFonts w:ascii="Times New Roman" w:hAnsi="Times New Roman"/>
          <w:b/>
          <w:sz w:val="24"/>
          <w:szCs w:val="24"/>
        </w:rPr>
      </w:pPr>
      <w:r w:rsidRPr="0085749C">
        <w:rPr>
          <w:rFonts w:ascii="Times New Roman" w:hAnsi="Times New Roman"/>
          <w:b/>
          <w:sz w:val="24"/>
          <w:szCs w:val="24"/>
        </w:rPr>
        <w:t>Resumo</w:t>
      </w:r>
    </w:p>
    <w:p w:rsidR="00F830E4" w:rsidRDefault="00D216FF" w:rsidP="001F03CD">
      <w:pPr>
        <w:spacing w:after="0" w:line="240" w:lineRule="auto"/>
        <w:jc w:val="both"/>
        <w:rPr>
          <w:rFonts w:ascii="Times New Roman" w:hAnsi="Times New Roman"/>
          <w:sz w:val="24"/>
          <w:szCs w:val="24"/>
        </w:rPr>
      </w:pPr>
      <w:r w:rsidRPr="00260B4B">
        <w:rPr>
          <w:rFonts w:ascii="Times New Roman" w:hAnsi="Times New Roman"/>
          <w:color w:val="000000" w:themeColor="text1"/>
          <w:sz w:val="24"/>
          <w:szCs w:val="24"/>
        </w:rPr>
        <w:t xml:space="preserve">Esse trabalho avalia a redução da taxa de </w:t>
      </w:r>
      <w:r>
        <w:rPr>
          <w:rFonts w:ascii="Times New Roman" w:hAnsi="Times New Roman"/>
          <w:color w:val="000000" w:themeColor="text1"/>
          <w:sz w:val="24"/>
          <w:szCs w:val="24"/>
        </w:rPr>
        <w:t>informalidade</w:t>
      </w:r>
      <w:r w:rsidR="00101FCD">
        <w:rPr>
          <w:rFonts w:ascii="Times New Roman" w:hAnsi="Times New Roman"/>
          <w:color w:val="000000" w:themeColor="text1"/>
          <w:sz w:val="24"/>
          <w:szCs w:val="24"/>
        </w:rPr>
        <w:t xml:space="preserve"> </w:t>
      </w:r>
      <w:r>
        <w:rPr>
          <w:rFonts w:ascii="Times New Roman" w:hAnsi="Times New Roman"/>
          <w:color w:val="000000" w:themeColor="text1"/>
          <w:sz w:val="24"/>
          <w:szCs w:val="24"/>
        </w:rPr>
        <w:t>ocorrida entre 2002 e 20</w:t>
      </w:r>
      <w:r w:rsidR="004A1B9E">
        <w:rPr>
          <w:rFonts w:ascii="Times New Roman" w:hAnsi="Times New Roman"/>
          <w:color w:val="000000" w:themeColor="text1"/>
          <w:sz w:val="24"/>
          <w:szCs w:val="24"/>
        </w:rPr>
        <w:t>11</w:t>
      </w:r>
      <w:r w:rsidRPr="00260B4B">
        <w:rPr>
          <w:rFonts w:ascii="Times New Roman" w:hAnsi="Times New Roman"/>
          <w:color w:val="000000" w:themeColor="text1"/>
          <w:sz w:val="24"/>
          <w:szCs w:val="24"/>
        </w:rPr>
        <w:t xml:space="preserve"> com base em dados da PNAD</w:t>
      </w:r>
      <w:r>
        <w:rPr>
          <w:rFonts w:ascii="Times New Roman" w:hAnsi="Times New Roman"/>
          <w:color w:val="000000" w:themeColor="text1"/>
          <w:sz w:val="24"/>
          <w:szCs w:val="24"/>
        </w:rPr>
        <w:t xml:space="preserve"> e computa uma matriz de transição para o mercado de trabalho brasileiro com base nos dados da PME entre 200</w:t>
      </w:r>
      <w:r w:rsidR="004D1EC3">
        <w:rPr>
          <w:rFonts w:ascii="Times New Roman" w:hAnsi="Times New Roman"/>
          <w:color w:val="000000" w:themeColor="text1"/>
          <w:sz w:val="24"/>
          <w:szCs w:val="24"/>
        </w:rPr>
        <w:t>3</w:t>
      </w:r>
      <w:r>
        <w:rPr>
          <w:rFonts w:ascii="Times New Roman" w:hAnsi="Times New Roman"/>
          <w:color w:val="000000" w:themeColor="text1"/>
          <w:sz w:val="24"/>
          <w:szCs w:val="24"/>
        </w:rPr>
        <w:t xml:space="preserve"> e 2011</w:t>
      </w:r>
      <w:r w:rsidRPr="00260B4B">
        <w:rPr>
          <w:rFonts w:ascii="Times New Roman" w:hAnsi="Times New Roman"/>
          <w:color w:val="000000" w:themeColor="text1"/>
          <w:sz w:val="24"/>
          <w:szCs w:val="24"/>
        </w:rPr>
        <w:t>. As principais conclusões do trabalho são as seguintes. Primeiro, a queda d</w:t>
      </w:r>
      <w:r>
        <w:rPr>
          <w:rFonts w:ascii="Times New Roman" w:hAnsi="Times New Roman"/>
          <w:color w:val="000000" w:themeColor="text1"/>
          <w:sz w:val="24"/>
          <w:szCs w:val="24"/>
        </w:rPr>
        <w:t xml:space="preserve">a informalidade foi menor nas regiões metropolitanas do que fora destas. </w:t>
      </w:r>
      <w:r w:rsidRPr="00260B4B">
        <w:rPr>
          <w:rFonts w:ascii="Times New Roman" w:hAnsi="Times New Roman"/>
          <w:color w:val="000000" w:themeColor="text1"/>
          <w:sz w:val="24"/>
          <w:szCs w:val="24"/>
        </w:rPr>
        <w:t>Segundo, a</w:t>
      </w:r>
      <w:r>
        <w:rPr>
          <w:rFonts w:ascii="Times New Roman" w:hAnsi="Times New Roman"/>
          <w:color w:val="000000" w:themeColor="text1"/>
          <w:sz w:val="24"/>
          <w:szCs w:val="24"/>
        </w:rPr>
        <w:t xml:space="preserve"> decomposição da queda da taxa de informalidade (em efeitos nível e composição) mostra que a </w:t>
      </w:r>
      <w:r w:rsidR="00C67E31">
        <w:rPr>
          <w:rFonts w:ascii="Times New Roman" w:hAnsi="Times New Roman"/>
          <w:color w:val="000000" w:themeColor="text1"/>
          <w:sz w:val="24"/>
          <w:szCs w:val="24"/>
        </w:rPr>
        <w:t>queda da</w:t>
      </w:r>
      <w:r>
        <w:rPr>
          <w:rFonts w:ascii="Times New Roman" w:hAnsi="Times New Roman"/>
          <w:color w:val="000000" w:themeColor="text1"/>
          <w:sz w:val="24"/>
          <w:szCs w:val="24"/>
        </w:rPr>
        <w:t xml:space="preserve"> participação de trabalhadores </w:t>
      </w:r>
      <w:r w:rsidR="00C67E31">
        <w:rPr>
          <w:rFonts w:ascii="Times New Roman" w:hAnsi="Times New Roman"/>
          <w:color w:val="000000" w:themeColor="text1"/>
          <w:sz w:val="24"/>
          <w:szCs w:val="24"/>
        </w:rPr>
        <w:t xml:space="preserve">menos </w:t>
      </w:r>
      <w:r>
        <w:rPr>
          <w:rFonts w:ascii="Times New Roman" w:hAnsi="Times New Roman"/>
          <w:color w:val="000000" w:themeColor="text1"/>
          <w:sz w:val="24"/>
          <w:szCs w:val="24"/>
        </w:rPr>
        <w:t>escolar</w:t>
      </w:r>
      <w:r w:rsidR="00C67E31">
        <w:rPr>
          <w:rFonts w:ascii="Times New Roman" w:hAnsi="Times New Roman"/>
          <w:color w:val="000000" w:themeColor="text1"/>
          <w:sz w:val="24"/>
          <w:szCs w:val="24"/>
        </w:rPr>
        <w:t>izados com baixa experiência</w:t>
      </w:r>
      <w:r w:rsidR="004D3E5E">
        <w:rPr>
          <w:rFonts w:ascii="Times New Roman" w:hAnsi="Times New Roman"/>
          <w:color w:val="000000" w:themeColor="text1"/>
          <w:sz w:val="24"/>
          <w:szCs w:val="24"/>
        </w:rPr>
        <w:t xml:space="preserve"> de trabalho</w:t>
      </w:r>
      <w:r w:rsidR="00C67E31">
        <w:rPr>
          <w:rFonts w:ascii="Times New Roman" w:hAnsi="Times New Roman"/>
          <w:color w:val="000000" w:themeColor="text1"/>
          <w:sz w:val="24"/>
          <w:szCs w:val="24"/>
        </w:rPr>
        <w:t xml:space="preserve"> chega a explicar </w:t>
      </w:r>
      <w:r w:rsidR="008D7322">
        <w:rPr>
          <w:rFonts w:ascii="Times New Roman" w:hAnsi="Times New Roman"/>
          <w:color w:val="000000" w:themeColor="text1"/>
          <w:sz w:val="24"/>
          <w:szCs w:val="24"/>
        </w:rPr>
        <w:t>mais de 5</w:t>
      </w:r>
      <w:r>
        <w:rPr>
          <w:rFonts w:ascii="Times New Roman" w:hAnsi="Times New Roman"/>
          <w:color w:val="000000" w:themeColor="text1"/>
          <w:sz w:val="24"/>
          <w:szCs w:val="24"/>
        </w:rPr>
        <w:t>0% da queda da informalidade no país.</w:t>
      </w:r>
      <w:r w:rsidR="00564D88">
        <w:rPr>
          <w:rFonts w:ascii="Times New Roman" w:hAnsi="Times New Roman"/>
          <w:color w:val="000000" w:themeColor="text1"/>
          <w:sz w:val="24"/>
          <w:szCs w:val="24"/>
        </w:rPr>
        <w:t xml:space="preserve"> </w:t>
      </w:r>
      <w:r w:rsidRPr="00260B4B">
        <w:rPr>
          <w:rFonts w:ascii="Times New Roman" w:hAnsi="Times New Roman"/>
          <w:color w:val="000000" w:themeColor="text1"/>
          <w:sz w:val="24"/>
          <w:szCs w:val="24"/>
        </w:rPr>
        <w:t>Terceir</w:t>
      </w:r>
      <w:r>
        <w:rPr>
          <w:rFonts w:ascii="Times New Roman" w:hAnsi="Times New Roman"/>
          <w:color w:val="000000" w:themeColor="text1"/>
          <w:sz w:val="24"/>
          <w:szCs w:val="24"/>
        </w:rPr>
        <w:t xml:space="preserve">o, a análise da matriz de transição do mercado de trabalho mostra que a queda da informalidade foi explicada por um aumento da transição de trabalhadores do setor informal para o formal e </w:t>
      </w:r>
      <w:r w:rsidR="00B02E73">
        <w:rPr>
          <w:rFonts w:ascii="Times New Roman" w:hAnsi="Times New Roman"/>
          <w:color w:val="000000" w:themeColor="text1"/>
          <w:sz w:val="24"/>
          <w:szCs w:val="24"/>
        </w:rPr>
        <w:t xml:space="preserve">da </w:t>
      </w:r>
      <w:r>
        <w:rPr>
          <w:rFonts w:ascii="Times New Roman" w:hAnsi="Times New Roman"/>
          <w:color w:val="000000" w:themeColor="text1"/>
          <w:sz w:val="24"/>
          <w:szCs w:val="24"/>
        </w:rPr>
        <w:t>absorção dos trabalhadores desempregados pelo setor formal.</w:t>
      </w:r>
    </w:p>
    <w:p w:rsidR="00F92C78" w:rsidRDefault="00F92C78" w:rsidP="001F03CD">
      <w:pPr>
        <w:spacing w:after="0" w:line="240" w:lineRule="auto"/>
        <w:rPr>
          <w:rFonts w:ascii="Times New Roman" w:hAnsi="Times New Roman"/>
          <w:sz w:val="24"/>
          <w:szCs w:val="24"/>
        </w:rPr>
      </w:pPr>
      <w:r>
        <w:rPr>
          <w:rFonts w:ascii="Times New Roman" w:hAnsi="Times New Roman"/>
          <w:sz w:val="24"/>
          <w:szCs w:val="24"/>
        </w:rPr>
        <w:t xml:space="preserve">Palavras-Chave: Informalidade, </w:t>
      </w:r>
      <w:r w:rsidR="00091EC2">
        <w:rPr>
          <w:rFonts w:ascii="Times New Roman" w:hAnsi="Times New Roman"/>
          <w:sz w:val="24"/>
          <w:szCs w:val="24"/>
        </w:rPr>
        <w:t xml:space="preserve">Capital Humano, </w:t>
      </w:r>
      <w:r w:rsidR="00F45B13">
        <w:rPr>
          <w:rFonts w:ascii="Times New Roman" w:hAnsi="Times New Roman"/>
          <w:sz w:val="24"/>
          <w:szCs w:val="24"/>
        </w:rPr>
        <w:t xml:space="preserve">Setores de Atividade, </w:t>
      </w:r>
      <w:r>
        <w:rPr>
          <w:rFonts w:ascii="Times New Roman" w:hAnsi="Times New Roman"/>
          <w:sz w:val="24"/>
          <w:szCs w:val="24"/>
        </w:rPr>
        <w:t>Decomposição, Matriz de Transição</w:t>
      </w:r>
      <w:r w:rsidR="005D693D">
        <w:rPr>
          <w:rFonts w:ascii="Times New Roman" w:hAnsi="Times New Roman"/>
          <w:sz w:val="24"/>
          <w:szCs w:val="24"/>
        </w:rPr>
        <w:t>, Região Metropolitana.</w:t>
      </w:r>
    </w:p>
    <w:p w:rsidR="00F06CAA" w:rsidRPr="00050454" w:rsidRDefault="00F06CAA" w:rsidP="001F03CD">
      <w:pPr>
        <w:spacing w:after="0" w:line="240" w:lineRule="auto"/>
        <w:rPr>
          <w:rFonts w:ascii="Times New Roman" w:hAnsi="Times New Roman"/>
          <w:b/>
          <w:sz w:val="24"/>
          <w:szCs w:val="24"/>
        </w:rPr>
      </w:pPr>
    </w:p>
    <w:p w:rsidR="00F830E4" w:rsidRPr="0085749C" w:rsidRDefault="00F830E4" w:rsidP="001F03CD">
      <w:pPr>
        <w:spacing w:after="0" w:line="240" w:lineRule="auto"/>
        <w:rPr>
          <w:rFonts w:ascii="Times New Roman" w:hAnsi="Times New Roman"/>
          <w:b/>
          <w:sz w:val="24"/>
          <w:szCs w:val="24"/>
          <w:lang w:val="en-US"/>
        </w:rPr>
      </w:pPr>
      <w:r w:rsidRPr="0085749C">
        <w:rPr>
          <w:rFonts w:ascii="Times New Roman" w:hAnsi="Times New Roman"/>
          <w:b/>
          <w:sz w:val="24"/>
          <w:szCs w:val="24"/>
          <w:lang w:val="en-US"/>
        </w:rPr>
        <w:t>Abstract</w:t>
      </w:r>
    </w:p>
    <w:p w:rsidR="00D216FF" w:rsidRPr="00260B4B" w:rsidRDefault="00D216FF" w:rsidP="001F03CD">
      <w:pPr>
        <w:spacing w:after="0" w:line="240" w:lineRule="auto"/>
        <w:jc w:val="both"/>
        <w:rPr>
          <w:rFonts w:ascii="Times New Roman" w:hAnsi="Times New Roman"/>
          <w:color w:val="000000" w:themeColor="text1"/>
          <w:sz w:val="24"/>
          <w:szCs w:val="24"/>
          <w:lang w:val="en-US"/>
        </w:rPr>
      </w:pPr>
      <w:r w:rsidRPr="00260B4B">
        <w:rPr>
          <w:rFonts w:ascii="Times New Roman" w:hAnsi="Times New Roman"/>
          <w:color w:val="000000" w:themeColor="text1"/>
          <w:sz w:val="24"/>
          <w:szCs w:val="24"/>
          <w:lang w:val="en-US"/>
        </w:rPr>
        <w:t xml:space="preserve">The present work studies the </w:t>
      </w:r>
      <w:r>
        <w:rPr>
          <w:rFonts w:ascii="Times New Roman" w:hAnsi="Times New Roman"/>
          <w:color w:val="000000" w:themeColor="text1"/>
          <w:sz w:val="24"/>
          <w:szCs w:val="24"/>
          <w:lang w:val="en-US"/>
        </w:rPr>
        <w:t xml:space="preserve">informality </w:t>
      </w:r>
      <w:r w:rsidRPr="00260B4B">
        <w:rPr>
          <w:rFonts w:ascii="Times New Roman" w:hAnsi="Times New Roman"/>
          <w:color w:val="000000" w:themeColor="text1"/>
          <w:sz w:val="24"/>
          <w:szCs w:val="24"/>
          <w:lang w:val="en-US"/>
        </w:rPr>
        <w:t>rate drop in the period 200</w:t>
      </w:r>
      <w:r>
        <w:rPr>
          <w:rFonts w:ascii="Times New Roman" w:hAnsi="Times New Roman"/>
          <w:color w:val="000000" w:themeColor="text1"/>
          <w:sz w:val="24"/>
          <w:szCs w:val="24"/>
          <w:lang w:val="en-US"/>
        </w:rPr>
        <w:t>2</w:t>
      </w:r>
      <w:r w:rsidRPr="00260B4B">
        <w:rPr>
          <w:rFonts w:ascii="Times New Roman" w:hAnsi="Times New Roman"/>
          <w:color w:val="000000" w:themeColor="text1"/>
          <w:sz w:val="24"/>
          <w:szCs w:val="24"/>
          <w:lang w:val="en-US"/>
        </w:rPr>
        <w:t>-20</w:t>
      </w:r>
      <w:r w:rsidR="0084600F">
        <w:rPr>
          <w:rFonts w:ascii="Times New Roman" w:hAnsi="Times New Roman"/>
          <w:color w:val="000000" w:themeColor="text1"/>
          <w:sz w:val="24"/>
          <w:szCs w:val="24"/>
          <w:lang w:val="en-US"/>
        </w:rPr>
        <w:t>11</w:t>
      </w:r>
      <w:r w:rsidRPr="00260B4B">
        <w:rPr>
          <w:rFonts w:ascii="Times New Roman" w:hAnsi="Times New Roman"/>
          <w:color w:val="000000" w:themeColor="text1"/>
          <w:sz w:val="24"/>
          <w:szCs w:val="24"/>
          <w:lang w:val="en-US"/>
        </w:rPr>
        <w:t xml:space="preserve"> using a household level data (PNAD)</w:t>
      </w:r>
      <w:r>
        <w:rPr>
          <w:rFonts w:ascii="Times New Roman" w:hAnsi="Times New Roman"/>
          <w:color w:val="000000" w:themeColor="text1"/>
          <w:sz w:val="24"/>
          <w:szCs w:val="24"/>
          <w:lang w:val="en-US"/>
        </w:rPr>
        <w:t xml:space="preserve"> and uses the Monthly Employment Research Data</w:t>
      </w:r>
      <w:r w:rsidR="00B02E73">
        <w:rPr>
          <w:rFonts w:ascii="Times New Roman" w:hAnsi="Times New Roman"/>
          <w:color w:val="000000" w:themeColor="text1"/>
          <w:sz w:val="24"/>
          <w:szCs w:val="24"/>
          <w:lang w:val="en-US"/>
        </w:rPr>
        <w:t xml:space="preserve"> (PME)</w:t>
      </w:r>
      <w:r>
        <w:rPr>
          <w:rFonts w:ascii="Times New Roman" w:hAnsi="Times New Roman"/>
          <w:color w:val="000000" w:themeColor="text1"/>
          <w:sz w:val="24"/>
          <w:szCs w:val="24"/>
          <w:lang w:val="en-US"/>
        </w:rPr>
        <w:t xml:space="preserve"> to compute a labor market transition matrix for </w:t>
      </w:r>
      <w:r w:rsidR="00F87C5E">
        <w:rPr>
          <w:rFonts w:ascii="Times New Roman" w:hAnsi="Times New Roman"/>
          <w:color w:val="000000" w:themeColor="text1"/>
          <w:sz w:val="24"/>
          <w:szCs w:val="24"/>
          <w:lang w:val="en-US"/>
        </w:rPr>
        <w:t>200</w:t>
      </w:r>
      <w:r w:rsidR="004D1EC3">
        <w:rPr>
          <w:rFonts w:ascii="Times New Roman" w:hAnsi="Times New Roman"/>
          <w:color w:val="000000" w:themeColor="text1"/>
          <w:sz w:val="24"/>
          <w:szCs w:val="24"/>
          <w:lang w:val="en-US"/>
        </w:rPr>
        <w:t>3</w:t>
      </w:r>
      <w:r w:rsidR="00F87C5E">
        <w:rPr>
          <w:rFonts w:ascii="Times New Roman" w:hAnsi="Times New Roman"/>
          <w:color w:val="000000" w:themeColor="text1"/>
          <w:sz w:val="24"/>
          <w:szCs w:val="24"/>
          <w:lang w:val="en-US"/>
        </w:rPr>
        <w:t xml:space="preserve"> and 2011</w:t>
      </w:r>
      <w:r w:rsidRPr="00260B4B">
        <w:rPr>
          <w:rFonts w:ascii="Times New Roman" w:hAnsi="Times New Roman"/>
          <w:color w:val="000000" w:themeColor="text1"/>
          <w:sz w:val="24"/>
          <w:szCs w:val="24"/>
          <w:lang w:val="en-US"/>
        </w:rPr>
        <w:t xml:space="preserve">. The main conclusions of the present work are the following. First, the </w:t>
      </w:r>
      <w:r w:rsidR="00F87C5E">
        <w:rPr>
          <w:rFonts w:ascii="Times New Roman" w:hAnsi="Times New Roman"/>
          <w:color w:val="000000" w:themeColor="text1"/>
          <w:sz w:val="24"/>
          <w:szCs w:val="24"/>
          <w:lang w:val="en-US"/>
        </w:rPr>
        <w:t>informality</w:t>
      </w:r>
      <w:r w:rsidRPr="00260B4B">
        <w:rPr>
          <w:rFonts w:ascii="Times New Roman" w:hAnsi="Times New Roman"/>
          <w:color w:val="000000" w:themeColor="text1"/>
          <w:sz w:val="24"/>
          <w:szCs w:val="24"/>
          <w:lang w:val="en-US"/>
        </w:rPr>
        <w:t xml:space="preserve"> drop </w:t>
      </w:r>
      <w:r w:rsidR="00F87C5E">
        <w:rPr>
          <w:rFonts w:ascii="Times New Roman" w:hAnsi="Times New Roman"/>
          <w:color w:val="000000" w:themeColor="text1"/>
          <w:sz w:val="24"/>
          <w:szCs w:val="24"/>
          <w:lang w:val="en-US"/>
        </w:rPr>
        <w:t xml:space="preserve">was higher in the non metropolitan areas. </w:t>
      </w:r>
      <w:r w:rsidRPr="00260B4B">
        <w:rPr>
          <w:rFonts w:ascii="Times New Roman" w:hAnsi="Times New Roman"/>
          <w:color w:val="000000" w:themeColor="text1"/>
          <w:sz w:val="24"/>
          <w:szCs w:val="24"/>
          <w:lang w:val="en-US"/>
        </w:rPr>
        <w:t xml:space="preserve">Second, </w:t>
      </w:r>
      <w:r w:rsidR="00F87C5E">
        <w:rPr>
          <w:rFonts w:ascii="Times New Roman" w:hAnsi="Times New Roman"/>
          <w:color w:val="000000" w:themeColor="text1"/>
          <w:sz w:val="24"/>
          <w:szCs w:val="24"/>
          <w:lang w:val="en-US"/>
        </w:rPr>
        <w:t>an informality drop decomposition methodology</w:t>
      </w:r>
      <w:r w:rsidR="0068141F">
        <w:rPr>
          <w:rFonts w:ascii="Times New Roman" w:hAnsi="Times New Roman"/>
          <w:color w:val="000000" w:themeColor="text1"/>
          <w:sz w:val="24"/>
          <w:szCs w:val="24"/>
          <w:lang w:val="en-US"/>
        </w:rPr>
        <w:t xml:space="preserve"> shows that the participation de</w:t>
      </w:r>
      <w:r w:rsidR="00F87C5E">
        <w:rPr>
          <w:rFonts w:ascii="Times New Roman" w:hAnsi="Times New Roman"/>
          <w:color w:val="000000" w:themeColor="text1"/>
          <w:sz w:val="24"/>
          <w:szCs w:val="24"/>
          <w:lang w:val="en-US"/>
        </w:rPr>
        <w:t xml:space="preserve">crease of </w:t>
      </w:r>
      <w:r w:rsidR="0068141F">
        <w:rPr>
          <w:rFonts w:ascii="Times New Roman" w:hAnsi="Times New Roman"/>
          <w:color w:val="000000" w:themeColor="text1"/>
          <w:sz w:val="24"/>
          <w:szCs w:val="24"/>
          <w:lang w:val="en-US"/>
        </w:rPr>
        <w:t>lower</w:t>
      </w:r>
      <w:r w:rsidR="00F87C5E">
        <w:rPr>
          <w:rFonts w:ascii="Times New Roman" w:hAnsi="Times New Roman"/>
          <w:color w:val="000000" w:themeColor="text1"/>
          <w:sz w:val="24"/>
          <w:szCs w:val="24"/>
          <w:lang w:val="en-US"/>
        </w:rPr>
        <w:t xml:space="preserve"> educated groups</w:t>
      </w:r>
      <w:r w:rsidR="00564AFD">
        <w:rPr>
          <w:rFonts w:ascii="Times New Roman" w:hAnsi="Times New Roman"/>
          <w:color w:val="000000" w:themeColor="text1"/>
          <w:sz w:val="24"/>
          <w:szCs w:val="24"/>
          <w:lang w:val="en-US"/>
        </w:rPr>
        <w:t xml:space="preserve"> with low level of work experience</w:t>
      </w:r>
      <w:r w:rsidR="00F87C5E">
        <w:rPr>
          <w:rFonts w:ascii="Times New Roman" w:hAnsi="Times New Roman"/>
          <w:color w:val="000000" w:themeColor="text1"/>
          <w:sz w:val="24"/>
          <w:szCs w:val="24"/>
          <w:lang w:val="en-US"/>
        </w:rPr>
        <w:t xml:space="preserve"> can explain up to </w:t>
      </w:r>
      <w:r w:rsidR="008D7322">
        <w:rPr>
          <w:rFonts w:ascii="Times New Roman" w:hAnsi="Times New Roman"/>
          <w:color w:val="000000" w:themeColor="text1"/>
          <w:sz w:val="24"/>
          <w:szCs w:val="24"/>
          <w:lang w:val="en-US"/>
        </w:rPr>
        <w:t>5</w:t>
      </w:r>
      <w:r w:rsidR="00F87C5E">
        <w:rPr>
          <w:rFonts w:ascii="Times New Roman" w:hAnsi="Times New Roman"/>
          <w:color w:val="000000" w:themeColor="text1"/>
          <w:sz w:val="24"/>
          <w:szCs w:val="24"/>
          <w:lang w:val="en-US"/>
        </w:rPr>
        <w:t>0% of the informality drop. Finally, the labor market transition matrix indicates that formalization increase was a result of two factors: informal workers moving from informal jobs to formal and unemployed people being absorbed by the formal sector</w:t>
      </w:r>
      <w:r w:rsidRPr="00260B4B">
        <w:rPr>
          <w:rFonts w:ascii="Times New Roman" w:hAnsi="Times New Roman"/>
          <w:color w:val="000000" w:themeColor="text1"/>
          <w:sz w:val="24"/>
          <w:szCs w:val="24"/>
          <w:lang w:val="en-US"/>
        </w:rPr>
        <w:t>.</w:t>
      </w:r>
    </w:p>
    <w:p w:rsidR="00F06CAA" w:rsidRDefault="00F92C78" w:rsidP="001F03CD">
      <w:pPr>
        <w:spacing w:after="0" w:line="240" w:lineRule="auto"/>
        <w:jc w:val="both"/>
        <w:rPr>
          <w:rFonts w:ascii="Times New Roman" w:hAnsi="Times New Roman"/>
          <w:sz w:val="24"/>
          <w:szCs w:val="24"/>
          <w:lang w:val="en-US"/>
        </w:rPr>
      </w:pPr>
      <w:r w:rsidRPr="00F92C78">
        <w:rPr>
          <w:rFonts w:ascii="Times New Roman" w:hAnsi="Times New Roman"/>
          <w:sz w:val="24"/>
          <w:szCs w:val="24"/>
          <w:lang w:val="en-US"/>
        </w:rPr>
        <w:t xml:space="preserve">Key-Words: Informality, </w:t>
      </w:r>
      <w:r w:rsidR="00091EC2">
        <w:rPr>
          <w:rFonts w:ascii="Times New Roman" w:hAnsi="Times New Roman"/>
          <w:sz w:val="24"/>
          <w:szCs w:val="24"/>
          <w:lang w:val="en-US"/>
        </w:rPr>
        <w:t>Human Capital,</w:t>
      </w:r>
      <w:r w:rsidR="00F45B13">
        <w:rPr>
          <w:rFonts w:ascii="Times New Roman" w:hAnsi="Times New Roman"/>
          <w:sz w:val="24"/>
          <w:szCs w:val="24"/>
          <w:lang w:val="en-US"/>
        </w:rPr>
        <w:t xml:space="preserve"> Sectors of Economic Activity,</w:t>
      </w:r>
      <w:r w:rsidR="00091EC2">
        <w:rPr>
          <w:rFonts w:ascii="Times New Roman" w:hAnsi="Times New Roman"/>
          <w:sz w:val="24"/>
          <w:szCs w:val="24"/>
          <w:lang w:val="en-US"/>
        </w:rPr>
        <w:t xml:space="preserve"> </w:t>
      </w:r>
      <w:r w:rsidRPr="00F92C78">
        <w:rPr>
          <w:rFonts w:ascii="Times New Roman" w:hAnsi="Times New Roman"/>
          <w:sz w:val="24"/>
          <w:szCs w:val="24"/>
          <w:lang w:val="en-US"/>
        </w:rPr>
        <w:t xml:space="preserve">Decomposition, </w:t>
      </w:r>
      <w:r>
        <w:rPr>
          <w:rFonts w:ascii="Times New Roman" w:hAnsi="Times New Roman"/>
          <w:sz w:val="24"/>
          <w:szCs w:val="24"/>
          <w:lang w:val="en-US"/>
        </w:rPr>
        <w:t>Transition Matrix, Metropolitan A</w:t>
      </w:r>
      <w:r w:rsidRPr="00F92C78">
        <w:rPr>
          <w:rFonts w:ascii="Times New Roman" w:hAnsi="Times New Roman"/>
          <w:sz w:val="24"/>
          <w:szCs w:val="24"/>
          <w:lang w:val="en-US"/>
        </w:rPr>
        <w:t>rea</w:t>
      </w:r>
      <w:r w:rsidR="003572F5">
        <w:rPr>
          <w:rFonts w:ascii="Times New Roman" w:hAnsi="Times New Roman"/>
          <w:sz w:val="24"/>
          <w:szCs w:val="24"/>
          <w:lang w:val="en-US"/>
        </w:rPr>
        <w:t>.</w:t>
      </w:r>
    </w:p>
    <w:p w:rsidR="00F830E4" w:rsidRDefault="00F04452" w:rsidP="001F03CD">
      <w:pPr>
        <w:spacing w:after="0" w:line="240" w:lineRule="auto"/>
        <w:jc w:val="both"/>
        <w:rPr>
          <w:rFonts w:ascii="Times New Roman" w:hAnsi="Times New Roman"/>
          <w:sz w:val="24"/>
          <w:szCs w:val="24"/>
        </w:rPr>
      </w:pPr>
      <w:r w:rsidRPr="00DC1AF0">
        <w:rPr>
          <w:rFonts w:ascii="Times New Roman" w:hAnsi="Times New Roman"/>
          <w:sz w:val="24"/>
          <w:szCs w:val="24"/>
        </w:rPr>
        <w:t>Classificação JEL:</w:t>
      </w:r>
      <w:r w:rsidR="00DC1AF0" w:rsidRPr="00DC1AF0">
        <w:rPr>
          <w:rFonts w:ascii="Times New Roman" w:hAnsi="Times New Roman"/>
          <w:sz w:val="24"/>
          <w:szCs w:val="24"/>
        </w:rPr>
        <w:t xml:space="preserve"> J</w:t>
      </w:r>
      <w:r w:rsidR="00DC1AF0">
        <w:rPr>
          <w:rFonts w:ascii="Times New Roman" w:hAnsi="Times New Roman"/>
          <w:sz w:val="24"/>
          <w:szCs w:val="24"/>
        </w:rPr>
        <w:t>1, J21, J24, J6, J81, J82.</w:t>
      </w:r>
    </w:p>
    <w:p w:rsidR="00050454" w:rsidRDefault="00050454" w:rsidP="001F03CD">
      <w:pPr>
        <w:spacing w:after="0" w:line="240" w:lineRule="auto"/>
        <w:jc w:val="both"/>
        <w:rPr>
          <w:rFonts w:ascii="Times New Roman" w:hAnsi="Times New Roman"/>
          <w:sz w:val="24"/>
          <w:szCs w:val="24"/>
        </w:rPr>
      </w:pPr>
    </w:p>
    <w:p w:rsidR="00050454" w:rsidRDefault="00050454" w:rsidP="001F03CD">
      <w:pPr>
        <w:spacing w:after="0" w:line="240" w:lineRule="auto"/>
        <w:rPr>
          <w:rFonts w:ascii="Times New Roman" w:hAnsi="Times New Roman"/>
          <w:b/>
          <w:sz w:val="24"/>
          <w:szCs w:val="24"/>
        </w:rPr>
      </w:pPr>
      <w:r>
        <w:rPr>
          <w:rFonts w:ascii="Times New Roman" w:hAnsi="Times New Roman"/>
          <w:b/>
          <w:sz w:val="24"/>
          <w:szCs w:val="24"/>
        </w:rPr>
        <w:br w:type="page"/>
      </w:r>
    </w:p>
    <w:p w:rsidR="00B6747F" w:rsidRDefault="00B6747F" w:rsidP="001F03CD">
      <w:pPr>
        <w:spacing w:after="120" w:line="240" w:lineRule="auto"/>
        <w:rPr>
          <w:rFonts w:ascii="Times New Roman" w:hAnsi="Times New Roman"/>
          <w:b/>
          <w:sz w:val="24"/>
          <w:szCs w:val="24"/>
        </w:rPr>
      </w:pPr>
      <w:r w:rsidRPr="00297D89">
        <w:rPr>
          <w:rFonts w:ascii="Times New Roman" w:hAnsi="Times New Roman"/>
          <w:b/>
          <w:sz w:val="24"/>
          <w:szCs w:val="24"/>
        </w:rPr>
        <w:lastRenderedPageBreak/>
        <w:t xml:space="preserve">1 </w:t>
      </w:r>
      <w:r w:rsidR="00297D89">
        <w:rPr>
          <w:rFonts w:ascii="Times New Roman" w:hAnsi="Times New Roman"/>
          <w:b/>
          <w:sz w:val="24"/>
          <w:szCs w:val="24"/>
        </w:rPr>
        <w:t>–</w:t>
      </w:r>
      <w:r w:rsidRPr="00297D89">
        <w:rPr>
          <w:rFonts w:ascii="Times New Roman" w:hAnsi="Times New Roman"/>
          <w:b/>
          <w:sz w:val="24"/>
          <w:szCs w:val="24"/>
        </w:rPr>
        <w:t xml:space="preserve"> I</w:t>
      </w:r>
      <w:r w:rsidR="00572CE3">
        <w:rPr>
          <w:rFonts w:ascii="Times New Roman" w:hAnsi="Times New Roman"/>
          <w:b/>
          <w:sz w:val="24"/>
          <w:szCs w:val="24"/>
        </w:rPr>
        <w:t>NTRODUÇÃO</w:t>
      </w:r>
    </w:p>
    <w:p w:rsidR="00066F94" w:rsidRDefault="00066F94" w:rsidP="001F03CD">
      <w:pPr>
        <w:spacing w:after="120" w:line="240" w:lineRule="auto"/>
        <w:ind w:firstLine="708"/>
        <w:jc w:val="both"/>
        <w:rPr>
          <w:rFonts w:ascii="Times New Roman" w:hAnsi="Times New Roman"/>
          <w:sz w:val="24"/>
          <w:szCs w:val="24"/>
        </w:rPr>
      </w:pPr>
      <w:r>
        <w:rPr>
          <w:rFonts w:ascii="Times New Roman" w:hAnsi="Times New Roman"/>
          <w:sz w:val="24"/>
          <w:szCs w:val="24"/>
        </w:rPr>
        <w:t>Entre 2002 e 2011 observou-se no país uma qued</w:t>
      </w:r>
      <w:r w:rsidR="00FB7862">
        <w:rPr>
          <w:rFonts w:ascii="Times New Roman" w:hAnsi="Times New Roman"/>
          <w:sz w:val="24"/>
          <w:szCs w:val="24"/>
        </w:rPr>
        <w:t>a abrupta da taxa de desemprego</w:t>
      </w:r>
      <w:bookmarkStart w:id="0" w:name="_GoBack"/>
      <w:bookmarkEnd w:id="0"/>
      <w:r>
        <w:rPr>
          <w:rFonts w:ascii="Times New Roman" w:hAnsi="Times New Roman"/>
          <w:sz w:val="24"/>
          <w:szCs w:val="24"/>
        </w:rPr>
        <w:t>. Ao mesmo tempo ocorreu outro importante movimento no mercado de trabalho que foi a redução do grau de informalidade da economia brasileira.</w:t>
      </w:r>
      <w:r w:rsidR="00D65135">
        <w:rPr>
          <w:rFonts w:ascii="Times New Roman" w:hAnsi="Times New Roman"/>
          <w:sz w:val="24"/>
          <w:szCs w:val="24"/>
        </w:rPr>
        <w:t xml:space="preserve"> Corseuil, Moura e Ramos (2011) avaliam o crescimento da formalidade pela ótica da demanda. </w:t>
      </w:r>
      <w:r w:rsidR="00D65135" w:rsidRPr="00D65135">
        <w:rPr>
          <w:rFonts w:ascii="Times New Roman" w:hAnsi="Times New Roman"/>
          <w:sz w:val="24"/>
          <w:szCs w:val="24"/>
        </w:rPr>
        <w:t>As evidências apresentadas</w:t>
      </w:r>
      <w:r w:rsidR="00D65135">
        <w:rPr>
          <w:rFonts w:ascii="Times New Roman" w:hAnsi="Times New Roman"/>
          <w:sz w:val="24"/>
          <w:szCs w:val="24"/>
        </w:rPr>
        <w:t xml:space="preserve"> pelos autores</w:t>
      </w:r>
      <w:r w:rsidR="00D65135" w:rsidRPr="00D65135">
        <w:rPr>
          <w:rFonts w:ascii="Times New Roman" w:hAnsi="Times New Roman"/>
          <w:sz w:val="24"/>
          <w:szCs w:val="24"/>
        </w:rPr>
        <w:t xml:space="preserve"> apontam que essa aceleração se deve ao</w:t>
      </w:r>
      <w:r w:rsidR="00AB66CC">
        <w:rPr>
          <w:rFonts w:ascii="Times New Roman" w:hAnsi="Times New Roman"/>
          <w:sz w:val="24"/>
          <w:szCs w:val="24"/>
        </w:rPr>
        <w:t xml:space="preserve"> aumento do</w:t>
      </w:r>
      <w:r w:rsidR="00D65135" w:rsidRPr="00D65135">
        <w:rPr>
          <w:rFonts w:ascii="Times New Roman" w:hAnsi="Times New Roman"/>
          <w:sz w:val="24"/>
          <w:szCs w:val="24"/>
        </w:rPr>
        <w:t xml:space="preserve"> número médio de empregados por estabelecimento</w:t>
      </w:r>
      <w:r w:rsidR="00AB66CC">
        <w:rPr>
          <w:rFonts w:ascii="Times New Roman" w:hAnsi="Times New Roman"/>
          <w:sz w:val="24"/>
          <w:szCs w:val="24"/>
        </w:rPr>
        <w:t>, ocorrido na última década, e não a mudança de padrão de crescimento do número de estabelecimentos</w:t>
      </w:r>
      <w:r w:rsidR="00D65135" w:rsidRPr="00D65135">
        <w:rPr>
          <w:rFonts w:ascii="Times New Roman" w:hAnsi="Times New Roman"/>
          <w:sz w:val="24"/>
          <w:szCs w:val="24"/>
        </w:rPr>
        <w:t xml:space="preserve">. </w:t>
      </w:r>
      <w:r w:rsidR="00AB66CC">
        <w:rPr>
          <w:rFonts w:ascii="Times New Roman" w:hAnsi="Times New Roman"/>
          <w:sz w:val="24"/>
          <w:szCs w:val="24"/>
        </w:rPr>
        <w:t xml:space="preserve">Esse resultado não decorre </w:t>
      </w:r>
      <w:r w:rsidR="00D65135" w:rsidRPr="00D65135">
        <w:rPr>
          <w:rFonts w:ascii="Times New Roman" w:hAnsi="Times New Roman"/>
          <w:sz w:val="24"/>
          <w:szCs w:val="24"/>
        </w:rPr>
        <w:t>de mudanças na composição setorial que</w:t>
      </w:r>
      <w:r w:rsidR="00AB66CC">
        <w:rPr>
          <w:rFonts w:ascii="Times New Roman" w:hAnsi="Times New Roman"/>
          <w:sz w:val="24"/>
          <w:szCs w:val="24"/>
        </w:rPr>
        <w:t xml:space="preserve"> poderia</w:t>
      </w:r>
      <w:r w:rsidR="00D65135" w:rsidRPr="00D65135">
        <w:rPr>
          <w:rFonts w:ascii="Times New Roman" w:hAnsi="Times New Roman"/>
          <w:sz w:val="24"/>
          <w:szCs w:val="24"/>
        </w:rPr>
        <w:t xml:space="preserve"> favore</w:t>
      </w:r>
      <w:r w:rsidR="00AB66CC">
        <w:rPr>
          <w:rFonts w:ascii="Times New Roman" w:hAnsi="Times New Roman"/>
          <w:sz w:val="24"/>
          <w:szCs w:val="24"/>
        </w:rPr>
        <w:t>cer</w:t>
      </w:r>
      <w:r w:rsidR="00D65135" w:rsidRPr="00D65135">
        <w:rPr>
          <w:rFonts w:ascii="Times New Roman" w:hAnsi="Times New Roman"/>
          <w:sz w:val="24"/>
          <w:szCs w:val="24"/>
        </w:rPr>
        <w:t xml:space="preserve"> setores com maiores escalas de operação, nem um aprofundamento do processo de seleção que penaliza os pequenos estabelecimentos. As evidências apontam que a seleção teria contribuído para uma diminuição do tamanho médio, mas esse efeito foi contrabalançado por um nível de emprego maior nas firmas mais novas.</w:t>
      </w:r>
      <w:r w:rsidR="00C22D14">
        <w:rPr>
          <w:rFonts w:ascii="Times New Roman" w:hAnsi="Times New Roman"/>
          <w:sz w:val="24"/>
          <w:szCs w:val="24"/>
        </w:rPr>
        <w:t xml:space="preserve"> Assim, como as firmas mais novas são em média menores e, a informalidade ocorre com maior frequência em tal grupo, podemos concluir que a queda da taxa de informalidade </w:t>
      </w:r>
      <w:r w:rsidR="00B50E14">
        <w:rPr>
          <w:rFonts w:ascii="Times New Roman" w:hAnsi="Times New Roman"/>
          <w:sz w:val="24"/>
          <w:szCs w:val="24"/>
        </w:rPr>
        <w:t>foi impulsionada pela formalização de tal grupo. No entanto, uma análise mais aprofundada segundo características da oferta, ou seja, do trabalhador, interagindo com o lado da demanda ainda não foi feita.</w:t>
      </w:r>
    </w:p>
    <w:p w:rsidR="009553A7" w:rsidRDefault="009553A7" w:rsidP="001F03CD">
      <w:pPr>
        <w:spacing w:after="120" w:line="240" w:lineRule="auto"/>
        <w:ind w:firstLine="708"/>
        <w:jc w:val="both"/>
        <w:rPr>
          <w:rFonts w:ascii="Times New Roman" w:hAnsi="Times New Roman"/>
          <w:sz w:val="24"/>
          <w:szCs w:val="24"/>
        </w:rPr>
      </w:pPr>
      <w:r>
        <w:rPr>
          <w:rFonts w:ascii="Times New Roman" w:hAnsi="Times New Roman"/>
          <w:sz w:val="24"/>
          <w:szCs w:val="24"/>
        </w:rPr>
        <w:t>A informalidade da economia brasileira é mensurada de diversas formas. Neste trabalho define-se a informalidade como a fração de empregados sem carteira em relação ao total de empregados. Diferentemente de diversos trabalhos, aqui não consideramos trabalhadores conta própria como informais uma vez que trabalhadores conta-própria não são</w:t>
      </w:r>
      <w:r w:rsidR="00D07484">
        <w:rPr>
          <w:rFonts w:ascii="Times New Roman" w:hAnsi="Times New Roman"/>
          <w:sz w:val="24"/>
          <w:szCs w:val="24"/>
        </w:rPr>
        <w:t xml:space="preserve"> necessariamente</w:t>
      </w:r>
      <w:r>
        <w:rPr>
          <w:rFonts w:ascii="Times New Roman" w:hAnsi="Times New Roman"/>
          <w:sz w:val="24"/>
          <w:szCs w:val="24"/>
        </w:rPr>
        <w:t xml:space="preserve"> ilegais, ainda mais após a criação do Micro Empreendedor Individual (MEI).</w:t>
      </w:r>
    </w:p>
    <w:p w:rsidR="00CE2933" w:rsidRPr="00260B4B" w:rsidRDefault="00CE2933" w:rsidP="001F03CD">
      <w:pPr>
        <w:tabs>
          <w:tab w:val="num" w:pos="720"/>
        </w:tabs>
        <w:spacing w:after="0" w:line="240" w:lineRule="auto"/>
        <w:ind w:firstLine="567"/>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 xml:space="preserve">Este artigo </w:t>
      </w:r>
      <w:r>
        <w:rPr>
          <w:rFonts w:ascii="Times New Roman" w:hAnsi="Times New Roman"/>
          <w:color w:val="000000" w:themeColor="text1"/>
          <w:sz w:val="24"/>
          <w:szCs w:val="24"/>
        </w:rPr>
        <w:t xml:space="preserve">adapta a metodologia utilizada para analisar variações na taxa de desemprego em </w:t>
      </w:r>
      <w:r w:rsidRPr="00260B4B">
        <w:rPr>
          <w:rFonts w:ascii="Times New Roman" w:hAnsi="Times New Roman"/>
          <w:color w:val="000000" w:themeColor="text1"/>
          <w:sz w:val="24"/>
          <w:szCs w:val="24"/>
        </w:rPr>
        <w:t xml:space="preserve">Banerjee </w:t>
      </w:r>
      <w:r w:rsidRPr="00260B4B">
        <w:rPr>
          <w:rFonts w:ascii="Times New Roman" w:hAnsi="Times New Roman"/>
          <w:i/>
          <w:color w:val="000000" w:themeColor="text1"/>
          <w:sz w:val="24"/>
          <w:szCs w:val="24"/>
        </w:rPr>
        <w:t>et alli</w:t>
      </w:r>
      <w:r w:rsidRPr="00260B4B">
        <w:rPr>
          <w:rFonts w:ascii="Times New Roman" w:hAnsi="Times New Roman"/>
          <w:color w:val="000000" w:themeColor="text1"/>
          <w:sz w:val="24"/>
          <w:szCs w:val="24"/>
        </w:rPr>
        <w:t xml:space="preserve"> (2007), Hipple (1997), Shimer (1999)</w:t>
      </w:r>
      <w:r>
        <w:rPr>
          <w:rFonts w:ascii="Times New Roman" w:hAnsi="Times New Roman"/>
          <w:color w:val="000000" w:themeColor="text1"/>
          <w:sz w:val="24"/>
          <w:szCs w:val="24"/>
        </w:rPr>
        <w:t>,</w:t>
      </w:r>
      <w:r w:rsidRPr="00260B4B">
        <w:rPr>
          <w:rFonts w:ascii="Times New Roman" w:hAnsi="Times New Roman"/>
          <w:color w:val="000000" w:themeColor="text1"/>
          <w:sz w:val="24"/>
          <w:szCs w:val="24"/>
        </w:rPr>
        <w:t xml:space="preserve"> Duca e Campbell (2007)</w:t>
      </w:r>
      <w:r>
        <w:rPr>
          <w:rFonts w:ascii="Times New Roman" w:hAnsi="Times New Roman"/>
          <w:color w:val="000000" w:themeColor="text1"/>
          <w:sz w:val="24"/>
          <w:szCs w:val="24"/>
        </w:rPr>
        <w:t xml:space="preserve"> e Barbosa Filho e Pessôa (2011) para estudar a recente queda da taxa de informalidade no Brasil. Desta forma, é possível avaliar a redução da informalidade no Brasil</w:t>
      </w:r>
      <w:r w:rsidRPr="00260B4B">
        <w:rPr>
          <w:rFonts w:ascii="Times New Roman" w:hAnsi="Times New Roman"/>
          <w:color w:val="000000" w:themeColor="text1"/>
          <w:sz w:val="24"/>
          <w:szCs w:val="24"/>
        </w:rPr>
        <w:t xml:space="preserve"> com base em</w:t>
      </w:r>
      <w:r w:rsidR="000B66CE">
        <w:rPr>
          <w:rFonts w:ascii="Times New Roman" w:hAnsi="Times New Roman"/>
          <w:color w:val="000000" w:themeColor="text1"/>
          <w:sz w:val="24"/>
          <w:szCs w:val="24"/>
        </w:rPr>
        <w:t xml:space="preserve"> características da oferta</w:t>
      </w:r>
      <w:r w:rsidR="000C2672">
        <w:rPr>
          <w:rFonts w:ascii="Times New Roman" w:hAnsi="Times New Roman"/>
          <w:color w:val="000000" w:themeColor="text1"/>
          <w:sz w:val="24"/>
          <w:szCs w:val="24"/>
        </w:rPr>
        <w:t xml:space="preserve"> (fatores demográficos)</w:t>
      </w:r>
      <w:r w:rsidRPr="00260B4B">
        <w:rPr>
          <w:rFonts w:ascii="Times New Roman" w:hAnsi="Times New Roman"/>
          <w:color w:val="000000" w:themeColor="text1"/>
          <w:sz w:val="24"/>
          <w:szCs w:val="24"/>
        </w:rPr>
        <w:t>, como: gênero, raça, faixa etária, grau de escolaridade, experiência e capital humano. Adicionalmente, realiza-se a decomposição por</w:t>
      </w:r>
      <w:r>
        <w:rPr>
          <w:rFonts w:ascii="Times New Roman" w:hAnsi="Times New Roman"/>
          <w:color w:val="000000" w:themeColor="text1"/>
          <w:sz w:val="24"/>
          <w:szCs w:val="24"/>
        </w:rPr>
        <w:t xml:space="preserve"> atividades econômicas e por</w:t>
      </w:r>
      <w:r w:rsidRPr="00260B4B">
        <w:rPr>
          <w:rFonts w:ascii="Times New Roman" w:hAnsi="Times New Roman"/>
          <w:color w:val="000000" w:themeColor="text1"/>
          <w:sz w:val="24"/>
          <w:szCs w:val="24"/>
        </w:rPr>
        <w:t xml:space="preserve"> regiões metropolitanas</w:t>
      </w:r>
      <w:r>
        <w:rPr>
          <w:rFonts w:ascii="Times New Roman" w:hAnsi="Times New Roman"/>
          <w:color w:val="000000" w:themeColor="text1"/>
          <w:sz w:val="24"/>
          <w:szCs w:val="24"/>
        </w:rPr>
        <w:t xml:space="preserve"> (RMs)</w:t>
      </w:r>
      <w:r w:rsidRPr="00260B4B">
        <w:rPr>
          <w:rFonts w:ascii="Times New Roman" w:hAnsi="Times New Roman"/>
          <w:color w:val="000000" w:themeColor="text1"/>
          <w:sz w:val="24"/>
          <w:szCs w:val="24"/>
        </w:rPr>
        <w:t xml:space="preserve"> e não metropolitanas</w:t>
      </w:r>
      <w:r>
        <w:rPr>
          <w:rFonts w:ascii="Times New Roman" w:hAnsi="Times New Roman"/>
          <w:color w:val="000000" w:themeColor="text1"/>
          <w:sz w:val="24"/>
          <w:szCs w:val="24"/>
        </w:rPr>
        <w:t xml:space="preserve"> (NRMs)</w:t>
      </w:r>
      <w:r w:rsidRPr="00260B4B">
        <w:rPr>
          <w:rFonts w:ascii="Times New Roman" w:hAnsi="Times New Roman"/>
          <w:color w:val="000000" w:themeColor="text1"/>
          <w:sz w:val="24"/>
          <w:szCs w:val="24"/>
        </w:rPr>
        <w:t>.</w:t>
      </w:r>
    </w:p>
    <w:p w:rsidR="00915575" w:rsidRPr="00260B4B" w:rsidRDefault="00060C85" w:rsidP="001F03CD">
      <w:pPr>
        <w:spacing w:after="0" w:line="240" w:lineRule="auto"/>
        <w:ind w:firstLine="567"/>
        <w:jc w:val="both"/>
        <w:rPr>
          <w:rFonts w:ascii="Times New Roman" w:hAnsi="Times New Roman"/>
          <w:color w:val="000000" w:themeColor="text1"/>
          <w:sz w:val="24"/>
          <w:szCs w:val="24"/>
        </w:rPr>
      </w:pPr>
      <w:r>
        <w:rPr>
          <w:rFonts w:ascii="Times New Roman" w:hAnsi="Times New Roman"/>
          <w:color w:val="000000" w:themeColor="text1"/>
          <w:sz w:val="24"/>
          <w:szCs w:val="24"/>
        </w:rPr>
        <w:t>Os principais resultados</w:t>
      </w:r>
      <w:r w:rsidR="00915575" w:rsidRPr="00260B4B">
        <w:rPr>
          <w:rFonts w:ascii="Times New Roman" w:hAnsi="Times New Roman"/>
          <w:color w:val="000000" w:themeColor="text1"/>
          <w:sz w:val="24"/>
          <w:szCs w:val="24"/>
        </w:rPr>
        <w:t xml:space="preserve"> do trabalho são </w:t>
      </w:r>
      <w:r w:rsidR="009D3157">
        <w:rPr>
          <w:rFonts w:ascii="Times New Roman" w:hAnsi="Times New Roman"/>
          <w:color w:val="000000" w:themeColor="text1"/>
          <w:sz w:val="24"/>
          <w:szCs w:val="24"/>
        </w:rPr>
        <w:t>o</w:t>
      </w:r>
      <w:r w:rsidR="00915575" w:rsidRPr="00260B4B">
        <w:rPr>
          <w:rFonts w:ascii="Times New Roman" w:hAnsi="Times New Roman"/>
          <w:color w:val="000000" w:themeColor="text1"/>
          <w:sz w:val="24"/>
          <w:szCs w:val="24"/>
        </w:rPr>
        <w:t xml:space="preserve">s seguintes. Primeiro, a </w:t>
      </w:r>
      <w:r w:rsidR="00915575">
        <w:rPr>
          <w:rFonts w:ascii="Times New Roman" w:hAnsi="Times New Roman"/>
          <w:color w:val="000000" w:themeColor="text1"/>
          <w:sz w:val="24"/>
          <w:szCs w:val="24"/>
        </w:rPr>
        <w:t xml:space="preserve">informalidade no Brasil </w:t>
      </w:r>
      <w:r w:rsidR="008D7322">
        <w:rPr>
          <w:rFonts w:ascii="Times New Roman" w:hAnsi="Times New Roman"/>
          <w:color w:val="000000" w:themeColor="text1"/>
          <w:sz w:val="24"/>
          <w:szCs w:val="24"/>
        </w:rPr>
        <w:t>é</w:t>
      </w:r>
      <w:r w:rsidR="00915575">
        <w:rPr>
          <w:rFonts w:ascii="Times New Roman" w:hAnsi="Times New Roman"/>
          <w:color w:val="000000" w:themeColor="text1"/>
          <w:sz w:val="24"/>
          <w:szCs w:val="24"/>
        </w:rPr>
        <w:t xml:space="preserve"> maior </w:t>
      </w:r>
      <w:r w:rsidR="00CE2933">
        <w:rPr>
          <w:rFonts w:ascii="Times New Roman" w:hAnsi="Times New Roman"/>
          <w:color w:val="000000" w:themeColor="text1"/>
          <w:sz w:val="24"/>
          <w:szCs w:val="24"/>
        </w:rPr>
        <w:t>n</w:t>
      </w:r>
      <w:r w:rsidR="00915575">
        <w:rPr>
          <w:rFonts w:ascii="Times New Roman" w:hAnsi="Times New Roman"/>
          <w:color w:val="000000" w:themeColor="text1"/>
          <w:sz w:val="24"/>
          <w:szCs w:val="24"/>
        </w:rPr>
        <w:t>as regiões</w:t>
      </w:r>
      <w:r w:rsidR="00CE2933">
        <w:rPr>
          <w:rFonts w:ascii="Times New Roman" w:hAnsi="Times New Roman"/>
          <w:color w:val="000000" w:themeColor="text1"/>
          <w:sz w:val="24"/>
          <w:szCs w:val="24"/>
        </w:rPr>
        <w:t xml:space="preserve"> não</w:t>
      </w:r>
      <w:r w:rsidR="00915575">
        <w:rPr>
          <w:rFonts w:ascii="Times New Roman" w:hAnsi="Times New Roman"/>
          <w:color w:val="000000" w:themeColor="text1"/>
          <w:sz w:val="24"/>
          <w:szCs w:val="24"/>
        </w:rPr>
        <w:t xml:space="preserve"> metropolitanas</w:t>
      </w:r>
      <w:r w:rsidR="00CE2933">
        <w:rPr>
          <w:rFonts w:ascii="Times New Roman" w:hAnsi="Times New Roman"/>
          <w:color w:val="000000" w:themeColor="text1"/>
          <w:sz w:val="24"/>
          <w:szCs w:val="24"/>
        </w:rPr>
        <w:t>(NRMs)</w:t>
      </w:r>
      <w:r w:rsidR="00915575">
        <w:rPr>
          <w:rFonts w:ascii="Times New Roman" w:hAnsi="Times New Roman"/>
          <w:color w:val="000000" w:themeColor="text1"/>
          <w:sz w:val="24"/>
          <w:szCs w:val="24"/>
        </w:rPr>
        <w:t xml:space="preserve"> do que </w:t>
      </w:r>
      <w:r w:rsidR="00CE2933">
        <w:rPr>
          <w:rFonts w:ascii="Times New Roman" w:hAnsi="Times New Roman"/>
          <w:color w:val="000000" w:themeColor="text1"/>
          <w:sz w:val="24"/>
          <w:szCs w:val="24"/>
        </w:rPr>
        <w:t>n</w:t>
      </w:r>
      <w:r w:rsidR="00915575">
        <w:rPr>
          <w:rFonts w:ascii="Times New Roman" w:hAnsi="Times New Roman"/>
          <w:color w:val="000000" w:themeColor="text1"/>
          <w:sz w:val="24"/>
          <w:szCs w:val="24"/>
        </w:rPr>
        <w:t>as</w:t>
      </w:r>
      <w:r w:rsidR="00CE2933">
        <w:rPr>
          <w:rFonts w:ascii="Times New Roman" w:hAnsi="Times New Roman"/>
          <w:color w:val="000000" w:themeColor="text1"/>
          <w:sz w:val="24"/>
          <w:szCs w:val="24"/>
        </w:rPr>
        <w:t xml:space="preserve"> regiões metropolitanas (RMs)</w:t>
      </w:r>
      <w:r w:rsidR="00915575">
        <w:rPr>
          <w:rFonts w:ascii="Times New Roman" w:hAnsi="Times New Roman"/>
          <w:color w:val="000000" w:themeColor="text1"/>
          <w:sz w:val="24"/>
          <w:szCs w:val="24"/>
        </w:rPr>
        <w:t>.</w:t>
      </w:r>
      <w:r w:rsidR="00CE2933">
        <w:rPr>
          <w:rFonts w:ascii="Times New Roman" w:hAnsi="Times New Roman"/>
          <w:color w:val="000000" w:themeColor="text1"/>
          <w:sz w:val="24"/>
          <w:szCs w:val="24"/>
        </w:rPr>
        <w:t xml:space="preserve"> </w:t>
      </w:r>
      <w:r w:rsidR="0030530E">
        <w:rPr>
          <w:rFonts w:ascii="Times New Roman" w:hAnsi="Times New Roman"/>
          <w:color w:val="000000" w:themeColor="text1"/>
          <w:sz w:val="24"/>
          <w:szCs w:val="24"/>
        </w:rPr>
        <w:t>Segundo</w:t>
      </w:r>
      <w:r w:rsidR="00CE2933">
        <w:rPr>
          <w:rFonts w:ascii="Times New Roman" w:hAnsi="Times New Roman"/>
          <w:color w:val="000000" w:themeColor="text1"/>
          <w:sz w:val="24"/>
          <w:szCs w:val="24"/>
        </w:rPr>
        <w:t xml:space="preserve">, o principal fator que explica o diferencial de taxas entre as RMs e as NRMs é o maior nível de informalidade nas NRMs e não a diferente composição das atividades econômicas. </w:t>
      </w:r>
      <w:r w:rsidR="00915575" w:rsidRPr="00260B4B">
        <w:rPr>
          <w:rFonts w:ascii="Times New Roman" w:hAnsi="Times New Roman"/>
          <w:color w:val="000000" w:themeColor="text1"/>
          <w:sz w:val="24"/>
          <w:szCs w:val="24"/>
        </w:rPr>
        <w:t>Segundo, a</w:t>
      </w:r>
      <w:r w:rsidR="00915575">
        <w:rPr>
          <w:rFonts w:ascii="Times New Roman" w:hAnsi="Times New Roman"/>
          <w:color w:val="000000" w:themeColor="text1"/>
          <w:sz w:val="24"/>
          <w:szCs w:val="24"/>
        </w:rPr>
        <w:t xml:space="preserve"> decomposição da queda da taxa de informalidade </w:t>
      </w:r>
      <w:r w:rsidR="00BC79BF">
        <w:rPr>
          <w:rFonts w:ascii="Times New Roman" w:hAnsi="Times New Roman"/>
          <w:color w:val="000000" w:themeColor="text1"/>
          <w:sz w:val="24"/>
          <w:szCs w:val="24"/>
        </w:rPr>
        <w:t>(</w:t>
      </w:r>
      <w:r w:rsidR="00915575">
        <w:rPr>
          <w:rFonts w:ascii="Times New Roman" w:hAnsi="Times New Roman"/>
          <w:color w:val="000000" w:themeColor="text1"/>
          <w:sz w:val="24"/>
          <w:szCs w:val="24"/>
        </w:rPr>
        <w:t>em ef</w:t>
      </w:r>
      <w:r w:rsidR="00D216FF">
        <w:rPr>
          <w:rFonts w:ascii="Times New Roman" w:hAnsi="Times New Roman"/>
          <w:color w:val="000000" w:themeColor="text1"/>
          <w:sz w:val="24"/>
          <w:szCs w:val="24"/>
        </w:rPr>
        <w:t>eitos nível e composição</w:t>
      </w:r>
      <w:r w:rsidR="00BC79BF">
        <w:rPr>
          <w:rFonts w:ascii="Times New Roman" w:hAnsi="Times New Roman"/>
          <w:color w:val="000000" w:themeColor="text1"/>
          <w:sz w:val="24"/>
          <w:szCs w:val="24"/>
        </w:rPr>
        <w:t>)</w:t>
      </w:r>
      <w:r w:rsidR="00D216FF">
        <w:rPr>
          <w:rFonts w:ascii="Times New Roman" w:hAnsi="Times New Roman"/>
          <w:color w:val="000000" w:themeColor="text1"/>
          <w:sz w:val="24"/>
          <w:szCs w:val="24"/>
        </w:rPr>
        <w:t xml:space="preserve"> mostra</w:t>
      </w:r>
      <w:r w:rsidR="00915575">
        <w:rPr>
          <w:rFonts w:ascii="Times New Roman" w:hAnsi="Times New Roman"/>
          <w:color w:val="000000" w:themeColor="text1"/>
          <w:sz w:val="24"/>
          <w:szCs w:val="24"/>
        </w:rPr>
        <w:t xml:space="preserve"> que a maior participação de trabalhadores escolarizados chega a explicar 60% da queda da informalidade no país. Este resultado mostra mais uma vez o sucesso da política de universalização da educação no país. </w:t>
      </w:r>
      <w:r w:rsidR="009E4D27">
        <w:rPr>
          <w:rFonts w:ascii="Times New Roman" w:hAnsi="Times New Roman"/>
          <w:color w:val="000000" w:themeColor="text1"/>
          <w:sz w:val="24"/>
          <w:szCs w:val="24"/>
        </w:rPr>
        <w:t>Terceiro, caso</w:t>
      </w:r>
      <w:r w:rsidR="00915575">
        <w:rPr>
          <w:rFonts w:ascii="Times New Roman" w:hAnsi="Times New Roman"/>
          <w:color w:val="000000" w:themeColor="text1"/>
          <w:sz w:val="24"/>
          <w:szCs w:val="24"/>
        </w:rPr>
        <w:t xml:space="preserve"> leve-se em consideração a interação entre escolaridade e experiência, a </w:t>
      </w:r>
      <w:r w:rsidR="00DA1FE9">
        <w:rPr>
          <w:rFonts w:ascii="Times New Roman" w:hAnsi="Times New Roman"/>
          <w:color w:val="000000" w:themeColor="text1"/>
          <w:sz w:val="24"/>
          <w:szCs w:val="24"/>
        </w:rPr>
        <w:t>queda da</w:t>
      </w:r>
      <w:r w:rsidR="00915575">
        <w:rPr>
          <w:rFonts w:ascii="Times New Roman" w:hAnsi="Times New Roman"/>
          <w:color w:val="000000" w:themeColor="text1"/>
          <w:sz w:val="24"/>
          <w:szCs w:val="24"/>
        </w:rPr>
        <w:t xml:space="preserve"> participação de trabalhadores m</w:t>
      </w:r>
      <w:r w:rsidR="00DA1FE9">
        <w:rPr>
          <w:rFonts w:ascii="Times New Roman" w:hAnsi="Times New Roman"/>
          <w:color w:val="000000" w:themeColor="text1"/>
          <w:sz w:val="24"/>
          <w:szCs w:val="24"/>
        </w:rPr>
        <w:t>enos escolarizados com baixa experiência de trabalho</w:t>
      </w:r>
      <w:r w:rsidR="00915575">
        <w:rPr>
          <w:rFonts w:ascii="Times New Roman" w:hAnsi="Times New Roman"/>
          <w:color w:val="000000" w:themeColor="text1"/>
          <w:sz w:val="24"/>
          <w:szCs w:val="24"/>
        </w:rPr>
        <w:t xml:space="preserve"> chega a explicar 80% da queda da informalidade no país. </w:t>
      </w:r>
      <w:r w:rsidR="0030530E">
        <w:rPr>
          <w:rFonts w:ascii="Times New Roman" w:hAnsi="Times New Roman"/>
          <w:color w:val="000000" w:themeColor="text1"/>
          <w:sz w:val="24"/>
          <w:szCs w:val="24"/>
        </w:rPr>
        <w:t>Por fim</w:t>
      </w:r>
      <w:r w:rsidR="00915575">
        <w:rPr>
          <w:rFonts w:ascii="Times New Roman" w:hAnsi="Times New Roman"/>
          <w:color w:val="000000" w:themeColor="text1"/>
          <w:sz w:val="24"/>
          <w:szCs w:val="24"/>
        </w:rPr>
        <w:t>, através do uso de uma matriz de transição mostra-se que a queda da informalidade foi explicada por um aumento da transição de trabalhadores do setor informal para o formal e por uma absorção dos trabalhadores desempregados pelo setor formal.</w:t>
      </w:r>
    </w:p>
    <w:p w:rsidR="00915575" w:rsidRDefault="00915575" w:rsidP="001F03CD">
      <w:pPr>
        <w:spacing w:after="120" w:line="240" w:lineRule="auto"/>
        <w:ind w:firstLine="567"/>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O a</w:t>
      </w:r>
      <w:r w:rsidR="00CE2933">
        <w:rPr>
          <w:rFonts w:ascii="Times New Roman" w:hAnsi="Times New Roman"/>
          <w:color w:val="000000" w:themeColor="text1"/>
          <w:sz w:val="24"/>
          <w:szCs w:val="24"/>
        </w:rPr>
        <w:t>rtigo está organizado em sete</w:t>
      </w:r>
      <w:r w:rsidRPr="00260B4B">
        <w:rPr>
          <w:rFonts w:ascii="Times New Roman" w:hAnsi="Times New Roman"/>
          <w:color w:val="000000" w:themeColor="text1"/>
          <w:sz w:val="24"/>
          <w:szCs w:val="24"/>
        </w:rPr>
        <w:t xml:space="preserve"> seções, além desta introdução. A seção 2 apresenta </w:t>
      </w:r>
      <w:r>
        <w:rPr>
          <w:rFonts w:ascii="Times New Roman" w:hAnsi="Times New Roman"/>
          <w:color w:val="000000" w:themeColor="text1"/>
          <w:sz w:val="24"/>
          <w:szCs w:val="24"/>
        </w:rPr>
        <w:t xml:space="preserve">as fontes dos dados utilizados neste trabalho. A </w:t>
      </w:r>
      <w:r w:rsidRPr="00260B4B">
        <w:rPr>
          <w:rFonts w:ascii="Times New Roman" w:hAnsi="Times New Roman"/>
          <w:color w:val="000000" w:themeColor="text1"/>
          <w:sz w:val="24"/>
          <w:szCs w:val="24"/>
        </w:rPr>
        <w:t>metodologia utilizad</w:t>
      </w:r>
      <w:r>
        <w:rPr>
          <w:rFonts w:ascii="Times New Roman" w:hAnsi="Times New Roman"/>
          <w:color w:val="000000" w:themeColor="text1"/>
          <w:sz w:val="24"/>
          <w:szCs w:val="24"/>
        </w:rPr>
        <w:t>a</w:t>
      </w:r>
      <w:r w:rsidRPr="00260B4B">
        <w:rPr>
          <w:rFonts w:ascii="Times New Roman" w:hAnsi="Times New Roman"/>
          <w:color w:val="000000" w:themeColor="text1"/>
          <w:sz w:val="24"/>
          <w:szCs w:val="24"/>
        </w:rPr>
        <w:t xml:space="preserve"> neste trabalho </w:t>
      </w:r>
      <w:r>
        <w:rPr>
          <w:rFonts w:ascii="Times New Roman" w:hAnsi="Times New Roman"/>
          <w:color w:val="000000" w:themeColor="text1"/>
          <w:sz w:val="24"/>
          <w:szCs w:val="24"/>
        </w:rPr>
        <w:t>é</w:t>
      </w:r>
      <w:r w:rsidRPr="00260B4B">
        <w:rPr>
          <w:rFonts w:ascii="Times New Roman" w:hAnsi="Times New Roman"/>
          <w:color w:val="000000" w:themeColor="text1"/>
          <w:sz w:val="24"/>
          <w:szCs w:val="24"/>
        </w:rPr>
        <w:t xml:space="preserve"> apresentad</w:t>
      </w:r>
      <w:r>
        <w:rPr>
          <w:rFonts w:ascii="Times New Roman" w:hAnsi="Times New Roman"/>
          <w:color w:val="000000" w:themeColor="text1"/>
          <w:sz w:val="24"/>
          <w:szCs w:val="24"/>
        </w:rPr>
        <w:t>a</w:t>
      </w:r>
      <w:r w:rsidRPr="00260B4B">
        <w:rPr>
          <w:rFonts w:ascii="Times New Roman" w:hAnsi="Times New Roman"/>
          <w:color w:val="000000" w:themeColor="text1"/>
          <w:sz w:val="24"/>
          <w:szCs w:val="24"/>
        </w:rPr>
        <w:t xml:space="preserve"> na seção 3. A seção 4 apresenta </w:t>
      </w:r>
      <w:r w:rsidR="00CE2933">
        <w:rPr>
          <w:rFonts w:ascii="Times New Roman" w:hAnsi="Times New Roman"/>
          <w:color w:val="000000" w:themeColor="text1"/>
          <w:sz w:val="24"/>
          <w:szCs w:val="24"/>
        </w:rPr>
        <w:t>a</w:t>
      </w:r>
      <w:r w:rsidRPr="00260B4B">
        <w:rPr>
          <w:rFonts w:ascii="Times New Roman" w:hAnsi="Times New Roman"/>
          <w:color w:val="000000" w:themeColor="text1"/>
          <w:sz w:val="24"/>
          <w:szCs w:val="24"/>
        </w:rPr>
        <w:t>s</w:t>
      </w:r>
      <w:r w:rsidR="00CE2933">
        <w:rPr>
          <w:rFonts w:ascii="Times New Roman" w:hAnsi="Times New Roman"/>
          <w:color w:val="000000" w:themeColor="text1"/>
          <w:sz w:val="24"/>
          <w:szCs w:val="24"/>
        </w:rPr>
        <w:t xml:space="preserve"> taxas de informalidade da economia brasileira, por região, nível educacional e por setores de atividade. Os</w:t>
      </w:r>
      <w:r w:rsidRPr="00260B4B">
        <w:rPr>
          <w:rFonts w:ascii="Times New Roman" w:hAnsi="Times New Roman"/>
          <w:color w:val="000000" w:themeColor="text1"/>
          <w:sz w:val="24"/>
          <w:szCs w:val="24"/>
        </w:rPr>
        <w:t xml:space="preserve"> resultados obtidos para a decomposição </w:t>
      </w:r>
      <w:r w:rsidR="00CE2933">
        <w:rPr>
          <w:rFonts w:ascii="Times New Roman" w:hAnsi="Times New Roman"/>
          <w:color w:val="000000" w:themeColor="text1"/>
          <w:sz w:val="24"/>
          <w:szCs w:val="24"/>
        </w:rPr>
        <w:t xml:space="preserve">da variação da taxa de informalidade </w:t>
      </w:r>
      <w:r w:rsidR="00060C85">
        <w:rPr>
          <w:rFonts w:ascii="Times New Roman" w:hAnsi="Times New Roman"/>
          <w:color w:val="000000" w:themeColor="text1"/>
          <w:sz w:val="24"/>
          <w:szCs w:val="24"/>
        </w:rPr>
        <w:t>são</w:t>
      </w:r>
      <w:r w:rsidR="00CE2933">
        <w:rPr>
          <w:rFonts w:ascii="Times New Roman" w:hAnsi="Times New Roman"/>
          <w:color w:val="000000" w:themeColor="text1"/>
          <w:sz w:val="24"/>
          <w:szCs w:val="24"/>
        </w:rPr>
        <w:t xml:space="preserve"> apresentados na </w:t>
      </w:r>
      <w:r w:rsidRPr="00260B4B">
        <w:rPr>
          <w:rFonts w:ascii="Times New Roman" w:hAnsi="Times New Roman"/>
          <w:color w:val="000000" w:themeColor="text1"/>
          <w:sz w:val="24"/>
          <w:szCs w:val="24"/>
        </w:rPr>
        <w:t>seção 5</w:t>
      </w:r>
      <w:r w:rsidR="00CE2933">
        <w:rPr>
          <w:rFonts w:ascii="Times New Roman" w:hAnsi="Times New Roman"/>
          <w:color w:val="000000" w:themeColor="text1"/>
          <w:sz w:val="24"/>
          <w:szCs w:val="24"/>
        </w:rPr>
        <w:t xml:space="preserve">, enquanto que a matriz de transição entre empregos formais, informais, desemprego e fora da força de </w:t>
      </w:r>
      <w:r w:rsidR="00CE2933">
        <w:rPr>
          <w:rFonts w:ascii="Times New Roman" w:hAnsi="Times New Roman"/>
          <w:color w:val="000000" w:themeColor="text1"/>
          <w:sz w:val="24"/>
          <w:szCs w:val="24"/>
        </w:rPr>
        <w:lastRenderedPageBreak/>
        <w:t xml:space="preserve">trabalho é apresentada na seção 6. </w:t>
      </w:r>
      <w:r w:rsidRPr="00260B4B">
        <w:rPr>
          <w:rFonts w:ascii="Times New Roman" w:hAnsi="Times New Roman"/>
          <w:color w:val="000000" w:themeColor="text1"/>
          <w:sz w:val="24"/>
          <w:szCs w:val="24"/>
        </w:rPr>
        <w:t xml:space="preserve">As principais conclusões do artigo estão reunidas na seção </w:t>
      </w:r>
      <w:r w:rsidR="00CE2933">
        <w:rPr>
          <w:rFonts w:ascii="Times New Roman" w:hAnsi="Times New Roman"/>
          <w:color w:val="000000" w:themeColor="text1"/>
          <w:sz w:val="24"/>
          <w:szCs w:val="24"/>
        </w:rPr>
        <w:t>7</w:t>
      </w:r>
      <w:r w:rsidRPr="00260B4B">
        <w:rPr>
          <w:rFonts w:ascii="Times New Roman" w:hAnsi="Times New Roman"/>
          <w:color w:val="000000" w:themeColor="text1"/>
          <w:sz w:val="24"/>
          <w:szCs w:val="24"/>
        </w:rPr>
        <w:t>.</w:t>
      </w:r>
    </w:p>
    <w:p w:rsidR="009553A7" w:rsidRDefault="009553A7" w:rsidP="001F03CD">
      <w:pPr>
        <w:spacing w:after="120" w:line="240" w:lineRule="auto"/>
        <w:jc w:val="both"/>
        <w:rPr>
          <w:rFonts w:ascii="Times New Roman" w:hAnsi="Times New Roman"/>
          <w:sz w:val="24"/>
          <w:szCs w:val="24"/>
        </w:rPr>
      </w:pPr>
    </w:p>
    <w:p w:rsidR="00BF1556" w:rsidRPr="009701A8" w:rsidRDefault="00FE1549" w:rsidP="001F03CD">
      <w:pPr>
        <w:spacing w:after="120" w:line="240" w:lineRule="auto"/>
        <w:jc w:val="both"/>
        <w:rPr>
          <w:rFonts w:ascii="Times New Roman" w:hAnsi="Times New Roman"/>
          <w:b/>
          <w:color w:val="000000" w:themeColor="text1"/>
          <w:sz w:val="24"/>
          <w:szCs w:val="24"/>
        </w:rPr>
      </w:pPr>
      <w:r w:rsidRPr="009701A8">
        <w:rPr>
          <w:rFonts w:ascii="Times New Roman" w:hAnsi="Times New Roman"/>
          <w:b/>
          <w:color w:val="000000" w:themeColor="text1"/>
          <w:sz w:val="24"/>
          <w:szCs w:val="24"/>
        </w:rPr>
        <w:t xml:space="preserve">2 – </w:t>
      </w:r>
      <w:r w:rsidR="00BF1556" w:rsidRPr="009701A8">
        <w:rPr>
          <w:rFonts w:ascii="Times New Roman" w:hAnsi="Times New Roman"/>
          <w:b/>
          <w:color w:val="000000" w:themeColor="text1"/>
          <w:sz w:val="24"/>
          <w:szCs w:val="24"/>
        </w:rPr>
        <w:t>DADOS</w:t>
      </w:r>
    </w:p>
    <w:p w:rsidR="00BF1556" w:rsidRDefault="00BF1556" w:rsidP="001F03CD">
      <w:pPr>
        <w:spacing w:after="120" w:line="240" w:lineRule="auto"/>
        <w:ind w:firstLine="708"/>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 xml:space="preserve">Os dados utilizados nesse trabalho são da Pesquisa Nacional por Amostra de Domicílios (PNAD) para os anos de </w:t>
      </w:r>
      <w:smartTag w:uri="urn:schemas-microsoft-com:office:smarttags" w:element="metricconverter">
        <w:smartTagPr>
          <w:attr w:name="ProductID" w:val="2001 a"/>
        </w:smartTagPr>
        <w:r w:rsidRPr="00260B4B">
          <w:rPr>
            <w:rFonts w:ascii="Times New Roman" w:hAnsi="Times New Roman"/>
            <w:color w:val="000000" w:themeColor="text1"/>
            <w:sz w:val="24"/>
            <w:szCs w:val="24"/>
          </w:rPr>
          <w:t>2001 a</w:t>
        </w:r>
      </w:smartTag>
      <w:r w:rsidRPr="00260B4B">
        <w:rPr>
          <w:rFonts w:ascii="Times New Roman" w:hAnsi="Times New Roman"/>
          <w:color w:val="000000" w:themeColor="text1"/>
          <w:sz w:val="24"/>
          <w:szCs w:val="24"/>
        </w:rPr>
        <w:t xml:space="preserve"> 20</w:t>
      </w:r>
      <w:r w:rsidR="004A1B9E">
        <w:rPr>
          <w:rFonts w:ascii="Times New Roman" w:hAnsi="Times New Roman"/>
          <w:color w:val="000000" w:themeColor="text1"/>
          <w:sz w:val="24"/>
          <w:szCs w:val="24"/>
        </w:rPr>
        <w:t>11</w:t>
      </w:r>
      <w:r w:rsidRPr="00260B4B">
        <w:rPr>
          <w:rFonts w:ascii="Times New Roman" w:hAnsi="Times New Roman"/>
          <w:color w:val="000000" w:themeColor="text1"/>
          <w:sz w:val="24"/>
          <w:szCs w:val="24"/>
        </w:rPr>
        <w:t>. Os dados são trabalhados levando-se em consideração o peso amostral de cada uma das observações.</w:t>
      </w:r>
    </w:p>
    <w:p w:rsidR="00BF1556" w:rsidRPr="00260B4B" w:rsidRDefault="00BF1556" w:rsidP="001F03CD">
      <w:pPr>
        <w:spacing w:after="120" w:line="240" w:lineRule="auto"/>
        <w:ind w:firstLine="708"/>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O trabalho separa a base de dados em seis amostras distintas por período e região. A amostra “20</w:t>
      </w:r>
      <w:r w:rsidR="004A1B9E">
        <w:rPr>
          <w:rFonts w:ascii="Times New Roman" w:hAnsi="Times New Roman"/>
          <w:color w:val="000000" w:themeColor="text1"/>
          <w:sz w:val="24"/>
          <w:szCs w:val="24"/>
        </w:rPr>
        <w:t>11</w:t>
      </w:r>
      <w:r w:rsidRPr="00260B4B">
        <w:rPr>
          <w:rFonts w:ascii="Times New Roman" w:hAnsi="Times New Roman"/>
          <w:color w:val="000000" w:themeColor="text1"/>
          <w:sz w:val="24"/>
          <w:szCs w:val="24"/>
        </w:rPr>
        <w:t>-200</w:t>
      </w:r>
      <w:r w:rsidR="004A1B9E">
        <w:rPr>
          <w:rFonts w:ascii="Times New Roman" w:hAnsi="Times New Roman"/>
          <w:color w:val="000000" w:themeColor="text1"/>
          <w:sz w:val="24"/>
          <w:szCs w:val="24"/>
        </w:rPr>
        <w:t>2</w:t>
      </w:r>
      <w:r w:rsidRPr="00260B4B">
        <w:rPr>
          <w:rFonts w:ascii="Times New Roman" w:hAnsi="Times New Roman"/>
          <w:color w:val="000000" w:themeColor="text1"/>
          <w:sz w:val="24"/>
          <w:szCs w:val="24"/>
        </w:rPr>
        <w:t>” (“20</w:t>
      </w:r>
      <w:r w:rsidR="004A1B9E">
        <w:rPr>
          <w:rFonts w:ascii="Times New Roman" w:hAnsi="Times New Roman"/>
          <w:color w:val="000000" w:themeColor="text1"/>
          <w:sz w:val="24"/>
          <w:szCs w:val="24"/>
        </w:rPr>
        <w:t>11</w:t>
      </w:r>
      <w:r w:rsidRPr="00260B4B">
        <w:rPr>
          <w:rFonts w:ascii="Times New Roman" w:hAnsi="Times New Roman"/>
          <w:color w:val="000000" w:themeColor="text1"/>
          <w:sz w:val="24"/>
          <w:szCs w:val="24"/>
        </w:rPr>
        <w:t>-2003”) refere-se ao país como um todo no período entre 200</w:t>
      </w:r>
      <w:r w:rsidR="004A1B9E">
        <w:rPr>
          <w:rFonts w:ascii="Times New Roman" w:hAnsi="Times New Roman"/>
          <w:color w:val="000000" w:themeColor="text1"/>
          <w:sz w:val="24"/>
          <w:szCs w:val="24"/>
        </w:rPr>
        <w:t>2</w:t>
      </w:r>
      <w:r w:rsidRPr="00260B4B">
        <w:rPr>
          <w:rFonts w:ascii="Times New Roman" w:hAnsi="Times New Roman"/>
          <w:color w:val="000000" w:themeColor="text1"/>
          <w:sz w:val="24"/>
          <w:szCs w:val="24"/>
        </w:rPr>
        <w:t xml:space="preserve"> e 20</w:t>
      </w:r>
      <w:r w:rsidR="004A1B9E">
        <w:rPr>
          <w:rFonts w:ascii="Times New Roman" w:hAnsi="Times New Roman"/>
          <w:color w:val="000000" w:themeColor="text1"/>
          <w:sz w:val="24"/>
          <w:szCs w:val="24"/>
        </w:rPr>
        <w:t>11</w:t>
      </w:r>
      <w:r w:rsidRPr="00260B4B">
        <w:rPr>
          <w:rFonts w:ascii="Times New Roman" w:hAnsi="Times New Roman"/>
          <w:color w:val="000000" w:themeColor="text1"/>
          <w:sz w:val="24"/>
          <w:szCs w:val="24"/>
        </w:rPr>
        <w:t xml:space="preserve"> (200</w:t>
      </w:r>
      <w:r w:rsidR="001C1ACF">
        <w:rPr>
          <w:rFonts w:ascii="Times New Roman" w:hAnsi="Times New Roman"/>
          <w:color w:val="000000" w:themeColor="text1"/>
          <w:sz w:val="24"/>
          <w:szCs w:val="24"/>
        </w:rPr>
        <w:t>3</w:t>
      </w:r>
      <w:r w:rsidRPr="00260B4B">
        <w:rPr>
          <w:rFonts w:ascii="Times New Roman" w:hAnsi="Times New Roman"/>
          <w:color w:val="000000" w:themeColor="text1"/>
          <w:sz w:val="24"/>
          <w:szCs w:val="24"/>
        </w:rPr>
        <w:t xml:space="preserve"> e 20</w:t>
      </w:r>
      <w:r w:rsidR="004A1B9E">
        <w:rPr>
          <w:rFonts w:ascii="Times New Roman" w:hAnsi="Times New Roman"/>
          <w:color w:val="000000" w:themeColor="text1"/>
          <w:sz w:val="24"/>
          <w:szCs w:val="24"/>
        </w:rPr>
        <w:t>11</w:t>
      </w:r>
      <w:r w:rsidRPr="00260B4B">
        <w:rPr>
          <w:rFonts w:ascii="Times New Roman" w:hAnsi="Times New Roman"/>
          <w:color w:val="000000" w:themeColor="text1"/>
          <w:sz w:val="24"/>
          <w:szCs w:val="24"/>
        </w:rPr>
        <w:t>). A amostra “20</w:t>
      </w:r>
      <w:r w:rsidR="004A1B9E">
        <w:rPr>
          <w:rFonts w:ascii="Times New Roman" w:hAnsi="Times New Roman"/>
          <w:color w:val="000000" w:themeColor="text1"/>
          <w:sz w:val="24"/>
          <w:szCs w:val="24"/>
        </w:rPr>
        <w:t>11</w:t>
      </w:r>
      <w:r w:rsidRPr="00260B4B">
        <w:rPr>
          <w:rFonts w:ascii="Times New Roman" w:hAnsi="Times New Roman"/>
          <w:color w:val="000000" w:themeColor="text1"/>
          <w:sz w:val="24"/>
          <w:szCs w:val="24"/>
        </w:rPr>
        <w:t>-200</w:t>
      </w:r>
      <w:r w:rsidR="004A1B9E">
        <w:rPr>
          <w:rFonts w:ascii="Times New Roman" w:hAnsi="Times New Roman"/>
          <w:color w:val="000000" w:themeColor="text1"/>
          <w:sz w:val="24"/>
          <w:szCs w:val="24"/>
        </w:rPr>
        <w:t>2</w:t>
      </w:r>
      <w:r w:rsidRPr="00260B4B">
        <w:rPr>
          <w:rFonts w:ascii="Times New Roman" w:hAnsi="Times New Roman"/>
          <w:color w:val="000000" w:themeColor="text1"/>
          <w:sz w:val="24"/>
          <w:szCs w:val="24"/>
        </w:rPr>
        <w:t xml:space="preserve"> (RM)” avalia as regiões metropolitanas no período em questão enquanto que a amostra “20</w:t>
      </w:r>
      <w:r w:rsidR="004A1B9E">
        <w:rPr>
          <w:rFonts w:ascii="Times New Roman" w:hAnsi="Times New Roman"/>
          <w:color w:val="000000" w:themeColor="text1"/>
          <w:sz w:val="24"/>
          <w:szCs w:val="24"/>
        </w:rPr>
        <w:t>11</w:t>
      </w:r>
      <w:r w:rsidRPr="00260B4B">
        <w:rPr>
          <w:rFonts w:ascii="Times New Roman" w:hAnsi="Times New Roman"/>
          <w:color w:val="000000" w:themeColor="text1"/>
          <w:sz w:val="24"/>
          <w:szCs w:val="24"/>
        </w:rPr>
        <w:t>-200</w:t>
      </w:r>
      <w:r w:rsidR="004A1B9E">
        <w:rPr>
          <w:rFonts w:ascii="Times New Roman" w:hAnsi="Times New Roman"/>
          <w:color w:val="000000" w:themeColor="text1"/>
          <w:sz w:val="24"/>
          <w:szCs w:val="24"/>
        </w:rPr>
        <w:t>2</w:t>
      </w:r>
      <w:r w:rsidRPr="00260B4B">
        <w:rPr>
          <w:rFonts w:ascii="Times New Roman" w:hAnsi="Times New Roman"/>
          <w:color w:val="000000" w:themeColor="text1"/>
          <w:sz w:val="24"/>
          <w:szCs w:val="24"/>
        </w:rPr>
        <w:t xml:space="preserve"> (RM-PME)” foca nas regiões metropolitanas da PME, o mesmo valendo para o período entre 200</w:t>
      </w:r>
      <w:r w:rsidR="008D7322">
        <w:rPr>
          <w:rFonts w:ascii="Times New Roman" w:hAnsi="Times New Roman"/>
          <w:color w:val="000000" w:themeColor="text1"/>
          <w:sz w:val="24"/>
          <w:szCs w:val="24"/>
        </w:rPr>
        <w:t>2</w:t>
      </w:r>
      <w:r w:rsidRPr="00260B4B">
        <w:rPr>
          <w:rFonts w:ascii="Times New Roman" w:hAnsi="Times New Roman"/>
          <w:color w:val="000000" w:themeColor="text1"/>
          <w:sz w:val="24"/>
          <w:szCs w:val="24"/>
        </w:rPr>
        <w:t xml:space="preserve"> e 20</w:t>
      </w:r>
      <w:r w:rsidR="004A1B9E">
        <w:rPr>
          <w:rFonts w:ascii="Times New Roman" w:hAnsi="Times New Roman"/>
          <w:color w:val="000000" w:themeColor="text1"/>
          <w:sz w:val="24"/>
          <w:szCs w:val="24"/>
        </w:rPr>
        <w:t>11</w:t>
      </w:r>
      <w:r w:rsidRPr="00260B4B">
        <w:rPr>
          <w:rFonts w:ascii="Times New Roman" w:hAnsi="Times New Roman"/>
          <w:color w:val="000000" w:themeColor="text1"/>
          <w:sz w:val="24"/>
          <w:szCs w:val="24"/>
        </w:rPr>
        <w:t xml:space="preserve">.  </w:t>
      </w:r>
    </w:p>
    <w:p w:rsidR="00BF1556" w:rsidRPr="00260B4B" w:rsidRDefault="00BF1556" w:rsidP="001F03CD">
      <w:pPr>
        <w:spacing w:after="120" w:line="240" w:lineRule="auto"/>
        <w:ind w:firstLine="720"/>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 xml:space="preserve">A decomposição da </w:t>
      </w:r>
      <w:r>
        <w:rPr>
          <w:rFonts w:ascii="Times New Roman" w:hAnsi="Times New Roman"/>
          <w:color w:val="000000" w:themeColor="text1"/>
          <w:sz w:val="24"/>
          <w:szCs w:val="24"/>
        </w:rPr>
        <w:t>informalidade</w:t>
      </w:r>
      <w:r w:rsidRPr="00260B4B">
        <w:rPr>
          <w:rFonts w:ascii="Times New Roman" w:hAnsi="Times New Roman"/>
          <w:color w:val="000000" w:themeColor="text1"/>
          <w:sz w:val="24"/>
          <w:szCs w:val="24"/>
        </w:rPr>
        <w:t xml:space="preserve"> foi realizada com diferentes cortes da amostra. Os cortes escolhidos foram gênero, cor/raça, anos de escolaridade, faixa etária, experiência, ciclos escolares e capital humano.</w:t>
      </w:r>
    </w:p>
    <w:p w:rsidR="00BF1556" w:rsidRPr="00260B4B" w:rsidRDefault="00BF1556" w:rsidP="001F03CD">
      <w:pPr>
        <w:spacing w:after="120" w:line="240" w:lineRule="auto"/>
        <w:ind w:firstLine="720"/>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As variáveis gênero, cor/raça e anos de escolaridade não necessitam de explicação. A faixa etária foi dividida em períodos de cinco em cinco anos começando por indivíduos menores de 15 anos, entre 15 e 19 anos, 20 e 24 anos e assim por diante até indivíduos com idade superior a 64 anos. A variável experiência é definida como idade menos escolaridade menos cinco e a divisão realizada em períodos de cinco em cinco anos, iniciando-se por indivíduos com menos de cinco anos de experiência, entre cinco e nove anos de experiência, entre 10 e 14 anos e assim por diante, até indivíduos com mais de 30 anos de experiência.</w:t>
      </w:r>
    </w:p>
    <w:p w:rsidR="00BF1556" w:rsidRPr="00260B4B" w:rsidRDefault="00BF1556" w:rsidP="001F03CD">
      <w:pPr>
        <w:spacing w:after="120" w:line="240" w:lineRule="auto"/>
        <w:ind w:firstLine="720"/>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A variável de ciclos escolares foi dividida da seguinte forma: fundamental de 1ª a 4ª série incompleto, fundamental de 1ª a 4ª série completo, fundamental de 5ª a 8ª série completo, ensino médio completo e ensino superior completo.</w:t>
      </w:r>
    </w:p>
    <w:p w:rsidR="00BF1556" w:rsidRPr="00260B4B" w:rsidRDefault="00BF1556" w:rsidP="001F03CD">
      <w:pPr>
        <w:spacing w:after="120" w:line="240" w:lineRule="auto"/>
        <w:ind w:firstLine="720"/>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Por último define-se uma variável de capital humano que é a interação entre ciclos escolares e experiência, com cinco diferentes níveis de escolaridade e sete diferentes níveis de experiência, totalizando 35 tipos distintos de capital humano.</w:t>
      </w:r>
    </w:p>
    <w:p w:rsidR="00BF1556" w:rsidRDefault="00BF1556" w:rsidP="001F03CD">
      <w:pPr>
        <w:spacing w:after="120" w:line="240" w:lineRule="auto"/>
        <w:jc w:val="both"/>
        <w:rPr>
          <w:rFonts w:ascii="Times New Roman" w:hAnsi="Times New Roman"/>
          <w:color w:val="000000" w:themeColor="text1"/>
          <w:sz w:val="24"/>
          <w:szCs w:val="24"/>
        </w:rPr>
      </w:pPr>
    </w:p>
    <w:p w:rsidR="00FE1549" w:rsidRPr="00945B0D" w:rsidRDefault="00BF1556" w:rsidP="001F03CD">
      <w:pPr>
        <w:spacing w:after="120" w:line="240" w:lineRule="auto"/>
        <w:jc w:val="both"/>
        <w:rPr>
          <w:rFonts w:ascii="Times New Roman" w:hAnsi="Times New Roman"/>
          <w:b/>
          <w:color w:val="000000" w:themeColor="text1"/>
          <w:sz w:val="24"/>
          <w:szCs w:val="24"/>
        </w:rPr>
      </w:pPr>
      <w:r w:rsidRPr="00945B0D">
        <w:rPr>
          <w:rFonts w:ascii="Times New Roman" w:hAnsi="Times New Roman"/>
          <w:b/>
          <w:color w:val="000000" w:themeColor="text1"/>
          <w:sz w:val="24"/>
          <w:szCs w:val="24"/>
        </w:rPr>
        <w:t xml:space="preserve">3 – </w:t>
      </w:r>
      <w:r w:rsidR="00FE1549" w:rsidRPr="00945B0D">
        <w:rPr>
          <w:rFonts w:ascii="Times New Roman" w:hAnsi="Times New Roman"/>
          <w:b/>
          <w:color w:val="000000" w:themeColor="text1"/>
          <w:sz w:val="24"/>
          <w:szCs w:val="24"/>
        </w:rPr>
        <w:t>METODOLOGIA</w:t>
      </w:r>
    </w:p>
    <w:p w:rsidR="00A23B32" w:rsidRDefault="00A23B32" w:rsidP="001F03CD">
      <w:pPr>
        <w:spacing w:after="120" w:line="240" w:lineRule="auto"/>
        <w:ind w:firstLine="708"/>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 xml:space="preserve">Nesta seção apresentamos </w:t>
      </w:r>
      <w:r>
        <w:rPr>
          <w:rFonts w:ascii="Times New Roman" w:hAnsi="Times New Roman"/>
          <w:color w:val="000000" w:themeColor="text1"/>
          <w:sz w:val="24"/>
          <w:szCs w:val="24"/>
        </w:rPr>
        <w:t>um</w:t>
      </w:r>
      <w:r w:rsidRPr="00260B4B">
        <w:rPr>
          <w:rFonts w:ascii="Times New Roman" w:hAnsi="Times New Roman"/>
          <w:color w:val="000000" w:themeColor="text1"/>
          <w:sz w:val="24"/>
          <w:szCs w:val="24"/>
        </w:rPr>
        <w:t xml:space="preserve">a decomposição </w:t>
      </w:r>
      <w:r>
        <w:rPr>
          <w:rFonts w:ascii="Times New Roman" w:hAnsi="Times New Roman"/>
          <w:color w:val="000000" w:themeColor="text1"/>
          <w:sz w:val="24"/>
          <w:szCs w:val="24"/>
        </w:rPr>
        <w:t xml:space="preserve">para </w:t>
      </w:r>
      <w:r w:rsidRPr="00260B4B">
        <w:rPr>
          <w:rFonts w:ascii="Times New Roman" w:hAnsi="Times New Roman"/>
          <w:color w:val="000000" w:themeColor="text1"/>
          <w:sz w:val="24"/>
          <w:szCs w:val="24"/>
        </w:rPr>
        <w:t xml:space="preserve">a taxa de </w:t>
      </w:r>
      <w:r>
        <w:rPr>
          <w:rFonts w:ascii="Times New Roman" w:hAnsi="Times New Roman"/>
          <w:color w:val="000000" w:themeColor="text1"/>
          <w:sz w:val="24"/>
          <w:szCs w:val="24"/>
        </w:rPr>
        <w:t>informalidade</w:t>
      </w:r>
      <w:r w:rsidR="00DD3E26">
        <w:rPr>
          <w:rFonts w:ascii="Times New Roman" w:hAnsi="Times New Roman"/>
          <w:color w:val="000000" w:themeColor="text1"/>
          <w:sz w:val="24"/>
          <w:szCs w:val="24"/>
        </w:rPr>
        <w:t xml:space="preserve"> e também a matriz de transição entre os seguintes estados ocupacionais: informal, formal, desempregado e fora da força de trabalho (PEA). </w:t>
      </w:r>
    </w:p>
    <w:p w:rsidR="00A23B32" w:rsidRDefault="00A23B32" w:rsidP="001F03CD">
      <w:pPr>
        <w:spacing w:after="120" w:line="240" w:lineRule="auto"/>
        <w:jc w:val="both"/>
        <w:rPr>
          <w:rFonts w:ascii="Times New Roman" w:hAnsi="Times New Roman"/>
          <w:color w:val="000000" w:themeColor="text1"/>
          <w:sz w:val="24"/>
          <w:szCs w:val="24"/>
        </w:rPr>
      </w:pPr>
    </w:p>
    <w:p w:rsidR="00A23B32" w:rsidRDefault="00A23B32" w:rsidP="001F03CD">
      <w:pPr>
        <w:spacing w:after="12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3.1 Definição de Informalidade</w:t>
      </w:r>
    </w:p>
    <w:p w:rsidR="009701A8" w:rsidRPr="00260B4B" w:rsidRDefault="00FF5E9D" w:rsidP="001F03CD">
      <w:pPr>
        <w:spacing w:after="120" w:line="240" w:lineRule="auto"/>
        <w:ind w:firstLine="708"/>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Inicialmente, propomos uma definição para a </w:t>
      </w:r>
      <w:r w:rsidR="00FE1549" w:rsidRPr="00260B4B">
        <w:rPr>
          <w:rFonts w:ascii="Times New Roman" w:hAnsi="Times New Roman"/>
          <w:color w:val="000000" w:themeColor="text1"/>
          <w:sz w:val="24"/>
          <w:szCs w:val="24"/>
        </w:rPr>
        <w:t xml:space="preserve">taxa de </w:t>
      </w:r>
      <w:r w:rsidR="00FE1549">
        <w:rPr>
          <w:rFonts w:ascii="Times New Roman" w:hAnsi="Times New Roman"/>
          <w:color w:val="000000" w:themeColor="text1"/>
          <w:sz w:val="24"/>
          <w:szCs w:val="24"/>
        </w:rPr>
        <w:t>informalidade</w:t>
      </w:r>
      <w:r>
        <w:rPr>
          <w:rFonts w:ascii="Times New Roman" w:hAnsi="Times New Roman"/>
          <w:color w:val="000000" w:themeColor="text1"/>
          <w:sz w:val="24"/>
          <w:szCs w:val="24"/>
        </w:rPr>
        <w:t xml:space="preserve"> como:</w:t>
      </w:r>
      <w:r w:rsidR="00FE1549">
        <w:rPr>
          <w:rFonts w:ascii="Times New Roman" w:hAnsi="Times New Roman"/>
          <w:color w:val="000000" w:themeColor="text1"/>
          <w:sz w:val="24"/>
          <w:szCs w:val="24"/>
        </w:rPr>
        <w:t xml:space="preserve"> </w:t>
      </w:r>
      <w:r w:rsidR="00FE1549" w:rsidRPr="00260B4B">
        <w:rPr>
          <w:rFonts w:ascii="Times New Roman" w:hAnsi="Times New Roman"/>
          <w:color w:val="000000" w:themeColor="text1"/>
          <w:sz w:val="24"/>
          <w:szCs w:val="24"/>
        </w:rPr>
        <w:t xml:space="preserve">a parcela de </w:t>
      </w:r>
      <w:r w:rsidR="00FE1549">
        <w:rPr>
          <w:rFonts w:ascii="Times New Roman" w:hAnsi="Times New Roman"/>
          <w:color w:val="000000" w:themeColor="text1"/>
          <w:sz w:val="24"/>
          <w:szCs w:val="24"/>
        </w:rPr>
        <w:t>trabalhadores empreg</w:t>
      </w:r>
      <w:r w:rsidR="00FE1549" w:rsidRPr="00260B4B">
        <w:rPr>
          <w:rFonts w:ascii="Times New Roman" w:hAnsi="Times New Roman"/>
          <w:color w:val="000000" w:themeColor="text1"/>
          <w:sz w:val="24"/>
          <w:szCs w:val="24"/>
        </w:rPr>
        <w:t xml:space="preserve">ados </w:t>
      </w:r>
      <w:r w:rsidR="00FE1549">
        <w:rPr>
          <w:rFonts w:ascii="Times New Roman" w:hAnsi="Times New Roman"/>
          <w:color w:val="000000" w:themeColor="text1"/>
          <w:sz w:val="24"/>
          <w:szCs w:val="24"/>
        </w:rPr>
        <w:t>que não possuem carteira de trabalho como fração da soma dos trabalhadores empregados com e sem carteira de trabalho</w:t>
      </w:r>
      <w:r w:rsidR="006B6F93">
        <w:rPr>
          <w:rFonts w:ascii="Times New Roman" w:hAnsi="Times New Roman"/>
          <w:color w:val="000000" w:themeColor="text1"/>
          <w:sz w:val="24"/>
          <w:szCs w:val="24"/>
        </w:rPr>
        <w:t>.</w:t>
      </w:r>
      <w:r w:rsidR="00FE1549" w:rsidRPr="00260B4B">
        <w:rPr>
          <w:rFonts w:ascii="Times New Roman" w:hAnsi="Times New Roman"/>
          <w:color w:val="000000" w:themeColor="text1"/>
          <w:sz w:val="24"/>
          <w:szCs w:val="24"/>
        </w:rPr>
        <w:t xml:space="preserve"> Definindo </w:t>
      </w:r>
      <w:r w:rsidR="00FE1549">
        <w:rPr>
          <w:rFonts w:ascii="Times New Roman" w:hAnsi="Times New Roman"/>
          <w:color w:val="000000" w:themeColor="text1"/>
          <w:sz w:val="24"/>
          <w:szCs w:val="24"/>
        </w:rPr>
        <w:t>Informalidade</w:t>
      </w:r>
      <w:r w:rsidR="00FE1549" w:rsidRPr="00260B4B">
        <w:rPr>
          <w:rFonts w:ascii="Times New Roman" w:hAnsi="Times New Roman"/>
          <w:color w:val="000000" w:themeColor="text1"/>
          <w:sz w:val="24"/>
          <w:szCs w:val="24"/>
        </w:rPr>
        <w:t xml:space="preserve"> pela letra </w:t>
      </w:r>
      <w:r w:rsidR="00FE1549">
        <w:rPr>
          <w:rFonts w:ascii="Times New Roman" w:hAnsi="Times New Roman"/>
          <w:i/>
          <w:color w:val="000000" w:themeColor="text1"/>
          <w:sz w:val="24"/>
          <w:szCs w:val="24"/>
        </w:rPr>
        <w:t>I</w:t>
      </w:r>
      <w:r w:rsidR="00FE1549" w:rsidRPr="00260B4B">
        <w:rPr>
          <w:rFonts w:ascii="Times New Roman" w:hAnsi="Times New Roman"/>
          <w:color w:val="000000" w:themeColor="text1"/>
          <w:sz w:val="24"/>
          <w:szCs w:val="24"/>
        </w:rPr>
        <w:t>, esse pode ser escrito da seguinte forma:</w:t>
      </w:r>
    </w:p>
    <w:p w:rsidR="00FE1549" w:rsidRPr="00260B4B" w:rsidRDefault="007F2CBA" w:rsidP="001F03CD">
      <w:pPr>
        <w:spacing w:after="120" w:line="240" w:lineRule="auto"/>
        <w:jc w:val="both"/>
        <w:rPr>
          <w:rFonts w:ascii="Times New Roman" w:hAnsi="Times New Roman"/>
          <w:color w:val="000000" w:themeColor="text1"/>
          <w:sz w:val="24"/>
          <w:szCs w:val="24"/>
        </w:rPr>
      </w:pPr>
      <w:r w:rsidRPr="00260B4B">
        <w:rPr>
          <w:rFonts w:ascii="Times New Roman" w:hAnsi="Times New Roman"/>
          <w:color w:val="000000" w:themeColor="text1"/>
          <w:position w:val="-30"/>
          <w:sz w:val="24"/>
          <w:szCs w:val="24"/>
        </w:rPr>
        <w:object w:dxaOrig="55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30pt" o:ole="">
            <v:imagedata r:id="rId8" o:title=""/>
          </v:shape>
          <o:OLEObject Type="Embed" ProgID="Equation.3" ShapeID="_x0000_i1025" DrawAspect="Content" ObjectID="_1435498215" r:id="rId9"/>
        </w:object>
      </w:r>
      <w:r w:rsidR="00FE1549" w:rsidRPr="00260B4B">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ab/>
        <w:t xml:space="preserve">       (1)</w:t>
      </w:r>
    </w:p>
    <w:p w:rsidR="00FE1549" w:rsidRPr="00260B4B" w:rsidRDefault="00FE1549" w:rsidP="001F03CD">
      <w:pPr>
        <w:spacing w:after="120" w:line="240" w:lineRule="auto"/>
        <w:ind w:firstLine="567"/>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 xml:space="preserve">A taxa de </w:t>
      </w:r>
      <w:r>
        <w:rPr>
          <w:rFonts w:ascii="Times New Roman" w:hAnsi="Times New Roman"/>
          <w:color w:val="000000" w:themeColor="text1"/>
          <w:sz w:val="24"/>
          <w:szCs w:val="24"/>
        </w:rPr>
        <w:t>informalidade</w:t>
      </w:r>
      <w:r w:rsidRPr="00260B4B">
        <w:rPr>
          <w:rFonts w:ascii="Times New Roman" w:hAnsi="Times New Roman"/>
          <w:color w:val="000000" w:themeColor="text1"/>
          <w:sz w:val="24"/>
          <w:szCs w:val="24"/>
        </w:rPr>
        <w:t xml:space="preserve"> pode ser utilizada para analisar </w:t>
      </w:r>
      <w:r>
        <w:rPr>
          <w:rFonts w:ascii="Times New Roman" w:hAnsi="Times New Roman"/>
          <w:color w:val="000000" w:themeColor="text1"/>
          <w:sz w:val="24"/>
          <w:szCs w:val="24"/>
        </w:rPr>
        <w:t>com</w:t>
      </w:r>
      <w:r w:rsidRPr="00260B4B">
        <w:rPr>
          <w:rFonts w:ascii="Times New Roman" w:hAnsi="Times New Roman"/>
          <w:color w:val="000000" w:themeColor="text1"/>
          <w:sz w:val="24"/>
          <w:szCs w:val="24"/>
        </w:rPr>
        <w:t xml:space="preserve">o </w:t>
      </w:r>
      <w:r>
        <w:rPr>
          <w:rFonts w:ascii="Times New Roman" w:hAnsi="Times New Roman"/>
          <w:color w:val="000000" w:themeColor="text1"/>
          <w:sz w:val="24"/>
          <w:szCs w:val="24"/>
        </w:rPr>
        <w:t>a informalidade afeta os</w:t>
      </w:r>
      <w:r w:rsidRPr="00260B4B">
        <w:rPr>
          <w:rFonts w:ascii="Times New Roman" w:hAnsi="Times New Roman"/>
          <w:color w:val="000000" w:themeColor="text1"/>
          <w:sz w:val="24"/>
          <w:szCs w:val="24"/>
        </w:rPr>
        <w:t xml:space="preserve"> diferentes grupos da sociedade, segmentados esses em: gênero, raça, escolaridade, faixa </w:t>
      </w:r>
      <w:r w:rsidRPr="00260B4B">
        <w:rPr>
          <w:rFonts w:ascii="Times New Roman" w:hAnsi="Times New Roman"/>
          <w:color w:val="000000" w:themeColor="text1"/>
          <w:sz w:val="24"/>
          <w:szCs w:val="24"/>
        </w:rPr>
        <w:lastRenderedPageBreak/>
        <w:t xml:space="preserve">etária, experiência, ciclos escolares e capital humano. Seguindo nesta linha, pode-se decompor </w:t>
      </w:r>
      <w:r>
        <w:rPr>
          <w:rFonts w:ascii="Times New Roman" w:hAnsi="Times New Roman"/>
          <w:color w:val="000000" w:themeColor="text1"/>
          <w:sz w:val="24"/>
          <w:szCs w:val="24"/>
        </w:rPr>
        <w:t>a taxa de informalidade</w:t>
      </w:r>
      <w:r w:rsidRPr="00260B4B">
        <w:rPr>
          <w:rFonts w:ascii="Times New Roman" w:hAnsi="Times New Roman"/>
          <w:color w:val="000000" w:themeColor="text1"/>
          <w:sz w:val="24"/>
          <w:szCs w:val="24"/>
        </w:rPr>
        <w:t xml:space="preserve"> em </w:t>
      </w:r>
      <w:r>
        <w:rPr>
          <w:rFonts w:ascii="Times New Roman" w:hAnsi="Times New Roman"/>
          <w:color w:val="000000" w:themeColor="text1"/>
          <w:sz w:val="24"/>
          <w:szCs w:val="24"/>
        </w:rPr>
        <w:t xml:space="preserve">dois termos, </w:t>
      </w:r>
      <w:r w:rsidRPr="00260B4B">
        <w:rPr>
          <w:rFonts w:ascii="Times New Roman" w:hAnsi="Times New Roman"/>
          <w:color w:val="000000" w:themeColor="text1"/>
          <w:sz w:val="24"/>
          <w:szCs w:val="24"/>
        </w:rPr>
        <w:t>participação</w:t>
      </w:r>
      <w:r w:rsidR="0074745F">
        <w:rPr>
          <w:rFonts w:ascii="Times New Roman" w:hAnsi="Times New Roman"/>
          <w:color w:val="000000" w:themeColor="text1"/>
          <w:sz w:val="24"/>
          <w:szCs w:val="24"/>
        </w:rPr>
        <w:t xml:space="preserve"> no total de empregados (efeito composição)</w:t>
      </w:r>
      <w:r w:rsidRPr="00260B4B">
        <w:rPr>
          <w:rFonts w:ascii="Times New Roman" w:hAnsi="Times New Roman"/>
          <w:color w:val="000000" w:themeColor="text1"/>
          <w:sz w:val="24"/>
          <w:szCs w:val="24"/>
        </w:rPr>
        <w:t xml:space="preserve"> e </w:t>
      </w:r>
      <w:r w:rsidR="0074745F">
        <w:rPr>
          <w:rFonts w:ascii="Times New Roman" w:hAnsi="Times New Roman"/>
          <w:color w:val="000000" w:themeColor="text1"/>
          <w:sz w:val="24"/>
          <w:szCs w:val="24"/>
        </w:rPr>
        <w:t xml:space="preserve">(efeito) </w:t>
      </w:r>
      <w:r w:rsidRPr="00260B4B">
        <w:rPr>
          <w:rFonts w:ascii="Times New Roman" w:hAnsi="Times New Roman"/>
          <w:color w:val="000000" w:themeColor="text1"/>
          <w:sz w:val="24"/>
          <w:szCs w:val="24"/>
        </w:rPr>
        <w:t>nível, da seguinte forma:</w:t>
      </w:r>
    </w:p>
    <w:p w:rsidR="00FE1549" w:rsidRPr="00260B4B" w:rsidRDefault="00FE1549" w:rsidP="001F03CD">
      <w:pPr>
        <w:spacing w:after="120" w:line="240" w:lineRule="auto"/>
        <w:jc w:val="both"/>
        <w:rPr>
          <w:rFonts w:ascii="Times New Roman" w:hAnsi="Times New Roman"/>
          <w:color w:val="000000" w:themeColor="text1"/>
          <w:sz w:val="24"/>
          <w:szCs w:val="24"/>
        </w:rPr>
      </w:pPr>
      <w:r w:rsidRPr="00260B4B">
        <w:rPr>
          <w:rFonts w:ascii="Times New Roman" w:hAnsi="Times New Roman"/>
          <w:color w:val="000000" w:themeColor="text1"/>
          <w:position w:val="-74"/>
          <w:sz w:val="24"/>
          <w:szCs w:val="24"/>
        </w:rPr>
        <w:object w:dxaOrig="3200" w:dyaOrig="1600">
          <v:shape id="_x0000_i1026" type="#_x0000_t75" style="width:159.75pt;height:80.25pt" o:ole="">
            <v:imagedata r:id="rId10" o:title=""/>
          </v:shape>
          <o:OLEObject Type="Embed" ProgID="Equation.3" ShapeID="_x0000_i1026" DrawAspect="Content" ObjectID="_1435498216" r:id="rId11"/>
        </w:object>
      </w:r>
      <w:r w:rsidRPr="00260B4B">
        <w:rPr>
          <w:rFonts w:ascii="Times New Roman" w:hAnsi="Times New Roman"/>
          <w:color w:val="000000" w:themeColor="text1"/>
          <w:sz w:val="24"/>
          <w:szCs w:val="24"/>
        </w:rPr>
        <w:t xml:space="preserve"> </w:t>
      </w:r>
      <w:r w:rsidRPr="00260B4B">
        <w:rPr>
          <w:rFonts w:ascii="Times New Roman" w:hAnsi="Times New Roman"/>
          <w:color w:val="000000" w:themeColor="text1"/>
          <w:sz w:val="24"/>
          <w:szCs w:val="24"/>
        </w:rPr>
        <w:tab/>
      </w:r>
      <w:r w:rsidRPr="00260B4B">
        <w:rPr>
          <w:rFonts w:ascii="Times New Roman" w:hAnsi="Times New Roman"/>
          <w:color w:val="000000" w:themeColor="text1"/>
          <w:sz w:val="24"/>
          <w:szCs w:val="24"/>
        </w:rPr>
        <w:tab/>
      </w:r>
      <w:r w:rsidRPr="00260B4B">
        <w:rPr>
          <w:rFonts w:ascii="Times New Roman" w:hAnsi="Times New Roman"/>
          <w:color w:val="000000" w:themeColor="text1"/>
          <w:sz w:val="24"/>
          <w:szCs w:val="24"/>
        </w:rPr>
        <w:tab/>
      </w:r>
      <w:r w:rsidRPr="00260B4B">
        <w:rPr>
          <w:rFonts w:ascii="Times New Roman" w:hAnsi="Times New Roman"/>
          <w:color w:val="000000" w:themeColor="text1"/>
          <w:sz w:val="24"/>
          <w:szCs w:val="24"/>
        </w:rPr>
        <w:tab/>
      </w:r>
      <w:r w:rsidRPr="00260B4B">
        <w:rPr>
          <w:rFonts w:ascii="Times New Roman" w:hAnsi="Times New Roman"/>
          <w:color w:val="000000" w:themeColor="text1"/>
          <w:sz w:val="24"/>
          <w:szCs w:val="24"/>
        </w:rPr>
        <w:tab/>
      </w:r>
      <w:r w:rsidRPr="00260B4B">
        <w:rPr>
          <w:rFonts w:ascii="Times New Roman" w:hAnsi="Times New Roman"/>
          <w:color w:val="000000" w:themeColor="text1"/>
          <w:sz w:val="24"/>
          <w:szCs w:val="24"/>
        </w:rPr>
        <w:tab/>
      </w:r>
      <w:r w:rsidRPr="00260B4B">
        <w:rPr>
          <w:rFonts w:ascii="Times New Roman" w:hAnsi="Times New Roman"/>
          <w:color w:val="000000" w:themeColor="text1"/>
          <w:sz w:val="24"/>
          <w:szCs w:val="24"/>
        </w:rPr>
        <w:tab/>
        <w:t xml:space="preserve">       (2)</w:t>
      </w:r>
    </w:p>
    <w:p w:rsidR="00FE1549" w:rsidRPr="00260B4B" w:rsidRDefault="000F6A25" w:rsidP="001F03CD">
      <w:pPr>
        <w:spacing w:after="120" w:line="240" w:lineRule="auto"/>
        <w:jc w:val="both"/>
        <w:rPr>
          <w:rFonts w:ascii="Times New Roman" w:hAnsi="Times New Roman"/>
          <w:color w:val="000000" w:themeColor="text1"/>
          <w:sz w:val="24"/>
          <w:szCs w:val="24"/>
        </w:rPr>
      </w:pPr>
      <w:r w:rsidRPr="00260B4B">
        <w:rPr>
          <w:rFonts w:ascii="Times New Roman" w:hAnsi="Times New Roman"/>
          <w:color w:val="000000" w:themeColor="text1"/>
          <w:position w:val="-46"/>
          <w:sz w:val="24"/>
          <w:szCs w:val="24"/>
        </w:rPr>
        <w:object w:dxaOrig="2860" w:dyaOrig="880">
          <v:shape id="_x0000_i1027" type="#_x0000_t75" style="width:143.25pt;height:44.25pt" o:ole="">
            <v:imagedata r:id="rId12" o:title=""/>
          </v:shape>
          <o:OLEObject Type="Embed" ProgID="Equation.3" ShapeID="_x0000_i1027" DrawAspect="Content" ObjectID="_1435498217" r:id="rId13"/>
        </w:object>
      </w:r>
      <w:r w:rsidR="00FE1549" w:rsidRPr="00260B4B">
        <w:rPr>
          <w:rFonts w:ascii="Times New Roman" w:hAnsi="Times New Roman"/>
          <w:color w:val="000000" w:themeColor="text1"/>
          <w:sz w:val="24"/>
          <w:szCs w:val="24"/>
        </w:rPr>
        <w:t xml:space="preserve">  </w:t>
      </w:r>
      <w:r w:rsidR="00FE1549" w:rsidRPr="00260B4B">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ab/>
        <w:t xml:space="preserve">                   (3)</w:t>
      </w:r>
    </w:p>
    <w:p w:rsidR="00A23B32" w:rsidRDefault="00FE1549" w:rsidP="001F03CD">
      <w:pPr>
        <w:spacing w:after="120" w:line="240" w:lineRule="auto"/>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 xml:space="preserve">onde a participação de cada grupo </w:t>
      </w:r>
      <w:r w:rsidRPr="00260B4B">
        <w:rPr>
          <w:rFonts w:ascii="Times New Roman" w:hAnsi="Times New Roman"/>
          <w:i/>
          <w:color w:val="000000" w:themeColor="text1"/>
          <w:sz w:val="24"/>
          <w:szCs w:val="24"/>
        </w:rPr>
        <w:t>i</w:t>
      </w:r>
      <w:r w:rsidRPr="00260B4B">
        <w:rPr>
          <w:rFonts w:ascii="Times New Roman" w:hAnsi="Times New Roman"/>
          <w:color w:val="000000" w:themeColor="text1"/>
          <w:sz w:val="24"/>
          <w:szCs w:val="24"/>
        </w:rPr>
        <w:t xml:space="preserve"> é dada por </w:t>
      </w:r>
      <w:r w:rsidR="008F73A0" w:rsidRPr="00260B4B">
        <w:rPr>
          <w:rFonts w:ascii="Times New Roman" w:hAnsi="Times New Roman"/>
          <w:color w:val="000000" w:themeColor="text1"/>
          <w:position w:val="-46"/>
          <w:sz w:val="24"/>
          <w:szCs w:val="24"/>
        </w:rPr>
        <w:object w:dxaOrig="1300" w:dyaOrig="880">
          <v:shape id="_x0000_i1028" type="#_x0000_t75" style="width:65.25pt;height:43.5pt" o:ole="">
            <v:imagedata r:id="rId14" o:title=""/>
          </v:shape>
          <o:OLEObject Type="Embed" ProgID="Equation.3" ShapeID="_x0000_i1028" DrawAspect="Content" ObjectID="_1435498218" r:id="rId15"/>
        </w:object>
      </w:r>
      <w:r>
        <w:rPr>
          <w:rFonts w:ascii="Times New Roman" w:hAnsi="Times New Roman"/>
          <w:color w:val="000000" w:themeColor="text1"/>
          <w:sz w:val="24"/>
          <w:szCs w:val="24"/>
        </w:rPr>
        <w:t xml:space="preserve"> e a taxa de informalidade</w:t>
      </w:r>
      <w:r w:rsidRPr="00260B4B">
        <w:rPr>
          <w:rFonts w:ascii="Times New Roman" w:hAnsi="Times New Roman"/>
          <w:color w:val="000000" w:themeColor="text1"/>
          <w:sz w:val="24"/>
          <w:szCs w:val="24"/>
        </w:rPr>
        <w:t xml:space="preserve"> em cada grupo </w:t>
      </w:r>
      <w:r w:rsidRPr="00260B4B">
        <w:rPr>
          <w:rFonts w:ascii="Times New Roman" w:hAnsi="Times New Roman"/>
          <w:i/>
          <w:color w:val="000000" w:themeColor="text1"/>
          <w:sz w:val="24"/>
          <w:szCs w:val="24"/>
        </w:rPr>
        <w:t>i</w:t>
      </w:r>
      <w:r w:rsidRPr="00260B4B">
        <w:rPr>
          <w:rFonts w:ascii="Times New Roman" w:hAnsi="Times New Roman"/>
          <w:color w:val="000000" w:themeColor="text1"/>
          <w:sz w:val="24"/>
          <w:szCs w:val="24"/>
        </w:rPr>
        <w:t xml:space="preserve">  definido como </w:t>
      </w:r>
      <w:r w:rsidRPr="00260B4B">
        <w:rPr>
          <w:rFonts w:ascii="Times New Roman" w:hAnsi="Times New Roman"/>
          <w:color w:val="000000" w:themeColor="text1"/>
          <w:position w:val="-14"/>
          <w:sz w:val="24"/>
          <w:szCs w:val="24"/>
        </w:rPr>
        <w:object w:dxaOrig="320" w:dyaOrig="380">
          <v:shape id="_x0000_i1029" type="#_x0000_t75" style="width:15.75pt;height:18.75pt" o:ole="">
            <v:imagedata r:id="rId16" o:title=""/>
          </v:shape>
          <o:OLEObject Type="Embed" ProgID="Equation.3" ShapeID="_x0000_i1029" DrawAspect="Content" ObjectID="_1435498219" r:id="rId17"/>
        </w:object>
      </w:r>
      <w:r w:rsidRPr="00260B4B">
        <w:rPr>
          <w:rFonts w:ascii="Times New Roman" w:hAnsi="Times New Roman"/>
          <w:color w:val="000000" w:themeColor="text1"/>
          <w:sz w:val="24"/>
          <w:szCs w:val="24"/>
        </w:rPr>
        <w:t>.</w:t>
      </w:r>
    </w:p>
    <w:p w:rsidR="00A23B32" w:rsidRDefault="00A23B32" w:rsidP="001F03CD">
      <w:pPr>
        <w:spacing w:after="120" w:line="240" w:lineRule="auto"/>
        <w:jc w:val="both"/>
        <w:rPr>
          <w:rFonts w:ascii="Times New Roman" w:hAnsi="Times New Roman"/>
          <w:color w:val="000000" w:themeColor="text1"/>
          <w:sz w:val="24"/>
          <w:szCs w:val="24"/>
        </w:rPr>
      </w:pPr>
    </w:p>
    <w:p w:rsidR="00A23B32" w:rsidRPr="00260B4B" w:rsidRDefault="00A23B32" w:rsidP="001F03CD">
      <w:pPr>
        <w:spacing w:after="12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3.2. Decomposição da Taxa de Informalidade em Efeito Nível e Composição</w:t>
      </w:r>
    </w:p>
    <w:p w:rsidR="00FE1549" w:rsidRPr="00260B4B" w:rsidRDefault="00FE1549" w:rsidP="001F03CD">
      <w:pPr>
        <w:spacing w:after="120" w:line="240" w:lineRule="auto"/>
        <w:ind w:firstLine="567"/>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L</w:t>
      </w:r>
      <w:r>
        <w:rPr>
          <w:rFonts w:ascii="Times New Roman" w:hAnsi="Times New Roman"/>
          <w:color w:val="000000" w:themeColor="text1"/>
          <w:sz w:val="24"/>
          <w:szCs w:val="24"/>
        </w:rPr>
        <w:t xml:space="preserve">ogo, com base na </w:t>
      </w:r>
      <w:r w:rsidR="00C14724">
        <w:rPr>
          <w:rFonts w:ascii="Times New Roman" w:hAnsi="Times New Roman"/>
          <w:color w:val="000000" w:themeColor="text1"/>
          <w:sz w:val="24"/>
          <w:szCs w:val="24"/>
        </w:rPr>
        <w:t>definição d</w:t>
      </w:r>
      <w:r>
        <w:rPr>
          <w:rFonts w:ascii="Times New Roman" w:hAnsi="Times New Roman"/>
          <w:color w:val="000000" w:themeColor="text1"/>
          <w:sz w:val="24"/>
          <w:szCs w:val="24"/>
        </w:rPr>
        <w:t>a taxa de informalidade acima reportada, pode-se decompor a mesma</w:t>
      </w:r>
      <w:r w:rsidRPr="00260B4B">
        <w:rPr>
          <w:rFonts w:ascii="Times New Roman" w:hAnsi="Times New Roman"/>
          <w:color w:val="000000" w:themeColor="text1"/>
          <w:sz w:val="24"/>
          <w:szCs w:val="24"/>
        </w:rPr>
        <w:t xml:space="preserve"> nos componentes participação e nível</w:t>
      </w:r>
      <w:r>
        <w:rPr>
          <w:rFonts w:ascii="Times New Roman" w:hAnsi="Times New Roman"/>
          <w:color w:val="000000" w:themeColor="text1"/>
          <w:sz w:val="24"/>
          <w:szCs w:val="24"/>
        </w:rPr>
        <w:t xml:space="preserve"> de informalidade. A decomposição</w:t>
      </w:r>
      <w:r w:rsidRPr="00260B4B">
        <w:rPr>
          <w:rFonts w:ascii="Times New Roman" w:hAnsi="Times New Roman"/>
          <w:color w:val="000000" w:themeColor="text1"/>
          <w:sz w:val="24"/>
          <w:szCs w:val="24"/>
        </w:rPr>
        <w:t xml:space="preserve"> </w:t>
      </w:r>
      <w:r>
        <w:rPr>
          <w:rFonts w:ascii="Times New Roman" w:hAnsi="Times New Roman"/>
          <w:color w:val="000000" w:themeColor="text1"/>
          <w:sz w:val="24"/>
          <w:szCs w:val="24"/>
        </w:rPr>
        <w:t>permite</w:t>
      </w:r>
      <w:r w:rsidRPr="00260B4B">
        <w:rPr>
          <w:rFonts w:ascii="Times New Roman" w:hAnsi="Times New Roman"/>
          <w:color w:val="000000" w:themeColor="text1"/>
          <w:sz w:val="24"/>
          <w:szCs w:val="24"/>
        </w:rPr>
        <w:t xml:space="preserve"> avaliar quais aspectos mais influenciaram na variação d</w:t>
      </w:r>
      <w:r>
        <w:rPr>
          <w:rFonts w:ascii="Times New Roman" w:hAnsi="Times New Roman"/>
          <w:color w:val="000000" w:themeColor="text1"/>
          <w:sz w:val="24"/>
          <w:szCs w:val="24"/>
        </w:rPr>
        <w:t>a informalidade</w:t>
      </w:r>
      <w:r w:rsidRPr="00260B4B">
        <w:rPr>
          <w:rFonts w:ascii="Times New Roman" w:hAnsi="Times New Roman"/>
          <w:color w:val="000000" w:themeColor="text1"/>
          <w:sz w:val="24"/>
          <w:szCs w:val="24"/>
        </w:rPr>
        <w:t xml:space="preserve"> ao longo do tempo, utilizando-se da fórmula abaixo:</w:t>
      </w:r>
    </w:p>
    <w:p w:rsidR="00FE1549" w:rsidRPr="00260B4B" w:rsidRDefault="008F73A0" w:rsidP="001F03CD">
      <w:pPr>
        <w:spacing w:after="120" w:line="240" w:lineRule="auto"/>
        <w:jc w:val="both"/>
        <w:rPr>
          <w:rFonts w:ascii="Times New Roman" w:hAnsi="Times New Roman"/>
          <w:color w:val="000000" w:themeColor="text1"/>
          <w:sz w:val="24"/>
          <w:szCs w:val="24"/>
        </w:rPr>
      </w:pPr>
      <w:r w:rsidRPr="00260B4B">
        <w:rPr>
          <w:rFonts w:ascii="Times New Roman" w:hAnsi="Times New Roman"/>
          <w:color w:val="000000" w:themeColor="text1"/>
          <w:position w:val="-28"/>
          <w:sz w:val="24"/>
          <w:szCs w:val="24"/>
        </w:rPr>
        <w:object w:dxaOrig="5580" w:dyaOrig="540">
          <v:shape id="_x0000_i1030" type="#_x0000_t75" style="width:279pt;height:27pt" o:ole="">
            <v:imagedata r:id="rId18" o:title=""/>
          </v:shape>
          <o:OLEObject Type="Embed" ProgID="Equation.3" ShapeID="_x0000_i1030" DrawAspect="Content" ObjectID="_1435498220" r:id="rId19"/>
        </w:object>
      </w:r>
      <w:r w:rsidR="00FE1549" w:rsidRPr="00260B4B">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ab/>
        <w:t xml:space="preserve">       </w:t>
      </w:r>
      <w:r w:rsidR="00050454">
        <w:rPr>
          <w:rFonts w:ascii="Times New Roman" w:hAnsi="Times New Roman"/>
          <w:color w:val="000000" w:themeColor="text1"/>
          <w:sz w:val="24"/>
          <w:szCs w:val="24"/>
        </w:rPr>
        <w:tab/>
      </w:r>
      <w:r w:rsidR="00050454">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(4)</w:t>
      </w:r>
      <w:r w:rsidR="00FE1549" w:rsidRPr="00260B4B">
        <w:rPr>
          <w:rFonts w:ascii="Times New Roman" w:hAnsi="Times New Roman"/>
          <w:color w:val="000000" w:themeColor="text1"/>
          <w:sz w:val="24"/>
          <w:szCs w:val="24"/>
        </w:rPr>
        <w:tab/>
      </w:r>
    </w:p>
    <w:p w:rsidR="00FE1549" w:rsidRPr="00260B4B" w:rsidRDefault="00A55AB5" w:rsidP="001F03CD">
      <w:pPr>
        <w:spacing w:after="120" w:line="240" w:lineRule="auto"/>
        <w:jc w:val="both"/>
        <w:rPr>
          <w:rFonts w:ascii="Times New Roman" w:hAnsi="Times New Roman"/>
          <w:color w:val="000000" w:themeColor="text1"/>
          <w:sz w:val="24"/>
          <w:szCs w:val="24"/>
        </w:rPr>
      </w:pPr>
      <w:r w:rsidRPr="00260B4B">
        <w:rPr>
          <w:rFonts w:ascii="Times New Roman" w:hAnsi="Times New Roman"/>
          <w:color w:val="000000" w:themeColor="text1"/>
          <w:position w:val="-28"/>
          <w:sz w:val="24"/>
          <w:szCs w:val="24"/>
        </w:rPr>
        <w:object w:dxaOrig="5780" w:dyaOrig="660">
          <v:shape id="_x0000_i1031" type="#_x0000_t75" style="width:290.25pt;height:33pt" o:ole="">
            <v:imagedata r:id="rId20" o:title=""/>
          </v:shape>
          <o:OLEObject Type="Embed" ProgID="Equation.3" ShapeID="_x0000_i1031" DrawAspect="Content" ObjectID="_1435498221" r:id="rId21"/>
        </w:object>
      </w:r>
      <w:r w:rsidR="00FE1549" w:rsidRPr="00260B4B">
        <w:rPr>
          <w:rFonts w:ascii="Times New Roman" w:hAnsi="Times New Roman"/>
          <w:color w:val="000000" w:themeColor="text1"/>
          <w:sz w:val="24"/>
          <w:szCs w:val="24"/>
        </w:rPr>
        <w:tab/>
        <w:t xml:space="preserve">                              </w:t>
      </w:r>
      <w:r w:rsidR="00050454">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(5)</w:t>
      </w:r>
    </w:p>
    <w:p w:rsidR="00FE1549" w:rsidRPr="00260B4B" w:rsidRDefault="00FE1549" w:rsidP="001F03CD">
      <w:pPr>
        <w:spacing w:after="120" w:line="240" w:lineRule="auto"/>
        <w:ind w:firstLine="567"/>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 xml:space="preserve">Somando-se e subtraindo-se o termo </w:t>
      </w:r>
      <w:r w:rsidRPr="00260B4B">
        <w:rPr>
          <w:rFonts w:ascii="Times New Roman" w:hAnsi="Times New Roman"/>
          <w:color w:val="000000" w:themeColor="text1"/>
          <w:position w:val="-14"/>
          <w:sz w:val="24"/>
          <w:szCs w:val="24"/>
        </w:rPr>
        <w:object w:dxaOrig="760" w:dyaOrig="380">
          <v:shape id="_x0000_i1032" type="#_x0000_t75" style="width:38.25pt;height:18.75pt" o:ole="">
            <v:imagedata r:id="rId22" o:title=""/>
          </v:shape>
          <o:OLEObject Type="Embed" ProgID="Equation.3" ShapeID="_x0000_i1032" DrawAspect="Content" ObjectID="_1435498222" r:id="rId23"/>
        </w:object>
      </w:r>
      <w:r w:rsidRPr="00260B4B">
        <w:rPr>
          <w:rFonts w:ascii="Times New Roman" w:hAnsi="Times New Roman"/>
          <w:color w:val="000000" w:themeColor="text1"/>
          <w:sz w:val="24"/>
          <w:szCs w:val="24"/>
        </w:rPr>
        <w:t xml:space="preserve">do primeiro colchete e somando-se e subtraindo-se o termo </w:t>
      </w:r>
      <w:r w:rsidRPr="00260B4B">
        <w:rPr>
          <w:rFonts w:ascii="Times New Roman" w:hAnsi="Times New Roman"/>
          <w:color w:val="000000" w:themeColor="text1"/>
          <w:position w:val="-14"/>
          <w:sz w:val="24"/>
          <w:szCs w:val="24"/>
        </w:rPr>
        <w:object w:dxaOrig="760" w:dyaOrig="380">
          <v:shape id="_x0000_i1033" type="#_x0000_t75" style="width:38.25pt;height:18.75pt" o:ole="">
            <v:imagedata r:id="rId24" o:title=""/>
          </v:shape>
          <o:OLEObject Type="Embed" ProgID="Equation.3" ShapeID="_x0000_i1033" DrawAspect="Content" ObjectID="_1435498223" r:id="rId25"/>
        </w:object>
      </w:r>
      <w:r w:rsidRPr="00260B4B">
        <w:rPr>
          <w:rFonts w:ascii="Times New Roman" w:hAnsi="Times New Roman"/>
          <w:color w:val="000000" w:themeColor="text1"/>
          <w:sz w:val="24"/>
          <w:szCs w:val="24"/>
        </w:rPr>
        <w:t xml:space="preserve"> do segundo colchete, temos</w:t>
      </w:r>
      <w:r w:rsidR="0074745F">
        <w:rPr>
          <w:rStyle w:val="Refdenotaderodap"/>
          <w:rFonts w:ascii="Times New Roman" w:hAnsi="Times New Roman"/>
          <w:color w:val="000000" w:themeColor="text1"/>
          <w:sz w:val="24"/>
          <w:szCs w:val="24"/>
        </w:rPr>
        <w:footnoteReference w:id="1"/>
      </w:r>
      <w:r w:rsidRPr="00260B4B">
        <w:rPr>
          <w:rFonts w:ascii="Times New Roman" w:hAnsi="Times New Roman"/>
          <w:color w:val="000000" w:themeColor="text1"/>
          <w:sz w:val="24"/>
          <w:szCs w:val="24"/>
        </w:rPr>
        <w:t>:</w:t>
      </w:r>
    </w:p>
    <w:p w:rsidR="00FE1549" w:rsidRPr="00260B4B" w:rsidRDefault="008B4D8C" w:rsidP="001F03CD">
      <w:pPr>
        <w:spacing w:after="120" w:line="240" w:lineRule="auto"/>
        <w:jc w:val="both"/>
        <w:rPr>
          <w:rFonts w:ascii="Times New Roman" w:hAnsi="Times New Roman"/>
          <w:color w:val="000000" w:themeColor="text1"/>
          <w:sz w:val="24"/>
          <w:szCs w:val="24"/>
        </w:rPr>
      </w:pPr>
      <w:r w:rsidRPr="00260B4B">
        <w:rPr>
          <w:rFonts w:ascii="Times New Roman" w:hAnsi="Times New Roman"/>
          <w:color w:val="000000" w:themeColor="text1"/>
          <w:position w:val="-64"/>
          <w:sz w:val="24"/>
          <w:szCs w:val="24"/>
        </w:rPr>
        <w:object w:dxaOrig="7860" w:dyaOrig="1380">
          <v:shape id="_x0000_i1034" type="#_x0000_t75" style="width:391.5pt;height:68.25pt" o:ole="">
            <v:imagedata r:id="rId26" o:title=""/>
          </v:shape>
          <o:OLEObject Type="Embed" ProgID="Equation.3" ShapeID="_x0000_i1034" DrawAspect="Content" ObjectID="_1435498224" r:id="rId27"/>
        </w:object>
      </w:r>
    </w:p>
    <w:p w:rsidR="00FE1549" w:rsidRPr="00260B4B" w:rsidRDefault="00FE1549" w:rsidP="001F03CD">
      <w:pPr>
        <w:spacing w:after="120" w:line="240" w:lineRule="auto"/>
        <w:jc w:val="both"/>
        <w:rPr>
          <w:rFonts w:ascii="Times New Roman" w:hAnsi="Times New Roman"/>
          <w:color w:val="000000" w:themeColor="text1"/>
          <w:sz w:val="24"/>
          <w:szCs w:val="24"/>
        </w:rPr>
      </w:pPr>
      <w:r w:rsidRPr="00260B4B">
        <w:rPr>
          <w:rFonts w:ascii="Times New Roman" w:hAnsi="Times New Roman"/>
          <w:color w:val="000000" w:themeColor="text1"/>
          <w:position w:val="-28"/>
          <w:sz w:val="24"/>
          <w:szCs w:val="24"/>
        </w:rPr>
        <w:object w:dxaOrig="5260" w:dyaOrig="700">
          <v:shape id="_x0000_i1035" type="#_x0000_t75" style="width:262.5pt;height:35.25pt" o:ole="">
            <v:imagedata r:id="rId28" o:title=""/>
          </v:shape>
          <o:OLEObject Type="Embed" ProgID="Equation.3" ShapeID="_x0000_i1035" DrawAspect="Content" ObjectID="_1435498225" r:id="rId29"/>
        </w:object>
      </w:r>
      <w:r w:rsidRPr="00260B4B">
        <w:rPr>
          <w:rFonts w:ascii="Times New Roman" w:hAnsi="Times New Roman"/>
          <w:color w:val="000000" w:themeColor="text1"/>
          <w:sz w:val="24"/>
          <w:szCs w:val="24"/>
        </w:rPr>
        <w:t xml:space="preserve"> </w:t>
      </w:r>
      <w:r w:rsidRPr="00260B4B">
        <w:rPr>
          <w:rFonts w:ascii="Times New Roman" w:hAnsi="Times New Roman"/>
          <w:color w:val="000000" w:themeColor="text1"/>
          <w:sz w:val="24"/>
          <w:szCs w:val="24"/>
        </w:rPr>
        <w:tab/>
      </w:r>
      <w:r w:rsidRPr="00260B4B">
        <w:rPr>
          <w:rFonts w:ascii="Times New Roman" w:hAnsi="Times New Roman"/>
          <w:color w:val="000000" w:themeColor="text1"/>
          <w:sz w:val="24"/>
          <w:szCs w:val="24"/>
        </w:rPr>
        <w:tab/>
      </w:r>
      <w:r w:rsidRPr="00260B4B">
        <w:rPr>
          <w:rFonts w:ascii="Times New Roman" w:hAnsi="Times New Roman"/>
          <w:color w:val="000000" w:themeColor="text1"/>
          <w:sz w:val="24"/>
          <w:szCs w:val="24"/>
        </w:rPr>
        <w:tab/>
        <w:t xml:space="preserve">        </w:t>
      </w:r>
      <w:r w:rsidR="00050454">
        <w:rPr>
          <w:rFonts w:ascii="Times New Roman" w:hAnsi="Times New Roman"/>
          <w:color w:val="000000" w:themeColor="text1"/>
          <w:sz w:val="24"/>
          <w:szCs w:val="24"/>
        </w:rPr>
        <w:tab/>
      </w:r>
      <w:r w:rsidR="00050454">
        <w:rPr>
          <w:rFonts w:ascii="Times New Roman" w:hAnsi="Times New Roman"/>
          <w:color w:val="000000" w:themeColor="text1"/>
          <w:sz w:val="24"/>
          <w:szCs w:val="24"/>
        </w:rPr>
        <w:tab/>
      </w:r>
      <w:r w:rsidRPr="00260B4B">
        <w:rPr>
          <w:rFonts w:ascii="Times New Roman" w:hAnsi="Times New Roman"/>
          <w:color w:val="000000" w:themeColor="text1"/>
          <w:sz w:val="24"/>
          <w:szCs w:val="24"/>
        </w:rPr>
        <w:t xml:space="preserve">      (6)</w:t>
      </w:r>
    </w:p>
    <w:p w:rsidR="00FE1549" w:rsidRPr="00260B4B" w:rsidRDefault="009D35E6" w:rsidP="001F03CD">
      <w:pPr>
        <w:spacing w:after="120" w:line="240" w:lineRule="auto"/>
        <w:jc w:val="both"/>
        <w:rPr>
          <w:rFonts w:ascii="Times New Roman" w:hAnsi="Times New Roman"/>
          <w:color w:val="000000" w:themeColor="text1"/>
          <w:sz w:val="24"/>
          <w:szCs w:val="24"/>
        </w:rPr>
      </w:pPr>
      <w:r w:rsidRPr="00260B4B">
        <w:rPr>
          <w:rFonts w:ascii="Times New Roman" w:hAnsi="Times New Roman"/>
          <w:color w:val="000000" w:themeColor="text1"/>
          <w:position w:val="-28"/>
          <w:sz w:val="24"/>
          <w:szCs w:val="24"/>
        </w:rPr>
        <w:object w:dxaOrig="4000" w:dyaOrig="540">
          <v:shape id="_x0000_i1036" type="#_x0000_t75" style="width:200.25pt;height:27pt" o:ole="">
            <v:imagedata r:id="rId30" o:title=""/>
          </v:shape>
          <o:OLEObject Type="Embed" ProgID="Equation.3" ShapeID="_x0000_i1036" DrawAspect="Content" ObjectID="_1435498226" r:id="rId31"/>
        </w:object>
      </w:r>
      <w:r w:rsidR="00FE1549" w:rsidRPr="00260B4B">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ab/>
        <w:t xml:space="preserve">          </w:t>
      </w:r>
      <w:r w:rsidR="00050454">
        <w:rPr>
          <w:rFonts w:ascii="Times New Roman" w:hAnsi="Times New Roman"/>
          <w:color w:val="000000" w:themeColor="text1"/>
          <w:sz w:val="24"/>
          <w:szCs w:val="24"/>
        </w:rPr>
        <w:tab/>
      </w:r>
      <w:r w:rsidR="00050454">
        <w:rPr>
          <w:rFonts w:ascii="Times New Roman" w:hAnsi="Times New Roman"/>
          <w:color w:val="000000" w:themeColor="text1"/>
          <w:sz w:val="24"/>
          <w:szCs w:val="24"/>
        </w:rPr>
        <w:tab/>
      </w:r>
      <w:r w:rsidR="00050454">
        <w:rPr>
          <w:rFonts w:ascii="Times New Roman" w:hAnsi="Times New Roman"/>
          <w:color w:val="000000" w:themeColor="text1"/>
          <w:sz w:val="24"/>
          <w:szCs w:val="24"/>
        </w:rPr>
        <w:tab/>
      </w:r>
      <w:r w:rsidR="00FE1549" w:rsidRPr="00260B4B">
        <w:rPr>
          <w:rFonts w:ascii="Times New Roman" w:hAnsi="Times New Roman"/>
          <w:color w:val="000000" w:themeColor="text1"/>
          <w:sz w:val="24"/>
          <w:szCs w:val="24"/>
        </w:rPr>
        <w:t xml:space="preserve">     (7)</w:t>
      </w:r>
    </w:p>
    <w:p w:rsidR="00FE1549" w:rsidRDefault="00FE1549" w:rsidP="001F03CD">
      <w:pPr>
        <w:spacing w:after="120" w:line="240" w:lineRule="auto"/>
        <w:ind w:firstLine="567"/>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 xml:space="preserve">Desta forma, podemos decompor a </w:t>
      </w:r>
      <w:r>
        <w:rPr>
          <w:rFonts w:ascii="Times New Roman" w:hAnsi="Times New Roman"/>
          <w:color w:val="000000" w:themeColor="text1"/>
          <w:sz w:val="24"/>
          <w:szCs w:val="24"/>
        </w:rPr>
        <w:t>variação da taxa de informalidade</w:t>
      </w:r>
      <w:r w:rsidRPr="00260B4B">
        <w:rPr>
          <w:rFonts w:ascii="Times New Roman" w:hAnsi="Times New Roman"/>
          <w:color w:val="000000" w:themeColor="text1"/>
          <w:sz w:val="24"/>
          <w:szCs w:val="24"/>
        </w:rPr>
        <w:t xml:space="preserve"> em d</w:t>
      </w:r>
      <w:r>
        <w:rPr>
          <w:rFonts w:ascii="Times New Roman" w:hAnsi="Times New Roman"/>
          <w:color w:val="000000" w:themeColor="text1"/>
          <w:sz w:val="24"/>
          <w:szCs w:val="24"/>
        </w:rPr>
        <w:t>oi</w:t>
      </w:r>
      <w:r w:rsidRPr="00260B4B">
        <w:rPr>
          <w:rFonts w:ascii="Times New Roman" w:hAnsi="Times New Roman"/>
          <w:color w:val="000000" w:themeColor="text1"/>
          <w:sz w:val="24"/>
          <w:szCs w:val="24"/>
        </w:rPr>
        <w:t xml:space="preserve">s componentes: </w:t>
      </w:r>
      <w:r w:rsidR="009D35E6">
        <w:rPr>
          <w:rFonts w:ascii="Times New Roman" w:hAnsi="Times New Roman"/>
          <w:color w:val="000000" w:themeColor="text1"/>
          <w:sz w:val="24"/>
          <w:szCs w:val="24"/>
        </w:rPr>
        <w:t>o</w:t>
      </w:r>
      <w:r w:rsidRPr="00260B4B">
        <w:rPr>
          <w:rFonts w:ascii="Times New Roman" w:hAnsi="Times New Roman"/>
          <w:color w:val="000000" w:themeColor="text1"/>
          <w:sz w:val="24"/>
          <w:szCs w:val="24"/>
        </w:rPr>
        <w:t xml:space="preserve"> componente relacionad</w:t>
      </w:r>
      <w:r w:rsidR="009D35E6">
        <w:rPr>
          <w:rFonts w:ascii="Times New Roman" w:hAnsi="Times New Roman"/>
          <w:color w:val="000000" w:themeColor="text1"/>
          <w:sz w:val="24"/>
          <w:szCs w:val="24"/>
        </w:rPr>
        <w:t>o</w:t>
      </w:r>
      <w:r w:rsidRPr="00260B4B">
        <w:rPr>
          <w:rFonts w:ascii="Times New Roman" w:hAnsi="Times New Roman"/>
          <w:color w:val="000000" w:themeColor="text1"/>
          <w:sz w:val="24"/>
          <w:szCs w:val="24"/>
        </w:rPr>
        <w:t xml:space="preserve"> à mudança do nível da taxa de </w:t>
      </w:r>
      <w:r w:rsidR="009D35E6">
        <w:rPr>
          <w:rFonts w:ascii="Times New Roman" w:hAnsi="Times New Roman"/>
          <w:color w:val="000000" w:themeColor="text1"/>
          <w:sz w:val="24"/>
          <w:szCs w:val="24"/>
        </w:rPr>
        <w:t>informalidade</w:t>
      </w:r>
      <w:r w:rsidRPr="00260B4B">
        <w:rPr>
          <w:rFonts w:ascii="Times New Roman" w:hAnsi="Times New Roman"/>
          <w:color w:val="000000" w:themeColor="text1"/>
          <w:sz w:val="24"/>
          <w:szCs w:val="24"/>
        </w:rPr>
        <w:t xml:space="preserve"> </w:t>
      </w:r>
      <w:r w:rsidR="00267E59" w:rsidRPr="00267E59">
        <w:rPr>
          <w:rFonts w:ascii="Times New Roman" w:hAnsi="Times New Roman"/>
          <w:color w:val="000000" w:themeColor="text1"/>
          <w:position w:val="-12"/>
          <w:sz w:val="24"/>
          <w:szCs w:val="24"/>
        </w:rPr>
        <w:object w:dxaOrig="620" w:dyaOrig="380">
          <v:shape id="_x0000_i1037" type="#_x0000_t75" style="width:30.75pt;height:18.75pt" o:ole="">
            <v:imagedata r:id="rId32" o:title=""/>
          </v:shape>
          <o:OLEObject Type="Embed" ProgID="Equation.3" ShapeID="_x0000_i1037" DrawAspect="Content" ObjectID="_1435498227" r:id="rId33"/>
        </w:object>
      </w:r>
      <w:r w:rsidRPr="00260B4B">
        <w:rPr>
          <w:rFonts w:ascii="Times New Roman" w:hAnsi="Times New Roman"/>
          <w:color w:val="000000" w:themeColor="text1"/>
          <w:sz w:val="24"/>
          <w:szCs w:val="24"/>
        </w:rPr>
        <w:t xml:space="preserve"> e </w:t>
      </w:r>
      <w:r w:rsidR="009D35E6">
        <w:rPr>
          <w:rFonts w:ascii="Times New Roman" w:hAnsi="Times New Roman"/>
          <w:color w:val="000000" w:themeColor="text1"/>
          <w:sz w:val="24"/>
          <w:szCs w:val="24"/>
        </w:rPr>
        <w:t>outro</w:t>
      </w:r>
      <w:r w:rsidRPr="00260B4B">
        <w:rPr>
          <w:rFonts w:ascii="Times New Roman" w:hAnsi="Times New Roman"/>
          <w:color w:val="000000" w:themeColor="text1"/>
          <w:sz w:val="24"/>
          <w:szCs w:val="24"/>
        </w:rPr>
        <w:t xml:space="preserve"> componente relacionad</w:t>
      </w:r>
      <w:r w:rsidR="009D35E6">
        <w:rPr>
          <w:rFonts w:ascii="Times New Roman" w:hAnsi="Times New Roman"/>
          <w:color w:val="000000" w:themeColor="text1"/>
          <w:sz w:val="24"/>
          <w:szCs w:val="24"/>
        </w:rPr>
        <w:t>o</w:t>
      </w:r>
      <w:r w:rsidRPr="00260B4B">
        <w:rPr>
          <w:rFonts w:ascii="Times New Roman" w:hAnsi="Times New Roman"/>
          <w:color w:val="000000" w:themeColor="text1"/>
          <w:sz w:val="24"/>
          <w:szCs w:val="24"/>
        </w:rPr>
        <w:t xml:space="preserve"> à variação d</w:t>
      </w:r>
      <w:r w:rsidR="009D35E6">
        <w:rPr>
          <w:rFonts w:ascii="Times New Roman" w:hAnsi="Times New Roman"/>
          <w:color w:val="000000" w:themeColor="text1"/>
          <w:sz w:val="24"/>
          <w:szCs w:val="24"/>
        </w:rPr>
        <w:t>a informalidade</w:t>
      </w:r>
      <w:r w:rsidRPr="00260B4B">
        <w:rPr>
          <w:rFonts w:ascii="Times New Roman" w:hAnsi="Times New Roman"/>
          <w:color w:val="000000" w:themeColor="text1"/>
          <w:sz w:val="24"/>
          <w:szCs w:val="24"/>
        </w:rPr>
        <w:t xml:space="preserve"> em virtude da mudança da composição d</w:t>
      </w:r>
      <w:r w:rsidR="009D35E6">
        <w:rPr>
          <w:rFonts w:ascii="Times New Roman" w:hAnsi="Times New Roman"/>
          <w:color w:val="000000" w:themeColor="text1"/>
          <w:sz w:val="24"/>
          <w:szCs w:val="24"/>
        </w:rPr>
        <w:t>os trabalhadores empregados</w:t>
      </w:r>
      <w:r w:rsidR="00267E59" w:rsidRPr="00267E59">
        <w:rPr>
          <w:rFonts w:ascii="Times New Roman" w:hAnsi="Times New Roman"/>
          <w:color w:val="000000" w:themeColor="text1"/>
          <w:position w:val="-12"/>
          <w:sz w:val="24"/>
          <w:szCs w:val="24"/>
        </w:rPr>
        <w:object w:dxaOrig="600" w:dyaOrig="380">
          <v:shape id="_x0000_i1038" type="#_x0000_t75" style="width:30pt;height:18.75pt" o:ole="">
            <v:imagedata r:id="rId34" o:title=""/>
          </v:shape>
          <o:OLEObject Type="Embed" ProgID="Equation.3" ShapeID="_x0000_i1038" DrawAspect="Content" ObjectID="_1435498228" r:id="rId35"/>
        </w:object>
      </w:r>
      <w:r w:rsidRPr="00260B4B">
        <w:rPr>
          <w:rFonts w:ascii="Times New Roman" w:hAnsi="Times New Roman"/>
          <w:color w:val="000000" w:themeColor="text1"/>
          <w:sz w:val="24"/>
          <w:szCs w:val="24"/>
        </w:rPr>
        <w:t>.</w:t>
      </w:r>
      <w:r w:rsidR="00055272">
        <w:rPr>
          <w:rFonts w:ascii="Times New Roman" w:hAnsi="Times New Roman"/>
          <w:color w:val="000000" w:themeColor="text1"/>
          <w:sz w:val="24"/>
          <w:szCs w:val="24"/>
        </w:rPr>
        <w:t xml:space="preserve"> O primeiro componente é denominado efeito nível</w:t>
      </w:r>
      <w:r w:rsidR="00055272" w:rsidRPr="00267E59">
        <w:rPr>
          <w:rFonts w:ascii="Times New Roman" w:hAnsi="Times New Roman"/>
          <w:color w:val="000000" w:themeColor="text1"/>
          <w:sz w:val="24"/>
          <w:szCs w:val="24"/>
        </w:rPr>
        <w:t xml:space="preserve"> e nos informa a contribuição da variação da taxa de informalidade de cada grupo “i” (mantido fixo a participação relativa média entre os dois períodos considerados). O segundo componente é denominado efeito composição e nos informa a contribuição da variação da participação relativa de cada grupo “i” no total de ocupados (mantido fixo a taxa de informalidade média do grupo).</w:t>
      </w:r>
    </w:p>
    <w:p w:rsidR="00DD3E26" w:rsidRDefault="00DD3E26" w:rsidP="001F03CD">
      <w:pPr>
        <w:spacing w:after="120" w:line="240" w:lineRule="auto"/>
        <w:jc w:val="both"/>
        <w:rPr>
          <w:rFonts w:ascii="Times New Roman" w:hAnsi="Times New Roman"/>
          <w:color w:val="000000" w:themeColor="text1"/>
          <w:sz w:val="24"/>
          <w:szCs w:val="24"/>
        </w:rPr>
      </w:pPr>
    </w:p>
    <w:p w:rsidR="00DD3E26" w:rsidRDefault="00DD3E26" w:rsidP="001F03CD">
      <w:pPr>
        <w:spacing w:after="12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3.3. Matriz de Transição</w:t>
      </w:r>
    </w:p>
    <w:p w:rsidR="0065422E" w:rsidRDefault="00B1407A" w:rsidP="001F03CD">
      <w:pPr>
        <w:spacing w:after="120" w:line="240" w:lineRule="auto"/>
        <w:ind w:firstLine="567"/>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Adicionalmente, realizamos um exercício que aproveita o fato da PME </w:t>
      </w:r>
      <w:r w:rsidR="004A1B9E">
        <w:rPr>
          <w:rFonts w:ascii="Times New Roman" w:hAnsi="Times New Roman"/>
          <w:color w:val="000000" w:themeColor="text1"/>
          <w:sz w:val="24"/>
          <w:szCs w:val="24"/>
        </w:rPr>
        <w:t>t</w:t>
      </w:r>
      <w:r>
        <w:rPr>
          <w:rFonts w:ascii="Times New Roman" w:hAnsi="Times New Roman"/>
          <w:color w:val="000000" w:themeColor="text1"/>
          <w:sz w:val="24"/>
          <w:szCs w:val="24"/>
        </w:rPr>
        <w:t>er um</w:t>
      </w:r>
      <w:r w:rsidR="004A1B9E">
        <w:rPr>
          <w:rFonts w:ascii="Times New Roman" w:hAnsi="Times New Roman"/>
          <w:color w:val="000000" w:themeColor="text1"/>
          <w:sz w:val="24"/>
          <w:szCs w:val="24"/>
        </w:rPr>
        <w:t xml:space="preserve"> desenho de</w:t>
      </w:r>
      <w:r>
        <w:rPr>
          <w:rFonts w:ascii="Times New Roman" w:hAnsi="Times New Roman"/>
          <w:color w:val="000000" w:themeColor="text1"/>
          <w:sz w:val="24"/>
          <w:szCs w:val="24"/>
        </w:rPr>
        <w:t xml:space="preserve"> painel rotativo. </w:t>
      </w:r>
      <w:r w:rsidR="005D3964">
        <w:rPr>
          <w:rFonts w:ascii="Times New Roman" w:hAnsi="Times New Roman"/>
          <w:color w:val="000000" w:themeColor="text1"/>
          <w:sz w:val="24"/>
          <w:szCs w:val="24"/>
        </w:rPr>
        <w:t>Calculamos a probabilidade dos indivíduos transitarem entre condições ocupacionais (CO) distintas ao longo dos meses do ano. Consideramos as seguintes categorias na definição da variável CO: informal, formal, des</w:t>
      </w:r>
      <w:r w:rsidR="00BA45CC">
        <w:rPr>
          <w:rFonts w:ascii="Times New Roman" w:hAnsi="Times New Roman"/>
          <w:color w:val="000000" w:themeColor="text1"/>
          <w:sz w:val="24"/>
          <w:szCs w:val="24"/>
        </w:rPr>
        <w:t>empregado</w:t>
      </w:r>
      <w:r w:rsidR="005D3964">
        <w:rPr>
          <w:rFonts w:ascii="Times New Roman" w:hAnsi="Times New Roman"/>
          <w:color w:val="000000" w:themeColor="text1"/>
          <w:sz w:val="24"/>
          <w:szCs w:val="24"/>
        </w:rPr>
        <w:t xml:space="preserve"> e fora da PEA.</w:t>
      </w:r>
      <w:r w:rsidR="00B94C48">
        <w:rPr>
          <w:rFonts w:ascii="Times New Roman" w:hAnsi="Times New Roman"/>
          <w:color w:val="000000" w:themeColor="text1"/>
          <w:sz w:val="24"/>
          <w:szCs w:val="24"/>
        </w:rPr>
        <w:t xml:space="preserve"> </w:t>
      </w:r>
      <w:r w:rsidR="00DF4FA3">
        <w:rPr>
          <w:rFonts w:ascii="Times New Roman" w:hAnsi="Times New Roman"/>
          <w:color w:val="000000" w:themeColor="text1"/>
          <w:sz w:val="24"/>
          <w:szCs w:val="24"/>
        </w:rPr>
        <w:t>A</w:t>
      </w:r>
      <w:r w:rsidR="00B94C48">
        <w:rPr>
          <w:rFonts w:ascii="Times New Roman" w:hAnsi="Times New Roman"/>
          <w:color w:val="000000" w:themeColor="text1"/>
          <w:sz w:val="24"/>
          <w:szCs w:val="24"/>
        </w:rPr>
        <w:t>ssim, tal</w:t>
      </w:r>
      <w:r w:rsidR="00DF4FA3">
        <w:rPr>
          <w:rFonts w:ascii="Times New Roman" w:hAnsi="Times New Roman"/>
          <w:color w:val="000000" w:themeColor="text1"/>
          <w:sz w:val="24"/>
          <w:szCs w:val="24"/>
        </w:rPr>
        <w:t xml:space="preserve"> probabilidade de transição é calculada através da seguinte fórmula:</w:t>
      </w:r>
    </w:p>
    <w:p w:rsidR="00DF4FA3" w:rsidRPr="00260B4B" w:rsidRDefault="00FB7862" w:rsidP="001F03CD">
      <w:pPr>
        <w:spacing w:after="120" w:line="240" w:lineRule="auto"/>
        <w:ind w:firstLine="567"/>
        <w:jc w:val="both"/>
        <w:rPr>
          <w:rFonts w:ascii="Times New Roman" w:hAnsi="Times New Roman"/>
          <w:color w:val="000000" w:themeColor="text1"/>
          <w:sz w:val="24"/>
          <w:szCs w:val="24"/>
        </w:rPr>
      </w:pP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p</m:t>
            </m:r>
          </m:e>
          <m:sub>
            <m:r>
              <w:rPr>
                <w:rFonts w:ascii="Cambria Math" w:hAnsi="Cambria Math"/>
                <w:color w:val="000000" w:themeColor="text1"/>
                <w:sz w:val="24"/>
                <w:szCs w:val="24"/>
              </w:rPr>
              <m:t>lk</m:t>
            </m:r>
          </m:sub>
          <m:sup>
            <m:r>
              <w:rPr>
                <w:rFonts w:ascii="Cambria Math" w:hAnsi="Cambria Math"/>
                <w:color w:val="000000" w:themeColor="text1"/>
                <w:sz w:val="24"/>
                <w:szCs w:val="24"/>
              </w:rPr>
              <m:t>t</m:t>
            </m:r>
          </m:sup>
        </m:sSubSup>
        <m:r>
          <w:rPr>
            <w:rFonts w:ascii="Cambria Math" w:hAnsi="Cambria Math"/>
            <w:color w:val="000000" w:themeColor="text1"/>
            <w:sz w:val="24"/>
            <w:szCs w:val="24"/>
          </w:rPr>
          <m:t>=</m:t>
        </m:r>
        <m:func>
          <m:funcPr>
            <m:ctrlPr>
              <w:rPr>
                <w:rFonts w:ascii="Cambria Math" w:hAnsi="Cambria Math"/>
                <w:color w:val="000000" w:themeColor="text1"/>
                <w:sz w:val="24"/>
                <w:szCs w:val="24"/>
              </w:rPr>
            </m:ctrlPr>
          </m:funcPr>
          <m:fName>
            <m:r>
              <m:rPr>
                <m:sty m:val="p"/>
              </m:rPr>
              <w:rPr>
                <w:rFonts w:ascii="Cambria Math" w:hAnsi="Cambria Math"/>
                <w:color w:val="000000" w:themeColor="text1"/>
                <w:sz w:val="24"/>
                <w:szCs w:val="24"/>
              </w:rPr>
              <m:t>Pr</m:t>
            </m:r>
          </m:fName>
          <m:e>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CO</m:t>
                    </m:r>
                  </m:e>
                  <m:sub>
                    <m:r>
                      <w:rPr>
                        <w:rFonts w:ascii="Cambria Math" w:hAnsi="Cambria Math"/>
                        <w:color w:val="000000" w:themeColor="text1"/>
                        <w:sz w:val="24"/>
                        <w:szCs w:val="24"/>
                      </w:rPr>
                      <m:t>12</m:t>
                    </m:r>
                  </m:sub>
                </m:sSub>
                <m:r>
                  <w:rPr>
                    <w:rFonts w:ascii="Cambria Math" w:hAnsi="Cambria Math"/>
                    <w:color w:val="000000" w:themeColor="text1"/>
                    <w:sz w:val="24"/>
                    <w:szCs w:val="24"/>
                  </w:rPr>
                  <m:t>=k|</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CO</m:t>
                    </m:r>
                  </m:e>
                  <m:sub>
                    <m:r>
                      <w:rPr>
                        <w:rFonts w:ascii="Cambria Math" w:hAnsi="Cambria Math"/>
                        <w:color w:val="000000" w:themeColor="text1"/>
                        <w:sz w:val="24"/>
                        <w:szCs w:val="24"/>
                      </w:rPr>
                      <m:t>1</m:t>
                    </m:r>
                  </m:sub>
                </m:sSub>
                <m:r>
                  <w:rPr>
                    <w:rFonts w:ascii="Cambria Math" w:hAnsi="Cambria Math"/>
                    <w:color w:val="000000" w:themeColor="text1"/>
                    <w:sz w:val="24"/>
                    <w:szCs w:val="24"/>
                  </w:rPr>
                  <m:t>=l;t</m:t>
                </m:r>
              </m:e>
            </m:d>
          </m:e>
        </m:func>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nary>
              <m:naryPr>
                <m:chr m:val="∑"/>
                <m:limLoc m:val="subSup"/>
                <m:ctrlPr>
                  <w:rPr>
                    <w:rFonts w:ascii="Cambria Math" w:hAnsi="Cambria Math"/>
                    <w:i/>
                    <w:color w:val="000000" w:themeColor="text1"/>
                    <w:sz w:val="24"/>
                    <w:szCs w:val="24"/>
                  </w:rPr>
                </m:ctrlPr>
              </m:naryPr>
              <m:sub>
                <m:r>
                  <w:rPr>
                    <w:rFonts w:ascii="Cambria Math" w:hAnsi="Cambria Math"/>
                    <w:color w:val="000000" w:themeColor="text1"/>
                    <w:sz w:val="24"/>
                    <w:szCs w:val="24"/>
                  </w:rPr>
                  <m:t>j=1</m:t>
                </m:r>
              </m:sub>
              <m:sup>
                <m:r>
                  <w:rPr>
                    <w:rFonts w:ascii="Cambria Math" w:hAnsi="Cambria Math"/>
                    <w:color w:val="000000" w:themeColor="text1"/>
                    <w:sz w:val="24"/>
                    <w:szCs w:val="24"/>
                  </w:rPr>
                  <m:t>11</m:t>
                </m:r>
              </m:sup>
              <m:e>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CO</m:t>
                        </m:r>
                      </m:e>
                      <m:sub>
                        <m:r>
                          <w:rPr>
                            <w:rFonts w:ascii="Cambria Math" w:hAnsi="Cambria Math"/>
                            <w:color w:val="000000" w:themeColor="text1"/>
                            <w:sz w:val="24"/>
                            <w:szCs w:val="24"/>
                          </w:rPr>
                          <m:t>k,j,t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CO</m:t>
                        </m:r>
                      </m:e>
                      <m:sub>
                        <m:r>
                          <w:rPr>
                            <w:rFonts w:ascii="Cambria Math" w:hAnsi="Cambria Math"/>
                            <w:color w:val="000000" w:themeColor="text1"/>
                            <w:sz w:val="24"/>
                            <w:szCs w:val="24"/>
                          </w:rPr>
                          <m:t>l,j+1,t</m:t>
                        </m:r>
                      </m:sub>
                    </m:sSub>
                  </m:e>
                </m:d>
              </m:e>
            </m:nary>
          </m:num>
          <m:den>
            <m:nary>
              <m:naryPr>
                <m:chr m:val="∑"/>
                <m:limLoc m:val="subSup"/>
                <m:supHide m:val="1"/>
                <m:ctrlPr>
                  <w:rPr>
                    <w:rFonts w:ascii="Cambria Math" w:hAnsi="Cambria Math"/>
                    <w:i/>
                    <w:color w:val="000000" w:themeColor="text1"/>
                    <w:sz w:val="24"/>
                    <w:szCs w:val="24"/>
                  </w:rPr>
                </m:ctrlPr>
              </m:naryPr>
              <m:sub>
                <m:r>
                  <w:rPr>
                    <w:rFonts w:ascii="Cambria Math" w:hAnsi="Cambria Math"/>
                    <w:color w:val="000000" w:themeColor="text1"/>
                    <w:sz w:val="24"/>
                    <w:szCs w:val="24"/>
                  </w:rPr>
                  <m:t>l</m:t>
                </m:r>
              </m:sub>
              <m:sup/>
              <m:e>
                <m:nary>
                  <m:naryPr>
                    <m:chr m:val="∑"/>
                    <m:limLoc m:val="subSup"/>
                    <m:ctrlPr>
                      <w:rPr>
                        <w:rFonts w:ascii="Cambria Math" w:hAnsi="Cambria Math"/>
                        <w:i/>
                        <w:color w:val="000000" w:themeColor="text1"/>
                        <w:sz w:val="24"/>
                        <w:szCs w:val="24"/>
                      </w:rPr>
                    </m:ctrlPr>
                  </m:naryPr>
                  <m:sub>
                    <m:r>
                      <w:rPr>
                        <w:rFonts w:ascii="Cambria Math" w:hAnsi="Cambria Math"/>
                        <w:color w:val="000000" w:themeColor="text1"/>
                        <w:sz w:val="24"/>
                        <w:szCs w:val="24"/>
                      </w:rPr>
                      <m:t>j=1</m:t>
                    </m:r>
                  </m:sub>
                  <m:sup>
                    <m:r>
                      <w:rPr>
                        <w:rFonts w:ascii="Cambria Math" w:hAnsi="Cambria Math"/>
                        <w:color w:val="000000" w:themeColor="text1"/>
                        <w:sz w:val="24"/>
                        <w:szCs w:val="24"/>
                      </w:rPr>
                      <m:t>11</m:t>
                    </m:r>
                  </m:sup>
                  <m:e>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CO</m:t>
                            </m:r>
                          </m:e>
                          <m:sub>
                            <m:r>
                              <w:rPr>
                                <w:rFonts w:ascii="Cambria Math" w:hAnsi="Cambria Math"/>
                                <w:color w:val="000000" w:themeColor="text1"/>
                                <w:sz w:val="24"/>
                                <w:szCs w:val="24"/>
                              </w:rPr>
                              <m:t>k,j,t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CO</m:t>
                            </m:r>
                          </m:e>
                          <m:sub>
                            <m:r>
                              <w:rPr>
                                <w:rFonts w:ascii="Cambria Math" w:hAnsi="Cambria Math"/>
                                <w:color w:val="000000" w:themeColor="text1"/>
                                <w:sz w:val="24"/>
                                <w:szCs w:val="24"/>
                              </w:rPr>
                              <m:t>l,j+1,t</m:t>
                            </m:r>
                          </m:sub>
                        </m:sSub>
                      </m:e>
                    </m:d>
                  </m:e>
                </m:nary>
              </m:e>
            </m:nary>
          </m:den>
        </m:f>
      </m:oMath>
      <w:r w:rsidR="0065422E">
        <w:rPr>
          <w:rFonts w:ascii="Times New Roman" w:hAnsi="Times New Roman"/>
          <w:color w:val="000000" w:themeColor="text1"/>
          <w:sz w:val="24"/>
          <w:szCs w:val="24"/>
        </w:rPr>
        <w:tab/>
      </w:r>
      <w:r w:rsidR="0065422E">
        <w:rPr>
          <w:rFonts w:ascii="Times New Roman" w:hAnsi="Times New Roman"/>
          <w:color w:val="000000" w:themeColor="text1"/>
          <w:sz w:val="24"/>
          <w:szCs w:val="24"/>
        </w:rPr>
        <w:tab/>
      </w:r>
      <w:r w:rsidR="0065422E">
        <w:rPr>
          <w:rFonts w:ascii="Times New Roman" w:hAnsi="Times New Roman"/>
          <w:color w:val="000000" w:themeColor="text1"/>
          <w:sz w:val="24"/>
          <w:szCs w:val="24"/>
        </w:rPr>
        <w:tab/>
        <w:t>(8)</w:t>
      </w:r>
    </w:p>
    <w:p w:rsidR="00FE1549" w:rsidRDefault="00BA45CC" w:rsidP="001F03CD">
      <w:pPr>
        <w:spacing w:after="12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em que</w:t>
      </w:r>
      <w:r w:rsidR="0065422E">
        <w:rPr>
          <w:rFonts w:ascii="Times New Roman" w:hAnsi="Times New Roman"/>
          <w:color w:val="000000" w:themeColor="text1"/>
          <w:sz w:val="24"/>
          <w:szCs w:val="24"/>
        </w:rPr>
        <w:t>,</w:t>
      </w:r>
      <w:r>
        <w:rPr>
          <w:rFonts w:ascii="Times New Roman" w:hAnsi="Times New Roman"/>
          <w:color w:val="000000" w:themeColor="text1"/>
          <w:sz w:val="24"/>
          <w:szCs w:val="24"/>
        </w:rPr>
        <w:t xml:space="preserve"> o primeiro subscrito (k ou l) indicam a categoria que o indivíduo pertence – se informal, formal, desempregado ou fora da PEA.</w:t>
      </w:r>
      <w:r w:rsidR="00B5552C">
        <w:rPr>
          <w:rFonts w:ascii="Times New Roman" w:hAnsi="Times New Roman"/>
          <w:color w:val="000000" w:themeColor="text1"/>
          <w:sz w:val="24"/>
          <w:szCs w:val="24"/>
        </w:rPr>
        <w:t xml:space="preserve"> O numerador fornece</w:t>
      </w:r>
      <w:r w:rsidR="00280DEA">
        <w:rPr>
          <w:rFonts w:ascii="Times New Roman" w:hAnsi="Times New Roman"/>
          <w:color w:val="000000" w:themeColor="text1"/>
          <w:sz w:val="24"/>
          <w:szCs w:val="24"/>
        </w:rPr>
        <w:t xml:space="preserve"> a soma do</w:t>
      </w:r>
      <w:r w:rsidR="00B5552C">
        <w:rPr>
          <w:rFonts w:ascii="Times New Roman" w:hAnsi="Times New Roman"/>
          <w:color w:val="000000" w:themeColor="text1"/>
          <w:sz w:val="24"/>
          <w:szCs w:val="24"/>
        </w:rPr>
        <w:t xml:space="preserve"> </w:t>
      </w:r>
      <w:r w:rsidR="00280DEA">
        <w:rPr>
          <w:rFonts w:ascii="Times New Roman" w:hAnsi="Times New Roman"/>
          <w:color w:val="000000" w:themeColor="text1"/>
          <w:sz w:val="24"/>
          <w:szCs w:val="24"/>
        </w:rPr>
        <w:t>número</w:t>
      </w:r>
      <w:r w:rsidR="00B5552C">
        <w:rPr>
          <w:rFonts w:ascii="Times New Roman" w:hAnsi="Times New Roman"/>
          <w:color w:val="000000" w:themeColor="text1"/>
          <w:sz w:val="24"/>
          <w:szCs w:val="24"/>
        </w:rPr>
        <w:t xml:space="preserve"> (#) de indivíduos que migraram da condição </w:t>
      </w:r>
      <w:r w:rsidR="00B5552C">
        <w:rPr>
          <w:rFonts w:ascii="Times New Roman" w:hAnsi="Times New Roman"/>
          <w:i/>
          <w:color w:val="000000" w:themeColor="text1"/>
          <w:sz w:val="24"/>
          <w:szCs w:val="24"/>
        </w:rPr>
        <w:t>k</w:t>
      </w:r>
      <w:r w:rsidR="00B5552C">
        <w:rPr>
          <w:rFonts w:ascii="Times New Roman" w:hAnsi="Times New Roman"/>
          <w:color w:val="000000" w:themeColor="text1"/>
          <w:sz w:val="24"/>
          <w:szCs w:val="24"/>
        </w:rPr>
        <w:t xml:space="preserve"> para a</w:t>
      </w:r>
      <w:r w:rsidR="00280DEA">
        <w:rPr>
          <w:rFonts w:ascii="Times New Roman" w:hAnsi="Times New Roman"/>
          <w:color w:val="000000" w:themeColor="text1"/>
          <w:sz w:val="24"/>
          <w:szCs w:val="24"/>
        </w:rPr>
        <w:t xml:space="preserve"> uma dada condição</w:t>
      </w:r>
      <w:r w:rsidR="00B5552C">
        <w:rPr>
          <w:rFonts w:ascii="Times New Roman" w:hAnsi="Times New Roman"/>
          <w:color w:val="000000" w:themeColor="text1"/>
          <w:sz w:val="24"/>
          <w:szCs w:val="24"/>
        </w:rPr>
        <w:t xml:space="preserve"> </w:t>
      </w:r>
      <w:r w:rsidR="00B5552C">
        <w:rPr>
          <w:rFonts w:ascii="Times New Roman" w:hAnsi="Times New Roman"/>
          <w:i/>
          <w:color w:val="000000" w:themeColor="text1"/>
          <w:sz w:val="24"/>
          <w:szCs w:val="24"/>
        </w:rPr>
        <w:t>l</w:t>
      </w:r>
      <w:r w:rsidR="00B5552C">
        <w:rPr>
          <w:rFonts w:ascii="Times New Roman" w:hAnsi="Times New Roman"/>
          <w:color w:val="000000" w:themeColor="text1"/>
          <w:sz w:val="24"/>
          <w:szCs w:val="24"/>
        </w:rPr>
        <w:t xml:space="preserve"> (k e l podem ser iguais, neste caso seria o total de indivíduos que permaneceram na mesma condição)</w:t>
      </w:r>
      <w:r w:rsidR="0092542F">
        <w:rPr>
          <w:rFonts w:ascii="Times New Roman" w:hAnsi="Times New Roman"/>
          <w:color w:val="000000" w:themeColor="text1"/>
          <w:sz w:val="24"/>
          <w:szCs w:val="24"/>
        </w:rPr>
        <w:t>, entre dois meses consecutivos (</w:t>
      </w:r>
      <w:r w:rsidR="0092542F">
        <w:rPr>
          <w:rFonts w:ascii="Times New Roman" w:hAnsi="Times New Roman"/>
          <w:i/>
          <w:color w:val="000000" w:themeColor="text1"/>
          <w:sz w:val="24"/>
          <w:szCs w:val="24"/>
        </w:rPr>
        <w:t>j</w:t>
      </w:r>
      <w:r w:rsidR="0092542F">
        <w:rPr>
          <w:rFonts w:ascii="Times New Roman" w:hAnsi="Times New Roman"/>
          <w:color w:val="000000" w:themeColor="text1"/>
          <w:sz w:val="24"/>
          <w:szCs w:val="24"/>
        </w:rPr>
        <w:t xml:space="preserve"> e </w:t>
      </w:r>
      <w:r w:rsidR="0092542F">
        <w:rPr>
          <w:rFonts w:ascii="Times New Roman" w:hAnsi="Times New Roman"/>
          <w:i/>
          <w:color w:val="000000" w:themeColor="text1"/>
          <w:sz w:val="24"/>
          <w:szCs w:val="24"/>
        </w:rPr>
        <w:t>j+1</w:t>
      </w:r>
      <w:r w:rsidR="0092542F">
        <w:rPr>
          <w:rFonts w:ascii="Times New Roman" w:hAnsi="Times New Roman"/>
          <w:color w:val="000000" w:themeColor="text1"/>
          <w:sz w:val="24"/>
          <w:szCs w:val="24"/>
        </w:rPr>
        <w:t xml:space="preserve">) </w:t>
      </w:r>
      <w:r w:rsidR="00280DEA">
        <w:rPr>
          <w:rFonts w:ascii="Times New Roman" w:hAnsi="Times New Roman"/>
          <w:color w:val="000000" w:themeColor="text1"/>
          <w:sz w:val="24"/>
          <w:szCs w:val="24"/>
        </w:rPr>
        <w:t>ao longo de um</w:t>
      </w:r>
      <w:r w:rsidR="0092542F">
        <w:rPr>
          <w:rFonts w:ascii="Times New Roman" w:hAnsi="Times New Roman"/>
          <w:color w:val="000000" w:themeColor="text1"/>
          <w:sz w:val="24"/>
          <w:szCs w:val="24"/>
        </w:rPr>
        <w:t xml:space="preserve"> ano</w:t>
      </w:r>
      <w:r w:rsidR="00280DEA">
        <w:rPr>
          <w:rFonts w:ascii="Times New Roman" w:hAnsi="Times New Roman"/>
          <w:color w:val="000000" w:themeColor="text1"/>
          <w:sz w:val="24"/>
          <w:szCs w:val="24"/>
        </w:rPr>
        <w:t xml:space="preserve"> inteiro</w:t>
      </w:r>
      <w:r w:rsidR="00474D12">
        <w:rPr>
          <w:rFonts w:ascii="Times New Roman" w:hAnsi="Times New Roman"/>
          <w:color w:val="000000" w:themeColor="text1"/>
          <w:sz w:val="24"/>
          <w:szCs w:val="24"/>
        </w:rPr>
        <w:t xml:space="preserve"> </w:t>
      </w:r>
      <w:r w:rsidR="00474D12">
        <w:rPr>
          <w:rFonts w:ascii="Times New Roman" w:hAnsi="Times New Roman"/>
          <w:i/>
          <w:color w:val="000000" w:themeColor="text1"/>
          <w:sz w:val="24"/>
          <w:szCs w:val="24"/>
        </w:rPr>
        <w:t>t</w:t>
      </w:r>
      <w:r w:rsidR="0092542F">
        <w:rPr>
          <w:rFonts w:ascii="Times New Roman" w:hAnsi="Times New Roman"/>
          <w:color w:val="000000" w:themeColor="text1"/>
          <w:sz w:val="24"/>
          <w:szCs w:val="24"/>
        </w:rPr>
        <w:t>.</w:t>
      </w:r>
      <w:r w:rsidR="00280DEA">
        <w:rPr>
          <w:rFonts w:ascii="Times New Roman" w:hAnsi="Times New Roman"/>
          <w:color w:val="000000" w:themeColor="text1"/>
          <w:sz w:val="24"/>
          <w:szCs w:val="24"/>
        </w:rPr>
        <w:t xml:space="preserve"> O denominador fornece a soma do número (#) de indivíduos que migraram da condição </w:t>
      </w:r>
      <w:r w:rsidR="00280DEA">
        <w:rPr>
          <w:rFonts w:ascii="Times New Roman" w:hAnsi="Times New Roman"/>
          <w:i/>
          <w:color w:val="000000" w:themeColor="text1"/>
          <w:sz w:val="24"/>
          <w:szCs w:val="24"/>
        </w:rPr>
        <w:t>k</w:t>
      </w:r>
      <w:r w:rsidR="00280DEA">
        <w:rPr>
          <w:rFonts w:ascii="Times New Roman" w:hAnsi="Times New Roman"/>
          <w:color w:val="000000" w:themeColor="text1"/>
          <w:sz w:val="24"/>
          <w:szCs w:val="24"/>
        </w:rPr>
        <w:t xml:space="preserve"> para cada condição </w:t>
      </w:r>
      <w:r w:rsidR="00280DEA" w:rsidRPr="00280DEA">
        <w:rPr>
          <w:rFonts w:ascii="Times New Roman" w:hAnsi="Times New Roman"/>
          <w:i/>
          <w:color w:val="000000" w:themeColor="text1"/>
          <w:sz w:val="24"/>
          <w:szCs w:val="24"/>
        </w:rPr>
        <w:t>l</w:t>
      </w:r>
      <w:r w:rsidR="00474D12">
        <w:rPr>
          <w:rFonts w:ascii="Times New Roman" w:hAnsi="Times New Roman"/>
          <w:color w:val="000000" w:themeColor="text1"/>
          <w:sz w:val="24"/>
          <w:szCs w:val="24"/>
        </w:rPr>
        <w:t>, entre dois meses consecutivos ao longo de um ano inteiro</w:t>
      </w:r>
      <w:r w:rsidR="00D8458C">
        <w:rPr>
          <w:rFonts w:ascii="Times New Roman" w:hAnsi="Times New Roman"/>
          <w:color w:val="000000" w:themeColor="text1"/>
          <w:sz w:val="24"/>
          <w:szCs w:val="24"/>
        </w:rPr>
        <w:t xml:space="preserve"> </w:t>
      </w:r>
      <w:r w:rsidR="00D8458C">
        <w:rPr>
          <w:rFonts w:ascii="Times New Roman" w:hAnsi="Times New Roman"/>
          <w:i/>
          <w:color w:val="000000" w:themeColor="text1"/>
          <w:sz w:val="24"/>
          <w:szCs w:val="24"/>
        </w:rPr>
        <w:t>t</w:t>
      </w:r>
      <w:r w:rsidR="00474D12">
        <w:rPr>
          <w:rFonts w:ascii="Times New Roman" w:hAnsi="Times New Roman"/>
          <w:color w:val="000000" w:themeColor="text1"/>
          <w:sz w:val="24"/>
          <w:szCs w:val="24"/>
        </w:rPr>
        <w:t>.</w:t>
      </w:r>
      <w:r w:rsidR="00D8458C">
        <w:rPr>
          <w:rFonts w:ascii="Times New Roman" w:hAnsi="Times New Roman"/>
          <w:color w:val="000000" w:themeColor="text1"/>
          <w:sz w:val="24"/>
          <w:szCs w:val="24"/>
        </w:rPr>
        <w:t xml:space="preserve"> Assim, obtemos a probabilidade de transição da categoria </w:t>
      </w:r>
      <w:r w:rsidR="00D8458C">
        <w:rPr>
          <w:rFonts w:ascii="Times New Roman" w:hAnsi="Times New Roman"/>
          <w:i/>
          <w:color w:val="000000" w:themeColor="text1"/>
          <w:sz w:val="24"/>
          <w:szCs w:val="24"/>
        </w:rPr>
        <w:t>l</w:t>
      </w:r>
      <w:r w:rsidR="00D8458C">
        <w:rPr>
          <w:rFonts w:ascii="Times New Roman" w:hAnsi="Times New Roman"/>
          <w:color w:val="000000" w:themeColor="text1"/>
          <w:sz w:val="24"/>
          <w:szCs w:val="24"/>
        </w:rPr>
        <w:t xml:space="preserve"> para a categoria </w:t>
      </w:r>
      <w:r w:rsidR="00D8458C">
        <w:rPr>
          <w:rFonts w:ascii="Times New Roman" w:hAnsi="Times New Roman"/>
          <w:i/>
          <w:color w:val="000000" w:themeColor="text1"/>
          <w:sz w:val="24"/>
          <w:szCs w:val="24"/>
        </w:rPr>
        <w:t>k</w:t>
      </w:r>
      <w:r w:rsidR="00D8458C">
        <w:rPr>
          <w:rFonts w:ascii="Times New Roman" w:hAnsi="Times New Roman"/>
          <w:color w:val="000000" w:themeColor="text1"/>
          <w:sz w:val="24"/>
          <w:szCs w:val="24"/>
        </w:rPr>
        <w:t xml:space="preserve"> ao longo do ano </w:t>
      </w:r>
      <w:r w:rsidR="00D8458C">
        <w:rPr>
          <w:rFonts w:ascii="Times New Roman" w:hAnsi="Times New Roman"/>
          <w:i/>
          <w:color w:val="000000" w:themeColor="text1"/>
          <w:sz w:val="24"/>
          <w:szCs w:val="24"/>
        </w:rPr>
        <w:t>t</w:t>
      </w:r>
      <w:r w:rsidR="00D8458C">
        <w:rPr>
          <w:rFonts w:ascii="Times New Roman" w:hAnsi="Times New Roman"/>
          <w:color w:val="000000" w:themeColor="text1"/>
          <w:sz w:val="24"/>
          <w:szCs w:val="24"/>
        </w:rPr>
        <w:t xml:space="preserve">. </w:t>
      </w:r>
      <w:r w:rsidR="00474D12">
        <w:rPr>
          <w:rFonts w:ascii="Times New Roman" w:hAnsi="Times New Roman"/>
          <w:color w:val="000000" w:themeColor="text1"/>
          <w:sz w:val="24"/>
          <w:szCs w:val="24"/>
        </w:rPr>
        <w:t>Por exemplo, a probabilidade de transição da informalidade para a formalidade no ano de 2002 é a razão da soma de todos os indivíduos que migraram entre estas condições entre dois meses consecutivos (janeiro para fevereiro, fevereiro para março, ...</w:t>
      </w:r>
      <w:r w:rsidR="00050454">
        <w:rPr>
          <w:rFonts w:ascii="Times New Roman" w:hAnsi="Times New Roman"/>
          <w:color w:val="000000" w:themeColor="text1"/>
          <w:sz w:val="24"/>
          <w:szCs w:val="24"/>
        </w:rPr>
        <w:t xml:space="preserve"> ,</w:t>
      </w:r>
      <w:r w:rsidR="00474D12">
        <w:rPr>
          <w:rFonts w:ascii="Times New Roman" w:hAnsi="Times New Roman"/>
          <w:color w:val="000000" w:themeColor="text1"/>
          <w:sz w:val="24"/>
          <w:szCs w:val="24"/>
        </w:rPr>
        <w:t xml:space="preserve"> novembro para dezembro)</w:t>
      </w:r>
      <w:r w:rsidR="002D708F">
        <w:rPr>
          <w:rFonts w:ascii="Times New Roman" w:hAnsi="Times New Roman"/>
          <w:color w:val="000000" w:themeColor="text1"/>
          <w:sz w:val="24"/>
          <w:szCs w:val="24"/>
        </w:rPr>
        <w:t xml:space="preserve"> sobre a soma de todos os indivíduos que migraram da informalidade para qualquer condição (inclusive informalidade) entre dois meses consecutivos – </w:t>
      </w:r>
      <w:r w:rsidR="00D8458C">
        <w:rPr>
          <w:rFonts w:ascii="Times New Roman" w:hAnsi="Times New Roman"/>
          <w:color w:val="000000" w:themeColor="text1"/>
          <w:sz w:val="24"/>
          <w:szCs w:val="24"/>
        </w:rPr>
        <w:t>de outra forma</w:t>
      </w:r>
      <w:r w:rsidR="002D708F">
        <w:rPr>
          <w:rFonts w:ascii="Times New Roman" w:hAnsi="Times New Roman"/>
          <w:color w:val="000000" w:themeColor="text1"/>
          <w:sz w:val="24"/>
          <w:szCs w:val="24"/>
        </w:rPr>
        <w:t>,</w:t>
      </w:r>
      <w:r w:rsidR="00D8458C">
        <w:rPr>
          <w:rFonts w:ascii="Times New Roman" w:hAnsi="Times New Roman"/>
          <w:color w:val="000000" w:themeColor="text1"/>
          <w:sz w:val="24"/>
          <w:szCs w:val="24"/>
        </w:rPr>
        <w:t xml:space="preserve"> o denominador é</w:t>
      </w:r>
      <w:r w:rsidR="002D708F">
        <w:rPr>
          <w:rFonts w:ascii="Times New Roman" w:hAnsi="Times New Roman"/>
          <w:color w:val="000000" w:themeColor="text1"/>
          <w:sz w:val="24"/>
          <w:szCs w:val="24"/>
        </w:rPr>
        <w:t xml:space="preserve"> a soma do total de informais de janeiro a novembro</w:t>
      </w:r>
      <w:r w:rsidR="00514B62">
        <w:rPr>
          <w:rFonts w:ascii="Times New Roman" w:hAnsi="Times New Roman"/>
          <w:color w:val="000000" w:themeColor="text1"/>
          <w:sz w:val="24"/>
          <w:szCs w:val="24"/>
        </w:rPr>
        <w:t xml:space="preserve">. Quando variamos </w:t>
      </w:r>
      <w:r w:rsidR="00514B62">
        <w:rPr>
          <w:rFonts w:ascii="Times New Roman" w:hAnsi="Times New Roman"/>
          <w:i/>
          <w:color w:val="000000" w:themeColor="text1"/>
          <w:sz w:val="24"/>
          <w:szCs w:val="24"/>
        </w:rPr>
        <w:t>k</w:t>
      </w:r>
      <w:r w:rsidR="00514B62">
        <w:rPr>
          <w:rFonts w:ascii="Times New Roman" w:hAnsi="Times New Roman"/>
          <w:color w:val="000000" w:themeColor="text1"/>
          <w:sz w:val="24"/>
          <w:szCs w:val="24"/>
        </w:rPr>
        <w:t xml:space="preserve"> e </w:t>
      </w:r>
      <w:r w:rsidR="00514B62">
        <w:rPr>
          <w:rFonts w:ascii="Times New Roman" w:hAnsi="Times New Roman"/>
          <w:i/>
          <w:color w:val="000000" w:themeColor="text1"/>
          <w:sz w:val="24"/>
          <w:szCs w:val="24"/>
        </w:rPr>
        <w:t>l</w:t>
      </w:r>
      <w:r w:rsidR="00514B62">
        <w:rPr>
          <w:rFonts w:ascii="Times New Roman" w:hAnsi="Times New Roman"/>
          <w:color w:val="000000" w:themeColor="text1"/>
          <w:sz w:val="24"/>
          <w:szCs w:val="24"/>
        </w:rPr>
        <w:t xml:space="preserve"> obtemos as diferentes probabilidades que podem ser inseridas em uma matriz quadrada de ordem igual ao número de categorias (neste caso, seria quatro).</w:t>
      </w:r>
      <w:r w:rsidR="00514B62">
        <w:rPr>
          <w:rStyle w:val="Refdenotaderodap"/>
          <w:rFonts w:ascii="Times New Roman" w:hAnsi="Times New Roman"/>
          <w:color w:val="000000" w:themeColor="text1"/>
          <w:sz w:val="24"/>
          <w:szCs w:val="24"/>
        </w:rPr>
        <w:footnoteReference w:id="2"/>
      </w:r>
      <w:r w:rsidR="006659D4" w:rsidRPr="006659D4">
        <w:rPr>
          <w:rFonts w:ascii="Times New Roman" w:hAnsi="Times New Roman"/>
          <w:color w:val="000000" w:themeColor="text1"/>
          <w:sz w:val="24"/>
          <w:szCs w:val="24"/>
          <w:vertAlign w:val="superscript"/>
        </w:rPr>
        <w:t>,</w:t>
      </w:r>
      <w:r w:rsidR="00514B62">
        <w:rPr>
          <w:rStyle w:val="Refdenotaderodap"/>
          <w:rFonts w:ascii="Times New Roman" w:hAnsi="Times New Roman"/>
          <w:color w:val="000000" w:themeColor="text1"/>
          <w:sz w:val="24"/>
          <w:szCs w:val="24"/>
        </w:rPr>
        <w:footnoteReference w:id="3"/>
      </w:r>
      <w:r w:rsidR="00C27B0E" w:rsidRPr="00C27B0E">
        <w:rPr>
          <w:rFonts w:ascii="Times New Roman" w:hAnsi="Times New Roman"/>
          <w:color w:val="000000" w:themeColor="text1"/>
          <w:sz w:val="24"/>
          <w:szCs w:val="24"/>
        </w:rPr>
        <w:t xml:space="preserve"> </w:t>
      </w:r>
    </w:p>
    <w:p w:rsidR="00C27B0E" w:rsidRPr="00474D12" w:rsidRDefault="00C27B0E" w:rsidP="001F03CD">
      <w:pPr>
        <w:spacing w:after="120" w:line="240" w:lineRule="auto"/>
        <w:ind w:firstLine="708"/>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Essa matriz de transição permite analisar </w:t>
      </w:r>
      <w:r w:rsidR="005E4FC7">
        <w:rPr>
          <w:rFonts w:ascii="Times New Roman" w:hAnsi="Times New Roman"/>
          <w:color w:val="000000" w:themeColor="text1"/>
          <w:sz w:val="24"/>
          <w:szCs w:val="24"/>
        </w:rPr>
        <w:t xml:space="preserve">para </w:t>
      </w:r>
      <w:r>
        <w:rPr>
          <w:rFonts w:ascii="Times New Roman" w:hAnsi="Times New Roman"/>
          <w:color w:val="000000" w:themeColor="text1"/>
          <w:sz w:val="24"/>
          <w:szCs w:val="24"/>
        </w:rPr>
        <w:t xml:space="preserve">quais </w:t>
      </w:r>
      <w:r w:rsidR="005E4FC7">
        <w:rPr>
          <w:rFonts w:ascii="Times New Roman" w:hAnsi="Times New Roman"/>
          <w:color w:val="000000" w:themeColor="text1"/>
          <w:sz w:val="24"/>
          <w:szCs w:val="24"/>
        </w:rPr>
        <w:t xml:space="preserve">condições de ocupação os indivíduos estão migrando com mais intensidade. O exemplo acima é de interesse neste estudo. Ou seja, será que há uma transição </w:t>
      </w:r>
      <w:r w:rsidR="004510E1">
        <w:rPr>
          <w:rFonts w:ascii="Times New Roman" w:hAnsi="Times New Roman"/>
          <w:color w:val="000000" w:themeColor="text1"/>
          <w:sz w:val="24"/>
          <w:szCs w:val="24"/>
        </w:rPr>
        <w:t>do setor informal para o formal?</w:t>
      </w:r>
      <w:r w:rsidR="005E4FC7">
        <w:rPr>
          <w:rFonts w:ascii="Times New Roman" w:hAnsi="Times New Roman"/>
          <w:color w:val="000000" w:themeColor="text1"/>
          <w:sz w:val="24"/>
          <w:szCs w:val="24"/>
        </w:rPr>
        <w:t xml:space="preserve"> Mais do que isso: esse fluxo tem se intensificado ao longo dos anos?</w:t>
      </w:r>
    </w:p>
    <w:p w:rsidR="00300E01" w:rsidRDefault="00300E01" w:rsidP="001F03CD">
      <w:pPr>
        <w:spacing w:after="120" w:line="240" w:lineRule="auto"/>
        <w:jc w:val="both"/>
        <w:rPr>
          <w:rFonts w:ascii="Times New Roman" w:hAnsi="Times New Roman"/>
          <w:color w:val="000000" w:themeColor="text1"/>
          <w:sz w:val="24"/>
          <w:szCs w:val="24"/>
        </w:rPr>
      </w:pPr>
    </w:p>
    <w:p w:rsidR="00FE1549" w:rsidRPr="00572CE3" w:rsidRDefault="00FE1549" w:rsidP="001F03CD">
      <w:pPr>
        <w:spacing w:after="120" w:line="240" w:lineRule="auto"/>
        <w:jc w:val="both"/>
        <w:rPr>
          <w:rFonts w:ascii="Times New Roman" w:hAnsi="Times New Roman"/>
          <w:b/>
          <w:color w:val="000000" w:themeColor="text1"/>
          <w:sz w:val="24"/>
          <w:szCs w:val="24"/>
        </w:rPr>
      </w:pPr>
      <w:r w:rsidRPr="00572CE3">
        <w:rPr>
          <w:rFonts w:ascii="Times New Roman" w:hAnsi="Times New Roman"/>
          <w:b/>
          <w:color w:val="000000" w:themeColor="text1"/>
          <w:sz w:val="24"/>
          <w:szCs w:val="24"/>
        </w:rPr>
        <w:t xml:space="preserve">4 – </w:t>
      </w:r>
      <w:r w:rsidR="0046300B" w:rsidRPr="0046300B">
        <w:rPr>
          <w:rFonts w:ascii="Times New Roman" w:hAnsi="Times New Roman"/>
          <w:b/>
          <w:caps/>
          <w:color w:val="000000" w:themeColor="text1"/>
          <w:sz w:val="24"/>
          <w:szCs w:val="24"/>
        </w:rPr>
        <w:t>taxas de informalidade da economia brasileira, por região, nível educacional e por setores de atividade</w:t>
      </w:r>
    </w:p>
    <w:p w:rsidR="00B82085" w:rsidRDefault="00FE1549" w:rsidP="001F03CD">
      <w:pPr>
        <w:spacing w:after="120" w:line="240" w:lineRule="auto"/>
        <w:ind w:firstLine="708"/>
        <w:jc w:val="both"/>
        <w:rPr>
          <w:rFonts w:ascii="Times New Roman" w:hAnsi="Times New Roman"/>
          <w:color w:val="000000" w:themeColor="text1"/>
          <w:sz w:val="24"/>
          <w:szCs w:val="24"/>
        </w:rPr>
      </w:pPr>
      <w:r w:rsidRPr="00260B4B">
        <w:rPr>
          <w:rFonts w:ascii="Times New Roman" w:hAnsi="Times New Roman"/>
          <w:color w:val="000000" w:themeColor="text1"/>
          <w:sz w:val="24"/>
          <w:szCs w:val="24"/>
        </w:rPr>
        <w:t xml:space="preserve">Esta seção apresenta </w:t>
      </w:r>
      <w:r w:rsidR="00F45433">
        <w:rPr>
          <w:rFonts w:ascii="Times New Roman" w:hAnsi="Times New Roman"/>
          <w:color w:val="000000" w:themeColor="text1"/>
          <w:sz w:val="24"/>
          <w:szCs w:val="24"/>
        </w:rPr>
        <w:t>os níveis das taxas de informalidade</w:t>
      </w:r>
      <w:r w:rsidRPr="00260B4B">
        <w:rPr>
          <w:rFonts w:ascii="Times New Roman" w:hAnsi="Times New Roman"/>
          <w:color w:val="000000" w:themeColor="text1"/>
          <w:sz w:val="24"/>
          <w:szCs w:val="24"/>
        </w:rPr>
        <w:t xml:space="preserve"> obtidos com os dados da PNAD para o período 200</w:t>
      </w:r>
      <w:r w:rsidR="009D35E6">
        <w:rPr>
          <w:rFonts w:ascii="Times New Roman" w:hAnsi="Times New Roman"/>
          <w:color w:val="000000" w:themeColor="text1"/>
          <w:sz w:val="24"/>
          <w:szCs w:val="24"/>
        </w:rPr>
        <w:t>2</w:t>
      </w:r>
      <w:r w:rsidR="008D7322">
        <w:rPr>
          <w:rFonts w:ascii="Times New Roman" w:hAnsi="Times New Roman"/>
          <w:color w:val="000000" w:themeColor="text1"/>
          <w:sz w:val="24"/>
          <w:szCs w:val="24"/>
        </w:rPr>
        <w:t>-2011</w:t>
      </w:r>
      <w:r w:rsidR="00B82085">
        <w:rPr>
          <w:rFonts w:ascii="Times New Roman" w:hAnsi="Times New Roman"/>
          <w:color w:val="000000" w:themeColor="text1"/>
          <w:sz w:val="24"/>
          <w:szCs w:val="24"/>
        </w:rPr>
        <w:t>, para o Brasil e segundo alguns recortes: região, nível educacional e setores de atividade.</w:t>
      </w:r>
    </w:p>
    <w:p w:rsidR="00FE1549" w:rsidRDefault="00FE1549" w:rsidP="001F03CD">
      <w:pPr>
        <w:spacing w:after="120" w:line="240" w:lineRule="auto"/>
        <w:jc w:val="both"/>
        <w:rPr>
          <w:rFonts w:ascii="Times New Roman" w:hAnsi="Times New Roman"/>
          <w:b/>
          <w:color w:val="000000" w:themeColor="text1"/>
          <w:sz w:val="24"/>
          <w:szCs w:val="24"/>
        </w:rPr>
      </w:pPr>
    </w:p>
    <w:p w:rsidR="00FE1549" w:rsidRPr="00260B4B" w:rsidRDefault="00FE1549" w:rsidP="001F03CD">
      <w:pPr>
        <w:spacing w:after="120" w:line="240" w:lineRule="auto"/>
        <w:jc w:val="both"/>
        <w:rPr>
          <w:rFonts w:ascii="Times New Roman" w:hAnsi="Times New Roman"/>
          <w:b/>
          <w:color w:val="000000" w:themeColor="text1"/>
          <w:sz w:val="24"/>
          <w:szCs w:val="24"/>
        </w:rPr>
      </w:pPr>
      <w:r w:rsidRPr="00260B4B">
        <w:rPr>
          <w:rFonts w:ascii="Times New Roman" w:hAnsi="Times New Roman"/>
          <w:b/>
          <w:color w:val="000000" w:themeColor="text1"/>
          <w:sz w:val="24"/>
          <w:szCs w:val="24"/>
        </w:rPr>
        <w:t xml:space="preserve">4.1 – Taxas de </w:t>
      </w:r>
      <w:r w:rsidR="00FF602A">
        <w:rPr>
          <w:rFonts w:ascii="Times New Roman" w:hAnsi="Times New Roman"/>
          <w:b/>
          <w:color w:val="000000" w:themeColor="text1"/>
          <w:sz w:val="24"/>
          <w:szCs w:val="24"/>
        </w:rPr>
        <w:t>Desemprego e Informalidade</w:t>
      </w:r>
    </w:p>
    <w:p w:rsidR="00D075FE" w:rsidRDefault="00D075FE" w:rsidP="001F03CD">
      <w:pPr>
        <w:spacing w:after="120" w:line="240" w:lineRule="auto"/>
        <w:jc w:val="both"/>
        <w:rPr>
          <w:rFonts w:ascii="Times New Roman" w:hAnsi="Times New Roman"/>
          <w:sz w:val="24"/>
          <w:szCs w:val="24"/>
          <w:u w:val="single"/>
        </w:rPr>
      </w:pPr>
    </w:p>
    <w:p w:rsidR="009553A7" w:rsidRPr="005C6C7E" w:rsidRDefault="005C6C7E" w:rsidP="001F03CD">
      <w:pPr>
        <w:spacing w:after="120" w:line="240" w:lineRule="auto"/>
        <w:jc w:val="both"/>
        <w:rPr>
          <w:rFonts w:ascii="Times New Roman" w:hAnsi="Times New Roman"/>
          <w:sz w:val="24"/>
          <w:szCs w:val="24"/>
          <w:u w:val="single"/>
        </w:rPr>
      </w:pPr>
      <w:r w:rsidRPr="005C6C7E">
        <w:rPr>
          <w:rFonts w:ascii="Times New Roman" w:hAnsi="Times New Roman"/>
          <w:sz w:val="24"/>
          <w:szCs w:val="24"/>
          <w:u w:val="single"/>
        </w:rPr>
        <w:t>Brasil</w:t>
      </w:r>
    </w:p>
    <w:p w:rsidR="00D075FE" w:rsidRDefault="00B6747F" w:rsidP="001F03CD">
      <w:pPr>
        <w:spacing w:after="120" w:line="240" w:lineRule="auto"/>
        <w:ind w:firstLine="709"/>
        <w:jc w:val="both"/>
        <w:rPr>
          <w:rFonts w:ascii="Times New Roman" w:hAnsi="Times New Roman"/>
          <w:sz w:val="24"/>
          <w:szCs w:val="24"/>
        </w:rPr>
      </w:pPr>
      <w:r>
        <w:rPr>
          <w:rFonts w:ascii="Times New Roman" w:hAnsi="Times New Roman"/>
          <w:sz w:val="24"/>
          <w:szCs w:val="24"/>
        </w:rPr>
        <w:t>A Tabela 1 mostra a redução da taxa de desemprego e da taxa de informalidade mensuradas com dados da PNAD entre 2002 e 20</w:t>
      </w:r>
      <w:r w:rsidR="004510E1">
        <w:rPr>
          <w:rFonts w:ascii="Times New Roman" w:hAnsi="Times New Roman"/>
          <w:sz w:val="24"/>
          <w:szCs w:val="24"/>
        </w:rPr>
        <w:t>11</w:t>
      </w:r>
      <w:r>
        <w:rPr>
          <w:rFonts w:ascii="Times New Roman" w:hAnsi="Times New Roman"/>
          <w:sz w:val="24"/>
          <w:szCs w:val="24"/>
        </w:rPr>
        <w:t xml:space="preserve">. </w:t>
      </w:r>
      <w:r w:rsidR="005C6C7E">
        <w:rPr>
          <w:rFonts w:ascii="Times New Roman" w:hAnsi="Times New Roman"/>
          <w:sz w:val="24"/>
          <w:szCs w:val="24"/>
        </w:rPr>
        <w:t>Como visto em Barbosa Filho e Pessôa (2011) houve uma grande queda da taxa de desemprego mensurada pela PME nos últimos anos</w:t>
      </w:r>
      <w:r w:rsidR="006B6F93">
        <w:rPr>
          <w:rFonts w:ascii="Times New Roman" w:hAnsi="Times New Roman"/>
          <w:sz w:val="24"/>
          <w:szCs w:val="24"/>
        </w:rPr>
        <w:t>, mas</w:t>
      </w:r>
      <w:r w:rsidR="005C6C7E">
        <w:rPr>
          <w:rFonts w:ascii="Times New Roman" w:hAnsi="Times New Roman"/>
          <w:sz w:val="24"/>
          <w:szCs w:val="24"/>
        </w:rPr>
        <w:t xml:space="preserve"> esta queda é menos severa </w:t>
      </w:r>
      <w:r w:rsidR="009F4B4C">
        <w:rPr>
          <w:rFonts w:ascii="Times New Roman" w:hAnsi="Times New Roman"/>
          <w:sz w:val="24"/>
          <w:szCs w:val="24"/>
        </w:rPr>
        <w:t>quando calculada com</w:t>
      </w:r>
      <w:r w:rsidR="005C6C7E">
        <w:rPr>
          <w:rFonts w:ascii="Times New Roman" w:hAnsi="Times New Roman"/>
          <w:sz w:val="24"/>
          <w:szCs w:val="24"/>
        </w:rPr>
        <w:t xml:space="preserve"> os dados da PNAD. A principal diferença que explica o resultado é que a taxa de desemprega era mais baixa no país como um todo do que nas regiões metropolitanas. Principalmente, nas regiões metropolitanas estudadas pela PME.</w:t>
      </w:r>
    </w:p>
    <w:tbl>
      <w:tblPr>
        <w:tblW w:w="0" w:type="auto"/>
        <w:tblInd w:w="1612" w:type="dxa"/>
        <w:tblCellMar>
          <w:left w:w="70" w:type="dxa"/>
          <w:right w:w="70" w:type="dxa"/>
        </w:tblCellMar>
        <w:tblLook w:val="00A0" w:firstRow="1" w:lastRow="0" w:firstColumn="1" w:lastColumn="0" w:noHBand="0" w:noVBand="0"/>
      </w:tblPr>
      <w:tblGrid>
        <w:gridCol w:w="1097"/>
        <w:gridCol w:w="2064"/>
        <w:gridCol w:w="2131"/>
      </w:tblGrid>
      <w:tr w:rsidR="00D075FE" w:rsidRPr="00920281" w:rsidTr="004A1B9E">
        <w:trPr>
          <w:trHeight w:val="270"/>
        </w:trPr>
        <w:tc>
          <w:tcPr>
            <w:tcW w:w="0" w:type="auto"/>
            <w:gridSpan w:val="3"/>
            <w:tcBorders>
              <w:top w:val="single" w:sz="8" w:space="0" w:color="auto"/>
              <w:left w:val="nil"/>
              <w:bottom w:val="single" w:sz="8" w:space="0" w:color="auto"/>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Tabela 1: Taxa de Desemprego e de Informalidade</w:t>
            </w:r>
          </w:p>
        </w:tc>
      </w:tr>
      <w:tr w:rsidR="00D075FE" w:rsidRPr="00920281" w:rsidTr="004A1B9E">
        <w:trPr>
          <w:trHeight w:val="255"/>
        </w:trPr>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Taxa de Desemprego</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Taxa de Informalidade</w:t>
            </w:r>
          </w:p>
        </w:tc>
      </w:tr>
      <w:tr w:rsidR="00D075FE" w:rsidRPr="00920281" w:rsidTr="004A1B9E">
        <w:trPr>
          <w:trHeight w:val="255"/>
        </w:trPr>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2002</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9,1%</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43,6%</w:t>
            </w:r>
          </w:p>
        </w:tc>
      </w:tr>
      <w:tr w:rsidR="00D075FE" w:rsidRPr="00920281" w:rsidTr="004A1B9E">
        <w:trPr>
          <w:trHeight w:val="255"/>
        </w:trPr>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2003</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9,7%</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42,3%</w:t>
            </w:r>
          </w:p>
        </w:tc>
      </w:tr>
      <w:tr w:rsidR="00D075FE" w:rsidRPr="00920281" w:rsidTr="004A1B9E">
        <w:trPr>
          <w:trHeight w:val="255"/>
        </w:trPr>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2004</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8,9%</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42,5%</w:t>
            </w:r>
          </w:p>
        </w:tc>
      </w:tr>
      <w:tr w:rsidR="00D075FE" w:rsidRPr="00920281" w:rsidTr="004A1B9E">
        <w:trPr>
          <w:trHeight w:val="255"/>
        </w:trPr>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2005</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9,3%</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41,4%</w:t>
            </w:r>
          </w:p>
        </w:tc>
      </w:tr>
      <w:tr w:rsidR="00D075FE" w:rsidRPr="00920281" w:rsidTr="004A1B9E">
        <w:trPr>
          <w:trHeight w:val="255"/>
        </w:trPr>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2006</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8,4%</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40,7%</w:t>
            </w:r>
          </w:p>
        </w:tc>
      </w:tr>
      <w:tr w:rsidR="00D075FE" w:rsidRPr="00920281" w:rsidTr="004A1B9E">
        <w:trPr>
          <w:trHeight w:val="255"/>
        </w:trPr>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2007</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8,2%</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39,1%</w:t>
            </w:r>
          </w:p>
        </w:tc>
      </w:tr>
      <w:tr w:rsidR="00D075FE" w:rsidRPr="00920281" w:rsidTr="004A1B9E">
        <w:trPr>
          <w:trHeight w:val="255"/>
        </w:trPr>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2008</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7,1%</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38,1%</w:t>
            </w:r>
          </w:p>
        </w:tc>
      </w:tr>
      <w:tr w:rsidR="00D075FE" w:rsidRPr="00920281" w:rsidTr="004A1B9E">
        <w:trPr>
          <w:trHeight w:val="255"/>
        </w:trPr>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2009</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8,3%</w:t>
            </w:r>
          </w:p>
        </w:tc>
        <w:tc>
          <w:tcPr>
            <w:tcW w:w="0" w:type="auto"/>
            <w:tcBorders>
              <w:top w:val="nil"/>
              <w:left w:val="nil"/>
              <w:bottom w:val="nil"/>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37,4%</w:t>
            </w:r>
          </w:p>
        </w:tc>
      </w:tr>
      <w:tr w:rsidR="004510E1" w:rsidRPr="00920281" w:rsidTr="004A1B9E">
        <w:trPr>
          <w:trHeight w:val="255"/>
        </w:trPr>
        <w:tc>
          <w:tcPr>
            <w:tcW w:w="0" w:type="auto"/>
            <w:tcBorders>
              <w:top w:val="nil"/>
              <w:left w:val="nil"/>
              <w:bottom w:val="nil"/>
              <w:right w:val="nil"/>
            </w:tcBorders>
            <w:shd w:val="clear" w:color="000000" w:fill="FFFFFF"/>
            <w:noWrap/>
            <w:vAlign w:val="bottom"/>
          </w:tcPr>
          <w:p w:rsidR="004510E1" w:rsidRPr="001A4005" w:rsidRDefault="004510E1" w:rsidP="001F03CD">
            <w:pPr>
              <w:spacing w:after="0" w:line="240" w:lineRule="auto"/>
              <w:jc w:val="center"/>
              <w:rPr>
                <w:rFonts w:ascii="Arial" w:hAnsi="Arial" w:cs="Arial"/>
                <w:sz w:val="20"/>
                <w:szCs w:val="20"/>
                <w:lang w:eastAsia="pt-BR"/>
              </w:rPr>
            </w:pPr>
            <w:r>
              <w:rPr>
                <w:rFonts w:ascii="Arial" w:hAnsi="Arial" w:cs="Arial"/>
                <w:sz w:val="20"/>
                <w:szCs w:val="20"/>
                <w:lang w:eastAsia="pt-BR"/>
              </w:rPr>
              <w:t>2011</w:t>
            </w:r>
          </w:p>
        </w:tc>
        <w:tc>
          <w:tcPr>
            <w:tcW w:w="0" w:type="auto"/>
            <w:tcBorders>
              <w:top w:val="nil"/>
              <w:left w:val="nil"/>
              <w:bottom w:val="nil"/>
              <w:right w:val="nil"/>
            </w:tcBorders>
            <w:shd w:val="clear" w:color="000000" w:fill="FFFFFF"/>
            <w:noWrap/>
            <w:vAlign w:val="bottom"/>
          </w:tcPr>
          <w:p w:rsidR="004510E1" w:rsidRPr="001A4005" w:rsidRDefault="004510E1" w:rsidP="001F03CD">
            <w:pPr>
              <w:spacing w:after="0" w:line="240" w:lineRule="auto"/>
              <w:jc w:val="center"/>
              <w:rPr>
                <w:rFonts w:ascii="Arial" w:hAnsi="Arial" w:cs="Arial"/>
                <w:sz w:val="20"/>
                <w:szCs w:val="20"/>
                <w:lang w:eastAsia="pt-BR"/>
              </w:rPr>
            </w:pPr>
            <w:r>
              <w:rPr>
                <w:rFonts w:ascii="Arial" w:hAnsi="Arial" w:cs="Arial"/>
                <w:sz w:val="20"/>
                <w:szCs w:val="20"/>
                <w:lang w:eastAsia="pt-BR"/>
              </w:rPr>
              <w:t>6,7%</w:t>
            </w:r>
          </w:p>
        </w:tc>
        <w:tc>
          <w:tcPr>
            <w:tcW w:w="0" w:type="auto"/>
            <w:tcBorders>
              <w:top w:val="nil"/>
              <w:left w:val="nil"/>
              <w:bottom w:val="nil"/>
              <w:right w:val="nil"/>
            </w:tcBorders>
            <w:shd w:val="clear" w:color="000000" w:fill="FFFFFF"/>
            <w:noWrap/>
            <w:vAlign w:val="bottom"/>
          </w:tcPr>
          <w:p w:rsidR="004510E1" w:rsidRPr="001A4005" w:rsidRDefault="004510E1" w:rsidP="001F03CD">
            <w:pPr>
              <w:spacing w:after="0" w:line="240" w:lineRule="auto"/>
              <w:jc w:val="center"/>
              <w:rPr>
                <w:rFonts w:ascii="Arial" w:hAnsi="Arial" w:cs="Arial"/>
                <w:sz w:val="20"/>
                <w:szCs w:val="20"/>
                <w:lang w:eastAsia="pt-BR"/>
              </w:rPr>
            </w:pPr>
            <w:r>
              <w:rPr>
                <w:rFonts w:ascii="Arial" w:hAnsi="Arial" w:cs="Arial"/>
                <w:sz w:val="20"/>
                <w:szCs w:val="20"/>
                <w:lang w:eastAsia="pt-BR"/>
              </w:rPr>
              <w:t>32,7%</w:t>
            </w:r>
          </w:p>
        </w:tc>
      </w:tr>
      <w:tr w:rsidR="00D075FE" w:rsidRPr="00920281" w:rsidTr="004A1B9E">
        <w:trPr>
          <w:trHeight w:val="270"/>
        </w:trPr>
        <w:tc>
          <w:tcPr>
            <w:tcW w:w="0" w:type="auto"/>
            <w:tcBorders>
              <w:top w:val="nil"/>
              <w:left w:val="nil"/>
              <w:bottom w:val="single" w:sz="8" w:space="0" w:color="auto"/>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20</w:t>
            </w:r>
            <w:r w:rsidR="004510E1">
              <w:rPr>
                <w:rFonts w:ascii="Arial" w:hAnsi="Arial" w:cs="Arial"/>
                <w:sz w:val="20"/>
                <w:szCs w:val="20"/>
                <w:lang w:eastAsia="pt-BR"/>
              </w:rPr>
              <w:t>11</w:t>
            </w:r>
            <w:r w:rsidRPr="001A4005">
              <w:rPr>
                <w:rFonts w:ascii="Arial" w:hAnsi="Arial" w:cs="Arial"/>
                <w:sz w:val="20"/>
                <w:szCs w:val="20"/>
                <w:lang w:eastAsia="pt-BR"/>
              </w:rPr>
              <w:t>-2002</w:t>
            </w:r>
          </w:p>
        </w:tc>
        <w:tc>
          <w:tcPr>
            <w:tcW w:w="0" w:type="auto"/>
            <w:tcBorders>
              <w:top w:val="nil"/>
              <w:left w:val="nil"/>
              <w:bottom w:val="single" w:sz="8" w:space="0" w:color="auto"/>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w:t>
            </w:r>
            <w:r w:rsidR="004510E1">
              <w:rPr>
                <w:rFonts w:ascii="Arial" w:hAnsi="Arial" w:cs="Arial"/>
                <w:sz w:val="20"/>
                <w:szCs w:val="20"/>
                <w:lang w:eastAsia="pt-BR"/>
              </w:rPr>
              <w:t>2,4p.p.</w:t>
            </w:r>
          </w:p>
        </w:tc>
        <w:tc>
          <w:tcPr>
            <w:tcW w:w="0" w:type="auto"/>
            <w:tcBorders>
              <w:top w:val="nil"/>
              <w:left w:val="nil"/>
              <w:bottom w:val="single" w:sz="8" w:space="0" w:color="auto"/>
              <w:right w:val="nil"/>
            </w:tcBorders>
            <w:shd w:val="clear" w:color="000000" w:fill="FFFFFF"/>
            <w:noWrap/>
            <w:vAlign w:val="bottom"/>
          </w:tcPr>
          <w:p w:rsidR="00D075FE" w:rsidRPr="001A4005" w:rsidRDefault="00D075FE" w:rsidP="001F03CD">
            <w:pPr>
              <w:spacing w:after="0" w:line="240" w:lineRule="auto"/>
              <w:jc w:val="center"/>
              <w:rPr>
                <w:rFonts w:ascii="Arial" w:hAnsi="Arial" w:cs="Arial"/>
                <w:sz w:val="20"/>
                <w:szCs w:val="20"/>
                <w:lang w:eastAsia="pt-BR"/>
              </w:rPr>
            </w:pPr>
            <w:r w:rsidRPr="001A4005">
              <w:rPr>
                <w:rFonts w:ascii="Arial" w:hAnsi="Arial" w:cs="Arial"/>
                <w:sz w:val="20"/>
                <w:szCs w:val="20"/>
                <w:lang w:eastAsia="pt-BR"/>
              </w:rPr>
              <w:t>-</w:t>
            </w:r>
            <w:r w:rsidR="004510E1">
              <w:rPr>
                <w:rFonts w:ascii="Arial" w:hAnsi="Arial" w:cs="Arial"/>
                <w:sz w:val="20"/>
                <w:szCs w:val="20"/>
                <w:lang w:eastAsia="pt-BR"/>
              </w:rPr>
              <w:t>10,9p.p.</w:t>
            </w:r>
          </w:p>
        </w:tc>
      </w:tr>
      <w:tr w:rsidR="00D075FE" w:rsidRPr="00920281" w:rsidTr="004A1B9E">
        <w:trPr>
          <w:trHeight w:val="255"/>
        </w:trPr>
        <w:tc>
          <w:tcPr>
            <w:tcW w:w="0" w:type="auto"/>
            <w:gridSpan w:val="3"/>
            <w:tcBorders>
              <w:top w:val="single" w:sz="8" w:space="0" w:color="auto"/>
              <w:left w:val="nil"/>
              <w:bottom w:val="nil"/>
              <w:right w:val="nil"/>
            </w:tcBorders>
            <w:shd w:val="clear" w:color="000000" w:fill="FFFFFF"/>
            <w:noWrap/>
            <w:vAlign w:val="bottom"/>
          </w:tcPr>
          <w:p w:rsidR="00D075FE" w:rsidRPr="001A4005" w:rsidRDefault="00D075FE" w:rsidP="001F03CD">
            <w:pPr>
              <w:spacing w:after="0" w:line="240" w:lineRule="auto"/>
              <w:jc w:val="both"/>
              <w:rPr>
                <w:rFonts w:ascii="Arial" w:hAnsi="Arial" w:cs="Arial"/>
                <w:sz w:val="20"/>
                <w:szCs w:val="20"/>
                <w:lang w:eastAsia="pt-BR"/>
              </w:rPr>
            </w:pPr>
            <w:r w:rsidRPr="001A4005">
              <w:rPr>
                <w:rFonts w:ascii="Arial" w:hAnsi="Arial" w:cs="Arial"/>
                <w:sz w:val="20"/>
                <w:szCs w:val="20"/>
                <w:lang w:eastAsia="pt-BR"/>
              </w:rPr>
              <w:t>Fonte: Elaboração Própria com dados da PNAD</w:t>
            </w:r>
          </w:p>
        </w:tc>
      </w:tr>
    </w:tbl>
    <w:p w:rsidR="00D075FE" w:rsidRDefault="00D075FE" w:rsidP="001F03CD">
      <w:pPr>
        <w:spacing w:after="120" w:line="240" w:lineRule="auto"/>
        <w:ind w:firstLine="709"/>
        <w:jc w:val="both"/>
        <w:rPr>
          <w:rFonts w:ascii="Times New Roman" w:hAnsi="Times New Roman"/>
          <w:sz w:val="24"/>
          <w:szCs w:val="24"/>
        </w:rPr>
      </w:pPr>
    </w:p>
    <w:p w:rsidR="005C6C7E" w:rsidRDefault="005C6C7E" w:rsidP="001F03CD">
      <w:pPr>
        <w:spacing w:after="120" w:line="240" w:lineRule="auto"/>
        <w:ind w:firstLine="709"/>
        <w:jc w:val="both"/>
        <w:rPr>
          <w:rFonts w:ascii="Times New Roman" w:hAnsi="Times New Roman"/>
          <w:sz w:val="24"/>
          <w:szCs w:val="24"/>
        </w:rPr>
      </w:pPr>
      <w:r>
        <w:rPr>
          <w:rFonts w:ascii="Times New Roman" w:hAnsi="Times New Roman"/>
          <w:sz w:val="24"/>
          <w:szCs w:val="24"/>
        </w:rPr>
        <w:t>Juntamente com a redução na taxa de desemprego, a Tabela 1 mostra que houve uma redução significativa na taxa de informalidade da economia brasileira.</w:t>
      </w:r>
      <w:r w:rsidR="00DD62C7">
        <w:rPr>
          <w:rFonts w:ascii="Times New Roman" w:hAnsi="Times New Roman"/>
          <w:sz w:val="24"/>
          <w:szCs w:val="24"/>
        </w:rPr>
        <w:t xml:space="preserve"> A princípio, os dados sugerem que a queda do desemprego ocorreu concomitantemente a um aumento nos postos formais de trabalho.</w:t>
      </w:r>
      <w:r>
        <w:rPr>
          <w:rFonts w:ascii="Times New Roman" w:hAnsi="Times New Roman"/>
          <w:sz w:val="24"/>
          <w:szCs w:val="24"/>
        </w:rPr>
        <w:t xml:space="preserve"> </w:t>
      </w:r>
    </w:p>
    <w:p w:rsidR="005C6C7E" w:rsidRDefault="00DD62C7" w:rsidP="001F03CD">
      <w:pPr>
        <w:spacing w:after="120" w:line="240" w:lineRule="auto"/>
        <w:ind w:firstLine="709"/>
        <w:jc w:val="both"/>
        <w:rPr>
          <w:rFonts w:ascii="Times New Roman" w:hAnsi="Times New Roman"/>
          <w:sz w:val="24"/>
          <w:szCs w:val="24"/>
        </w:rPr>
      </w:pPr>
      <w:r>
        <w:rPr>
          <w:rFonts w:ascii="Times New Roman" w:hAnsi="Times New Roman"/>
          <w:sz w:val="24"/>
          <w:szCs w:val="24"/>
        </w:rPr>
        <w:t>No entanto, observa-se que</w:t>
      </w:r>
      <w:r w:rsidR="005C6C7E">
        <w:rPr>
          <w:rFonts w:ascii="Times New Roman" w:hAnsi="Times New Roman"/>
          <w:sz w:val="24"/>
          <w:szCs w:val="24"/>
        </w:rPr>
        <w:t xml:space="preserve"> a taxa de informalidade continuou a cair mesmo durante a crise</w:t>
      </w:r>
      <w:r>
        <w:rPr>
          <w:rFonts w:ascii="Times New Roman" w:hAnsi="Times New Roman"/>
          <w:sz w:val="24"/>
          <w:szCs w:val="24"/>
        </w:rPr>
        <w:t xml:space="preserve"> de 2009</w:t>
      </w:r>
      <w:r w:rsidR="005C6C7E">
        <w:rPr>
          <w:rFonts w:ascii="Times New Roman" w:hAnsi="Times New Roman"/>
          <w:sz w:val="24"/>
          <w:szCs w:val="24"/>
        </w:rPr>
        <w:t>, diferentemente do que ocorreu com a taxa de desemprego. Isto indica que fatores distintos podem estar por trás destes dois acontecimentos do mercado de trabalho nacional.</w:t>
      </w:r>
    </w:p>
    <w:p w:rsidR="005C6C7E" w:rsidRDefault="00B6747F" w:rsidP="001F03CD">
      <w:pPr>
        <w:spacing w:line="240" w:lineRule="auto"/>
        <w:ind w:firstLine="708"/>
        <w:jc w:val="both"/>
        <w:rPr>
          <w:rFonts w:ascii="Times New Roman" w:hAnsi="Times New Roman"/>
          <w:sz w:val="24"/>
          <w:szCs w:val="24"/>
        </w:rPr>
      </w:pPr>
      <w:r>
        <w:rPr>
          <w:rFonts w:ascii="Times New Roman" w:hAnsi="Times New Roman"/>
          <w:sz w:val="24"/>
          <w:szCs w:val="24"/>
        </w:rPr>
        <w:t>A</w:t>
      </w:r>
      <w:r w:rsidR="005C6C7E">
        <w:rPr>
          <w:rFonts w:ascii="Times New Roman" w:hAnsi="Times New Roman"/>
          <w:sz w:val="24"/>
          <w:szCs w:val="24"/>
        </w:rPr>
        <w:t xml:space="preserve"> Tabela 1 mostra que a</w:t>
      </w:r>
      <w:r>
        <w:rPr>
          <w:rFonts w:ascii="Times New Roman" w:hAnsi="Times New Roman"/>
          <w:sz w:val="24"/>
          <w:szCs w:val="24"/>
        </w:rPr>
        <w:t xml:space="preserve"> informalidade na economia brasileira mensurada pela PNAD mostrava uma </w:t>
      </w:r>
      <w:r w:rsidR="00DD62C7">
        <w:rPr>
          <w:rFonts w:ascii="Times New Roman" w:hAnsi="Times New Roman"/>
          <w:sz w:val="24"/>
          <w:szCs w:val="24"/>
        </w:rPr>
        <w:t>taxa</w:t>
      </w:r>
      <w:r>
        <w:rPr>
          <w:rFonts w:ascii="Times New Roman" w:hAnsi="Times New Roman"/>
          <w:sz w:val="24"/>
          <w:szCs w:val="24"/>
        </w:rPr>
        <w:t xml:space="preserve"> de 43,6% em </w:t>
      </w:r>
      <w:r w:rsidR="00DD62C7">
        <w:rPr>
          <w:rFonts w:ascii="Times New Roman" w:hAnsi="Times New Roman"/>
          <w:sz w:val="24"/>
          <w:szCs w:val="24"/>
        </w:rPr>
        <w:t>s</w:t>
      </w:r>
      <w:r>
        <w:rPr>
          <w:rFonts w:ascii="Times New Roman" w:hAnsi="Times New Roman"/>
          <w:sz w:val="24"/>
          <w:szCs w:val="24"/>
        </w:rPr>
        <w:t>etembro de 2002 com uma queda para 3</w:t>
      </w:r>
      <w:r w:rsidR="0015699B">
        <w:rPr>
          <w:rFonts w:ascii="Times New Roman" w:hAnsi="Times New Roman"/>
          <w:sz w:val="24"/>
          <w:szCs w:val="24"/>
        </w:rPr>
        <w:t>7</w:t>
      </w:r>
      <w:r>
        <w:rPr>
          <w:rFonts w:ascii="Times New Roman" w:hAnsi="Times New Roman"/>
          <w:sz w:val="24"/>
          <w:szCs w:val="24"/>
        </w:rPr>
        <w:t>,</w:t>
      </w:r>
      <w:r w:rsidR="00AE371F">
        <w:rPr>
          <w:rFonts w:ascii="Times New Roman" w:hAnsi="Times New Roman"/>
          <w:sz w:val="24"/>
          <w:szCs w:val="24"/>
        </w:rPr>
        <w:t>4</w:t>
      </w:r>
      <w:r>
        <w:rPr>
          <w:rFonts w:ascii="Times New Roman" w:hAnsi="Times New Roman"/>
          <w:sz w:val="24"/>
          <w:szCs w:val="24"/>
        </w:rPr>
        <w:t xml:space="preserve">% em </w:t>
      </w:r>
      <w:r w:rsidR="0015699B">
        <w:rPr>
          <w:rFonts w:ascii="Times New Roman" w:hAnsi="Times New Roman"/>
          <w:sz w:val="24"/>
          <w:szCs w:val="24"/>
        </w:rPr>
        <w:t>s</w:t>
      </w:r>
      <w:r>
        <w:rPr>
          <w:rFonts w:ascii="Times New Roman" w:hAnsi="Times New Roman"/>
          <w:sz w:val="24"/>
          <w:szCs w:val="24"/>
        </w:rPr>
        <w:t>etembro de 20</w:t>
      </w:r>
      <w:r w:rsidR="00AE371F">
        <w:rPr>
          <w:rFonts w:ascii="Times New Roman" w:hAnsi="Times New Roman"/>
          <w:sz w:val="24"/>
          <w:szCs w:val="24"/>
        </w:rPr>
        <w:t>09</w:t>
      </w:r>
      <w:r w:rsidR="00CC2BD7">
        <w:rPr>
          <w:rFonts w:ascii="Times New Roman" w:hAnsi="Times New Roman"/>
          <w:sz w:val="24"/>
          <w:szCs w:val="24"/>
        </w:rPr>
        <w:t xml:space="preserve"> e 32,7% em setembro de 2011</w:t>
      </w:r>
      <w:r>
        <w:rPr>
          <w:rFonts w:ascii="Times New Roman" w:hAnsi="Times New Roman"/>
          <w:sz w:val="24"/>
          <w:szCs w:val="24"/>
        </w:rPr>
        <w:t>. Com dados da PME</w:t>
      </w:r>
      <w:r w:rsidR="008D7322">
        <w:rPr>
          <w:rFonts w:ascii="Times New Roman" w:hAnsi="Times New Roman"/>
          <w:sz w:val="24"/>
          <w:szCs w:val="24"/>
        </w:rPr>
        <w:t>, na Tabela 2,</w:t>
      </w:r>
      <w:r>
        <w:rPr>
          <w:rFonts w:ascii="Times New Roman" w:hAnsi="Times New Roman"/>
          <w:sz w:val="24"/>
          <w:szCs w:val="24"/>
        </w:rPr>
        <w:t xml:space="preserve"> a informalidade </w:t>
      </w:r>
      <w:r>
        <w:rPr>
          <w:rFonts w:ascii="Times New Roman" w:hAnsi="Times New Roman"/>
          <w:sz w:val="24"/>
          <w:szCs w:val="24"/>
        </w:rPr>
        <w:lastRenderedPageBreak/>
        <w:t xml:space="preserve">caiu de 32% em </w:t>
      </w:r>
      <w:r w:rsidR="00DD62C7">
        <w:rPr>
          <w:rFonts w:ascii="Times New Roman" w:hAnsi="Times New Roman"/>
          <w:sz w:val="24"/>
          <w:szCs w:val="24"/>
        </w:rPr>
        <w:t>s</w:t>
      </w:r>
      <w:r>
        <w:rPr>
          <w:rFonts w:ascii="Times New Roman" w:hAnsi="Times New Roman"/>
          <w:sz w:val="24"/>
          <w:szCs w:val="24"/>
        </w:rPr>
        <w:t>etembro de 2002 para 2</w:t>
      </w:r>
      <w:r w:rsidR="00CC2BD7">
        <w:rPr>
          <w:rFonts w:ascii="Times New Roman" w:hAnsi="Times New Roman"/>
          <w:sz w:val="24"/>
          <w:szCs w:val="24"/>
        </w:rPr>
        <w:t>8</w:t>
      </w:r>
      <w:r>
        <w:rPr>
          <w:rFonts w:ascii="Times New Roman" w:hAnsi="Times New Roman"/>
          <w:sz w:val="24"/>
          <w:szCs w:val="24"/>
        </w:rPr>
        <w:t>,</w:t>
      </w:r>
      <w:r w:rsidR="00CC2BD7">
        <w:rPr>
          <w:rFonts w:ascii="Times New Roman" w:hAnsi="Times New Roman"/>
          <w:sz w:val="24"/>
          <w:szCs w:val="24"/>
        </w:rPr>
        <w:t>3</w:t>
      </w:r>
      <w:r>
        <w:rPr>
          <w:rFonts w:ascii="Times New Roman" w:hAnsi="Times New Roman"/>
          <w:sz w:val="24"/>
          <w:szCs w:val="24"/>
        </w:rPr>
        <w:t xml:space="preserve">% em </w:t>
      </w:r>
      <w:r w:rsidR="00DD62C7">
        <w:rPr>
          <w:rFonts w:ascii="Times New Roman" w:hAnsi="Times New Roman"/>
          <w:sz w:val="24"/>
          <w:szCs w:val="24"/>
        </w:rPr>
        <w:t>s</w:t>
      </w:r>
      <w:r>
        <w:rPr>
          <w:rFonts w:ascii="Times New Roman" w:hAnsi="Times New Roman"/>
          <w:sz w:val="24"/>
          <w:szCs w:val="24"/>
        </w:rPr>
        <w:t>etembro de 20</w:t>
      </w:r>
      <w:r w:rsidR="00CC2BD7">
        <w:rPr>
          <w:rFonts w:ascii="Times New Roman" w:hAnsi="Times New Roman"/>
          <w:sz w:val="24"/>
          <w:szCs w:val="24"/>
        </w:rPr>
        <w:t>09 e 23,6% em setembro de 2011.</w:t>
      </w:r>
      <w:r>
        <w:rPr>
          <w:rFonts w:ascii="Times New Roman" w:hAnsi="Times New Roman"/>
          <w:sz w:val="24"/>
          <w:szCs w:val="24"/>
        </w:rPr>
        <w:t xml:space="preserve"> Ou seja, a queda registrada pela PME</w:t>
      </w:r>
      <w:r w:rsidR="00CC2BD7">
        <w:rPr>
          <w:rFonts w:ascii="Times New Roman" w:hAnsi="Times New Roman"/>
          <w:sz w:val="24"/>
          <w:szCs w:val="24"/>
        </w:rPr>
        <w:t xml:space="preserve"> – nas seis principais RMs do país –</w:t>
      </w:r>
      <w:r>
        <w:rPr>
          <w:rFonts w:ascii="Times New Roman" w:hAnsi="Times New Roman"/>
          <w:sz w:val="24"/>
          <w:szCs w:val="24"/>
        </w:rPr>
        <w:t xml:space="preserve"> nos últimos dois anos foi superior a observada nos sete ano</w:t>
      </w:r>
      <w:r w:rsidR="00CC2BD7">
        <w:rPr>
          <w:rFonts w:ascii="Times New Roman" w:hAnsi="Times New Roman"/>
          <w:sz w:val="24"/>
          <w:szCs w:val="24"/>
        </w:rPr>
        <w:t>s anteriores, enquanto na PNAD – de abrangência nacional – foi menor, mas ainda significativa.</w:t>
      </w:r>
      <w:r>
        <w:rPr>
          <w:rFonts w:ascii="Times New Roman" w:hAnsi="Times New Roman"/>
          <w:sz w:val="24"/>
          <w:szCs w:val="24"/>
        </w:rPr>
        <w:t xml:space="preserve"> </w:t>
      </w:r>
    </w:p>
    <w:p w:rsidR="00CE4A1D" w:rsidRDefault="00CE4A1D" w:rsidP="001F03CD">
      <w:pPr>
        <w:spacing w:line="240" w:lineRule="auto"/>
        <w:ind w:firstLine="708"/>
        <w:jc w:val="both"/>
        <w:rPr>
          <w:rFonts w:ascii="Times New Roman" w:hAnsi="Times New Roman"/>
          <w:sz w:val="24"/>
          <w:szCs w:val="24"/>
        </w:rPr>
      </w:pPr>
    </w:p>
    <w:p w:rsidR="005C6C7E" w:rsidRPr="005C6C7E" w:rsidRDefault="005C6C7E" w:rsidP="001F03CD">
      <w:pPr>
        <w:spacing w:line="240" w:lineRule="auto"/>
        <w:jc w:val="both"/>
        <w:rPr>
          <w:rFonts w:ascii="Times New Roman" w:hAnsi="Times New Roman"/>
          <w:sz w:val="24"/>
          <w:szCs w:val="24"/>
          <w:u w:val="single"/>
        </w:rPr>
      </w:pPr>
      <w:r w:rsidRPr="005C6C7E">
        <w:rPr>
          <w:rFonts w:ascii="Times New Roman" w:hAnsi="Times New Roman"/>
          <w:sz w:val="24"/>
          <w:szCs w:val="24"/>
          <w:u w:val="single"/>
        </w:rPr>
        <w:t>Brasil e Regiões Metropolitanas e Não Metropolitanas</w:t>
      </w:r>
    </w:p>
    <w:p w:rsidR="00B6747F" w:rsidRDefault="00B6747F" w:rsidP="001F03CD">
      <w:pPr>
        <w:spacing w:line="240" w:lineRule="auto"/>
        <w:ind w:firstLine="708"/>
        <w:jc w:val="both"/>
        <w:rPr>
          <w:rFonts w:ascii="Times New Roman" w:hAnsi="Times New Roman"/>
          <w:sz w:val="24"/>
          <w:szCs w:val="24"/>
        </w:rPr>
      </w:pPr>
      <w:r>
        <w:rPr>
          <w:rFonts w:ascii="Times New Roman" w:hAnsi="Times New Roman"/>
          <w:sz w:val="24"/>
          <w:szCs w:val="24"/>
        </w:rPr>
        <w:t>A diferença de informalidade entre a PNAD e a PME pode ser explicada com base na</w:t>
      </w:r>
      <w:r w:rsidR="00DA0A17">
        <w:rPr>
          <w:rFonts w:ascii="Times New Roman" w:hAnsi="Times New Roman"/>
          <w:sz w:val="24"/>
          <w:szCs w:val="24"/>
        </w:rPr>
        <w:t>s</w:t>
      </w:r>
      <w:r>
        <w:rPr>
          <w:rFonts w:ascii="Times New Roman" w:hAnsi="Times New Roman"/>
          <w:sz w:val="24"/>
          <w:szCs w:val="24"/>
        </w:rPr>
        <w:t xml:space="preserve"> amostra</w:t>
      </w:r>
      <w:r w:rsidR="00DA0A17">
        <w:rPr>
          <w:rFonts w:ascii="Times New Roman" w:hAnsi="Times New Roman"/>
          <w:sz w:val="24"/>
          <w:szCs w:val="24"/>
        </w:rPr>
        <w:t>s e metodologias</w:t>
      </w:r>
      <w:r>
        <w:rPr>
          <w:rFonts w:ascii="Times New Roman" w:hAnsi="Times New Roman"/>
          <w:sz w:val="24"/>
          <w:szCs w:val="24"/>
        </w:rPr>
        <w:t xml:space="preserve"> utilizada</w:t>
      </w:r>
      <w:r w:rsidR="00DA0A17">
        <w:rPr>
          <w:rFonts w:ascii="Times New Roman" w:hAnsi="Times New Roman"/>
          <w:sz w:val="24"/>
          <w:szCs w:val="24"/>
        </w:rPr>
        <w:t>s</w:t>
      </w:r>
      <w:r>
        <w:rPr>
          <w:rFonts w:ascii="Times New Roman" w:hAnsi="Times New Roman"/>
          <w:sz w:val="24"/>
          <w:szCs w:val="24"/>
        </w:rPr>
        <w:t>. A amostra da PNAD inclui o interior do país onde o grau de informalidade tende a ser mais elevado.</w:t>
      </w:r>
    </w:p>
    <w:p w:rsidR="00066F94" w:rsidRDefault="00066F94" w:rsidP="001F03CD">
      <w:pPr>
        <w:spacing w:line="240" w:lineRule="auto"/>
        <w:ind w:firstLine="708"/>
        <w:jc w:val="both"/>
        <w:rPr>
          <w:rFonts w:ascii="Times New Roman" w:hAnsi="Times New Roman"/>
          <w:sz w:val="24"/>
          <w:szCs w:val="24"/>
        </w:rPr>
      </w:pPr>
      <w:r>
        <w:rPr>
          <w:rFonts w:ascii="Times New Roman" w:hAnsi="Times New Roman"/>
          <w:sz w:val="24"/>
          <w:szCs w:val="24"/>
        </w:rPr>
        <w:t>A queda da informalidade ocorreu em todo o país tanto no período entre 200</w:t>
      </w:r>
      <w:r w:rsidR="00FF602A">
        <w:rPr>
          <w:rFonts w:ascii="Times New Roman" w:hAnsi="Times New Roman"/>
          <w:sz w:val="24"/>
          <w:szCs w:val="24"/>
        </w:rPr>
        <w:t>2</w:t>
      </w:r>
      <w:r w:rsidR="000F6A25">
        <w:rPr>
          <w:rFonts w:ascii="Times New Roman" w:hAnsi="Times New Roman"/>
          <w:sz w:val="24"/>
          <w:szCs w:val="24"/>
        </w:rPr>
        <w:t xml:space="preserve"> </w:t>
      </w:r>
      <w:r w:rsidR="00FF602A">
        <w:rPr>
          <w:rFonts w:ascii="Times New Roman" w:hAnsi="Times New Roman"/>
          <w:sz w:val="24"/>
          <w:szCs w:val="24"/>
        </w:rPr>
        <w:t>e 20</w:t>
      </w:r>
      <w:r w:rsidR="004950A1">
        <w:rPr>
          <w:rFonts w:ascii="Times New Roman" w:hAnsi="Times New Roman"/>
          <w:sz w:val="24"/>
          <w:szCs w:val="24"/>
        </w:rPr>
        <w:t>11</w:t>
      </w:r>
      <w:r>
        <w:rPr>
          <w:rFonts w:ascii="Times New Roman" w:hAnsi="Times New Roman"/>
          <w:sz w:val="24"/>
          <w:szCs w:val="24"/>
        </w:rPr>
        <w:t xml:space="preserve">. A informalidade também difere conforme a região. Nas regiões metropolitanas a informalidade é mais baixa do que fora destas. A Tabela 2 mostra este ponto com uma diferença entre as taxas de informalidade que </w:t>
      </w:r>
      <w:r w:rsidR="006B6F93">
        <w:rPr>
          <w:rFonts w:ascii="Times New Roman" w:hAnsi="Times New Roman"/>
          <w:sz w:val="24"/>
          <w:szCs w:val="24"/>
        </w:rPr>
        <w:t>ultrapassa</w:t>
      </w:r>
      <w:r>
        <w:rPr>
          <w:rFonts w:ascii="Times New Roman" w:hAnsi="Times New Roman"/>
          <w:sz w:val="24"/>
          <w:szCs w:val="24"/>
        </w:rPr>
        <w:t xml:space="preserve"> os dez pontos percentuais. Enquanto que no Brasil a informalidade </w:t>
      </w:r>
      <w:r w:rsidR="00CF542C">
        <w:rPr>
          <w:rFonts w:ascii="Times New Roman" w:hAnsi="Times New Roman"/>
          <w:sz w:val="24"/>
          <w:szCs w:val="24"/>
        </w:rPr>
        <w:t>era</w:t>
      </w:r>
      <w:r>
        <w:rPr>
          <w:rFonts w:ascii="Times New Roman" w:hAnsi="Times New Roman"/>
          <w:sz w:val="24"/>
          <w:szCs w:val="24"/>
        </w:rPr>
        <w:t xml:space="preserve"> de 43,6% em </w:t>
      </w:r>
      <w:smartTag w:uri="urn:schemas-microsoft-com:office:smarttags" w:element="metricconverter">
        <w:smartTagPr>
          <w:attr w:name="ProductID" w:val="2002, a"/>
        </w:smartTagPr>
        <w:r>
          <w:rPr>
            <w:rFonts w:ascii="Times New Roman" w:hAnsi="Times New Roman"/>
            <w:sz w:val="24"/>
            <w:szCs w:val="24"/>
          </w:rPr>
          <w:t>2002, a</w:t>
        </w:r>
      </w:smartTag>
      <w:r>
        <w:rPr>
          <w:rFonts w:ascii="Times New Roman" w:hAnsi="Times New Roman"/>
          <w:sz w:val="24"/>
          <w:szCs w:val="24"/>
        </w:rPr>
        <w:t xml:space="preserve"> informalidade nas regiões metropolitanas </w:t>
      </w:r>
      <w:r w:rsidR="00CF542C">
        <w:rPr>
          <w:rFonts w:ascii="Times New Roman" w:hAnsi="Times New Roman"/>
          <w:sz w:val="24"/>
          <w:szCs w:val="24"/>
        </w:rPr>
        <w:t>era</w:t>
      </w:r>
      <w:r>
        <w:rPr>
          <w:rFonts w:ascii="Times New Roman" w:hAnsi="Times New Roman"/>
          <w:sz w:val="24"/>
          <w:szCs w:val="24"/>
        </w:rPr>
        <w:t xml:space="preserve"> de somente 35,6% enquanto que para as regiões não metropolitanas a informalidade ating</w:t>
      </w:r>
      <w:r w:rsidR="00CF542C">
        <w:rPr>
          <w:rFonts w:ascii="Times New Roman" w:hAnsi="Times New Roman"/>
          <w:sz w:val="24"/>
          <w:szCs w:val="24"/>
        </w:rPr>
        <w:t>ia</w:t>
      </w:r>
      <w:r>
        <w:rPr>
          <w:rFonts w:ascii="Times New Roman" w:hAnsi="Times New Roman"/>
          <w:sz w:val="24"/>
          <w:szCs w:val="24"/>
        </w:rPr>
        <w:t xml:space="preserve"> 48,1%. Entre 2002 e 20</w:t>
      </w:r>
      <w:r w:rsidR="00CF542C">
        <w:rPr>
          <w:rFonts w:ascii="Times New Roman" w:hAnsi="Times New Roman"/>
          <w:sz w:val="24"/>
          <w:szCs w:val="24"/>
        </w:rPr>
        <w:t>11</w:t>
      </w:r>
      <w:r>
        <w:rPr>
          <w:rFonts w:ascii="Times New Roman" w:hAnsi="Times New Roman"/>
          <w:sz w:val="24"/>
          <w:szCs w:val="24"/>
        </w:rPr>
        <w:t xml:space="preserve"> os dados mostram que a informalidade caiu </w:t>
      </w:r>
      <w:r w:rsidR="00CF542C">
        <w:rPr>
          <w:rFonts w:ascii="Times New Roman" w:hAnsi="Times New Roman"/>
          <w:sz w:val="24"/>
          <w:szCs w:val="24"/>
        </w:rPr>
        <w:t xml:space="preserve">10,9 </w:t>
      </w:r>
      <w:r>
        <w:rPr>
          <w:rFonts w:ascii="Times New Roman" w:hAnsi="Times New Roman"/>
          <w:sz w:val="24"/>
          <w:szCs w:val="24"/>
        </w:rPr>
        <w:t>pontos percentuais</w:t>
      </w:r>
      <w:r w:rsidR="00DC7C10">
        <w:rPr>
          <w:rFonts w:ascii="Times New Roman" w:hAnsi="Times New Roman"/>
          <w:sz w:val="24"/>
          <w:szCs w:val="24"/>
        </w:rPr>
        <w:t xml:space="preserve"> (p.p.)</w:t>
      </w:r>
      <w:r>
        <w:rPr>
          <w:rFonts w:ascii="Times New Roman" w:hAnsi="Times New Roman"/>
          <w:sz w:val="24"/>
          <w:szCs w:val="24"/>
        </w:rPr>
        <w:t xml:space="preserve"> </w:t>
      </w:r>
      <w:r w:rsidR="00CF542C">
        <w:rPr>
          <w:rFonts w:ascii="Times New Roman" w:hAnsi="Times New Roman"/>
          <w:sz w:val="24"/>
          <w:szCs w:val="24"/>
        </w:rPr>
        <w:t xml:space="preserve">tanto em abrangência nacional como </w:t>
      </w:r>
      <w:r>
        <w:rPr>
          <w:rFonts w:ascii="Times New Roman" w:hAnsi="Times New Roman"/>
          <w:sz w:val="24"/>
          <w:szCs w:val="24"/>
        </w:rPr>
        <w:t>nas regiões metropolitanas e não metropolitanas.</w:t>
      </w:r>
    </w:p>
    <w:tbl>
      <w:tblPr>
        <w:tblW w:w="7280" w:type="dxa"/>
        <w:jc w:val="center"/>
        <w:tblInd w:w="55" w:type="dxa"/>
        <w:tblCellMar>
          <w:left w:w="70" w:type="dxa"/>
          <w:right w:w="70" w:type="dxa"/>
        </w:tblCellMar>
        <w:tblLook w:val="04A0" w:firstRow="1" w:lastRow="0" w:firstColumn="1" w:lastColumn="0" w:noHBand="0" w:noVBand="1"/>
      </w:tblPr>
      <w:tblGrid>
        <w:gridCol w:w="1412"/>
        <w:gridCol w:w="1809"/>
        <w:gridCol w:w="1538"/>
        <w:gridCol w:w="1665"/>
        <w:gridCol w:w="856"/>
      </w:tblGrid>
      <w:tr w:rsidR="004950A1" w:rsidRPr="004950A1" w:rsidTr="004950A1">
        <w:trPr>
          <w:trHeight w:val="270"/>
          <w:jc w:val="center"/>
        </w:trPr>
        <w:tc>
          <w:tcPr>
            <w:tcW w:w="7280" w:type="dxa"/>
            <w:gridSpan w:val="5"/>
            <w:tcBorders>
              <w:top w:val="single" w:sz="8" w:space="0" w:color="auto"/>
              <w:left w:val="nil"/>
              <w:bottom w:val="single" w:sz="8" w:space="0" w:color="auto"/>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Tabela 2: Informalidade por região</w:t>
            </w:r>
          </w:p>
        </w:tc>
      </w:tr>
      <w:tr w:rsidR="004950A1" w:rsidRPr="004950A1" w:rsidTr="004950A1">
        <w:trPr>
          <w:trHeight w:val="270"/>
          <w:jc w:val="center"/>
        </w:trPr>
        <w:tc>
          <w:tcPr>
            <w:tcW w:w="1412" w:type="dxa"/>
            <w:tcBorders>
              <w:top w:val="nil"/>
              <w:left w:val="nil"/>
              <w:bottom w:val="single" w:sz="8" w:space="0" w:color="auto"/>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 </w:t>
            </w:r>
          </w:p>
        </w:tc>
        <w:tc>
          <w:tcPr>
            <w:tcW w:w="1809" w:type="dxa"/>
            <w:tcBorders>
              <w:top w:val="nil"/>
              <w:left w:val="nil"/>
              <w:bottom w:val="single" w:sz="8" w:space="0" w:color="auto"/>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PNAD - Brasil</w:t>
            </w:r>
          </w:p>
        </w:tc>
        <w:tc>
          <w:tcPr>
            <w:tcW w:w="1538" w:type="dxa"/>
            <w:tcBorders>
              <w:top w:val="nil"/>
              <w:left w:val="nil"/>
              <w:bottom w:val="single" w:sz="8" w:space="0" w:color="auto"/>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PNAD - RM</w:t>
            </w:r>
          </w:p>
        </w:tc>
        <w:tc>
          <w:tcPr>
            <w:tcW w:w="1665" w:type="dxa"/>
            <w:tcBorders>
              <w:top w:val="nil"/>
              <w:left w:val="nil"/>
              <w:bottom w:val="single" w:sz="8" w:space="0" w:color="auto"/>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PNAD -NRM</w:t>
            </w:r>
          </w:p>
        </w:tc>
        <w:tc>
          <w:tcPr>
            <w:tcW w:w="856" w:type="dxa"/>
            <w:tcBorders>
              <w:top w:val="nil"/>
              <w:left w:val="nil"/>
              <w:bottom w:val="single" w:sz="8" w:space="0" w:color="auto"/>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PME</w:t>
            </w:r>
          </w:p>
        </w:tc>
      </w:tr>
      <w:tr w:rsidR="004950A1" w:rsidRPr="004950A1" w:rsidTr="004950A1">
        <w:trPr>
          <w:trHeight w:val="255"/>
          <w:jc w:val="center"/>
        </w:trPr>
        <w:tc>
          <w:tcPr>
            <w:tcW w:w="1412"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2002</w:t>
            </w:r>
          </w:p>
        </w:tc>
        <w:tc>
          <w:tcPr>
            <w:tcW w:w="1809"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43,6%</w:t>
            </w:r>
          </w:p>
        </w:tc>
        <w:tc>
          <w:tcPr>
            <w:tcW w:w="1538"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35,6%</w:t>
            </w:r>
          </w:p>
        </w:tc>
        <w:tc>
          <w:tcPr>
            <w:tcW w:w="1665"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48,1%</w:t>
            </w:r>
          </w:p>
        </w:tc>
        <w:tc>
          <w:tcPr>
            <w:tcW w:w="856"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32,0%</w:t>
            </w:r>
          </w:p>
        </w:tc>
      </w:tr>
      <w:tr w:rsidR="004950A1" w:rsidRPr="004950A1" w:rsidTr="004950A1">
        <w:trPr>
          <w:trHeight w:val="255"/>
          <w:jc w:val="center"/>
        </w:trPr>
        <w:tc>
          <w:tcPr>
            <w:tcW w:w="1412"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2003</w:t>
            </w:r>
          </w:p>
        </w:tc>
        <w:tc>
          <w:tcPr>
            <w:tcW w:w="1809"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42,3%</w:t>
            </w:r>
          </w:p>
        </w:tc>
        <w:tc>
          <w:tcPr>
            <w:tcW w:w="1538"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34,0%</w:t>
            </w:r>
          </w:p>
        </w:tc>
        <w:tc>
          <w:tcPr>
            <w:tcW w:w="1665"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46,8%</w:t>
            </w:r>
          </w:p>
        </w:tc>
        <w:tc>
          <w:tcPr>
            <w:tcW w:w="856"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33,8%</w:t>
            </w:r>
          </w:p>
        </w:tc>
      </w:tr>
      <w:tr w:rsidR="004950A1" w:rsidRPr="004950A1" w:rsidTr="004950A1">
        <w:trPr>
          <w:trHeight w:val="255"/>
          <w:jc w:val="center"/>
        </w:trPr>
        <w:tc>
          <w:tcPr>
            <w:tcW w:w="1412"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2004</w:t>
            </w:r>
          </w:p>
        </w:tc>
        <w:tc>
          <w:tcPr>
            <w:tcW w:w="1809"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42,5%</w:t>
            </w:r>
          </w:p>
        </w:tc>
        <w:tc>
          <w:tcPr>
            <w:tcW w:w="1538"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34,4%</w:t>
            </w:r>
          </w:p>
        </w:tc>
        <w:tc>
          <w:tcPr>
            <w:tcW w:w="1665"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46,8%</w:t>
            </w:r>
          </w:p>
        </w:tc>
        <w:tc>
          <w:tcPr>
            <w:tcW w:w="856"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34,4%</w:t>
            </w:r>
          </w:p>
        </w:tc>
      </w:tr>
      <w:tr w:rsidR="004950A1" w:rsidRPr="004950A1" w:rsidTr="004950A1">
        <w:trPr>
          <w:trHeight w:val="255"/>
          <w:jc w:val="center"/>
        </w:trPr>
        <w:tc>
          <w:tcPr>
            <w:tcW w:w="1412"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2005</w:t>
            </w:r>
          </w:p>
        </w:tc>
        <w:tc>
          <w:tcPr>
            <w:tcW w:w="1809"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41,4%</w:t>
            </w:r>
          </w:p>
        </w:tc>
        <w:tc>
          <w:tcPr>
            <w:tcW w:w="1538"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33,8%</w:t>
            </w:r>
          </w:p>
        </w:tc>
        <w:tc>
          <w:tcPr>
            <w:tcW w:w="1665"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45,5%</w:t>
            </w:r>
          </w:p>
        </w:tc>
        <w:tc>
          <w:tcPr>
            <w:tcW w:w="856"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33,1%</w:t>
            </w:r>
          </w:p>
        </w:tc>
      </w:tr>
      <w:tr w:rsidR="004950A1" w:rsidRPr="004950A1" w:rsidTr="004950A1">
        <w:trPr>
          <w:trHeight w:val="255"/>
          <w:jc w:val="center"/>
        </w:trPr>
        <w:tc>
          <w:tcPr>
            <w:tcW w:w="1412"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2006</w:t>
            </w:r>
          </w:p>
        </w:tc>
        <w:tc>
          <w:tcPr>
            <w:tcW w:w="1809"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40,7%</w:t>
            </w:r>
          </w:p>
        </w:tc>
        <w:tc>
          <w:tcPr>
            <w:tcW w:w="1538"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33,1%</w:t>
            </w:r>
          </w:p>
        </w:tc>
        <w:tc>
          <w:tcPr>
            <w:tcW w:w="1665"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44,9%</w:t>
            </w:r>
          </w:p>
        </w:tc>
        <w:tc>
          <w:tcPr>
            <w:tcW w:w="856"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32,6%</w:t>
            </w:r>
          </w:p>
        </w:tc>
      </w:tr>
      <w:tr w:rsidR="004950A1" w:rsidRPr="004950A1" w:rsidTr="004950A1">
        <w:trPr>
          <w:trHeight w:val="255"/>
          <w:jc w:val="center"/>
        </w:trPr>
        <w:tc>
          <w:tcPr>
            <w:tcW w:w="1412"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2007</w:t>
            </w:r>
          </w:p>
        </w:tc>
        <w:tc>
          <w:tcPr>
            <w:tcW w:w="1809"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39,1%</w:t>
            </w:r>
          </w:p>
        </w:tc>
        <w:tc>
          <w:tcPr>
            <w:tcW w:w="1538"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31,7%</w:t>
            </w:r>
          </w:p>
        </w:tc>
        <w:tc>
          <w:tcPr>
            <w:tcW w:w="1665"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43,2%</w:t>
            </w:r>
          </w:p>
        </w:tc>
        <w:tc>
          <w:tcPr>
            <w:tcW w:w="856"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30,1%</w:t>
            </w:r>
          </w:p>
        </w:tc>
      </w:tr>
      <w:tr w:rsidR="004950A1" w:rsidRPr="004950A1" w:rsidTr="004950A1">
        <w:trPr>
          <w:trHeight w:val="255"/>
          <w:jc w:val="center"/>
        </w:trPr>
        <w:tc>
          <w:tcPr>
            <w:tcW w:w="1412"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2008</w:t>
            </w:r>
          </w:p>
        </w:tc>
        <w:tc>
          <w:tcPr>
            <w:tcW w:w="1809"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38,1%</w:t>
            </w:r>
          </w:p>
        </w:tc>
        <w:tc>
          <w:tcPr>
            <w:tcW w:w="1538"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31,2%</w:t>
            </w:r>
          </w:p>
        </w:tc>
        <w:tc>
          <w:tcPr>
            <w:tcW w:w="1665"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41,9%</w:t>
            </w:r>
          </w:p>
        </w:tc>
        <w:tc>
          <w:tcPr>
            <w:tcW w:w="856"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29,4%</w:t>
            </w:r>
          </w:p>
        </w:tc>
      </w:tr>
      <w:tr w:rsidR="004950A1" w:rsidRPr="004950A1" w:rsidTr="004950A1">
        <w:trPr>
          <w:trHeight w:val="255"/>
          <w:jc w:val="center"/>
        </w:trPr>
        <w:tc>
          <w:tcPr>
            <w:tcW w:w="1412"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2009</w:t>
            </w:r>
          </w:p>
        </w:tc>
        <w:tc>
          <w:tcPr>
            <w:tcW w:w="1809"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37,4%</w:t>
            </w:r>
          </w:p>
        </w:tc>
        <w:tc>
          <w:tcPr>
            <w:tcW w:w="1538"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29,7%</w:t>
            </w:r>
          </w:p>
        </w:tc>
        <w:tc>
          <w:tcPr>
            <w:tcW w:w="1665"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41,6%</w:t>
            </w:r>
          </w:p>
        </w:tc>
        <w:tc>
          <w:tcPr>
            <w:tcW w:w="856"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28,3%</w:t>
            </w:r>
          </w:p>
        </w:tc>
      </w:tr>
      <w:tr w:rsidR="004950A1" w:rsidRPr="004950A1" w:rsidTr="004950A1">
        <w:trPr>
          <w:trHeight w:val="270"/>
          <w:jc w:val="center"/>
        </w:trPr>
        <w:tc>
          <w:tcPr>
            <w:tcW w:w="1412" w:type="dxa"/>
            <w:tcBorders>
              <w:top w:val="nil"/>
              <w:left w:val="nil"/>
              <w:bottom w:val="single" w:sz="8" w:space="0" w:color="auto"/>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2011</w:t>
            </w:r>
          </w:p>
        </w:tc>
        <w:tc>
          <w:tcPr>
            <w:tcW w:w="1809"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32,7%</w:t>
            </w:r>
          </w:p>
        </w:tc>
        <w:tc>
          <w:tcPr>
            <w:tcW w:w="1538"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24,6%</w:t>
            </w:r>
          </w:p>
        </w:tc>
        <w:tc>
          <w:tcPr>
            <w:tcW w:w="1665"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37,2%</w:t>
            </w:r>
          </w:p>
        </w:tc>
        <w:tc>
          <w:tcPr>
            <w:tcW w:w="856"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23,6%</w:t>
            </w:r>
          </w:p>
        </w:tc>
      </w:tr>
      <w:tr w:rsidR="004950A1" w:rsidRPr="004950A1" w:rsidTr="004950A1">
        <w:trPr>
          <w:trHeight w:val="270"/>
          <w:jc w:val="center"/>
        </w:trPr>
        <w:tc>
          <w:tcPr>
            <w:tcW w:w="7280" w:type="dxa"/>
            <w:gridSpan w:val="5"/>
            <w:tcBorders>
              <w:top w:val="single" w:sz="8" w:space="0" w:color="auto"/>
              <w:left w:val="nil"/>
              <w:bottom w:val="single" w:sz="8" w:space="0" w:color="auto"/>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Variação das taxas de desemprego</w:t>
            </w:r>
          </w:p>
        </w:tc>
      </w:tr>
      <w:tr w:rsidR="004950A1" w:rsidRPr="004950A1" w:rsidTr="004950A1">
        <w:trPr>
          <w:trHeight w:val="255"/>
          <w:jc w:val="center"/>
        </w:trPr>
        <w:tc>
          <w:tcPr>
            <w:tcW w:w="1412"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2009-2002</w:t>
            </w:r>
          </w:p>
        </w:tc>
        <w:tc>
          <w:tcPr>
            <w:tcW w:w="1809"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-6,2%</w:t>
            </w:r>
          </w:p>
        </w:tc>
        <w:tc>
          <w:tcPr>
            <w:tcW w:w="1538"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-5,9%</w:t>
            </w:r>
          </w:p>
        </w:tc>
        <w:tc>
          <w:tcPr>
            <w:tcW w:w="1665"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-6,5%</w:t>
            </w:r>
          </w:p>
        </w:tc>
        <w:tc>
          <w:tcPr>
            <w:tcW w:w="856"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-3,8%</w:t>
            </w:r>
          </w:p>
        </w:tc>
      </w:tr>
      <w:tr w:rsidR="004950A1" w:rsidRPr="004950A1" w:rsidTr="004950A1">
        <w:trPr>
          <w:trHeight w:val="255"/>
          <w:jc w:val="center"/>
        </w:trPr>
        <w:tc>
          <w:tcPr>
            <w:tcW w:w="1412"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2011-2002</w:t>
            </w:r>
          </w:p>
        </w:tc>
        <w:tc>
          <w:tcPr>
            <w:tcW w:w="1809"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-10,9%</w:t>
            </w:r>
          </w:p>
        </w:tc>
        <w:tc>
          <w:tcPr>
            <w:tcW w:w="1538"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-10,9%</w:t>
            </w:r>
          </w:p>
        </w:tc>
        <w:tc>
          <w:tcPr>
            <w:tcW w:w="1665"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-10,9%</w:t>
            </w:r>
          </w:p>
        </w:tc>
        <w:tc>
          <w:tcPr>
            <w:tcW w:w="856"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-8,4%</w:t>
            </w:r>
          </w:p>
        </w:tc>
      </w:tr>
      <w:tr w:rsidR="004950A1" w:rsidRPr="004950A1" w:rsidTr="004950A1">
        <w:trPr>
          <w:trHeight w:val="270"/>
          <w:jc w:val="center"/>
        </w:trPr>
        <w:tc>
          <w:tcPr>
            <w:tcW w:w="1412" w:type="dxa"/>
            <w:tcBorders>
              <w:top w:val="nil"/>
              <w:left w:val="nil"/>
              <w:bottom w:val="single" w:sz="8" w:space="0" w:color="auto"/>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2011-2009</w:t>
            </w:r>
          </w:p>
        </w:tc>
        <w:tc>
          <w:tcPr>
            <w:tcW w:w="1809" w:type="dxa"/>
            <w:tcBorders>
              <w:top w:val="nil"/>
              <w:left w:val="nil"/>
              <w:bottom w:val="single" w:sz="8" w:space="0" w:color="auto"/>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-4,7%</w:t>
            </w:r>
          </w:p>
        </w:tc>
        <w:tc>
          <w:tcPr>
            <w:tcW w:w="1538" w:type="dxa"/>
            <w:tcBorders>
              <w:top w:val="nil"/>
              <w:left w:val="nil"/>
              <w:bottom w:val="single" w:sz="8" w:space="0" w:color="auto"/>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-5,0%</w:t>
            </w:r>
          </w:p>
        </w:tc>
        <w:tc>
          <w:tcPr>
            <w:tcW w:w="1665" w:type="dxa"/>
            <w:tcBorders>
              <w:top w:val="nil"/>
              <w:left w:val="nil"/>
              <w:bottom w:val="single" w:sz="8" w:space="0" w:color="auto"/>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-4,4%</w:t>
            </w:r>
          </w:p>
        </w:tc>
        <w:tc>
          <w:tcPr>
            <w:tcW w:w="856" w:type="dxa"/>
            <w:tcBorders>
              <w:top w:val="nil"/>
              <w:left w:val="nil"/>
              <w:bottom w:val="single" w:sz="8" w:space="0" w:color="auto"/>
              <w:right w:val="nil"/>
            </w:tcBorders>
            <w:shd w:val="clear" w:color="000000" w:fill="FFFFFF"/>
            <w:noWrap/>
            <w:vAlign w:val="bottom"/>
            <w:hideMark/>
          </w:tcPr>
          <w:p w:rsidR="004950A1" w:rsidRPr="004950A1" w:rsidRDefault="004950A1" w:rsidP="001F03CD">
            <w:pPr>
              <w:spacing w:after="0" w:line="240" w:lineRule="auto"/>
              <w:jc w:val="center"/>
              <w:rPr>
                <w:rFonts w:ascii="Arial" w:eastAsia="Times New Roman" w:hAnsi="Arial" w:cs="Arial"/>
                <w:sz w:val="20"/>
                <w:szCs w:val="20"/>
                <w:lang w:eastAsia="pt-BR"/>
              </w:rPr>
            </w:pPr>
            <w:r w:rsidRPr="004950A1">
              <w:rPr>
                <w:rFonts w:ascii="Arial" w:eastAsia="Times New Roman" w:hAnsi="Arial" w:cs="Arial"/>
                <w:sz w:val="20"/>
                <w:szCs w:val="20"/>
                <w:lang w:eastAsia="pt-BR"/>
              </w:rPr>
              <w:t>-4,6%</w:t>
            </w:r>
          </w:p>
        </w:tc>
      </w:tr>
      <w:tr w:rsidR="004950A1" w:rsidRPr="004950A1" w:rsidTr="004950A1">
        <w:trPr>
          <w:trHeight w:val="255"/>
          <w:jc w:val="center"/>
        </w:trPr>
        <w:tc>
          <w:tcPr>
            <w:tcW w:w="6424" w:type="dxa"/>
            <w:gridSpan w:val="4"/>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rPr>
                <w:rFonts w:ascii="Arial" w:eastAsia="Times New Roman" w:hAnsi="Arial" w:cs="Arial"/>
                <w:sz w:val="20"/>
                <w:szCs w:val="20"/>
                <w:lang w:eastAsia="pt-BR"/>
              </w:rPr>
            </w:pPr>
            <w:r w:rsidRPr="004950A1">
              <w:rPr>
                <w:rFonts w:ascii="Arial" w:eastAsia="Times New Roman" w:hAnsi="Arial" w:cs="Arial"/>
                <w:sz w:val="20"/>
                <w:szCs w:val="20"/>
                <w:lang w:eastAsia="pt-BR"/>
              </w:rPr>
              <w:t>Fonte: Elaboração Própria com dados da PNAD e da PME.</w:t>
            </w:r>
          </w:p>
        </w:tc>
        <w:tc>
          <w:tcPr>
            <w:tcW w:w="856" w:type="dxa"/>
            <w:tcBorders>
              <w:top w:val="nil"/>
              <w:left w:val="nil"/>
              <w:bottom w:val="nil"/>
              <w:right w:val="nil"/>
            </w:tcBorders>
            <w:shd w:val="clear" w:color="000000" w:fill="FFFFFF"/>
            <w:noWrap/>
            <w:vAlign w:val="bottom"/>
            <w:hideMark/>
          </w:tcPr>
          <w:p w:rsidR="004950A1" w:rsidRPr="004950A1" w:rsidRDefault="004950A1" w:rsidP="001F03CD">
            <w:pPr>
              <w:spacing w:after="0" w:line="240" w:lineRule="auto"/>
              <w:rPr>
                <w:rFonts w:ascii="Arial" w:eastAsia="Times New Roman" w:hAnsi="Arial" w:cs="Arial"/>
                <w:sz w:val="20"/>
                <w:szCs w:val="20"/>
                <w:lang w:eastAsia="pt-BR"/>
              </w:rPr>
            </w:pPr>
            <w:r w:rsidRPr="004950A1">
              <w:rPr>
                <w:rFonts w:ascii="Arial" w:eastAsia="Times New Roman" w:hAnsi="Arial" w:cs="Arial"/>
                <w:sz w:val="20"/>
                <w:szCs w:val="20"/>
                <w:lang w:eastAsia="pt-BR"/>
              </w:rPr>
              <w:t> </w:t>
            </w:r>
          </w:p>
        </w:tc>
      </w:tr>
    </w:tbl>
    <w:p w:rsidR="00066F94" w:rsidRDefault="00066F94" w:rsidP="001F03CD">
      <w:pPr>
        <w:spacing w:line="240" w:lineRule="auto"/>
        <w:jc w:val="both"/>
        <w:rPr>
          <w:rFonts w:ascii="Times New Roman" w:hAnsi="Times New Roman"/>
          <w:sz w:val="24"/>
          <w:szCs w:val="24"/>
        </w:rPr>
      </w:pPr>
    </w:p>
    <w:p w:rsidR="00E05443" w:rsidRDefault="00066F94" w:rsidP="001F03CD">
      <w:pPr>
        <w:spacing w:line="240" w:lineRule="auto"/>
        <w:ind w:firstLine="708"/>
        <w:jc w:val="both"/>
        <w:rPr>
          <w:rFonts w:ascii="Times New Roman" w:hAnsi="Times New Roman"/>
          <w:sz w:val="24"/>
          <w:szCs w:val="24"/>
        </w:rPr>
      </w:pPr>
      <w:r>
        <w:rPr>
          <w:rFonts w:ascii="Times New Roman" w:hAnsi="Times New Roman"/>
          <w:sz w:val="24"/>
          <w:szCs w:val="24"/>
        </w:rPr>
        <w:t>A</w:t>
      </w:r>
      <w:r w:rsidR="00CF542C">
        <w:rPr>
          <w:rFonts w:ascii="Times New Roman" w:hAnsi="Times New Roman"/>
          <w:sz w:val="24"/>
          <w:szCs w:val="24"/>
        </w:rPr>
        <w:t>ssim, a</w:t>
      </w:r>
      <w:r>
        <w:rPr>
          <w:rFonts w:ascii="Times New Roman" w:hAnsi="Times New Roman"/>
          <w:sz w:val="24"/>
          <w:szCs w:val="24"/>
        </w:rPr>
        <w:t xml:space="preserve"> Tabela 2 mostra que o problema da informalidade é mais forte no interior do país do que em suas regiões metropolitanas, diferentemente do que ocorre com a taxa de desemprego </w:t>
      </w:r>
      <w:r w:rsidR="00FD35BD">
        <w:rPr>
          <w:rFonts w:ascii="Times New Roman" w:hAnsi="Times New Roman"/>
          <w:sz w:val="24"/>
          <w:szCs w:val="24"/>
        </w:rPr>
        <w:t>(</w:t>
      </w:r>
      <w:r>
        <w:rPr>
          <w:rFonts w:ascii="Times New Roman" w:hAnsi="Times New Roman"/>
          <w:sz w:val="24"/>
          <w:szCs w:val="24"/>
        </w:rPr>
        <w:t>Barbosa Filho e Pessôa</w:t>
      </w:r>
      <w:r w:rsidR="00FD35BD">
        <w:rPr>
          <w:rFonts w:ascii="Times New Roman" w:hAnsi="Times New Roman"/>
          <w:sz w:val="24"/>
          <w:szCs w:val="24"/>
        </w:rPr>
        <w:t xml:space="preserve">, </w:t>
      </w:r>
      <w:r>
        <w:rPr>
          <w:rFonts w:ascii="Times New Roman" w:hAnsi="Times New Roman"/>
          <w:sz w:val="24"/>
          <w:szCs w:val="24"/>
        </w:rPr>
        <w:t>2011).</w:t>
      </w:r>
    </w:p>
    <w:p w:rsidR="00202A66" w:rsidRDefault="00066F94" w:rsidP="001F03CD">
      <w:pPr>
        <w:spacing w:line="240" w:lineRule="auto"/>
        <w:ind w:firstLine="708"/>
        <w:jc w:val="both"/>
        <w:rPr>
          <w:rFonts w:ascii="Times New Roman" w:hAnsi="Times New Roman"/>
          <w:sz w:val="24"/>
          <w:szCs w:val="24"/>
        </w:rPr>
      </w:pPr>
      <w:r>
        <w:rPr>
          <w:rFonts w:ascii="Times New Roman" w:hAnsi="Times New Roman"/>
          <w:sz w:val="24"/>
          <w:szCs w:val="24"/>
        </w:rPr>
        <w:t>Este trabalho analisará nas próximas seções os diferenciais de informalidade entre as regiões metropolitanas e não metropoli</w:t>
      </w:r>
      <w:r w:rsidR="008D7322">
        <w:rPr>
          <w:rFonts w:ascii="Times New Roman" w:hAnsi="Times New Roman"/>
          <w:sz w:val="24"/>
          <w:szCs w:val="24"/>
        </w:rPr>
        <w:t>tanas para os anos de 2002 e 2011</w:t>
      </w:r>
      <w:r>
        <w:rPr>
          <w:rFonts w:ascii="Times New Roman" w:hAnsi="Times New Roman"/>
          <w:sz w:val="24"/>
          <w:szCs w:val="24"/>
        </w:rPr>
        <w:t xml:space="preserve"> com o objetivo de melhor entender as diferenças e ver se alguma variável demográfica consegue explicar o elevado diferencial que supera os dez pontos percentuais.</w:t>
      </w:r>
    </w:p>
    <w:p w:rsidR="00CE4A1D" w:rsidRDefault="00CE4A1D" w:rsidP="001F03CD">
      <w:pPr>
        <w:spacing w:line="240" w:lineRule="auto"/>
        <w:ind w:firstLine="708"/>
        <w:jc w:val="both"/>
        <w:rPr>
          <w:rFonts w:ascii="Times New Roman" w:hAnsi="Times New Roman"/>
          <w:sz w:val="24"/>
          <w:szCs w:val="24"/>
        </w:rPr>
      </w:pPr>
    </w:p>
    <w:p w:rsidR="003C084A" w:rsidRPr="000F6A25" w:rsidRDefault="00C159D4" w:rsidP="001F03CD">
      <w:pPr>
        <w:spacing w:after="0" w:line="240" w:lineRule="auto"/>
        <w:jc w:val="both"/>
        <w:rPr>
          <w:rFonts w:ascii="Times New Roman" w:hAnsi="Times New Roman"/>
          <w:b/>
          <w:sz w:val="24"/>
          <w:szCs w:val="24"/>
        </w:rPr>
      </w:pPr>
      <w:r w:rsidRPr="000F6A25">
        <w:rPr>
          <w:rFonts w:ascii="Times New Roman" w:hAnsi="Times New Roman"/>
          <w:b/>
          <w:sz w:val="24"/>
          <w:szCs w:val="24"/>
        </w:rPr>
        <w:t>4.2 – Taxas de Informalidade por Grupo Educacional</w:t>
      </w:r>
    </w:p>
    <w:p w:rsidR="00C159D4" w:rsidRDefault="00C159D4" w:rsidP="001F03CD">
      <w:pPr>
        <w:spacing w:after="0" w:line="240" w:lineRule="auto"/>
        <w:jc w:val="both"/>
        <w:rPr>
          <w:rFonts w:ascii="Times New Roman" w:hAnsi="Times New Roman"/>
          <w:sz w:val="24"/>
          <w:szCs w:val="24"/>
        </w:rPr>
      </w:pPr>
    </w:p>
    <w:p w:rsidR="00C159D4" w:rsidRDefault="00C159D4" w:rsidP="001F03CD">
      <w:pPr>
        <w:spacing w:after="0" w:line="240" w:lineRule="auto"/>
        <w:ind w:firstLine="708"/>
        <w:jc w:val="both"/>
        <w:rPr>
          <w:rFonts w:ascii="Times New Roman" w:hAnsi="Times New Roman"/>
          <w:sz w:val="24"/>
          <w:szCs w:val="24"/>
        </w:rPr>
      </w:pPr>
      <w:r>
        <w:rPr>
          <w:rFonts w:ascii="Times New Roman" w:hAnsi="Times New Roman"/>
          <w:sz w:val="24"/>
          <w:szCs w:val="24"/>
        </w:rPr>
        <w:t>Esta seção avalia a taxa de informalidade por ciclo escolar completo para o Brasil, as regiões metropolitanas (RM) e as regiões não metropolitanas (NRM). A Tabela 3 mostra em seu primeiro quadro a taxa de informalidade por grupo educacional. O segundo quadro da mesma mostra</w:t>
      </w:r>
      <w:r w:rsidR="00142678">
        <w:rPr>
          <w:rFonts w:ascii="Times New Roman" w:hAnsi="Times New Roman"/>
          <w:sz w:val="24"/>
          <w:szCs w:val="24"/>
        </w:rPr>
        <w:t xml:space="preserve"> a participação</w:t>
      </w:r>
      <w:r>
        <w:rPr>
          <w:rFonts w:ascii="Times New Roman" w:hAnsi="Times New Roman"/>
          <w:sz w:val="24"/>
          <w:szCs w:val="24"/>
        </w:rPr>
        <w:t xml:space="preserve"> </w:t>
      </w:r>
      <w:r w:rsidR="00984867">
        <w:rPr>
          <w:rFonts w:ascii="Times New Roman" w:hAnsi="Times New Roman"/>
          <w:sz w:val="24"/>
          <w:szCs w:val="24"/>
        </w:rPr>
        <w:t>de cada grupo no total de trabalhadores empregados</w:t>
      </w:r>
      <w:r w:rsidR="00142678">
        <w:rPr>
          <w:rFonts w:ascii="Times New Roman" w:hAnsi="Times New Roman"/>
          <w:sz w:val="24"/>
          <w:szCs w:val="24"/>
        </w:rPr>
        <w:t>, tal que cada coluna soma 100%.</w:t>
      </w:r>
      <w:r w:rsidR="00984867">
        <w:rPr>
          <w:rFonts w:ascii="Times New Roman" w:hAnsi="Times New Roman"/>
          <w:sz w:val="24"/>
          <w:szCs w:val="24"/>
        </w:rPr>
        <w:t xml:space="preserve"> </w:t>
      </w:r>
      <w:r w:rsidR="00D200DF">
        <w:rPr>
          <w:rFonts w:ascii="Times New Roman" w:hAnsi="Times New Roman"/>
          <w:sz w:val="24"/>
          <w:szCs w:val="24"/>
        </w:rPr>
        <w:t>O</w:t>
      </w:r>
      <w:r w:rsidR="00984867">
        <w:rPr>
          <w:rFonts w:ascii="Times New Roman" w:hAnsi="Times New Roman"/>
          <w:sz w:val="24"/>
          <w:szCs w:val="24"/>
        </w:rPr>
        <w:t xml:space="preserve"> último quadro</w:t>
      </w:r>
      <w:r>
        <w:rPr>
          <w:rFonts w:ascii="Times New Roman" w:hAnsi="Times New Roman"/>
          <w:sz w:val="24"/>
          <w:szCs w:val="24"/>
        </w:rPr>
        <w:t xml:space="preserve"> </w:t>
      </w:r>
      <w:r w:rsidR="00984867">
        <w:rPr>
          <w:rFonts w:ascii="Times New Roman" w:hAnsi="Times New Roman"/>
          <w:sz w:val="24"/>
          <w:szCs w:val="24"/>
        </w:rPr>
        <w:t>mostra</w:t>
      </w:r>
      <w:r>
        <w:rPr>
          <w:rFonts w:ascii="Times New Roman" w:hAnsi="Times New Roman"/>
          <w:sz w:val="24"/>
          <w:szCs w:val="24"/>
        </w:rPr>
        <w:t xml:space="preserve"> </w:t>
      </w:r>
      <w:r w:rsidR="00984867">
        <w:rPr>
          <w:rFonts w:ascii="Times New Roman" w:hAnsi="Times New Roman"/>
          <w:sz w:val="24"/>
          <w:szCs w:val="24"/>
        </w:rPr>
        <w:t xml:space="preserve">quanto cada grupo acrescenta de informalidade para a economia. Ou seja, </w:t>
      </w:r>
      <w:r w:rsidR="00ED5CCF">
        <w:rPr>
          <w:rFonts w:ascii="Times New Roman" w:hAnsi="Times New Roman"/>
          <w:sz w:val="24"/>
          <w:szCs w:val="24"/>
        </w:rPr>
        <w:t>o último quadro mostra o número que resulta da multiplicação da informalidade de cada grupo (quadro 1) ponderada pelo seu peso relativo entre os empregados (Quadro 2).</w:t>
      </w:r>
      <w:r w:rsidR="00A55AB5">
        <w:rPr>
          <w:rFonts w:ascii="Times New Roman" w:hAnsi="Times New Roman"/>
          <w:sz w:val="24"/>
          <w:szCs w:val="24"/>
        </w:rPr>
        <w:t xml:space="preserve"> Ou ainda, em termos da equação (3), o quadro 1 nos fornece a taxa </w:t>
      </w:r>
      <w:r w:rsidR="0024380E" w:rsidRPr="0024380E">
        <w:rPr>
          <w:rFonts w:ascii="Times New Roman" w:hAnsi="Times New Roman"/>
          <w:position w:val="-12"/>
          <w:sz w:val="24"/>
          <w:szCs w:val="24"/>
        </w:rPr>
        <w:object w:dxaOrig="240" w:dyaOrig="360">
          <v:shape id="_x0000_i1039" type="#_x0000_t75" style="width:12pt;height:18pt" o:ole="">
            <v:imagedata r:id="rId36" o:title=""/>
          </v:shape>
          <o:OLEObject Type="Embed" ProgID="Equation.3" ShapeID="_x0000_i1039" DrawAspect="Content" ObjectID="_1435498229" r:id="rId37"/>
        </w:object>
      </w:r>
      <w:r w:rsidR="00A55AB5" w:rsidRPr="00A55AB5">
        <w:rPr>
          <w:rFonts w:ascii="Times New Roman" w:hAnsi="Times New Roman"/>
          <w:sz w:val="24"/>
          <w:szCs w:val="24"/>
        </w:rPr>
        <w:t xml:space="preserve"> e o quadro 2 a participação </w:t>
      </w:r>
      <w:r w:rsidR="0024380E" w:rsidRPr="0024380E">
        <w:rPr>
          <w:rFonts w:ascii="Times New Roman" w:hAnsi="Times New Roman"/>
          <w:position w:val="-14"/>
          <w:sz w:val="24"/>
          <w:szCs w:val="24"/>
        </w:rPr>
        <w:object w:dxaOrig="360" w:dyaOrig="380">
          <v:shape id="_x0000_i1040" type="#_x0000_t75" style="width:18pt;height:18.75pt" o:ole="">
            <v:imagedata r:id="rId38" o:title=""/>
          </v:shape>
          <o:OLEObject Type="Embed" ProgID="Equation.3" ShapeID="_x0000_i1040" DrawAspect="Content" ObjectID="_1435498230" r:id="rId39"/>
        </w:object>
      </w:r>
      <w:r w:rsidR="00A55AB5" w:rsidRPr="00A55AB5">
        <w:rPr>
          <w:rFonts w:ascii="Times New Roman" w:hAnsi="Times New Roman"/>
          <w:sz w:val="24"/>
          <w:szCs w:val="24"/>
        </w:rPr>
        <w:t>.</w:t>
      </w:r>
    </w:p>
    <w:p w:rsidR="00ED5CCF" w:rsidRDefault="00ED5CCF" w:rsidP="001F03CD">
      <w:pPr>
        <w:spacing w:after="0" w:line="240" w:lineRule="auto"/>
        <w:ind w:firstLine="708"/>
        <w:jc w:val="both"/>
        <w:rPr>
          <w:rFonts w:ascii="Times New Roman" w:hAnsi="Times New Roman"/>
          <w:sz w:val="24"/>
          <w:szCs w:val="24"/>
        </w:rPr>
      </w:pPr>
      <w:r>
        <w:rPr>
          <w:rFonts w:ascii="Times New Roman" w:hAnsi="Times New Roman"/>
          <w:sz w:val="24"/>
          <w:szCs w:val="24"/>
        </w:rPr>
        <w:t xml:space="preserve">O primeiro quadro da Tabela </w:t>
      </w:r>
      <w:r w:rsidR="00677358">
        <w:rPr>
          <w:rFonts w:ascii="Times New Roman" w:hAnsi="Times New Roman"/>
          <w:sz w:val="24"/>
          <w:szCs w:val="24"/>
        </w:rPr>
        <w:t>3</w:t>
      </w:r>
      <w:r>
        <w:rPr>
          <w:rFonts w:ascii="Times New Roman" w:hAnsi="Times New Roman"/>
          <w:sz w:val="24"/>
          <w:szCs w:val="24"/>
        </w:rPr>
        <w:t xml:space="preserve"> mostra que existe uma relação monotônica e decrescente entre grau de escolaridade e informalidade. Esta relação ocorre para todos os grupos educacionais e para o país como um todo e suas regiões metropolitanas e não metropolitanas.</w:t>
      </w:r>
    </w:p>
    <w:p w:rsidR="00CE4A1D" w:rsidRDefault="00CE4A1D" w:rsidP="001F03CD">
      <w:pPr>
        <w:spacing w:after="0" w:line="240" w:lineRule="auto"/>
        <w:ind w:firstLine="708"/>
        <w:jc w:val="both"/>
        <w:rPr>
          <w:rFonts w:ascii="Times New Roman" w:hAnsi="Times New Roman"/>
          <w:sz w:val="24"/>
          <w:szCs w:val="24"/>
        </w:rPr>
      </w:pPr>
    </w:p>
    <w:tbl>
      <w:tblPr>
        <w:tblW w:w="7200" w:type="dxa"/>
        <w:jc w:val="center"/>
        <w:tblInd w:w="55" w:type="dxa"/>
        <w:tblCellMar>
          <w:left w:w="70" w:type="dxa"/>
          <w:right w:w="70" w:type="dxa"/>
        </w:tblCellMar>
        <w:tblLook w:val="04A0" w:firstRow="1" w:lastRow="0" w:firstColumn="1" w:lastColumn="0" w:noHBand="0" w:noVBand="1"/>
      </w:tblPr>
      <w:tblGrid>
        <w:gridCol w:w="756"/>
        <w:gridCol w:w="832"/>
        <w:gridCol w:w="1094"/>
        <w:gridCol w:w="1296"/>
        <w:gridCol w:w="832"/>
        <w:gridCol w:w="1094"/>
        <w:gridCol w:w="1296"/>
      </w:tblGrid>
      <w:tr w:rsidR="00050A8A" w:rsidRPr="00050A8A" w:rsidTr="001A6C50">
        <w:trPr>
          <w:trHeight w:val="270"/>
          <w:jc w:val="center"/>
        </w:trPr>
        <w:tc>
          <w:tcPr>
            <w:tcW w:w="7200" w:type="dxa"/>
            <w:gridSpan w:val="7"/>
            <w:tcBorders>
              <w:top w:val="single" w:sz="8" w:space="0" w:color="auto"/>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Tabela 3: Taxa de Informalidade por grupo educacional</w:t>
            </w:r>
          </w:p>
        </w:tc>
      </w:tr>
      <w:tr w:rsidR="00050A8A" w:rsidRPr="00050A8A" w:rsidTr="001A6C50">
        <w:trPr>
          <w:trHeight w:val="270"/>
          <w:jc w:val="center"/>
        </w:trPr>
        <w:tc>
          <w:tcPr>
            <w:tcW w:w="75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 </w:t>
            </w:r>
          </w:p>
        </w:tc>
        <w:tc>
          <w:tcPr>
            <w:tcW w:w="832"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2002</w:t>
            </w:r>
          </w:p>
        </w:tc>
        <w:tc>
          <w:tcPr>
            <w:tcW w:w="1094"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2002RM</w:t>
            </w:r>
          </w:p>
        </w:tc>
        <w:tc>
          <w:tcPr>
            <w:tcW w:w="129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2002NRM</w:t>
            </w:r>
          </w:p>
        </w:tc>
        <w:tc>
          <w:tcPr>
            <w:tcW w:w="832"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2011</w:t>
            </w:r>
          </w:p>
        </w:tc>
        <w:tc>
          <w:tcPr>
            <w:tcW w:w="1094"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2011RM</w:t>
            </w:r>
          </w:p>
        </w:tc>
        <w:tc>
          <w:tcPr>
            <w:tcW w:w="129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2011NRM</w:t>
            </w:r>
          </w:p>
        </w:tc>
      </w:tr>
      <w:tr w:rsidR="00050A8A" w:rsidRPr="00050A8A" w:rsidTr="001A6C50">
        <w:trPr>
          <w:trHeight w:val="255"/>
          <w:jc w:val="center"/>
        </w:trPr>
        <w:tc>
          <w:tcPr>
            <w:tcW w:w="756" w:type="dxa"/>
            <w:tcBorders>
              <w:top w:val="nil"/>
              <w:left w:val="nil"/>
              <w:bottom w:val="nil"/>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0-3</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62,8%</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49,6%</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66,4%</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54,3%</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39,4%</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58,7%</w:t>
            </w:r>
          </w:p>
        </w:tc>
      </w:tr>
      <w:tr w:rsidR="00050A8A" w:rsidRPr="00050A8A" w:rsidTr="001A6C50">
        <w:trPr>
          <w:trHeight w:val="255"/>
          <w:jc w:val="center"/>
        </w:trPr>
        <w:tc>
          <w:tcPr>
            <w:tcW w:w="756" w:type="dxa"/>
            <w:tcBorders>
              <w:top w:val="nil"/>
              <w:left w:val="nil"/>
              <w:bottom w:val="nil"/>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4-7</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50,4%</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44,5%</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53,1%</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44,5%</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37,8%</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47,2%</w:t>
            </w:r>
          </w:p>
        </w:tc>
      </w:tr>
      <w:tr w:rsidR="00050A8A" w:rsidRPr="00050A8A" w:rsidTr="001A6C50">
        <w:trPr>
          <w:trHeight w:val="255"/>
          <w:jc w:val="center"/>
        </w:trPr>
        <w:tc>
          <w:tcPr>
            <w:tcW w:w="756" w:type="dxa"/>
            <w:tcBorders>
              <w:top w:val="nil"/>
              <w:left w:val="nil"/>
              <w:bottom w:val="nil"/>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8-10</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42,1%</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38,2%</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44,6%</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36,0%</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30,0%</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39,1%</w:t>
            </w:r>
          </w:p>
        </w:tc>
      </w:tr>
      <w:tr w:rsidR="00050A8A" w:rsidRPr="00050A8A" w:rsidTr="001A6C50">
        <w:trPr>
          <w:trHeight w:val="255"/>
          <w:jc w:val="center"/>
        </w:trPr>
        <w:tc>
          <w:tcPr>
            <w:tcW w:w="756" w:type="dxa"/>
            <w:tcBorders>
              <w:top w:val="nil"/>
              <w:left w:val="nil"/>
              <w:bottom w:val="nil"/>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11-14</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28,7%</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25,9%</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30,7%</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22,2%</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18,0%</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25,0%</w:t>
            </w:r>
          </w:p>
        </w:tc>
      </w:tr>
      <w:tr w:rsidR="00050A8A" w:rsidRPr="00050A8A" w:rsidTr="001A6C50">
        <w:trPr>
          <w:trHeight w:val="270"/>
          <w:jc w:val="center"/>
        </w:trPr>
        <w:tc>
          <w:tcPr>
            <w:tcW w:w="756" w:type="dxa"/>
            <w:tcBorders>
              <w:top w:val="nil"/>
              <w:left w:val="nil"/>
              <w:bottom w:val="single" w:sz="8" w:space="0" w:color="auto"/>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&gt;15</w:t>
            </w:r>
          </w:p>
        </w:tc>
        <w:tc>
          <w:tcPr>
            <w:tcW w:w="832"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26,1%</w:t>
            </w:r>
          </w:p>
        </w:tc>
        <w:tc>
          <w:tcPr>
            <w:tcW w:w="1094"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23,4%</w:t>
            </w:r>
          </w:p>
        </w:tc>
        <w:tc>
          <w:tcPr>
            <w:tcW w:w="129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28,9%</w:t>
            </w:r>
          </w:p>
        </w:tc>
        <w:tc>
          <w:tcPr>
            <w:tcW w:w="832"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20,8%</w:t>
            </w:r>
          </w:p>
        </w:tc>
        <w:tc>
          <w:tcPr>
            <w:tcW w:w="1094"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16,5%</w:t>
            </w:r>
          </w:p>
        </w:tc>
        <w:tc>
          <w:tcPr>
            <w:tcW w:w="129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24,8%</w:t>
            </w:r>
          </w:p>
        </w:tc>
      </w:tr>
      <w:tr w:rsidR="00050A8A" w:rsidRPr="00050A8A" w:rsidTr="001A6C50">
        <w:trPr>
          <w:trHeight w:val="270"/>
          <w:jc w:val="center"/>
        </w:trPr>
        <w:tc>
          <w:tcPr>
            <w:tcW w:w="7200" w:type="dxa"/>
            <w:gridSpan w:val="7"/>
            <w:tcBorders>
              <w:top w:val="single" w:sz="8" w:space="0" w:color="auto"/>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Participação do Grupo Educacional</w:t>
            </w:r>
          </w:p>
        </w:tc>
      </w:tr>
      <w:tr w:rsidR="00050A8A" w:rsidRPr="00050A8A" w:rsidTr="001A6C50">
        <w:trPr>
          <w:trHeight w:val="270"/>
          <w:jc w:val="center"/>
        </w:trPr>
        <w:tc>
          <w:tcPr>
            <w:tcW w:w="75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 </w:t>
            </w:r>
          </w:p>
        </w:tc>
        <w:tc>
          <w:tcPr>
            <w:tcW w:w="832"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2002</w:t>
            </w:r>
          </w:p>
        </w:tc>
        <w:tc>
          <w:tcPr>
            <w:tcW w:w="1094"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2002RM</w:t>
            </w:r>
          </w:p>
        </w:tc>
        <w:tc>
          <w:tcPr>
            <w:tcW w:w="129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2002NRM</w:t>
            </w:r>
          </w:p>
        </w:tc>
        <w:tc>
          <w:tcPr>
            <w:tcW w:w="832"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2011</w:t>
            </w:r>
          </w:p>
        </w:tc>
        <w:tc>
          <w:tcPr>
            <w:tcW w:w="1094"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2011RM</w:t>
            </w:r>
          </w:p>
        </w:tc>
        <w:tc>
          <w:tcPr>
            <w:tcW w:w="129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2011NRM</w:t>
            </w:r>
          </w:p>
        </w:tc>
      </w:tr>
      <w:tr w:rsidR="00050A8A" w:rsidRPr="00050A8A" w:rsidTr="001A6C50">
        <w:trPr>
          <w:trHeight w:val="255"/>
          <w:jc w:val="center"/>
        </w:trPr>
        <w:tc>
          <w:tcPr>
            <w:tcW w:w="756" w:type="dxa"/>
            <w:tcBorders>
              <w:top w:val="nil"/>
              <w:left w:val="nil"/>
              <w:bottom w:val="nil"/>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0-3</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19,0%</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11,5%</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23,1%</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12,3%</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7,9%</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14,7%</w:t>
            </w:r>
          </w:p>
        </w:tc>
      </w:tr>
      <w:tr w:rsidR="00050A8A" w:rsidRPr="00050A8A" w:rsidTr="001A6C50">
        <w:trPr>
          <w:trHeight w:val="255"/>
          <w:jc w:val="center"/>
        </w:trPr>
        <w:tc>
          <w:tcPr>
            <w:tcW w:w="756" w:type="dxa"/>
            <w:tcBorders>
              <w:top w:val="nil"/>
              <w:left w:val="nil"/>
              <w:bottom w:val="nil"/>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4-7</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28,7%</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25,3%</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30,6%</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18,5%</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15,0%</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20,5%</w:t>
            </w:r>
          </w:p>
        </w:tc>
      </w:tr>
      <w:tr w:rsidR="00050A8A" w:rsidRPr="00050A8A" w:rsidTr="001A6C50">
        <w:trPr>
          <w:trHeight w:val="255"/>
          <w:jc w:val="center"/>
        </w:trPr>
        <w:tc>
          <w:tcPr>
            <w:tcW w:w="756" w:type="dxa"/>
            <w:tcBorders>
              <w:top w:val="nil"/>
              <w:left w:val="nil"/>
              <w:bottom w:val="nil"/>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8-10</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18,3%</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20,2%</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17,2%</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18,9%</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18,1%</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19,3%</w:t>
            </w:r>
          </w:p>
        </w:tc>
      </w:tr>
      <w:tr w:rsidR="00050A8A" w:rsidRPr="00050A8A" w:rsidTr="001A6C50">
        <w:trPr>
          <w:trHeight w:val="255"/>
          <w:jc w:val="center"/>
        </w:trPr>
        <w:tc>
          <w:tcPr>
            <w:tcW w:w="756" w:type="dxa"/>
            <w:tcBorders>
              <w:top w:val="nil"/>
              <w:left w:val="nil"/>
              <w:bottom w:val="nil"/>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11-14</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26,8%</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32,6%</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23,7%</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40,1%</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45,3%</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37,2%</w:t>
            </w:r>
          </w:p>
        </w:tc>
      </w:tr>
      <w:tr w:rsidR="00050A8A" w:rsidRPr="00050A8A" w:rsidTr="001A6C50">
        <w:trPr>
          <w:trHeight w:val="270"/>
          <w:jc w:val="center"/>
        </w:trPr>
        <w:tc>
          <w:tcPr>
            <w:tcW w:w="756" w:type="dxa"/>
            <w:tcBorders>
              <w:top w:val="nil"/>
              <w:left w:val="nil"/>
              <w:bottom w:val="single" w:sz="8" w:space="0" w:color="auto"/>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&gt;15</w:t>
            </w:r>
          </w:p>
        </w:tc>
        <w:tc>
          <w:tcPr>
            <w:tcW w:w="832"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7,2%</w:t>
            </w:r>
          </w:p>
        </w:tc>
        <w:tc>
          <w:tcPr>
            <w:tcW w:w="1094"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10,5%</w:t>
            </w:r>
          </w:p>
        </w:tc>
        <w:tc>
          <w:tcPr>
            <w:tcW w:w="129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5,4%</w:t>
            </w:r>
          </w:p>
        </w:tc>
        <w:tc>
          <w:tcPr>
            <w:tcW w:w="832"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10,2%</w:t>
            </w:r>
          </w:p>
        </w:tc>
        <w:tc>
          <w:tcPr>
            <w:tcW w:w="1094"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13,7%</w:t>
            </w:r>
          </w:p>
        </w:tc>
        <w:tc>
          <w:tcPr>
            <w:tcW w:w="129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8,3%</w:t>
            </w:r>
          </w:p>
        </w:tc>
      </w:tr>
      <w:tr w:rsidR="00050A8A" w:rsidRPr="00050A8A" w:rsidTr="001A6C50">
        <w:trPr>
          <w:trHeight w:val="270"/>
          <w:jc w:val="center"/>
        </w:trPr>
        <w:tc>
          <w:tcPr>
            <w:tcW w:w="7200" w:type="dxa"/>
            <w:gridSpan w:val="7"/>
            <w:tcBorders>
              <w:top w:val="single" w:sz="8" w:space="0" w:color="auto"/>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Contribuição da Variação da Taxa de Informalidade por Grupo Educacional</w:t>
            </w:r>
          </w:p>
        </w:tc>
      </w:tr>
      <w:tr w:rsidR="00050A8A" w:rsidRPr="00050A8A" w:rsidTr="001A6C50">
        <w:trPr>
          <w:trHeight w:val="270"/>
          <w:jc w:val="center"/>
        </w:trPr>
        <w:tc>
          <w:tcPr>
            <w:tcW w:w="75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 </w:t>
            </w:r>
          </w:p>
        </w:tc>
        <w:tc>
          <w:tcPr>
            <w:tcW w:w="832"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2002</w:t>
            </w:r>
          </w:p>
        </w:tc>
        <w:tc>
          <w:tcPr>
            <w:tcW w:w="1094"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2002RM</w:t>
            </w:r>
          </w:p>
        </w:tc>
        <w:tc>
          <w:tcPr>
            <w:tcW w:w="129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2002NRM</w:t>
            </w:r>
          </w:p>
        </w:tc>
        <w:tc>
          <w:tcPr>
            <w:tcW w:w="832"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2011</w:t>
            </w:r>
          </w:p>
        </w:tc>
        <w:tc>
          <w:tcPr>
            <w:tcW w:w="1094"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2011RM</w:t>
            </w:r>
          </w:p>
        </w:tc>
        <w:tc>
          <w:tcPr>
            <w:tcW w:w="129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2011NRM</w:t>
            </w:r>
          </w:p>
        </w:tc>
      </w:tr>
      <w:tr w:rsidR="00050A8A" w:rsidRPr="00050A8A" w:rsidTr="001A6C50">
        <w:trPr>
          <w:trHeight w:val="255"/>
          <w:jc w:val="center"/>
        </w:trPr>
        <w:tc>
          <w:tcPr>
            <w:tcW w:w="756" w:type="dxa"/>
            <w:tcBorders>
              <w:top w:val="nil"/>
              <w:left w:val="nil"/>
              <w:bottom w:val="nil"/>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0-3</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11,9%</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5,7%</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15,3%</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6,7%</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3,1%</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8,6%</w:t>
            </w:r>
          </w:p>
        </w:tc>
      </w:tr>
      <w:tr w:rsidR="00050A8A" w:rsidRPr="00050A8A" w:rsidTr="001A6C50">
        <w:trPr>
          <w:trHeight w:val="255"/>
          <w:jc w:val="center"/>
        </w:trPr>
        <w:tc>
          <w:tcPr>
            <w:tcW w:w="756" w:type="dxa"/>
            <w:tcBorders>
              <w:top w:val="nil"/>
              <w:left w:val="nil"/>
              <w:bottom w:val="nil"/>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4-7</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14,5%</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11,3%</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16,3%</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8,3%</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5,7%</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9,7%</w:t>
            </w:r>
          </w:p>
        </w:tc>
      </w:tr>
      <w:tr w:rsidR="00050A8A" w:rsidRPr="00050A8A" w:rsidTr="001A6C50">
        <w:trPr>
          <w:trHeight w:val="255"/>
          <w:jc w:val="center"/>
        </w:trPr>
        <w:tc>
          <w:tcPr>
            <w:tcW w:w="756" w:type="dxa"/>
            <w:tcBorders>
              <w:top w:val="nil"/>
              <w:left w:val="nil"/>
              <w:bottom w:val="nil"/>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8-10</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7,7%</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7,7%</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7,7%</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6,8%</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5,4%</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7,6%</w:t>
            </w:r>
          </w:p>
        </w:tc>
      </w:tr>
      <w:tr w:rsidR="00050A8A" w:rsidRPr="00050A8A" w:rsidTr="001A6C50">
        <w:trPr>
          <w:trHeight w:val="255"/>
          <w:jc w:val="center"/>
        </w:trPr>
        <w:tc>
          <w:tcPr>
            <w:tcW w:w="756" w:type="dxa"/>
            <w:tcBorders>
              <w:top w:val="nil"/>
              <w:left w:val="nil"/>
              <w:bottom w:val="nil"/>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11-14</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7,7%</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8,4%</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7,3%</w:t>
            </w:r>
          </w:p>
        </w:tc>
        <w:tc>
          <w:tcPr>
            <w:tcW w:w="832"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8,9%</w:t>
            </w:r>
          </w:p>
        </w:tc>
        <w:tc>
          <w:tcPr>
            <w:tcW w:w="1094"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8,2%</w:t>
            </w:r>
          </w:p>
        </w:tc>
        <w:tc>
          <w:tcPr>
            <w:tcW w:w="1296" w:type="dxa"/>
            <w:tcBorders>
              <w:top w:val="nil"/>
              <w:left w:val="nil"/>
              <w:bottom w:val="nil"/>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9,3%</w:t>
            </w:r>
          </w:p>
        </w:tc>
      </w:tr>
      <w:tr w:rsidR="00050A8A" w:rsidRPr="00050A8A" w:rsidTr="001A6C50">
        <w:trPr>
          <w:trHeight w:val="270"/>
          <w:jc w:val="center"/>
        </w:trPr>
        <w:tc>
          <w:tcPr>
            <w:tcW w:w="756" w:type="dxa"/>
            <w:tcBorders>
              <w:top w:val="nil"/>
              <w:left w:val="nil"/>
              <w:bottom w:val="single" w:sz="8" w:space="0" w:color="auto"/>
              <w:right w:val="nil"/>
            </w:tcBorders>
            <w:shd w:val="clear" w:color="000000" w:fill="FFFFFF"/>
            <w:noWrap/>
            <w:vAlign w:val="center"/>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&gt;15</w:t>
            </w:r>
          </w:p>
        </w:tc>
        <w:tc>
          <w:tcPr>
            <w:tcW w:w="832"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1,9%</w:t>
            </w:r>
          </w:p>
        </w:tc>
        <w:tc>
          <w:tcPr>
            <w:tcW w:w="1094"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2,4%</w:t>
            </w:r>
          </w:p>
        </w:tc>
        <w:tc>
          <w:tcPr>
            <w:tcW w:w="129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1,6%</w:t>
            </w:r>
          </w:p>
        </w:tc>
        <w:tc>
          <w:tcPr>
            <w:tcW w:w="832"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2,1%</w:t>
            </w:r>
          </w:p>
        </w:tc>
        <w:tc>
          <w:tcPr>
            <w:tcW w:w="1094"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2,3%</w:t>
            </w:r>
          </w:p>
        </w:tc>
        <w:tc>
          <w:tcPr>
            <w:tcW w:w="129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2,1%</w:t>
            </w:r>
          </w:p>
        </w:tc>
      </w:tr>
      <w:tr w:rsidR="00050A8A" w:rsidRPr="00050A8A" w:rsidTr="001A6C50">
        <w:trPr>
          <w:trHeight w:val="270"/>
          <w:jc w:val="center"/>
        </w:trPr>
        <w:tc>
          <w:tcPr>
            <w:tcW w:w="75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Total</w:t>
            </w:r>
          </w:p>
        </w:tc>
        <w:tc>
          <w:tcPr>
            <w:tcW w:w="832"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43,6%</w:t>
            </w:r>
          </w:p>
        </w:tc>
        <w:tc>
          <w:tcPr>
            <w:tcW w:w="1094"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35,6%</w:t>
            </w:r>
          </w:p>
        </w:tc>
        <w:tc>
          <w:tcPr>
            <w:tcW w:w="129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48,1%</w:t>
            </w:r>
          </w:p>
        </w:tc>
        <w:tc>
          <w:tcPr>
            <w:tcW w:w="832"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32,7%</w:t>
            </w:r>
          </w:p>
        </w:tc>
        <w:tc>
          <w:tcPr>
            <w:tcW w:w="1094"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24,6%</w:t>
            </w:r>
          </w:p>
        </w:tc>
        <w:tc>
          <w:tcPr>
            <w:tcW w:w="1296" w:type="dxa"/>
            <w:tcBorders>
              <w:top w:val="nil"/>
              <w:left w:val="nil"/>
              <w:bottom w:val="single" w:sz="8" w:space="0" w:color="auto"/>
              <w:right w:val="nil"/>
            </w:tcBorders>
            <w:shd w:val="clear" w:color="000000" w:fill="FFFFFF"/>
            <w:noWrap/>
            <w:vAlign w:val="bottom"/>
            <w:hideMark/>
          </w:tcPr>
          <w:p w:rsidR="00050A8A" w:rsidRPr="00050A8A" w:rsidRDefault="00050A8A" w:rsidP="001F03CD">
            <w:pPr>
              <w:spacing w:after="0" w:line="240" w:lineRule="auto"/>
              <w:jc w:val="center"/>
              <w:rPr>
                <w:rFonts w:ascii="Arial" w:eastAsia="Times New Roman" w:hAnsi="Arial" w:cs="Arial"/>
                <w:sz w:val="20"/>
                <w:szCs w:val="20"/>
                <w:lang w:eastAsia="pt-BR"/>
              </w:rPr>
            </w:pPr>
            <w:r w:rsidRPr="00050A8A">
              <w:rPr>
                <w:rFonts w:ascii="Arial" w:eastAsia="Times New Roman" w:hAnsi="Arial" w:cs="Arial"/>
                <w:sz w:val="20"/>
                <w:szCs w:val="20"/>
                <w:lang w:eastAsia="pt-BR"/>
              </w:rPr>
              <w:t>37,2%</w:t>
            </w:r>
          </w:p>
        </w:tc>
      </w:tr>
      <w:tr w:rsidR="00050A8A" w:rsidRPr="00050A8A" w:rsidTr="001A6C50">
        <w:trPr>
          <w:trHeight w:val="255"/>
          <w:jc w:val="center"/>
        </w:trPr>
        <w:tc>
          <w:tcPr>
            <w:tcW w:w="7200" w:type="dxa"/>
            <w:gridSpan w:val="7"/>
            <w:tcBorders>
              <w:top w:val="single" w:sz="8" w:space="0" w:color="auto"/>
              <w:left w:val="nil"/>
              <w:bottom w:val="nil"/>
              <w:right w:val="nil"/>
            </w:tcBorders>
            <w:shd w:val="clear" w:color="000000" w:fill="FFFFFF"/>
            <w:noWrap/>
            <w:vAlign w:val="bottom"/>
            <w:hideMark/>
          </w:tcPr>
          <w:p w:rsidR="00050A8A" w:rsidRPr="00050A8A" w:rsidRDefault="00050A8A" w:rsidP="001F03CD">
            <w:pPr>
              <w:spacing w:after="0" w:line="240" w:lineRule="auto"/>
              <w:rPr>
                <w:rFonts w:ascii="Arial" w:eastAsia="Times New Roman" w:hAnsi="Arial" w:cs="Arial"/>
                <w:sz w:val="20"/>
                <w:szCs w:val="20"/>
                <w:lang w:eastAsia="pt-BR"/>
              </w:rPr>
            </w:pPr>
            <w:r w:rsidRPr="00050A8A">
              <w:rPr>
                <w:rFonts w:ascii="Arial" w:eastAsia="Times New Roman" w:hAnsi="Arial" w:cs="Arial"/>
                <w:sz w:val="20"/>
                <w:szCs w:val="20"/>
                <w:lang w:eastAsia="pt-BR"/>
              </w:rPr>
              <w:t>Fonte: Elaboração própria com dados da PNAD</w:t>
            </w:r>
          </w:p>
        </w:tc>
      </w:tr>
    </w:tbl>
    <w:p w:rsidR="00BA4699" w:rsidRDefault="005A66B1" w:rsidP="001F03CD">
      <w:pPr>
        <w:spacing w:line="240" w:lineRule="auto"/>
        <w:ind w:firstLine="708"/>
        <w:jc w:val="both"/>
        <w:rPr>
          <w:rFonts w:ascii="Times New Roman" w:hAnsi="Times New Roman"/>
          <w:sz w:val="24"/>
          <w:szCs w:val="24"/>
        </w:rPr>
      </w:pPr>
      <w:r>
        <w:rPr>
          <w:rFonts w:ascii="Times New Roman" w:hAnsi="Times New Roman"/>
          <w:sz w:val="24"/>
          <w:szCs w:val="24"/>
        </w:rPr>
        <w:t xml:space="preserve">Da mesma forma como ocorre com a análise dos dados agregados das regiões metropolitanas e não metropolitanas, a análise por grupo educacional mostra uma informalidade mais baixa para as regiões metropolitanas. Em suma, </w:t>
      </w:r>
      <w:r w:rsidR="00630CBF">
        <w:rPr>
          <w:rFonts w:ascii="Times New Roman" w:hAnsi="Times New Roman"/>
          <w:sz w:val="24"/>
          <w:szCs w:val="24"/>
        </w:rPr>
        <w:t>o diferencial</w:t>
      </w:r>
      <w:r w:rsidR="00CC356C">
        <w:rPr>
          <w:rFonts w:ascii="Times New Roman" w:hAnsi="Times New Roman"/>
          <w:sz w:val="24"/>
          <w:szCs w:val="24"/>
        </w:rPr>
        <w:t xml:space="preserve"> de informalidade para os mais escolarizados</w:t>
      </w:r>
      <w:r w:rsidR="00630CBF">
        <w:rPr>
          <w:rFonts w:ascii="Times New Roman" w:hAnsi="Times New Roman"/>
          <w:sz w:val="24"/>
          <w:szCs w:val="24"/>
        </w:rPr>
        <w:t xml:space="preserve"> entre NRMs e RMs</w:t>
      </w:r>
      <w:r w:rsidR="00CC356C">
        <w:rPr>
          <w:rFonts w:ascii="Times New Roman" w:hAnsi="Times New Roman"/>
          <w:sz w:val="24"/>
          <w:szCs w:val="24"/>
        </w:rPr>
        <w:t xml:space="preserve"> que era de 5,5</w:t>
      </w:r>
      <w:r w:rsidR="00113FF3">
        <w:rPr>
          <w:rFonts w:ascii="Times New Roman" w:hAnsi="Times New Roman"/>
          <w:sz w:val="24"/>
          <w:szCs w:val="24"/>
        </w:rPr>
        <w:t xml:space="preserve"> </w:t>
      </w:r>
      <w:r w:rsidR="00CC356C">
        <w:rPr>
          <w:rFonts w:ascii="Times New Roman" w:hAnsi="Times New Roman"/>
          <w:sz w:val="24"/>
          <w:szCs w:val="24"/>
        </w:rPr>
        <w:t>p.p. (28,9% - 23,4%) em 2002 passou para 8,</w:t>
      </w:r>
      <w:r w:rsidR="00D825A5">
        <w:rPr>
          <w:rFonts w:ascii="Times New Roman" w:hAnsi="Times New Roman"/>
          <w:sz w:val="24"/>
          <w:szCs w:val="24"/>
        </w:rPr>
        <w:t>3</w:t>
      </w:r>
      <w:r w:rsidR="00113FF3">
        <w:rPr>
          <w:rFonts w:ascii="Times New Roman" w:hAnsi="Times New Roman"/>
          <w:sz w:val="24"/>
          <w:szCs w:val="24"/>
        </w:rPr>
        <w:t xml:space="preserve"> </w:t>
      </w:r>
      <w:r w:rsidR="00CC356C">
        <w:rPr>
          <w:rFonts w:ascii="Times New Roman" w:hAnsi="Times New Roman"/>
          <w:sz w:val="24"/>
          <w:szCs w:val="24"/>
        </w:rPr>
        <w:t>p.p. (2</w:t>
      </w:r>
      <w:r w:rsidR="00D825A5">
        <w:rPr>
          <w:rFonts w:ascii="Times New Roman" w:hAnsi="Times New Roman"/>
          <w:sz w:val="24"/>
          <w:szCs w:val="24"/>
        </w:rPr>
        <w:t>4</w:t>
      </w:r>
      <w:r w:rsidR="00CC356C">
        <w:rPr>
          <w:rFonts w:ascii="Times New Roman" w:hAnsi="Times New Roman"/>
          <w:sz w:val="24"/>
          <w:szCs w:val="24"/>
        </w:rPr>
        <w:t>,</w:t>
      </w:r>
      <w:r w:rsidR="00D825A5">
        <w:rPr>
          <w:rFonts w:ascii="Times New Roman" w:hAnsi="Times New Roman"/>
          <w:sz w:val="24"/>
          <w:szCs w:val="24"/>
        </w:rPr>
        <w:t>8</w:t>
      </w:r>
      <w:r w:rsidR="00CC356C">
        <w:rPr>
          <w:rFonts w:ascii="Times New Roman" w:hAnsi="Times New Roman"/>
          <w:sz w:val="24"/>
          <w:szCs w:val="24"/>
        </w:rPr>
        <w:t>% - 1</w:t>
      </w:r>
      <w:r w:rsidR="00D825A5">
        <w:rPr>
          <w:rFonts w:ascii="Times New Roman" w:hAnsi="Times New Roman"/>
          <w:sz w:val="24"/>
          <w:szCs w:val="24"/>
        </w:rPr>
        <w:t>6</w:t>
      </w:r>
      <w:r w:rsidR="00CC356C">
        <w:rPr>
          <w:rFonts w:ascii="Times New Roman" w:hAnsi="Times New Roman"/>
          <w:sz w:val="24"/>
          <w:szCs w:val="24"/>
        </w:rPr>
        <w:t>,</w:t>
      </w:r>
      <w:r w:rsidR="00D825A5">
        <w:rPr>
          <w:rFonts w:ascii="Times New Roman" w:hAnsi="Times New Roman"/>
          <w:sz w:val="24"/>
          <w:szCs w:val="24"/>
        </w:rPr>
        <w:t>5</w:t>
      </w:r>
      <w:r w:rsidR="00CC356C">
        <w:rPr>
          <w:rFonts w:ascii="Times New Roman" w:hAnsi="Times New Roman"/>
          <w:sz w:val="24"/>
          <w:szCs w:val="24"/>
        </w:rPr>
        <w:t>%) em 20</w:t>
      </w:r>
      <w:r w:rsidR="00D825A5">
        <w:rPr>
          <w:rFonts w:ascii="Times New Roman" w:hAnsi="Times New Roman"/>
          <w:sz w:val="24"/>
          <w:szCs w:val="24"/>
        </w:rPr>
        <w:t>11</w:t>
      </w:r>
      <w:r w:rsidR="00CC356C">
        <w:rPr>
          <w:rFonts w:ascii="Times New Roman" w:hAnsi="Times New Roman"/>
          <w:sz w:val="24"/>
          <w:szCs w:val="24"/>
        </w:rPr>
        <w:t xml:space="preserve">, </w:t>
      </w:r>
      <w:r w:rsidR="00BA4699">
        <w:rPr>
          <w:rFonts w:ascii="Times New Roman" w:hAnsi="Times New Roman"/>
          <w:sz w:val="24"/>
          <w:szCs w:val="24"/>
        </w:rPr>
        <w:t>o que reflete uma queda mais acentuada para tal grupo nas RMs comparativamente às NRMs</w:t>
      </w:r>
      <w:r w:rsidR="00CC356C">
        <w:rPr>
          <w:rFonts w:ascii="Times New Roman" w:hAnsi="Times New Roman"/>
          <w:sz w:val="24"/>
          <w:szCs w:val="24"/>
        </w:rPr>
        <w:t xml:space="preserve">. </w:t>
      </w:r>
      <w:r>
        <w:rPr>
          <w:rFonts w:ascii="Times New Roman" w:hAnsi="Times New Roman"/>
          <w:sz w:val="24"/>
          <w:szCs w:val="24"/>
        </w:rPr>
        <w:t xml:space="preserve"> </w:t>
      </w:r>
      <w:r w:rsidR="00050A8A">
        <w:rPr>
          <w:rFonts w:ascii="Times New Roman" w:hAnsi="Times New Roman"/>
          <w:sz w:val="24"/>
          <w:szCs w:val="24"/>
        </w:rPr>
        <w:t>Para os demais grupos isso também ocorre, ou seja, o diferencial de informalidade, de 2002 para 2011, pass</w:t>
      </w:r>
      <w:r w:rsidR="00397D4C">
        <w:rPr>
          <w:rFonts w:ascii="Times New Roman" w:hAnsi="Times New Roman"/>
          <w:sz w:val="24"/>
          <w:szCs w:val="24"/>
        </w:rPr>
        <w:t>ou</w:t>
      </w:r>
      <w:r w:rsidR="00050A8A">
        <w:rPr>
          <w:rFonts w:ascii="Times New Roman" w:hAnsi="Times New Roman"/>
          <w:sz w:val="24"/>
          <w:szCs w:val="24"/>
        </w:rPr>
        <w:t>, respectivamente de 4,8</w:t>
      </w:r>
      <w:r w:rsidR="00397D4C">
        <w:rPr>
          <w:rFonts w:ascii="Times New Roman" w:hAnsi="Times New Roman"/>
          <w:sz w:val="24"/>
          <w:szCs w:val="24"/>
        </w:rPr>
        <w:t xml:space="preserve"> p.p.</w:t>
      </w:r>
      <w:r w:rsidR="00050A8A">
        <w:rPr>
          <w:rFonts w:ascii="Times New Roman" w:hAnsi="Times New Roman"/>
          <w:sz w:val="24"/>
          <w:szCs w:val="24"/>
        </w:rPr>
        <w:t xml:space="preserve"> para 6,8</w:t>
      </w:r>
      <w:r w:rsidR="00397D4C">
        <w:rPr>
          <w:rFonts w:ascii="Times New Roman" w:hAnsi="Times New Roman"/>
          <w:sz w:val="24"/>
          <w:szCs w:val="24"/>
        </w:rPr>
        <w:t xml:space="preserve"> p.p.</w:t>
      </w:r>
      <w:r w:rsidR="00050A8A">
        <w:rPr>
          <w:rFonts w:ascii="Times New Roman" w:hAnsi="Times New Roman"/>
          <w:sz w:val="24"/>
          <w:szCs w:val="24"/>
        </w:rPr>
        <w:t xml:space="preserve"> (</w:t>
      </w:r>
      <w:r>
        <w:rPr>
          <w:rFonts w:ascii="Times New Roman" w:hAnsi="Times New Roman"/>
          <w:sz w:val="24"/>
          <w:szCs w:val="24"/>
        </w:rPr>
        <w:t>11</w:t>
      </w:r>
      <w:r w:rsidR="00BA4699">
        <w:rPr>
          <w:rFonts w:ascii="Times New Roman" w:hAnsi="Times New Roman"/>
          <w:sz w:val="24"/>
          <w:szCs w:val="24"/>
        </w:rPr>
        <w:t xml:space="preserve"> </w:t>
      </w:r>
      <w:r w:rsidR="00050A8A">
        <w:rPr>
          <w:rFonts w:ascii="Times New Roman" w:hAnsi="Times New Roman"/>
          <w:sz w:val="24"/>
          <w:szCs w:val="24"/>
        </w:rPr>
        <w:t>a</w:t>
      </w:r>
      <w:r w:rsidR="00BA4699">
        <w:rPr>
          <w:rFonts w:ascii="Times New Roman" w:hAnsi="Times New Roman"/>
          <w:sz w:val="24"/>
          <w:szCs w:val="24"/>
        </w:rPr>
        <w:t xml:space="preserve"> </w:t>
      </w:r>
      <w:r>
        <w:rPr>
          <w:rFonts w:ascii="Times New Roman" w:hAnsi="Times New Roman"/>
          <w:sz w:val="24"/>
          <w:szCs w:val="24"/>
        </w:rPr>
        <w:t>14 anos</w:t>
      </w:r>
      <w:r w:rsidR="00BA4699">
        <w:rPr>
          <w:rFonts w:ascii="Times New Roman" w:hAnsi="Times New Roman"/>
          <w:sz w:val="24"/>
          <w:szCs w:val="24"/>
        </w:rPr>
        <w:t xml:space="preserve"> de estudo</w:t>
      </w:r>
      <w:r w:rsidR="00050A8A">
        <w:rPr>
          <w:rFonts w:ascii="Times New Roman" w:hAnsi="Times New Roman"/>
          <w:sz w:val="24"/>
          <w:szCs w:val="24"/>
        </w:rPr>
        <w:t>)</w:t>
      </w:r>
      <w:r w:rsidR="00BA4699">
        <w:rPr>
          <w:rFonts w:ascii="Times New Roman" w:hAnsi="Times New Roman"/>
          <w:sz w:val="24"/>
          <w:szCs w:val="24"/>
        </w:rPr>
        <w:t>,</w:t>
      </w:r>
      <w:r w:rsidR="00050A8A">
        <w:rPr>
          <w:rFonts w:ascii="Times New Roman" w:hAnsi="Times New Roman"/>
          <w:sz w:val="24"/>
          <w:szCs w:val="24"/>
        </w:rPr>
        <w:t xml:space="preserve"> de</w:t>
      </w:r>
      <w:r w:rsidR="00CC356C">
        <w:rPr>
          <w:rFonts w:ascii="Times New Roman" w:hAnsi="Times New Roman"/>
          <w:sz w:val="24"/>
          <w:szCs w:val="24"/>
        </w:rPr>
        <w:t xml:space="preserve"> </w:t>
      </w:r>
      <w:r w:rsidR="00050A8A">
        <w:rPr>
          <w:rFonts w:ascii="Times New Roman" w:hAnsi="Times New Roman"/>
          <w:sz w:val="24"/>
          <w:szCs w:val="24"/>
        </w:rPr>
        <w:t>6,4</w:t>
      </w:r>
      <w:r w:rsidR="00397D4C" w:rsidRPr="00397D4C">
        <w:rPr>
          <w:rFonts w:ascii="Times New Roman" w:hAnsi="Times New Roman"/>
          <w:sz w:val="24"/>
          <w:szCs w:val="24"/>
        </w:rPr>
        <w:t xml:space="preserve"> </w:t>
      </w:r>
      <w:r w:rsidR="00397D4C">
        <w:rPr>
          <w:rFonts w:ascii="Times New Roman" w:hAnsi="Times New Roman"/>
          <w:sz w:val="24"/>
          <w:szCs w:val="24"/>
        </w:rPr>
        <w:t>p.p.</w:t>
      </w:r>
      <w:r w:rsidR="00050A8A">
        <w:rPr>
          <w:rFonts w:ascii="Times New Roman" w:hAnsi="Times New Roman"/>
          <w:sz w:val="24"/>
          <w:szCs w:val="24"/>
        </w:rPr>
        <w:t xml:space="preserve"> para 9,1</w:t>
      </w:r>
      <w:r w:rsidR="00397D4C" w:rsidRPr="00397D4C">
        <w:rPr>
          <w:rFonts w:ascii="Times New Roman" w:hAnsi="Times New Roman"/>
          <w:sz w:val="24"/>
          <w:szCs w:val="24"/>
        </w:rPr>
        <w:t xml:space="preserve"> </w:t>
      </w:r>
      <w:r w:rsidR="00397D4C">
        <w:rPr>
          <w:rFonts w:ascii="Times New Roman" w:hAnsi="Times New Roman"/>
          <w:sz w:val="24"/>
          <w:szCs w:val="24"/>
        </w:rPr>
        <w:t>p.p.</w:t>
      </w:r>
      <w:r w:rsidR="00050A8A">
        <w:rPr>
          <w:rFonts w:ascii="Times New Roman" w:hAnsi="Times New Roman"/>
          <w:sz w:val="24"/>
          <w:szCs w:val="24"/>
        </w:rPr>
        <w:t xml:space="preserve"> (</w:t>
      </w:r>
      <w:r w:rsidR="00BA4699">
        <w:rPr>
          <w:rFonts w:ascii="Times New Roman" w:hAnsi="Times New Roman"/>
          <w:sz w:val="24"/>
          <w:szCs w:val="24"/>
        </w:rPr>
        <w:t xml:space="preserve">8 </w:t>
      </w:r>
      <w:r w:rsidR="00050A8A">
        <w:rPr>
          <w:rFonts w:ascii="Times New Roman" w:hAnsi="Times New Roman"/>
          <w:sz w:val="24"/>
          <w:szCs w:val="24"/>
        </w:rPr>
        <w:t>a</w:t>
      </w:r>
      <w:r w:rsidR="00BA4699">
        <w:rPr>
          <w:rFonts w:ascii="Times New Roman" w:hAnsi="Times New Roman"/>
          <w:sz w:val="24"/>
          <w:szCs w:val="24"/>
        </w:rPr>
        <w:t xml:space="preserve"> 10 anos</w:t>
      </w:r>
      <w:r w:rsidR="00050A8A">
        <w:rPr>
          <w:rFonts w:ascii="Times New Roman" w:hAnsi="Times New Roman"/>
          <w:sz w:val="24"/>
          <w:szCs w:val="24"/>
        </w:rPr>
        <w:t>)</w:t>
      </w:r>
      <w:r w:rsidR="00BA4699">
        <w:rPr>
          <w:rFonts w:ascii="Times New Roman" w:hAnsi="Times New Roman"/>
          <w:sz w:val="24"/>
          <w:szCs w:val="24"/>
        </w:rPr>
        <w:t xml:space="preserve">, </w:t>
      </w:r>
      <w:r w:rsidR="00050A8A">
        <w:rPr>
          <w:rFonts w:ascii="Times New Roman" w:hAnsi="Times New Roman"/>
          <w:sz w:val="24"/>
          <w:szCs w:val="24"/>
        </w:rPr>
        <w:t>de 8,6</w:t>
      </w:r>
      <w:r w:rsidR="00397D4C" w:rsidRPr="00397D4C">
        <w:rPr>
          <w:rFonts w:ascii="Times New Roman" w:hAnsi="Times New Roman"/>
          <w:sz w:val="24"/>
          <w:szCs w:val="24"/>
        </w:rPr>
        <w:t xml:space="preserve"> </w:t>
      </w:r>
      <w:r w:rsidR="00397D4C">
        <w:rPr>
          <w:rFonts w:ascii="Times New Roman" w:hAnsi="Times New Roman"/>
          <w:sz w:val="24"/>
          <w:szCs w:val="24"/>
        </w:rPr>
        <w:t>p.p.</w:t>
      </w:r>
      <w:r w:rsidR="00050A8A">
        <w:rPr>
          <w:rFonts w:ascii="Times New Roman" w:hAnsi="Times New Roman"/>
          <w:sz w:val="24"/>
          <w:szCs w:val="24"/>
        </w:rPr>
        <w:t xml:space="preserve"> para 9,5</w:t>
      </w:r>
      <w:r w:rsidR="00397D4C" w:rsidRPr="00397D4C">
        <w:rPr>
          <w:rFonts w:ascii="Times New Roman" w:hAnsi="Times New Roman"/>
          <w:sz w:val="24"/>
          <w:szCs w:val="24"/>
        </w:rPr>
        <w:t xml:space="preserve"> </w:t>
      </w:r>
      <w:r w:rsidR="00397D4C">
        <w:rPr>
          <w:rFonts w:ascii="Times New Roman" w:hAnsi="Times New Roman"/>
          <w:sz w:val="24"/>
          <w:szCs w:val="24"/>
        </w:rPr>
        <w:t>p.p.</w:t>
      </w:r>
      <w:r w:rsidR="00050A8A">
        <w:rPr>
          <w:rFonts w:ascii="Times New Roman" w:hAnsi="Times New Roman"/>
          <w:sz w:val="24"/>
          <w:szCs w:val="24"/>
        </w:rPr>
        <w:t xml:space="preserve"> (</w:t>
      </w:r>
      <w:r w:rsidR="00BA4699">
        <w:rPr>
          <w:rFonts w:ascii="Times New Roman" w:hAnsi="Times New Roman"/>
          <w:sz w:val="24"/>
          <w:szCs w:val="24"/>
        </w:rPr>
        <w:t xml:space="preserve">4 </w:t>
      </w:r>
      <w:r w:rsidR="00050A8A">
        <w:rPr>
          <w:rFonts w:ascii="Times New Roman" w:hAnsi="Times New Roman"/>
          <w:sz w:val="24"/>
          <w:szCs w:val="24"/>
        </w:rPr>
        <w:t>a</w:t>
      </w:r>
      <w:r w:rsidR="00BA4699">
        <w:rPr>
          <w:rFonts w:ascii="Times New Roman" w:hAnsi="Times New Roman"/>
          <w:sz w:val="24"/>
          <w:szCs w:val="24"/>
        </w:rPr>
        <w:t xml:space="preserve"> 7 anos</w:t>
      </w:r>
      <w:r w:rsidR="00050A8A">
        <w:rPr>
          <w:rFonts w:ascii="Times New Roman" w:hAnsi="Times New Roman"/>
          <w:sz w:val="24"/>
          <w:szCs w:val="24"/>
        </w:rPr>
        <w:t xml:space="preserve">) </w:t>
      </w:r>
      <w:r w:rsidR="00BA4699">
        <w:rPr>
          <w:rFonts w:ascii="Times New Roman" w:hAnsi="Times New Roman"/>
          <w:sz w:val="24"/>
          <w:szCs w:val="24"/>
        </w:rPr>
        <w:t>e</w:t>
      </w:r>
      <w:r w:rsidR="00050A8A">
        <w:rPr>
          <w:rFonts w:ascii="Times New Roman" w:hAnsi="Times New Roman"/>
          <w:sz w:val="24"/>
          <w:szCs w:val="24"/>
        </w:rPr>
        <w:t xml:space="preserve"> de</w:t>
      </w:r>
      <w:r w:rsidR="00BA4699">
        <w:rPr>
          <w:rFonts w:ascii="Times New Roman" w:hAnsi="Times New Roman"/>
          <w:sz w:val="24"/>
          <w:szCs w:val="24"/>
        </w:rPr>
        <w:t xml:space="preserve"> </w:t>
      </w:r>
      <w:r w:rsidR="00050A8A">
        <w:rPr>
          <w:rFonts w:ascii="Times New Roman" w:hAnsi="Times New Roman"/>
          <w:sz w:val="24"/>
          <w:szCs w:val="24"/>
        </w:rPr>
        <w:t>16,8</w:t>
      </w:r>
      <w:r w:rsidR="00397D4C" w:rsidRPr="00397D4C">
        <w:rPr>
          <w:rFonts w:ascii="Times New Roman" w:hAnsi="Times New Roman"/>
          <w:sz w:val="24"/>
          <w:szCs w:val="24"/>
        </w:rPr>
        <w:t xml:space="preserve"> </w:t>
      </w:r>
      <w:r w:rsidR="00397D4C">
        <w:rPr>
          <w:rFonts w:ascii="Times New Roman" w:hAnsi="Times New Roman"/>
          <w:sz w:val="24"/>
          <w:szCs w:val="24"/>
        </w:rPr>
        <w:t>p.p.</w:t>
      </w:r>
      <w:r w:rsidR="00050A8A">
        <w:rPr>
          <w:rFonts w:ascii="Times New Roman" w:hAnsi="Times New Roman"/>
          <w:sz w:val="24"/>
          <w:szCs w:val="24"/>
        </w:rPr>
        <w:t xml:space="preserve"> para 19,3</w:t>
      </w:r>
      <w:r w:rsidR="00397D4C" w:rsidRPr="00397D4C">
        <w:rPr>
          <w:rFonts w:ascii="Times New Roman" w:hAnsi="Times New Roman"/>
          <w:sz w:val="24"/>
          <w:szCs w:val="24"/>
        </w:rPr>
        <w:t xml:space="preserve"> </w:t>
      </w:r>
      <w:r w:rsidR="00397D4C">
        <w:rPr>
          <w:rFonts w:ascii="Times New Roman" w:hAnsi="Times New Roman"/>
          <w:sz w:val="24"/>
          <w:szCs w:val="24"/>
        </w:rPr>
        <w:t>p.p.</w:t>
      </w:r>
      <w:r w:rsidR="00050A8A">
        <w:rPr>
          <w:rFonts w:ascii="Times New Roman" w:hAnsi="Times New Roman"/>
          <w:sz w:val="24"/>
          <w:szCs w:val="24"/>
        </w:rPr>
        <w:t xml:space="preserve"> (menos de 3 anos)</w:t>
      </w:r>
      <w:r w:rsidR="00BA4699">
        <w:rPr>
          <w:rFonts w:ascii="Times New Roman" w:hAnsi="Times New Roman"/>
          <w:sz w:val="24"/>
          <w:szCs w:val="24"/>
        </w:rPr>
        <w:t>.</w:t>
      </w:r>
    </w:p>
    <w:p w:rsidR="00CE4025" w:rsidRDefault="00CE4025" w:rsidP="001F03CD">
      <w:pPr>
        <w:spacing w:line="240" w:lineRule="auto"/>
        <w:ind w:firstLine="708"/>
        <w:jc w:val="both"/>
        <w:rPr>
          <w:rFonts w:ascii="Times New Roman" w:hAnsi="Times New Roman"/>
          <w:sz w:val="24"/>
          <w:szCs w:val="24"/>
        </w:rPr>
      </w:pPr>
      <w:r>
        <w:rPr>
          <w:rFonts w:ascii="Times New Roman" w:hAnsi="Times New Roman"/>
          <w:sz w:val="24"/>
          <w:szCs w:val="24"/>
        </w:rPr>
        <w:lastRenderedPageBreak/>
        <w:t xml:space="preserve">A contribuição de cada grupo para a informalidade total é uma variável que depende não somente da informalidade de cada grupo, mas, também, do peso deste grupo entre os trabalhadores empregados. </w:t>
      </w:r>
    </w:p>
    <w:p w:rsidR="00CE4025" w:rsidRDefault="00CE4025" w:rsidP="001F03CD">
      <w:pPr>
        <w:spacing w:line="240" w:lineRule="auto"/>
        <w:ind w:firstLine="708"/>
        <w:jc w:val="both"/>
        <w:rPr>
          <w:rFonts w:ascii="Times New Roman" w:hAnsi="Times New Roman"/>
          <w:sz w:val="24"/>
          <w:szCs w:val="24"/>
        </w:rPr>
      </w:pPr>
      <w:r>
        <w:rPr>
          <w:rFonts w:ascii="Times New Roman" w:hAnsi="Times New Roman"/>
          <w:sz w:val="24"/>
          <w:szCs w:val="24"/>
        </w:rPr>
        <w:t>Observando o quadro 3 da Tabela 3, pode-se observar que o grupo que mais contribui</w:t>
      </w:r>
      <w:r w:rsidR="00113FF3">
        <w:rPr>
          <w:rFonts w:ascii="Times New Roman" w:hAnsi="Times New Roman"/>
          <w:sz w:val="24"/>
          <w:szCs w:val="24"/>
        </w:rPr>
        <w:t>a</w:t>
      </w:r>
      <w:r>
        <w:rPr>
          <w:rFonts w:ascii="Times New Roman" w:hAnsi="Times New Roman"/>
          <w:sz w:val="24"/>
          <w:szCs w:val="24"/>
        </w:rPr>
        <w:t xml:space="preserve"> para a informalidade</w:t>
      </w:r>
      <w:r w:rsidR="00113FF3">
        <w:rPr>
          <w:rFonts w:ascii="Times New Roman" w:hAnsi="Times New Roman"/>
          <w:sz w:val="24"/>
          <w:szCs w:val="24"/>
        </w:rPr>
        <w:t>, em 2002,</w:t>
      </w:r>
      <w:r>
        <w:rPr>
          <w:rFonts w:ascii="Times New Roman" w:hAnsi="Times New Roman"/>
          <w:sz w:val="24"/>
          <w:szCs w:val="24"/>
        </w:rPr>
        <w:t xml:space="preserve"> </w:t>
      </w:r>
      <w:r w:rsidR="00113FF3">
        <w:rPr>
          <w:rFonts w:ascii="Times New Roman" w:hAnsi="Times New Roman"/>
          <w:sz w:val="24"/>
          <w:szCs w:val="24"/>
        </w:rPr>
        <w:t>era</w:t>
      </w:r>
      <w:r>
        <w:rPr>
          <w:rFonts w:ascii="Times New Roman" w:hAnsi="Times New Roman"/>
          <w:sz w:val="24"/>
          <w:szCs w:val="24"/>
        </w:rPr>
        <w:t xml:space="preserve"> aquele com escolaridade entre 4 e 7 anos de estudo</w:t>
      </w:r>
      <w:r w:rsidR="00113FF3">
        <w:rPr>
          <w:rFonts w:ascii="Times New Roman" w:hAnsi="Times New Roman"/>
          <w:sz w:val="24"/>
          <w:szCs w:val="24"/>
        </w:rPr>
        <w:t xml:space="preserve"> (14,5%)</w:t>
      </w:r>
      <w:r>
        <w:rPr>
          <w:rFonts w:ascii="Times New Roman" w:hAnsi="Times New Roman"/>
          <w:sz w:val="24"/>
          <w:szCs w:val="24"/>
        </w:rPr>
        <w:t>. Isto ocorre porque este grupo possui</w:t>
      </w:r>
      <w:r w:rsidR="00113FF3">
        <w:rPr>
          <w:rFonts w:ascii="Times New Roman" w:hAnsi="Times New Roman"/>
          <w:sz w:val="24"/>
          <w:szCs w:val="24"/>
        </w:rPr>
        <w:t>a</w:t>
      </w:r>
      <w:r>
        <w:rPr>
          <w:rFonts w:ascii="Times New Roman" w:hAnsi="Times New Roman"/>
          <w:sz w:val="24"/>
          <w:szCs w:val="24"/>
        </w:rPr>
        <w:t xml:space="preserve"> uma informalidade alta (atrás somente dos indivíduos sem ao menos completar o fundamental de 1ª a 4ª série) e um peso relativo no total de trabalhadores</w:t>
      </w:r>
      <w:r w:rsidR="00113FF3">
        <w:rPr>
          <w:rFonts w:ascii="Times New Roman" w:hAnsi="Times New Roman"/>
          <w:sz w:val="24"/>
          <w:szCs w:val="24"/>
        </w:rPr>
        <w:t xml:space="preserve"> que era</w:t>
      </w:r>
      <w:r>
        <w:rPr>
          <w:rFonts w:ascii="Times New Roman" w:hAnsi="Times New Roman"/>
          <w:sz w:val="24"/>
          <w:szCs w:val="24"/>
        </w:rPr>
        <w:t xml:space="preserve"> ainda alto</w:t>
      </w:r>
      <w:r w:rsidR="00113FF3">
        <w:rPr>
          <w:rFonts w:ascii="Times New Roman" w:hAnsi="Times New Roman"/>
          <w:sz w:val="24"/>
          <w:szCs w:val="24"/>
        </w:rPr>
        <w:t xml:space="preserve"> (28,7%, quadro 2). No entanto, em 2011, esse peso caiu significativamente (18,5%, quadro 2). Com isso, em 2011, o grupo que passou a contribuir mais para o cômputo da informalidade total passou a ser os indivíduos de 11 a 14 anos de estudo. Esse grupo, apesar de apresentar uma baixa taxa de informalidade (</w:t>
      </w:r>
      <w:r w:rsidR="003144CF">
        <w:rPr>
          <w:rFonts w:ascii="Times New Roman" w:hAnsi="Times New Roman"/>
          <w:sz w:val="24"/>
          <w:szCs w:val="24"/>
        </w:rPr>
        <w:t>22,2%, quadro 1</w:t>
      </w:r>
      <w:r w:rsidR="00113FF3">
        <w:rPr>
          <w:rFonts w:ascii="Times New Roman" w:hAnsi="Times New Roman"/>
          <w:sz w:val="24"/>
          <w:szCs w:val="24"/>
        </w:rPr>
        <w:t>)</w:t>
      </w:r>
      <w:r w:rsidR="003144CF">
        <w:rPr>
          <w:rFonts w:ascii="Times New Roman" w:hAnsi="Times New Roman"/>
          <w:sz w:val="24"/>
          <w:szCs w:val="24"/>
        </w:rPr>
        <w:t xml:space="preserve">, o seu peso entre os ocupados cresceu no período: de 26,8% para 40,1% (quadro 2). Esse fenômeno ocorreu também nas RMs.  Essa mudança é fruto do processo de escolarização da população brasileira. </w:t>
      </w:r>
    </w:p>
    <w:p w:rsidR="00CE4025" w:rsidRDefault="00831ACF" w:rsidP="001F03CD">
      <w:pPr>
        <w:spacing w:line="240" w:lineRule="auto"/>
        <w:ind w:firstLine="708"/>
        <w:jc w:val="both"/>
        <w:rPr>
          <w:rFonts w:ascii="Times New Roman" w:hAnsi="Times New Roman"/>
          <w:sz w:val="24"/>
          <w:szCs w:val="24"/>
        </w:rPr>
      </w:pPr>
      <w:r>
        <w:rPr>
          <w:rFonts w:ascii="Times New Roman" w:hAnsi="Times New Roman"/>
          <w:sz w:val="24"/>
          <w:szCs w:val="24"/>
        </w:rPr>
        <w:t>Com base na Tabela 3, pode-se especular que n</w:t>
      </w:r>
      <w:r w:rsidR="00CE4025">
        <w:rPr>
          <w:rFonts w:ascii="Times New Roman" w:hAnsi="Times New Roman"/>
          <w:sz w:val="24"/>
          <w:szCs w:val="24"/>
        </w:rPr>
        <w:t>os próximos anos</w:t>
      </w:r>
      <w:r>
        <w:rPr>
          <w:rFonts w:ascii="Times New Roman" w:hAnsi="Times New Roman"/>
          <w:sz w:val="24"/>
          <w:szCs w:val="24"/>
        </w:rPr>
        <w:t>,</w:t>
      </w:r>
      <w:r w:rsidR="00CE4025">
        <w:rPr>
          <w:rFonts w:ascii="Times New Roman" w:hAnsi="Times New Roman"/>
          <w:sz w:val="24"/>
          <w:szCs w:val="24"/>
        </w:rPr>
        <w:t xml:space="preserve"> o grupo que mais contribuirá para a informalidade total da economia será o composto pelas pessoas com ensino médio (</w:t>
      </w:r>
      <w:r>
        <w:rPr>
          <w:rFonts w:ascii="Times New Roman" w:hAnsi="Times New Roman"/>
          <w:sz w:val="24"/>
          <w:szCs w:val="24"/>
        </w:rPr>
        <w:t>11</w:t>
      </w:r>
      <w:r w:rsidR="00CE4025">
        <w:rPr>
          <w:rFonts w:ascii="Times New Roman" w:hAnsi="Times New Roman"/>
          <w:sz w:val="24"/>
          <w:szCs w:val="24"/>
        </w:rPr>
        <w:t xml:space="preserve"> a 1</w:t>
      </w:r>
      <w:r>
        <w:rPr>
          <w:rFonts w:ascii="Times New Roman" w:hAnsi="Times New Roman"/>
          <w:sz w:val="24"/>
          <w:szCs w:val="24"/>
        </w:rPr>
        <w:t>4</w:t>
      </w:r>
      <w:r w:rsidR="00CE4025">
        <w:rPr>
          <w:rFonts w:ascii="Times New Roman" w:hAnsi="Times New Roman"/>
          <w:sz w:val="24"/>
          <w:szCs w:val="24"/>
        </w:rPr>
        <w:t xml:space="preserve"> anos de estudo) nas </w:t>
      </w:r>
      <w:r w:rsidR="00031F22">
        <w:rPr>
          <w:rFonts w:ascii="Times New Roman" w:hAnsi="Times New Roman"/>
          <w:sz w:val="24"/>
          <w:szCs w:val="24"/>
        </w:rPr>
        <w:t>RMs. Por sua vez, nas NRMs</w:t>
      </w:r>
      <w:r w:rsidR="00CE4025">
        <w:rPr>
          <w:rFonts w:ascii="Times New Roman" w:hAnsi="Times New Roman"/>
          <w:sz w:val="24"/>
          <w:szCs w:val="24"/>
        </w:rPr>
        <w:t xml:space="preserve"> </w:t>
      </w:r>
      <w:r w:rsidR="00031F22">
        <w:rPr>
          <w:rFonts w:ascii="Times New Roman" w:hAnsi="Times New Roman"/>
          <w:sz w:val="24"/>
          <w:szCs w:val="24"/>
        </w:rPr>
        <w:t>apesar da maior contribuição advir d</w:t>
      </w:r>
      <w:r>
        <w:rPr>
          <w:rFonts w:ascii="Times New Roman" w:hAnsi="Times New Roman"/>
          <w:sz w:val="24"/>
          <w:szCs w:val="24"/>
        </w:rPr>
        <w:t xml:space="preserve">as pessoas com escolaridade entre </w:t>
      </w:r>
      <w:r w:rsidR="00111C2D">
        <w:rPr>
          <w:rFonts w:ascii="Times New Roman" w:hAnsi="Times New Roman"/>
          <w:sz w:val="24"/>
          <w:szCs w:val="24"/>
        </w:rPr>
        <w:t>4</w:t>
      </w:r>
      <w:r>
        <w:rPr>
          <w:rFonts w:ascii="Times New Roman" w:hAnsi="Times New Roman"/>
          <w:sz w:val="24"/>
          <w:szCs w:val="24"/>
        </w:rPr>
        <w:t xml:space="preserve"> e </w:t>
      </w:r>
      <w:r w:rsidR="00111C2D">
        <w:rPr>
          <w:rFonts w:ascii="Times New Roman" w:hAnsi="Times New Roman"/>
          <w:sz w:val="24"/>
          <w:szCs w:val="24"/>
        </w:rPr>
        <w:t>7</w:t>
      </w:r>
      <w:r>
        <w:rPr>
          <w:rFonts w:ascii="Times New Roman" w:hAnsi="Times New Roman"/>
          <w:sz w:val="24"/>
          <w:szCs w:val="24"/>
        </w:rPr>
        <w:t xml:space="preserve"> anos </w:t>
      </w:r>
      <w:r w:rsidR="00E401FB">
        <w:rPr>
          <w:rFonts w:ascii="Times New Roman" w:hAnsi="Times New Roman"/>
          <w:sz w:val="24"/>
          <w:szCs w:val="24"/>
        </w:rPr>
        <w:t>(</w:t>
      </w:r>
      <w:r w:rsidR="003144CF">
        <w:rPr>
          <w:rFonts w:ascii="Times New Roman" w:hAnsi="Times New Roman"/>
          <w:sz w:val="24"/>
          <w:szCs w:val="24"/>
        </w:rPr>
        <w:t>9,7</w:t>
      </w:r>
      <w:r w:rsidR="00111C2D">
        <w:rPr>
          <w:rFonts w:ascii="Times New Roman" w:hAnsi="Times New Roman"/>
          <w:sz w:val="24"/>
          <w:szCs w:val="24"/>
        </w:rPr>
        <w:t>%</w:t>
      </w:r>
      <w:r w:rsidR="00E401FB">
        <w:rPr>
          <w:rFonts w:ascii="Times New Roman" w:hAnsi="Times New Roman"/>
          <w:sz w:val="24"/>
          <w:szCs w:val="24"/>
        </w:rPr>
        <w:t>)</w:t>
      </w:r>
      <w:r w:rsidR="00031F22">
        <w:rPr>
          <w:rFonts w:ascii="Times New Roman" w:hAnsi="Times New Roman"/>
          <w:sz w:val="24"/>
          <w:szCs w:val="24"/>
        </w:rPr>
        <w:t xml:space="preserve">, </w:t>
      </w:r>
      <w:r w:rsidR="00E401FB">
        <w:rPr>
          <w:rFonts w:ascii="Times New Roman" w:hAnsi="Times New Roman"/>
          <w:sz w:val="24"/>
          <w:szCs w:val="24"/>
        </w:rPr>
        <w:t>as que tem ensino médio completo est</w:t>
      </w:r>
      <w:r w:rsidR="00111C2D">
        <w:rPr>
          <w:rFonts w:ascii="Times New Roman" w:hAnsi="Times New Roman"/>
          <w:sz w:val="24"/>
          <w:szCs w:val="24"/>
        </w:rPr>
        <w:t xml:space="preserve">ão com </w:t>
      </w:r>
      <w:r w:rsidR="00E401FB">
        <w:rPr>
          <w:rFonts w:ascii="Times New Roman" w:hAnsi="Times New Roman"/>
          <w:sz w:val="24"/>
          <w:szCs w:val="24"/>
        </w:rPr>
        <w:t>a</w:t>
      </w:r>
      <w:r w:rsidR="00111C2D">
        <w:rPr>
          <w:rFonts w:ascii="Times New Roman" w:hAnsi="Times New Roman"/>
          <w:sz w:val="24"/>
          <w:szCs w:val="24"/>
        </w:rPr>
        <w:t xml:space="preserve"> maior</w:t>
      </w:r>
      <w:r w:rsidR="00E401FB">
        <w:rPr>
          <w:rFonts w:ascii="Times New Roman" w:hAnsi="Times New Roman"/>
          <w:sz w:val="24"/>
          <w:szCs w:val="24"/>
        </w:rPr>
        <w:t xml:space="preserve"> tendência de alta – de 7,3% para 9,</w:t>
      </w:r>
      <w:r w:rsidR="003144CF">
        <w:rPr>
          <w:rFonts w:ascii="Times New Roman" w:hAnsi="Times New Roman"/>
          <w:sz w:val="24"/>
          <w:szCs w:val="24"/>
        </w:rPr>
        <w:t>3</w:t>
      </w:r>
      <w:r w:rsidR="00E401FB">
        <w:rPr>
          <w:rFonts w:ascii="Times New Roman" w:hAnsi="Times New Roman"/>
          <w:sz w:val="24"/>
          <w:szCs w:val="24"/>
        </w:rPr>
        <w:t>%</w:t>
      </w:r>
      <w:r w:rsidR="00111C2D">
        <w:rPr>
          <w:rFonts w:ascii="Times New Roman" w:hAnsi="Times New Roman"/>
          <w:sz w:val="24"/>
          <w:szCs w:val="24"/>
        </w:rPr>
        <w:t xml:space="preserve"> -  devido ao crescimento acentuado da participação de tal grupo no total de ocupados</w:t>
      </w:r>
      <w:r>
        <w:rPr>
          <w:rFonts w:ascii="Times New Roman" w:hAnsi="Times New Roman"/>
          <w:sz w:val="24"/>
          <w:szCs w:val="24"/>
        </w:rPr>
        <w:t>.</w:t>
      </w:r>
    </w:p>
    <w:p w:rsidR="00831ACF" w:rsidRPr="00061788" w:rsidRDefault="00831ACF" w:rsidP="001F03CD">
      <w:pPr>
        <w:spacing w:line="240" w:lineRule="auto"/>
        <w:ind w:firstLine="708"/>
        <w:jc w:val="both"/>
        <w:rPr>
          <w:rFonts w:ascii="Times New Roman" w:hAnsi="Times New Roman"/>
          <w:sz w:val="24"/>
          <w:szCs w:val="24"/>
        </w:rPr>
      </w:pPr>
    </w:p>
    <w:p w:rsidR="00066F94" w:rsidRPr="000F6A25" w:rsidRDefault="009B24E1" w:rsidP="001F03CD">
      <w:pPr>
        <w:spacing w:line="240" w:lineRule="auto"/>
        <w:jc w:val="both"/>
        <w:rPr>
          <w:rFonts w:ascii="Times New Roman" w:hAnsi="Times New Roman"/>
          <w:b/>
          <w:sz w:val="24"/>
          <w:szCs w:val="24"/>
        </w:rPr>
      </w:pPr>
      <w:r w:rsidRPr="000F6A25">
        <w:rPr>
          <w:rFonts w:ascii="Times New Roman" w:hAnsi="Times New Roman"/>
          <w:b/>
          <w:sz w:val="24"/>
          <w:szCs w:val="24"/>
        </w:rPr>
        <w:t>4.3 – Taxas de Informalidade por Setor</w:t>
      </w:r>
    </w:p>
    <w:p w:rsidR="009B24E1" w:rsidRDefault="000A5AFB" w:rsidP="001F03CD">
      <w:pPr>
        <w:spacing w:line="240" w:lineRule="auto"/>
        <w:ind w:firstLine="708"/>
        <w:jc w:val="both"/>
        <w:rPr>
          <w:rFonts w:ascii="Times New Roman" w:hAnsi="Times New Roman"/>
          <w:sz w:val="24"/>
          <w:szCs w:val="24"/>
        </w:rPr>
      </w:pPr>
      <w:r>
        <w:rPr>
          <w:rFonts w:ascii="Times New Roman" w:hAnsi="Times New Roman"/>
          <w:sz w:val="24"/>
          <w:szCs w:val="24"/>
        </w:rPr>
        <w:t xml:space="preserve">Assim como a informalidade é diferente entre grupos educacionais, como mostrado acima, </w:t>
      </w:r>
      <w:r w:rsidR="00EE70C2">
        <w:rPr>
          <w:rFonts w:ascii="Times New Roman" w:hAnsi="Times New Roman"/>
          <w:sz w:val="24"/>
          <w:szCs w:val="24"/>
        </w:rPr>
        <w:t xml:space="preserve">ela </w:t>
      </w:r>
      <w:r>
        <w:rPr>
          <w:rFonts w:ascii="Times New Roman" w:hAnsi="Times New Roman"/>
          <w:sz w:val="24"/>
          <w:szCs w:val="24"/>
        </w:rPr>
        <w:t>também varia conforme o setor de atuação. Desta forma, a Tabela 4 mostra a Informalidade entre diversos setores da economia.</w:t>
      </w:r>
    </w:p>
    <w:p w:rsidR="003F72BB" w:rsidRDefault="003F72BB" w:rsidP="001F03CD">
      <w:pPr>
        <w:spacing w:line="240" w:lineRule="auto"/>
        <w:ind w:firstLine="708"/>
        <w:jc w:val="both"/>
        <w:rPr>
          <w:rFonts w:ascii="Times New Roman" w:hAnsi="Times New Roman"/>
          <w:sz w:val="24"/>
          <w:szCs w:val="24"/>
        </w:rPr>
      </w:pPr>
      <w:r>
        <w:rPr>
          <w:rFonts w:ascii="Times New Roman" w:hAnsi="Times New Roman"/>
          <w:sz w:val="24"/>
          <w:szCs w:val="24"/>
        </w:rPr>
        <w:t>A Tabela 4 mostra que o setor com informalidade mais elevada é o de Agropecuária, com informalidade superior a 6</w:t>
      </w:r>
      <w:r w:rsidR="00D35A6B">
        <w:rPr>
          <w:rFonts w:ascii="Times New Roman" w:hAnsi="Times New Roman"/>
          <w:sz w:val="24"/>
          <w:szCs w:val="24"/>
        </w:rPr>
        <w:t>0</w:t>
      </w:r>
      <w:r>
        <w:rPr>
          <w:rFonts w:ascii="Times New Roman" w:hAnsi="Times New Roman"/>
          <w:sz w:val="24"/>
          <w:szCs w:val="24"/>
        </w:rPr>
        <w:t>%. Esta elevada informalidade pode estar associada ao trabalho familiar de pequenas propriedades.</w:t>
      </w:r>
    </w:p>
    <w:p w:rsidR="003F72BB" w:rsidRDefault="00D35A6B" w:rsidP="001F03CD">
      <w:pPr>
        <w:spacing w:line="240" w:lineRule="auto"/>
        <w:ind w:firstLine="708"/>
        <w:jc w:val="both"/>
        <w:rPr>
          <w:rFonts w:ascii="Times New Roman" w:hAnsi="Times New Roman"/>
          <w:sz w:val="24"/>
          <w:szCs w:val="24"/>
        </w:rPr>
      </w:pPr>
      <w:r>
        <w:rPr>
          <w:rFonts w:ascii="Times New Roman" w:hAnsi="Times New Roman"/>
          <w:sz w:val="24"/>
          <w:szCs w:val="24"/>
        </w:rPr>
        <w:t>Outro</w:t>
      </w:r>
      <w:r w:rsidR="003F72BB">
        <w:rPr>
          <w:rFonts w:ascii="Times New Roman" w:hAnsi="Times New Roman"/>
          <w:sz w:val="24"/>
          <w:szCs w:val="24"/>
        </w:rPr>
        <w:t xml:space="preserve"> setor tradicionalmente importante para explicar a informalidade é o da indústria de construção civil. Este setor possui uma informalidade de 3</w:t>
      </w:r>
      <w:r>
        <w:rPr>
          <w:rFonts w:ascii="Times New Roman" w:hAnsi="Times New Roman"/>
          <w:sz w:val="24"/>
          <w:szCs w:val="24"/>
        </w:rPr>
        <w:t>0,4</w:t>
      </w:r>
      <w:r w:rsidR="003F72BB">
        <w:rPr>
          <w:rFonts w:ascii="Times New Roman" w:hAnsi="Times New Roman"/>
          <w:sz w:val="24"/>
          <w:szCs w:val="24"/>
        </w:rPr>
        <w:t>% nas RM</w:t>
      </w:r>
      <w:r w:rsidR="002E4EC7">
        <w:rPr>
          <w:rFonts w:ascii="Times New Roman" w:hAnsi="Times New Roman"/>
          <w:sz w:val="24"/>
          <w:szCs w:val="24"/>
        </w:rPr>
        <w:t>s</w:t>
      </w:r>
      <w:r w:rsidR="003F72BB">
        <w:rPr>
          <w:rFonts w:ascii="Times New Roman" w:hAnsi="Times New Roman"/>
          <w:sz w:val="24"/>
          <w:szCs w:val="24"/>
        </w:rPr>
        <w:t xml:space="preserve"> e de 46% fora destas. O comércio e os setores relacionados aos serviços também mostram uma taxa de informalidade bastante elevada.</w:t>
      </w:r>
    </w:p>
    <w:p w:rsidR="00F27F84" w:rsidRDefault="00F27F84" w:rsidP="001F03CD">
      <w:pPr>
        <w:spacing w:line="240" w:lineRule="auto"/>
        <w:ind w:firstLine="708"/>
        <w:jc w:val="both"/>
        <w:rPr>
          <w:rFonts w:ascii="Times New Roman" w:hAnsi="Times New Roman"/>
          <w:sz w:val="24"/>
          <w:szCs w:val="24"/>
        </w:rPr>
      </w:pPr>
      <w:r>
        <w:rPr>
          <w:rFonts w:ascii="Times New Roman" w:hAnsi="Times New Roman"/>
          <w:sz w:val="24"/>
          <w:szCs w:val="24"/>
        </w:rPr>
        <w:t>Setores intensivos em mão-de-obra se mostram como aqueles com mai</w:t>
      </w:r>
      <w:r w:rsidR="00E749F6">
        <w:rPr>
          <w:rFonts w:ascii="Times New Roman" w:hAnsi="Times New Roman"/>
          <w:sz w:val="24"/>
          <w:szCs w:val="24"/>
        </w:rPr>
        <w:t>or</w:t>
      </w:r>
      <w:r>
        <w:rPr>
          <w:rFonts w:ascii="Times New Roman" w:hAnsi="Times New Roman"/>
          <w:sz w:val="24"/>
          <w:szCs w:val="24"/>
        </w:rPr>
        <w:t xml:space="preserve"> taxa de informalidade como pode ser visto com base na informalidade elevada dos setores 9, 10 e 11, todos de provisão de serviços. </w:t>
      </w:r>
    </w:p>
    <w:tbl>
      <w:tblPr>
        <w:tblW w:w="8380" w:type="dxa"/>
        <w:tblInd w:w="55" w:type="dxa"/>
        <w:tblCellMar>
          <w:left w:w="70" w:type="dxa"/>
          <w:right w:w="70" w:type="dxa"/>
        </w:tblCellMar>
        <w:tblLook w:val="04A0" w:firstRow="1" w:lastRow="0" w:firstColumn="1" w:lastColumn="0" w:noHBand="0" w:noVBand="1"/>
      </w:tblPr>
      <w:tblGrid>
        <w:gridCol w:w="5179"/>
        <w:gridCol w:w="789"/>
        <w:gridCol w:w="1111"/>
        <w:gridCol w:w="1301"/>
      </w:tblGrid>
      <w:tr w:rsidR="00044989" w:rsidRPr="00044989" w:rsidTr="00044989">
        <w:trPr>
          <w:trHeight w:val="270"/>
        </w:trPr>
        <w:tc>
          <w:tcPr>
            <w:tcW w:w="8380" w:type="dxa"/>
            <w:gridSpan w:val="4"/>
            <w:tcBorders>
              <w:top w:val="single" w:sz="8" w:space="0" w:color="auto"/>
              <w:left w:val="nil"/>
              <w:bottom w:val="single" w:sz="8" w:space="0" w:color="auto"/>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Tabela 4: Informalidade por Setor em 2011</w:t>
            </w:r>
          </w:p>
        </w:tc>
      </w:tr>
      <w:tr w:rsidR="00044989" w:rsidRPr="00044989" w:rsidTr="00044989">
        <w:trPr>
          <w:trHeight w:val="270"/>
        </w:trPr>
        <w:tc>
          <w:tcPr>
            <w:tcW w:w="5179" w:type="dxa"/>
            <w:tcBorders>
              <w:top w:val="nil"/>
              <w:left w:val="nil"/>
              <w:bottom w:val="single" w:sz="8" w:space="0" w:color="auto"/>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 </w:t>
            </w:r>
          </w:p>
        </w:tc>
        <w:tc>
          <w:tcPr>
            <w:tcW w:w="789" w:type="dxa"/>
            <w:tcBorders>
              <w:top w:val="nil"/>
              <w:left w:val="nil"/>
              <w:bottom w:val="single" w:sz="8" w:space="0" w:color="auto"/>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2011</w:t>
            </w:r>
          </w:p>
        </w:tc>
        <w:tc>
          <w:tcPr>
            <w:tcW w:w="1111" w:type="dxa"/>
            <w:tcBorders>
              <w:top w:val="nil"/>
              <w:left w:val="nil"/>
              <w:bottom w:val="single" w:sz="8" w:space="0" w:color="auto"/>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2011 RM</w:t>
            </w:r>
          </w:p>
        </w:tc>
        <w:tc>
          <w:tcPr>
            <w:tcW w:w="1301" w:type="dxa"/>
            <w:tcBorders>
              <w:top w:val="nil"/>
              <w:left w:val="nil"/>
              <w:bottom w:val="single" w:sz="8" w:space="0" w:color="auto"/>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2011 NRM</w:t>
            </w:r>
          </w:p>
        </w:tc>
      </w:tr>
      <w:tr w:rsidR="00044989" w:rsidRPr="00044989" w:rsidTr="00044989">
        <w:trPr>
          <w:trHeight w:val="255"/>
        </w:trPr>
        <w:tc>
          <w:tcPr>
            <w:tcW w:w="5179"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rPr>
                <w:rFonts w:ascii="Times New Roman" w:eastAsia="Times New Roman" w:hAnsi="Times New Roman"/>
                <w:sz w:val="20"/>
                <w:szCs w:val="20"/>
                <w:lang w:eastAsia="pt-BR"/>
              </w:rPr>
            </w:pPr>
            <w:r w:rsidRPr="00044989">
              <w:rPr>
                <w:rFonts w:ascii="Times New Roman" w:eastAsia="Times New Roman" w:hAnsi="Times New Roman"/>
                <w:sz w:val="20"/>
                <w:szCs w:val="20"/>
                <w:lang w:eastAsia="pt-BR"/>
              </w:rPr>
              <w:t>indefinido</w:t>
            </w:r>
          </w:p>
        </w:tc>
        <w:tc>
          <w:tcPr>
            <w:tcW w:w="789"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25,2%</w:t>
            </w:r>
          </w:p>
        </w:tc>
        <w:tc>
          <w:tcPr>
            <w:tcW w:w="111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18,0%</w:t>
            </w:r>
          </w:p>
        </w:tc>
        <w:tc>
          <w:tcPr>
            <w:tcW w:w="130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33,4%</w:t>
            </w:r>
          </w:p>
        </w:tc>
      </w:tr>
      <w:tr w:rsidR="00044989" w:rsidRPr="00044989" w:rsidTr="00044989">
        <w:trPr>
          <w:trHeight w:val="255"/>
        </w:trPr>
        <w:tc>
          <w:tcPr>
            <w:tcW w:w="5179" w:type="dxa"/>
            <w:tcBorders>
              <w:top w:val="nil"/>
              <w:left w:val="nil"/>
              <w:bottom w:val="nil"/>
              <w:right w:val="nil"/>
            </w:tcBorders>
            <w:shd w:val="clear" w:color="000000" w:fill="FFFFFF"/>
            <w:noWrap/>
            <w:hideMark/>
          </w:tcPr>
          <w:p w:rsidR="00044989" w:rsidRPr="00044989" w:rsidRDefault="00044989" w:rsidP="001F03CD">
            <w:pPr>
              <w:spacing w:after="0" w:line="240" w:lineRule="auto"/>
              <w:rPr>
                <w:rFonts w:ascii="Times New Roman" w:eastAsia="Times New Roman" w:hAnsi="Times New Roman"/>
                <w:sz w:val="20"/>
                <w:szCs w:val="20"/>
                <w:lang w:eastAsia="pt-BR"/>
              </w:rPr>
            </w:pPr>
            <w:r w:rsidRPr="00044989">
              <w:rPr>
                <w:rFonts w:ascii="Times New Roman" w:eastAsia="Times New Roman" w:hAnsi="Times New Roman"/>
                <w:sz w:val="20"/>
                <w:szCs w:val="20"/>
                <w:lang w:eastAsia="pt-BR"/>
              </w:rPr>
              <w:t xml:space="preserve">[1] Agropecuária </w:t>
            </w:r>
          </w:p>
        </w:tc>
        <w:tc>
          <w:tcPr>
            <w:tcW w:w="789"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60,2%</w:t>
            </w:r>
          </w:p>
        </w:tc>
        <w:tc>
          <w:tcPr>
            <w:tcW w:w="111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55,0%</w:t>
            </w:r>
          </w:p>
        </w:tc>
        <w:tc>
          <w:tcPr>
            <w:tcW w:w="130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60,4%</w:t>
            </w:r>
          </w:p>
        </w:tc>
      </w:tr>
      <w:tr w:rsidR="00044989" w:rsidRPr="00044989" w:rsidTr="00044989">
        <w:trPr>
          <w:trHeight w:val="255"/>
        </w:trPr>
        <w:tc>
          <w:tcPr>
            <w:tcW w:w="5179" w:type="dxa"/>
            <w:tcBorders>
              <w:top w:val="nil"/>
              <w:left w:val="nil"/>
              <w:bottom w:val="nil"/>
              <w:right w:val="nil"/>
            </w:tcBorders>
            <w:shd w:val="clear" w:color="000000" w:fill="FFFFFF"/>
            <w:noWrap/>
            <w:hideMark/>
          </w:tcPr>
          <w:p w:rsidR="00044989" w:rsidRPr="00044989" w:rsidRDefault="00044989" w:rsidP="001F03CD">
            <w:pPr>
              <w:spacing w:after="0" w:line="240" w:lineRule="auto"/>
              <w:rPr>
                <w:rFonts w:ascii="Times New Roman" w:eastAsia="Times New Roman" w:hAnsi="Times New Roman"/>
                <w:sz w:val="20"/>
                <w:szCs w:val="20"/>
                <w:lang w:eastAsia="pt-BR"/>
              </w:rPr>
            </w:pPr>
            <w:r w:rsidRPr="00044989">
              <w:rPr>
                <w:rFonts w:ascii="Times New Roman" w:eastAsia="Times New Roman" w:hAnsi="Times New Roman"/>
                <w:sz w:val="20"/>
                <w:szCs w:val="20"/>
                <w:lang w:eastAsia="pt-BR"/>
              </w:rPr>
              <w:t>[2] Indústria Extrativa Mineral</w:t>
            </w:r>
          </w:p>
        </w:tc>
        <w:tc>
          <w:tcPr>
            <w:tcW w:w="789"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14,7%</w:t>
            </w:r>
          </w:p>
        </w:tc>
        <w:tc>
          <w:tcPr>
            <w:tcW w:w="111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8,0%</w:t>
            </w:r>
          </w:p>
        </w:tc>
        <w:tc>
          <w:tcPr>
            <w:tcW w:w="130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16,4%</w:t>
            </w:r>
          </w:p>
        </w:tc>
      </w:tr>
      <w:tr w:rsidR="00044989" w:rsidRPr="00044989" w:rsidTr="00044989">
        <w:trPr>
          <w:trHeight w:val="255"/>
        </w:trPr>
        <w:tc>
          <w:tcPr>
            <w:tcW w:w="5179" w:type="dxa"/>
            <w:tcBorders>
              <w:top w:val="nil"/>
              <w:left w:val="nil"/>
              <w:bottom w:val="nil"/>
              <w:right w:val="nil"/>
            </w:tcBorders>
            <w:shd w:val="clear" w:color="000000" w:fill="FFFFFF"/>
            <w:noWrap/>
            <w:hideMark/>
          </w:tcPr>
          <w:p w:rsidR="00044989" w:rsidRPr="00044989" w:rsidRDefault="00044989" w:rsidP="001F03CD">
            <w:pPr>
              <w:spacing w:after="0" w:line="240" w:lineRule="auto"/>
              <w:rPr>
                <w:rFonts w:ascii="Times New Roman" w:eastAsia="Times New Roman" w:hAnsi="Times New Roman"/>
                <w:sz w:val="20"/>
                <w:szCs w:val="20"/>
                <w:lang w:eastAsia="pt-BR"/>
              </w:rPr>
            </w:pPr>
            <w:r w:rsidRPr="00044989">
              <w:rPr>
                <w:rFonts w:ascii="Times New Roman" w:eastAsia="Times New Roman" w:hAnsi="Times New Roman"/>
                <w:sz w:val="20"/>
                <w:szCs w:val="20"/>
                <w:lang w:eastAsia="pt-BR"/>
              </w:rPr>
              <w:t>[3] Indústria de Transformação</w:t>
            </w:r>
          </w:p>
        </w:tc>
        <w:tc>
          <w:tcPr>
            <w:tcW w:w="789"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14,3%</w:t>
            </w:r>
          </w:p>
        </w:tc>
        <w:tc>
          <w:tcPr>
            <w:tcW w:w="111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12,4%</w:t>
            </w:r>
          </w:p>
        </w:tc>
        <w:tc>
          <w:tcPr>
            <w:tcW w:w="130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15,3%</w:t>
            </w:r>
          </w:p>
        </w:tc>
      </w:tr>
      <w:tr w:rsidR="00044989" w:rsidRPr="00044989" w:rsidTr="00044989">
        <w:trPr>
          <w:trHeight w:val="255"/>
        </w:trPr>
        <w:tc>
          <w:tcPr>
            <w:tcW w:w="5179" w:type="dxa"/>
            <w:tcBorders>
              <w:top w:val="nil"/>
              <w:left w:val="nil"/>
              <w:bottom w:val="nil"/>
              <w:right w:val="nil"/>
            </w:tcBorders>
            <w:shd w:val="clear" w:color="000000" w:fill="FFFFFF"/>
            <w:noWrap/>
            <w:hideMark/>
          </w:tcPr>
          <w:p w:rsidR="00044989" w:rsidRPr="00044989" w:rsidRDefault="00044989" w:rsidP="001F03CD">
            <w:pPr>
              <w:spacing w:after="0" w:line="240" w:lineRule="auto"/>
              <w:rPr>
                <w:rFonts w:ascii="Times New Roman" w:eastAsia="Times New Roman" w:hAnsi="Times New Roman"/>
                <w:sz w:val="20"/>
                <w:szCs w:val="20"/>
                <w:lang w:eastAsia="pt-BR"/>
              </w:rPr>
            </w:pPr>
            <w:r w:rsidRPr="00044989">
              <w:rPr>
                <w:rFonts w:ascii="Times New Roman" w:eastAsia="Times New Roman" w:hAnsi="Times New Roman"/>
                <w:sz w:val="20"/>
                <w:szCs w:val="20"/>
                <w:lang w:eastAsia="pt-BR"/>
              </w:rPr>
              <w:t xml:space="preserve">[4] Indústria de Construção </w:t>
            </w:r>
          </w:p>
        </w:tc>
        <w:tc>
          <w:tcPr>
            <w:tcW w:w="789"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41,2%</w:t>
            </w:r>
          </w:p>
        </w:tc>
        <w:tc>
          <w:tcPr>
            <w:tcW w:w="111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30,4%</w:t>
            </w:r>
          </w:p>
        </w:tc>
        <w:tc>
          <w:tcPr>
            <w:tcW w:w="130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46,0%</w:t>
            </w:r>
          </w:p>
        </w:tc>
      </w:tr>
      <w:tr w:rsidR="00044989" w:rsidRPr="00044989" w:rsidTr="00044989">
        <w:trPr>
          <w:trHeight w:val="255"/>
        </w:trPr>
        <w:tc>
          <w:tcPr>
            <w:tcW w:w="5179" w:type="dxa"/>
            <w:tcBorders>
              <w:top w:val="nil"/>
              <w:left w:val="nil"/>
              <w:bottom w:val="nil"/>
              <w:right w:val="nil"/>
            </w:tcBorders>
            <w:shd w:val="clear" w:color="000000" w:fill="FFFFFF"/>
            <w:noWrap/>
            <w:hideMark/>
          </w:tcPr>
          <w:p w:rsidR="00044989" w:rsidRPr="00044989" w:rsidRDefault="00044989" w:rsidP="001F03CD">
            <w:pPr>
              <w:spacing w:after="0" w:line="240" w:lineRule="auto"/>
              <w:rPr>
                <w:rFonts w:ascii="Times New Roman" w:eastAsia="Times New Roman" w:hAnsi="Times New Roman"/>
                <w:sz w:val="20"/>
                <w:szCs w:val="20"/>
                <w:lang w:eastAsia="pt-BR"/>
              </w:rPr>
            </w:pPr>
            <w:r w:rsidRPr="00044989">
              <w:rPr>
                <w:rFonts w:ascii="Times New Roman" w:eastAsia="Times New Roman" w:hAnsi="Times New Roman"/>
                <w:sz w:val="20"/>
                <w:szCs w:val="20"/>
                <w:lang w:eastAsia="pt-BR"/>
              </w:rPr>
              <w:t>[5] Indústria de Serviços de Utilidade Pública</w:t>
            </w:r>
          </w:p>
        </w:tc>
        <w:tc>
          <w:tcPr>
            <w:tcW w:w="789"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9,5%</w:t>
            </w:r>
          </w:p>
        </w:tc>
        <w:tc>
          <w:tcPr>
            <w:tcW w:w="111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10,9%</w:t>
            </w:r>
          </w:p>
        </w:tc>
        <w:tc>
          <w:tcPr>
            <w:tcW w:w="130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8,8%</w:t>
            </w:r>
          </w:p>
        </w:tc>
      </w:tr>
      <w:tr w:rsidR="00044989" w:rsidRPr="00044989" w:rsidTr="00044989">
        <w:trPr>
          <w:trHeight w:val="255"/>
        </w:trPr>
        <w:tc>
          <w:tcPr>
            <w:tcW w:w="5179" w:type="dxa"/>
            <w:tcBorders>
              <w:top w:val="nil"/>
              <w:left w:val="nil"/>
              <w:bottom w:val="nil"/>
              <w:right w:val="nil"/>
            </w:tcBorders>
            <w:shd w:val="clear" w:color="000000" w:fill="FFFFFF"/>
            <w:noWrap/>
            <w:hideMark/>
          </w:tcPr>
          <w:p w:rsidR="00044989" w:rsidRPr="00044989" w:rsidRDefault="00044989" w:rsidP="001F03CD">
            <w:pPr>
              <w:spacing w:after="0" w:line="240" w:lineRule="auto"/>
              <w:rPr>
                <w:rFonts w:ascii="Times New Roman" w:eastAsia="Times New Roman" w:hAnsi="Times New Roman"/>
                <w:sz w:val="20"/>
                <w:szCs w:val="20"/>
                <w:lang w:eastAsia="pt-BR"/>
              </w:rPr>
            </w:pPr>
            <w:r w:rsidRPr="00044989">
              <w:rPr>
                <w:rFonts w:ascii="Times New Roman" w:eastAsia="Times New Roman" w:hAnsi="Times New Roman"/>
                <w:sz w:val="20"/>
                <w:szCs w:val="20"/>
                <w:lang w:eastAsia="pt-BR"/>
              </w:rPr>
              <w:t xml:space="preserve">[6] Serviços de Comércio </w:t>
            </w:r>
          </w:p>
        </w:tc>
        <w:tc>
          <w:tcPr>
            <w:tcW w:w="789"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23,4%</w:t>
            </w:r>
          </w:p>
        </w:tc>
        <w:tc>
          <w:tcPr>
            <w:tcW w:w="111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19,2%</w:t>
            </w:r>
          </w:p>
        </w:tc>
        <w:tc>
          <w:tcPr>
            <w:tcW w:w="130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25,8%</w:t>
            </w:r>
          </w:p>
        </w:tc>
      </w:tr>
      <w:tr w:rsidR="00044989" w:rsidRPr="00044989" w:rsidTr="00044989">
        <w:trPr>
          <w:trHeight w:val="255"/>
        </w:trPr>
        <w:tc>
          <w:tcPr>
            <w:tcW w:w="5179" w:type="dxa"/>
            <w:tcBorders>
              <w:top w:val="nil"/>
              <w:left w:val="nil"/>
              <w:bottom w:val="nil"/>
              <w:right w:val="nil"/>
            </w:tcBorders>
            <w:shd w:val="clear" w:color="000000" w:fill="FFFFFF"/>
            <w:noWrap/>
            <w:hideMark/>
          </w:tcPr>
          <w:p w:rsidR="00044989" w:rsidRPr="00044989" w:rsidRDefault="00044989" w:rsidP="001F03CD">
            <w:pPr>
              <w:spacing w:after="0" w:line="240" w:lineRule="auto"/>
              <w:rPr>
                <w:rFonts w:ascii="Times New Roman" w:eastAsia="Times New Roman" w:hAnsi="Times New Roman"/>
                <w:sz w:val="20"/>
                <w:szCs w:val="20"/>
                <w:lang w:eastAsia="pt-BR"/>
              </w:rPr>
            </w:pPr>
            <w:r w:rsidRPr="00044989">
              <w:rPr>
                <w:rFonts w:ascii="Times New Roman" w:eastAsia="Times New Roman" w:hAnsi="Times New Roman"/>
                <w:sz w:val="20"/>
                <w:szCs w:val="20"/>
                <w:lang w:eastAsia="pt-BR"/>
              </w:rPr>
              <w:lastRenderedPageBreak/>
              <w:t>[7] Serviços de Intermediação Financeira</w:t>
            </w:r>
          </w:p>
        </w:tc>
        <w:tc>
          <w:tcPr>
            <w:tcW w:w="789"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8,8%</w:t>
            </w:r>
          </w:p>
        </w:tc>
        <w:tc>
          <w:tcPr>
            <w:tcW w:w="111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7,3%</w:t>
            </w:r>
          </w:p>
        </w:tc>
        <w:tc>
          <w:tcPr>
            <w:tcW w:w="130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10,8%</w:t>
            </w:r>
          </w:p>
        </w:tc>
      </w:tr>
      <w:tr w:rsidR="00044989" w:rsidRPr="00044989" w:rsidTr="00044989">
        <w:trPr>
          <w:trHeight w:val="255"/>
        </w:trPr>
        <w:tc>
          <w:tcPr>
            <w:tcW w:w="5179" w:type="dxa"/>
            <w:tcBorders>
              <w:top w:val="nil"/>
              <w:left w:val="nil"/>
              <w:bottom w:val="nil"/>
              <w:right w:val="nil"/>
            </w:tcBorders>
            <w:shd w:val="clear" w:color="000000" w:fill="FFFFFF"/>
            <w:noWrap/>
            <w:hideMark/>
          </w:tcPr>
          <w:p w:rsidR="00044989" w:rsidRPr="00044989" w:rsidRDefault="00044989" w:rsidP="001F03CD">
            <w:pPr>
              <w:spacing w:after="0" w:line="240" w:lineRule="auto"/>
              <w:rPr>
                <w:rFonts w:ascii="Times New Roman" w:eastAsia="Times New Roman" w:hAnsi="Times New Roman"/>
                <w:sz w:val="20"/>
                <w:szCs w:val="20"/>
                <w:lang w:eastAsia="pt-BR"/>
              </w:rPr>
            </w:pPr>
            <w:r w:rsidRPr="00044989">
              <w:rPr>
                <w:rFonts w:ascii="Times New Roman" w:eastAsia="Times New Roman" w:hAnsi="Times New Roman"/>
                <w:sz w:val="20"/>
                <w:szCs w:val="20"/>
                <w:lang w:eastAsia="pt-BR"/>
              </w:rPr>
              <w:t>[8] Serviços de Transportes e Comunicações</w:t>
            </w:r>
          </w:p>
        </w:tc>
        <w:tc>
          <w:tcPr>
            <w:tcW w:w="789"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18,1%</w:t>
            </w:r>
          </w:p>
        </w:tc>
        <w:tc>
          <w:tcPr>
            <w:tcW w:w="111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13,9%</w:t>
            </w:r>
          </w:p>
        </w:tc>
        <w:tc>
          <w:tcPr>
            <w:tcW w:w="130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21,8%</w:t>
            </w:r>
          </w:p>
        </w:tc>
      </w:tr>
      <w:tr w:rsidR="00044989" w:rsidRPr="00044989" w:rsidTr="00044989">
        <w:trPr>
          <w:trHeight w:val="255"/>
        </w:trPr>
        <w:tc>
          <w:tcPr>
            <w:tcW w:w="5179" w:type="dxa"/>
            <w:tcBorders>
              <w:top w:val="nil"/>
              <w:left w:val="nil"/>
              <w:bottom w:val="nil"/>
              <w:right w:val="nil"/>
            </w:tcBorders>
            <w:shd w:val="clear" w:color="000000" w:fill="FFFFFF"/>
            <w:noWrap/>
            <w:hideMark/>
          </w:tcPr>
          <w:p w:rsidR="00044989" w:rsidRPr="00044989" w:rsidRDefault="00044989" w:rsidP="001F03CD">
            <w:pPr>
              <w:spacing w:after="0" w:line="240" w:lineRule="auto"/>
              <w:rPr>
                <w:rFonts w:ascii="Times New Roman" w:eastAsia="Times New Roman" w:hAnsi="Times New Roman"/>
                <w:sz w:val="20"/>
                <w:szCs w:val="20"/>
                <w:lang w:eastAsia="pt-BR"/>
              </w:rPr>
            </w:pPr>
            <w:r w:rsidRPr="00044989">
              <w:rPr>
                <w:rFonts w:ascii="Times New Roman" w:eastAsia="Times New Roman" w:hAnsi="Times New Roman"/>
                <w:sz w:val="20"/>
                <w:szCs w:val="20"/>
                <w:lang w:eastAsia="pt-BR"/>
              </w:rPr>
              <w:t>[9] Serviços de Alojamento e Alimentação</w:t>
            </w:r>
          </w:p>
        </w:tc>
        <w:tc>
          <w:tcPr>
            <w:tcW w:w="789"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32,1%</w:t>
            </w:r>
          </w:p>
        </w:tc>
        <w:tc>
          <w:tcPr>
            <w:tcW w:w="111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25,8%</w:t>
            </w:r>
          </w:p>
        </w:tc>
        <w:tc>
          <w:tcPr>
            <w:tcW w:w="130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36,6%</w:t>
            </w:r>
          </w:p>
        </w:tc>
      </w:tr>
      <w:tr w:rsidR="00044989" w:rsidRPr="00044989" w:rsidTr="00044989">
        <w:trPr>
          <w:trHeight w:val="255"/>
        </w:trPr>
        <w:tc>
          <w:tcPr>
            <w:tcW w:w="5179" w:type="dxa"/>
            <w:tcBorders>
              <w:top w:val="nil"/>
              <w:left w:val="nil"/>
              <w:bottom w:val="nil"/>
              <w:right w:val="nil"/>
            </w:tcBorders>
            <w:shd w:val="clear" w:color="000000" w:fill="FFFFFF"/>
            <w:noWrap/>
            <w:hideMark/>
          </w:tcPr>
          <w:p w:rsidR="00044989" w:rsidRPr="00044989" w:rsidRDefault="00044989" w:rsidP="001F03CD">
            <w:pPr>
              <w:spacing w:after="0" w:line="240" w:lineRule="auto"/>
              <w:rPr>
                <w:rFonts w:ascii="Times New Roman" w:eastAsia="Times New Roman" w:hAnsi="Times New Roman"/>
                <w:sz w:val="20"/>
                <w:szCs w:val="20"/>
                <w:lang w:eastAsia="pt-BR"/>
              </w:rPr>
            </w:pPr>
            <w:r w:rsidRPr="00044989">
              <w:rPr>
                <w:rFonts w:ascii="Times New Roman" w:eastAsia="Times New Roman" w:hAnsi="Times New Roman"/>
                <w:sz w:val="20"/>
                <w:szCs w:val="20"/>
                <w:lang w:eastAsia="pt-BR"/>
              </w:rPr>
              <w:t>[10] Serviços de Administração Pública</w:t>
            </w:r>
          </w:p>
        </w:tc>
        <w:tc>
          <w:tcPr>
            <w:tcW w:w="789"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56,1%</w:t>
            </w:r>
          </w:p>
        </w:tc>
        <w:tc>
          <w:tcPr>
            <w:tcW w:w="111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48,5%</w:t>
            </w:r>
          </w:p>
        </w:tc>
        <w:tc>
          <w:tcPr>
            <w:tcW w:w="130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59,0%</w:t>
            </w:r>
          </w:p>
        </w:tc>
      </w:tr>
      <w:tr w:rsidR="00044989" w:rsidRPr="00044989" w:rsidTr="00044989">
        <w:trPr>
          <w:trHeight w:val="255"/>
        </w:trPr>
        <w:tc>
          <w:tcPr>
            <w:tcW w:w="5179" w:type="dxa"/>
            <w:tcBorders>
              <w:top w:val="nil"/>
              <w:left w:val="nil"/>
              <w:bottom w:val="nil"/>
              <w:right w:val="nil"/>
            </w:tcBorders>
            <w:shd w:val="clear" w:color="000000" w:fill="FFFFFF"/>
            <w:noWrap/>
            <w:hideMark/>
          </w:tcPr>
          <w:p w:rsidR="00044989" w:rsidRPr="00044989" w:rsidRDefault="00044989" w:rsidP="001F03CD">
            <w:pPr>
              <w:spacing w:after="0" w:line="240" w:lineRule="auto"/>
              <w:rPr>
                <w:rFonts w:ascii="Times New Roman" w:eastAsia="Times New Roman" w:hAnsi="Times New Roman"/>
                <w:sz w:val="20"/>
                <w:szCs w:val="20"/>
                <w:lang w:eastAsia="pt-BR"/>
              </w:rPr>
            </w:pPr>
            <w:r w:rsidRPr="00044989">
              <w:rPr>
                <w:rFonts w:ascii="Times New Roman" w:eastAsia="Times New Roman" w:hAnsi="Times New Roman"/>
                <w:sz w:val="20"/>
                <w:szCs w:val="20"/>
                <w:lang w:eastAsia="pt-BR"/>
              </w:rPr>
              <w:t>[11] Outros Serviços</w:t>
            </w:r>
          </w:p>
        </w:tc>
        <w:tc>
          <w:tcPr>
            <w:tcW w:w="789"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41,8%</w:t>
            </w:r>
          </w:p>
        </w:tc>
        <w:tc>
          <w:tcPr>
            <w:tcW w:w="111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32,9%</w:t>
            </w:r>
          </w:p>
        </w:tc>
        <w:tc>
          <w:tcPr>
            <w:tcW w:w="130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48,2%</w:t>
            </w:r>
          </w:p>
        </w:tc>
      </w:tr>
      <w:tr w:rsidR="00044989" w:rsidRPr="00044989" w:rsidTr="00044989">
        <w:trPr>
          <w:trHeight w:val="270"/>
        </w:trPr>
        <w:tc>
          <w:tcPr>
            <w:tcW w:w="5179" w:type="dxa"/>
            <w:tcBorders>
              <w:top w:val="nil"/>
              <w:left w:val="nil"/>
              <w:bottom w:val="single" w:sz="8" w:space="0" w:color="auto"/>
              <w:right w:val="nil"/>
            </w:tcBorders>
            <w:shd w:val="clear" w:color="000000" w:fill="FFFFFF"/>
            <w:noWrap/>
            <w:vAlign w:val="bottom"/>
            <w:hideMark/>
          </w:tcPr>
          <w:p w:rsidR="00044989" w:rsidRPr="00044989" w:rsidRDefault="00044989" w:rsidP="001F03CD">
            <w:pPr>
              <w:spacing w:after="0" w:line="240" w:lineRule="auto"/>
              <w:rPr>
                <w:rFonts w:ascii="Times New Roman" w:eastAsia="Times New Roman" w:hAnsi="Times New Roman"/>
                <w:sz w:val="20"/>
                <w:szCs w:val="20"/>
                <w:lang w:eastAsia="pt-BR"/>
              </w:rPr>
            </w:pPr>
            <w:r w:rsidRPr="00044989">
              <w:rPr>
                <w:rFonts w:ascii="Times New Roman" w:eastAsia="Times New Roman" w:hAnsi="Times New Roman"/>
                <w:sz w:val="20"/>
                <w:szCs w:val="20"/>
                <w:lang w:eastAsia="pt-BR"/>
              </w:rPr>
              <w:t>Total</w:t>
            </w:r>
          </w:p>
        </w:tc>
        <w:tc>
          <w:tcPr>
            <w:tcW w:w="789" w:type="dxa"/>
            <w:tcBorders>
              <w:top w:val="nil"/>
              <w:left w:val="nil"/>
              <w:bottom w:val="single" w:sz="8" w:space="0" w:color="auto"/>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32,7%</w:t>
            </w:r>
          </w:p>
        </w:tc>
        <w:tc>
          <w:tcPr>
            <w:tcW w:w="1111" w:type="dxa"/>
            <w:tcBorders>
              <w:top w:val="nil"/>
              <w:left w:val="nil"/>
              <w:bottom w:val="single" w:sz="8" w:space="0" w:color="auto"/>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24,6%</w:t>
            </w:r>
          </w:p>
        </w:tc>
        <w:tc>
          <w:tcPr>
            <w:tcW w:w="1301" w:type="dxa"/>
            <w:tcBorders>
              <w:top w:val="nil"/>
              <w:left w:val="nil"/>
              <w:bottom w:val="single" w:sz="8" w:space="0" w:color="auto"/>
              <w:right w:val="nil"/>
            </w:tcBorders>
            <w:shd w:val="clear" w:color="000000" w:fill="FFFFFF"/>
            <w:noWrap/>
            <w:vAlign w:val="bottom"/>
            <w:hideMark/>
          </w:tcPr>
          <w:p w:rsidR="00044989" w:rsidRPr="00044989" w:rsidRDefault="00044989" w:rsidP="001F03CD">
            <w:pPr>
              <w:spacing w:after="0" w:line="240" w:lineRule="auto"/>
              <w:jc w:val="center"/>
              <w:rPr>
                <w:rFonts w:ascii="Arial" w:eastAsia="Times New Roman" w:hAnsi="Arial" w:cs="Arial"/>
                <w:sz w:val="20"/>
                <w:szCs w:val="20"/>
                <w:lang w:eastAsia="pt-BR"/>
              </w:rPr>
            </w:pPr>
            <w:r w:rsidRPr="00044989">
              <w:rPr>
                <w:rFonts w:ascii="Arial" w:eastAsia="Times New Roman" w:hAnsi="Arial" w:cs="Arial"/>
                <w:sz w:val="20"/>
                <w:szCs w:val="20"/>
                <w:lang w:eastAsia="pt-BR"/>
              </w:rPr>
              <w:t>37,2%</w:t>
            </w:r>
          </w:p>
        </w:tc>
      </w:tr>
      <w:tr w:rsidR="00044989" w:rsidRPr="00044989" w:rsidTr="00044989">
        <w:trPr>
          <w:trHeight w:val="255"/>
        </w:trPr>
        <w:tc>
          <w:tcPr>
            <w:tcW w:w="5179" w:type="dxa"/>
            <w:tcBorders>
              <w:top w:val="nil"/>
              <w:left w:val="nil"/>
              <w:bottom w:val="nil"/>
              <w:right w:val="nil"/>
            </w:tcBorders>
            <w:shd w:val="clear" w:color="auto" w:fill="auto"/>
            <w:noWrap/>
            <w:vAlign w:val="bottom"/>
            <w:hideMark/>
          </w:tcPr>
          <w:p w:rsidR="00044989" w:rsidRPr="00044989" w:rsidRDefault="00044989" w:rsidP="001F03CD">
            <w:pPr>
              <w:spacing w:after="0" w:line="240" w:lineRule="auto"/>
              <w:rPr>
                <w:rFonts w:ascii="Times New Roman" w:eastAsia="Times New Roman" w:hAnsi="Times New Roman"/>
                <w:sz w:val="20"/>
                <w:szCs w:val="20"/>
                <w:lang w:eastAsia="pt-BR"/>
              </w:rPr>
            </w:pPr>
            <w:r w:rsidRPr="00044989">
              <w:rPr>
                <w:rFonts w:ascii="Times New Roman" w:eastAsia="Times New Roman" w:hAnsi="Times New Roman"/>
                <w:sz w:val="20"/>
                <w:szCs w:val="20"/>
                <w:lang w:eastAsia="pt-BR"/>
              </w:rPr>
              <w:t>Fonte: Elaboração Própria com dados da PNAD.</w:t>
            </w:r>
          </w:p>
        </w:tc>
        <w:tc>
          <w:tcPr>
            <w:tcW w:w="789"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rPr>
                <w:rFonts w:ascii="Arial" w:eastAsia="Times New Roman" w:hAnsi="Arial" w:cs="Arial"/>
                <w:sz w:val="20"/>
                <w:szCs w:val="20"/>
                <w:lang w:eastAsia="pt-BR"/>
              </w:rPr>
            </w:pPr>
            <w:r w:rsidRPr="00044989">
              <w:rPr>
                <w:rFonts w:ascii="Arial" w:eastAsia="Times New Roman" w:hAnsi="Arial" w:cs="Arial"/>
                <w:sz w:val="20"/>
                <w:szCs w:val="20"/>
                <w:lang w:eastAsia="pt-BR"/>
              </w:rPr>
              <w:t> </w:t>
            </w:r>
          </w:p>
        </w:tc>
        <w:tc>
          <w:tcPr>
            <w:tcW w:w="111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rPr>
                <w:rFonts w:ascii="Arial" w:eastAsia="Times New Roman" w:hAnsi="Arial" w:cs="Arial"/>
                <w:sz w:val="20"/>
                <w:szCs w:val="20"/>
                <w:lang w:eastAsia="pt-BR"/>
              </w:rPr>
            </w:pPr>
            <w:r w:rsidRPr="00044989">
              <w:rPr>
                <w:rFonts w:ascii="Arial" w:eastAsia="Times New Roman" w:hAnsi="Arial" w:cs="Arial"/>
                <w:sz w:val="20"/>
                <w:szCs w:val="20"/>
                <w:lang w:eastAsia="pt-BR"/>
              </w:rPr>
              <w:t> </w:t>
            </w:r>
          </w:p>
        </w:tc>
        <w:tc>
          <w:tcPr>
            <w:tcW w:w="1301" w:type="dxa"/>
            <w:tcBorders>
              <w:top w:val="nil"/>
              <w:left w:val="nil"/>
              <w:bottom w:val="nil"/>
              <w:right w:val="nil"/>
            </w:tcBorders>
            <w:shd w:val="clear" w:color="000000" w:fill="FFFFFF"/>
            <w:noWrap/>
            <w:vAlign w:val="bottom"/>
            <w:hideMark/>
          </w:tcPr>
          <w:p w:rsidR="00044989" w:rsidRPr="00044989" w:rsidRDefault="00044989" w:rsidP="001F03CD">
            <w:pPr>
              <w:spacing w:after="0" w:line="240" w:lineRule="auto"/>
              <w:rPr>
                <w:rFonts w:ascii="Arial" w:eastAsia="Times New Roman" w:hAnsi="Arial" w:cs="Arial"/>
                <w:sz w:val="20"/>
                <w:szCs w:val="20"/>
                <w:lang w:eastAsia="pt-BR"/>
              </w:rPr>
            </w:pPr>
            <w:r w:rsidRPr="00044989">
              <w:rPr>
                <w:rFonts w:ascii="Arial" w:eastAsia="Times New Roman" w:hAnsi="Arial" w:cs="Arial"/>
                <w:sz w:val="20"/>
                <w:szCs w:val="20"/>
                <w:lang w:eastAsia="pt-BR"/>
              </w:rPr>
              <w:t> </w:t>
            </w:r>
          </w:p>
        </w:tc>
      </w:tr>
    </w:tbl>
    <w:p w:rsidR="00572539" w:rsidRDefault="00F27F84" w:rsidP="001F03CD">
      <w:pPr>
        <w:spacing w:line="240" w:lineRule="auto"/>
        <w:ind w:firstLine="708"/>
        <w:jc w:val="both"/>
        <w:rPr>
          <w:rFonts w:ascii="Times New Roman" w:hAnsi="Times New Roman"/>
          <w:sz w:val="24"/>
          <w:szCs w:val="24"/>
        </w:rPr>
      </w:pPr>
      <w:r>
        <w:rPr>
          <w:rFonts w:ascii="Times New Roman" w:hAnsi="Times New Roman"/>
          <w:sz w:val="24"/>
          <w:szCs w:val="24"/>
        </w:rPr>
        <w:t xml:space="preserve">A Tabela 4 mostra ainda que </w:t>
      </w:r>
      <w:r w:rsidR="002D43FB">
        <w:rPr>
          <w:rFonts w:ascii="Times New Roman" w:hAnsi="Times New Roman"/>
          <w:sz w:val="24"/>
          <w:szCs w:val="24"/>
        </w:rPr>
        <w:t>o setor de intermediação financeira</w:t>
      </w:r>
      <w:r>
        <w:rPr>
          <w:rFonts w:ascii="Times New Roman" w:hAnsi="Times New Roman"/>
          <w:sz w:val="24"/>
          <w:szCs w:val="24"/>
        </w:rPr>
        <w:t xml:space="preserve"> é um dos com menor taxa de informalidade juntamente com o da indústria de serviços de utilidade pública</w:t>
      </w:r>
      <w:r w:rsidR="00D35A6B">
        <w:rPr>
          <w:rFonts w:ascii="Times New Roman" w:hAnsi="Times New Roman"/>
          <w:sz w:val="24"/>
          <w:szCs w:val="24"/>
        </w:rPr>
        <w:t xml:space="preserve"> e </w:t>
      </w:r>
      <w:r w:rsidR="002D43FB">
        <w:rPr>
          <w:rFonts w:ascii="Times New Roman" w:hAnsi="Times New Roman"/>
          <w:sz w:val="24"/>
          <w:szCs w:val="24"/>
        </w:rPr>
        <w:t>extrativa mineral</w:t>
      </w:r>
      <w:r>
        <w:rPr>
          <w:rFonts w:ascii="Times New Roman" w:hAnsi="Times New Roman"/>
          <w:sz w:val="24"/>
          <w:szCs w:val="24"/>
        </w:rPr>
        <w:t>.</w:t>
      </w:r>
      <w:r w:rsidR="008D7322">
        <w:rPr>
          <w:rFonts w:ascii="Times New Roman" w:hAnsi="Times New Roman"/>
          <w:sz w:val="24"/>
          <w:szCs w:val="24"/>
        </w:rPr>
        <w:t xml:space="preserve"> </w:t>
      </w:r>
      <w:r w:rsidR="00572539">
        <w:rPr>
          <w:rFonts w:ascii="Times New Roman" w:hAnsi="Times New Roman"/>
          <w:sz w:val="24"/>
          <w:szCs w:val="24"/>
        </w:rPr>
        <w:t>A Tabela 4 mostra</w:t>
      </w:r>
      <w:r w:rsidR="00F5776C">
        <w:rPr>
          <w:rFonts w:ascii="Times New Roman" w:hAnsi="Times New Roman"/>
          <w:sz w:val="24"/>
          <w:szCs w:val="24"/>
        </w:rPr>
        <w:t xml:space="preserve"> também</w:t>
      </w:r>
      <w:r w:rsidR="00572539">
        <w:rPr>
          <w:rFonts w:ascii="Times New Roman" w:hAnsi="Times New Roman"/>
          <w:sz w:val="24"/>
          <w:szCs w:val="24"/>
        </w:rPr>
        <w:t xml:space="preserve"> que a informalidade é bem difundida pelos diferentes setores da economia sendo muito importantes para os setores de serviços (em geral), agropecuário e de construção civil.</w:t>
      </w:r>
      <w:r w:rsidR="008D7322">
        <w:rPr>
          <w:rFonts w:ascii="Times New Roman" w:hAnsi="Times New Roman"/>
          <w:sz w:val="24"/>
          <w:szCs w:val="24"/>
        </w:rPr>
        <w:t xml:space="preserve"> </w:t>
      </w:r>
    </w:p>
    <w:p w:rsidR="008D7322" w:rsidRDefault="008D7322" w:rsidP="001F03CD">
      <w:pPr>
        <w:spacing w:line="240" w:lineRule="auto"/>
        <w:ind w:firstLine="708"/>
        <w:jc w:val="both"/>
        <w:rPr>
          <w:rFonts w:ascii="Times New Roman" w:hAnsi="Times New Roman"/>
          <w:sz w:val="24"/>
          <w:szCs w:val="24"/>
        </w:rPr>
      </w:pPr>
      <w:r>
        <w:rPr>
          <w:rFonts w:ascii="Times New Roman" w:hAnsi="Times New Roman"/>
          <w:sz w:val="24"/>
          <w:szCs w:val="24"/>
        </w:rPr>
        <w:t xml:space="preserve">Entretanto, os dados da Tabela 4 não permitem saber a contribuição de cada setor para a informalidade total da economia. Este dado é apresentado na Tabela 5, onde pondera-se a taxa de informalidade de cada setor por seu peso relativo no emprego total. A Tabela 5 mostra que o setor que mais contribui para a informalidade total da economia é  de outros serviços, que possui uma informalidade elevada (41,8% no país, segundo Tabela 4) e possui um peso importante no total de empregos (32,7%). O segundo setor que mais contribui para a informalidade no país é o setor de agropecuário que possui peso importante nas regiões não metropolitanas chegando a contribuir com 6,7% da informalidade total de 37,2%. </w:t>
      </w:r>
    </w:p>
    <w:tbl>
      <w:tblPr>
        <w:tblW w:w="8380" w:type="dxa"/>
        <w:tblInd w:w="55" w:type="dxa"/>
        <w:tblCellMar>
          <w:left w:w="70" w:type="dxa"/>
          <w:right w:w="70" w:type="dxa"/>
        </w:tblCellMar>
        <w:tblLook w:val="04A0" w:firstRow="1" w:lastRow="0" w:firstColumn="1" w:lastColumn="0" w:noHBand="0" w:noVBand="1"/>
      </w:tblPr>
      <w:tblGrid>
        <w:gridCol w:w="5053"/>
        <w:gridCol w:w="820"/>
        <w:gridCol w:w="1155"/>
        <w:gridCol w:w="1352"/>
      </w:tblGrid>
      <w:tr w:rsidR="002D43FB" w:rsidRPr="002D43FB" w:rsidTr="002D43FB">
        <w:trPr>
          <w:trHeight w:val="270"/>
        </w:trPr>
        <w:tc>
          <w:tcPr>
            <w:tcW w:w="8380" w:type="dxa"/>
            <w:gridSpan w:val="4"/>
            <w:tcBorders>
              <w:top w:val="single" w:sz="8" w:space="0" w:color="auto"/>
              <w:left w:val="nil"/>
              <w:bottom w:val="single" w:sz="8" w:space="0" w:color="auto"/>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Tabela 5: Contribuição para a Taxa de Informalidade da Economia por Setor em 20</w:t>
            </w:r>
            <w:r w:rsidR="008D7322">
              <w:rPr>
                <w:rFonts w:ascii="Arial" w:eastAsia="Times New Roman" w:hAnsi="Arial" w:cs="Arial"/>
                <w:sz w:val="20"/>
                <w:szCs w:val="20"/>
                <w:lang w:eastAsia="pt-BR"/>
              </w:rPr>
              <w:t>11</w:t>
            </w:r>
          </w:p>
        </w:tc>
      </w:tr>
      <w:tr w:rsidR="002D43FB" w:rsidRPr="002D43FB" w:rsidTr="002D43FB">
        <w:trPr>
          <w:trHeight w:val="270"/>
        </w:trPr>
        <w:tc>
          <w:tcPr>
            <w:tcW w:w="5053" w:type="dxa"/>
            <w:tcBorders>
              <w:top w:val="nil"/>
              <w:left w:val="nil"/>
              <w:bottom w:val="single" w:sz="8" w:space="0" w:color="auto"/>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 </w:t>
            </w:r>
          </w:p>
        </w:tc>
        <w:tc>
          <w:tcPr>
            <w:tcW w:w="820" w:type="dxa"/>
            <w:tcBorders>
              <w:top w:val="nil"/>
              <w:left w:val="nil"/>
              <w:bottom w:val="single" w:sz="8" w:space="0" w:color="auto"/>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2011</w:t>
            </w:r>
          </w:p>
        </w:tc>
        <w:tc>
          <w:tcPr>
            <w:tcW w:w="1155" w:type="dxa"/>
            <w:tcBorders>
              <w:top w:val="nil"/>
              <w:left w:val="nil"/>
              <w:bottom w:val="single" w:sz="8" w:space="0" w:color="auto"/>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2011 RM</w:t>
            </w:r>
          </w:p>
        </w:tc>
        <w:tc>
          <w:tcPr>
            <w:tcW w:w="1352" w:type="dxa"/>
            <w:tcBorders>
              <w:top w:val="nil"/>
              <w:left w:val="nil"/>
              <w:bottom w:val="single" w:sz="8" w:space="0" w:color="auto"/>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2011 NRM</w:t>
            </w:r>
          </w:p>
        </w:tc>
      </w:tr>
      <w:tr w:rsidR="002D43FB" w:rsidRPr="002D43FB" w:rsidTr="002D43FB">
        <w:trPr>
          <w:trHeight w:val="270"/>
        </w:trPr>
        <w:tc>
          <w:tcPr>
            <w:tcW w:w="5053"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rPr>
                <w:rFonts w:ascii="Times New Roman" w:eastAsia="Times New Roman" w:hAnsi="Times New Roman"/>
                <w:sz w:val="20"/>
                <w:szCs w:val="20"/>
                <w:lang w:eastAsia="pt-BR"/>
              </w:rPr>
            </w:pPr>
            <w:r w:rsidRPr="002D43FB">
              <w:rPr>
                <w:rFonts w:ascii="Times New Roman" w:eastAsia="Times New Roman" w:hAnsi="Times New Roman"/>
                <w:sz w:val="20"/>
                <w:szCs w:val="20"/>
                <w:lang w:eastAsia="pt-BR"/>
              </w:rPr>
              <w:t>indefinido</w:t>
            </w:r>
          </w:p>
        </w:tc>
        <w:tc>
          <w:tcPr>
            <w:tcW w:w="820"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0,0%</w:t>
            </w:r>
          </w:p>
        </w:tc>
        <w:tc>
          <w:tcPr>
            <w:tcW w:w="1155"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0,0%</w:t>
            </w:r>
          </w:p>
        </w:tc>
        <w:tc>
          <w:tcPr>
            <w:tcW w:w="1352"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0,0%</w:t>
            </w:r>
          </w:p>
        </w:tc>
      </w:tr>
      <w:tr w:rsidR="002D43FB" w:rsidRPr="002D43FB" w:rsidTr="002D43FB">
        <w:trPr>
          <w:trHeight w:val="255"/>
        </w:trPr>
        <w:tc>
          <w:tcPr>
            <w:tcW w:w="5053" w:type="dxa"/>
            <w:tcBorders>
              <w:top w:val="nil"/>
              <w:left w:val="nil"/>
              <w:bottom w:val="nil"/>
              <w:right w:val="nil"/>
            </w:tcBorders>
            <w:shd w:val="clear" w:color="000000" w:fill="FFFFFF"/>
            <w:noWrap/>
            <w:hideMark/>
          </w:tcPr>
          <w:p w:rsidR="002D43FB" w:rsidRPr="002D43FB" w:rsidRDefault="002D43FB" w:rsidP="001F03CD">
            <w:pPr>
              <w:spacing w:after="0" w:line="240" w:lineRule="auto"/>
              <w:rPr>
                <w:rFonts w:ascii="Times New Roman" w:eastAsia="Times New Roman" w:hAnsi="Times New Roman"/>
                <w:sz w:val="20"/>
                <w:szCs w:val="20"/>
                <w:lang w:eastAsia="pt-BR"/>
              </w:rPr>
            </w:pPr>
            <w:r w:rsidRPr="002D43FB">
              <w:rPr>
                <w:rFonts w:ascii="Times New Roman" w:eastAsia="Times New Roman" w:hAnsi="Times New Roman"/>
                <w:sz w:val="20"/>
                <w:szCs w:val="20"/>
                <w:lang w:eastAsia="pt-BR"/>
              </w:rPr>
              <w:t xml:space="preserve">[1] Agropecuária </w:t>
            </w:r>
          </w:p>
        </w:tc>
        <w:tc>
          <w:tcPr>
            <w:tcW w:w="820"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4,4%</w:t>
            </w:r>
          </w:p>
        </w:tc>
        <w:tc>
          <w:tcPr>
            <w:tcW w:w="1155"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0,4%</w:t>
            </w:r>
          </w:p>
        </w:tc>
        <w:tc>
          <w:tcPr>
            <w:tcW w:w="1352"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6,7%</w:t>
            </w:r>
          </w:p>
        </w:tc>
      </w:tr>
      <w:tr w:rsidR="002D43FB" w:rsidRPr="002D43FB" w:rsidTr="002D43FB">
        <w:trPr>
          <w:trHeight w:val="255"/>
        </w:trPr>
        <w:tc>
          <w:tcPr>
            <w:tcW w:w="5053" w:type="dxa"/>
            <w:tcBorders>
              <w:top w:val="nil"/>
              <w:left w:val="nil"/>
              <w:bottom w:val="nil"/>
              <w:right w:val="nil"/>
            </w:tcBorders>
            <w:shd w:val="clear" w:color="000000" w:fill="FFFFFF"/>
            <w:noWrap/>
            <w:hideMark/>
          </w:tcPr>
          <w:p w:rsidR="002D43FB" w:rsidRPr="002D43FB" w:rsidRDefault="002D43FB" w:rsidP="001F03CD">
            <w:pPr>
              <w:spacing w:after="0" w:line="240" w:lineRule="auto"/>
              <w:rPr>
                <w:rFonts w:ascii="Times New Roman" w:eastAsia="Times New Roman" w:hAnsi="Times New Roman"/>
                <w:sz w:val="20"/>
                <w:szCs w:val="20"/>
                <w:lang w:eastAsia="pt-BR"/>
              </w:rPr>
            </w:pPr>
            <w:r w:rsidRPr="002D43FB">
              <w:rPr>
                <w:rFonts w:ascii="Times New Roman" w:eastAsia="Times New Roman" w:hAnsi="Times New Roman"/>
                <w:sz w:val="20"/>
                <w:szCs w:val="20"/>
                <w:lang w:eastAsia="pt-BR"/>
              </w:rPr>
              <w:t>[2] Indústria Extrativa Mineral</w:t>
            </w:r>
          </w:p>
        </w:tc>
        <w:tc>
          <w:tcPr>
            <w:tcW w:w="820"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0,1%</w:t>
            </w:r>
          </w:p>
        </w:tc>
        <w:tc>
          <w:tcPr>
            <w:tcW w:w="1155"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0,0%</w:t>
            </w:r>
          </w:p>
        </w:tc>
        <w:tc>
          <w:tcPr>
            <w:tcW w:w="1352"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0,1%</w:t>
            </w:r>
          </w:p>
        </w:tc>
      </w:tr>
      <w:tr w:rsidR="002D43FB" w:rsidRPr="002D43FB" w:rsidTr="002D43FB">
        <w:trPr>
          <w:trHeight w:val="255"/>
        </w:trPr>
        <w:tc>
          <w:tcPr>
            <w:tcW w:w="5053" w:type="dxa"/>
            <w:tcBorders>
              <w:top w:val="nil"/>
              <w:left w:val="nil"/>
              <w:bottom w:val="nil"/>
              <w:right w:val="nil"/>
            </w:tcBorders>
            <w:shd w:val="clear" w:color="000000" w:fill="FFFFFF"/>
            <w:noWrap/>
            <w:hideMark/>
          </w:tcPr>
          <w:p w:rsidR="002D43FB" w:rsidRPr="002D43FB" w:rsidRDefault="002D43FB" w:rsidP="001F03CD">
            <w:pPr>
              <w:spacing w:after="0" w:line="240" w:lineRule="auto"/>
              <w:rPr>
                <w:rFonts w:ascii="Times New Roman" w:eastAsia="Times New Roman" w:hAnsi="Times New Roman"/>
                <w:sz w:val="20"/>
                <w:szCs w:val="20"/>
                <w:lang w:eastAsia="pt-BR"/>
              </w:rPr>
            </w:pPr>
            <w:r w:rsidRPr="002D43FB">
              <w:rPr>
                <w:rFonts w:ascii="Times New Roman" w:eastAsia="Times New Roman" w:hAnsi="Times New Roman"/>
                <w:sz w:val="20"/>
                <w:szCs w:val="20"/>
                <w:lang w:eastAsia="pt-BR"/>
              </w:rPr>
              <w:t>[3] Indústria de Transformação</w:t>
            </w:r>
          </w:p>
        </w:tc>
        <w:tc>
          <w:tcPr>
            <w:tcW w:w="820"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2,4%</w:t>
            </w:r>
          </w:p>
        </w:tc>
        <w:tc>
          <w:tcPr>
            <w:tcW w:w="1155"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1,9%</w:t>
            </w:r>
          </w:p>
        </w:tc>
        <w:tc>
          <w:tcPr>
            <w:tcW w:w="1352"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2,6%</w:t>
            </w:r>
          </w:p>
        </w:tc>
      </w:tr>
      <w:tr w:rsidR="002D43FB" w:rsidRPr="002D43FB" w:rsidTr="002D43FB">
        <w:trPr>
          <w:trHeight w:val="255"/>
        </w:trPr>
        <w:tc>
          <w:tcPr>
            <w:tcW w:w="5053" w:type="dxa"/>
            <w:tcBorders>
              <w:top w:val="nil"/>
              <w:left w:val="nil"/>
              <w:bottom w:val="nil"/>
              <w:right w:val="nil"/>
            </w:tcBorders>
            <w:shd w:val="clear" w:color="000000" w:fill="FFFFFF"/>
            <w:noWrap/>
            <w:hideMark/>
          </w:tcPr>
          <w:p w:rsidR="002D43FB" w:rsidRPr="002D43FB" w:rsidRDefault="002D43FB" w:rsidP="001F03CD">
            <w:pPr>
              <w:spacing w:after="0" w:line="240" w:lineRule="auto"/>
              <w:rPr>
                <w:rFonts w:ascii="Times New Roman" w:eastAsia="Times New Roman" w:hAnsi="Times New Roman"/>
                <w:sz w:val="20"/>
                <w:szCs w:val="20"/>
                <w:lang w:eastAsia="pt-BR"/>
              </w:rPr>
            </w:pPr>
            <w:r w:rsidRPr="002D43FB">
              <w:rPr>
                <w:rFonts w:ascii="Times New Roman" w:eastAsia="Times New Roman" w:hAnsi="Times New Roman"/>
                <w:sz w:val="20"/>
                <w:szCs w:val="20"/>
                <w:lang w:eastAsia="pt-BR"/>
              </w:rPr>
              <w:t xml:space="preserve">[4] Indústria de Construção </w:t>
            </w:r>
          </w:p>
        </w:tc>
        <w:tc>
          <w:tcPr>
            <w:tcW w:w="820"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3,0%</w:t>
            </w:r>
          </w:p>
        </w:tc>
        <w:tc>
          <w:tcPr>
            <w:tcW w:w="1155"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1,9%</w:t>
            </w:r>
          </w:p>
        </w:tc>
        <w:tc>
          <w:tcPr>
            <w:tcW w:w="1352"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3,6%</w:t>
            </w:r>
          </w:p>
        </w:tc>
      </w:tr>
      <w:tr w:rsidR="002D43FB" w:rsidRPr="002D43FB" w:rsidTr="002D43FB">
        <w:trPr>
          <w:trHeight w:val="255"/>
        </w:trPr>
        <w:tc>
          <w:tcPr>
            <w:tcW w:w="5053" w:type="dxa"/>
            <w:tcBorders>
              <w:top w:val="nil"/>
              <w:left w:val="nil"/>
              <w:bottom w:val="nil"/>
              <w:right w:val="nil"/>
            </w:tcBorders>
            <w:shd w:val="clear" w:color="000000" w:fill="FFFFFF"/>
            <w:noWrap/>
            <w:hideMark/>
          </w:tcPr>
          <w:p w:rsidR="002D43FB" w:rsidRPr="002D43FB" w:rsidRDefault="002D43FB" w:rsidP="001F03CD">
            <w:pPr>
              <w:spacing w:after="0" w:line="240" w:lineRule="auto"/>
              <w:rPr>
                <w:rFonts w:ascii="Times New Roman" w:eastAsia="Times New Roman" w:hAnsi="Times New Roman"/>
                <w:sz w:val="20"/>
                <w:szCs w:val="20"/>
                <w:lang w:eastAsia="pt-BR"/>
              </w:rPr>
            </w:pPr>
            <w:r w:rsidRPr="002D43FB">
              <w:rPr>
                <w:rFonts w:ascii="Times New Roman" w:eastAsia="Times New Roman" w:hAnsi="Times New Roman"/>
                <w:sz w:val="20"/>
                <w:szCs w:val="20"/>
                <w:lang w:eastAsia="pt-BR"/>
              </w:rPr>
              <w:t>[5] Indústria de Serviços de Utilidade Pública</w:t>
            </w:r>
          </w:p>
        </w:tc>
        <w:tc>
          <w:tcPr>
            <w:tcW w:w="820"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0,0%</w:t>
            </w:r>
          </w:p>
        </w:tc>
        <w:tc>
          <w:tcPr>
            <w:tcW w:w="1155"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0,0%</w:t>
            </w:r>
          </w:p>
        </w:tc>
        <w:tc>
          <w:tcPr>
            <w:tcW w:w="1352"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0,0%</w:t>
            </w:r>
          </w:p>
        </w:tc>
      </w:tr>
      <w:tr w:rsidR="002D43FB" w:rsidRPr="002D43FB" w:rsidTr="002D43FB">
        <w:trPr>
          <w:trHeight w:val="255"/>
        </w:trPr>
        <w:tc>
          <w:tcPr>
            <w:tcW w:w="5053" w:type="dxa"/>
            <w:tcBorders>
              <w:top w:val="nil"/>
              <w:left w:val="nil"/>
              <w:bottom w:val="nil"/>
              <w:right w:val="nil"/>
            </w:tcBorders>
            <w:shd w:val="clear" w:color="000000" w:fill="FFFFFF"/>
            <w:noWrap/>
            <w:hideMark/>
          </w:tcPr>
          <w:p w:rsidR="002D43FB" w:rsidRPr="002D43FB" w:rsidRDefault="002D43FB" w:rsidP="001F03CD">
            <w:pPr>
              <w:spacing w:after="0" w:line="240" w:lineRule="auto"/>
              <w:rPr>
                <w:rFonts w:ascii="Times New Roman" w:eastAsia="Times New Roman" w:hAnsi="Times New Roman"/>
                <w:sz w:val="20"/>
                <w:szCs w:val="20"/>
                <w:lang w:eastAsia="pt-BR"/>
              </w:rPr>
            </w:pPr>
            <w:r w:rsidRPr="002D43FB">
              <w:rPr>
                <w:rFonts w:ascii="Times New Roman" w:eastAsia="Times New Roman" w:hAnsi="Times New Roman"/>
                <w:sz w:val="20"/>
                <w:szCs w:val="20"/>
                <w:lang w:eastAsia="pt-BR"/>
              </w:rPr>
              <w:t xml:space="preserve">[6] Serviços de Comércio </w:t>
            </w:r>
          </w:p>
        </w:tc>
        <w:tc>
          <w:tcPr>
            <w:tcW w:w="820"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4,3%</w:t>
            </w:r>
          </w:p>
        </w:tc>
        <w:tc>
          <w:tcPr>
            <w:tcW w:w="1155"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3,6%</w:t>
            </w:r>
          </w:p>
        </w:tc>
        <w:tc>
          <w:tcPr>
            <w:tcW w:w="1352"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4,7%</w:t>
            </w:r>
          </w:p>
        </w:tc>
      </w:tr>
      <w:tr w:rsidR="002D43FB" w:rsidRPr="002D43FB" w:rsidTr="002D43FB">
        <w:trPr>
          <w:trHeight w:val="255"/>
        </w:trPr>
        <w:tc>
          <w:tcPr>
            <w:tcW w:w="5053" w:type="dxa"/>
            <w:tcBorders>
              <w:top w:val="nil"/>
              <w:left w:val="nil"/>
              <w:bottom w:val="nil"/>
              <w:right w:val="nil"/>
            </w:tcBorders>
            <w:shd w:val="clear" w:color="000000" w:fill="FFFFFF"/>
            <w:noWrap/>
            <w:hideMark/>
          </w:tcPr>
          <w:p w:rsidR="002D43FB" w:rsidRPr="002D43FB" w:rsidRDefault="002D43FB" w:rsidP="001F03CD">
            <w:pPr>
              <w:spacing w:after="0" w:line="240" w:lineRule="auto"/>
              <w:rPr>
                <w:rFonts w:ascii="Times New Roman" w:eastAsia="Times New Roman" w:hAnsi="Times New Roman"/>
                <w:sz w:val="20"/>
                <w:szCs w:val="20"/>
                <w:lang w:eastAsia="pt-BR"/>
              </w:rPr>
            </w:pPr>
            <w:r w:rsidRPr="002D43FB">
              <w:rPr>
                <w:rFonts w:ascii="Times New Roman" w:eastAsia="Times New Roman" w:hAnsi="Times New Roman"/>
                <w:sz w:val="20"/>
                <w:szCs w:val="20"/>
                <w:lang w:eastAsia="pt-BR"/>
              </w:rPr>
              <w:t>[7] Serviços de Intermediação Financeira</w:t>
            </w:r>
          </w:p>
        </w:tc>
        <w:tc>
          <w:tcPr>
            <w:tcW w:w="820"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0,2%</w:t>
            </w:r>
          </w:p>
        </w:tc>
        <w:tc>
          <w:tcPr>
            <w:tcW w:w="1155"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0,2%</w:t>
            </w:r>
          </w:p>
        </w:tc>
        <w:tc>
          <w:tcPr>
            <w:tcW w:w="1352"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0,1%</w:t>
            </w:r>
          </w:p>
        </w:tc>
      </w:tr>
      <w:tr w:rsidR="002D43FB" w:rsidRPr="002D43FB" w:rsidTr="002D43FB">
        <w:trPr>
          <w:trHeight w:val="255"/>
        </w:trPr>
        <w:tc>
          <w:tcPr>
            <w:tcW w:w="5053" w:type="dxa"/>
            <w:tcBorders>
              <w:top w:val="nil"/>
              <w:left w:val="nil"/>
              <w:bottom w:val="nil"/>
              <w:right w:val="nil"/>
            </w:tcBorders>
            <w:shd w:val="clear" w:color="000000" w:fill="FFFFFF"/>
            <w:noWrap/>
            <w:hideMark/>
          </w:tcPr>
          <w:p w:rsidR="002D43FB" w:rsidRPr="002D43FB" w:rsidRDefault="002D43FB" w:rsidP="001F03CD">
            <w:pPr>
              <w:spacing w:after="0" w:line="240" w:lineRule="auto"/>
              <w:rPr>
                <w:rFonts w:ascii="Times New Roman" w:eastAsia="Times New Roman" w:hAnsi="Times New Roman"/>
                <w:sz w:val="20"/>
                <w:szCs w:val="20"/>
                <w:lang w:eastAsia="pt-BR"/>
              </w:rPr>
            </w:pPr>
            <w:r w:rsidRPr="002D43FB">
              <w:rPr>
                <w:rFonts w:ascii="Times New Roman" w:eastAsia="Times New Roman" w:hAnsi="Times New Roman"/>
                <w:sz w:val="20"/>
                <w:szCs w:val="20"/>
                <w:lang w:eastAsia="pt-BR"/>
              </w:rPr>
              <w:t>[8] Serviços de Transportes e Comunicações</w:t>
            </w:r>
          </w:p>
        </w:tc>
        <w:tc>
          <w:tcPr>
            <w:tcW w:w="820"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1,1%</w:t>
            </w:r>
          </w:p>
        </w:tc>
        <w:tc>
          <w:tcPr>
            <w:tcW w:w="1155"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1,1%</w:t>
            </w:r>
          </w:p>
        </w:tc>
        <w:tc>
          <w:tcPr>
            <w:tcW w:w="1352"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1,1%</w:t>
            </w:r>
          </w:p>
        </w:tc>
      </w:tr>
      <w:tr w:rsidR="002D43FB" w:rsidRPr="002D43FB" w:rsidTr="002D43FB">
        <w:trPr>
          <w:trHeight w:val="255"/>
        </w:trPr>
        <w:tc>
          <w:tcPr>
            <w:tcW w:w="5053" w:type="dxa"/>
            <w:tcBorders>
              <w:top w:val="nil"/>
              <w:left w:val="nil"/>
              <w:bottom w:val="nil"/>
              <w:right w:val="nil"/>
            </w:tcBorders>
            <w:shd w:val="clear" w:color="000000" w:fill="FFFFFF"/>
            <w:noWrap/>
            <w:hideMark/>
          </w:tcPr>
          <w:p w:rsidR="002D43FB" w:rsidRPr="002D43FB" w:rsidRDefault="002D43FB" w:rsidP="001F03CD">
            <w:pPr>
              <w:spacing w:after="0" w:line="240" w:lineRule="auto"/>
              <w:rPr>
                <w:rFonts w:ascii="Times New Roman" w:eastAsia="Times New Roman" w:hAnsi="Times New Roman"/>
                <w:sz w:val="20"/>
                <w:szCs w:val="20"/>
                <w:lang w:eastAsia="pt-BR"/>
              </w:rPr>
            </w:pPr>
            <w:r w:rsidRPr="002D43FB">
              <w:rPr>
                <w:rFonts w:ascii="Times New Roman" w:eastAsia="Times New Roman" w:hAnsi="Times New Roman"/>
                <w:sz w:val="20"/>
                <w:szCs w:val="20"/>
                <w:lang w:eastAsia="pt-BR"/>
              </w:rPr>
              <w:t>[9] Serviços de Alojamento e Alimentação</w:t>
            </w:r>
          </w:p>
        </w:tc>
        <w:tc>
          <w:tcPr>
            <w:tcW w:w="820"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1,6%</w:t>
            </w:r>
          </w:p>
        </w:tc>
        <w:tc>
          <w:tcPr>
            <w:tcW w:w="1155"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1,5%</w:t>
            </w:r>
          </w:p>
        </w:tc>
        <w:tc>
          <w:tcPr>
            <w:tcW w:w="1352"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1,7%</w:t>
            </w:r>
          </w:p>
        </w:tc>
      </w:tr>
      <w:tr w:rsidR="002D43FB" w:rsidRPr="002D43FB" w:rsidTr="002D43FB">
        <w:trPr>
          <w:trHeight w:val="255"/>
        </w:trPr>
        <w:tc>
          <w:tcPr>
            <w:tcW w:w="5053" w:type="dxa"/>
            <w:tcBorders>
              <w:top w:val="nil"/>
              <w:left w:val="nil"/>
              <w:bottom w:val="nil"/>
              <w:right w:val="nil"/>
            </w:tcBorders>
            <w:shd w:val="clear" w:color="000000" w:fill="FFFFFF"/>
            <w:noWrap/>
            <w:hideMark/>
          </w:tcPr>
          <w:p w:rsidR="002D43FB" w:rsidRPr="002D43FB" w:rsidRDefault="002D43FB" w:rsidP="001F03CD">
            <w:pPr>
              <w:spacing w:after="0" w:line="240" w:lineRule="auto"/>
              <w:rPr>
                <w:rFonts w:ascii="Times New Roman" w:eastAsia="Times New Roman" w:hAnsi="Times New Roman"/>
                <w:sz w:val="20"/>
                <w:szCs w:val="20"/>
                <w:lang w:eastAsia="pt-BR"/>
              </w:rPr>
            </w:pPr>
            <w:r w:rsidRPr="002D43FB">
              <w:rPr>
                <w:rFonts w:ascii="Times New Roman" w:eastAsia="Times New Roman" w:hAnsi="Times New Roman"/>
                <w:sz w:val="20"/>
                <w:szCs w:val="20"/>
                <w:lang w:eastAsia="pt-BR"/>
              </w:rPr>
              <w:t>[10] Serviços de Administração Pública</w:t>
            </w:r>
          </w:p>
        </w:tc>
        <w:tc>
          <w:tcPr>
            <w:tcW w:w="820"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1,9%</w:t>
            </w:r>
          </w:p>
        </w:tc>
        <w:tc>
          <w:tcPr>
            <w:tcW w:w="1155"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1,2%</w:t>
            </w:r>
          </w:p>
        </w:tc>
        <w:tc>
          <w:tcPr>
            <w:tcW w:w="1352"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2,2%</w:t>
            </w:r>
          </w:p>
        </w:tc>
      </w:tr>
      <w:tr w:rsidR="002D43FB" w:rsidRPr="002D43FB" w:rsidTr="002D43FB">
        <w:trPr>
          <w:trHeight w:val="255"/>
        </w:trPr>
        <w:tc>
          <w:tcPr>
            <w:tcW w:w="5053" w:type="dxa"/>
            <w:tcBorders>
              <w:top w:val="nil"/>
              <w:left w:val="nil"/>
              <w:bottom w:val="nil"/>
              <w:right w:val="nil"/>
            </w:tcBorders>
            <w:shd w:val="clear" w:color="000000" w:fill="FFFFFF"/>
            <w:noWrap/>
            <w:hideMark/>
          </w:tcPr>
          <w:p w:rsidR="002D43FB" w:rsidRPr="002D43FB" w:rsidRDefault="002D43FB" w:rsidP="001F03CD">
            <w:pPr>
              <w:spacing w:after="0" w:line="240" w:lineRule="auto"/>
              <w:rPr>
                <w:rFonts w:ascii="Times New Roman" w:eastAsia="Times New Roman" w:hAnsi="Times New Roman"/>
                <w:sz w:val="20"/>
                <w:szCs w:val="20"/>
                <w:lang w:eastAsia="pt-BR"/>
              </w:rPr>
            </w:pPr>
            <w:r w:rsidRPr="002D43FB">
              <w:rPr>
                <w:rFonts w:ascii="Times New Roman" w:eastAsia="Times New Roman" w:hAnsi="Times New Roman"/>
                <w:sz w:val="20"/>
                <w:szCs w:val="20"/>
                <w:lang w:eastAsia="pt-BR"/>
              </w:rPr>
              <w:t>[11] Outros Serviços</w:t>
            </w:r>
          </w:p>
        </w:tc>
        <w:tc>
          <w:tcPr>
            <w:tcW w:w="820"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13,7%</w:t>
            </w:r>
          </w:p>
        </w:tc>
        <w:tc>
          <w:tcPr>
            <w:tcW w:w="1155"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12,6%</w:t>
            </w:r>
          </w:p>
        </w:tc>
        <w:tc>
          <w:tcPr>
            <w:tcW w:w="1352"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14,2%</w:t>
            </w:r>
          </w:p>
        </w:tc>
      </w:tr>
      <w:tr w:rsidR="002D43FB" w:rsidRPr="002D43FB" w:rsidTr="002D43FB">
        <w:trPr>
          <w:trHeight w:val="270"/>
        </w:trPr>
        <w:tc>
          <w:tcPr>
            <w:tcW w:w="5053" w:type="dxa"/>
            <w:tcBorders>
              <w:top w:val="nil"/>
              <w:left w:val="nil"/>
              <w:bottom w:val="single" w:sz="8" w:space="0" w:color="auto"/>
              <w:right w:val="nil"/>
            </w:tcBorders>
            <w:shd w:val="clear" w:color="000000" w:fill="FFFFFF"/>
            <w:noWrap/>
            <w:vAlign w:val="bottom"/>
            <w:hideMark/>
          </w:tcPr>
          <w:p w:rsidR="002D43FB" w:rsidRPr="002D43FB" w:rsidRDefault="002D43FB" w:rsidP="001F03CD">
            <w:pPr>
              <w:spacing w:after="0" w:line="240" w:lineRule="auto"/>
              <w:rPr>
                <w:rFonts w:ascii="Times New Roman" w:eastAsia="Times New Roman" w:hAnsi="Times New Roman"/>
                <w:sz w:val="20"/>
                <w:szCs w:val="20"/>
                <w:lang w:eastAsia="pt-BR"/>
              </w:rPr>
            </w:pPr>
            <w:r w:rsidRPr="002D43FB">
              <w:rPr>
                <w:rFonts w:ascii="Times New Roman" w:eastAsia="Times New Roman" w:hAnsi="Times New Roman"/>
                <w:sz w:val="20"/>
                <w:szCs w:val="20"/>
                <w:lang w:eastAsia="pt-BR"/>
              </w:rPr>
              <w:t>Total</w:t>
            </w:r>
          </w:p>
        </w:tc>
        <w:tc>
          <w:tcPr>
            <w:tcW w:w="820" w:type="dxa"/>
            <w:tcBorders>
              <w:top w:val="nil"/>
              <w:left w:val="nil"/>
              <w:bottom w:val="single" w:sz="8" w:space="0" w:color="auto"/>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32,7%</w:t>
            </w:r>
          </w:p>
        </w:tc>
        <w:tc>
          <w:tcPr>
            <w:tcW w:w="1155" w:type="dxa"/>
            <w:tcBorders>
              <w:top w:val="nil"/>
              <w:left w:val="nil"/>
              <w:bottom w:val="single" w:sz="8" w:space="0" w:color="auto"/>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24,6%</w:t>
            </w:r>
          </w:p>
        </w:tc>
        <w:tc>
          <w:tcPr>
            <w:tcW w:w="1352" w:type="dxa"/>
            <w:tcBorders>
              <w:top w:val="nil"/>
              <w:left w:val="nil"/>
              <w:bottom w:val="single" w:sz="8" w:space="0" w:color="auto"/>
              <w:right w:val="nil"/>
            </w:tcBorders>
            <w:shd w:val="clear" w:color="000000" w:fill="FFFFFF"/>
            <w:noWrap/>
            <w:vAlign w:val="bottom"/>
            <w:hideMark/>
          </w:tcPr>
          <w:p w:rsidR="002D43FB" w:rsidRPr="002D43FB" w:rsidRDefault="002D43FB" w:rsidP="001F03CD">
            <w:pPr>
              <w:spacing w:after="0" w:line="240" w:lineRule="auto"/>
              <w:jc w:val="center"/>
              <w:rPr>
                <w:rFonts w:ascii="Arial" w:eastAsia="Times New Roman" w:hAnsi="Arial" w:cs="Arial"/>
                <w:sz w:val="20"/>
                <w:szCs w:val="20"/>
                <w:lang w:eastAsia="pt-BR"/>
              </w:rPr>
            </w:pPr>
            <w:r w:rsidRPr="002D43FB">
              <w:rPr>
                <w:rFonts w:ascii="Arial" w:eastAsia="Times New Roman" w:hAnsi="Arial" w:cs="Arial"/>
                <w:sz w:val="20"/>
                <w:szCs w:val="20"/>
                <w:lang w:eastAsia="pt-BR"/>
              </w:rPr>
              <w:t>37,2%</w:t>
            </w:r>
          </w:p>
        </w:tc>
      </w:tr>
      <w:tr w:rsidR="002D43FB" w:rsidRPr="002D43FB" w:rsidTr="002D43FB">
        <w:trPr>
          <w:trHeight w:val="270"/>
        </w:trPr>
        <w:tc>
          <w:tcPr>
            <w:tcW w:w="5873" w:type="dxa"/>
            <w:gridSpan w:val="2"/>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rPr>
                <w:rFonts w:ascii="Arial" w:eastAsia="Times New Roman" w:hAnsi="Arial" w:cs="Arial"/>
                <w:sz w:val="20"/>
                <w:szCs w:val="20"/>
                <w:lang w:eastAsia="pt-BR"/>
              </w:rPr>
            </w:pPr>
            <w:r w:rsidRPr="002D43FB">
              <w:rPr>
                <w:rFonts w:ascii="Arial" w:eastAsia="Times New Roman" w:hAnsi="Arial" w:cs="Arial"/>
                <w:sz w:val="20"/>
                <w:szCs w:val="20"/>
                <w:lang w:eastAsia="pt-BR"/>
              </w:rPr>
              <w:t>Fonte: Elaboração Própria com dados da PNAD.</w:t>
            </w:r>
          </w:p>
        </w:tc>
        <w:tc>
          <w:tcPr>
            <w:tcW w:w="1155"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rPr>
                <w:rFonts w:ascii="Arial" w:eastAsia="Times New Roman" w:hAnsi="Arial" w:cs="Arial"/>
                <w:sz w:val="20"/>
                <w:szCs w:val="20"/>
                <w:lang w:eastAsia="pt-BR"/>
              </w:rPr>
            </w:pPr>
            <w:r w:rsidRPr="002D43FB">
              <w:rPr>
                <w:rFonts w:ascii="Arial" w:eastAsia="Times New Roman" w:hAnsi="Arial" w:cs="Arial"/>
                <w:sz w:val="20"/>
                <w:szCs w:val="20"/>
                <w:lang w:eastAsia="pt-BR"/>
              </w:rPr>
              <w:t> </w:t>
            </w:r>
          </w:p>
        </w:tc>
        <w:tc>
          <w:tcPr>
            <w:tcW w:w="1352" w:type="dxa"/>
            <w:tcBorders>
              <w:top w:val="nil"/>
              <w:left w:val="nil"/>
              <w:bottom w:val="nil"/>
              <w:right w:val="nil"/>
            </w:tcBorders>
            <w:shd w:val="clear" w:color="000000" w:fill="FFFFFF"/>
            <w:noWrap/>
            <w:vAlign w:val="bottom"/>
            <w:hideMark/>
          </w:tcPr>
          <w:p w:rsidR="002D43FB" w:rsidRPr="002D43FB" w:rsidRDefault="002D43FB" w:rsidP="001F03CD">
            <w:pPr>
              <w:spacing w:after="0" w:line="240" w:lineRule="auto"/>
              <w:rPr>
                <w:rFonts w:ascii="Arial" w:eastAsia="Times New Roman" w:hAnsi="Arial" w:cs="Arial"/>
                <w:sz w:val="20"/>
                <w:szCs w:val="20"/>
                <w:lang w:eastAsia="pt-BR"/>
              </w:rPr>
            </w:pPr>
            <w:r w:rsidRPr="002D43FB">
              <w:rPr>
                <w:rFonts w:ascii="Arial" w:eastAsia="Times New Roman" w:hAnsi="Arial" w:cs="Arial"/>
                <w:sz w:val="20"/>
                <w:szCs w:val="20"/>
                <w:lang w:eastAsia="pt-BR"/>
              </w:rPr>
              <w:t> </w:t>
            </w:r>
          </w:p>
        </w:tc>
      </w:tr>
    </w:tbl>
    <w:p w:rsidR="0086668E" w:rsidRDefault="009312E3" w:rsidP="001F03CD">
      <w:pPr>
        <w:spacing w:line="240" w:lineRule="auto"/>
        <w:ind w:firstLine="708"/>
        <w:jc w:val="both"/>
        <w:rPr>
          <w:rFonts w:ascii="Times New Roman" w:hAnsi="Times New Roman"/>
          <w:sz w:val="24"/>
          <w:szCs w:val="24"/>
        </w:rPr>
      </w:pPr>
      <w:r>
        <w:rPr>
          <w:rFonts w:ascii="Times New Roman" w:hAnsi="Times New Roman"/>
          <w:sz w:val="24"/>
          <w:szCs w:val="24"/>
        </w:rPr>
        <w:t xml:space="preserve">Com base na Tabela 4, a maior diferença de informalidade entre as regiões metropolitanas e não metropolitanas </w:t>
      </w:r>
      <w:r w:rsidR="008D20A8">
        <w:rPr>
          <w:rFonts w:ascii="Times New Roman" w:hAnsi="Times New Roman"/>
          <w:sz w:val="24"/>
          <w:szCs w:val="24"/>
        </w:rPr>
        <w:t>poderia ser</w:t>
      </w:r>
      <w:r>
        <w:rPr>
          <w:rFonts w:ascii="Times New Roman" w:hAnsi="Times New Roman"/>
          <w:sz w:val="24"/>
          <w:szCs w:val="24"/>
        </w:rPr>
        <w:t xml:space="preserve"> fruto da grande importância da agropecuária nas regiões não metropolitanas no emprego total. </w:t>
      </w:r>
      <w:r w:rsidR="008D20A8">
        <w:rPr>
          <w:rFonts w:ascii="Times New Roman" w:hAnsi="Times New Roman"/>
          <w:sz w:val="24"/>
          <w:szCs w:val="24"/>
        </w:rPr>
        <w:t xml:space="preserve">Entretanto, esta explicação não se comprova verdadeira. </w:t>
      </w:r>
      <w:r>
        <w:rPr>
          <w:rFonts w:ascii="Times New Roman" w:hAnsi="Times New Roman"/>
          <w:sz w:val="24"/>
          <w:szCs w:val="24"/>
        </w:rPr>
        <w:t xml:space="preserve">Para ilustrar este fato, </w:t>
      </w:r>
      <w:r w:rsidR="008D20A8">
        <w:rPr>
          <w:rFonts w:ascii="Times New Roman" w:hAnsi="Times New Roman"/>
          <w:sz w:val="24"/>
          <w:szCs w:val="24"/>
        </w:rPr>
        <w:t>realiza-se um</w:t>
      </w:r>
      <w:r w:rsidR="00034F4B">
        <w:rPr>
          <w:rFonts w:ascii="Times New Roman" w:hAnsi="Times New Roman"/>
          <w:sz w:val="24"/>
          <w:szCs w:val="24"/>
        </w:rPr>
        <w:t xml:space="preserve"> simples</w:t>
      </w:r>
      <w:r w:rsidR="008D20A8">
        <w:rPr>
          <w:rFonts w:ascii="Times New Roman" w:hAnsi="Times New Roman"/>
          <w:sz w:val="24"/>
          <w:szCs w:val="24"/>
        </w:rPr>
        <w:t xml:space="preserve"> exercício </w:t>
      </w:r>
      <w:r w:rsidR="00735353">
        <w:rPr>
          <w:rFonts w:ascii="Times New Roman" w:hAnsi="Times New Roman"/>
          <w:sz w:val="24"/>
          <w:szCs w:val="24"/>
        </w:rPr>
        <w:t>contra factual</w:t>
      </w:r>
      <w:r w:rsidR="00926662">
        <w:rPr>
          <w:rFonts w:ascii="Times New Roman" w:hAnsi="Times New Roman"/>
          <w:sz w:val="24"/>
          <w:szCs w:val="24"/>
        </w:rPr>
        <w:t>:</w:t>
      </w:r>
      <w:r w:rsidR="008D20A8">
        <w:rPr>
          <w:rFonts w:ascii="Times New Roman" w:hAnsi="Times New Roman"/>
          <w:sz w:val="24"/>
          <w:szCs w:val="24"/>
        </w:rPr>
        <w:t xml:space="preserve"> calcula-se a informalidade das RMs e das NRMs utilizando a mesma participação relativa do emprego e variando-se somente a taxa da informalidade. Ou seja, pondera-se a taxa de informalidade das RMs pelo peso relativo dos setores </w:t>
      </w:r>
      <w:r w:rsidR="0053625A">
        <w:rPr>
          <w:rFonts w:ascii="Times New Roman" w:hAnsi="Times New Roman"/>
          <w:sz w:val="24"/>
          <w:szCs w:val="24"/>
        </w:rPr>
        <w:t>n</w:t>
      </w:r>
      <w:r w:rsidR="008D20A8">
        <w:rPr>
          <w:rFonts w:ascii="Times New Roman" w:hAnsi="Times New Roman"/>
          <w:sz w:val="24"/>
          <w:szCs w:val="24"/>
        </w:rPr>
        <w:t>as NRMs e vice-versa.</w:t>
      </w:r>
      <w:r>
        <w:rPr>
          <w:rFonts w:ascii="Times New Roman" w:hAnsi="Times New Roman"/>
          <w:sz w:val="24"/>
          <w:szCs w:val="24"/>
        </w:rPr>
        <w:t xml:space="preserve"> </w:t>
      </w:r>
      <w:r w:rsidR="008D20A8">
        <w:rPr>
          <w:rFonts w:ascii="Times New Roman" w:hAnsi="Times New Roman"/>
          <w:sz w:val="24"/>
          <w:szCs w:val="24"/>
        </w:rPr>
        <w:t xml:space="preserve">A </w:t>
      </w:r>
      <w:r>
        <w:rPr>
          <w:rFonts w:ascii="Times New Roman" w:hAnsi="Times New Roman"/>
          <w:sz w:val="24"/>
          <w:szCs w:val="24"/>
        </w:rPr>
        <w:t xml:space="preserve">Tabela </w:t>
      </w:r>
      <w:r w:rsidR="00B11115">
        <w:rPr>
          <w:rFonts w:ascii="Times New Roman" w:hAnsi="Times New Roman"/>
          <w:sz w:val="24"/>
          <w:szCs w:val="24"/>
        </w:rPr>
        <w:t>6</w:t>
      </w:r>
      <w:r w:rsidR="008D20A8">
        <w:rPr>
          <w:rFonts w:ascii="Times New Roman" w:hAnsi="Times New Roman"/>
          <w:sz w:val="24"/>
          <w:szCs w:val="24"/>
        </w:rPr>
        <w:t xml:space="preserve"> </w:t>
      </w:r>
      <w:r>
        <w:rPr>
          <w:rFonts w:ascii="Times New Roman" w:hAnsi="Times New Roman"/>
          <w:sz w:val="24"/>
          <w:szCs w:val="24"/>
        </w:rPr>
        <w:t xml:space="preserve">mostra </w:t>
      </w:r>
      <w:r w:rsidR="00926662">
        <w:rPr>
          <w:rFonts w:ascii="Times New Roman" w:hAnsi="Times New Roman"/>
          <w:sz w:val="24"/>
          <w:szCs w:val="24"/>
        </w:rPr>
        <w:t>o resultado deste exercício, sendo que: (i) a</w:t>
      </w:r>
      <w:r w:rsidR="008D20A8">
        <w:rPr>
          <w:rFonts w:ascii="Times New Roman" w:hAnsi="Times New Roman"/>
          <w:sz w:val="24"/>
          <w:szCs w:val="24"/>
        </w:rPr>
        <w:t xml:space="preserve">s colunas 2 e 3 calculam a taxa de informalidade utilizando o peso </w:t>
      </w:r>
      <w:r w:rsidR="00926662">
        <w:rPr>
          <w:rFonts w:ascii="Times New Roman" w:hAnsi="Times New Roman"/>
          <w:sz w:val="24"/>
          <w:szCs w:val="24"/>
        </w:rPr>
        <w:t>d</w:t>
      </w:r>
      <w:r w:rsidR="008D20A8">
        <w:rPr>
          <w:rFonts w:ascii="Times New Roman" w:hAnsi="Times New Roman"/>
          <w:sz w:val="24"/>
          <w:szCs w:val="24"/>
        </w:rPr>
        <w:t>as RMs</w:t>
      </w:r>
      <w:r w:rsidR="00C05DBB">
        <w:rPr>
          <w:rFonts w:ascii="Times New Roman" w:hAnsi="Times New Roman"/>
          <w:sz w:val="24"/>
          <w:szCs w:val="24"/>
        </w:rPr>
        <w:t xml:space="preserve"> </w:t>
      </w:r>
      <w:r w:rsidR="008D20A8">
        <w:rPr>
          <w:rFonts w:ascii="Times New Roman" w:hAnsi="Times New Roman"/>
          <w:sz w:val="24"/>
          <w:szCs w:val="24"/>
        </w:rPr>
        <w:t>e</w:t>
      </w:r>
      <w:r w:rsidR="00926662">
        <w:rPr>
          <w:rFonts w:ascii="Times New Roman" w:hAnsi="Times New Roman"/>
          <w:sz w:val="24"/>
          <w:szCs w:val="24"/>
        </w:rPr>
        <w:t xml:space="preserve"> (ii)</w:t>
      </w:r>
      <w:r w:rsidR="008D20A8">
        <w:rPr>
          <w:rFonts w:ascii="Times New Roman" w:hAnsi="Times New Roman"/>
          <w:sz w:val="24"/>
          <w:szCs w:val="24"/>
        </w:rPr>
        <w:t xml:space="preserve"> as colunas </w:t>
      </w:r>
      <w:r w:rsidR="00671CAD">
        <w:rPr>
          <w:rFonts w:ascii="Times New Roman" w:hAnsi="Times New Roman"/>
          <w:sz w:val="24"/>
          <w:szCs w:val="24"/>
        </w:rPr>
        <w:t>5</w:t>
      </w:r>
      <w:r w:rsidR="008D20A8">
        <w:rPr>
          <w:rFonts w:ascii="Times New Roman" w:hAnsi="Times New Roman"/>
          <w:sz w:val="24"/>
          <w:szCs w:val="24"/>
        </w:rPr>
        <w:t xml:space="preserve"> e </w:t>
      </w:r>
      <w:r w:rsidR="00671CAD">
        <w:rPr>
          <w:rFonts w:ascii="Times New Roman" w:hAnsi="Times New Roman"/>
          <w:sz w:val="24"/>
          <w:szCs w:val="24"/>
        </w:rPr>
        <w:t>6</w:t>
      </w:r>
      <w:r w:rsidR="008D20A8">
        <w:rPr>
          <w:rFonts w:ascii="Times New Roman" w:hAnsi="Times New Roman"/>
          <w:sz w:val="24"/>
          <w:szCs w:val="24"/>
        </w:rPr>
        <w:t xml:space="preserve"> calculam a taxa de informalidade utilizando o peso </w:t>
      </w:r>
      <w:r w:rsidR="00926662">
        <w:rPr>
          <w:rFonts w:ascii="Times New Roman" w:hAnsi="Times New Roman"/>
          <w:sz w:val="24"/>
          <w:szCs w:val="24"/>
        </w:rPr>
        <w:t>d</w:t>
      </w:r>
      <w:r w:rsidR="008D20A8">
        <w:rPr>
          <w:rFonts w:ascii="Times New Roman" w:hAnsi="Times New Roman"/>
          <w:sz w:val="24"/>
          <w:szCs w:val="24"/>
        </w:rPr>
        <w:t>as NRMs</w:t>
      </w:r>
      <w:r w:rsidR="00C05DBB">
        <w:rPr>
          <w:rFonts w:ascii="Times New Roman" w:hAnsi="Times New Roman"/>
          <w:sz w:val="24"/>
          <w:szCs w:val="24"/>
        </w:rPr>
        <w:t xml:space="preserve">. Assim, a coluna 3 </w:t>
      </w:r>
      <w:r w:rsidR="00926662">
        <w:rPr>
          <w:rFonts w:ascii="Times New Roman" w:hAnsi="Times New Roman"/>
          <w:sz w:val="24"/>
          <w:szCs w:val="24"/>
        </w:rPr>
        <w:t xml:space="preserve">é </w:t>
      </w:r>
      <w:r w:rsidR="00C05DBB">
        <w:rPr>
          <w:rFonts w:ascii="Times New Roman" w:hAnsi="Times New Roman"/>
          <w:sz w:val="24"/>
          <w:szCs w:val="24"/>
        </w:rPr>
        <w:t xml:space="preserve">a contribuição </w:t>
      </w:r>
      <w:r w:rsidR="00BC79BF">
        <w:rPr>
          <w:rFonts w:ascii="Times New Roman" w:hAnsi="Times New Roman"/>
          <w:sz w:val="24"/>
          <w:szCs w:val="24"/>
        </w:rPr>
        <w:t>contra factual</w:t>
      </w:r>
      <w:r w:rsidR="00C05DBB">
        <w:rPr>
          <w:rFonts w:ascii="Times New Roman" w:hAnsi="Times New Roman"/>
          <w:sz w:val="24"/>
          <w:szCs w:val="24"/>
        </w:rPr>
        <w:t xml:space="preserve"> para a taxa de informalidade da economia se, por exemplo, a informalidade do setor agropecuário nas NRMs</w:t>
      </w:r>
      <w:r w:rsidR="00FB3AB9">
        <w:rPr>
          <w:rFonts w:ascii="Times New Roman" w:hAnsi="Times New Roman"/>
          <w:sz w:val="24"/>
          <w:szCs w:val="24"/>
        </w:rPr>
        <w:t xml:space="preserve"> (</w:t>
      </w:r>
      <w:r w:rsidR="0053625A">
        <w:rPr>
          <w:rFonts w:ascii="Times New Roman" w:hAnsi="Times New Roman"/>
          <w:sz w:val="24"/>
          <w:szCs w:val="24"/>
        </w:rPr>
        <w:t>60</w:t>
      </w:r>
      <w:r w:rsidR="00FB3AB9">
        <w:rPr>
          <w:rFonts w:ascii="Times New Roman" w:hAnsi="Times New Roman"/>
          <w:sz w:val="24"/>
          <w:szCs w:val="24"/>
        </w:rPr>
        <w:t>,4%, coluna 4 da Tabela 4)</w:t>
      </w:r>
      <w:r w:rsidR="00C05DBB">
        <w:rPr>
          <w:rFonts w:ascii="Times New Roman" w:hAnsi="Times New Roman"/>
          <w:sz w:val="24"/>
          <w:szCs w:val="24"/>
        </w:rPr>
        <w:t xml:space="preserve"> tivesse o peso</w:t>
      </w:r>
      <w:r w:rsidR="00FB3AB9">
        <w:rPr>
          <w:rFonts w:ascii="Times New Roman" w:hAnsi="Times New Roman"/>
          <w:sz w:val="24"/>
          <w:szCs w:val="24"/>
        </w:rPr>
        <w:t xml:space="preserve"> observado nas RMs (0,</w:t>
      </w:r>
      <w:r w:rsidR="0053625A">
        <w:rPr>
          <w:rFonts w:ascii="Times New Roman" w:hAnsi="Times New Roman"/>
          <w:sz w:val="24"/>
          <w:szCs w:val="24"/>
        </w:rPr>
        <w:t>6</w:t>
      </w:r>
      <w:r w:rsidR="00FB3AB9">
        <w:rPr>
          <w:rFonts w:ascii="Times New Roman" w:hAnsi="Times New Roman"/>
          <w:sz w:val="24"/>
          <w:szCs w:val="24"/>
        </w:rPr>
        <w:t>%)</w:t>
      </w:r>
      <w:r w:rsidR="008D20A8">
        <w:rPr>
          <w:rFonts w:ascii="Times New Roman" w:hAnsi="Times New Roman"/>
          <w:sz w:val="24"/>
          <w:szCs w:val="24"/>
        </w:rPr>
        <w:t xml:space="preserve">. </w:t>
      </w:r>
    </w:p>
    <w:tbl>
      <w:tblPr>
        <w:tblW w:w="9670" w:type="dxa"/>
        <w:tblInd w:w="70" w:type="dxa"/>
        <w:tblCellMar>
          <w:left w:w="70" w:type="dxa"/>
          <w:right w:w="70" w:type="dxa"/>
        </w:tblCellMar>
        <w:tblLook w:val="04A0" w:firstRow="1" w:lastRow="0" w:firstColumn="1" w:lastColumn="0" w:noHBand="0" w:noVBand="1"/>
      </w:tblPr>
      <w:tblGrid>
        <w:gridCol w:w="3559"/>
        <w:gridCol w:w="896"/>
        <w:gridCol w:w="1041"/>
        <w:gridCol w:w="1174"/>
        <w:gridCol w:w="896"/>
        <w:gridCol w:w="1041"/>
        <w:gridCol w:w="1063"/>
      </w:tblGrid>
      <w:tr w:rsidR="00797384" w:rsidRPr="00797384" w:rsidTr="001F03CD">
        <w:trPr>
          <w:trHeight w:val="270"/>
        </w:trPr>
        <w:tc>
          <w:tcPr>
            <w:tcW w:w="9670" w:type="dxa"/>
            <w:gridSpan w:val="7"/>
            <w:tcBorders>
              <w:top w:val="single" w:sz="8" w:space="0" w:color="auto"/>
              <w:left w:val="nil"/>
              <w:bottom w:val="single" w:sz="8" w:space="0" w:color="auto"/>
              <w:right w:val="nil"/>
            </w:tcBorders>
            <w:shd w:val="clear" w:color="000000" w:fill="FFFFFF"/>
            <w:vAlign w:val="center"/>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 xml:space="preserve">Tabela 6: Contra factual: Contribuição para a Taxa de Informalidade por Setor em 2011 com Pesos </w:t>
            </w:r>
            <w:r w:rsidRPr="00797384">
              <w:rPr>
                <w:rFonts w:ascii="Arial" w:eastAsia="Times New Roman" w:hAnsi="Arial" w:cs="Arial"/>
                <w:sz w:val="20"/>
                <w:szCs w:val="20"/>
                <w:lang w:eastAsia="pt-BR"/>
              </w:rPr>
              <w:lastRenderedPageBreak/>
              <w:t>Diferentes</w:t>
            </w:r>
          </w:p>
        </w:tc>
      </w:tr>
      <w:tr w:rsidR="00797384" w:rsidRPr="00797384" w:rsidTr="001F03CD">
        <w:trPr>
          <w:trHeight w:val="270"/>
        </w:trPr>
        <w:tc>
          <w:tcPr>
            <w:tcW w:w="3559" w:type="dxa"/>
            <w:tcBorders>
              <w:top w:val="nil"/>
              <w:left w:val="nil"/>
              <w:bottom w:val="single" w:sz="8" w:space="0" w:color="auto"/>
              <w:right w:val="nil"/>
            </w:tcBorders>
            <w:shd w:val="clear" w:color="000000" w:fill="FFFFFF"/>
            <w:noWrap/>
            <w:vAlign w:val="bottom"/>
            <w:hideMark/>
          </w:tcPr>
          <w:p w:rsidR="00797384" w:rsidRPr="00797384" w:rsidRDefault="00797384" w:rsidP="001F03CD">
            <w:pPr>
              <w:spacing w:after="0" w:line="240" w:lineRule="auto"/>
              <w:rPr>
                <w:rFonts w:ascii="Arial" w:eastAsia="Times New Roman" w:hAnsi="Arial" w:cs="Arial"/>
                <w:sz w:val="20"/>
                <w:szCs w:val="20"/>
                <w:lang w:eastAsia="pt-BR"/>
              </w:rPr>
            </w:pPr>
            <w:r w:rsidRPr="00797384">
              <w:rPr>
                <w:rFonts w:ascii="Arial" w:eastAsia="Times New Roman" w:hAnsi="Arial" w:cs="Arial"/>
                <w:sz w:val="20"/>
                <w:szCs w:val="20"/>
                <w:lang w:eastAsia="pt-BR"/>
              </w:rPr>
              <w:lastRenderedPageBreak/>
              <w:t> </w:t>
            </w:r>
          </w:p>
        </w:tc>
        <w:tc>
          <w:tcPr>
            <w:tcW w:w="3111" w:type="dxa"/>
            <w:gridSpan w:val="3"/>
            <w:tcBorders>
              <w:top w:val="single" w:sz="8" w:space="0" w:color="auto"/>
              <w:left w:val="nil"/>
              <w:bottom w:val="single" w:sz="8" w:space="0" w:color="auto"/>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Peso das RMs</w:t>
            </w:r>
          </w:p>
        </w:tc>
        <w:tc>
          <w:tcPr>
            <w:tcW w:w="3000" w:type="dxa"/>
            <w:gridSpan w:val="3"/>
            <w:tcBorders>
              <w:top w:val="single" w:sz="8" w:space="0" w:color="auto"/>
              <w:left w:val="nil"/>
              <w:bottom w:val="single" w:sz="8" w:space="0" w:color="auto"/>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Peso das NRMs</w:t>
            </w:r>
          </w:p>
        </w:tc>
      </w:tr>
      <w:tr w:rsidR="00797384" w:rsidRPr="00797384" w:rsidTr="001F03CD">
        <w:trPr>
          <w:trHeight w:val="780"/>
        </w:trPr>
        <w:tc>
          <w:tcPr>
            <w:tcW w:w="3559" w:type="dxa"/>
            <w:tcBorders>
              <w:top w:val="nil"/>
              <w:left w:val="nil"/>
              <w:bottom w:val="single" w:sz="8" w:space="0" w:color="auto"/>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 </w:t>
            </w:r>
          </w:p>
        </w:tc>
        <w:tc>
          <w:tcPr>
            <w:tcW w:w="896" w:type="dxa"/>
            <w:tcBorders>
              <w:top w:val="nil"/>
              <w:left w:val="nil"/>
              <w:bottom w:val="single" w:sz="8" w:space="0" w:color="auto"/>
              <w:right w:val="nil"/>
            </w:tcBorders>
            <w:shd w:val="clear" w:color="000000" w:fill="FFFFFF"/>
            <w:vAlign w:val="center"/>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2011RM (2)</w:t>
            </w:r>
          </w:p>
        </w:tc>
        <w:tc>
          <w:tcPr>
            <w:tcW w:w="1041" w:type="dxa"/>
            <w:tcBorders>
              <w:top w:val="nil"/>
              <w:left w:val="nil"/>
              <w:bottom w:val="single" w:sz="8" w:space="0" w:color="auto"/>
              <w:right w:val="nil"/>
            </w:tcBorders>
            <w:shd w:val="clear" w:color="000000" w:fill="FFFFFF"/>
            <w:vAlign w:val="center"/>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 xml:space="preserve">2011NRM (3) </w:t>
            </w:r>
          </w:p>
        </w:tc>
        <w:tc>
          <w:tcPr>
            <w:tcW w:w="1174" w:type="dxa"/>
            <w:tcBorders>
              <w:top w:val="nil"/>
              <w:left w:val="nil"/>
              <w:bottom w:val="single" w:sz="8" w:space="0" w:color="auto"/>
              <w:right w:val="nil"/>
            </w:tcBorders>
            <w:shd w:val="clear" w:color="000000" w:fill="FFFFFF"/>
            <w:vAlign w:val="center"/>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(2) - (3) = (4) (em p.p.)</w:t>
            </w:r>
          </w:p>
        </w:tc>
        <w:tc>
          <w:tcPr>
            <w:tcW w:w="896" w:type="dxa"/>
            <w:tcBorders>
              <w:top w:val="nil"/>
              <w:left w:val="nil"/>
              <w:bottom w:val="single" w:sz="8" w:space="0" w:color="auto"/>
              <w:right w:val="nil"/>
            </w:tcBorders>
            <w:shd w:val="clear" w:color="000000" w:fill="FFFFFF"/>
            <w:vAlign w:val="center"/>
            <w:hideMark/>
          </w:tcPr>
          <w:p w:rsidR="00797384" w:rsidRPr="00797384" w:rsidRDefault="00797384" w:rsidP="001F03CD">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2011</w:t>
            </w:r>
            <w:r w:rsidRPr="00797384">
              <w:rPr>
                <w:rFonts w:ascii="Arial" w:eastAsia="Times New Roman" w:hAnsi="Arial" w:cs="Arial"/>
                <w:sz w:val="20"/>
                <w:szCs w:val="20"/>
                <w:lang w:eastAsia="pt-BR"/>
              </w:rPr>
              <w:t>RM (5)</w:t>
            </w:r>
          </w:p>
        </w:tc>
        <w:tc>
          <w:tcPr>
            <w:tcW w:w="1041" w:type="dxa"/>
            <w:tcBorders>
              <w:top w:val="nil"/>
              <w:left w:val="nil"/>
              <w:bottom w:val="single" w:sz="8" w:space="0" w:color="auto"/>
              <w:right w:val="nil"/>
            </w:tcBorders>
            <w:shd w:val="clear" w:color="000000" w:fill="FFFFFF"/>
            <w:vAlign w:val="center"/>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2011NRM (6)</w:t>
            </w:r>
          </w:p>
        </w:tc>
        <w:tc>
          <w:tcPr>
            <w:tcW w:w="1063" w:type="dxa"/>
            <w:tcBorders>
              <w:top w:val="nil"/>
              <w:left w:val="nil"/>
              <w:bottom w:val="single" w:sz="8" w:space="0" w:color="auto"/>
              <w:right w:val="nil"/>
            </w:tcBorders>
            <w:shd w:val="clear" w:color="000000" w:fill="FFFFFF"/>
            <w:vAlign w:val="center"/>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(5) - (6) = (7) (em p.p.)</w:t>
            </w:r>
          </w:p>
        </w:tc>
      </w:tr>
      <w:tr w:rsidR="00797384" w:rsidRPr="00797384" w:rsidTr="001F03CD">
        <w:trPr>
          <w:trHeight w:val="255"/>
        </w:trPr>
        <w:tc>
          <w:tcPr>
            <w:tcW w:w="3559"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rPr>
                <w:rFonts w:ascii="Times New Roman" w:eastAsia="Times New Roman" w:hAnsi="Times New Roman"/>
                <w:sz w:val="20"/>
                <w:szCs w:val="20"/>
                <w:lang w:eastAsia="pt-BR"/>
              </w:rPr>
            </w:pPr>
            <w:r w:rsidRPr="00797384">
              <w:rPr>
                <w:rFonts w:ascii="Times New Roman" w:eastAsia="Times New Roman" w:hAnsi="Times New Roman"/>
                <w:sz w:val="20"/>
                <w:szCs w:val="20"/>
                <w:lang w:eastAsia="pt-BR"/>
              </w:rPr>
              <w:t>indefinido</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c>
          <w:tcPr>
            <w:tcW w:w="1174"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c>
          <w:tcPr>
            <w:tcW w:w="1063"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r>
      <w:tr w:rsidR="00797384" w:rsidRPr="00797384" w:rsidTr="001F03CD">
        <w:trPr>
          <w:trHeight w:val="255"/>
        </w:trPr>
        <w:tc>
          <w:tcPr>
            <w:tcW w:w="3559" w:type="dxa"/>
            <w:tcBorders>
              <w:top w:val="nil"/>
              <w:left w:val="nil"/>
              <w:bottom w:val="nil"/>
              <w:right w:val="nil"/>
            </w:tcBorders>
            <w:shd w:val="clear" w:color="000000" w:fill="FFFFFF"/>
            <w:noWrap/>
            <w:hideMark/>
          </w:tcPr>
          <w:p w:rsidR="00797384" w:rsidRPr="00797384" w:rsidRDefault="00797384" w:rsidP="001F03CD">
            <w:pPr>
              <w:spacing w:after="0" w:line="240" w:lineRule="auto"/>
              <w:rPr>
                <w:rFonts w:ascii="Times New Roman" w:eastAsia="Times New Roman" w:hAnsi="Times New Roman"/>
                <w:sz w:val="20"/>
                <w:szCs w:val="20"/>
                <w:lang w:eastAsia="pt-BR"/>
              </w:rPr>
            </w:pPr>
            <w:r w:rsidRPr="00797384">
              <w:rPr>
                <w:rFonts w:ascii="Times New Roman" w:eastAsia="Times New Roman" w:hAnsi="Times New Roman"/>
                <w:sz w:val="20"/>
                <w:szCs w:val="20"/>
                <w:lang w:eastAsia="pt-BR"/>
              </w:rPr>
              <w:t xml:space="preserve">[1] Agropecuária </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0,4%</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0,4%</w:t>
            </w:r>
          </w:p>
        </w:tc>
        <w:tc>
          <w:tcPr>
            <w:tcW w:w="1174"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6,1%</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6,7%</w:t>
            </w:r>
          </w:p>
        </w:tc>
        <w:tc>
          <w:tcPr>
            <w:tcW w:w="1063"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0,6</w:t>
            </w:r>
          </w:p>
        </w:tc>
      </w:tr>
      <w:tr w:rsidR="00797384" w:rsidRPr="00797384" w:rsidTr="001F03CD">
        <w:trPr>
          <w:trHeight w:val="255"/>
        </w:trPr>
        <w:tc>
          <w:tcPr>
            <w:tcW w:w="3559" w:type="dxa"/>
            <w:tcBorders>
              <w:top w:val="nil"/>
              <w:left w:val="nil"/>
              <w:bottom w:val="nil"/>
              <w:right w:val="nil"/>
            </w:tcBorders>
            <w:shd w:val="clear" w:color="000000" w:fill="FFFFFF"/>
            <w:noWrap/>
            <w:hideMark/>
          </w:tcPr>
          <w:p w:rsidR="00797384" w:rsidRPr="00797384" w:rsidRDefault="00797384" w:rsidP="001F03CD">
            <w:pPr>
              <w:spacing w:after="0" w:line="240" w:lineRule="auto"/>
              <w:rPr>
                <w:rFonts w:ascii="Times New Roman" w:eastAsia="Times New Roman" w:hAnsi="Times New Roman"/>
                <w:sz w:val="20"/>
                <w:szCs w:val="20"/>
                <w:lang w:eastAsia="pt-BR"/>
              </w:rPr>
            </w:pPr>
            <w:r w:rsidRPr="00797384">
              <w:rPr>
                <w:rFonts w:ascii="Times New Roman" w:eastAsia="Times New Roman" w:hAnsi="Times New Roman"/>
                <w:sz w:val="20"/>
                <w:szCs w:val="20"/>
                <w:lang w:eastAsia="pt-BR"/>
              </w:rPr>
              <w:t>[2] Indústria Extrativa Mineral</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0,1%</w:t>
            </w:r>
          </w:p>
        </w:tc>
        <w:tc>
          <w:tcPr>
            <w:tcW w:w="1174"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0,1%</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0,1%</w:t>
            </w:r>
          </w:p>
        </w:tc>
        <w:tc>
          <w:tcPr>
            <w:tcW w:w="1063"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0,1</w:t>
            </w:r>
          </w:p>
        </w:tc>
      </w:tr>
      <w:tr w:rsidR="00797384" w:rsidRPr="00797384" w:rsidTr="001F03CD">
        <w:trPr>
          <w:trHeight w:val="255"/>
        </w:trPr>
        <w:tc>
          <w:tcPr>
            <w:tcW w:w="3559" w:type="dxa"/>
            <w:tcBorders>
              <w:top w:val="nil"/>
              <w:left w:val="nil"/>
              <w:bottom w:val="nil"/>
              <w:right w:val="nil"/>
            </w:tcBorders>
            <w:shd w:val="clear" w:color="000000" w:fill="FFFFFF"/>
            <w:noWrap/>
            <w:hideMark/>
          </w:tcPr>
          <w:p w:rsidR="00797384" w:rsidRPr="00797384" w:rsidRDefault="00797384" w:rsidP="001F03CD">
            <w:pPr>
              <w:spacing w:after="0" w:line="240" w:lineRule="auto"/>
              <w:rPr>
                <w:rFonts w:ascii="Times New Roman" w:eastAsia="Times New Roman" w:hAnsi="Times New Roman"/>
                <w:sz w:val="20"/>
                <w:szCs w:val="20"/>
                <w:lang w:eastAsia="pt-BR"/>
              </w:rPr>
            </w:pPr>
            <w:r w:rsidRPr="00797384">
              <w:rPr>
                <w:rFonts w:ascii="Times New Roman" w:eastAsia="Times New Roman" w:hAnsi="Times New Roman"/>
                <w:sz w:val="20"/>
                <w:szCs w:val="20"/>
                <w:lang w:eastAsia="pt-BR"/>
              </w:rPr>
              <w:t>[3] Indústria de Transformação</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1,9%</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2,3%</w:t>
            </w:r>
          </w:p>
        </w:tc>
        <w:tc>
          <w:tcPr>
            <w:tcW w:w="1174"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0,4</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2,1%</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2,6%</w:t>
            </w:r>
          </w:p>
        </w:tc>
        <w:tc>
          <w:tcPr>
            <w:tcW w:w="1063"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0,5</w:t>
            </w:r>
          </w:p>
        </w:tc>
      </w:tr>
      <w:tr w:rsidR="00797384" w:rsidRPr="00797384" w:rsidTr="001F03CD">
        <w:trPr>
          <w:trHeight w:val="255"/>
        </w:trPr>
        <w:tc>
          <w:tcPr>
            <w:tcW w:w="3559" w:type="dxa"/>
            <w:tcBorders>
              <w:top w:val="nil"/>
              <w:left w:val="nil"/>
              <w:bottom w:val="nil"/>
              <w:right w:val="nil"/>
            </w:tcBorders>
            <w:shd w:val="clear" w:color="000000" w:fill="FFFFFF"/>
            <w:noWrap/>
            <w:hideMark/>
          </w:tcPr>
          <w:p w:rsidR="00797384" w:rsidRPr="00797384" w:rsidRDefault="00797384" w:rsidP="001F03CD">
            <w:pPr>
              <w:spacing w:after="0" w:line="240" w:lineRule="auto"/>
              <w:rPr>
                <w:rFonts w:ascii="Times New Roman" w:eastAsia="Times New Roman" w:hAnsi="Times New Roman"/>
                <w:sz w:val="20"/>
                <w:szCs w:val="20"/>
                <w:lang w:eastAsia="pt-BR"/>
              </w:rPr>
            </w:pPr>
            <w:r w:rsidRPr="00797384">
              <w:rPr>
                <w:rFonts w:ascii="Times New Roman" w:eastAsia="Times New Roman" w:hAnsi="Times New Roman"/>
                <w:sz w:val="20"/>
                <w:szCs w:val="20"/>
                <w:lang w:eastAsia="pt-BR"/>
              </w:rPr>
              <w:t xml:space="preserve">[4] Indústria de Construção </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1,9%</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2,9%</w:t>
            </w:r>
          </w:p>
        </w:tc>
        <w:tc>
          <w:tcPr>
            <w:tcW w:w="1174"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1,0</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2,4%</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3,6%</w:t>
            </w:r>
          </w:p>
        </w:tc>
        <w:tc>
          <w:tcPr>
            <w:tcW w:w="1063"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1,2</w:t>
            </w:r>
          </w:p>
        </w:tc>
      </w:tr>
      <w:tr w:rsidR="00797384" w:rsidRPr="00797384" w:rsidTr="001F03CD">
        <w:trPr>
          <w:trHeight w:val="255"/>
        </w:trPr>
        <w:tc>
          <w:tcPr>
            <w:tcW w:w="3559" w:type="dxa"/>
            <w:tcBorders>
              <w:top w:val="nil"/>
              <w:left w:val="nil"/>
              <w:bottom w:val="nil"/>
              <w:right w:val="nil"/>
            </w:tcBorders>
            <w:shd w:val="clear" w:color="000000" w:fill="FFFFFF"/>
            <w:noWrap/>
            <w:hideMark/>
          </w:tcPr>
          <w:p w:rsidR="00797384" w:rsidRPr="00797384" w:rsidRDefault="00797384" w:rsidP="001F03CD">
            <w:pPr>
              <w:spacing w:after="0" w:line="240" w:lineRule="auto"/>
              <w:rPr>
                <w:rFonts w:ascii="Times New Roman" w:eastAsia="Times New Roman" w:hAnsi="Times New Roman"/>
                <w:sz w:val="20"/>
                <w:szCs w:val="20"/>
                <w:lang w:eastAsia="pt-BR"/>
              </w:rPr>
            </w:pPr>
            <w:r w:rsidRPr="00797384">
              <w:rPr>
                <w:rFonts w:ascii="Times New Roman" w:eastAsia="Times New Roman" w:hAnsi="Times New Roman"/>
                <w:sz w:val="20"/>
                <w:szCs w:val="20"/>
                <w:lang w:eastAsia="pt-BR"/>
              </w:rPr>
              <w:t>[5] Indústria de Serviços de Utilidade Pública</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c>
          <w:tcPr>
            <w:tcW w:w="1174"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0,1%</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c>
          <w:tcPr>
            <w:tcW w:w="1063"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r>
      <w:tr w:rsidR="00797384" w:rsidRPr="00797384" w:rsidTr="001F03CD">
        <w:trPr>
          <w:trHeight w:val="255"/>
        </w:trPr>
        <w:tc>
          <w:tcPr>
            <w:tcW w:w="3559" w:type="dxa"/>
            <w:tcBorders>
              <w:top w:val="nil"/>
              <w:left w:val="nil"/>
              <w:bottom w:val="nil"/>
              <w:right w:val="nil"/>
            </w:tcBorders>
            <w:shd w:val="clear" w:color="000000" w:fill="FFFFFF"/>
            <w:noWrap/>
            <w:hideMark/>
          </w:tcPr>
          <w:p w:rsidR="00797384" w:rsidRPr="00797384" w:rsidRDefault="00797384" w:rsidP="001F03CD">
            <w:pPr>
              <w:spacing w:after="0" w:line="240" w:lineRule="auto"/>
              <w:rPr>
                <w:rFonts w:ascii="Times New Roman" w:eastAsia="Times New Roman" w:hAnsi="Times New Roman"/>
                <w:sz w:val="20"/>
                <w:szCs w:val="20"/>
                <w:lang w:eastAsia="pt-BR"/>
              </w:rPr>
            </w:pPr>
            <w:r w:rsidRPr="00797384">
              <w:rPr>
                <w:rFonts w:ascii="Times New Roman" w:eastAsia="Times New Roman" w:hAnsi="Times New Roman"/>
                <w:sz w:val="20"/>
                <w:szCs w:val="20"/>
                <w:lang w:eastAsia="pt-BR"/>
              </w:rPr>
              <w:t xml:space="preserve">[6] Serviços de Comércio </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3,6%</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4,9%</w:t>
            </w:r>
          </w:p>
        </w:tc>
        <w:tc>
          <w:tcPr>
            <w:tcW w:w="1174"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1,3</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3,5%</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4,7%</w:t>
            </w:r>
          </w:p>
        </w:tc>
        <w:tc>
          <w:tcPr>
            <w:tcW w:w="1063"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1,2</w:t>
            </w:r>
          </w:p>
        </w:tc>
      </w:tr>
      <w:tr w:rsidR="00797384" w:rsidRPr="00797384" w:rsidTr="001F03CD">
        <w:trPr>
          <w:trHeight w:val="255"/>
        </w:trPr>
        <w:tc>
          <w:tcPr>
            <w:tcW w:w="3559" w:type="dxa"/>
            <w:tcBorders>
              <w:top w:val="nil"/>
              <w:left w:val="nil"/>
              <w:bottom w:val="nil"/>
              <w:right w:val="nil"/>
            </w:tcBorders>
            <w:shd w:val="clear" w:color="000000" w:fill="FFFFFF"/>
            <w:noWrap/>
            <w:hideMark/>
          </w:tcPr>
          <w:p w:rsidR="00797384" w:rsidRPr="00797384" w:rsidRDefault="00797384" w:rsidP="001F03CD">
            <w:pPr>
              <w:spacing w:after="0" w:line="240" w:lineRule="auto"/>
              <w:rPr>
                <w:rFonts w:ascii="Times New Roman" w:eastAsia="Times New Roman" w:hAnsi="Times New Roman"/>
                <w:sz w:val="20"/>
                <w:szCs w:val="20"/>
                <w:lang w:eastAsia="pt-BR"/>
              </w:rPr>
            </w:pPr>
            <w:r w:rsidRPr="00797384">
              <w:rPr>
                <w:rFonts w:ascii="Times New Roman" w:eastAsia="Times New Roman" w:hAnsi="Times New Roman"/>
                <w:sz w:val="20"/>
                <w:szCs w:val="20"/>
                <w:lang w:eastAsia="pt-BR"/>
              </w:rPr>
              <w:t>[7] Serviços de Intermediação Financeira</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0,2%</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0,3%</w:t>
            </w:r>
          </w:p>
        </w:tc>
        <w:tc>
          <w:tcPr>
            <w:tcW w:w="1174"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0,1</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0,1%</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0,1%</w:t>
            </w:r>
          </w:p>
        </w:tc>
        <w:tc>
          <w:tcPr>
            <w:tcW w:w="1063"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0,0</w:t>
            </w:r>
          </w:p>
        </w:tc>
      </w:tr>
      <w:tr w:rsidR="00797384" w:rsidRPr="00797384" w:rsidTr="001F03CD">
        <w:trPr>
          <w:trHeight w:val="255"/>
        </w:trPr>
        <w:tc>
          <w:tcPr>
            <w:tcW w:w="3559" w:type="dxa"/>
            <w:tcBorders>
              <w:top w:val="nil"/>
              <w:left w:val="nil"/>
              <w:bottom w:val="nil"/>
              <w:right w:val="nil"/>
            </w:tcBorders>
            <w:shd w:val="clear" w:color="000000" w:fill="FFFFFF"/>
            <w:noWrap/>
            <w:hideMark/>
          </w:tcPr>
          <w:p w:rsidR="00797384" w:rsidRPr="00797384" w:rsidRDefault="00797384" w:rsidP="001F03CD">
            <w:pPr>
              <w:spacing w:after="0" w:line="240" w:lineRule="auto"/>
              <w:rPr>
                <w:rFonts w:ascii="Times New Roman" w:eastAsia="Times New Roman" w:hAnsi="Times New Roman"/>
                <w:sz w:val="20"/>
                <w:szCs w:val="20"/>
                <w:lang w:eastAsia="pt-BR"/>
              </w:rPr>
            </w:pPr>
            <w:r w:rsidRPr="00797384">
              <w:rPr>
                <w:rFonts w:ascii="Times New Roman" w:eastAsia="Times New Roman" w:hAnsi="Times New Roman"/>
                <w:sz w:val="20"/>
                <w:szCs w:val="20"/>
                <w:lang w:eastAsia="pt-BR"/>
              </w:rPr>
              <w:t>[8] Serviços de Transportes e Comunicações</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1,1%</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1,8%</w:t>
            </w:r>
          </w:p>
        </w:tc>
        <w:tc>
          <w:tcPr>
            <w:tcW w:w="1174"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0,6</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0,7%</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1,1%</w:t>
            </w:r>
          </w:p>
        </w:tc>
        <w:tc>
          <w:tcPr>
            <w:tcW w:w="1063"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0,4</w:t>
            </w:r>
          </w:p>
        </w:tc>
      </w:tr>
      <w:tr w:rsidR="00797384" w:rsidRPr="00797384" w:rsidTr="001F03CD">
        <w:trPr>
          <w:trHeight w:val="255"/>
        </w:trPr>
        <w:tc>
          <w:tcPr>
            <w:tcW w:w="3559" w:type="dxa"/>
            <w:tcBorders>
              <w:top w:val="nil"/>
              <w:left w:val="nil"/>
              <w:bottom w:val="nil"/>
              <w:right w:val="nil"/>
            </w:tcBorders>
            <w:shd w:val="clear" w:color="000000" w:fill="FFFFFF"/>
            <w:noWrap/>
            <w:hideMark/>
          </w:tcPr>
          <w:p w:rsidR="00797384" w:rsidRPr="00797384" w:rsidRDefault="00797384" w:rsidP="001F03CD">
            <w:pPr>
              <w:spacing w:after="0" w:line="240" w:lineRule="auto"/>
              <w:rPr>
                <w:rFonts w:ascii="Times New Roman" w:eastAsia="Times New Roman" w:hAnsi="Times New Roman"/>
                <w:sz w:val="20"/>
                <w:szCs w:val="20"/>
                <w:lang w:eastAsia="pt-BR"/>
              </w:rPr>
            </w:pPr>
            <w:r w:rsidRPr="00797384">
              <w:rPr>
                <w:rFonts w:ascii="Times New Roman" w:eastAsia="Times New Roman" w:hAnsi="Times New Roman"/>
                <w:sz w:val="20"/>
                <w:szCs w:val="20"/>
                <w:lang w:eastAsia="pt-BR"/>
              </w:rPr>
              <w:t>[9] Serviços de Alojamento e Alimentação</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1,5%</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2,2%</w:t>
            </w:r>
          </w:p>
        </w:tc>
        <w:tc>
          <w:tcPr>
            <w:tcW w:w="1174"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0,6</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1,2%</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1,7%</w:t>
            </w:r>
          </w:p>
        </w:tc>
        <w:tc>
          <w:tcPr>
            <w:tcW w:w="1063"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0,5</w:t>
            </w:r>
          </w:p>
        </w:tc>
      </w:tr>
      <w:tr w:rsidR="00797384" w:rsidRPr="00797384" w:rsidTr="001F03CD">
        <w:trPr>
          <w:trHeight w:val="255"/>
        </w:trPr>
        <w:tc>
          <w:tcPr>
            <w:tcW w:w="3559" w:type="dxa"/>
            <w:tcBorders>
              <w:top w:val="nil"/>
              <w:left w:val="nil"/>
              <w:bottom w:val="nil"/>
              <w:right w:val="nil"/>
            </w:tcBorders>
            <w:shd w:val="clear" w:color="000000" w:fill="FFFFFF"/>
            <w:noWrap/>
            <w:hideMark/>
          </w:tcPr>
          <w:p w:rsidR="00797384" w:rsidRPr="00797384" w:rsidRDefault="00797384" w:rsidP="001F03CD">
            <w:pPr>
              <w:spacing w:after="0" w:line="240" w:lineRule="auto"/>
              <w:rPr>
                <w:rFonts w:ascii="Times New Roman" w:eastAsia="Times New Roman" w:hAnsi="Times New Roman"/>
                <w:sz w:val="20"/>
                <w:szCs w:val="20"/>
                <w:lang w:eastAsia="pt-BR"/>
              </w:rPr>
            </w:pPr>
            <w:r w:rsidRPr="00797384">
              <w:rPr>
                <w:rFonts w:ascii="Times New Roman" w:eastAsia="Times New Roman" w:hAnsi="Times New Roman"/>
                <w:sz w:val="20"/>
                <w:szCs w:val="20"/>
                <w:lang w:eastAsia="pt-BR"/>
              </w:rPr>
              <w:t>[10] Serviços de Administração Pública</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1,2%</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1,5%</w:t>
            </w:r>
          </w:p>
        </w:tc>
        <w:tc>
          <w:tcPr>
            <w:tcW w:w="1174"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0,3</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1,8%</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2,2%</w:t>
            </w:r>
          </w:p>
        </w:tc>
        <w:tc>
          <w:tcPr>
            <w:tcW w:w="1063"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0,4</w:t>
            </w:r>
          </w:p>
        </w:tc>
      </w:tr>
      <w:tr w:rsidR="00797384" w:rsidRPr="00797384" w:rsidTr="001F03CD">
        <w:trPr>
          <w:trHeight w:val="270"/>
        </w:trPr>
        <w:tc>
          <w:tcPr>
            <w:tcW w:w="3559" w:type="dxa"/>
            <w:tcBorders>
              <w:top w:val="nil"/>
              <w:left w:val="nil"/>
              <w:bottom w:val="nil"/>
              <w:right w:val="nil"/>
            </w:tcBorders>
            <w:shd w:val="clear" w:color="000000" w:fill="FFFFFF"/>
            <w:noWrap/>
            <w:hideMark/>
          </w:tcPr>
          <w:p w:rsidR="00797384" w:rsidRPr="00797384" w:rsidRDefault="00797384" w:rsidP="001F03CD">
            <w:pPr>
              <w:spacing w:after="0" w:line="240" w:lineRule="auto"/>
              <w:rPr>
                <w:rFonts w:ascii="Times New Roman" w:eastAsia="Times New Roman" w:hAnsi="Times New Roman"/>
                <w:sz w:val="20"/>
                <w:szCs w:val="20"/>
                <w:lang w:eastAsia="pt-BR"/>
              </w:rPr>
            </w:pPr>
            <w:r w:rsidRPr="00797384">
              <w:rPr>
                <w:rFonts w:ascii="Times New Roman" w:eastAsia="Times New Roman" w:hAnsi="Times New Roman"/>
                <w:sz w:val="20"/>
                <w:szCs w:val="20"/>
                <w:lang w:eastAsia="pt-BR"/>
              </w:rPr>
              <w:t>[11] Outros Serviços</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12,6%</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18,5%</w:t>
            </w:r>
          </w:p>
        </w:tc>
        <w:tc>
          <w:tcPr>
            <w:tcW w:w="1174"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5,9</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9,7%</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14,2%</w:t>
            </w:r>
          </w:p>
        </w:tc>
        <w:tc>
          <w:tcPr>
            <w:tcW w:w="1063"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4,5</w:t>
            </w:r>
          </w:p>
        </w:tc>
      </w:tr>
      <w:tr w:rsidR="00797384" w:rsidRPr="00797384" w:rsidTr="001F03CD">
        <w:trPr>
          <w:trHeight w:val="270"/>
        </w:trPr>
        <w:tc>
          <w:tcPr>
            <w:tcW w:w="3559" w:type="dxa"/>
            <w:tcBorders>
              <w:top w:val="nil"/>
              <w:left w:val="nil"/>
              <w:bottom w:val="single" w:sz="8" w:space="0" w:color="auto"/>
              <w:right w:val="nil"/>
            </w:tcBorders>
            <w:shd w:val="clear" w:color="000000" w:fill="FFFFFF"/>
            <w:noWrap/>
            <w:vAlign w:val="bottom"/>
            <w:hideMark/>
          </w:tcPr>
          <w:p w:rsidR="00797384" w:rsidRPr="00797384" w:rsidRDefault="00797384" w:rsidP="001F03CD">
            <w:pPr>
              <w:spacing w:after="0" w:line="240" w:lineRule="auto"/>
              <w:rPr>
                <w:rFonts w:ascii="Times New Roman" w:eastAsia="Times New Roman" w:hAnsi="Times New Roman"/>
                <w:sz w:val="20"/>
                <w:szCs w:val="20"/>
                <w:lang w:eastAsia="pt-BR"/>
              </w:rPr>
            </w:pPr>
            <w:r w:rsidRPr="00797384">
              <w:rPr>
                <w:rFonts w:ascii="Times New Roman" w:eastAsia="Times New Roman" w:hAnsi="Times New Roman"/>
                <w:sz w:val="20"/>
                <w:szCs w:val="20"/>
                <w:lang w:eastAsia="pt-BR"/>
              </w:rPr>
              <w:t>Total</w:t>
            </w:r>
          </w:p>
        </w:tc>
        <w:tc>
          <w:tcPr>
            <w:tcW w:w="896" w:type="dxa"/>
            <w:tcBorders>
              <w:top w:val="nil"/>
              <w:left w:val="nil"/>
              <w:bottom w:val="single" w:sz="8" w:space="0" w:color="auto"/>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24,6%</w:t>
            </w:r>
          </w:p>
        </w:tc>
        <w:tc>
          <w:tcPr>
            <w:tcW w:w="1041" w:type="dxa"/>
            <w:tcBorders>
              <w:top w:val="nil"/>
              <w:left w:val="nil"/>
              <w:bottom w:val="single" w:sz="8" w:space="0" w:color="auto"/>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35,0%</w:t>
            </w:r>
          </w:p>
        </w:tc>
        <w:tc>
          <w:tcPr>
            <w:tcW w:w="1174" w:type="dxa"/>
            <w:tcBorders>
              <w:top w:val="nil"/>
              <w:left w:val="nil"/>
              <w:bottom w:val="single" w:sz="8" w:space="0" w:color="auto"/>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10,3</w:t>
            </w:r>
          </w:p>
        </w:tc>
        <w:tc>
          <w:tcPr>
            <w:tcW w:w="896" w:type="dxa"/>
            <w:tcBorders>
              <w:top w:val="nil"/>
              <w:left w:val="nil"/>
              <w:bottom w:val="single" w:sz="8" w:space="0" w:color="auto"/>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27,7%</w:t>
            </w:r>
          </w:p>
        </w:tc>
        <w:tc>
          <w:tcPr>
            <w:tcW w:w="1041" w:type="dxa"/>
            <w:tcBorders>
              <w:top w:val="nil"/>
              <w:left w:val="nil"/>
              <w:bottom w:val="single" w:sz="8" w:space="0" w:color="auto"/>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37,2%</w:t>
            </w:r>
          </w:p>
        </w:tc>
        <w:tc>
          <w:tcPr>
            <w:tcW w:w="1063" w:type="dxa"/>
            <w:tcBorders>
              <w:top w:val="nil"/>
              <w:left w:val="nil"/>
              <w:bottom w:val="single" w:sz="8" w:space="0" w:color="auto"/>
              <w:right w:val="nil"/>
            </w:tcBorders>
            <w:shd w:val="clear" w:color="000000" w:fill="FFFFFF"/>
            <w:noWrap/>
            <w:vAlign w:val="bottom"/>
            <w:hideMark/>
          </w:tcPr>
          <w:p w:rsidR="00797384" w:rsidRPr="00797384" w:rsidRDefault="00797384" w:rsidP="001F03CD">
            <w:pPr>
              <w:spacing w:after="0" w:line="240" w:lineRule="auto"/>
              <w:jc w:val="center"/>
              <w:rPr>
                <w:rFonts w:ascii="Arial" w:eastAsia="Times New Roman" w:hAnsi="Arial" w:cs="Arial"/>
                <w:sz w:val="20"/>
                <w:szCs w:val="20"/>
                <w:lang w:eastAsia="pt-BR"/>
              </w:rPr>
            </w:pPr>
            <w:r w:rsidRPr="00797384">
              <w:rPr>
                <w:rFonts w:ascii="Arial" w:eastAsia="Times New Roman" w:hAnsi="Arial" w:cs="Arial"/>
                <w:sz w:val="20"/>
                <w:szCs w:val="20"/>
                <w:lang w:eastAsia="pt-BR"/>
              </w:rPr>
              <w:t>9,5</w:t>
            </w:r>
          </w:p>
        </w:tc>
      </w:tr>
      <w:tr w:rsidR="00797384" w:rsidRPr="00797384" w:rsidTr="001F03CD">
        <w:trPr>
          <w:trHeight w:val="270"/>
        </w:trPr>
        <w:tc>
          <w:tcPr>
            <w:tcW w:w="4455" w:type="dxa"/>
            <w:gridSpan w:val="2"/>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rPr>
                <w:rFonts w:ascii="Arial" w:eastAsia="Times New Roman" w:hAnsi="Arial" w:cs="Arial"/>
                <w:sz w:val="20"/>
                <w:szCs w:val="20"/>
                <w:lang w:eastAsia="pt-BR"/>
              </w:rPr>
            </w:pPr>
            <w:r w:rsidRPr="00797384">
              <w:rPr>
                <w:rFonts w:ascii="Arial" w:eastAsia="Times New Roman" w:hAnsi="Arial" w:cs="Arial"/>
                <w:sz w:val="20"/>
                <w:szCs w:val="20"/>
                <w:lang w:eastAsia="pt-BR"/>
              </w:rPr>
              <w:t>Fonte: Elaboração Própria com dados da PNAD.</w:t>
            </w:r>
          </w:p>
        </w:tc>
        <w:tc>
          <w:tcPr>
            <w:tcW w:w="1041"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rPr>
                <w:rFonts w:ascii="Arial" w:eastAsia="Times New Roman" w:hAnsi="Arial" w:cs="Arial"/>
                <w:sz w:val="20"/>
                <w:szCs w:val="20"/>
                <w:lang w:eastAsia="pt-BR"/>
              </w:rPr>
            </w:pPr>
            <w:r w:rsidRPr="00797384">
              <w:rPr>
                <w:rFonts w:ascii="Arial" w:eastAsia="Times New Roman" w:hAnsi="Arial" w:cs="Arial"/>
                <w:sz w:val="20"/>
                <w:szCs w:val="20"/>
                <w:lang w:eastAsia="pt-BR"/>
              </w:rPr>
              <w:t> </w:t>
            </w:r>
          </w:p>
        </w:tc>
        <w:tc>
          <w:tcPr>
            <w:tcW w:w="1174"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rPr>
                <w:rFonts w:ascii="Arial" w:eastAsia="Times New Roman" w:hAnsi="Arial" w:cs="Arial"/>
                <w:sz w:val="20"/>
                <w:szCs w:val="20"/>
                <w:lang w:eastAsia="pt-BR"/>
              </w:rPr>
            </w:pPr>
            <w:r w:rsidRPr="00797384">
              <w:rPr>
                <w:rFonts w:ascii="Arial" w:eastAsia="Times New Roman" w:hAnsi="Arial" w:cs="Arial"/>
                <w:sz w:val="20"/>
                <w:szCs w:val="20"/>
                <w:lang w:eastAsia="pt-BR"/>
              </w:rPr>
              <w:t> </w:t>
            </w:r>
          </w:p>
        </w:tc>
        <w:tc>
          <w:tcPr>
            <w:tcW w:w="896" w:type="dxa"/>
            <w:tcBorders>
              <w:top w:val="nil"/>
              <w:left w:val="nil"/>
              <w:bottom w:val="nil"/>
              <w:right w:val="nil"/>
            </w:tcBorders>
            <w:shd w:val="clear" w:color="000000" w:fill="FFFFFF"/>
            <w:noWrap/>
            <w:vAlign w:val="bottom"/>
            <w:hideMark/>
          </w:tcPr>
          <w:p w:rsidR="00797384" w:rsidRPr="00797384" w:rsidRDefault="00797384" w:rsidP="001F03CD">
            <w:pPr>
              <w:spacing w:after="0" w:line="240" w:lineRule="auto"/>
              <w:rPr>
                <w:rFonts w:ascii="Arial" w:eastAsia="Times New Roman" w:hAnsi="Arial" w:cs="Arial"/>
                <w:sz w:val="20"/>
                <w:szCs w:val="20"/>
                <w:lang w:eastAsia="pt-BR"/>
              </w:rPr>
            </w:pPr>
            <w:r w:rsidRPr="00797384">
              <w:rPr>
                <w:rFonts w:ascii="Arial" w:eastAsia="Times New Roman" w:hAnsi="Arial" w:cs="Arial"/>
                <w:sz w:val="20"/>
                <w:szCs w:val="20"/>
                <w:lang w:eastAsia="pt-BR"/>
              </w:rPr>
              <w:t> </w:t>
            </w:r>
          </w:p>
        </w:tc>
        <w:tc>
          <w:tcPr>
            <w:tcW w:w="1041" w:type="dxa"/>
            <w:tcBorders>
              <w:top w:val="nil"/>
              <w:left w:val="nil"/>
              <w:bottom w:val="nil"/>
              <w:right w:val="nil"/>
            </w:tcBorders>
            <w:shd w:val="clear" w:color="auto" w:fill="auto"/>
            <w:noWrap/>
            <w:vAlign w:val="bottom"/>
            <w:hideMark/>
          </w:tcPr>
          <w:p w:rsidR="00797384" w:rsidRPr="00797384" w:rsidRDefault="00797384" w:rsidP="001F03CD">
            <w:pPr>
              <w:spacing w:after="0" w:line="240" w:lineRule="auto"/>
              <w:rPr>
                <w:rFonts w:ascii="Arial" w:eastAsia="Times New Roman" w:hAnsi="Arial" w:cs="Arial"/>
                <w:sz w:val="20"/>
                <w:szCs w:val="20"/>
                <w:lang w:eastAsia="pt-BR"/>
              </w:rPr>
            </w:pPr>
          </w:p>
        </w:tc>
        <w:tc>
          <w:tcPr>
            <w:tcW w:w="1063" w:type="dxa"/>
            <w:tcBorders>
              <w:top w:val="nil"/>
              <w:left w:val="nil"/>
              <w:bottom w:val="nil"/>
              <w:right w:val="nil"/>
            </w:tcBorders>
            <w:shd w:val="clear" w:color="auto" w:fill="auto"/>
            <w:noWrap/>
            <w:vAlign w:val="bottom"/>
            <w:hideMark/>
          </w:tcPr>
          <w:p w:rsidR="00797384" w:rsidRPr="00797384" w:rsidRDefault="00797384" w:rsidP="001F03CD">
            <w:pPr>
              <w:spacing w:after="0" w:line="240" w:lineRule="auto"/>
              <w:rPr>
                <w:rFonts w:ascii="Arial" w:eastAsia="Times New Roman" w:hAnsi="Arial" w:cs="Arial"/>
                <w:sz w:val="20"/>
                <w:szCs w:val="20"/>
                <w:lang w:eastAsia="pt-BR"/>
              </w:rPr>
            </w:pPr>
          </w:p>
        </w:tc>
      </w:tr>
    </w:tbl>
    <w:p w:rsidR="008D20A8" w:rsidRDefault="00E0123A" w:rsidP="001F03CD">
      <w:pPr>
        <w:spacing w:line="240" w:lineRule="auto"/>
        <w:ind w:firstLine="708"/>
        <w:jc w:val="both"/>
        <w:rPr>
          <w:rFonts w:ascii="Times New Roman" w:hAnsi="Times New Roman"/>
          <w:sz w:val="24"/>
          <w:szCs w:val="24"/>
        </w:rPr>
      </w:pPr>
      <w:r>
        <w:rPr>
          <w:rFonts w:ascii="Times New Roman" w:hAnsi="Times New Roman"/>
          <w:sz w:val="24"/>
          <w:szCs w:val="24"/>
        </w:rPr>
        <w:t>Assim, o</w:t>
      </w:r>
      <w:r w:rsidR="008D20A8">
        <w:rPr>
          <w:rFonts w:ascii="Times New Roman" w:hAnsi="Times New Roman"/>
          <w:sz w:val="24"/>
          <w:szCs w:val="24"/>
        </w:rPr>
        <w:t>s dados mostram que a utilização de pesos relativos iguais reduz a diferença das taxas de informalidade</w:t>
      </w:r>
      <w:r>
        <w:rPr>
          <w:rFonts w:ascii="Times New Roman" w:hAnsi="Times New Roman"/>
          <w:sz w:val="24"/>
          <w:szCs w:val="24"/>
        </w:rPr>
        <w:t xml:space="preserve"> entre RMs e NRMs</w:t>
      </w:r>
      <w:r w:rsidR="008D20A8">
        <w:rPr>
          <w:rFonts w:ascii="Times New Roman" w:hAnsi="Times New Roman"/>
          <w:sz w:val="24"/>
          <w:szCs w:val="24"/>
        </w:rPr>
        <w:t>. Entretanto, a diferença que era de 1</w:t>
      </w:r>
      <w:r w:rsidR="00EA7C97">
        <w:rPr>
          <w:rFonts w:ascii="Times New Roman" w:hAnsi="Times New Roman"/>
          <w:sz w:val="24"/>
          <w:szCs w:val="24"/>
        </w:rPr>
        <w:t>2</w:t>
      </w:r>
      <w:r w:rsidR="008D20A8">
        <w:rPr>
          <w:rFonts w:ascii="Times New Roman" w:hAnsi="Times New Roman"/>
          <w:sz w:val="24"/>
          <w:szCs w:val="24"/>
        </w:rPr>
        <w:t>,</w:t>
      </w:r>
      <w:r w:rsidR="00EA7C97">
        <w:rPr>
          <w:rFonts w:ascii="Times New Roman" w:hAnsi="Times New Roman"/>
          <w:sz w:val="24"/>
          <w:szCs w:val="24"/>
        </w:rPr>
        <w:t>6</w:t>
      </w:r>
      <w:r w:rsidR="00947CC3">
        <w:rPr>
          <w:rFonts w:ascii="Times New Roman" w:hAnsi="Times New Roman"/>
          <w:sz w:val="24"/>
          <w:szCs w:val="24"/>
        </w:rPr>
        <w:t>p.p.</w:t>
      </w:r>
      <w:r w:rsidR="008D20A8">
        <w:rPr>
          <w:rFonts w:ascii="Times New Roman" w:hAnsi="Times New Roman"/>
          <w:sz w:val="24"/>
          <w:szCs w:val="24"/>
        </w:rPr>
        <w:t xml:space="preserve"> entre as taxas calculadas</w:t>
      </w:r>
      <w:r>
        <w:rPr>
          <w:rFonts w:ascii="Times New Roman" w:hAnsi="Times New Roman"/>
          <w:sz w:val="24"/>
          <w:szCs w:val="24"/>
        </w:rPr>
        <w:t xml:space="preserve"> (</w:t>
      </w:r>
      <w:r w:rsidR="00EA7C97">
        <w:rPr>
          <w:rFonts w:ascii="Times New Roman" w:hAnsi="Times New Roman"/>
          <w:sz w:val="24"/>
          <w:szCs w:val="24"/>
        </w:rPr>
        <w:t>37,2% [</w:t>
      </w:r>
      <w:r>
        <w:rPr>
          <w:rFonts w:ascii="Times New Roman" w:hAnsi="Times New Roman"/>
          <w:sz w:val="24"/>
          <w:szCs w:val="24"/>
        </w:rPr>
        <w:t>coluna 5</w:t>
      </w:r>
      <w:r w:rsidR="00EA7C97">
        <w:rPr>
          <w:rFonts w:ascii="Times New Roman" w:hAnsi="Times New Roman"/>
          <w:sz w:val="24"/>
          <w:szCs w:val="24"/>
        </w:rPr>
        <w:t>]</w:t>
      </w:r>
      <w:r>
        <w:rPr>
          <w:rFonts w:ascii="Times New Roman" w:hAnsi="Times New Roman"/>
          <w:sz w:val="24"/>
          <w:szCs w:val="24"/>
        </w:rPr>
        <w:t xml:space="preserve"> </w:t>
      </w:r>
      <w:r w:rsidR="00EA7C97">
        <w:rPr>
          <w:rFonts w:ascii="Times New Roman" w:hAnsi="Times New Roman"/>
          <w:sz w:val="24"/>
          <w:szCs w:val="24"/>
        </w:rPr>
        <w:t>– 24,6% [coluna</w:t>
      </w:r>
      <w:r>
        <w:rPr>
          <w:rFonts w:ascii="Times New Roman" w:hAnsi="Times New Roman"/>
          <w:sz w:val="24"/>
          <w:szCs w:val="24"/>
        </w:rPr>
        <w:t xml:space="preserve"> 2</w:t>
      </w:r>
      <w:r w:rsidR="00EA7C97">
        <w:rPr>
          <w:rFonts w:ascii="Times New Roman" w:hAnsi="Times New Roman"/>
          <w:sz w:val="24"/>
          <w:szCs w:val="24"/>
        </w:rPr>
        <w:t>]</w:t>
      </w:r>
      <w:r>
        <w:rPr>
          <w:rFonts w:ascii="Times New Roman" w:hAnsi="Times New Roman"/>
          <w:sz w:val="24"/>
          <w:szCs w:val="24"/>
        </w:rPr>
        <w:t>)</w:t>
      </w:r>
      <w:r w:rsidR="008D20A8">
        <w:rPr>
          <w:rFonts w:ascii="Times New Roman" w:hAnsi="Times New Roman"/>
          <w:sz w:val="24"/>
          <w:szCs w:val="24"/>
        </w:rPr>
        <w:t xml:space="preserve">, no exercício são reduzidas para </w:t>
      </w:r>
      <w:r w:rsidR="00EA7C97">
        <w:rPr>
          <w:rFonts w:ascii="Times New Roman" w:hAnsi="Times New Roman"/>
          <w:sz w:val="24"/>
          <w:szCs w:val="24"/>
        </w:rPr>
        <w:t>10</w:t>
      </w:r>
      <w:r w:rsidR="008D20A8">
        <w:rPr>
          <w:rFonts w:ascii="Times New Roman" w:hAnsi="Times New Roman"/>
          <w:sz w:val="24"/>
          <w:szCs w:val="24"/>
        </w:rPr>
        <w:t>,</w:t>
      </w:r>
      <w:r w:rsidR="00EA7C97">
        <w:rPr>
          <w:rFonts w:ascii="Times New Roman" w:hAnsi="Times New Roman"/>
          <w:sz w:val="24"/>
          <w:szCs w:val="24"/>
        </w:rPr>
        <w:t>3</w:t>
      </w:r>
      <w:r w:rsidR="00947CC3">
        <w:rPr>
          <w:rFonts w:ascii="Times New Roman" w:hAnsi="Times New Roman"/>
          <w:sz w:val="24"/>
          <w:szCs w:val="24"/>
        </w:rPr>
        <w:t>p.p.</w:t>
      </w:r>
      <w:r w:rsidR="008D20A8">
        <w:rPr>
          <w:rFonts w:ascii="Times New Roman" w:hAnsi="Times New Roman"/>
          <w:sz w:val="24"/>
          <w:szCs w:val="24"/>
        </w:rPr>
        <w:t xml:space="preserve"> utilizando o peso das </w:t>
      </w:r>
      <w:r w:rsidR="00EA7C97">
        <w:rPr>
          <w:rFonts w:ascii="Times New Roman" w:hAnsi="Times New Roman"/>
          <w:sz w:val="24"/>
          <w:szCs w:val="24"/>
        </w:rPr>
        <w:t xml:space="preserve">RMs </w:t>
      </w:r>
      <w:r w:rsidR="00671CAD">
        <w:rPr>
          <w:rFonts w:ascii="Times New Roman" w:hAnsi="Times New Roman"/>
          <w:sz w:val="24"/>
          <w:szCs w:val="24"/>
        </w:rPr>
        <w:t>(coluna 4</w:t>
      </w:r>
      <w:r w:rsidR="00EA7C97">
        <w:rPr>
          <w:rFonts w:ascii="Times New Roman" w:hAnsi="Times New Roman"/>
          <w:sz w:val="24"/>
          <w:szCs w:val="24"/>
        </w:rPr>
        <w:t>)</w:t>
      </w:r>
      <w:r w:rsidR="008D20A8">
        <w:rPr>
          <w:rFonts w:ascii="Times New Roman" w:hAnsi="Times New Roman"/>
          <w:sz w:val="24"/>
          <w:szCs w:val="24"/>
        </w:rPr>
        <w:t xml:space="preserve">  e para </w:t>
      </w:r>
      <w:r w:rsidR="00EA7C97">
        <w:rPr>
          <w:rFonts w:ascii="Times New Roman" w:hAnsi="Times New Roman"/>
          <w:sz w:val="24"/>
          <w:szCs w:val="24"/>
        </w:rPr>
        <w:t>9</w:t>
      </w:r>
      <w:r w:rsidR="008D20A8">
        <w:rPr>
          <w:rFonts w:ascii="Times New Roman" w:hAnsi="Times New Roman"/>
          <w:sz w:val="24"/>
          <w:szCs w:val="24"/>
        </w:rPr>
        <w:t>,5</w:t>
      </w:r>
      <w:r w:rsidR="00947CC3">
        <w:rPr>
          <w:rFonts w:ascii="Times New Roman" w:hAnsi="Times New Roman"/>
          <w:sz w:val="24"/>
          <w:szCs w:val="24"/>
        </w:rPr>
        <w:t>p.p.</w:t>
      </w:r>
      <w:r w:rsidR="008D20A8">
        <w:rPr>
          <w:rFonts w:ascii="Times New Roman" w:hAnsi="Times New Roman"/>
          <w:sz w:val="24"/>
          <w:szCs w:val="24"/>
        </w:rPr>
        <w:t xml:space="preserve"> considerando-se o peso das </w:t>
      </w:r>
      <w:r w:rsidR="00EA7C97">
        <w:rPr>
          <w:rFonts w:ascii="Times New Roman" w:hAnsi="Times New Roman"/>
          <w:sz w:val="24"/>
          <w:szCs w:val="24"/>
        </w:rPr>
        <w:t>NRMs (</w:t>
      </w:r>
      <w:r w:rsidR="00671CAD">
        <w:rPr>
          <w:rFonts w:ascii="Times New Roman" w:hAnsi="Times New Roman"/>
          <w:sz w:val="24"/>
          <w:szCs w:val="24"/>
        </w:rPr>
        <w:t>coluna 7</w:t>
      </w:r>
      <w:r w:rsidR="00EA7C97">
        <w:rPr>
          <w:rFonts w:ascii="Times New Roman" w:hAnsi="Times New Roman"/>
          <w:sz w:val="24"/>
          <w:szCs w:val="24"/>
        </w:rPr>
        <w:t>)</w:t>
      </w:r>
      <w:r w:rsidR="008D20A8">
        <w:rPr>
          <w:rFonts w:ascii="Times New Roman" w:hAnsi="Times New Roman"/>
          <w:sz w:val="24"/>
          <w:szCs w:val="24"/>
        </w:rPr>
        <w:t>.</w:t>
      </w:r>
      <w:r w:rsidR="00C57605">
        <w:rPr>
          <w:rFonts w:ascii="Times New Roman" w:hAnsi="Times New Roman"/>
          <w:sz w:val="24"/>
          <w:szCs w:val="24"/>
        </w:rPr>
        <w:t xml:space="preserve"> Em particular, </w:t>
      </w:r>
      <w:r w:rsidR="00926662">
        <w:rPr>
          <w:rFonts w:ascii="Times New Roman" w:hAnsi="Times New Roman"/>
          <w:sz w:val="24"/>
          <w:szCs w:val="24"/>
        </w:rPr>
        <w:t xml:space="preserve">o exercício comprova </w:t>
      </w:r>
      <w:r w:rsidR="003D404D">
        <w:rPr>
          <w:rFonts w:ascii="Times New Roman" w:hAnsi="Times New Roman"/>
          <w:sz w:val="24"/>
          <w:szCs w:val="24"/>
        </w:rPr>
        <w:t>que a grande diferença da informalidade entre RMs</w:t>
      </w:r>
      <w:r w:rsidR="000C00C5">
        <w:rPr>
          <w:rFonts w:ascii="Times New Roman" w:hAnsi="Times New Roman"/>
          <w:sz w:val="24"/>
          <w:szCs w:val="24"/>
        </w:rPr>
        <w:t xml:space="preserve"> </w:t>
      </w:r>
      <w:r w:rsidR="003D404D">
        <w:rPr>
          <w:rFonts w:ascii="Times New Roman" w:hAnsi="Times New Roman"/>
          <w:sz w:val="24"/>
          <w:szCs w:val="24"/>
        </w:rPr>
        <w:t>e NRMs não é fruto da participação elevada do setor agropecuário nas NRMs</w:t>
      </w:r>
      <w:r w:rsidR="00926662">
        <w:rPr>
          <w:rFonts w:ascii="Times New Roman" w:hAnsi="Times New Roman"/>
          <w:sz w:val="24"/>
          <w:szCs w:val="24"/>
        </w:rPr>
        <w:t>: o diferencial entre as contribuições no setor agropecuário utilizando o peso das RMs (</w:t>
      </w:r>
      <w:r w:rsidR="00ED6F4B">
        <w:rPr>
          <w:rFonts w:ascii="Times New Roman" w:hAnsi="Times New Roman"/>
          <w:sz w:val="24"/>
          <w:szCs w:val="24"/>
        </w:rPr>
        <w:t>coluna 4</w:t>
      </w:r>
      <w:r w:rsidR="00926662">
        <w:rPr>
          <w:rFonts w:ascii="Times New Roman" w:hAnsi="Times New Roman"/>
          <w:sz w:val="24"/>
          <w:szCs w:val="24"/>
        </w:rPr>
        <w:t>) ou das NRMs (</w:t>
      </w:r>
      <w:r w:rsidR="00ED6F4B">
        <w:rPr>
          <w:rFonts w:ascii="Times New Roman" w:hAnsi="Times New Roman"/>
          <w:sz w:val="24"/>
          <w:szCs w:val="24"/>
        </w:rPr>
        <w:t>coluna 7</w:t>
      </w:r>
      <w:r w:rsidR="00926662">
        <w:rPr>
          <w:rFonts w:ascii="Times New Roman" w:hAnsi="Times New Roman"/>
          <w:sz w:val="24"/>
          <w:szCs w:val="24"/>
        </w:rPr>
        <w:t>) é nulo</w:t>
      </w:r>
      <w:r w:rsidR="00ED6F4B">
        <w:rPr>
          <w:rFonts w:ascii="Times New Roman" w:hAnsi="Times New Roman"/>
          <w:sz w:val="24"/>
          <w:szCs w:val="24"/>
        </w:rPr>
        <w:t xml:space="preserve"> e quase nulo, respectivamente</w:t>
      </w:r>
      <w:r w:rsidR="00926662">
        <w:rPr>
          <w:rFonts w:ascii="Times New Roman" w:hAnsi="Times New Roman"/>
          <w:sz w:val="24"/>
          <w:szCs w:val="24"/>
        </w:rPr>
        <w:t>.</w:t>
      </w:r>
      <w:r w:rsidR="00FE63C8">
        <w:rPr>
          <w:rFonts w:ascii="Times New Roman" w:hAnsi="Times New Roman"/>
          <w:sz w:val="24"/>
          <w:szCs w:val="24"/>
        </w:rPr>
        <w:t xml:space="preserve"> Isso ocorre porque as taxas de informalidade dentro </w:t>
      </w:r>
      <w:r w:rsidR="00947CC3">
        <w:rPr>
          <w:rFonts w:ascii="Times New Roman" w:hAnsi="Times New Roman"/>
          <w:sz w:val="24"/>
          <w:szCs w:val="24"/>
        </w:rPr>
        <w:t>d</w:t>
      </w:r>
      <w:r w:rsidR="00FE63C8">
        <w:rPr>
          <w:rFonts w:ascii="Times New Roman" w:hAnsi="Times New Roman"/>
          <w:sz w:val="24"/>
          <w:szCs w:val="24"/>
        </w:rPr>
        <w:t>as RMs (</w:t>
      </w:r>
      <w:r w:rsidR="000C00C5">
        <w:rPr>
          <w:rFonts w:ascii="Times New Roman" w:hAnsi="Times New Roman"/>
          <w:sz w:val="24"/>
          <w:szCs w:val="24"/>
        </w:rPr>
        <w:t>55</w:t>
      </w:r>
      <w:r w:rsidR="00FE63C8">
        <w:rPr>
          <w:rFonts w:ascii="Times New Roman" w:hAnsi="Times New Roman"/>
          <w:sz w:val="24"/>
          <w:szCs w:val="24"/>
        </w:rPr>
        <w:t>%</w:t>
      </w:r>
      <w:r w:rsidR="000C00C5">
        <w:rPr>
          <w:rFonts w:ascii="Times New Roman" w:hAnsi="Times New Roman"/>
          <w:sz w:val="24"/>
          <w:szCs w:val="24"/>
        </w:rPr>
        <w:t>, Tabela 4</w:t>
      </w:r>
      <w:r w:rsidR="00FE63C8">
        <w:rPr>
          <w:rFonts w:ascii="Times New Roman" w:hAnsi="Times New Roman"/>
          <w:sz w:val="24"/>
          <w:szCs w:val="24"/>
        </w:rPr>
        <w:t>) e NRMs (6</w:t>
      </w:r>
      <w:r w:rsidR="000C00C5">
        <w:rPr>
          <w:rFonts w:ascii="Times New Roman" w:hAnsi="Times New Roman"/>
          <w:sz w:val="24"/>
          <w:szCs w:val="24"/>
        </w:rPr>
        <w:t>0</w:t>
      </w:r>
      <w:r w:rsidR="00FE63C8">
        <w:rPr>
          <w:rFonts w:ascii="Times New Roman" w:hAnsi="Times New Roman"/>
          <w:sz w:val="24"/>
          <w:szCs w:val="24"/>
        </w:rPr>
        <w:t>,</w:t>
      </w:r>
      <w:r w:rsidR="000C00C5">
        <w:rPr>
          <w:rFonts w:ascii="Times New Roman" w:hAnsi="Times New Roman"/>
          <w:sz w:val="24"/>
          <w:szCs w:val="24"/>
        </w:rPr>
        <w:t>4</w:t>
      </w:r>
      <w:r w:rsidR="00FE63C8">
        <w:rPr>
          <w:rFonts w:ascii="Times New Roman" w:hAnsi="Times New Roman"/>
          <w:sz w:val="24"/>
          <w:szCs w:val="24"/>
        </w:rPr>
        <w:t>%</w:t>
      </w:r>
      <w:r w:rsidR="000C00C5">
        <w:rPr>
          <w:rFonts w:ascii="Times New Roman" w:hAnsi="Times New Roman"/>
          <w:sz w:val="24"/>
          <w:szCs w:val="24"/>
        </w:rPr>
        <w:t>, Tabela 4</w:t>
      </w:r>
      <w:r w:rsidR="00FE63C8">
        <w:rPr>
          <w:rFonts w:ascii="Times New Roman" w:hAnsi="Times New Roman"/>
          <w:sz w:val="24"/>
          <w:szCs w:val="24"/>
        </w:rPr>
        <w:t>) são próximas.</w:t>
      </w:r>
    </w:p>
    <w:p w:rsidR="003D404D" w:rsidRDefault="00FE63C8" w:rsidP="001F03CD">
      <w:pPr>
        <w:spacing w:line="240" w:lineRule="auto"/>
        <w:ind w:firstLine="708"/>
        <w:jc w:val="both"/>
        <w:rPr>
          <w:rFonts w:ascii="Times New Roman" w:hAnsi="Times New Roman"/>
          <w:sz w:val="24"/>
          <w:szCs w:val="24"/>
        </w:rPr>
      </w:pPr>
      <w:r>
        <w:rPr>
          <w:rFonts w:ascii="Times New Roman" w:hAnsi="Times New Roman"/>
          <w:sz w:val="24"/>
          <w:szCs w:val="24"/>
        </w:rPr>
        <w:t xml:space="preserve">Destaca-se apenas que do diferencial de </w:t>
      </w:r>
      <w:r w:rsidR="00ED6F4B">
        <w:rPr>
          <w:rFonts w:ascii="Times New Roman" w:hAnsi="Times New Roman"/>
          <w:sz w:val="24"/>
          <w:szCs w:val="24"/>
        </w:rPr>
        <w:t>10,3</w:t>
      </w:r>
      <w:r w:rsidR="00947CC3">
        <w:rPr>
          <w:rFonts w:ascii="Times New Roman" w:hAnsi="Times New Roman"/>
          <w:sz w:val="24"/>
          <w:szCs w:val="24"/>
        </w:rPr>
        <w:t>p.p.</w:t>
      </w:r>
      <w:r>
        <w:rPr>
          <w:rFonts w:ascii="Times New Roman" w:hAnsi="Times New Roman"/>
          <w:sz w:val="24"/>
          <w:szCs w:val="24"/>
        </w:rPr>
        <w:t xml:space="preserve"> (</w:t>
      </w:r>
      <w:r w:rsidR="00ED6F4B">
        <w:rPr>
          <w:rFonts w:ascii="Times New Roman" w:hAnsi="Times New Roman"/>
          <w:sz w:val="24"/>
          <w:szCs w:val="24"/>
        </w:rPr>
        <w:t>9</w:t>
      </w:r>
      <w:r>
        <w:rPr>
          <w:rFonts w:ascii="Times New Roman" w:hAnsi="Times New Roman"/>
          <w:sz w:val="24"/>
          <w:szCs w:val="24"/>
        </w:rPr>
        <w:t>,5</w:t>
      </w:r>
      <w:r w:rsidR="00947CC3">
        <w:rPr>
          <w:rFonts w:ascii="Times New Roman" w:hAnsi="Times New Roman"/>
          <w:sz w:val="24"/>
          <w:szCs w:val="24"/>
        </w:rPr>
        <w:t>p.p.</w:t>
      </w:r>
      <w:r>
        <w:rPr>
          <w:rFonts w:ascii="Times New Roman" w:hAnsi="Times New Roman"/>
          <w:sz w:val="24"/>
          <w:szCs w:val="24"/>
        </w:rPr>
        <w:t xml:space="preserve">), entre NRMs e RMs obtido com o peso das RMs (NRMs), </w:t>
      </w:r>
      <w:r w:rsidR="00ED6F4B">
        <w:rPr>
          <w:rFonts w:ascii="Times New Roman" w:hAnsi="Times New Roman"/>
          <w:sz w:val="24"/>
          <w:szCs w:val="24"/>
        </w:rPr>
        <w:t>5,9</w:t>
      </w:r>
      <w:r w:rsidR="00947CC3">
        <w:rPr>
          <w:rFonts w:ascii="Times New Roman" w:hAnsi="Times New Roman"/>
          <w:sz w:val="24"/>
          <w:szCs w:val="24"/>
        </w:rPr>
        <w:t>p.p.</w:t>
      </w:r>
      <w:r>
        <w:rPr>
          <w:rFonts w:ascii="Times New Roman" w:hAnsi="Times New Roman"/>
          <w:sz w:val="24"/>
          <w:szCs w:val="24"/>
        </w:rPr>
        <w:t xml:space="preserve"> (4,</w:t>
      </w:r>
      <w:r w:rsidR="00ED6F4B">
        <w:rPr>
          <w:rFonts w:ascii="Times New Roman" w:hAnsi="Times New Roman"/>
          <w:sz w:val="24"/>
          <w:szCs w:val="24"/>
        </w:rPr>
        <w:t>5</w:t>
      </w:r>
      <w:r w:rsidR="00947CC3">
        <w:rPr>
          <w:rFonts w:ascii="Times New Roman" w:hAnsi="Times New Roman"/>
          <w:sz w:val="24"/>
          <w:szCs w:val="24"/>
        </w:rPr>
        <w:t>p.p.</w:t>
      </w:r>
      <w:r>
        <w:rPr>
          <w:rFonts w:ascii="Times New Roman" w:hAnsi="Times New Roman"/>
          <w:sz w:val="24"/>
          <w:szCs w:val="24"/>
        </w:rPr>
        <w:t>) é explicad</w:t>
      </w:r>
      <w:r w:rsidR="0010466F">
        <w:rPr>
          <w:rFonts w:ascii="Times New Roman" w:hAnsi="Times New Roman"/>
          <w:sz w:val="24"/>
          <w:szCs w:val="24"/>
        </w:rPr>
        <w:t>o pelo setor de outros serviços. Ao contrário do setor agrícola</w:t>
      </w:r>
      <w:r w:rsidR="005F3ED8">
        <w:rPr>
          <w:rFonts w:ascii="Times New Roman" w:hAnsi="Times New Roman"/>
          <w:sz w:val="24"/>
          <w:szCs w:val="24"/>
        </w:rPr>
        <w:t>, a diferença de informalidade entre RMs (3</w:t>
      </w:r>
      <w:r w:rsidR="00ED6F4B">
        <w:rPr>
          <w:rFonts w:ascii="Times New Roman" w:hAnsi="Times New Roman"/>
          <w:sz w:val="24"/>
          <w:szCs w:val="24"/>
        </w:rPr>
        <w:t>2</w:t>
      </w:r>
      <w:r w:rsidR="005F3ED8">
        <w:rPr>
          <w:rFonts w:ascii="Times New Roman" w:hAnsi="Times New Roman"/>
          <w:sz w:val="24"/>
          <w:szCs w:val="24"/>
        </w:rPr>
        <w:t>,</w:t>
      </w:r>
      <w:r w:rsidR="00ED6F4B">
        <w:rPr>
          <w:rFonts w:ascii="Times New Roman" w:hAnsi="Times New Roman"/>
          <w:sz w:val="24"/>
          <w:szCs w:val="24"/>
        </w:rPr>
        <w:t>9</w:t>
      </w:r>
      <w:r w:rsidR="005F3ED8">
        <w:rPr>
          <w:rFonts w:ascii="Times New Roman" w:hAnsi="Times New Roman"/>
          <w:sz w:val="24"/>
          <w:szCs w:val="24"/>
        </w:rPr>
        <w:t>%</w:t>
      </w:r>
      <w:r w:rsidR="00ED6F4B">
        <w:rPr>
          <w:rFonts w:ascii="Times New Roman" w:hAnsi="Times New Roman"/>
          <w:sz w:val="24"/>
          <w:szCs w:val="24"/>
        </w:rPr>
        <w:t>, Tabela 4</w:t>
      </w:r>
      <w:r w:rsidR="005F3ED8">
        <w:rPr>
          <w:rFonts w:ascii="Times New Roman" w:hAnsi="Times New Roman"/>
          <w:sz w:val="24"/>
          <w:szCs w:val="24"/>
        </w:rPr>
        <w:t>) e NRMs</w:t>
      </w:r>
      <w:r w:rsidR="007229EA">
        <w:rPr>
          <w:rFonts w:ascii="Times New Roman" w:hAnsi="Times New Roman"/>
          <w:sz w:val="24"/>
          <w:szCs w:val="24"/>
        </w:rPr>
        <w:t xml:space="preserve"> (</w:t>
      </w:r>
      <w:r w:rsidR="00ED6F4B">
        <w:rPr>
          <w:rFonts w:ascii="Times New Roman" w:hAnsi="Times New Roman"/>
          <w:sz w:val="24"/>
          <w:szCs w:val="24"/>
        </w:rPr>
        <w:t>4</w:t>
      </w:r>
      <w:r w:rsidR="007229EA">
        <w:rPr>
          <w:rFonts w:ascii="Times New Roman" w:hAnsi="Times New Roman"/>
          <w:sz w:val="24"/>
          <w:szCs w:val="24"/>
        </w:rPr>
        <w:t>8</w:t>
      </w:r>
      <w:r w:rsidR="00ED6F4B">
        <w:rPr>
          <w:rFonts w:ascii="Times New Roman" w:hAnsi="Times New Roman"/>
          <w:sz w:val="24"/>
          <w:szCs w:val="24"/>
        </w:rPr>
        <w:t>,2</w:t>
      </w:r>
      <w:r w:rsidR="007229EA">
        <w:rPr>
          <w:rFonts w:ascii="Times New Roman" w:hAnsi="Times New Roman"/>
          <w:sz w:val="24"/>
          <w:szCs w:val="24"/>
        </w:rPr>
        <w:t>%</w:t>
      </w:r>
      <w:r w:rsidR="00ED6F4B">
        <w:rPr>
          <w:rFonts w:ascii="Times New Roman" w:hAnsi="Times New Roman"/>
          <w:sz w:val="24"/>
          <w:szCs w:val="24"/>
        </w:rPr>
        <w:t>, Tabela 4</w:t>
      </w:r>
      <w:r w:rsidR="007229EA">
        <w:rPr>
          <w:rFonts w:ascii="Times New Roman" w:hAnsi="Times New Roman"/>
          <w:sz w:val="24"/>
          <w:szCs w:val="24"/>
        </w:rPr>
        <w:t>) é alta, além do fato deste setor ter peso alto tanto nas RMs (</w:t>
      </w:r>
      <w:r w:rsidR="00077E94">
        <w:rPr>
          <w:rFonts w:ascii="Times New Roman" w:hAnsi="Times New Roman"/>
          <w:sz w:val="24"/>
          <w:szCs w:val="24"/>
        </w:rPr>
        <w:t>38</w:t>
      </w:r>
      <w:r w:rsidR="007229EA">
        <w:rPr>
          <w:rFonts w:ascii="Times New Roman" w:hAnsi="Times New Roman"/>
          <w:sz w:val="24"/>
          <w:szCs w:val="24"/>
        </w:rPr>
        <w:t>,</w:t>
      </w:r>
      <w:r w:rsidR="00077E94">
        <w:rPr>
          <w:rFonts w:ascii="Times New Roman" w:hAnsi="Times New Roman"/>
          <w:sz w:val="24"/>
          <w:szCs w:val="24"/>
        </w:rPr>
        <w:t>4</w:t>
      </w:r>
      <w:r w:rsidR="007229EA">
        <w:rPr>
          <w:rFonts w:ascii="Times New Roman" w:hAnsi="Times New Roman"/>
          <w:sz w:val="24"/>
          <w:szCs w:val="24"/>
        </w:rPr>
        <w:t>%) como nas NRMs (2</w:t>
      </w:r>
      <w:r w:rsidR="00077E94">
        <w:rPr>
          <w:rFonts w:ascii="Times New Roman" w:hAnsi="Times New Roman"/>
          <w:sz w:val="24"/>
          <w:szCs w:val="24"/>
        </w:rPr>
        <w:t>9,5</w:t>
      </w:r>
      <w:r w:rsidR="007229EA">
        <w:rPr>
          <w:rFonts w:ascii="Times New Roman" w:hAnsi="Times New Roman"/>
          <w:sz w:val="24"/>
          <w:szCs w:val="24"/>
        </w:rPr>
        <w:t>%).</w:t>
      </w:r>
    </w:p>
    <w:p w:rsidR="008D20A8" w:rsidRDefault="008D20A8" w:rsidP="001F03CD">
      <w:pPr>
        <w:spacing w:line="240" w:lineRule="auto"/>
        <w:ind w:firstLine="708"/>
        <w:jc w:val="both"/>
        <w:rPr>
          <w:rFonts w:ascii="Times New Roman" w:hAnsi="Times New Roman"/>
          <w:sz w:val="24"/>
          <w:szCs w:val="24"/>
        </w:rPr>
      </w:pPr>
      <w:r>
        <w:rPr>
          <w:rFonts w:ascii="Times New Roman" w:hAnsi="Times New Roman"/>
          <w:sz w:val="24"/>
          <w:szCs w:val="24"/>
        </w:rPr>
        <w:t>Desta forma, não se pode afirmar que a diferença entre os pesos setoriais é o componente principal para explicar o diferencial de taxas de informalidade. Para melhor entender os fatores que explicam a redução das taxas de informalidade ao longo do tempo e as diferenças entre a informalidade das regiões metropolitanas e não metropolitanas, a próxima seção realiza a decomposição</w:t>
      </w:r>
      <w:r w:rsidR="00BF1556">
        <w:rPr>
          <w:rFonts w:ascii="Times New Roman" w:hAnsi="Times New Roman"/>
          <w:sz w:val="24"/>
          <w:szCs w:val="24"/>
        </w:rPr>
        <w:t xml:space="preserve"> da diferença de taxas de informalidade, como apresentada na metodologia da seção 3.</w:t>
      </w:r>
    </w:p>
    <w:p w:rsidR="008D20A8" w:rsidRDefault="008D20A8" w:rsidP="001F03CD">
      <w:pPr>
        <w:spacing w:line="240" w:lineRule="auto"/>
        <w:jc w:val="both"/>
        <w:rPr>
          <w:rFonts w:ascii="Times New Roman" w:hAnsi="Times New Roman"/>
          <w:sz w:val="24"/>
          <w:szCs w:val="24"/>
        </w:rPr>
      </w:pPr>
    </w:p>
    <w:p w:rsidR="00C23DD9" w:rsidRPr="000F6A25" w:rsidRDefault="00C23DD9" w:rsidP="001F03CD">
      <w:pPr>
        <w:spacing w:line="240" w:lineRule="auto"/>
        <w:jc w:val="both"/>
        <w:rPr>
          <w:rFonts w:ascii="Times New Roman" w:hAnsi="Times New Roman"/>
          <w:b/>
          <w:sz w:val="24"/>
          <w:szCs w:val="24"/>
        </w:rPr>
      </w:pPr>
      <w:r w:rsidRPr="000F6A25">
        <w:rPr>
          <w:rFonts w:ascii="Times New Roman" w:hAnsi="Times New Roman"/>
          <w:b/>
          <w:sz w:val="24"/>
          <w:szCs w:val="24"/>
        </w:rPr>
        <w:t>5 – Resultados</w:t>
      </w:r>
      <w:r w:rsidR="00050454">
        <w:rPr>
          <w:rFonts w:ascii="Times New Roman" w:hAnsi="Times New Roman"/>
          <w:b/>
          <w:sz w:val="24"/>
          <w:szCs w:val="24"/>
        </w:rPr>
        <w:t xml:space="preserve"> da</w:t>
      </w:r>
      <w:r w:rsidRPr="000F6A25">
        <w:rPr>
          <w:rFonts w:ascii="Times New Roman" w:hAnsi="Times New Roman"/>
          <w:b/>
          <w:sz w:val="24"/>
          <w:szCs w:val="24"/>
        </w:rPr>
        <w:t xml:space="preserve"> Decomposição</w:t>
      </w:r>
    </w:p>
    <w:p w:rsidR="00C23DD9" w:rsidRDefault="008B4D8C" w:rsidP="001F03CD">
      <w:pPr>
        <w:spacing w:line="240" w:lineRule="auto"/>
        <w:jc w:val="both"/>
        <w:rPr>
          <w:rFonts w:ascii="Times New Roman" w:hAnsi="Times New Roman"/>
          <w:sz w:val="24"/>
          <w:szCs w:val="24"/>
        </w:rPr>
      </w:pPr>
      <w:r>
        <w:rPr>
          <w:rFonts w:ascii="Times New Roman" w:hAnsi="Times New Roman"/>
          <w:sz w:val="24"/>
          <w:szCs w:val="24"/>
        </w:rPr>
        <w:t>Esta seção realiza a decomposição da variação da taxa de informalidade no tempo e entre regiões (</w:t>
      </w:r>
      <w:r w:rsidRPr="00F5776C">
        <w:rPr>
          <w:rFonts w:ascii="Times New Roman" w:hAnsi="Times New Roman"/>
          <w:i/>
          <w:sz w:val="24"/>
          <w:szCs w:val="24"/>
        </w:rPr>
        <w:t>cross-section</w:t>
      </w:r>
      <w:r>
        <w:rPr>
          <w:rFonts w:ascii="Times New Roman" w:hAnsi="Times New Roman"/>
          <w:sz w:val="24"/>
          <w:szCs w:val="24"/>
        </w:rPr>
        <w:t>) com relação ao gênero, cor, escolaridade, faixa etária, experiência, ciclos escolares e capital humano.</w:t>
      </w:r>
    </w:p>
    <w:p w:rsidR="00C23DD9" w:rsidRDefault="00C23DD9" w:rsidP="001F03CD">
      <w:pPr>
        <w:spacing w:line="240" w:lineRule="auto"/>
        <w:jc w:val="both"/>
        <w:rPr>
          <w:rFonts w:ascii="Times New Roman" w:hAnsi="Times New Roman"/>
          <w:sz w:val="24"/>
          <w:szCs w:val="24"/>
        </w:rPr>
      </w:pPr>
      <w:r w:rsidRPr="008B4D8C">
        <w:rPr>
          <w:rFonts w:ascii="Times New Roman" w:hAnsi="Times New Roman"/>
          <w:sz w:val="24"/>
          <w:szCs w:val="24"/>
          <w:u w:val="single"/>
        </w:rPr>
        <w:lastRenderedPageBreak/>
        <w:t>Gênero</w:t>
      </w:r>
    </w:p>
    <w:p w:rsidR="00681090" w:rsidRDefault="008B4D8C" w:rsidP="001F03CD">
      <w:pPr>
        <w:spacing w:line="240" w:lineRule="auto"/>
        <w:ind w:firstLine="708"/>
        <w:jc w:val="both"/>
        <w:rPr>
          <w:rFonts w:ascii="Times New Roman" w:hAnsi="Times New Roman"/>
          <w:sz w:val="24"/>
          <w:szCs w:val="24"/>
        </w:rPr>
      </w:pPr>
      <w:r>
        <w:rPr>
          <w:rFonts w:ascii="Times New Roman" w:hAnsi="Times New Roman"/>
          <w:sz w:val="24"/>
          <w:szCs w:val="24"/>
        </w:rPr>
        <w:t xml:space="preserve">A Tabela </w:t>
      </w:r>
      <w:r w:rsidR="00E749F6">
        <w:rPr>
          <w:rFonts w:ascii="Times New Roman" w:hAnsi="Times New Roman"/>
          <w:sz w:val="24"/>
          <w:szCs w:val="24"/>
        </w:rPr>
        <w:t>7</w:t>
      </w:r>
      <w:r>
        <w:rPr>
          <w:rFonts w:ascii="Times New Roman" w:hAnsi="Times New Roman"/>
          <w:sz w:val="24"/>
          <w:szCs w:val="24"/>
        </w:rPr>
        <w:t xml:space="preserve"> mostra a decomposição da variação da taxa de informalidade por gênero.  Aqui pode-se perceber que o efeito nível é o predominante na análise das diferenças, sendo o efeito composição de relativa importância somente nas diferenças entre as taxas de informalidade entre as regiões metropolitanas e não metropolitanas.</w:t>
      </w:r>
    </w:p>
    <w:tbl>
      <w:tblPr>
        <w:tblW w:w="7987" w:type="dxa"/>
        <w:jc w:val="center"/>
        <w:tblInd w:w="55" w:type="dxa"/>
        <w:tblCellMar>
          <w:left w:w="70" w:type="dxa"/>
          <w:right w:w="70" w:type="dxa"/>
        </w:tblCellMar>
        <w:tblLook w:val="04A0" w:firstRow="1" w:lastRow="0" w:firstColumn="1" w:lastColumn="0" w:noHBand="0" w:noVBand="1"/>
      </w:tblPr>
      <w:tblGrid>
        <w:gridCol w:w="2714"/>
        <w:gridCol w:w="1630"/>
        <w:gridCol w:w="2263"/>
        <w:gridCol w:w="1380"/>
      </w:tblGrid>
      <w:tr w:rsidR="006A3400" w:rsidRPr="006A3400" w:rsidTr="00C564F6">
        <w:trPr>
          <w:trHeight w:val="270"/>
          <w:jc w:val="center"/>
        </w:trPr>
        <w:tc>
          <w:tcPr>
            <w:tcW w:w="7987" w:type="dxa"/>
            <w:gridSpan w:val="4"/>
            <w:tcBorders>
              <w:top w:val="single" w:sz="8" w:space="0" w:color="auto"/>
              <w:left w:val="nil"/>
              <w:bottom w:val="single" w:sz="8" w:space="0" w:color="auto"/>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Tabela 7: Decomposição da variação da taxa de informalidade (em p.p.)</w:t>
            </w:r>
          </w:p>
        </w:tc>
      </w:tr>
      <w:tr w:rsidR="006A3400" w:rsidRPr="006A3400" w:rsidTr="00C564F6">
        <w:trPr>
          <w:trHeight w:val="270"/>
          <w:jc w:val="center"/>
        </w:trPr>
        <w:tc>
          <w:tcPr>
            <w:tcW w:w="7987" w:type="dxa"/>
            <w:gridSpan w:val="4"/>
            <w:tcBorders>
              <w:top w:val="single" w:sz="8" w:space="0" w:color="auto"/>
              <w:left w:val="nil"/>
              <w:bottom w:val="single" w:sz="8" w:space="0" w:color="auto"/>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Sexo</w:t>
            </w:r>
          </w:p>
        </w:tc>
      </w:tr>
      <w:tr w:rsidR="006A3400" w:rsidRPr="006A3400" w:rsidTr="00C564F6">
        <w:trPr>
          <w:trHeight w:val="270"/>
          <w:jc w:val="center"/>
        </w:trPr>
        <w:tc>
          <w:tcPr>
            <w:tcW w:w="2714" w:type="dxa"/>
            <w:tcBorders>
              <w:top w:val="nil"/>
              <w:left w:val="nil"/>
              <w:bottom w:val="single" w:sz="8" w:space="0" w:color="auto"/>
              <w:right w:val="nil"/>
            </w:tcBorders>
            <w:shd w:val="clear" w:color="000000" w:fill="FFFFFF"/>
            <w:noWrap/>
            <w:vAlign w:val="bottom"/>
            <w:hideMark/>
          </w:tcPr>
          <w:p w:rsidR="006A3400" w:rsidRPr="006A3400" w:rsidRDefault="006A3400" w:rsidP="001F03CD">
            <w:pPr>
              <w:spacing w:after="0" w:line="240" w:lineRule="auto"/>
              <w:rPr>
                <w:rFonts w:ascii="Arial" w:eastAsia="Times New Roman" w:hAnsi="Arial" w:cs="Arial"/>
                <w:sz w:val="20"/>
                <w:szCs w:val="20"/>
                <w:lang w:eastAsia="pt-BR"/>
              </w:rPr>
            </w:pPr>
            <w:r w:rsidRPr="006A3400">
              <w:rPr>
                <w:rFonts w:ascii="Arial" w:eastAsia="Times New Roman" w:hAnsi="Arial" w:cs="Arial"/>
                <w:sz w:val="20"/>
                <w:szCs w:val="20"/>
                <w:lang w:eastAsia="pt-BR"/>
              </w:rPr>
              <w:t>Período - Amostra</w:t>
            </w:r>
          </w:p>
        </w:tc>
        <w:tc>
          <w:tcPr>
            <w:tcW w:w="1630" w:type="dxa"/>
            <w:tcBorders>
              <w:top w:val="nil"/>
              <w:left w:val="nil"/>
              <w:bottom w:val="single" w:sz="8" w:space="0" w:color="auto"/>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Efeito Nível</w:t>
            </w:r>
          </w:p>
        </w:tc>
        <w:tc>
          <w:tcPr>
            <w:tcW w:w="2263" w:type="dxa"/>
            <w:tcBorders>
              <w:top w:val="nil"/>
              <w:left w:val="nil"/>
              <w:bottom w:val="single" w:sz="8" w:space="0" w:color="auto"/>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Efeito Composição</w:t>
            </w:r>
          </w:p>
        </w:tc>
        <w:tc>
          <w:tcPr>
            <w:tcW w:w="1380" w:type="dxa"/>
            <w:tcBorders>
              <w:top w:val="nil"/>
              <w:left w:val="nil"/>
              <w:bottom w:val="single" w:sz="8" w:space="0" w:color="auto"/>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Efeito Total</w:t>
            </w:r>
          </w:p>
        </w:tc>
      </w:tr>
      <w:tr w:rsidR="006A3400" w:rsidRPr="006A3400" w:rsidTr="00C564F6">
        <w:trPr>
          <w:trHeight w:val="255"/>
          <w:jc w:val="center"/>
        </w:trPr>
        <w:tc>
          <w:tcPr>
            <w:tcW w:w="2714"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rPr>
                <w:rFonts w:ascii="Arial" w:eastAsia="Times New Roman" w:hAnsi="Arial" w:cs="Arial"/>
                <w:sz w:val="20"/>
                <w:szCs w:val="20"/>
                <w:lang w:eastAsia="pt-BR"/>
              </w:rPr>
            </w:pPr>
            <w:r w:rsidRPr="006A3400">
              <w:rPr>
                <w:rFonts w:ascii="Arial" w:eastAsia="Times New Roman" w:hAnsi="Arial" w:cs="Arial"/>
                <w:sz w:val="20"/>
                <w:szCs w:val="20"/>
                <w:lang w:eastAsia="pt-BR"/>
              </w:rPr>
              <w:t>2011-2002</w:t>
            </w:r>
          </w:p>
        </w:tc>
        <w:tc>
          <w:tcPr>
            <w:tcW w:w="1630"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-11,0%</w:t>
            </w:r>
          </w:p>
        </w:tc>
        <w:tc>
          <w:tcPr>
            <w:tcW w:w="2263"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0,1%</w:t>
            </w:r>
          </w:p>
        </w:tc>
        <w:tc>
          <w:tcPr>
            <w:tcW w:w="1380"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-10,9%</w:t>
            </w:r>
          </w:p>
        </w:tc>
      </w:tr>
      <w:tr w:rsidR="006A3400" w:rsidRPr="006A3400" w:rsidTr="00C564F6">
        <w:trPr>
          <w:trHeight w:val="270"/>
          <w:jc w:val="center"/>
        </w:trPr>
        <w:tc>
          <w:tcPr>
            <w:tcW w:w="2714"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rPr>
                <w:rFonts w:ascii="Arial" w:eastAsia="Times New Roman" w:hAnsi="Arial" w:cs="Arial"/>
                <w:sz w:val="20"/>
                <w:szCs w:val="20"/>
                <w:lang w:eastAsia="pt-BR"/>
              </w:rPr>
            </w:pPr>
            <w:r w:rsidRPr="006A3400">
              <w:rPr>
                <w:rFonts w:ascii="Arial" w:eastAsia="Times New Roman" w:hAnsi="Arial" w:cs="Arial"/>
                <w:sz w:val="20"/>
                <w:szCs w:val="20"/>
                <w:lang w:eastAsia="pt-BR"/>
              </w:rPr>
              <w:t>2009-2002</w:t>
            </w:r>
          </w:p>
        </w:tc>
        <w:tc>
          <w:tcPr>
            <w:tcW w:w="1630"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-6,3%</w:t>
            </w:r>
          </w:p>
        </w:tc>
        <w:tc>
          <w:tcPr>
            <w:tcW w:w="2263"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0,1%</w:t>
            </w:r>
          </w:p>
        </w:tc>
        <w:tc>
          <w:tcPr>
            <w:tcW w:w="1380"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-6,2%</w:t>
            </w:r>
          </w:p>
        </w:tc>
      </w:tr>
      <w:tr w:rsidR="006A3400" w:rsidRPr="006A3400" w:rsidTr="00C564F6">
        <w:trPr>
          <w:trHeight w:val="255"/>
          <w:jc w:val="center"/>
        </w:trPr>
        <w:tc>
          <w:tcPr>
            <w:tcW w:w="2714"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rPr>
                <w:rFonts w:ascii="Arial" w:eastAsia="Times New Roman" w:hAnsi="Arial" w:cs="Arial"/>
                <w:sz w:val="20"/>
                <w:szCs w:val="20"/>
                <w:lang w:eastAsia="pt-BR"/>
              </w:rPr>
            </w:pPr>
            <w:r w:rsidRPr="006A3400">
              <w:rPr>
                <w:rFonts w:ascii="Arial" w:eastAsia="Times New Roman" w:hAnsi="Arial" w:cs="Arial"/>
                <w:sz w:val="20"/>
                <w:szCs w:val="20"/>
                <w:lang w:eastAsia="pt-BR"/>
              </w:rPr>
              <w:t>2011-2009</w:t>
            </w:r>
          </w:p>
        </w:tc>
        <w:tc>
          <w:tcPr>
            <w:tcW w:w="1630"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-4,7%</w:t>
            </w:r>
          </w:p>
        </w:tc>
        <w:tc>
          <w:tcPr>
            <w:tcW w:w="2263"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0,0%</w:t>
            </w:r>
          </w:p>
        </w:tc>
        <w:tc>
          <w:tcPr>
            <w:tcW w:w="1380"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-4,7%</w:t>
            </w:r>
          </w:p>
        </w:tc>
      </w:tr>
      <w:tr w:rsidR="006A3400" w:rsidRPr="006A3400" w:rsidTr="00C564F6">
        <w:trPr>
          <w:trHeight w:val="255"/>
          <w:jc w:val="center"/>
        </w:trPr>
        <w:tc>
          <w:tcPr>
            <w:tcW w:w="2714"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rPr>
                <w:rFonts w:ascii="Arial" w:eastAsia="Times New Roman" w:hAnsi="Arial" w:cs="Arial"/>
                <w:sz w:val="20"/>
                <w:szCs w:val="20"/>
                <w:lang w:eastAsia="pt-BR"/>
              </w:rPr>
            </w:pPr>
            <w:r w:rsidRPr="006A3400">
              <w:rPr>
                <w:rFonts w:ascii="Arial" w:eastAsia="Times New Roman" w:hAnsi="Arial" w:cs="Arial"/>
                <w:sz w:val="20"/>
                <w:szCs w:val="20"/>
                <w:lang w:eastAsia="pt-BR"/>
              </w:rPr>
              <w:t>2011-2002RM</w:t>
            </w:r>
          </w:p>
        </w:tc>
        <w:tc>
          <w:tcPr>
            <w:tcW w:w="1630"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-11,0%</w:t>
            </w:r>
          </w:p>
        </w:tc>
        <w:tc>
          <w:tcPr>
            <w:tcW w:w="2263"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0,1%</w:t>
            </w:r>
          </w:p>
        </w:tc>
        <w:tc>
          <w:tcPr>
            <w:tcW w:w="1380"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-10,9%</w:t>
            </w:r>
          </w:p>
        </w:tc>
      </w:tr>
      <w:tr w:rsidR="006A3400" w:rsidRPr="006A3400" w:rsidTr="00C564F6">
        <w:trPr>
          <w:trHeight w:val="255"/>
          <w:jc w:val="center"/>
        </w:trPr>
        <w:tc>
          <w:tcPr>
            <w:tcW w:w="2714"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rPr>
                <w:rFonts w:ascii="Arial" w:eastAsia="Times New Roman" w:hAnsi="Arial" w:cs="Arial"/>
                <w:sz w:val="20"/>
                <w:szCs w:val="20"/>
                <w:lang w:eastAsia="pt-BR"/>
              </w:rPr>
            </w:pPr>
            <w:r w:rsidRPr="006A3400">
              <w:rPr>
                <w:rFonts w:ascii="Arial" w:eastAsia="Times New Roman" w:hAnsi="Arial" w:cs="Arial"/>
                <w:sz w:val="20"/>
                <w:szCs w:val="20"/>
                <w:lang w:eastAsia="pt-BR"/>
              </w:rPr>
              <w:t>2011-2002NRM</w:t>
            </w:r>
          </w:p>
        </w:tc>
        <w:tc>
          <w:tcPr>
            <w:tcW w:w="1630"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-11,0%</w:t>
            </w:r>
          </w:p>
        </w:tc>
        <w:tc>
          <w:tcPr>
            <w:tcW w:w="2263"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0,1%</w:t>
            </w:r>
          </w:p>
        </w:tc>
        <w:tc>
          <w:tcPr>
            <w:tcW w:w="1380"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-10,9%</w:t>
            </w:r>
          </w:p>
        </w:tc>
      </w:tr>
      <w:tr w:rsidR="006A3400" w:rsidRPr="006A3400" w:rsidTr="00C564F6">
        <w:trPr>
          <w:trHeight w:val="255"/>
          <w:jc w:val="center"/>
        </w:trPr>
        <w:tc>
          <w:tcPr>
            <w:tcW w:w="2714"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rPr>
                <w:rFonts w:ascii="Arial" w:eastAsia="Times New Roman" w:hAnsi="Arial" w:cs="Arial"/>
                <w:sz w:val="20"/>
                <w:szCs w:val="20"/>
                <w:lang w:eastAsia="pt-BR"/>
              </w:rPr>
            </w:pPr>
            <w:r w:rsidRPr="006A3400">
              <w:rPr>
                <w:rFonts w:ascii="Arial" w:eastAsia="Times New Roman" w:hAnsi="Arial" w:cs="Arial"/>
                <w:sz w:val="20"/>
                <w:szCs w:val="20"/>
                <w:lang w:eastAsia="pt-BR"/>
              </w:rPr>
              <w:t>2011NRM-2011RM</w:t>
            </w:r>
          </w:p>
        </w:tc>
        <w:tc>
          <w:tcPr>
            <w:tcW w:w="1630"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12,9%</w:t>
            </w:r>
          </w:p>
        </w:tc>
        <w:tc>
          <w:tcPr>
            <w:tcW w:w="2263"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-0,3%</w:t>
            </w:r>
          </w:p>
        </w:tc>
        <w:tc>
          <w:tcPr>
            <w:tcW w:w="1380"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12,6%</w:t>
            </w:r>
          </w:p>
        </w:tc>
      </w:tr>
      <w:tr w:rsidR="006A3400" w:rsidRPr="006A3400" w:rsidTr="00C564F6">
        <w:trPr>
          <w:trHeight w:val="270"/>
          <w:jc w:val="center"/>
        </w:trPr>
        <w:tc>
          <w:tcPr>
            <w:tcW w:w="2714" w:type="dxa"/>
            <w:tcBorders>
              <w:top w:val="nil"/>
              <w:left w:val="nil"/>
              <w:bottom w:val="single" w:sz="8" w:space="0" w:color="auto"/>
              <w:right w:val="nil"/>
            </w:tcBorders>
            <w:shd w:val="clear" w:color="000000" w:fill="FFFFFF"/>
            <w:noWrap/>
            <w:vAlign w:val="bottom"/>
            <w:hideMark/>
          </w:tcPr>
          <w:p w:rsidR="006A3400" w:rsidRPr="006A3400" w:rsidRDefault="006A3400" w:rsidP="001F03CD">
            <w:pPr>
              <w:spacing w:after="0" w:line="240" w:lineRule="auto"/>
              <w:rPr>
                <w:rFonts w:ascii="Arial" w:eastAsia="Times New Roman" w:hAnsi="Arial" w:cs="Arial"/>
                <w:sz w:val="20"/>
                <w:szCs w:val="20"/>
                <w:lang w:eastAsia="pt-BR"/>
              </w:rPr>
            </w:pPr>
            <w:r w:rsidRPr="006A3400">
              <w:rPr>
                <w:rFonts w:ascii="Arial" w:eastAsia="Times New Roman" w:hAnsi="Arial" w:cs="Arial"/>
                <w:sz w:val="20"/>
                <w:szCs w:val="20"/>
                <w:lang w:eastAsia="pt-BR"/>
              </w:rPr>
              <w:t>2002NRM-2002RM</w:t>
            </w:r>
          </w:p>
        </w:tc>
        <w:tc>
          <w:tcPr>
            <w:tcW w:w="1630" w:type="dxa"/>
            <w:tcBorders>
              <w:top w:val="nil"/>
              <w:left w:val="nil"/>
              <w:bottom w:val="single" w:sz="8" w:space="0" w:color="auto"/>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12,9%</w:t>
            </w:r>
          </w:p>
        </w:tc>
        <w:tc>
          <w:tcPr>
            <w:tcW w:w="2263" w:type="dxa"/>
            <w:tcBorders>
              <w:top w:val="nil"/>
              <w:left w:val="nil"/>
              <w:bottom w:val="single" w:sz="8" w:space="0" w:color="auto"/>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-0,4%</w:t>
            </w:r>
          </w:p>
        </w:tc>
        <w:tc>
          <w:tcPr>
            <w:tcW w:w="1380" w:type="dxa"/>
            <w:tcBorders>
              <w:top w:val="nil"/>
              <w:left w:val="nil"/>
              <w:bottom w:val="single" w:sz="8" w:space="0" w:color="auto"/>
              <w:right w:val="nil"/>
            </w:tcBorders>
            <w:shd w:val="clear" w:color="000000" w:fill="FFFFFF"/>
            <w:noWrap/>
            <w:vAlign w:val="bottom"/>
            <w:hideMark/>
          </w:tcPr>
          <w:p w:rsidR="006A3400" w:rsidRPr="006A3400" w:rsidRDefault="006A3400" w:rsidP="001F03CD">
            <w:pPr>
              <w:spacing w:after="0" w:line="240" w:lineRule="auto"/>
              <w:jc w:val="center"/>
              <w:rPr>
                <w:rFonts w:ascii="Arial" w:eastAsia="Times New Roman" w:hAnsi="Arial" w:cs="Arial"/>
                <w:sz w:val="20"/>
                <w:szCs w:val="20"/>
                <w:lang w:eastAsia="pt-BR"/>
              </w:rPr>
            </w:pPr>
            <w:r w:rsidRPr="006A3400">
              <w:rPr>
                <w:rFonts w:ascii="Arial" w:eastAsia="Times New Roman" w:hAnsi="Arial" w:cs="Arial"/>
                <w:sz w:val="20"/>
                <w:szCs w:val="20"/>
                <w:lang w:eastAsia="pt-BR"/>
              </w:rPr>
              <w:t>12,6%</w:t>
            </w:r>
          </w:p>
        </w:tc>
      </w:tr>
      <w:tr w:rsidR="006A3400" w:rsidRPr="006A3400" w:rsidTr="00C564F6">
        <w:trPr>
          <w:trHeight w:val="255"/>
          <w:jc w:val="center"/>
        </w:trPr>
        <w:tc>
          <w:tcPr>
            <w:tcW w:w="4344" w:type="dxa"/>
            <w:gridSpan w:val="2"/>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rPr>
                <w:rFonts w:ascii="Arial" w:eastAsia="Times New Roman" w:hAnsi="Arial" w:cs="Arial"/>
                <w:sz w:val="20"/>
                <w:szCs w:val="20"/>
                <w:lang w:eastAsia="pt-BR"/>
              </w:rPr>
            </w:pPr>
            <w:r w:rsidRPr="006A3400">
              <w:rPr>
                <w:rFonts w:ascii="Arial" w:eastAsia="Times New Roman" w:hAnsi="Arial" w:cs="Arial"/>
                <w:sz w:val="20"/>
                <w:szCs w:val="20"/>
                <w:lang w:eastAsia="pt-BR"/>
              </w:rPr>
              <w:t>Fonte: Elaboração Própria com dados da PNAD.</w:t>
            </w:r>
          </w:p>
        </w:tc>
        <w:tc>
          <w:tcPr>
            <w:tcW w:w="2263"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rPr>
                <w:rFonts w:ascii="Arial" w:eastAsia="Times New Roman" w:hAnsi="Arial" w:cs="Arial"/>
                <w:sz w:val="20"/>
                <w:szCs w:val="20"/>
                <w:lang w:eastAsia="pt-BR"/>
              </w:rPr>
            </w:pPr>
            <w:r w:rsidRPr="006A3400">
              <w:rPr>
                <w:rFonts w:ascii="Arial" w:eastAsia="Times New Roman" w:hAnsi="Arial" w:cs="Arial"/>
                <w:sz w:val="20"/>
                <w:szCs w:val="20"/>
                <w:lang w:eastAsia="pt-BR"/>
              </w:rPr>
              <w:t> </w:t>
            </w:r>
          </w:p>
        </w:tc>
        <w:tc>
          <w:tcPr>
            <w:tcW w:w="1380" w:type="dxa"/>
            <w:tcBorders>
              <w:top w:val="nil"/>
              <w:left w:val="nil"/>
              <w:bottom w:val="nil"/>
              <w:right w:val="nil"/>
            </w:tcBorders>
            <w:shd w:val="clear" w:color="000000" w:fill="FFFFFF"/>
            <w:noWrap/>
            <w:vAlign w:val="bottom"/>
            <w:hideMark/>
          </w:tcPr>
          <w:p w:rsidR="006A3400" w:rsidRPr="006A3400" w:rsidRDefault="006A3400" w:rsidP="001F03CD">
            <w:pPr>
              <w:spacing w:after="0" w:line="240" w:lineRule="auto"/>
              <w:rPr>
                <w:rFonts w:ascii="Arial" w:eastAsia="Times New Roman" w:hAnsi="Arial" w:cs="Arial"/>
                <w:sz w:val="20"/>
                <w:szCs w:val="20"/>
                <w:lang w:eastAsia="pt-BR"/>
              </w:rPr>
            </w:pPr>
            <w:r w:rsidRPr="006A3400">
              <w:rPr>
                <w:rFonts w:ascii="Arial" w:eastAsia="Times New Roman" w:hAnsi="Arial" w:cs="Arial"/>
                <w:sz w:val="20"/>
                <w:szCs w:val="20"/>
                <w:lang w:eastAsia="pt-BR"/>
              </w:rPr>
              <w:t> </w:t>
            </w:r>
          </w:p>
        </w:tc>
      </w:tr>
    </w:tbl>
    <w:p w:rsidR="006A3400" w:rsidRDefault="006A3400" w:rsidP="001F03CD">
      <w:pPr>
        <w:spacing w:line="240" w:lineRule="auto"/>
        <w:ind w:firstLine="708"/>
        <w:jc w:val="both"/>
        <w:rPr>
          <w:rFonts w:ascii="Times New Roman" w:hAnsi="Times New Roman"/>
          <w:sz w:val="24"/>
          <w:szCs w:val="24"/>
        </w:rPr>
      </w:pPr>
    </w:p>
    <w:p w:rsidR="008B4D8C" w:rsidRDefault="008B4D8C" w:rsidP="001F03CD">
      <w:pPr>
        <w:spacing w:line="240" w:lineRule="auto"/>
        <w:ind w:firstLine="708"/>
        <w:jc w:val="both"/>
        <w:rPr>
          <w:rFonts w:ascii="Times New Roman" w:hAnsi="Times New Roman"/>
          <w:sz w:val="24"/>
          <w:szCs w:val="24"/>
        </w:rPr>
      </w:pPr>
      <w:r>
        <w:rPr>
          <w:rFonts w:ascii="Times New Roman" w:hAnsi="Times New Roman"/>
          <w:sz w:val="24"/>
          <w:szCs w:val="24"/>
        </w:rPr>
        <w:t>A contribuição negativa do efeito nível significa que houve uma queda da taxa de informalidade para os diferentes grupos entre 2002 e 20</w:t>
      </w:r>
      <w:r w:rsidR="00D864C7">
        <w:rPr>
          <w:rFonts w:ascii="Times New Roman" w:hAnsi="Times New Roman"/>
          <w:sz w:val="24"/>
          <w:szCs w:val="24"/>
        </w:rPr>
        <w:t>11</w:t>
      </w:r>
      <w:r>
        <w:rPr>
          <w:rFonts w:ascii="Times New Roman" w:hAnsi="Times New Roman"/>
          <w:sz w:val="24"/>
          <w:szCs w:val="24"/>
        </w:rPr>
        <w:t xml:space="preserve"> e que este efeito é o predominante para a explicação da redução da informalidade no período. </w:t>
      </w:r>
      <w:r w:rsidR="00BD320B">
        <w:rPr>
          <w:rFonts w:ascii="Times New Roman" w:hAnsi="Times New Roman"/>
          <w:sz w:val="24"/>
          <w:szCs w:val="24"/>
        </w:rPr>
        <w:t>Destaca-se que os homens tiveram a maior contribuição</w:t>
      </w:r>
      <w:r w:rsidR="00665170">
        <w:rPr>
          <w:rFonts w:ascii="Times New Roman" w:hAnsi="Times New Roman"/>
          <w:sz w:val="24"/>
          <w:szCs w:val="24"/>
        </w:rPr>
        <w:t xml:space="preserve"> (</w:t>
      </w:r>
      <w:r w:rsidR="00D864C7">
        <w:rPr>
          <w:rFonts w:ascii="Times New Roman" w:hAnsi="Times New Roman"/>
          <w:sz w:val="24"/>
          <w:szCs w:val="24"/>
        </w:rPr>
        <w:t>por exemplo, -6,6p.p. no período 2011-2002</w:t>
      </w:r>
      <w:r w:rsidR="00665170">
        <w:rPr>
          <w:rFonts w:ascii="Times New Roman" w:hAnsi="Times New Roman"/>
          <w:sz w:val="24"/>
          <w:szCs w:val="24"/>
        </w:rPr>
        <w:t>)</w:t>
      </w:r>
      <w:r w:rsidR="00BD320B">
        <w:rPr>
          <w:rFonts w:ascii="Times New Roman" w:hAnsi="Times New Roman"/>
          <w:sz w:val="24"/>
          <w:szCs w:val="24"/>
        </w:rPr>
        <w:t xml:space="preserve"> para tal efeito</w:t>
      </w:r>
      <w:r w:rsidR="00665170">
        <w:rPr>
          <w:rFonts w:ascii="Times New Roman" w:hAnsi="Times New Roman"/>
          <w:sz w:val="24"/>
          <w:szCs w:val="24"/>
        </w:rPr>
        <w:t xml:space="preserve"> do que as mulheres (-</w:t>
      </w:r>
      <w:r w:rsidR="00D864C7">
        <w:rPr>
          <w:rFonts w:ascii="Times New Roman" w:hAnsi="Times New Roman"/>
          <w:sz w:val="24"/>
          <w:szCs w:val="24"/>
        </w:rPr>
        <w:t>4</w:t>
      </w:r>
      <w:r w:rsidR="00665170">
        <w:rPr>
          <w:rFonts w:ascii="Times New Roman" w:hAnsi="Times New Roman"/>
          <w:sz w:val="24"/>
          <w:szCs w:val="24"/>
        </w:rPr>
        <w:t>,</w:t>
      </w:r>
      <w:r w:rsidR="00D864C7">
        <w:rPr>
          <w:rFonts w:ascii="Times New Roman" w:hAnsi="Times New Roman"/>
          <w:sz w:val="24"/>
          <w:szCs w:val="24"/>
        </w:rPr>
        <w:t>4</w:t>
      </w:r>
      <w:r w:rsidR="00F94BBB" w:rsidRPr="00F94BBB">
        <w:rPr>
          <w:rFonts w:ascii="Times New Roman" w:hAnsi="Times New Roman"/>
          <w:sz w:val="24"/>
          <w:szCs w:val="24"/>
        </w:rPr>
        <w:t xml:space="preserve"> </w:t>
      </w:r>
      <w:r w:rsidR="00F94BBB">
        <w:rPr>
          <w:rFonts w:ascii="Times New Roman" w:hAnsi="Times New Roman"/>
          <w:sz w:val="24"/>
          <w:szCs w:val="24"/>
        </w:rPr>
        <w:t>p.p.</w:t>
      </w:r>
      <w:r w:rsidR="00D864C7">
        <w:rPr>
          <w:rFonts w:ascii="Times New Roman" w:hAnsi="Times New Roman"/>
          <w:sz w:val="24"/>
          <w:szCs w:val="24"/>
        </w:rPr>
        <w:t xml:space="preserve"> no período 2011-2002</w:t>
      </w:r>
      <w:r w:rsidR="00665170">
        <w:rPr>
          <w:rFonts w:ascii="Times New Roman" w:hAnsi="Times New Roman"/>
          <w:sz w:val="24"/>
          <w:szCs w:val="24"/>
        </w:rPr>
        <w:t>). Isso ocorre pois além do fato dos homens apresentarem uma participação média maior na população ocupada (5</w:t>
      </w:r>
      <w:r w:rsidR="00D864C7">
        <w:rPr>
          <w:rFonts w:ascii="Times New Roman" w:hAnsi="Times New Roman"/>
          <w:sz w:val="24"/>
          <w:szCs w:val="24"/>
        </w:rPr>
        <w:t>7,7</w:t>
      </w:r>
      <w:r w:rsidR="00665170">
        <w:rPr>
          <w:rFonts w:ascii="Times New Roman" w:hAnsi="Times New Roman"/>
          <w:sz w:val="24"/>
          <w:szCs w:val="24"/>
        </w:rPr>
        <w:t>%),</w:t>
      </w:r>
      <w:r w:rsidR="00BD320B">
        <w:rPr>
          <w:rFonts w:ascii="Times New Roman" w:hAnsi="Times New Roman"/>
          <w:sz w:val="24"/>
          <w:szCs w:val="24"/>
        </w:rPr>
        <w:t xml:space="preserve"> a queda da taxa de informalidade de tal grupo foi </w:t>
      </w:r>
      <w:r w:rsidR="00D864C7">
        <w:rPr>
          <w:rFonts w:ascii="Times New Roman" w:hAnsi="Times New Roman"/>
          <w:sz w:val="24"/>
          <w:szCs w:val="24"/>
        </w:rPr>
        <w:t>maior</w:t>
      </w:r>
      <w:r w:rsidR="00BD320B">
        <w:rPr>
          <w:rFonts w:ascii="Times New Roman" w:hAnsi="Times New Roman"/>
          <w:sz w:val="24"/>
          <w:szCs w:val="24"/>
        </w:rPr>
        <w:t xml:space="preserve"> (</w:t>
      </w:r>
      <w:r w:rsidR="00D864C7">
        <w:rPr>
          <w:rFonts w:ascii="Times New Roman" w:hAnsi="Times New Roman"/>
          <w:sz w:val="24"/>
          <w:szCs w:val="24"/>
        </w:rPr>
        <w:t>11,5p.p.</w:t>
      </w:r>
      <w:r w:rsidR="00BD320B">
        <w:rPr>
          <w:rFonts w:ascii="Times New Roman" w:hAnsi="Times New Roman"/>
          <w:sz w:val="24"/>
          <w:szCs w:val="24"/>
        </w:rPr>
        <w:t>) do que a das mulheres (</w:t>
      </w:r>
      <w:r w:rsidR="00D864C7">
        <w:rPr>
          <w:rFonts w:ascii="Times New Roman" w:hAnsi="Times New Roman"/>
          <w:sz w:val="24"/>
          <w:szCs w:val="24"/>
        </w:rPr>
        <w:t>10,4p.p.</w:t>
      </w:r>
      <w:r w:rsidR="00BD320B">
        <w:rPr>
          <w:rFonts w:ascii="Times New Roman" w:hAnsi="Times New Roman"/>
          <w:sz w:val="24"/>
          <w:szCs w:val="24"/>
        </w:rPr>
        <w:t>).</w:t>
      </w:r>
      <w:r w:rsidR="00665170">
        <w:rPr>
          <w:rFonts w:ascii="Times New Roman" w:hAnsi="Times New Roman"/>
          <w:sz w:val="24"/>
          <w:szCs w:val="24"/>
        </w:rPr>
        <w:t xml:space="preserve">  Por sua vez, o</w:t>
      </w:r>
      <w:r>
        <w:rPr>
          <w:rFonts w:ascii="Times New Roman" w:hAnsi="Times New Roman"/>
          <w:sz w:val="24"/>
          <w:szCs w:val="24"/>
        </w:rPr>
        <w:t xml:space="preserve"> efeito composição </w:t>
      </w:r>
      <w:r w:rsidR="00665170">
        <w:rPr>
          <w:rFonts w:ascii="Times New Roman" w:hAnsi="Times New Roman"/>
          <w:sz w:val="24"/>
          <w:szCs w:val="24"/>
        </w:rPr>
        <w:t xml:space="preserve">é levemente </w:t>
      </w:r>
      <w:r>
        <w:rPr>
          <w:rFonts w:ascii="Times New Roman" w:hAnsi="Times New Roman"/>
          <w:sz w:val="24"/>
          <w:szCs w:val="24"/>
        </w:rPr>
        <w:t>positivo</w:t>
      </w:r>
      <w:r w:rsidR="00665170">
        <w:rPr>
          <w:rFonts w:ascii="Times New Roman" w:hAnsi="Times New Roman"/>
          <w:sz w:val="24"/>
          <w:szCs w:val="24"/>
        </w:rPr>
        <w:t>, o que</w:t>
      </w:r>
      <w:r>
        <w:rPr>
          <w:rFonts w:ascii="Times New Roman" w:hAnsi="Times New Roman"/>
          <w:sz w:val="24"/>
          <w:szCs w:val="24"/>
        </w:rPr>
        <w:t xml:space="preserve"> significa que houve um aumento da participação das mulheres no período, o que contribuiria para uma elevação da informalidade caso o efeito nível fosse nulo. Esta elevação ocorreria porque a taxa de informalidade é superior entre as mulheres do que entre os homens.</w:t>
      </w:r>
    </w:p>
    <w:p w:rsidR="00CC545C" w:rsidRDefault="00CC545C" w:rsidP="001F03CD">
      <w:pPr>
        <w:spacing w:line="240" w:lineRule="auto"/>
        <w:ind w:firstLine="708"/>
        <w:jc w:val="both"/>
        <w:rPr>
          <w:rFonts w:ascii="Times New Roman" w:hAnsi="Times New Roman"/>
          <w:sz w:val="24"/>
          <w:szCs w:val="24"/>
        </w:rPr>
      </w:pPr>
      <w:r>
        <w:rPr>
          <w:rFonts w:ascii="Times New Roman" w:hAnsi="Times New Roman"/>
          <w:sz w:val="24"/>
          <w:szCs w:val="24"/>
        </w:rPr>
        <w:t xml:space="preserve">Na comparação entre RMs e NRMs a grande diferença entre as taxas de informalidade metropolitanas e não metropolitanas é explicada pelo nível mais baixo de informalidade nas RMs. </w:t>
      </w:r>
    </w:p>
    <w:p w:rsidR="001F03CD" w:rsidRDefault="001F03CD" w:rsidP="001F03CD">
      <w:pPr>
        <w:spacing w:line="240" w:lineRule="auto"/>
        <w:ind w:firstLine="708"/>
        <w:jc w:val="both"/>
        <w:rPr>
          <w:rFonts w:ascii="Times New Roman" w:hAnsi="Times New Roman"/>
          <w:sz w:val="24"/>
          <w:szCs w:val="24"/>
        </w:rPr>
      </w:pPr>
    </w:p>
    <w:p w:rsidR="00C23DD9" w:rsidRPr="00CC545C" w:rsidRDefault="00C23DD9" w:rsidP="001F03CD">
      <w:pPr>
        <w:spacing w:line="240" w:lineRule="auto"/>
        <w:jc w:val="both"/>
        <w:rPr>
          <w:rFonts w:ascii="Times New Roman" w:hAnsi="Times New Roman"/>
          <w:sz w:val="24"/>
          <w:szCs w:val="24"/>
          <w:u w:val="single"/>
        </w:rPr>
      </w:pPr>
      <w:r w:rsidRPr="006329B4">
        <w:rPr>
          <w:rFonts w:ascii="Times New Roman" w:hAnsi="Times New Roman"/>
          <w:sz w:val="24"/>
          <w:szCs w:val="24"/>
          <w:u w:val="single"/>
        </w:rPr>
        <w:t>Cor/Raça</w:t>
      </w:r>
    </w:p>
    <w:p w:rsidR="00C23DD9" w:rsidRDefault="00E749F6" w:rsidP="001F03CD">
      <w:pPr>
        <w:spacing w:line="240" w:lineRule="auto"/>
        <w:ind w:firstLine="708"/>
        <w:jc w:val="both"/>
        <w:rPr>
          <w:rFonts w:ascii="Times New Roman" w:hAnsi="Times New Roman"/>
          <w:sz w:val="24"/>
          <w:szCs w:val="24"/>
        </w:rPr>
      </w:pPr>
      <w:r>
        <w:rPr>
          <w:rFonts w:ascii="Times New Roman" w:hAnsi="Times New Roman"/>
          <w:sz w:val="24"/>
          <w:szCs w:val="24"/>
        </w:rPr>
        <w:t>A Tabela 8</w:t>
      </w:r>
      <w:r w:rsidR="00CC545C">
        <w:rPr>
          <w:rFonts w:ascii="Times New Roman" w:hAnsi="Times New Roman"/>
          <w:sz w:val="24"/>
          <w:szCs w:val="24"/>
        </w:rPr>
        <w:t xml:space="preserve"> apresenta o mesmo exercício da Tabela </w:t>
      </w:r>
      <w:r>
        <w:rPr>
          <w:rFonts w:ascii="Times New Roman" w:hAnsi="Times New Roman"/>
          <w:sz w:val="24"/>
          <w:szCs w:val="24"/>
        </w:rPr>
        <w:t>7</w:t>
      </w:r>
      <w:r w:rsidR="00CC545C">
        <w:rPr>
          <w:rFonts w:ascii="Times New Roman" w:hAnsi="Times New Roman"/>
          <w:sz w:val="24"/>
          <w:szCs w:val="24"/>
        </w:rPr>
        <w:t xml:space="preserve">, mas com relação à raça. Diferentemente do que ocorre na Tabela </w:t>
      </w:r>
      <w:r>
        <w:rPr>
          <w:rFonts w:ascii="Times New Roman" w:hAnsi="Times New Roman"/>
          <w:sz w:val="24"/>
          <w:szCs w:val="24"/>
        </w:rPr>
        <w:t>7</w:t>
      </w:r>
      <w:r w:rsidR="00CC545C">
        <w:rPr>
          <w:rFonts w:ascii="Times New Roman" w:hAnsi="Times New Roman"/>
          <w:sz w:val="24"/>
          <w:szCs w:val="24"/>
        </w:rPr>
        <w:t>, nesta parte o efeito composição possui uma influência relativamente maior do que na análise por gênero. O efeito nível continua sendo o fator que explica a queda da informalidade</w:t>
      </w:r>
      <w:r w:rsidR="00FA70AA">
        <w:rPr>
          <w:rFonts w:ascii="Times New Roman" w:hAnsi="Times New Roman"/>
          <w:sz w:val="24"/>
          <w:szCs w:val="24"/>
        </w:rPr>
        <w:t>, com destaque para os pardos, que além de terem uma participação média alt</w:t>
      </w:r>
      <w:r w:rsidR="0007122D">
        <w:rPr>
          <w:rFonts w:ascii="Times New Roman" w:hAnsi="Times New Roman"/>
          <w:sz w:val="24"/>
          <w:szCs w:val="24"/>
        </w:rPr>
        <w:t>a</w:t>
      </w:r>
      <w:r w:rsidR="00FA70AA">
        <w:rPr>
          <w:rFonts w:ascii="Times New Roman" w:hAnsi="Times New Roman"/>
          <w:sz w:val="24"/>
          <w:szCs w:val="24"/>
        </w:rPr>
        <w:t xml:space="preserve"> entre os ocupados (</w:t>
      </w:r>
      <w:r w:rsidR="00793D1B">
        <w:rPr>
          <w:rFonts w:ascii="Times New Roman" w:hAnsi="Times New Roman"/>
          <w:sz w:val="24"/>
          <w:szCs w:val="24"/>
        </w:rPr>
        <w:t xml:space="preserve">quase </w:t>
      </w:r>
      <w:r w:rsidR="00FA70AA">
        <w:rPr>
          <w:rFonts w:ascii="Times New Roman" w:hAnsi="Times New Roman"/>
          <w:sz w:val="24"/>
          <w:szCs w:val="24"/>
        </w:rPr>
        <w:t>40%) apresentaram a maior redução de informalidade</w:t>
      </w:r>
      <w:r w:rsidR="000413A2">
        <w:rPr>
          <w:rFonts w:ascii="Times New Roman" w:hAnsi="Times New Roman"/>
          <w:sz w:val="24"/>
          <w:szCs w:val="24"/>
        </w:rPr>
        <w:t xml:space="preserve"> (</w:t>
      </w:r>
      <w:r w:rsidR="00793D1B">
        <w:rPr>
          <w:rFonts w:ascii="Times New Roman" w:hAnsi="Times New Roman"/>
          <w:sz w:val="24"/>
          <w:szCs w:val="24"/>
        </w:rPr>
        <w:t>quase</w:t>
      </w:r>
      <w:r w:rsidR="000413A2">
        <w:rPr>
          <w:rFonts w:ascii="Times New Roman" w:hAnsi="Times New Roman"/>
          <w:sz w:val="24"/>
          <w:szCs w:val="24"/>
        </w:rPr>
        <w:t xml:space="preserve"> </w:t>
      </w:r>
      <w:r w:rsidR="00793D1B">
        <w:rPr>
          <w:rFonts w:ascii="Times New Roman" w:hAnsi="Times New Roman"/>
          <w:sz w:val="24"/>
          <w:szCs w:val="24"/>
        </w:rPr>
        <w:t>14</w:t>
      </w:r>
      <w:r w:rsidR="001A3DC4">
        <w:rPr>
          <w:rFonts w:ascii="Times New Roman" w:hAnsi="Times New Roman"/>
          <w:sz w:val="24"/>
          <w:szCs w:val="24"/>
        </w:rPr>
        <w:t>p.p.</w:t>
      </w:r>
      <w:r w:rsidR="000413A2">
        <w:rPr>
          <w:rFonts w:ascii="Times New Roman" w:hAnsi="Times New Roman"/>
          <w:sz w:val="24"/>
          <w:szCs w:val="24"/>
        </w:rPr>
        <w:t>)</w:t>
      </w:r>
      <w:r w:rsidR="00CC545C">
        <w:rPr>
          <w:rFonts w:ascii="Times New Roman" w:hAnsi="Times New Roman"/>
          <w:sz w:val="24"/>
          <w:szCs w:val="24"/>
        </w:rPr>
        <w:t xml:space="preserve">. O efeito nível é ainda mais importante nesta análise </w:t>
      </w:r>
      <w:r>
        <w:rPr>
          <w:rFonts w:ascii="Times New Roman" w:hAnsi="Times New Roman"/>
          <w:sz w:val="24"/>
          <w:szCs w:val="24"/>
        </w:rPr>
        <w:t>devido à</w:t>
      </w:r>
      <w:r w:rsidR="00CC545C">
        <w:rPr>
          <w:rFonts w:ascii="Times New Roman" w:hAnsi="Times New Roman"/>
          <w:sz w:val="24"/>
          <w:szCs w:val="24"/>
        </w:rPr>
        <w:t xml:space="preserve"> </w:t>
      </w:r>
      <w:r>
        <w:rPr>
          <w:rFonts w:ascii="Times New Roman" w:hAnsi="Times New Roman"/>
          <w:sz w:val="24"/>
          <w:szCs w:val="24"/>
        </w:rPr>
        <w:t>maior participação (</w:t>
      </w:r>
      <w:r w:rsidR="00CC545C">
        <w:rPr>
          <w:rFonts w:ascii="Times New Roman" w:hAnsi="Times New Roman"/>
          <w:sz w:val="24"/>
          <w:szCs w:val="24"/>
        </w:rPr>
        <w:t>incorporação</w:t>
      </w:r>
      <w:r>
        <w:rPr>
          <w:rFonts w:ascii="Times New Roman" w:hAnsi="Times New Roman"/>
          <w:sz w:val="24"/>
          <w:szCs w:val="24"/>
        </w:rPr>
        <w:t>)</w:t>
      </w:r>
      <w:r w:rsidR="00CC545C">
        <w:rPr>
          <w:rFonts w:ascii="Times New Roman" w:hAnsi="Times New Roman"/>
          <w:sz w:val="24"/>
          <w:szCs w:val="24"/>
        </w:rPr>
        <w:t xml:space="preserve"> d</w:t>
      </w:r>
      <w:r w:rsidR="00FA70AA">
        <w:rPr>
          <w:rFonts w:ascii="Times New Roman" w:hAnsi="Times New Roman"/>
          <w:sz w:val="24"/>
          <w:szCs w:val="24"/>
        </w:rPr>
        <w:t>os</w:t>
      </w:r>
      <w:r w:rsidR="00CC545C">
        <w:rPr>
          <w:rFonts w:ascii="Times New Roman" w:hAnsi="Times New Roman"/>
          <w:sz w:val="24"/>
          <w:szCs w:val="24"/>
        </w:rPr>
        <w:t xml:space="preserve"> grupos</w:t>
      </w:r>
      <w:r w:rsidR="00FA70AA">
        <w:rPr>
          <w:rFonts w:ascii="Times New Roman" w:hAnsi="Times New Roman"/>
          <w:sz w:val="24"/>
          <w:szCs w:val="24"/>
        </w:rPr>
        <w:t xml:space="preserve"> de</w:t>
      </w:r>
      <w:r w:rsidR="00CC545C">
        <w:rPr>
          <w:rFonts w:ascii="Times New Roman" w:hAnsi="Times New Roman"/>
          <w:sz w:val="24"/>
          <w:szCs w:val="24"/>
        </w:rPr>
        <w:t xml:space="preserve"> </w:t>
      </w:r>
      <w:r w:rsidR="00A5466C">
        <w:rPr>
          <w:rFonts w:ascii="Times New Roman" w:hAnsi="Times New Roman"/>
          <w:sz w:val="24"/>
          <w:szCs w:val="24"/>
        </w:rPr>
        <w:t>cor negra e parda</w:t>
      </w:r>
      <w:r>
        <w:rPr>
          <w:rFonts w:ascii="Times New Roman" w:hAnsi="Times New Roman"/>
          <w:sz w:val="24"/>
          <w:szCs w:val="24"/>
        </w:rPr>
        <w:t xml:space="preserve"> do total de empregados. A maior</w:t>
      </w:r>
      <w:r w:rsidR="00CC545C">
        <w:rPr>
          <w:rFonts w:ascii="Times New Roman" w:hAnsi="Times New Roman"/>
          <w:sz w:val="24"/>
          <w:szCs w:val="24"/>
        </w:rPr>
        <w:t xml:space="preserve"> taxa de informalidade </w:t>
      </w:r>
      <w:r>
        <w:rPr>
          <w:rFonts w:ascii="Times New Roman" w:hAnsi="Times New Roman"/>
          <w:sz w:val="24"/>
          <w:szCs w:val="24"/>
        </w:rPr>
        <w:t>nestes grupos</w:t>
      </w:r>
      <w:r w:rsidR="00793D1B">
        <w:rPr>
          <w:rFonts w:ascii="Times New Roman" w:hAnsi="Times New Roman"/>
          <w:sz w:val="24"/>
          <w:szCs w:val="24"/>
        </w:rPr>
        <w:t xml:space="preserve"> – associada a um crescimento desses no total de ocupados – </w:t>
      </w:r>
      <w:r w:rsidR="00CC545C">
        <w:rPr>
          <w:rFonts w:ascii="Times New Roman" w:hAnsi="Times New Roman"/>
          <w:sz w:val="24"/>
          <w:szCs w:val="24"/>
        </w:rPr>
        <w:t>cria um efeito composição positivo e que chegaria a elevar a informalidade em</w:t>
      </w:r>
      <w:r w:rsidR="00793D1B">
        <w:rPr>
          <w:rFonts w:ascii="Times New Roman" w:hAnsi="Times New Roman"/>
          <w:sz w:val="24"/>
          <w:szCs w:val="24"/>
        </w:rPr>
        <w:t xml:space="preserve"> até</w:t>
      </w:r>
      <w:r w:rsidR="00CC545C">
        <w:rPr>
          <w:rFonts w:ascii="Times New Roman" w:hAnsi="Times New Roman"/>
          <w:sz w:val="24"/>
          <w:szCs w:val="24"/>
        </w:rPr>
        <w:t xml:space="preserve"> 0,8</w:t>
      </w:r>
      <w:r w:rsidR="001A3DC4" w:rsidRPr="001A3DC4">
        <w:rPr>
          <w:rFonts w:ascii="Times New Roman" w:hAnsi="Times New Roman"/>
          <w:sz w:val="24"/>
          <w:szCs w:val="24"/>
        </w:rPr>
        <w:t xml:space="preserve"> </w:t>
      </w:r>
      <w:r w:rsidR="001A3DC4">
        <w:rPr>
          <w:rFonts w:ascii="Times New Roman" w:hAnsi="Times New Roman"/>
          <w:sz w:val="24"/>
          <w:szCs w:val="24"/>
        </w:rPr>
        <w:t>p.p.</w:t>
      </w:r>
      <w:r w:rsidR="00CC545C">
        <w:rPr>
          <w:rFonts w:ascii="Times New Roman" w:hAnsi="Times New Roman"/>
          <w:sz w:val="24"/>
          <w:szCs w:val="24"/>
        </w:rPr>
        <w:t xml:space="preserve"> caso não tivesse ocorrido uma queda no nível da informalidade.</w:t>
      </w:r>
    </w:p>
    <w:tbl>
      <w:tblPr>
        <w:tblW w:w="6400" w:type="dxa"/>
        <w:jc w:val="center"/>
        <w:tblInd w:w="55" w:type="dxa"/>
        <w:tblCellMar>
          <w:left w:w="70" w:type="dxa"/>
          <w:right w:w="70" w:type="dxa"/>
        </w:tblCellMar>
        <w:tblLook w:val="04A0" w:firstRow="1" w:lastRow="0" w:firstColumn="1" w:lastColumn="0" w:noHBand="0" w:noVBand="1"/>
      </w:tblPr>
      <w:tblGrid>
        <w:gridCol w:w="2019"/>
        <w:gridCol w:w="1213"/>
        <w:gridCol w:w="1968"/>
        <w:gridCol w:w="1200"/>
      </w:tblGrid>
      <w:tr w:rsidR="00EA563C" w:rsidRPr="00EA563C" w:rsidTr="00EA563C">
        <w:trPr>
          <w:trHeight w:val="270"/>
          <w:jc w:val="center"/>
        </w:trPr>
        <w:tc>
          <w:tcPr>
            <w:tcW w:w="6400" w:type="dxa"/>
            <w:gridSpan w:val="4"/>
            <w:tcBorders>
              <w:top w:val="single" w:sz="8" w:space="0" w:color="auto"/>
              <w:left w:val="nil"/>
              <w:bottom w:val="single" w:sz="8" w:space="0" w:color="auto"/>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 xml:space="preserve">Tabela 8: Decomposição da variação da taxa de informalidade (em </w:t>
            </w:r>
            <w:r w:rsidRPr="00EA563C">
              <w:rPr>
                <w:rFonts w:ascii="Arial" w:eastAsia="Times New Roman" w:hAnsi="Arial" w:cs="Arial"/>
                <w:sz w:val="20"/>
                <w:szCs w:val="20"/>
                <w:lang w:eastAsia="pt-BR"/>
              </w:rPr>
              <w:lastRenderedPageBreak/>
              <w:t>p.p.)</w:t>
            </w:r>
          </w:p>
        </w:tc>
      </w:tr>
      <w:tr w:rsidR="00EA563C" w:rsidRPr="00EA563C" w:rsidTr="00EA563C">
        <w:trPr>
          <w:trHeight w:val="270"/>
          <w:jc w:val="center"/>
        </w:trPr>
        <w:tc>
          <w:tcPr>
            <w:tcW w:w="6400" w:type="dxa"/>
            <w:gridSpan w:val="4"/>
            <w:tcBorders>
              <w:top w:val="single" w:sz="8" w:space="0" w:color="auto"/>
              <w:left w:val="nil"/>
              <w:bottom w:val="single" w:sz="8" w:space="0" w:color="auto"/>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lastRenderedPageBreak/>
              <w:t>Cor/Raça</w:t>
            </w:r>
          </w:p>
        </w:tc>
      </w:tr>
      <w:tr w:rsidR="00EA563C" w:rsidRPr="00EA563C" w:rsidTr="00EA563C">
        <w:trPr>
          <w:trHeight w:val="270"/>
          <w:jc w:val="center"/>
        </w:trPr>
        <w:tc>
          <w:tcPr>
            <w:tcW w:w="2019" w:type="dxa"/>
            <w:tcBorders>
              <w:top w:val="nil"/>
              <w:left w:val="nil"/>
              <w:bottom w:val="single" w:sz="8" w:space="0" w:color="auto"/>
              <w:right w:val="nil"/>
            </w:tcBorders>
            <w:shd w:val="clear" w:color="000000" w:fill="FFFFFF"/>
            <w:noWrap/>
            <w:vAlign w:val="bottom"/>
            <w:hideMark/>
          </w:tcPr>
          <w:p w:rsidR="00EA563C" w:rsidRPr="00EA563C" w:rsidRDefault="00EA563C" w:rsidP="001F03CD">
            <w:pPr>
              <w:spacing w:after="0" w:line="240" w:lineRule="auto"/>
              <w:rPr>
                <w:rFonts w:ascii="Arial" w:eastAsia="Times New Roman" w:hAnsi="Arial" w:cs="Arial"/>
                <w:sz w:val="20"/>
                <w:szCs w:val="20"/>
                <w:lang w:eastAsia="pt-BR"/>
              </w:rPr>
            </w:pPr>
            <w:r w:rsidRPr="00EA563C">
              <w:rPr>
                <w:rFonts w:ascii="Arial" w:eastAsia="Times New Roman" w:hAnsi="Arial" w:cs="Arial"/>
                <w:sz w:val="20"/>
                <w:szCs w:val="20"/>
                <w:lang w:eastAsia="pt-BR"/>
              </w:rPr>
              <w:t>Período - Amostra</w:t>
            </w:r>
          </w:p>
        </w:tc>
        <w:tc>
          <w:tcPr>
            <w:tcW w:w="1213" w:type="dxa"/>
            <w:tcBorders>
              <w:top w:val="nil"/>
              <w:left w:val="nil"/>
              <w:bottom w:val="single" w:sz="8" w:space="0" w:color="auto"/>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Efeito Nível</w:t>
            </w:r>
          </w:p>
        </w:tc>
        <w:tc>
          <w:tcPr>
            <w:tcW w:w="1968" w:type="dxa"/>
            <w:tcBorders>
              <w:top w:val="nil"/>
              <w:left w:val="nil"/>
              <w:bottom w:val="single" w:sz="8" w:space="0" w:color="auto"/>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Efeito Composição</w:t>
            </w:r>
          </w:p>
        </w:tc>
        <w:tc>
          <w:tcPr>
            <w:tcW w:w="1200" w:type="dxa"/>
            <w:tcBorders>
              <w:top w:val="nil"/>
              <w:left w:val="nil"/>
              <w:bottom w:val="single" w:sz="8" w:space="0" w:color="auto"/>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Efeito Total</w:t>
            </w:r>
          </w:p>
        </w:tc>
      </w:tr>
      <w:tr w:rsidR="00EA563C" w:rsidRPr="00EA563C" w:rsidTr="00EA563C">
        <w:trPr>
          <w:trHeight w:val="255"/>
          <w:jc w:val="center"/>
        </w:trPr>
        <w:tc>
          <w:tcPr>
            <w:tcW w:w="2019"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rPr>
                <w:rFonts w:ascii="Arial" w:eastAsia="Times New Roman" w:hAnsi="Arial" w:cs="Arial"/>
                <w:sz w:val="20"/>
                <w:szCs w:val="20"/>
                <w:lang w:eastAsia="pt-BR"/>
              </w:rPr>
            </w:pPr>
            <w:r w:rsidRPr="00EA563C">
              <w:rPr>
                <w:rFonts w:ascii="Arial" w:eastAsia="Times New Roman" w:hAnsi="Arial" w:cs="Arial"/>
                <w:sz w:val="20"/>
                <w:szCs w:val="20"/>
                <w:lang w:eastAsia="pt-BR"/>
              </w:rPr>
              <w:t>2011-2002</w:t>
            </w:r>
          </w:p>
        </w:tc>
        <w:tc>
          <w:tcPr>
            <w:tcW w:w="1213"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-11,6%</w:t>
            </w:r>
          </w:p>
        </w:tc>
        <w:tc>
          <w:tcPr>
            <w:tcW w:w="1968"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0,6%</w:t>
            </w:r>
          </w:p>
        </w:tc>
        <w:tc>
          <w:tcPr>
            <w:tcW w:w="1200"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-10,9%</w:t>
            </w:r>
          </w:p>
        </w:tc>
      </w:tr>
      <w:tr w:rsidR="00EA563C" w:rsidRPr="00EA563C" w:rsidTr="00EA563C">
        <w:trPr>
          <w:trHeight w:val="270"/>
          <w:jc w:val="center"/>
        </w:trPr>
        <w:tc>
          <w:tcPr>
            <w:tcW w:w="2019"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rPr>
                <w:rFonts w:ascii="Arial" w:eastAsia="Times New Roman" w:hAnsi="Arial" w:cs="Arial"/>
                <w:sz w:val="20"/>
                <w:szCs w:val="20"/>
                <w:lang w:eastAsia="pt-BR"/>
              </w:rPr>
            </w:pPr>
            <w:r w:rsidRPr="00EA563C">
              <w:rPr>
                <w:rFonts w:ascii="Arial" w:eastAsia="Times New Roman" w:hAnsi="Arial" w:cs="Arial"/>
                <w:sz w:val="20"/>
                <w:szCs w:val="20"/>
                <w:lang w:eastAsia="pt-BR"/>
              </w:rPr>
              <w:t>2009-2002</w:t>
            </w:r>
          </w:p>
        </w:tc>
        <w:tc>
          <w:tcPr>
            <w:tcW w:w="1213"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-6,9%</w:t>
            </w:r>
          </w:p>
        </w:tc>
        <w:tc>
          <w:tcPr>
            <w:tcW w:w="1968"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0,7%</w:t>
            </w:r>
          </w:p>
        </w:tc>
        <w:tc>
          <w:tcPr>
            <w:tcW w:w="1200"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-6,2%</w:t>
            </w:r>
          </w:p>
        </w:tc>
      </w:tr>
      <w:tr w:rsidR="00EA563C" w:rsidRPr="00EA563C" w:rsidTr="00EA563C">
        <w:trPr>
          <w:trHeight w:val="255"/>
          <w:jc w:val="center"/>
        </w:trPr>
        <w:tc>
          <w:tcPr>
            <w:tcW w:w="2019"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rPr>
                <w:rFonts w:ascii="Arial" w:eastAsia="Times New Roman" w:hAnsi="Arial" w:cs="Arial"/>
                <w:sz w:val="20"/>
                <w:szCs w:val="20"/>
                <w:lang w:eastAsia="pt-BR"/>
              </w:rPr>
            </w:pPr>
            <w:r w:rsidRPr="00EA563C">
              <w:rPr>
                <w:rFonts w:ascii="Arial" w:eastAsia="Times New Roman" w:hAnsi="Arial" w:cs="Arial"/>
                <w:sz w:val="20"/>
                <w:szCs w:val="20"/>
                <w:lang w:eastAsia="pt-BR"/>
              </w:rPr>
              <w:t>2011-2009</w:t>
            </w:r>
          </w:p>
        </w:tc>
        <w:tc>
          <w:tcPr>
            <w:tcW w:w="1213"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-4,6%</w:t>
            </w:r>
          </w:p>
        </w:tc>
        <w:tc>
          <w:tcPr>
            <w:tcW w:w="1968"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0,0%</w:t>
            </w:r>
          </w:p>
        </w:tc>
        <w:tc>
          <w:tcPr>
            <w:tcW w:w="1200"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-4,7%</w:t>
            </w:r>
          </w:p>
        </w:tc>
      </w:tr>
      <w:tr w:rsidR="00EA563C" w:rsidRPr="00EA563C" w:rsidTr="00EA563C">
        <w:trPr>
          <w:trHeight w:val="255"/>
          <w:jc w:val="center"/>
        </w:trPr>
        <w:tc>
          <w:tcPr>
            <w:tcW w:w="2019"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rPr>
                <w:rFonts w:ascii="Arial" w:eastAsia="Times New Roman" w:hAnsi="Arial" w:cs="Arial"/>
                <w:sz w:val="20"/>
                <w:szCs w:val="20"/>
                <w:lang w:eastAsia="pt-BR"/>
              </w:rPr>
            </w:pPr>
            <w:r w:rsidRPr="00EA563C">
              <w:rPr>
                <w:rFonts w:ascii="Arial" w:eastAsia="Times New Roman" w:hAnsi="Arial" w:cs="Arial"/>
                <w:sz w:val="20"/>
                <w:szCs w:val="20"/>
                <w:lang w:eastAsia="pt-BR"/>
              </w:rPr>
              <w:t>2011-2002RM</w:t>
            </w:r>
          </w:p>
        </w:tc>
        <w:tc>
          <w:tcPr>
            <w:tcW w:w="1213"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-11,4%</w:t>
            </w:r>
          </w:p>
        </w:tc>
        <w:tc>
          <w:tcPr>
            <w:tcW w:w="1968"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0,5%</w:t>
            </w:r>
          </w:p>
        </w:tc>
        <w:tc>
          <w:tcPr>
            <w:tcW w:w="1200"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-10,9%</w:t>
            </w:r>
          </w:p>
        </w:tc>
      </w:tr>
      <w:tr w:rsidR="00EA563C" w:rsidRPr="00EA563C" w:rsidTr="00EA563C">
        <w:trPr>
          <w:trHeight w:val="255"/>
          <w:jc w:val="center"/>
        </w:trPr>
        <w:tc>
          <w:tcPr>
            <w:tcW w:w="2019"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rPr>
                <w:rFonts w:ascii="Arial" w:eastAsia="Times New Roman" w:hAnsi="Arial" w:cs="Arial"/>
                <w:sz w:val="20"/>
                <w:szCs w:val="20"/>
                <w:lang w:eastAsia="pt-BR"/>
              </w:rPr>
            </w:pPr>
            <w:r w:rsidRPr="00EA563C">
              <w:rPr>
                <w:rFonts w:ascii="Arial" w:eastAsia="Times New Roman" w:hAnsi="Arial" w:cs="Arial"/>
                <w:sz w:val="20"/>
                <w:szCs w:val="20"/>
                <w:lang w:eastAsia="pt-BR"/>
              </w:rPr>
              <w:t>2011-2002NRM</w:t>
            </w:r>
          </w:p>
        </w:tc>
        <w:tc>
          <w:tcPr>
            <w:tcW w:w="1213"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-11,6%</w:t>
            </w:r>
          </w:p>
        </w:tc>
        <w:tc>
          <w:tcPr>
            <w:tcW w:w="1968"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0,7%</w:t>
            </w:r>
          </w:p>
        </w:tc>
        <w:tc>
          <w:tcPr>
            <w:tcW w:w="1200"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-10,9%</w:t>
            </w:r>
          </w:p>
        </w:tc>
      </w:tr>
      <w:tr w:rsidR="00EA563C" w:rsidRPr="00EA563C" w:rsidTr="00EA563C">
        <w:trPr>
          <w:trHeight w:val="255"/>
          <w:jc w:val="center"/>
        </w:trPr>
        <w:tc>
          <w:tcPr>
            <w:tcW w:w="2019"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rPr>
                <w:rFonts w:ascii="Arial" w:eastAsia="Times New Roman" w:hAnsi="Arial" w:cs="Arial"/>
                <w:sz w:val="20"/>
                <w:szCs w:val="20"/>
                <w:lang w:eastAsia="pt-BR"/>
              </w:rPr>
            </w:pPr>
            <w:r w:rsidRPr="00EA563C">
              <w:rPr>
                <w:rFonts w:ascii="Arial" w:eastAsia="Times New Roman" w:hAnsi="Arial" w:cs="Arial"/>
                <w:sz w:val="20"/>
                <w:szCs w:val="20"/>
                <w:lang w:eastAsia="pt-BR"/>
              </w:rPr>
              <w:t>2011NRM-2011RM</w:t>
            </w:r>
          </w:p>
        </w:tc>
        <w:tc>
          <w:tcPr>
            <w:tcW w:w="1213"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12,4%</w:t>
            </w:r>
          </w:p>
        </w:tc>
        <w:tc>
          <w:tcPr>
            <w:tcW w:w="1968"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0,1%</w:t>
            </w:r>
          </w:p>
        </w:tc>
        <w:tc>
          <w:tcPr>
            <w:tcW w:w="1200"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12,6%</w:t>
            </w:r>
          </w:p>
        </w:tc>
      </w:tr>
      <w:tr w:rsidR="00EA563C" w:rsidRPr="00EA563C" w:rsidTr="00EA563C">
        <w:trPr>
          <w:trHeight w:val="270"/>
          <w:jc w:val="center"/>
        </w:trPr>
        <w:tc>
          <w:tcPr>
            <w:tcW w:w="2019" w:type="dxa"/>
            <w:tcBorders>
              <w:top w:val="nil"/>
              <w:left w:val="nil"/>
              <w:bottom w:val="single" w:sz="8" w:space="0" w:color="auto"/>
              <w:right w:val="nil"/>
            </w:tcBorders>
            <w:shd w:val="clear" w:color="000000" w:fill="FFFFFF"/>
            <w:noWrap/>
            <w:vAlign w:val="bottom"/>
            <w:hideMark/>
          </w:tcPr>
          <w:p w:rsidR="00EA563C" w:rsidRPr="00EA563C" w:rsidRDefault="00EA563C" w:rsidP="001F03CD">
            <w:pPr>
              <w:spacing w:after="0" w:line="240" w:lineRule="auto"/>
              <w:rPr>
                <w:rFonts w:ascii="Arial" w:eastAsia="Times New Roman" w:hAnsi="Arial" w:cs="Arial"/>
                <w:sz w:val="20"/>
                <w:szCs w:val="20"/>
                <w:lang w:eastAsia="pt-BR"/>
              </w:rPr>
            </w:pPr>
            <w:r w:rsidRPr="00EA563C">
              <w:rPr>
                <w:rFonts w:ascii="Arial" w:eastAsia="Times New Roman" w:hAnsi="Arial" w:cs="Arial"/>
                <w:sz w:val="20"/>
                <w:szCs w:val="20"/>
                <w:lang w:eastAsia="pt-BR"/>
              </w:rPr>
              <w:t>2002NRM-2002RM</w:t>
            </w:r>
          </w:p>
        </w:tc>
        <w:tc>
          <w:tcPr>
            <w:tcW w:w="1213" w:type="dxa"/>
            <w:tcBorders>
              <w:top w:val="nil"/>
              <w:left w:val="nil"/>
              <w:bottom w:val="single" w:sz="8" w:space="0" w:color="auto"/>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11,9%</w:t>
            </w:r>
          </w:p>
        </w:tc>
        <w:tc>
          <w:tcPr>
            <w:tcW w:w="1968" w:type="dxa"/>
            <w:tcBorders>
              <w:top w:val="nil"/>
              <w:left w:val="nil"/>
              <w:bottom w:val="single" w:sz="8" w:space="0" w:color="auto"/>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0,6%</w:t>
            </w:r>
          </w:p>
        </w:tc>
        <w:tc>
          <w:tcPr>
            <w:tcW w:w="1200" w:type="dxa"/>
            <w:tcBorders>
              <w:top w:val="nil"/>
              <w:left w:val="nil"/>
              <w:bottom w:val="single" w:sz="8" w:space="0" w:color="auto"/>
              <w:right w:val="nil"/>
            </w:tcBorders>
            <w:shd w:val="clear" w:color="000000" w:fill="FFFFFF"/>
            <w:noWrap/>
            <w:vAlign w:val="bottom"/>
            <w:hideMark/>
          </w:tcPr>
          <w:p w:rsidR="00EA563C" w:rsidRPr="00EA563C" w:rsidRDefault="00EA563C" w:rsidP="001F03CD">
            <w:pPr>
              <w:spacing w:after="0" w:line="240" w:lineRule="auto"/>
              <w:jc w:val="center"/>
              <w:rPr>
                <w:rFonts w:ascii="Arial" w:eastAsia="Times New Roman" w:hAnsi="Arial" w:cs="Arial"/>
                <w:sz w:val="20"/>
                <w:szCs w:val="20"/>
                <w:lang w:eastAsia="pt-BR"/>
              </w:rPr>
            </w:pPr>
            <w:r w:rsidRPr="00EA563C">
              <w:rPr>
                <w:rFonts w:ascii="Arial" w:eastAsia="Times New Roman" w:hAnsi="Arial" w:cs="Arial"/>
                <w:sz w:val="20"/>
                <w:szCs w:val="20"/>
                <w:lang w:eastAsia="pt-BR"/>
              </w:rPr>
              <w:t>12,5%</w:t>
            </w:r>
          </w:p>
        </w:tc>
      </w:tr>
      <w:tr w:rsidR="00EA563C" w:rsidRPr="00EA563C" w:rsidTr="00EA563C">
        <w:trPr>
          <w:trHeight w:val="255"/>
          <w:jc w:val="center"/>
        </w:trPr>
        <w:tc>
          <w:tcPr>
            <w:tcW w:w="5200" w:type="dxa"/>
            <w:gridSpan w:val="3"/>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rPr>
                <w:rFonts w:ascii="Arial" w:eastAsia="Times New Roman" w:hAnsi="Arial" w:cs="Arial"/>
                <w:sz w:val="20"/>
                <w:szCs w:val="20"/>
                <w:lang w:eastAsia="pt-BR"/>
              </w:rPr>
            </w:pPr>
            <w:r w:rsidRPr="00EA563C">
              <w:rPr>
                <w:rFonts w:ascii="Arial" w:eastAsia="Times New Roman" w:hAnsi="Arial" w:cs="Arial"/>
                <w:sz w:val="20"/>
                <w:szCs w:val="20"/>
                <w:lang w:eastAsia="pt-BR"/>
              </w:rPr>
              <w:t>Fonte: Elaboração Própria com dados da PNAD.</w:t>
            </w:r>
          </w:p>
        </w:tc>
        <w:tc>
          <w:tcPr>
            <w:tcW w:w="1200" w:type="dxa"/>
            <w:tcBorders>
              <w:top w:val="nil"/>
              <w:left w:val="nil"/>
              <w:bottom w:val="nil"/>
              <w:right w:val="nil"/>
            </w:tcBorders>
            <w:shd w:val="clear" w:color="000000" w:fill="FFFFFF"/>
            <w:noWrap/>
            <w:vAlign w:val="bottom"/>
            <w:hideMark/>
          </w:tcPr>
          <w:p w:rsidR="00EA563C" w:rsidRPr="00EA563C" w:rsidRDefault="00EA563C" w:rsidP="001F03CD">
            <w:pPr>
              <w:spacing w:after="0" w:line="240" w:lineRule="auto"/>
              <w:rPr>
                <w:rFonts w:ascii="Arial" w:eastAsia="Times New Roman" w:hAnsi="Arial" w:cs="Arial"/>
                <w:sz w:val="20"/>
                <w:szCs w:val="20"/>
                <w:lang w:eastAsia="pt-BR"/>
              </w:rPr>
            </w:pPr>
            <w:r w:rsidRPr="00EA563C">
              <w:rPr>
                <w:rFonts w:ascii="Arial" w:eastAsia="Times New Roman" w:hAnsi="Arial" w:cs="Arial"/>
                <w:sz w:val="20"/>
                <w:szCs w:val="20"/>
                <w:lang w:eastAsia="pt-BR"/>
              </w:rPr>
              <w:t> </w:t>
            </w:r>
          </w:p>
        </w:tc>
      </w:tr>
    </w:tbl>
    <w:p w:rsidR="001F03CD" w:rsidRDefault="001F03CD" w:rsidP="001F03CD">
      <w:pPr>
        <w:spacing w:line="240" w:lineRule="auto"/>
        <w:jc w:val="both"/>
        <w:rPr>
          <w:rFonts w:ascii="Times New Roman" w:hAnsi="Times New Roman"/>
          <w:sz w:val="24"/>
          <w:szCs w:val="24"/>
          <w:u w:val="single"/>
        </w:rPr>
      </w:pPr>
    </w:p>
    <w:p w:rsidR="00C23DD9" w:rsidRPr="00CC545C" w:rsidRDefault="00C23DD9" w:rsidP="001F03CD">
      <w:pPr>
        <w:spacing w:line="240" w:lineRule="auto"/>
        <w:jc w:val="both"/>
        <w:rPr>
          <w:rFonts w:ascii="Times New Roman" w:hAnsi="Times New Roman"/>
          <w:sz w:val="24"/>
          <w:szCs w:val="24"/>
          <w:u w:val="single"/>
        </w:rPr>
      </w:pPr>
      <w:r w:rsidRPr="00CC545C">
        <w:rPr>
          <w:rFonts w:ascii="Times New Roman" w:hAnsi="Times New Roman"/>
          <w:sz w:val="24"/>
          <w:szCs w:val="24"/>
          <w:u w:val="single"/>
        </w:rPr>
        <w:t>Escolaridade</w:t>
      </w:r>
    </w:p>
    <w:p w:rsidR="00C23DD9" w:rsidRDefault="00CC545C" w:rsidP="001F03CD">
      <w:pPr>
        <w:spacing w:line="240" w:lineRule="auto"/>
        <w:jc w:val="both"/>
        <w:rPr>
          <w:rFonts w:ascii="Times New Roman" w:hAnsi="Times New Roman"/>
          <w:sz w:val="24"/>
          <w:szCs w:val="24"/>
        </w:rPr>
      </w:pPr>
      <w:r>
        <w:rPr>
          <w:rFonts w:ascii="Times New Roman" w:hAnsi="Times New Roman"/>
          <w:sz w:val="24"/>
          <w:szCs w:val="24"/>
        </w:rPr>
        <w:tab/>
        <w:t xml:space="preserve">A Tabela </w:t>
      </w:r>
      <w:r w:rsidR="00E749F6">
        <w:rPr>
          <w:rFonts w:ascii="Times New Roman" w:hAnsi="Times New Roman"/>
          <w:sz w:val="24"/>
          <w:szCs w:val="24"/>
        </w:rPr>
        <w:t>9</w:t>
      </w:r>
      <w:r>
        <w:rPr>
          <w:rFonts w:ascii="Times New Roman" w:hAnsi="Times New Roman"/>
          <w:sz w:val="24"/>
          <w:szCs w:val="24"/>
        </w:rPr>
        <w:t xml:space="preserve"> mostra os resultados da decomposição da taxa de informalidade por escolaridade.</w:t>
      </w:r>
      <w:r w:rsidR="0093757E">
        <w:rPr>
          <w:rFonts w:ascii="Times New Roman" w:hAnsi="Times New Roman"/>
          <w:sz w:val="24"/>
          <w:szCs w:val="24"/>
        </w:rPr>
        <w:t xml:space="preserve"> A importância da escolaridade na explicação dos diferenciais de informalidade ao longo do tempo chama a atenção na Tabela </w:t>
      </w:r>
      <w:r w:rsidR="00E749F6">
        <w:rPr>
          <w:rFonts w:ascii="Times New Roman" w:hAnsi="Times New Roman"/>
          <w:sz w:val="24"/>
          <w:szCs w:val="24"/>
        </w:rPr>
        <w:t>9</w:t>
      </w:r>
      <w:r w:rsidR="0093757E">
        <w:rPr>
          <w:rFonts w:ascii="Times New Roman" w:hAnsi="Times New Roman"/>
          <w:sz w:val="24"/>
          <w:szCs w:val="24"/>
        </w:rPr>
        <w:t xml:space="preserve">. </w:t>
      </w:r>
      <w:r w:rsidR="00E52682">
        <w:rPr>
          <w:rFonts w:ascii="Times New Roman" w:hAnsi="Times New Roman"/>
          <w:sz w:val="24"/>
          <w:szCs w:val="24"/>
        </w:rPr>
        <w:t>O efeito nível continua explicando uma parte da queda da informalidade, como mostra o seu sinal negativo.</w:t>
      </w:r>
      <w:r w:rsidR="00CA73D7">
        <w:rPr>
          <w:rFonts w:ascii="Times New Roman" w:hAnsi="Times New Roman"/>
          <w:sz w:val="24"/>
          <w:szCs w:val="24"/>
        </w:rPr>
        <w:t xml:space="preserve"> Destaca-se os trabalhadores com ensino médio completo, que apresentaram uma queda</w:t>
      </w:r>
      <w:r w:rsidR="009A6015">
        <w:rPr>
          <w:rFonts w:ascii="Times New Roman" w:hAnsi="Times New Roman"/>
          <w:sz w:val="24"/>
          <w:szCs w:val="24"/>
        </w:rPr>
        <w:t xml:space="preserve"> de </w:t>
      </w:r>
      <w:r w:rsidR="002B3DC4">
        <w:rPr>
          <w:rFonts w:ascii="Times New Roman" w:hAnsi="Times New Roman"/>
          <w:sz w:val="24"/>
          <w:szCs w:val="24"/>
        </w:rPr>
        <w:t>6,6</w:t>
      </w:r>
      <w:r w:rsidR="00CA0072" w:rsidRPr="00CA0072">
        <w:rPr>
          <w:rFonts w:ascii="Times New Roman" w:hAnsi="Times New Roman"/>
          <w:sz w:val="24"/>
          <w:szCs w:val="24"/>
        </w:rPr>
        <w:t xml:space="preserve"> </w:t>
      </w:r>
      <w:r w:rsidR="00CA0072">
        <w:rPr>
          <w:rFonts w:ascii="Times New Roman" w:hAnsi="Times New Roman"/>
          <w:sz w:val="24"/>
          <w:szCs w:val="24"/>
        </w:rPr>
        <w:t>p.p.</w:t>
      </w:r>
      <w:r w:rsidR="00CA73D7">
        <w:rPr>
          <w:rFonts w:ascii="Times New Roman" w:hAnsi="Times New Roman"/>
          <w:sz w:val="24"/>
          <w:szCs w:val="24"/>
        </w:rPr>
        <w:t xml:space="preserve"> </w:t>
      </w:r>
      <w:r w:rsidR="009A6015">
        <w:rPr>
          <w:rFonts w:ascii="Times New Roman" w:hAnsi="Times New Roman"/>
          <w:sz w:val="24"/>
          <w:szCs w:val="24"/>
        </w:rPr>
        <w:t>da sua taxa de informalidade, e aliado a uma participação média elevada entre os ocupados (2</w:t>
      </w:r>
      <w:r w:rsidR="002B3DC4">
        <w:rPr>
          <w:rFonts w:ascii="Times New Roman" w:hAnsi="Times New Roman"/>
          <w:sz w:val="24"/>
          <w:szCs w:val="24"/>
        </w:rPr>
        <w:t>7,5</w:t>
      </w:r>
      <w:r w:rsidR="009A6015">
        <w:rPr>
          <w:rFonts w:ascii="Times New Roman" w:hAnsi="Times New Roman"/>
          <w:sz w:val="24"/>
          <w:szCs w:val="24"/>
        </w:rPr>
        <w:t>%), chega a contribuir em até 1</w:t>
      </w:r>
      <w:r w:rsidR="002B3DC4">
        <w:rPr>
          <w:rFonts w:ascii="Times New Roman" w:hAnsi="Times New Roman"/>
          <w:sz w:val="24"/>
          <w:szCs w:val="24"/>
        </w:rPr>
        <w:t>,8</w:t>
      </w:r>
      <w:r w:rsidR="009A6015">
        <w:rPr>
          <w:rFonts w:ascii="Times New Roman" w:hAnsi="Times New Roman"/>
          <w:sz w:val="24"/>
          <w:szCs w:val="24"/>
        </w:rPr>
        <w:t xml:space="preserve">p.p. dos </w:t>
      </w:r>
      <w:r w:rsidR="002B3DC4">
        <w:rPr>
          <w:rFonts w:ascii="Times New Roman" w:hAnsi="Times New Roman"/>
          <w:sz w:val="24"/>
          <w:szCs w:val="24"/>
        </w:rPr>
        <w:t>6</w:t>
      </w:r>
      <w:r w:rsidR="009A6015">
        <w:rPr>
          <w:rFonts w:ascii="Times New Roman" w:hAnsi="Times New Roman"/>
          <w:sz w:val="24"/>
          <w:szCs w:val="24"/>
        </w:rPr>
        <w:t>,4</w:t>
      </w:r>
      <w:r w:rsidR="00CA0072" w:rsidRPr="00CA0072">
        <w:rPr>
          <w:rFonts w:ascii="Times New Roman" w:hAnsi="Times New Roman"/>
          <w:sz w:val="24"/>
          <w:szCs w:val="24"/>
        </w:rPr>
        <w:t xml:space="preserve"> </w:t>
      </w:r>
      <w:r w:rsidR="00CA0072">
        <w:rPr>
          <w:rFonts w:ascii="Times New Roman" w:hAnsi="Times New Roman"/>
          <w:sz w:val="24"/>
          <w:szCs w:val="24"/>
        </w:rPr>
        <w:t>p.p.</w:t>
      </w:r>
      <w:r w:rsidR="009A6015">
        <w:rPr>
          <w:rFonts w:ascii="Times New Roman" w:hAnsi="Times New Roman"/>
          <w:sz w:val="24"/>
          <w:szCs w:val="24"/>
        </w:rPr>
        <w:t xml:space="preserve"> entre 2002 e 20</w:t>
      </w:r>
      <w:r w:rsidR="002B3DC4">
        <w:rPr>
          <w:rFonts w:ascii="Times New Roman" w:hAnsi="Times New Roman"/>
          <w:sz w:val="24"/>
          <w:szCs w:val="24"/>
        </w:rPr>
        <w:t>11</w:t>
      </w:r>
      <w:r w:rsidR="009A6015">
        <w:rPr>
          <w:rFonts w:ascii="Times New Roman" w:hAnsi="Times New Roman"/>
          <w:sz w:val="24"/>
          <w:szCs w:val="24"/>
        </w:rPr>
        <w:t xml:space="preserve">. </w:t>
      </w:r>
      <w:r w:rsidR="00E52682">
        <w:rPr>
          <w:rFonts w:ascii="Times New Roman" w:hAnsi="Times New Roman"/>
          <w:sz w:val="24"/>
          <w:szCs w:val="24"/>
        </w:rPr>
        <w:t>No entanto, a importância do efeito composição por escolaridade</w:t>
      </w:r>
      <w:r w:rsidR="002B3DC4">
        <w:rPr>
          <w:rFonts w:ascii="Times New Roman" w:hAnsi="Times New Roman"/>
          <w:sz w:val="24"/>
          <w:szCs w:val="24"/>
        </w:rPr>
        <w:t>,</w:t>
      </w:r>
      <w:r w:rsidR="00E52682">
        <w:rPr>
          <w:rFonts w:ascii="Times New Roman" w:hAnsi="Times New Roman"/>
          <w:sz w:val="24"/>
          <w:szCs w:val="24"/>
        </w:rPr>
        <w:t xml:space="preserve"> que chega a explicar</w:t>
      </w:r>
      <w:r w:rsidR="002B3DC4">
        <w:rPr>
          <w:rFonts w:ascii="Times New Roman" w:hAnsi="Times New Roman"/>
          <w:sz w:val="24"/>
          <w:szCs w:val="24"/>
        </w:rPr>
        <w:t xml:space="preserve"> mais de</w:t>
      </w:r>
      <w:r w:rsidR="00E52682">
        <w:rPr>
          <w:rFonts w:ascii="Times New Roman" w:hAnsi="Times New Roman"/>
          <w:sz w:val="24"/>
          <w:szCs w:val="24"/>
        </w:rPr>
        <w:t xml:space="preserve"> </w:t>
      </w:r>
      <w:r w:rsidR="002B3DC4">
        <w:rPr>
          <w:rFonts w:ascii="Times New Roman" w:hAnsi="Times New Roman"/>
          <w:sz w:val="24"/>
          <w:szCs w:val="24"/>
        </w:rPr>
        <w:t>41</w:t>
      </w:r>
      <w:r w:rsidR="00E52682">
        <w:rPr>
          <w:rFonts w:ascii="Times New Roman" w:hAnsi="Times New Roman"/>
          <w:sz w:val="24"/>
          <w:szCs w:val="24"/>
        </w:rPr>
        <w:t>%</w:t>
      </w:r>
      <w:r w:rsidR="002B3DC4">
        <w:rPr>
          <w:rFonts w:ascii="Times New Roman" w:hAnsi="Times New Roman"/>
          <w:sz w:val="24"/>
          <w:szCs w:val="24"/>
        </w:rPr>
        <w:t xml:space="preserve"> (60%)</w:t>
      </w:r>
      <w:r w:rsidR="00E52682">
        <w:rPr>
          <w:rFonts w:ascii="Times New Roman" w:hAnsi="Times New Roman"/>
          <w:sz w:val="24"/>
          <w:szCs w:val="24"/>
        </w:rPr>
        <w:t xml:space="preserve"> da queda da informalidade</w:t>
      </w:r>
      <w:r w:rsidR="002B3DC4">
        <w:rPr>
          <w:rFonts w:ascii="Times New Roman" w:hAnsi="Times New Roman"/>
          <w:sz w:val="24"/>
          <w:szCs w:val="24"/>
        </w:rPr>
        <w:t xml:space="preserve"> no período entre 2002 e 2011 (2009), cresce em relação os atributos anteriormente analisados</w:t>
      </w:r>
      <w:r w:rsidR="00E52682">
        <w:rPr>
          <w:rFonts w:ascii="Times New Roman" w:hAnsi="Times New Roman"/>
          <w:sz w:val="24"/>
          <w:szCs w:val="24"/>
        </w:rPr>
        <w:t>.</w:t>
      </w:r>
      <w:r w:rsidR="000D338D">
        <w:rPr>
          <w:rFonts w:ascii="Times New Roman" w:hAnsi="Times New Roman"/>
          <w:sz w:val="24"/>
          <w:szCs w:val="24"/>
        </w:rPr>
        <w:t xml:space="preserve"> I</w:t>
      </w:r>
      <w:r w:rsidR="00CA73D7">
        <w:rPr>
          <w:rFonts w:ascii="Times New Roman" w:hAnsi="Times New Roman"/>
          <w:sz w:val="24"/>
          <w:szCs w:val="24"/>
        </w:rPr>
        <w:t>sso ocorre devido a</w:t>
      </w:r>
      <w:r w:rsidR="000D338D">
        <w:rPr>
          <w:rFonts w:ascii="Times New Roman" w:hAnsi="Times New Roman"/>
          <w:sz w:val="24"/>
          <w:szCs w:val="24"/>
        </w:rPr>
        <w:t xml:space="preserve"> </w:t>
      </w:r>
      <w:r w:rsidR="00CA73D7">
        <w:rPr>
          <w:rFonts w:ascii="Times New Roman" w:hAnsi="Times New Roman"/>
          <w:sz w:val="24"/>
          <w:szCs w:val="24"/>
        </w:rPr>
        <w:t xml:space="preserve">uma redução </w:t>
      </w:r>
      <w:r w:rsidR="000D338D">
        <w:rPr>
          <w:rFonts w:ascii="Times New Roman" w:hAnsi="Times New Roman"/>
          <w:sz w:val="24"/>
          <w:szCs w:val="24"/>
        </w:rPr>
        <w:t xml:space="preserve">do percentual dos </w:t>
      </w:r>
      <w:r w:rsidR="00CA73D7">
        <w:rPr>
          <w:rFonts w:ascii="Times New Roman" w:hAnsi="Times New Roman"/>
          <w:sz w:val="24"/>
          <w:szCs w:val="24"/>
        </w:rPr>
        <w:t xml:space="preserve">menos </w:t>
      </w:r>
      <w:r w:rsidR="000D338D">
        <w:rPr>
          <w:rFonts w:ascii="Times New Roman" w:hAnsi="Times New Roman"/>
          <w:sz w:val="24"/>
          <w:szCs w:val="24"/>
        </w:rPr>
        <w:t xml:space="preserve">escolarizados </w:t>
      </w:r>
      <w:r w:rsidR="00CA73D7">
        <w:rPr>
          <w:rFonts w:ascii="Times New Roman" w:hAnsi="Times New Roman"/>
          <w:sz w:val="24"/>
          <w:szCs w:val="24"/>
        </w:rPr>
        <w:t>(</w:t>
      </w:r>
      <w:r w:rsidR="000D338D">
        <w:rPr>
          <w:rFonts w:ascii="Times New Roman" w:hAnsi="Times New Roman"/>
          <w:sz w:val="24"/>
          <w:szCs w:val="24"/>
        </w:rPr>
        <w:t>no total dos ocupados</w:t>
      </w:r>
      <w:r w:rsidR="00CA73D7">
        <w:rPr>
          <w:rFonts w:ascii="Times New Roman" w:hAnsi="Times New Roman"/>
          <w:sz w:val="24"/>
          <w:szCs w:val="24"/>
        </w:rPr>
        <w:t>)</w:t>
      </w:r>
      <w:r w:rsidR="000D338D">
        <w:rPr>
          <w:rFonts w:ascii="Times New Roman" w:hAnsi="Times New Roman"/>
          <w:sz w:val="24"/>
          <w:szCs w:val="24"/>
        </w:rPr>
        <w:t xml:space="preserve"> que apresentam </w:t>
      </w:r>
      <w:r w:rsidR="00CA73D7">
        <w:rPr>
          <w:rFonts w:ascii="Times New Roman" w:hAnsi="Times New Roman"/>
          <w:sz w:val="24"/>
          <w:szCs w:val="24"/>
        </w:rPr>
        <w:t>maior</w:t>
      </w:r>
      <w:r w:rsidR="000D338D">
        <w:rPr>
          <w:rFonts w:ascii="Times New Roman" w:hAnsi="Times New Roman"/>
          <w:sz w:val="24"/>
          <w:szCs w:val="24"/>
        </w:rPr>
        <w:t xml:space="preserve"> n</w:t>
      </w:r>
      <w:r w:rsidR="00CA73D7">
        <w:rPr>
          <w:rFonts w:ascii="Times New Roman" w:hAnsi="Times New Roman"/>
          <w:sz w:val="24"/>
          <w:szCs w:val="24"/>
        </w:rPr>
        <w:t>ível de informalidade, principalmente aqueles com até 7 anos de estudo (ensino fundamental incompleto).</w:t>
      </w:r>
    </w:p>
    <w:p w:rsidR="00E52682" w:rsidRDefault="00202A66" w:rsidP="001F03CD">
      <w:pPr>
        <w:spacing w:line="240" w:lineRule="auto"/>
        <w:ind w:firstLine="708"/>
        <w:jc w:val="both"/>
        <w:rPr>
          <w:rFonts w:ascii="Times New Roman" w:hAnsi="Times New Roman"/>
          <w:sz w:val="24"/>
          <w:szCs w:val="24"/>
        </w:rPr>
      </w:pPr>
      <w:r>
        <w:rPr>
          <w:rFonts w:ascii="Times New Roman" w:hAnsi="Times New Roman"/>
          <w:sz w:val="24"/>
          <w:szCs w:val="24"/>
        </w:rPr>
        <w:t>A Tabela 9 mostra também que caso a distribuição da escolaridade fosse a mesma nas regiões metropolitanas e nas regiões não metropolitanas o diferencial de informalidade entre as duas regiões seria reduzido em aproximadamente um terço</w:t>
      </w:r>
      <w:r w:rsidR="00EE7345">
        <w:rPr>
          <w:rFonts w:ascii="Times New Roman" w:hAnsi="Times New Roman"/>
          <w:sz w:val="24"/>
          <w:szCs w:val="24"/>
        </w:rPr>
        <w:t xml:space="preserve"> (quarto) em 2002 (2011)</w:t>
      </w:r>
      <w:r>
        <w:rPr>
          <w:rFonts w:ascii="Times New Roman" w:hAnsi="Times New Roman"/>
          <w:sz w:val="24"/>
          <w:szCs w:val="24"/>
        </w:rPr>
        <w:t>.</w:t>
      </w:r>
    </w:p>
    <w:tbl>
      <w:tblPr>
        <w:tblW w:w="6441" w:type="dxa"/>
        <w:jc w:val="center"/>
        <w:tblInd w:w="55" w:type="dxa"/>
        <w:tblCellMar>
          <w:left w:w="70" w:type="dxa"/>
          <w:right w:w="70" w:type="dxa"/>
        </w:tblCellMar>
        <w:tblLook w:val="04A0" w:firstRow="1" w:lastRow="0" w:firstColumn="1" w:lastColumn="0" w:noHBand="0" w:noVBand="1"/>
      </w:tblPr>
      <w:tblGrid>
        <w:gridCol w:w="2032"/>
        <w:gridCol w:w="1220"/>
        <w:gridCol w:w="1981"/>
        <w:gridCol w:w="1208"/>
      </w:tblGrid>
      <w:tr w:rsidR="00EE5A2D" w:rsidRPr="00EE5A2D" w:rsidTr="00EE5A2D">
        <w:trPr>
          <w:trHeight w:val="270"/>
          <w:jc w:val="center"/>
        </w:trPr>
        <w:tc>
          <w:tcPr>
            <w:tcW w:w="6441" w:type="dxa"/>
            <w:gridSpan w:val="4"/>
            <w:tcBorders>
              <w:top w:val="single" w:sz="8" w:space="0" w:color="auto"/>
              <w:left w:val="nil"/>
              <w:bottom w:val="single" w:sz="8" w:space="0" w:color="auto"/>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Tabela 9: Decomposição da variação da taxa de informalidade (em p.p.)</w:t>
            </w:r>
          </w:p>
        </w:tc>
      </w:tr>
      <w:tr w:rsidR="00EE5A2D" w:rsidRPr="00EE5A2D" w:rsidTr="00EE5A2D">
        <w:trPr>
          <w:trHeight w:val="270"/>
          <w:jc w:val="center"/>
        </w:trPr>
        <w:tc>
          <w:tcPr>
            <w:tcW w:w="6441" w:type="dxa"/>
            <w:gridSpan w:val="4"/>
            <w:tcBorders>
              <w:top w:val="single" w:sz="8" w:space="0" w:color="auto"/>
              <w:left w:val="nil"/>
              <w:bottom w:val="single" w:sz="8" w:space="0" w:color="auto"/>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Escolaridade</w:t>
            </w:r>
          </w:p>
        </w:tc>
      </w:tr>
      <w:tr w:rsidR="00EE5A2D" w:rsidRPr="00EE5A2D" w:rsidTr="00EE5A2D">
        <w:trPr>
          <w:trHeight w:val="270"/>
          <w:jc w:val="center"/>
        </w:trPr>
        <w:tc>
          <w:tcPr>
            <w:tcW w:w="2032" w:type="dxa"/>
            <w:tcBorders>
              <w:top w:val="nil"/>
              <w:left w:val="nil"/>
              <w:bottom w:val="single" w:sz="8" w:space="0" w:color="auto"/>
              <w:right w:val="nil"/>
            </w:tcBorders>
            <w:shd w:val="clear" w:color="000000" w:fill="FFFFFF"/>
            <w:noWrap/>
            <w:vAlign w:val="bottom"/>
            <w:hideMark/>
          </w:tcPr>
          <w:p w:rsidR="00EE5A2D" w:rsidRPr="00EE5A2D" w:rsidRDefault="00EE5A2D" w:rsidP="001F03CD">
            <w:pPr>
              <w:spacing w:after="0" w:line="240" w:lineRule="auto"/>
              <w:rPr>
                <w:rFonts w:ascii="Arial" w:eastAsia="Times New Roman" w:hAnsi="Arial" w:cs="Arial"/>
                <w:sz w:val="20"/>
                <w:szCs w:val="20"/>
                <w:lang w:eastAsia="pt-BR"/>
              </w:rPr>
            </w:pPr>
            <w:r w:rsidRPr="00EE5A2D">
              <w:rPr>
                <w:rFonts w:ascii="Arial" w:eastAsia="Times New Roman" w:hAnsi="Arial" w:cs="Arial"/>
                <w:sz w:val="20"/>
                <w:szCs w:val="20"/>
                <w:lang w:eastAsia="pt-BR"/>
              </w:rPr>
              <w:t>Período - Amostra</w:t>
            </w:r>
          </w:p>
        </w:tc>
        <w:tc>
          <w:tcPr>
            <w:tcW w:w="1220" w:type="dxa"/>
            <w:tcBorders>
              <w:top w:val="nil"/>
              <w:left w:val="nil"/>
              <w:bottom w:val="single" w:sz="8" w:space="0" w:color="auto"/>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Efeito Nível</w:t>
            </w:r>
          </w:p>
        </w:tc>
        <w:tc>
          <w:tcPr>
            <w:tcW w:w="1981" w:type="dxa"/>
            <w:tcBorders>
              <w:top w:val="nil"/>
              <w:left w:val="nil"/>
              <w:bottom w:val="single" w:sz="8" w:space="0" w:color="auto"/>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Efeito Composição</w:t>
            </w:r>
          </w:p>
        </w:tc>
        <w:tc>
          <w:tcPr>
            <w:tcW w:w="1208" w:type="dxa"/>
            <w:tcBorders>
              <w:top w:val="nil"/>
              <w:left w:val="nil"/>
              <w:bottom w:val="single" w:sz="8" w:space="0" w:color="auto"/>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Efeito Total</w:t>
            </w:r>
          </w:p>
        </w:tc>
      </w:tr>
      <w:tr w:rsidR="00EE5A2D" w:rsidRPr="00EE5A2D" w:rsidTr="00EE5A2D">
        <w:trPr>
          <w:trHeight w:val="255"/>
          <w:jc w:val="center"/>
        </w:trPr>
        <w:tc>
          <w:tcPr>
            <w:tcW w:w="2032"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rPr>
                <w:rFonts w:ascii="Arial" w:eastAsia="Times New Roman" w:hAnsi="Arial" w:cs="Arial"/>
                <w:sz w:val="20"/>
                <w:szCs w:val="20"/>
                <w:lang w:eastAsia="pt-BR"/>
              </w:rPr>
            </w:pPr>
            <w:r w:rsidRPr="00EE5A2D">
              <w:rPr>
                <w:rFonts w:ascii="Arial" w:eastAsia="Times New Roman" w:hAnsi="Arial" w:cs="Arial"/>
                <w:sz w:val="20"/>
                <w:szCs w:val="20"/>
                <w:lang w:eastAsia="pt-BR"/>
              </w:rPr>
              <w:t>2011-2002</w:t>
            </w:r>
          </w:p>
        </w:tc>
        <w:tc>
          <w:tcPr>
            <w:tcW w:w="1220"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-6,4%</w:t>
            </w:r>
          </w:p>
        </w:tc>
        <w:tc>
          <w:tcPr>
            <w:tcW w:w="1981"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-4,5%</w:t>
            </w:r>
          </w:p>
        </w:tc>
        <w:tc>
          <w:tcPr>
            <w:tcW w:w="1208"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-10,9%</w:t>
            </w:r>
          </w:p>
        </w:tc>
      </w:tr>
      <w:tr w:rsidR="00EE5A2D" w:rsidRPr="00EE5A2D" w:rsidTr="00EE5A2D">
        <w:trPr>
          <w:trHeight w:val="270"/>
          <w:jc w:val="center"/>
        </w:trPr>
        <w:tc>
          <w:tcPr>
            <w:tcW w:w="2032"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rPr>
                <w:rFonts w:ascii="Arial" w:eastAsia="Times New Roman" w:hAnsi="Arial" w:cs="Arial"/>
                <w:sz w:val="20"/>
                <w:szCs w:val="20"/>
                <w:lang w:eastAsia="pt-BR"/>
              </w:rPr>
            </w:pPr>
            <w:r w:rsidRPr="00EE5A2D">
              <w:rPr>
                <w:rFonts w:ascii="Arial" w:eastAsia="Times New Roman" w:hAnsi="Arial" w:cs="Arial"/>
                <w:sz w:val="20"/>
                <w:szCs w:val="20"/>
                <w:lang w:eastAsia="pt-BR"/>
              </w:rPr>
              <w:t>2009-2002</w:t>
            </w:r>
          </w:p>
        </w:tc>
        <w:tc>
          <w:tcPr>
            <w:tcW w:w="1220"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-2,4%</w:t>
            </w:r>
          </w:p>
        </w:tc>
        <w:tc>
          <w:tcPr>
            <w:tcW w:w="1981"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-3,8%</w:t>
            </w:r>
          </w:p>
        </w:tc>
        <w:tc>
          <w:tcPr>
            <w:tcW w:w="1208"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-6,2%</w:t>
            </w:r>
          </w:p>
        </w:tc>
      </w:tr>
      <w:tr w:rsidR="00EE5A2D" w:rsidRPr="00EE5A2D" w:rsidTr="00EE5A2D">
        <w:trPr>
          <w:trHeight w:val="255"/>
          <w:jc w:val="center"/>
        </w:trPr>
        <w:tc>
          <w:tcPr>
            <w:tcW w:w="2032"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rPr>
                <w:rFonts w:ascii="Arial" w:eastAsia="Times New Roman" w:hAnsi="Arial" w:cs="Arial"/>
                <w:sz w:val="20"/>
                <w:szCs w:val="20"/>
                <w:lang w:eastAsia="pt-BR"/>
              </w:rPr>
            </w:pPr>
            <w:r w:rsidRPr="00EE5A2D">
              <w:rPr>
                <w:rFonts w:ascii="Arial" w:eastAsia="Times New Roman" w:hAnsi="Arial" w:cs="Arial"/>
                <w:sz w:val="20"/>
                <w:szCs w:val="20"/>
                <w:lang w:eastAsia="pt-BR"/>
              </w:rPr>
              <w:t>2011-2009</w:t>
            </w:r>
          </w:p>
        </w:tc>
        <w:tc>
          <w:tcPr>
            <w:tcW w:w="1220"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-3,8%</w:t>
            </w:r>
          </w:p>
        </w:tc>
        <w:tc>
          <w:tcPr>
            <w:tcW w:w="1981"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-0,9%</w:t>
            </w:r>
          </w:p>
        </w:tc>
        <w:tc>
          <w:tcPr>
            <w:tcW w:w="1208"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-4,7%</w:t>
            </w:r>
          </w:p>
        </w:tc>
      </w:tr>
      <w:tr w:rsidR="00EE5A2D" w:rsidRPr="00EE5A2D" w:rsidTr="00EE5A2D">
        <w:trPr>
          <w:trHeight w:val="255"/>
          <w:jc w:val="center"/>
        </w:trPr>
        <w:tc>
          <w:tcPr>
            <w:tcW w:w="2032"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rPr>
                <w:rFonts w:ascii="Arial" w:eastAsia="Times New Roman" w:hAnsi="Arial" w:cs="Arial"/>
                <w:sz w:val="20"/>
                <w:szCs w:val="20"/>
                <w:lang w:eastAsia="pt-BR"/>
              </w:rPr>
            </w:pPr>
            <w:r w:rsidRPr="00EE5A2D">
              <w:rPr>
                <w:rFonts w:ascii="Arial" w:eastAsia="Times New Roman" w:hAnsi="Arial" w:cs="Arial"/>
                <w:sz w:val="20"/>
                <w:szCs w:val="20"/>
                <w:lang w:eastAsia="pt-BR"/>
              </w:rPr>
              <w:t>2011-2002RM</w:t>
            </w:r>
          </w:p>
        </w:tc>
        <w:tc>
          <w:tcPr>
            <w:tcW w:w="1220"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-7,7%</w:t>
            </w:r>
          </w:p>
        </w:tc>
        <w:tc>
          <w:tcPr>
            <w:tcW w:w="1981"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-3,2%</w:t>
            </w:r>
          </w:p>
        </w:tc>
        <w:tc>
          <w:tcPr>
            <w:tcW w:w="1208"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-10,9%</w:t>
            </w:r>
          </w:p>
        </w:tc>
      </w:tr>
      <w:tr w:rsidR="00EE5A2D" w:rsidRPr="00EE5A2D" w:rsidTr="00EE5A2D">
        <w:trPr>
          <w:trHeight w:val="255"/>
          <w:jc w:val="center"/>
        </w:trPr>
        <w:tc>
          <w:tcPr>
            <w:tcW w:w="2032"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rPr>
                <w:rFonts w:ascii="Arial" w:eastAsia="Times New Roman" w:hAnsi="Arial" w:cs="Arial"/>
                <w:sz w:val="20"/>
                <w:szCs w:val="20"/>
                <w:lang w:eastAsia="pt-BR"/>
              </w:rPr>
            </w:pPr>
            <w:r w:rsidRPr="00EE5A2D">
              <w:rPr>
                <w:rFonts w:ascii="Arial" w:eastAsia="Times New Roman" w:hAnsi="Arial" w:cs="Arial"/>
                <w:sz w:val="20"/>
                <w:szCs w:val="20"/>
                <w:lang w:eastAsia="pt-BR"/>
              </w:rPr>
              <w:t>2011-2002NRM</w:t>
            </w:r>
          </w:p>
        </w:tc>
        <w:tc>
          <w:tcPr>
            <w:tcW w:w="1220"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-6,0%</w:t>
            </w:r>
          </w:p>
        </w:tc>
        <w:tc>
          <w:tcPr>
            <w:tcW w:w="1981"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-4,9%</w:t>
            </w:r>
          </w:p>
        </w:tc>
        <w:tc>
          <w:tcPr>
            <w:tcW w:w="1208"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-10,9%</w:t>
            </w:r>
          </w:p>
        </w:tc>
      </w:tr>
      <w:tr w:rsidR="00EE5A2D" w:rsidRPr="00EE5A2D" w:rsidTr="00EE5A2D">
        <w:trPr>
          <w:trHeight w:val="255"/>
          <w:jc w:val="center"/>
        </w:trPr>
        <w:tc>
          <w:tcPr>
            <w:tcW w:w="2032"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rPr>
                <w:rFonts w:ascii="Arial" w:eastAsia="Times New Roman" w:hAnsi="Arial" w:cs="Arial"/>
                <w:sz w:val="20"/>
                <w:szCs w:val="20"/>
                <w:lang w:eastAsia="pt-BR"/>
              </w:rPr>
            </w:pPr>
            <w:r w:rsidRPr="00EE5A2D">
              <w:rPr>
                <w:rFonts w:ascii="Arial" w:eastAsia="Times New Roman" w:hAnsi="Arial" w:cs="Arial"/>
                <w:sz w:val="20"/>
                <w:szCs w:val="20"/>
                <w:lang w:eastAsia="pt-BR"/>
              </w:rPr>
              <w:t>2011NRM-2011RM</w:t>
            </w:r>
          </w:p>
        </w:tc>
        <w:tc>
          <w:tcPr>
            <w:tcW w:w="1220"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9,3%</w:t>
            </w:r>
          </w:p>
        </w:tc>
        <w:tc>
          <w:tcPr>
            <w:tcW w:w="1981"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3,3%</w:t>
            </w:r>
          </w:p>
        </w:tc>
        <w:tc>
          <w:tcPr>
            <w:tcW w:w="1208"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12,6%</w:t>
            </w:r>
          </w:p>
        </w:tc>
      </w:tr>
      <w:tr w:rsidR="00EE5A2D" w:rsidRPr="00EE5A2D" w:rsidTr="00EE5A2D">
        <w:trPr>
          <w:trHeight w:val="270"/>
          <w:jc w:val="center"/>
        </w:trPr>
        <w:tc>
          <w:tcPr>
            <w:tcW w:w="2032" w:type="dxa"/>
            <w:tcBorders>
              <w:top w:val="nil"/>
              <w:left w:val="nil"/>
              <w:bottom w:val="single" w:sz="8" w:space="0" w:color="auto"/>
              <w:right w:val="nil"/>
            </w:tcBorders>
            <w:shd w:val="clear" w:color="000000" w:fill="FFFFFF"/>
            <w:noWrap/>
            <w:vAlign w:val="bottom"/>
            <w:hideMark/>
          </w:tcPr>
          <w:p w:rsidR="00EE5A2D" w:rsidRPr="00EE5A2D" w:rsidRDefault="00EE5A2D" w:rsidP="001F03CD">
            <w:pPr>
              <w:spacing w:after="0" w:line="240" w:lineRule="auto"/>
              <w:rPr>
                <w:rFonts w:ascii="Arial" w:eastAsia="Times New Roman" w:hAnsi="Arial" w:cs="Arial"/>
                <w:sz w:val="20"/>
                <w:szCs w:val="20"/>
                <w:lang w:eastAsia="pt-BR"/>
              </w:rPr>
            </w:pPr>
            <w:r w:rsidRPr="00EE5A2D">
              <w:rPr>
                <w:rFonts w:ascii="Arial" w:eastAsia="Times New Roman" w:hAnsi="Arial" w:cs="Arial"/>
                <w:sz w:val="20"/>
                <w:szCs w:val="20"/>
                <w:lang w:eastAsia="pt-BR"/>
              </w:rPr>
              <w:t>2002NRM-2002RM</w:t>
            </w:r>
          </w:p>
        </w:tc>
        <w:tc>
          <w:tcPr>
            <w:tcW w:w="1220" w:type="dxa"/>
            <w:tcBorders>
              <w:top w:val="nil"/>
              <w:left w:val="nil"/>
              <w:bottom w:val="single" w:sz="8" w:space="0" w:color="auto"/>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8,1%</w:t>
            </w:r>
          </w:p>
        </w:tc>
        <w:tc>
          <w:tcPr>
            <w:tcW w:w="1981" w:type="dxa"/>
            <w:tcBorders>
              <w:top w:val="nil"/>
              <w:left w:val="nil"/>
              <w:bottom w:val="single" w:sz="8" w:space="0" w:color="auto"/>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4,4%</w:t>
            </w:r>
          </w:p>
        </w:tc>
        <w:tc>
          <w:tcPr>
            <w:tcW w:w="1208" w:type="dxa"/>
            <w:tcBorders>
              <w:top w:val="nil"/>
              <w:left w:val="nil"/>
              <w:bottom w:val="single" w:sz="8" w:space="0" w:color="auto"/>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12,6%</w:t>
            </w:r>
          </w:p>
        </w:tc>
      </w:tr>
      <w:tr w:rsidR="00EE5A2D" w:rsidRPr="00EE5A2D" w:rsidTr="00EE5A2D">
        <w:trPr>
          <w:trHeight w:val="255"/>
          <w:jc w:val="center"/>
        </w:trPr>
        <w:tc>
          <w:tcPr>
            <w:tcW w:w="5233" w:type="dxa"/>
            <w:gridSpan w:val="3"/>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rPr>
                <w:rFonts w:ascii="Arial" w:eastAsia="Times New Roman" w:hAnsi="Arial" w:cs="Arial"/>
                <w:sz w:val="20"/>
                <w:szCs w:val="20"/>
                <w:lang w:eastAsia="pt-BR"/>
              </w:rPr>
            </w:pPr>
            <w:r w:rsidRPr="00EE5A2D">
              <w:rPr>
                <w:rFonts w:ascii="Arial" w:eastAsia="Times New Roman" w:hAnsi="Arial" w:cs="Arial"/>
                <w:sz w:val="20"/>
                <w:szCs w:val="20"/>
                <w:lang w:eastAsia="pt-BR"/>
              </w:rPr>
              <w:t>Fonte: Elaboração Própria com dados da PNAD.</w:t>
            </w:r>
          </w:p>
        </w:tc>
        <w:tc>
          <w:tcPr>
            <w:tcW w:w="1208" w:type="dxa"/>
            <w:tcBorders>
              <w:top w:val="nil"/>
              <w:left w:val="nil"/>
              <w:bottom w:val="nil"/>
              <w:right w:val="nil"/>
            </w:tcBorders>
            <w:shd w:val="clear" w:color="000000" w:fill="FFFFFF"/>
            <w:noWrap/>
            <w:vAlign w:val="bottom"/>
            <w:hideMark/>
          </w:tcPr>
          <w:p w:rsidR="00EE5A2D" w:rsidRPr="00EE5A2D" w:rsidRDefault="00EE5A2D" w:rsidP="001F03CD">
            <w:pPr>
              <w:spacing w:after="0" w:line="240" w:lineRule="auto"/>
              <w:jc w:val="center"/>
              <w:rPr>
                <w:rFonts w:ascii="Arial" w:eastAsia="Times New Roman" w:hAnsi="Arial" w:cs="Arial"/>
                <w:sz w:val="20"/>
                <w:szCs w:val="20"/>
                <w:lang w:eastAsia="pt-BR"/>
              </w:rPr>
            </w:pPr>
            <w:r w:rsidRPr="00EE5A2D">
              <w:rPr>
                <w:rFonts w:ascii="Arial" w:eastAsia="Times New Roman" w:hAnsi="Arial" w:cs="Arial"/>
                <w:sz w:val="20"/>
                <w:szCs w:val="20"/>
                <w:lang w:eastAsia="pt-BR"/>
              </w:rPr>
              <w:t> </w:t>
            </w:r>
          </w:p>
        </w:tc>
      </w:tr>
    </w:tbl>
    <w:p w:rsidR="00EE5A2D" w:rsidRDefault="00EE5A2D" w:rsidP="001F03CD">
      <w:pPr>
        <w:spacing w:line="240" w:lineRule="auto"/>
        <w:jc w:val="both"/>
        <w:rPr>
          <w:rFonts w:ascii="Times New Roman" w:hAnsi="Times New Roman"/>
          <w:sz w:val="24"/>
          <w:szCs w:val="24"/>
        </w:rPr>
      </w:pPr>
    </w:p>
    <w:p w:rsidR="00C23DD9" w:rsidRPr="00E52682" w:rsidRDefault="00C23DD9" w:rsidP="001F03CD">
      <w:pPr>
        <w:spacing w:line="240" w:lineRule="auto"/>
        <w:jc w:val="both"/>
        <w:rPr>
          <w:rFonts w:ascii="Times New Roman" w:hAnsi="Times New Roman"/>
          <w:sz w:val="24"/>
          <w:szCs w:val="24"/>
          <w:u w:val="single"/>
        </w:rPr>
      </w:pPr>
      <w:r w:rsidRPr="00E52682">
        <w:rPr>
          <w:rFonts w:ascii="Times New Roman" w:hAnsi="Times New Roman"/>
          <w:sz w:val="24"/>
          <w:szCs w:val="24"/>
          <w:u w:val="single"/>
        </w:rPr>
        <w:t>Faixa Etária</w:t>
      </w:r>
    </w:p>
    <w:p w:rsidR="00E749F6" w:rsidRDefault="00E52682" w:rsidP="001F03CD">
      <w:pPr>
        <w:spacing w:line="240" w:lineRule="auto"/>
        <w:ind w:firstLine="708"/>
        <w:jc w:val="both"/>
        <w:rPr>
          <w:rFonts w:ascii="Times New Roman" w:hAnsi="Times New Roman"/>
          <w:sz w:val="24"/>
          <w:szCs w:val="24"/>
        </w:rPr>
      </w:pPr>
      <w:r>
        <w:rPr>
          <w:rFonts w:ascii="Times New Roman" w:hAnsi="Times New Roman"/>
          <w:sz w:val="24"/>
          <w:szCs w:val="24"/>
        </w:rPr>
        <w:t xml:space="preserve">A Tabela </w:t>
      </w:r>
      <w:r w:rsidR="00E749F6">
        <w:rPr>
          <w:rFonts w:ascii="Times New Roman" w:hAnsi="Times New Roman"/>
          <w:sz w:val="24"/>
          <w:szCs w:val="24"/>
        </w:rPr>
        <w:t>10</w:t>
      </w:r>
      <w:r>
        <w:rPr>
          <w:rFonts w:ascii="Times New Roman" w:hAnsi="Times New Roman"/>
          <w:sz w:val="24"/>
          <w:szCs w:val="24"/>
        </w:rPr>
        <w:t xml:space="preserve"> realiza a decomposição</w:t>
      </w:r>
      <w:r w:rsidR="00BF299A">
        <w:rPr>
          <w:rFonts w:ascii="Times New Roman" w:hAnsi="Times New Roman"/>
          <w:sz w:val="24"/>
          <w:szCs w:val="24"/>
        </w:rPr>
        <w:t xml:space="preserve"> da seção 3 por faixa etária. Os</w:t>
      </w:r>
      <w:r>
        <w:rPr>
          <w:rFonts w:ascii="Times New Roman" w:hAnsi="Times New Roman"/>
          <w:sz w:val="24"/>
          <w:szCs w:val="24"/>
        </w:rPr>
        <w:t xml:space="preserve"> resultados mostram que a redução na participação de pessoas jovens</w:t>
      </w:r>
      <w:r w:rsidR="00E210A3">
        <w:rPr>
          <w:rFonts w:ascii="Times New Roman" w:hAnsi="Times New Roman"/>
          <w:sz w:val="24"/>
          <w:szCs w:val="24"/>
        </w:rPr>
        <w:t xml:space="preserve"> (15 a 24 anos) na população ocupada</w:t>
      </w:r>
      <w:r>
        <w:rPr>
          <w:rFonts w:ascii="Times New Roman" w:hAnsi="Times New Roman"/>
          <w:sz w:val="24"/>
          <w:szCs w:val="24"/>
        </w:rPr>
        <w:t xml:space="preserve"> contribuiu com parte da queda da informalidade</w:t>
      </w:r>
      <w:r w:rsidR="00E210A3">
        <w:rPr>
          <w:rFonts w:ascii="Times New Roman" w:hAnsi="Times New Roman"/>
          <w:sz w:val="24"/>
          <w:szCs w:val="24"/>
        </w:rPr>
        <w:t>, visto que tal grupo apresenta uma alta informalidade</w:t>
      </w:r>
      <w:r>
        <w:rPr>
          <w:rFonts w:ascii="Times New Roman" w:hAnsi="Times New Roman"/>
          <w:sz w:val="24"/>
          <w:szCs w:val="24"/>
        </w:rPr>
        <w:t>. Es</w:t>
      </w:r>
      <w:r w:rsidR="00B224D2">
        <w:rPr>
          <w:rFonts w:ascii="Times New Roman" w:hAnsi="Times New Roman"/>
          <w:sz w:val="24"/>
          <w:szCs w:val="24"/>
        </w:rPr>
        <w:t>s</w:t>
      </w:r>
      <w:r>
        <w:rPr>
          <w:rFonts w:ascii="Times New Roman" w:hAnsi="Times New Roman"/>
          <w:sz w:val="24"/>
          <w:szCs w:val="24"/>
        </w:rPr>
        <w:t>a redução na participação dos jovens</w:t>
      </w:r>
      <w:r w:rsidR="00E210A3">
        <w:rPr>
          <w:rFonts w:ascii="Times New Roman" w:hAnsi="Times New Roman"/>
          <w:sz w:val="24"/>
          <w:szCs w:val="24"/>
        </w:rPr>
        <w:t xml:space="preserve"> </w:t>
      </w:r>
      <w:r>
        <w:rPr>
          <w:rFonts w:ascii="Times New Roman" w:hAnsi="Times New Roman"/>
          <w:sz w:val="24"/>
          <w:szCs w:val="24"/>
        </w:rPr>
        <w:t xml:space="preserve">é um aspecto importante da elevação das matrículas do ensino nos diversos níveis no Brasil. A manutenção dos jovens nas </w:t>
      </w:r>
      <w:r>
        <w:rPr>
          <w:rFonts w:ascii="Times New Roman" w:hAnsi="Times New Roman"/>
          <w:sz w:val="24"/>
          <w:szCs w:val="24"/>
        </w:rPr>
        <w:lastRenderedPageBreak/>
        <w:t>escolas por mais tempo melhora a inserção destes no mercado de trabalho</w:t>
      </w:r>
      <w:r>
        <w:rPr>
          <w:rStyle w:val="Refdenotaderodap"/>
          <w:rFonts w:ascii="Times New Roman" w:hAnsi="Times New Roman"/>
          <w:sz w:val="24"/>
          <w:szCs w:val="24"/>
        </w:rPr>
        <w:footnoteReference w:id="4"/>
      </w:r>
      <w:r>
        <w:rPr>
          <w:rFonts w:ascii="Times New Roman" w:hAnsi="Times New Roman"/>
          <w:sz w:val="24"/>
          <w:szCs w:val="24"/>
        </w:rPr>
        <w:t xml:space="preserve"> com taxas de desemprego </w:t>
      </w:r>
      <w:r w:rsidR="005A41FF">
        <w:rPr>
          <w:rFonts w:ascii="Times New Roman" w:hAnsi="Times New Roman"/>
          <w:sz w:val="24"/>
          <w:szCs w:val="24"/>
        </w:rPr>
        <w:t>menores</w:t>
      </w:r>
      <w:r>
        <w:rPr>
          <w:rFonts w:ascii="Times New Roman" w:hAnsi="Times New Roman"/>
          <w:sz w:val="24"/>
          <w:szCs w:val="24"/>
        </w:rPr>
        <w:t xml:space="preserve"> e reduz a chance destes serem trabalhadores sem carteira.</w:t>
      </w:r>
    </w:p>
    <w:p w:rsidR="00CB1413" w:rsidRDefault="005F0230" w:rsidP="001F03CD">
      <w:pPr>
        <w:spacing w:line="240" w:lineRule="auto"/>
        <w:ind w:firstLine="708"/>
        <w:jc w:val="both"/>
        <w:rPr>
          <w:rFonts w:ascii="Times New Roman" w:hAnsi="Times New Roman"/>
          <w:sz w:val="24"/>
          <w:szCs w:val="24"/>
        </w:rPr>
      </w:pPr>
      <w:r>
        <w:rPr>
          <w:rFonts w:ascii="Times New Roman" w:hAnsi="Times New Roman"/>
          <w:sz w:val="24"/>
          <w:szCs w:val="24"/>
        </w:rPr>
        <w:t xml:space="preserve">Em relação ao efeito nível, destaca-se a alta contribuição dos jovens de </w:t>
      </w:r>
      <w:r w:rsidR="0056745D">
        <w:rPr>
          <w:rFonts w:ascii="Times New Roman" w:hAnsi="Times New Roman"/>
          <w:sz w:val="24"/>
          <w:szCs w:val="24"/>
        </w:rPr>
        <w:t>15</w:t>
      </w:r>
      <w:r>
        <w:rPr>
          <w:rFonts w:ascii="Times New Roman" w:hAnsi="Times New Roman"/>
          <w:sz w:val="24"/>
          <w:szCs w:val="24"/>
        </w:rPr>
        <w:t xml:space="preserve"> a 24 anos e adultos de 25 a </w:t>
      </w:r>
      <w:r w:rsidR="0056745D">
        <w:rPr>
          <w:rFonts w:ascii="Times New Roman" w:hAnsi="Times New Roman"/>
          <w:sz w:val="24"/>
          <w:szCs w:val="24"/>
        </w:rPr>
        <w:t>30</w:t>
      </w:r>
      <w:r>
        <w:rPr>
          <w:rFonts w:ascii="Times New Roman" w:hAnsi="Times New Roman"/>
          <w:sz w:val="24"/>
          <w:szCs w:val="24"/>
        </w:rPr>
        <w:t xml:space="preserve"> anos para a queda da informalidade. Isso se deveu ao fato destes dois grupos apresentarem a maior redução da taxa de informalidade (</w:t>
      </w:r>
      <w:r w:rsidR="0056745D">
        <w:rPr>
          <w:rFonts w:ascii="Times New Roman" w:hAnsi="Times New Roman"/>
          <w:sz w:val="24"/>
          <w:szCs w:val="24"/>
        </w:rPr>
        <w:t xml:space="preserve">em torno de 14p.p. e 10p.p. para cada grupo, respectivamente, </w:t>
      </w:r>
      <w:r>
        <w:rPr>
          <w:rFonts w:ascii="Times New Roman" w:hAnsi="Times New Roman"/>
          <w:sz w:val="24"/>
          <w:szCs w:val="24"/>
        </w:rPr>
        <w:t>entre 2002 e 20</w:t>
      </w:r>
      <w:r w:rsidR="0056745D">
        <w:rPr>
          <w:rFonts w:ascii="Times New Roman" w:hAnsi="Times New Roman"/>
          <w:sz w:val="24"/>
          <w:szCs w:val="24"/>
        </w:rPr>
        <w:t>11</w:t>
      </w:r>
      <w:r>
        <w:rPr>
          <w:rFonts w:ascii="Times New Roman" w:hAnsi="Times New Roman"/>
          <w:sz w:val="24"/>
          <w:szCs w:val="24"/>
        </w:rPr>
        <w:t xml:space="preserve">) e terem </w:t>
      </w:r>
      <w:r w:rsidR="0056745D">
        <w:rPr>
          <w:rFonts w:ascii="Times New Roman" w:hAnsi="Times New Roman"/>
          <w:sz w:val="24"/>
          <w:szCs w:val="24"/>
        </w:rPr>
        <w:t>um</w:t>
      </w:r>
      <w:r>
        <w:rPr>
          <w:rFonts w:ascii="Times New Roman" w:hAnsi="Times New Roman"/>
          <w:sz w:val="24"/>
          <w:szCs w:val="24"/>
        </w:rPr>
        <w:t xml:space="preserve"> peso médio</w:t>
      </w:r>
      <w:r w:rsidR="0056745D">
        <w:rPr>
          <w:rFonts w:ascii="Times New Roman" w:hAnsi="Times New Roman"/>
          <w:sz w:val="24"/>
          <w:szCs w:val="24"/>
        </w:rPr>
        <w:t xml:space="preserve"> elevado</w:t>
      </w:r>
      <w:r>
        <w:rPr>
          <w:rFonts w:ascii="Times New Roman" w:hAnsi="Times New Roman"/>
          <w:sz w:val="24"/>
          <w:szCs w:val="24"/>
        </w:rPr>
        <w:t xml:space="preserve"> entre os ocupados.</w:t>
      </w:r>
    </w:p>
    <w:p w:rsidR="00C23DD9" w:rsidRDefault="00D652D6" w:rsidP="001F03CD">
      <w:pPr>
        <w:spacing w:line="240" w:lineRule="auto"/>
        <w:ind w:firstLine="708"/>
        <w:jc w:val="both"/>
        <w:rPr>
          <w:rFonts w:ascii="Times New Roman" w:hAnsi="Times New Roman"/>
          <w:sz w:val="24"/>
          <w:szCs w:val="24"/>
        </w:rPr>
      </w:pPr>
      <w:r>
        <w:rPr>
          <w:rFonts w:ascii="Times New Roman" w:hAnsi="Times New Roman"/>
          <w:sz w:val="24"/>
          <w:szCs w:val="24"/>
        </w:rPr>
        <w:t>O</w:t>
      </w:r>
      <w:r w:rsidR="00E52682">
        <w:rPr>
          <w:rFonts w:ascii="Times New Roman" w:hAnsi="Times New Roman"/>
          <w:sz w:val="24"/>
          <w:szCs w:val="24"/>
        </w:rPr>
        <w:t xml:space="preserve"> efeito</w:t>
      </w:r>
      <w:r>
        <w:rPr>
          <w:rFonts w:ascii="Times New Roman" w:hAnsi="Times New Roman"/>
          <w:sz w:val="24"/>
          <w:szCs w:val="24"/>
        </w:rPr>
        <w:t xml:space="preserve"> composição explica apenas 10% do efeito total, entre 2002 e 2011, sendo um pouco mais determinante </w:t>
      </w:r>
      <w:r w:rsidR="00E52682">
        <w:rPr>
          <w:rFonts w:ascii="Times New Roman" w:hAnsi="Times New Roman"/>
          <w:sz w:val="24"/>
          <w:szCs w:val="24"/>
        </w:rPr>
        <w:t>fora das regiões metropolitanas</w:t>
      </w:r>
      <w:r>
        <w:rPr>
          <w:rFonts w:ascii="Times New Roman" w:hAnsi="Times New Roman"/>
          <w:sz w:val="24"/>
          <w:szCs w:val="24"/>
        </w:rPr>
        <w:t xml:space="preserve">. </w:t>
      </w:r>
    </w:p>
    <w:p w:rsidR="00202A66" w:rsidRDefault="00202A66" w:rsidP="001F03CD">
      <w:pPr>
        <w:spacing w:line="240" w:lineRule="auto"/>
        <w:ind w:firstLine="708"/>
        <w:jc w:val="both"/>
        <w:rPr>
          <w:rFonts w:ascii="Times New Roman" w:hAnsi="Times New Roman"/>
          <w:sz w:val="24"/>
          <w:szCs w:val="24"/>
        </w:rPr>
      </w:pPr>
    </w:p>
    <w:tbl>
      <w:tblPr>
        <w:tblW w:w="6400" w:type="dxa"/>
        <w:jc w:val="center"/>
        <w:tblInd w:w="55" w:type="dxa"/>
        <w:tblCellMar>
          <w:left w:w="70" w:type="dxa"/>
          <w:right w:w="70" w:type="dxa"/>
        </w:tblCellMar>
        <w:tblLook w:val="04A0" w:firstRow="1" w:lastRow="0" w:firstColumn="1" w:lastColumn="0" w:noHBand="0" w:noVBand="1"/>
      </w:tblPr>
      <w:tblGrid>
        <w:gridCol w:w="2019"/>
        <w:gridCol w:w="1213"/>
        <w:gridCol w:w="1968"/>
        <w:gridCol w:w="1200"/>
      </w:tblGrid>
      <w:tr w:rsidR="0056745D" w:rsidRPr="0056745D" w:rsidTr="0056745D">
        <w:trPr>
          <w:trHeight w:val="270"/>
          <w:jc w:val="center"/>
        </w:trPr>
        <w:tc>
          <w:tcPr>
            <w:tcW w:w="6400" w:type="dxa"/>
            <w:gridSpan w:val="4"/>
            <w:tcBorders>
              <w:top w:val="single" w:sz="8" w:space="0" w:color="auto"/>
              <w:left w:val="nil"/>
              <w:bottom w:val="single" w:sz="8" w:space="0" w:color="auto"/>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Tabela 10: Decomposição da variação da taxa de informalidade (em p.p.)</w:t>
            </w:r>
          </w:p>
        </w:tc>
      </w:tr>
      <w:tr w:rsidR="0056745D" w:rsidRPr="0056745D" w:rsidTr="0056745D">
        <w:trPr>
          <w:trHeight w:val="270"/>
          <w:jc w:val="center"/>
        </w:trPr>
        <w:tc>
          <w:tcPr>
            <w:tcW w:w="6400" w:type="dxa"/>
            <w:gridSpan w:val="4"/>
            <w:tcBorders>
              <w:top w:val="single" w:sz="8" w:space="0" w:color="auto"/>
              <w:left w:val="nil"/>
              <w:bottom w:val="single" w:sz="8" w:space="0" w:color="auto"/>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Faixa Etária</w:t>
            </w:r>
          </w:p>
        </w:tc>
      </w:tr>
      <w:tr w:rsidR="0056745D" w:rsidRPr="0056745D" w:rsidTr="0056745D">
        <w:trPr>
          <w:trHeight w:val="270"/>
          <w:jc w:val="center"/>
        </w:trPr>
        <w:tc>
          <w:tcPr>
            <w:tcW w:w="2019" w:type="dxa"/>
            <w:tcBorders>
              <w:top w:val="nil"/>
              <w:left w:val="nil"/>
              <w:bottom w:val="single" w:sz="8" w:space="0" w:color="auto"/>
              <w:right w:val="nil"/>
            </w:tcBorders>
            <w:shd w:val="clear" w:color="000000" w:fill="FFFFFF"/>
            <w:noWrap/>
            <w:vAlign w:val="bottom"/>
            <w:hideMark/>
          </w:tcPr>
          <w:p w:rsidR="0056745D" w:rsidRPr="0056745D" w:rsidRDefault="0056745D" w:rsidP="001F03CD">
            <w:pPr>
              <w:spacing w:after="0" w:line="240" w:lineRule="auto"/>
              <w:rPr>
                <w:rFonts w:ascii="Arial" w:eastAsia="Times New Roman" w:hAnsi="Arial" w:cs="Arial"/>
                <w:sz w:val="20"/>
                <w:szCs w:val="20"/>
                <w:lang w:eastAsia="pt-BR"/>
              </w:rPr>
            </w:pPr>
            <w:r w:rsidRPr="0056745D">
              <w:rPr>
                <w:rFonts w:ascii="Arial" w:eastAsia="Times New Roman" w:hAnsi="Arial" w:cs="Arial"/>
                <w:sz w:val="20"/>
                <w:szCs w:val="20"/>
                <w:lang w:eastAsia="pt-BR"/>
              </w:rPr>
              <w:t>Período - Amostra</w:t>
            </w:r>
          </w:p>
        </w:tc>
        <w:tc>
          <w:tcPr>
            <w:tcW w:w="1213" w:type="dxa"/>
            <w:tcBorders>
              <w:top w:val="nil"/>
              <w:left w:val="nil"/>
              <w:bottom w:val="single" w:sz="8" w:space="0" w:color="auto"/>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Efeito Nível</w:t>
            </w:r>
          </w:p>
        </w:tc>
        <w:tc>
          <w:tcPr>
            <w:tcW w:w="1968" w:type="dxa"/>
            <w:tcBorders>
              <w:top w:val="nil"/>
              <w:left w:val="nil"/>
              <w:bottom w:val="single" w:sz="8" w:space="0" w:color="auto"/>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Efeito Composição</w:t>
            </w:r>
          </w:p>
        </w:tc>
        <w:tc>
          <w:tcPr>
            <w:tcW w:w="1200" w:type="dxa"/>
            <w:tcBorders>
              <w:top w:val="nil"/>
              <w:left w:val="nil"/>
              <w:bottom w:val="single" w:sz="8" w:space="0" w:color="auto"/>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Efeito Total</w:t>
            </w:r>
          </w:p>
        </w:tc>
      </w:tr>
      <w:tr w:rsidR="0056745D" w:rsidRPr="0056745D" w:rsidTr="0056745D">
        <w:trPr>
          <w:trHeight w:val="255"/>
          <w:jc w:val="center"/>
        </w:trPr>
        <w:tc>
          <w:tcPr>
            <w:tcW w:w="2019"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rPr>
                <w:rFonts w:ascii="Arial" w:eastAsia="Times New Roman" w:hAnsi="Arial" w:cs="Arial"/>
                <w:sz w:val="20"/>
                <w:szCs w:val="20"/>
                <w:lang w:eastAsia="pt-BR"/>
              </w:rPr>
            </w:pPr>
            <w:r w:rsidRPr="0056745D">
              <w:rPr>
                <w:rFonts w:ascii="Arial" w:eastAsia="Times New Roman" w:hAnsi="Arial" w:cs="Arial"/>
                <w:sz w:val="20"/>
                <w:szCs w:val="20"/>
                <w:lang w:eastAsia="pt-BR"/>
              </w:rPr>
              <w:t>2011-2002</w:t>
            </w:r>
          </w:p>
        </w:tc>
        <w:tc>
          <w:tcPr>
            <w:tcW w:w="1213"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-9,9%</w:t>
            </w:r>
          </w:p>
        </w:tc>
        <w:tc>
          <w:tcPr>
            <w:tcW w:w="1968"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-1,0%</w:t>
            </w:r>
          </w:p>
        </w:tc>
        <w:tc>
          <w:tcPr>
            <w:tcW w:w="1200"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-10,9%</w:t>
            </w:r>
          </w:p>
        </w:tc>
      </w:tr>
      <w:tr w:rsidR="0056745D" w:rsidRPr="0056745D" w:rsidTr="0056745D">
        <w:trPr>
          <w:trHeight w:val="270"/>
          <w:jc w:val="center"/>
        </w:trPr>
        <w:tc>
          <w:tcPr>
            <w:tcW w:w="2019"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rPr>
                <w:rFonts w:ascii="Arial" w:eastAsia="Times New Roman" w:hAnsi="Arial" w:cs="Arial"/>
                <w:sz w:val="20"/>
                <w:szCs w:val="20"/>
                <w:lang w:eastAsia="pt-BR"/>
              </w:rPr>
            </w:pPr>
            <w:r w:rsidRPr="0056745D">
              <w:rPr>
                <w:rFonts w:ascii="Arial" w:eastAsia="Times New Roman" w:hAnsi="Arial" w:cs="Arial"/>
                <w:sz w:val="20"/>
                <w:szCs w:val="20"/>
                <w:lang w:eastAsia="pt-BR"/>
              </w:rPr>
              <w:t>2009-2002</w:t>
            </w:r>
          </w:p>
        </w:tc>
        <w:tc>
          <w:tcPr>
            <w:tcW w:w="1213"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-5,3%</w:t>
            </w:r>
          </w:p>
        </w:tc>
        <w:tc>
          <w:tcPr>
            <w:tcW w:w="1968"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-0,9%</w:t>
            </w:r>
          </w:p>
        </w:tc>
        <w:tc>
          <w:tcPr>
            <w:tcW w:w="1200"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-6,2%</w:t>
            </w:r>
          </w:p>
        </w:tc>
      </w:tr>
      <w:tr w:rsidR="0056745D" w:rsidRPr="0056745D" w:rsidTr="0056745D">
        <w:trPr>
          <w:trHeight w:val="255"/>
          <w:jc w:val="center"/>
        </w:trPr>
        <w:tc>
          <w:tcPr>
            <w:tcW w:w="2019"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rPr>
                <w:rFonts w:ascii="Arial" w:eastAsia="Times New Roman" w:hAnsi="Arial" w:cs="Arial"/>
                <w:sz w:val="20"/>
                <w:szCs w:val="20"/>
                <w:lang w:eastAsia="pt-BR"/>
              </w:rPr>
            </w:pPr>
            <w:r w:rsidRPr="0056745D">
              <w:rPr>
                <w:rFonts w:ascii="Arial" w:eastAsia="Times New Roman" w:hAnsi="Arial" w:cs="Arial"/>
                <w:sz w:val="20"/>
                <w:szCs w:val="20"/>
                <w:lang w:eastAsia="pt-BR"/>
              </w:rPr>
              <w:t>2011-2009</w:t>
            </w:r>
          </w:p>
        </w:tc>
        <w:tc>
          <w:tcPr>
            <w:tcW w:w="1213"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-4,5%</w:t>
            </w:r>
          </w:p>
        </w:tc>
        <w:tc>
          <w:tcPr>
            <w:tcW w:w="1968"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-0,2%</w:t>
            </w:r>
          </w:p>
        </w:tc>
        <w:tc>
          <w:tcPr>
            <w:tcW w:w="1200"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-4,7%</w:t>
            </w:r>
          </w:p>
        </w:tc>
      </w:tr>
      <w:tr w:rsidR="0056745D" w:rsidRPr="0056745D" w:rsidTr="0056745D">
        <w:trPr>
          <w:trHeight w:val="255"/>
          <w:jc w:val="center"/>
        </w:trPr>
        <w:tc>
          <w:tcPr>
            <w:tcW w:w="2019"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rPr>
                <w:rFonts w:ascii="Arial" w:eastAsia="Times New Roman" w:hAnsi="Arial" w:cs="Arial"/>
                <w:sz w:val="20"/>
                <w:szCs w:val="20"/>
                <w:lang w:eastAsia="pt-BR"/>
              </w:rPr>
            </w:pPr>
            <w:r w:rsidRPr="0056745D">
              <w:rPr>
                <w:rFonts w:ascii="Arial" w:eastAsia="Times New Roman" w:hAnsi="Arial" w:cs="Arial"/>
                <w:sz w:val="20"/>
                <w:szCs w:val="20"/>
                <w:lang w:eastAsia="pt-BR"/>
              </w:rPr>
              <w:t>2011-2002RM</w:t>
            </w:r>
          </w:p>
        </w:tc>
        <w:tc>
          <w:tcPr>
            <w:tcW w:w="1213"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-10,4%</w:t>
            </w:r>
          </w:p>
        </w:tc>
        <w:tc>
          <w:tcPr>
            <w:tcW w:w="1968"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-0,5%</w:t>
            </w:r>
          </w:p>
        </w:tc>
        <w:tc>
          <w:tcPr>
            <w:tcW w:w="1200"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-10,9%</w:t>
            </w:r>
          </w:p>
        </w:tc>
      </w:tr>
      <w:tr w:rsidR="0056745D" w:rsidRPr="0056745D" w:rsidTr="0056745D">
        <w:trPr>
          <w:trHeight w:val="255"/>
          <w:jc w:val="center"/>
        </w:trPr>
        <w:tc>
          <w:tcPr>
            <w:tcW w:w="2019"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rPr>
                <w:rFonts w:ascii="Arial" w:eastAsia="Times New Roman" w:hAnsi="Arial" w:cs="Arial"/>
                <w:sz w:val="20"/>
                <w:szCs w:val="20"/>
                <w:lang w:eastAsia="pt-BR"/>
              </w:rPr>
            </w:pPr>
            <w:r w:rsidRPr="0056745D">
              <w:rPr>
                <w:rFonts w:ascii="Arial" w:eastAsia="Times New Roman" w:hAnsi="Arial" w:cs="Arial"/>
                <w:sz w:val="20"/>
                <w:szCs w:val="20"/>
                <w:lang w:eastAsia="pt-BR"/>
              </w:rPr>
              <w:t>2011-2002NRM</w:t>
            </w:r>
          </w:p>
        </w:tc>
        <w:tc>
          <w:tcPr>
            <w:tcW w:w="1213"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-9,7%</w:t>
            </w:r>
          </w:p>
        </w:tc>
        <w:tc>
          <w:tcPr>
            <w:tcW w:w="1968"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-1,2%</w:t>
            </w:r>
          </w:p>
        </w:tc>
        <w:tc>
          <w:tcPr>
            <w:tcW w:w="1200"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-10,9%</w:t>
            </w:r>
          </w:p>
        </w:tc>
      </w:tr>
      <w:tr w:rsidR="0056745D" w:rsidRPr="0056745D" w:rsidTr="0056745D">
        <w:trPr>
          <w:trHeight w:val="255"/>
          <w:jc w:val="center"/>
        </w:trPr>
        <w:tc>
          <w:tcPr>
            <w:tcW w:w="2019"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rPr>
                <w:rFonts w:ascii="Arial" w:eastAsia="Times New Roman" w:hAnsi="Arial" w:cs="Arial"/>
                <w:sz w:val="20"/>
                <w:szCs w:val="20"/>
                <w:lang w:eastAsia="pt-BR"/>
              </w:rPr>
            </w:pPr>
            <w:r w:rsidRPr="0056745D">
              <w:rPr>
                <w:rFonts w:ascii="Arial" w:eastAsia="Times New Roman" w:hAnsi="Arial" w:cs="Arial"/>
                <w:sz w:val="20"/>
                <w:szCs w:val="20"/>
                <w:lang w:eastAsia="pt-BR"/>
              </w:rPr>
              <w:t>2011NRM-2011RM</w:t>
            </w:r>
          </w:p>
        </w:tc>
        <w:tc>
          <w:tcPr>
            <w:tcW w:w="1213"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11,9%</w:t>
            </w:r>
          </w:p>
        </w:tc>
        <w:tc>
          <w:tcPr>
            <w:tcW w:w="1968"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0,7%</w:t>
            </w:r>
          </w:p>
        </w:tc>
        <w:tc>
          <w:tcPr>
            <w:tcW w:w="1200"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12,6%</w:t>
            </w:r>
          </w:p>
        </w:tc>
      </w:tr>
      <w:tr w:rsidR="0056745D" w:rsidRPr="0056745D" w:rsidTr="0056745D">
        <w:trPr>
          <w:trHeight w:val="270"/>
          <w:jc w:val="center"/>
        </w:trPr>
        <w:tc>
          <w:tcPr>
            <w:tcW w:w="2019" w:type="dxa"/>
            <w:tcBorders>
              <w:top w:val="nil"/>
              <w:left w:val="nil"/>
              <w:bottom w:val="single" w:sz="8" w:space="0" w:color="auto"/>
              <w:right w:val="nil"/>
            </w:tcBorders>
            <w:shd w:val="clear" w:color="000000" w:fill="FFFFFF"/>
            <w:noWrap/>
            <w:vAlign w:val="bottom"/>
            <w:hideMark/>
          </w:tcPr>
          <w:p w:rsidR="0056745D" w:rsidRPr="0056745D" w:rsidRDefault="0056745D" w:rsidP="001F03CD">
            <w:pPr>
              <w:spacing w:after="0" w:line="240" w:lineRule="auto"/>
              <w:rPr>
                <w:rFonts w:ascii="Arial" w:eastAsia="Times New Roman" w:hAnsi="Arial" w:cs="Arial"/>
                <w:sz w:val="20"/>
                <w:szCs w:val="20"/>
                <w:lang w:eastAsia="pt-BR"/>
              </w:rPr>
            </w:pPr>
            <w:r w:rsidRPr="0056745D">
              <w:rPr>
                <w:rFonts w:ascii="Arial" w:eastAsia="Times New Roman" w:hAnsi="Arial" w:cs="Arial"/>
                <w:sz w:val="20"/>
                <w:szCs w:val="20"/>
                <w:lang w:eastAsia="pt-BR"/>
              </w:rPr>
              <w:t>2002NRM-2002RM</w:t>
            </w:r>
          </w:p>
        </w:tc>
        <w:tc>
          <w:tcPr>
            <w:tcW w:w="1213" w:type="dxa"/>
            <w:tcBorders>
              <w:top w:val="nil"/>
              <w:left w:val="nil"/>
              <w:bottom w:val="single" w:sz="8" w:space="0" w:color="auto"/>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10,9%</w:t>
            </w:r>
          </w:p>
        </w:tc>
        <w:tc>
          <w:tcPr>
            <w:tcW w:w="1968" w:type="dxa"/>
            <w:tcBorders>
              <w:top w:val="nil"/>
              <w:left w:val="nil"/>
              <w:bottom w:val="single" w:sz="8" w:space="0" w:color="auto"/>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1,7%</w:t>
            </w:r>
          </w:p>
        </w:tc>
        <w:tc>
          <w:tcPr>
            <w:tcW w:w="1200" w:type="dxa"/>
            <w:tcBorders>
              <w:top w:val="nil"/>
              <w:left w:val="nil"/>
              <w:bottom w:val="single" w:sz="8" w:space="0" w:color="auto"/>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12,6%</w:t>
            </w:r>
          </w:p>
        </w:tc>
      </w:tr>
      <w:tr w:rsidR="0056745D" w:rsidRPr="0056745D" w:rsidTr="0056745D">
        <w:trPr>
          <w:trHeight w:val="255"/>
          <w:jc w:val="center"/>
        </w:trPr>
        <w:tc>
          <w:tcPr>
            <w:tcW w:w="5200" w:type="dxa"/>
            <w:gridSpan w:val="3"/>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rPr>
                <w:rFonts w:ascii="Arial" w:eastAsia="Times New Roman" w:hAnsi="Arial" w:cs="Arial"/>
                <w:sz w:val="20"/>
                <w:szCs w:val="20"/>
                <w:lang w:eastAsia="pt-BR"/>
              </w:rPr>
            </w:pPr>
            <w:r w:rsidRPr="0056745D">
              <w:rPr>
                <w:rFonts w:ascii="Arial" w:eastAsia="Times New Roman" w:hAnsi="Arial" w:cs="Arial"/>
                <w:sz w:val="20"/>
                <w:szCs w:val="20"/>
                <w:lang w:eastAsia="pt-BR"/>
              </w:rPr>
              <w:t>Fonte: Elaboração Própria com dados da PNAD.</w:t>
            </w:r>
          </w:p>
        </w:tc>
        <w:tc>
          <w:tcPr>
            <w:tcW w:w="1200" w:type="dxa"/>
            <w:tcBorders>
              <w:top w:val="nil"/>
              <w:left w:val="nil"/>
              <w:bottom w:val="nil"/>
              <w:right w:val="nil"/>
            </w:tcBorders>
            <w:shd w:val="clear" w:color="000000" w:fill="FFFFFF"/>
            <w:noWrap/>
            <w:vAlign w:val="bottom"/>
            <w:hideMark/>
          </w:tcPr>
          <w:p w:rsidR="0056745D" w:rsidRPr="0056745D" w:rsidRDefault="0056745D" w:rsidP="001F03CD">
            <w:pPr>
              <w:spacing w:after="0" w:line="240" w:lineRule="auto"/>
              <w:jc w:val="center"/>
              <w:rPr>
                <w:rFonts w:ascii="Arial" w:eastAsia="Times New Roman" w:hAnsi="Arial" w:cs="Arial"/>
                <w:sz w:val="20"/>
                <w:szCs w:val="20"/>
                <w:lang w:eastAsia="pt-BR"/>
              </w:rPr>
            </w:pPr>
            <w:r w:rsidRPr="0056745D">
              <w:rPr>
                <w:rFonts w:ascii="Arial" w:eastAsia="Times New Roman" w:hAnsi="Arial" w:cs="Arial"/>
                <w:sz w:val="20"/>
                <w:szCs w:val="20"/>
                <w:lang w:eastAsia="pt-BR"/>
              </w:rPr>
              <w:t> </w:t>
            </w:r>
          </w:p>
        </w:tc>
      </w:tr>
    </w:tbl>
    <w:p w:rsidR="0056745D" w:rsidRDefault="0056745D" w:rsidP="001F03CD">
      <w:pPr>
        <w:spacing w:line="240" w:lineRule="auto"/>
        <w:ind w:firstLine="708"/>
        <w:jc w:val="both"/>
        <w:rPr>
          <w:rFonts w:ascii="Times New Roman" w:hAnsi="Times New Roman"/>
          <w:sz w:val="24"/>
          <w:szCs w:val="24"/>
        </w:rPr>
      </w:pPr>
    </w:p>
    <w:p w:rsidR="00C23DD9" w:rsidRPr="00E52682" w:rsidRDefault="00C23DD9" w:rsidP="001F03CD">
      <w:pPr>
        <w:spacing w:line="240" w:lineRule="auto"/>
        <w:jc w:val="both"/>
        <w:rPr>
          <w:rFonts w:ascii="Times New Roman" w:hAnsi="Times New Roman"/>
          <w:sz w:val="24"/>
          <w:szCs w:val="24"/>
          <w:u w:val="single"/>
        </w:rPr>
      </w:pPr>
      <w:r w:rsidRPr="00E52682">
        <w:rPr>
          <w:rFonts w:ascii="Times New Roman" w:hAnsi="Times New Roman"/>
          <w:sz w:val="24"/>
          <w:szCs w:val="24"/>
          <w:u w:val="single"/>
        </w:rPr>
        <w:t>Experiência</w:t>
      </w:r>
    </w:p>
    <w:p w:rsidR="00E52682" w:rsidRDefault="00E52682" w:rsidP="001F03CD">
      <w:pPr>
        <w:spacing w:line="240" w:lineRule="auto"/>
        <w:ind w:firstLine="708"/>
        <w:jc w:val="both"/>
        <w:rPr>
          <w:rFonts w:ascii="Times New Roman" w:hAnsi="Times New Roman"/>
          <w:sz w:val="24"/>
          <w:szCs w:val="24"/>
        </w:rPr>
      </w:pPr>
      <w:r>
        <w:rPr>
          <w:rFonts w:ascii="Times New Roman" w:hAnsi="Times New Roman"/>
          <w:sz w:val="24"/>
          <w:szCs w:val="24"/>
        </w:rPr>
        <w:t>O corte por experiência mostra que o efeito composição não é importante para explicar a informalidade quando se analisa os anos de experiência no mercado de trabalho. A Tabela 1</w:t>
      </w:r>
      <w:r w:rsidR="00E749F6">
        <w:rPr>
          <w:rFonts w:ascii="Times New Roman" w:hAnsi="Times New Roman"/>
          <w:sz w:val="24"/>
          <w:szCs w:val="24"/>
        </w:rPr>
        <w:t>1</w:t>
      </w:r>
      <w:r>
        <w:rPr>
          <w:rFonts w:ascii="Times New Roman" w:hAnsi="Times New Roman"/>
          <w:sz w:val="24"/>
          <w:szCs w:val="24"/>
        </w:rPr>
        <w:t xml:space="preserve"> mostra que o efeito nível explica </w:t>
      </w:r>
      <w:r w:rsidR="00D652D6">
        <w:rPr>
          <w:rFonts w:ascii="Times New Roman" w:hAnsi="Times New Roman"/>
          <w:sz w:val="24"/>
          <w:szCs w:val="24"/>
        </w:rPr>
        <w:t>quase 100% da queda da informalidade, sendo os mais beneficiados, os de menor experiência (até 14 anos de experiência). A queda da taxa de informalidade desses grupos explica mais de 60% da queda da informalidade total.</w:t>
      </w:r>
    </w:p>
    <w:p w:rsidR="00C23DD9" w:rsidRDefault="00C23DD9" w:rsidP="001F03CD">
      <w:pPr>
        <w:spacing w:line="240" w:lineRule="auto"/>
        <w:jc w:val="both"/>
        <w:rPr>
          <w:rFonts w:ascii="Times New Roman" w:hAnsi="Times New Roman"/>
          <w:sz w:val="24"/>
          <w:szCs w:val="24"/>
        </w:rPr>
      </w:pPr>
    </w:p>
    <w:tbl>
      <w:tblPr>
        <w:tblW w:w="6260" w:type="dxa"/>
        <w:jc w:val="center"/>
        <w:tblInd w:w="55" w:type="dxa"/>
        <w:tblCellMar>
          <w:left w:w="70" w:type="dxa"/>
          <w:right w:w="70" w:type="dxa"/>
        </w:tblCellMar>
        <w:tblLook w:val="04A0" w:firstRow="1" w:lastRow="0" w:firstColumn="1" w:lastColumn="0" w:noHBand="0" w:noVBand="1"/>
      </w:tblPr>
      <w:tblGrid>
        <w:gridCol w:w="1975"/>
        <w:gridCol w:w="1186"/>
        <w:gridCol w:w="1925"/>
        <w:gridCol w:w="1174"/>
      </w:tblGrid>
      <w:tr w:rsidR="00D652D6" w:rsidRPr="00D652D6" w:rsidTr="00D652D6">
        <w:trPr>
          <w:trHeight w:val="270"/>
          <w:jc w:val="center"/>
        </w:trPr>
        <w:tc>
          <w:tcPr>
            <w:tcW w:w="6260" w:type="dxa"/>
            <w:gridSpan w:val="4"/>
            <w:tcBorders>
              <w:top w:val="single" w:sz="8" w:space="0" w:color="auto"/>
              <w:left w:val="nil"/>
              <w:bottom w:val="single" w:sz="8" w:space="0" w:color="auto"/>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 xml:space="preserve">Tabela </w:t>
            </w:r>
            <w:r>
              <w:rPr>
                <w:rFonts w:ascii="Arial" w:eastAsia="Times New Roman" w:hAnsi="Arial" w:cs="Arial"/>
                <w:sz w:val="20"/>
                <w:szCs w:val="20"/>
                <w:lang w:eastAsia="pt-BR"/>
              </w:rPr>
              <w:t>11</w:t>
            </w:r>
            <w:r w:rsidRPr="00D652D6">
              <w:rPr>
                <w:rFonts w:ascii="Arial" w:eastAsia="Times New Roman" w:hAnsi="Arial" w:cs="Arial"/>
                <w:sz w:val="20"/>
                <w:szCs w:val="20"/>
                <w:lang w:eastAsia="pt-BR"/>
              </w:rPr>
              <w:t>: Decomposição da variação da taxa de informalidade</w:t>
            </w:r>
            <w:r>
              <w:rPr>
                <w:rFonts w:ascii="Arial" w:eastAsia="Times New Roman" w:hAnsi="Arial" w:cs="Arial"/>
                <w:sz w:val="20"/>
                <w:szCs w:val="20"/>
                <w:lang w:eastAsia="pt-BR"/>
              </w:rPr>
              <w:t xml:space="preserve"> (em p.p.)</w:t>
            </w:r>
          </w:p>
        </w:tc>
      </w:tr>
      <w:tr w:rsidR="00D652D6" w:rsidRPr="00D652D6" w:rsidTr="00D652D6">
        <w:trPr>
          <w:trHeight w:val="270"/>
          <w:jc w:val="center"/>
        </w:trPr>
        <w:tc>
          <w:tcPr>
            <w:tcW w:w="6260" w:type="dxa"/>
            <w:gridSpan w:val="4"/>
            <w:tcBorders>
              <w:top w:val="single" w:sz="8" w:space="0" w:color="auto"/>
              <w:left w:val="nil"/>
              <w:bottom w:val="single" w:sz="8" w:space="0" w:color="auto"/>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Experiência</w:t>
            </w:r>
          </w:p>
        </w:tc>
      </w:tr>
      <w:tr w:rsidR="00D652D6" w:rsidRPr="00D652D6" w:rsidTr="00D652D6">
        <w:trPr>
          <w:trHeight w:val="270"/>
          <w:jc w:val="center"/>
        </w:trPr>
        <w:tc>
          <w:tcPr>
            <w:tcW w:w="1975" w:type="dxa"/>
            <w:tcBorders>
              <w:top w:val="nil"/>
              <w:left w:val="nil"/>
              <w:bottom w:val="single" w:sz="8" w:space="0" w:color="auto"/>
              <w:right w:val="nil"/>
            </w:tcBorders>
            <w:shd w:val="clear" w:color="000000" w:fill="FFFFFF"/>
            <w:noWrap/>
            <w:vAlign w:val="bottom"/>
            <w:hideMark/>
          </w:tcPr>
          <w:p w:rsidR="00D652D6" w:rsidRPr="00D652D6" w:rsidRDefault="00D652D6" w:rsidP="001F03CD">
            <w:pPr>
              <w:spacing w:after="0" w:line="240" w:lineRule="auto"/>
              <w:rPr>
                <w:rFonts w:ascii="Arial" w:eastAsia="Times New Roman" w:hAnsi="Arial" w:cs="Arial"/>
                <w:sz w:val="20"/>
                <w:szCs w:val="20"/>
                <w:lang w:eastAsia="pt-BR"/>
              </w:rPr>
            </w:pPr>
            <w:r w:rsidRPr="00D652D6">
              <w:rPr>
                <w:rFonts w:ascii="Arial" w:eastAsia="Times New Roman" w:hAnsi="Arial" w:cs="Arial"/>
                <w:sz w:val="20"/>
                <w:szCs w:val="20"/>
                <w:lang w:eastAsia="pt-BR"/>
              </w:rPr>
              <w:t>Período - Amostra</w:t>
            </w:r>
          </w:p>
        </w:tc>
        <w:tc>
          <w:tcPr>
            <w:tcW w:w="1186" w:type="dxa"/>
            <w:tcBorders>
              <w:top w:val="nil"/>
              <w:left w:val="nil"/>
              <w:bottom w:val="single" w:sz="8" w:space="0" w:color="auto"/>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Efeito Nível</w:t>
            </w:r>
          </w:p>
        </w:tc>
        <w:tc>
          <w:tcPr>
            <w:tcW w:w="1925" w:type="dxa"/>
            <w:tcBorders>
              <w:top w:val="nil"/>
              <w:left w:val="nil"/>
              <w:bottom w:val="single" w:sz="8" w:space="0" w:color="auto"/>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Efeito Composição</w:t>
            </w:r>
          </w:p>
        </w:tc>
        <w:tc>
          <w:tcPr>
            <w:tcW w:w="1174" w:type="dxa"/>
            <w:tcBorders>
              <w:top w:val="nil"/>
              <w:left w:val="nil"/>
              <w:bottom w:val="single" w:sz="8" w:space="0" w:color="auto"/>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Efeito Total</w:t>
            </w:r>
          </w:p>
        </w:tc>
      </w:tr>
      <w:tr w:rsidR="00D652D6" w:rsidRPr="00D652D6" w:rsidTr="00D652D6">
        <w:trPr>
          <w:trHeight w:val="255"/>
          <w:jc w:val="center"/>
        </w:trPr>
        <w:tc>
          <w:tcPr>
            <w:tcW w:w="1975"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rPr>
                <w:rFonts w:ascii="Arial" w:eastAsia="Times New Roman" w:hAnsi="Arial" w:cs="Arial"/>
                <w:sz w:val="20"/>
                <w:szCs w:val="20"/>
                <w:lang w:eastAsia="pt-BR"/>
              </w:rPr>
            </w:pPr>
            <w:r w:rsidRPr="00D652D6">
              <w:rPr>
                <w:rFonts w:ascii="Arial" w:eastAsia="Times New Roman" w:hAnsi="Arial" w:cs="Arial"/>
                <w:sz w:val="20"/>
                <w:szCs w:val="20"/>
                <w:lang w:eastAsia="pt-BR"/>
              </w:rPr>
              <w:t>2011-2002</w:t>
            </w:r>
          </w:p>
        </w:tc>
        <w:tc>
          <w:tcPr>
            <w:tcW w:w="1186"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-11,0%</w:t>
            </w:r>
          </w:p>
        </w:tc>
        <w:tc>
          <w:tcPr>
            <w:tcW w:w="1925"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0,1%</w:t>
            </w:r>
          </w:p>
        </w:tc>
        <w:tc>
          <w:tcPr>
            <w:tcW w:w="1174"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-10,9%</w:t>
            </w:r>
          </w:p>
        </w:tc>
      </w:tr>
      <w:tr w:rsidR="00D652D6" w:rsidRPr="00D652D6" w:rsidTr="00D652D6">
        <w:trPr>
          <w:trHeight w:val="270"/>
          <w:jc w:val="center"/>
        </w:trPr>
        <w:tc>
          <w:tcPr>
            <w:tcW w:w="1975"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rPr>
                <w:rFonts w:ascii="Arial" w:eastAsia="Times New Roman" w:hAnsi="Arial" w:cs="Arial"/>
                <w:sz w:val="20"/>
                <w:szCs w:val="20"/>
                <w:lang w:eastAsia="pt-BR"/>
              </w:rPr>
            </w:pPr>
            <w:r w:rsidRPr="00D652D6">
              <w:rPr>
                <w:rFonts w:ascii="Arial" w:eastAsia="Times New Roman" w:hAnsi="Arial" w:cs="Arial"/>
                <w:sz w:val="20"/>
                <w:szCs w:val="20"/>
                <w:lang w:eastAsia="pt-BR"/>
              </w:rPr>
              <w:t>2009-2002</w:t>
            </w:r>
          </w:p>
        </w:tc>
        <w:tc>
          <w:tcPr>
            <w:tcW w:w="1186"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-6,4%</w:t>
            </w:r>
          </w:p>
        </w:tc>
        <w:tc>
          <w:tcPr>
            <w:tcW w:w="1925"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0,2%</w:t>
            </w:r>
          </w:p>
        </w:tc>
        <w:tc>
          <w:tcPr>
            <w:tcW w:w="1174"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-6,2%</w:t>
            </w:r>
          </w:p>
        </w:tc>
      </w:tr>
      <w:tr w:rsidR="00D652D6" w:rsidRPr="00D652D6" w:rsidTr="00D652D6">
        <w:trPr>
          <w:trHeight w:val="255"/>
          <w:jc w:val="center"/>
        </w:trPr>
        <w:tc>
          <w:tcPr>
            <w:tcW w:w="1975"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rPr>
                <w:rFonts w:ascii="Arial" w:eastAsia="Times New Roman" w:hAnsi="Arial" w:cs="Arial"/>
                <w:sz w:val="20"/>
                <w:szCs w:val="20"/>
                <w:lang w:eastAsia="pt-BR"/>
              </w:rPr>
            </w:pPr>
            <w:r w:rsidRPr="00D652D6">
              <w:rPr>
                <w:rFonts w:ascii="Arial" w:eastAsia="Times New Roman" w:hAnsi="Arial" w:cs="Arial"/>
                <w:sz w:val="20"/>
                <w:szCs w:val="20"/>
                <w:lang w:eastAsia="pt-BR"/>
              </w:rPr>
              <w:t>2011-2009</w:t>
            </w:r>
          </w:p>
        </w:tc>
        <w:tc>
          <w:tcPr>
            <w:tcW w:w="1186"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-4,6%</w:t>
            </w:r>
          </w:p>
        </w:tc>
        <w:tc>
          <w:tcPr>
            <w:tcW w:w="1925"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0,0%</w:t>
            </w:r>
          </w:p>
        </w:tc>
        <w:tc>
          <w:tcPr>
            <w:tcW w:w="1174"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-4,7%</w:t>
            </w:r>
          </w:p>
        </w:tc>
      </w:tr>
      <w:tr w:rsidR="00D652D6" w:rsidRPr="00D652D6" w:rsidTr="00D652D6">
        <w:trPr>
          <w:trHeight w:val="255"/>
          <w:jc w:val="center"/>
        </w:trPr>
        <w:tc>
          <w:tcPr>
            <w:tcW w:w="1975"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rPr>
                <w:rFonts w:ascii="Arial" w:eastAsia="Times New Roman" w:hAnsi="Arial" w:cs="Arial"/>
                <w:sz w:val="20"/>
                <w:szCs w:val="20"/>
                <w:lang w:eastAsia="pt-BR"/>
              </w:rPr>
            </w:pPr>
            <w:r w:rsidRPr="00D652D6">
              <w:rPr>
                <w:rFonts w:ascii="Arial" w:eastAsia="Times New Roman" w:hAnsi="Arial" w:cs="Arial"/>
                <w:sz w:val="20"/>
                <w:szCs w:val="20"/>
                <w:lang w:eastAsia="pt-BR"/>
              </w:rPr>
              <w:t>2011-2002RM</w:t>
            </w:r>
          </w:p>
        </w:tc>
        <w:tc>
          <w:tcPr>
            <w:tcW w:w="1186"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-11,0%</w:t>
            </w:r>
          </w:p>
        </w:tc>
        <w:tc>
          <w:tcPr>
            <w:tcW w:w="1925"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0,1%</w:t>
            </w:r>
          </w:p>
        </w:tc>
        <w:tc>
          <w:tcPr>
            <w:tcW w:w="1174"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-10,9%</w:t>
            </w:r>
          </w:p>
        </w:tc>
      </w:tr>
      <w:tr w:rsidR="00D652D6" w:rsidRPr="00D652D6" w:rsidTr="00D652D6">
        <w:trPr>
          <w:trHeight w:val="255"/>
          <w:jc w:val="center"/>
        </w:trPr>
        <w:tc>
          <w:tcPr>
            <w:tcW w:w="1975"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rPr>
                <w:rFonts w:ascii="Arial" w:eastAsia="Times New Roman" w:hAnsi="Arial" w:cs="Arial"/>
                <w:sz w:val="20"/>
                <w:szCs w:val="20"/>
                <w:lang w:eastAsia="pt-BR"/>
              </w:rPr>
            </w:pPr>
            <w:r w:rsidRPr="00D652D6">
              <w:rPr>
                <w:rFonts w:ascii="Arial" w:eastAsia="Times New Roman" w:hAnsi="Arial" w:cs="Arial"/>
                <w:sz w:val="20"/>
                <w:szCs w:val="20"/>
                <w:lang w:eastAsia="pt-BR"/>
              </w:rPr>
              <w:t>2011-2002NRM</w:t>
            </w:r>
          </w:p>
        </w:tc>
        <w:tc>
          <w:tcPr>
            <w:tcW w:w="1186"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-11,0%</w:t>
            </w:r>
          </w:p>
        </w:tc>
        <w:tc>
          <w:tcPr>
            <w:tcW w:w="1925"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0,1%</w:t>
            </w:r>
          </w:p>
        </w:tc>
        <w:tc>
          <w:tcPr>
            <w:tcW w:w="1174"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-10,9%</w:t>
            </w:r>
          </w:p>
        </w:tc>
      </w:tr>
      <w:tr w:rsidR="00D652D6" w:rsidRPr="00D652D6" w:rsidTr="00D652D6">
        <w:trPr>
          <w:trHeight w:val="255"/>
          <w:jc w:val="center"/>
        </w:trPr>
        <w:tc>
          <w:tcPr>
            <w:tcW w:w="1975"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rPr>
                <w:rFonts w:ascii="Arial" w:eastAsia="Times New Roman" w:hAnsi="Arial" w:cs="Arial"/>
                <w:sz w:val="20"/>
                <w:szCs w:val="20"/>
                <w:lang w:eastAsia="pt-BR"/>
              </w:rPr>
            </w:pPr>
            <w:r w:rsidRPr="00D652D6">
              <w:rPr>
                <w:rFonts w:ascii="Arial" w:eastAsia="Times New Roman" w:hAnsi="Arial" w:cs="Arial"/>
                <w:sz w:val="20"/>
                <w:szCs w:val="20"/>
                <w:lang w:eastAsia="pt-BR"/>
              </w:rPr>
              <w:t>2011NRM-2011RM</w:t>
            </w:r>
          </w:p>
        </w:tc>
        <w:tc>
          <w:tcPr>
            <w:tcW w:w="1186"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12,4%</w:t>
            </w:r>
          </w:p>
        </w:tc>
        <w:tc>
          <w:tcPr>
            <w:tcW w:w="1925"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0,2%</w:t>
            </w:r>
          </w:p>
        </w:tc>
        <w:tc>
          <w:tcPr>
            <w:tcW w:w="1174"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12,6%</w:t>
            </w:r>
          </w:p>
        </w:tc>
      </w:tr>
      <w:tr w:rsidR="00D652D6" w:rsidRPr="00D652D6" w:rsidTr="00D652D6">
        <w:trPr>
          <w:trHeight w:val="270"/>
          <w:jc w:val="center"/>
        </w:trPr>
        <w:tc>
          <w:tcPr>
            <w:tcW w:w="1975" w:type="dxa"/>
            <w:tcBorders>
              <w:top w:val="nil"/>
              <w:left w:val="nil"/>
              <w:bottom w:val="single" w:sz="8" w:space="0" w:color="auto"/>
              <w:right w:val="nil"/>
            </w:tcBorders>
            <w:shd w:val="clear" w:color="000000" w:fill="FFFFFF"/>
            <w:noWrap/>
            <w:vAlign w:val="bottom"/>
            <w:hideMark/>
          </w:tcPr>
          <w:p w:rsidR="00D652D6" w:rsidRPr="00D652D6" w:rsidRDefault="00D652D6" w:rsidP="001F03CD">
            <w:pPr>
              <w:spacing w:after="0" w:line="240" w:lineRule="auto"/>
              <w:rPr>
                <w:rFonts w:ascii="Arial" w:eastAsia="Times New Roman" w:hAnsi="Arial" w:cs="Arial"/>
                <w:sz w:val="20"/>
                <w:szCs w:val="20"/>
                <w:lang w:eastAsia="pt-BR"/>
              </w:rPr>
            </w:pPr>
            <w:r w:rsidRPr="00D652D6">
              <w:rPr>
                <w:rFonts w:ascii="Arial" w:eastAsia="Times New Roman" w:hAnsi="Arial" w:cs="Arial"/>
                <w:sz w:val="20"/>
                <w:szCs w:val="20"/>
                <w:lang w:eastAsia="pt-BR"/>
              </w:rPr>
              <w:t>2002NRM-2002RM</w:t>
            </w:r>
          </w:p>
        </w:tc>
        <w:tc>
          <w:tcPr>
            <w:tcW w:w="1186" w:type="dxa"/>
            <w:tcBorders>
              <w:top w:val="nil"/>
              <w:left w:val="nil"/>
              <w:bottom w:val="single" w:sz="8" w:space="0" w:color="auto"/>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12,4%</w:t>
            </w:r>
          </w:p>
        </w:tc>
        <w:tc>
          <w:tcPr>
            <w:tcW w:w="1925" w:type="dxa"/>
            <w:tcBorders>
              <w:top w:val="nil"/>
              <w:left w:val="nil"/>
              <w:bottom w:val="single" w:sz="8" w:space="0" w:color="auto"/>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0,2%</w:t>
            </w:r>
          </w:p>
        </w:tc>
        <w:tc>
          <w:tcPr>
            <w:tcW w:w="1174" w:type="dxa"/>
            <w:tcBorders>
              <w:top w:val="nil"/>
              <w:left w:val="nil"/>
              <w:bottom w:val="single" w:sz="8" w:space="0" w:color="auto"/>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12,6%</w:t>
            </w:r>
          </w:p>
        </w:tc>
      </w:tr>
      <w:tr w:rsidR="00D652D6" w:rsidRPr="00D652D6" w:rsidTr="00D652D6">
        <w:trPr>
          <w:trHeight w:val="255"/>
          <w:jc w:val="center"/>
        </w:trPr>
        <w:tc>
          <w:tcPr>
            <w:tcW w:w="5086" w:type="dxa"/>
            <w:gridSpan w:val="3"/>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rPr>
                <w:rFonts w:ascii="Arial" w:eastAsia="Times New Roman" w:hAnsi="Arial" w:cs="Arial"/>
                <w:sz w:val="20"/>
                <w:szCs w:val="20"/>
                <w:lang w:eastAsia="pt-BR"/>
              </w:rPr>
            </w:pPr>
            <w:r w:rsidRPr="00D652D6">
              <w:rPr>
                <w:rFonts w:ascii="Arial" w:eastAsia="Times New Roman" w:hAnsi="Arial" w:cs="Arial"/>
                <w:sz w:val="20"/>
                <w:szCs w:val="20"/>
                <w:lang w:eastAsia="pt-BR"/>
              </w:rPr>
              <w:t>Fonte: Elaboração Própria com dados da PNAD.</w:t>
            </w:r>
          </w:p>
        </w:tc>
        <w:tc>
          <w:tcPr>
            <w:tcW w:w="1174" w:type="dxa"/>
            <w:tcBorders>
              <w:top w:val="nil"/>
              <w:left w:val="nil"/>
              <w:bottom w:val="nil"/>
              <w:right w:val="nil"/>
            </w:tcBorders>
            <w:shd w:val="clear" w:color="000000" w:fill="FFFFFF"/>
            <w:noWrap/>
            <w:vAlign w:val="bottom"/>
            <w:hideMark/>
          </w:tcPr>
          <w:p w:rsidR="00D652D6" w:rsidRPr="00D652D6" w:rsidRDefault="00D652D6" w:rsidP="001F03CD">
            <w:pPr>
              <w:spacing w:after="0" w:line="240" w:lineRule="auto"/>
              <w:jc w:val="center"/>
              <w:rPr>
                <w:rFonts w:ascii="Arial" w:eastAsia="Times New Roman" w:hAnsi="Arial" w:cs="Arial"/>
                <w:sz w:val="20"/>
                <w:szCs w:val="20"/>
                <w:lang w:eastAsia="pt-BR"/>
              </w:rPr>
            </w:pPr>
            <w:r w:rsidRPr="00D652D6">
              <w:rPr>
                <w:rFonts w:ascii="Arial" w:eastAsia="Times New Roman" w:hAnsi="Arial" w:cs="Arial"/>
                <w:sz w:val="20"/>
                <w:szCs w:val="20"/>
                <w:lang w:eastAsia="pt-BR"/>
              </w:rPr>
              <w:t> </w:t>
            </w:r>
          </w:p>
        </w:tc>
      </w:tr>
    </w:tbl>
    <w:p w:rsidR="00D652D6" w:rsidRDefault="00D652D6" w:rsidP="001F03CD">
      <w:pPr>
        <w:spacing w:line="240" w:lineRule="auto"/>
        <w:jc w:val="both"/>
        <w:rPr>
          <w:rFonts w:ascii="Times New Roman" w:hAnsi="Times New Roman"/>
          <w:sz w:val="24"/>
          <w:szCs w:val="24"/>
        </w:rPr>
      </w:pPr>
    </w:p>
    <w:p w:rsidR="00D652D6" w:rsidRDefault="00D652D6" w:rsidP="001F03CD">
      <w:pPr>
        <w:spacing w:line="240" w:lineRule="auto"/>
        <w:jc w:val="both"/>
        <w:rPr>
          <w:rFonts w:ascii="Times New Roman" w:hAnsi="Times New Roman"/>
          <w:sz w:val="24"/>
          <w:szCs w:val="24"/>
        </w:rPr>
      </w:pPr>
    </w:p>
    <w:p w:rsidR="00C23DD9" w:rsidRPr="0065168B" w:rsidRDefault="00C23DD9" w:rsidP="001F03CD">
      <w:pPr>
        <w:spacing w:line="240" w:lineRule="auto"/>
        <w:jc w:val="both"/>
        <w:rPr>
          <w:rFonts w:ascii="Times New Roman" w:hAnsi="Times New Roman"/>
          <w:sz w:val="24"/>
          <w:szCs w:val="24"/>
          <w:u w:val="single"/>
        </w:rPr>
      </w:pPr>
      <w:r w:rsidRPr="0065168B">
        <w:rPr>
          <w:rFonts w:ascii="Times New Roman" w:hAnsi="Times New Roman"/>
          <w:sz w:val="24"/>
          <w:szCs w:val="24"/>
          <w:u w:val="single"/>
        </w:rPr>
        <w:t>Ciclos Escolares</w:t>
      </w:r>
    </w:p>
    <w:p w:rsidR="00C23DD9" w:rsidRDefault="0065168B" w:rsidP="001F03CD">
      <w:pPr>
        <w:spacing w:line="240" w:lineRule="auto"/>
        <w:ind w:firstLine="708"/>
        <w:jc w:val="both"/>
        <w:rPr>
          <w:rFonts w:ascii="Times New Roman" w:hAnsi="Times New Roman"/>
          <w:sz w:val="24"/>
          <w:szCs w:val="24"/>
        </w:rPr>
      </w:pPr>
      <w:r>
        <w:rPr>
          <w:rFonts w:ascii="Times New Roman" w:hAnsi="Times New Roman"/>
          <w:sz w:val="24"/>
          <w:szCs w:val="24"/>
        </w:rPr>
        <w:t>A análise por ciclos escolares repete os resultados apresentados por escolaridade. Ou seja, além da queda no nível da taxa de informalidade que representa uma maior contratação com carteira de trabalho para todos os grupos, o efeito composição é fundamental para entender a dinâmica de redução da taxa de informalidade no Brasil.</w:t>
      </w:r>
    </w:p>
    <w:p w:rsidR="0065168B" w:rsidRDefault="0065168B" w:rsidP="001F03CD">
      <w:pPr>
        <w:spacing w:line="240" w:lineRule="auto"/>
        <w:ind w:firstLine="708"/>
        <w:jc w:val="both"/>
        <w:rPr>
          <w:rFonts w:ascii="Times New Roman" w:hAnsi="Times New Roman"/>
          <w:sz w:val="24"/>
          <w:szCs w:val="24"/>
        </w:rPr>
      </w:pPr>
      <w:r>
        <w:rPr>
          <w:rFonts w:ascii="Times New Roman" w:hAnsi="Times New Roman"/>
          <w:sz w:val="24"/>
          <w:szCs w:val="24"/>
        </w:rPr>
        <w:t>Este resultado é de suma importância, pois mostra que parte significativa da redução da taxa de informalidade no país possui um aspecto permanente. Isto ocorre, pois trabalhadores com mais anos de educação formal observam uma menor taxa de informalidade no mercado de trabalho nacional.</w:t>
      </w:r>
    </w:p>
    <w:p w:rsidR="00202A66" w:rsidRDefault="00202A66" w:rsidP="001F03CD">
      <w:pPr>
        <w:spacing w:line="240" w:lineRule="auto"/>
        <w:jc w:val="both"/>
        <w:rPr>
          <w:rFonts w:ascii="Times New Roman" w:hAnsi="Times New Roman"/>
          <w:sz w:val="24"/>
          <w:szCs w:val="24"/>
          <w:u w:val="single"/>
        </w:rPr>
      </w:pPr>
    </w:p>
    <w:tbl>
      <w:tblPr>
        <w:tblW w:w="6380" w:type="dxa"/>
        <w:jc w:val="center"/>
        <w:tblInd w:w="55" w:type="dxa"/>
        <w:tblCellMar>
          <w:left w:w="70" w:type="dxa"/>
          <w:right w:w="70" w:type="dxa"/>
        </w:tblCellMar>
        <w:tblLook w:val="04A0" w:firstRow="1" w:lastRow="0" w:firstColumn="1" w:lastColumn="0" w:noHBand="0" w:noVBand="1"/>
      </w:tblPr>
      <w:tblGrid>
        <w:gridCol w:w="2013"/>
        <w:gridCol w:w="1209"/>
        <w:gridCol w:w="1962"/>
        <w:gridCol w:w="1196"/>
      </w:tblGrid>
      <w:tr w:rsidR="00436B3F" w:rsidRPr="00436B3F" w:rsidTr="00436B3F">
        <w:trPr>
          <w:trHeight w:val="270"/>
          <w:jc w:val="center"/>
        </w:trPr>
        <w:tc>
          <w:tcPr>
            <w:tcW w:w="6380" w:type="dxa"/>
            <w:gridSpan w:val="4"/>
            <w:tcBorders>
              <w:top w:val="single" w:sz="8" w:space="0" w:color="auto"/>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Tabela 12: Decomposição da variação da taxa de informalidade (em p.p.)</w:t>
            </w:r>
          </w:p>
        </w:tc>
      </w:tr>
      <w:tr w:rsidR="00436B3F" w:rsidRPr="00436B3F" w:rsidTr="00436B3F">
        <w:trPr>
          <w:trHeight w:val="270"/>
          <w:jc w:val="center"/>
        </w:trPr>
        <w:tc>
          <w:tcPr>
            <w:tcW w:w="6380" w:type="dxa"/>
            <w:gridSpan w:val="4"/>
            <w:tcBorders>
              <w:top w:val="single" w:sz="8" w:space="0" w:color="auto"/>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Ciclos</w:t>
            </w:r>
          </w:p>
        </w:tc>
      </w:tr>
      <w:tr w:rsidR="00436B3F" w:rsidRPr="00436B3F" w:rsidTr="00436B3F">
        <w:trPr>
          <w:trHeight w:val="270"/>
          <w:jc w:val="center"/>
        </w:trPr>
        <w:tc>
          <w:tcPr>
            <w:tcW w:w="2013"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Período - Amostra</w:t>
            </w:r>
          </w:p>
        </w:tc>
        <w:tc>
          <w:tcPr>
            <w:tcW w:w="1209"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Efeito Nível</w:t>
            </w:r>
          </w:p>
        </w:tc>
        <w:tc>
          <w:tcPr>
            <w:tcW w:w="1962"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Efeito Composição</w:t>
            </w:r>
          </w:p>
        </w:tc>
        <w:tc>
          <w:tcPr>
            <w:tcW w:w="1196"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Efeito Total</w:t>
            </w:r>
          </w:p>
        </w:tc>
      </w:tr>
      <w:tr w:rsidR="00436B3F" w:rsidRPr="00436B3F" w:rsidTr="00436B3F">
        <w:trPr>
          <w:trHeight w:val="255"/>
          <w:jc w:val="center"/>
        </w:trPr>
        <w:tc>
          <w:tcPr>
            <w:tcW w:w="2013"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2011-2002</w:t>
            </w:r>
          </w:p>
        </w:tc>
        <w:tc>
          <w:tcPr>
            <w:tcW w:w="1209"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-6,5%</w:t>
            </w:r>
          </w:p>
        </w:tc>
        <w:tc>
          <w:tcPr>
            <w:tcW w:w="1962"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-4,4%</w:t>
            </w:r>
          </w:p>
        </w:tc>
        <w:tc>
          <w:tcPr>
            <w:tcW w:w="1196"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-10,9%</w:t>
            </w:r>
          </w:p>
        </w:tc>
      </w:tr>
      <w:tr w:rsidR="00436B3F" w:rsidRPr="00436B3F" w:rsidTr="00436B3F">
        <w:trPr>
          <w:trHeight w:val="270"/>
          <w:jc w:val="center"/>
        </w:trPr>
        <w:tc>
          <w:tcPr>
            <w:tcW w:w="2013"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2009-2002</w:t>
            </w:r>
          </w:p>
        </w:tc>
        <w:tc>
          <w:tcPr>
            <w:tcW w:w="1209"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-2,5%</w:t>
            </w:r>
          </w:p>
        </w:tc>
        <w:tc>
          <w:tcPr>
            <w:tcW w:w="1962"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-3,7%</w:t>
            </w:r>
          </w:p>
        </w:tc>
        <w:tc>
          <w:tcPr>
            <w:tcW w:w="1196"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-6,2%</w:t>
            </w:r>
          </w:p>
        </w:tc>
      </w:tr>
      <w:tr w:rsidR="00436B3F" w:rsidRPr="00436B3F" w:rsidTr="00436B3F">
        <w:trPr>
          <w:trHeight w:val="255"/>
          <w:jc w:val="center"/>
        </w:trPr>
        <w:tc>
          <w:tcPr>
            <w:tcW w:w="2013"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2011-2009</w:t>
            </w:r>
          </w:p>
        </w:tc>
        <w:tc>
          <w:tcPr>
            <w:tcW w:w="1209"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-3,8%</w:t>
            </w:r>
          </w:p>
        </w:tc>
        <w:tc>
          <w:tcPr>
            <w:tcW w:w="1962"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-0,9%</w:t>
            </w:r>
          </w:p>
        </w:tc>
        <w:tc>
          <w:tcPr>
            <w:tcW w:w="1196"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-4,7%</w:t>
            </w:r>
          </w:p>
        </w:tc>
      </w:tr>
      <w:tr w:rsidR="00436B3F" w:rsidRPr="00436B3F" w:rsidTr="00436B3F">
        <w:trPr>
          <w:trHeight w:val="255"/>
          <w:jc w:val="center"/>
        </w:trPr>
        <w:tc>
          <w:tcPr>
            <w:tcW w:w="2013"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2011-2002RM</w:t>
            </w:r>
          </w:p>
        </w:tc>
        <w:tc>
          <w:tcPr>
            <w:tcW w:w="1209"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-7,8%</w:t>
            </w:r>
          </w:p>
        </w:tc>
        <w:tc>
          <w:tcPr>
            <w:tcW w:w="1962"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-3,1%</w:t>
            </w:r>
          </w:p>
        </w:tc>
        <w:tc>
          <w:tcPr>
            <w:tcW w:w="1196"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-10,9%</w:t>
            </w:r>
          </w:p>
        </w:tc>
      </w:tr>
      <w:tr w:rsidR="00436B3F" w:rsidRPr="00436B3F" w:rsidTr="00436B3F">
        <w:trPr>
          <w:trHeight w:val="255"/>
          <w:jc w:val="center"/>
        </w:trPr>
        <w:tc>
          <w:tcPr>
            <w:tcW w:w="2013"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2011-2002NRM</w:t>
            </w:r>
          </w:p>
        </w:tc>
        <w:tc>
          <w:tcPr>
            <w:tcW w:w="1209"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-6,0%</w:t>
            </w:r>
          </w:p>
        </w:tc>
        <w:tc>
          <w:tcPr>
            <w:tcW w:w="1962"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-4,9%</w:t>
            </w:r>
          </w:p>
        </w:tc>
        <w:tc>
          <w:tcPr>
            <w:tcW w:w="1196"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-10,9%</w:t>
            </w:r>
          </w:p>
        </w:tc>
      </w:tr>
      <w:tr w:rsidR="00436B3F" w:rsidRPr="00436B3F" w:rsidTr="00436B3F">
        <w:trPr>
          <w:trHeight w:val="255"/>
          <w:jc w:val="center"/>
        </w:trPr>
        <w:tc>
          <w:tcPr>
            <w:tcW w:w="2013"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2011NRM-2011RM</w:t>
            </w:r>
          </w:p>
        </w:tc>
        <w:tc>
          <w:tcPr>
            <w:tcW w:w="1209"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9,3%</w:t>
            </w:r>
          </w:p>
        </w:tc>
        <w:tc>
          <w:tcPr>
            <w:tcW w:w="1962"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3,2%</w:t>
            </w:r>
          </w:p>
        </w:tc>
        <w:tc>
          <w:tcPr>
            <w:tcW w:w="1196"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12,6%</w:t>
            </w:r>
          </w:p>
        </w:tc>
      </w:tr>
      <w:tr w:rsidR="00436B3F" w:rsidRPr="00436B3F" w:rsidTr="00436B3F">
        <w:trPr>
          <w:trHeight w:val="270"/>
          <w:jc w:val="center"/>
        </w:trPr>
        <w:tc>
          <w:tcPr>
            <w:tcW w:w="2013"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2002NRM-2002RM</w:t>
            </w:r>
          </w:p>
        </w:tc>
        <w:tc>
          <w:tcPr>
            <w:tcW w:w="1209"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8,3%</w:t>
            </w:r>
          </w:p>
        </w:tc>
        <w:tc>
          <w:tcPr>
            <w:tcW w:w="1962"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4,3%</w:t>
            </w:r>
          </w:p>
        </w:tc>
        <w:tc>
          <w:tcPr>
            <w:tcW w:w="1196"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12,6%</w:t>
            </w:r>
          </w:p>
        </w:tc>
      </w:tr>
      <w:tr w:rsidR="00436B3F" w:rsidRPr="00436B3F" w:rsidTr="00436B3F">
        <w:trPr>
          <w:trHeight w:val="255"/>
          <w:jc w:val="center"/>
        </w:trPr>
        <w:tc>
          <w:tcPr>
            <w:tcW w:w="5184" w:type="dxa"/>
            <w:gridSpan w:val="3"/>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Fonte: Elaboração Própria com dados da PNAD.</w:t>
            </w:r>
          </w:p>
        </w:tc>
        <w:tc>
          <w:tcPr>
            <w:tcW w:w="1196"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 </w:t>
            </w:r>
          </w:p>
        </w:tc>
      </w:tr>
    </w:tbl>
    <w:p w:rsidR="00436B3F" w:rsidRDefault="00436B3F" w:rsidP="001F03CD">
      <w:pPr>
        <w:spacing w:line="240" w:lineRule="auto"/>
        <w:jc w:val="both"/>
        <w:rPr>
          <w:rFonts w:ascii="Times New Roman" w:hAnsi="Times New Roman"/>
          <w:sz w:val="24"/>
          <w:szCs w:val="24"/>
          <w:u w:val="single"/>
        </w:rPr>
      </w:pPr>
    </w:p>
    <w:p w:rsidR="00436B3F" w:rsidRDefault="00436B3F" w:rsidP="001F03CD">
      <w:pPr>
        <w:spacing w:line="240" w:lineRule="auto"/>
        <w:jc w:val="both"/>
        <w:rPr>
          <w:rFonts w:ascii="Times New Roman" w:hAnsi="Times New Roman"/>
          <w:sz w:val="24"/>
          <w:szCs w:val="24"/>
          <w:u w:val="single"/>
        </w:rPr>
      </w:pPr>
    </w:p>
    <w:p w:rsidR="00C23DD9" w:rsidRPr="0065168B" w:rsidRDefault="00C23DD9" w:rsidP="001F03CD">
      <w:pPr>
        <w:spacing w:line="240" w:lineRule="auto"/>
        <w:jc w:val="both"/>
        <w:rPr>
          <w:rFonts w:ascii="Times New Roman" w:hAnsi="Times New Roman"/>
          <w:sz w:val="24"/>
          <w:szCs w:val="24"/>
          <w:u w:val="single"/>
        </w:rPr>
      </w:pPr>
      <w:r w:rsidRPr="0065168B">
        <w:rPr>
          <w:rFonts w:ascii="Times New Roman" w:hAnsi="Times New Roman"/>
          <w:sz w:val="24"/>
          <w:szCs w:val="24"/>
          <w:u w:val="single"/>
        </w:rPr>
        <w:t>Capital Humano</w:t>
      </w:r>
    </w:p>
    <w:p w:rsidR="00C23DD9" w:rsidRDefault="0065168B" w:rsidP="001F03CD">
      <w:pPr>
        <w:spacing w:line="240" w:lineRule="auto"/>
        <w:ind w:firstLine="708"/>
        <w:jc w:val="both"/>
        <w:rPr>
          <w:rFonts w:ascii="Times New Roman" w:hAnsi="Times New Roman"/>
          <w:sz w:val="24"/>
          <w:szCs w:val="24"/>
        </w:rPr>
      </w:pPr>
      <w:r>
        <w:rPr>
          <w:rFonts w:ascii="Times New Roman" w:hAnsi="Times New Roman"/>
          <w:sz w:val="24"/>
          <w:szCs w:val="24"/>
        </w:rPr>
        <w:t xml:space="preserve">A análise por capital humano reforça os resultados obtidos na análise por escolaridade e por ciclos escolares. A variável capital humano é fruto da relação entre ciclos escolares e </w:t>
      </w:r>
      <w:r w:rsidR="00A31064">
        <w:rPr>
          <w:rFonts w:ascii="Times New Roman" w:hAnsi="Times New Roman"/>
          <w:sz w:val="24"/>
          <w:szCs w:val="24"/>
        </w:rPr>
        <w:t>experiência</w:t>
      </w:r>
      <w:r>
        <w:rPr>
          <w:rFonts w:ascii="Times New Roman" w:hAnsi="Times New Roman"/>
          <w:sz w:val="24"/>
          <w:szCs w:val="24"/>
        </w:rPr>
        <w:t xml:space="preserve"> no mercado de trabalho conforme Barbosa Filho, Pessôa e Veloso (2010)</w:t>
      </w:r>
      <w:r w:rsidR="005D6430">
        <w:rPr>
          <w:rFonts w:ascii="Times New Roman" w:hAnsi="Times New Roman"/>
          <w:sz w:val="24"/>
          <w:szCs w:val="24"/>
        </w:rPr>
        <w:t>.</w:t>
      </w:r>
      <w:r w:rsidR="005A66B1">
        <w:rPr>
          <w:rStyle w:val="Refdenotaderodap"/>
          <w:rFonts w:ascii="Times New Roman" w:hAnsi="Times New Roman"/>
          <w:sz w:val="24"/>
          <w:szCs w:val="24"/>
        </w:rPr>
        <w:footnoteReference w:id="5"/>
      </w:r>
    </w:p>
    <w:p w:rsidR="00883CBD" w:rsidRDefault="0065168B" w:rsidP="001F03CD">
      <w:pPr>
        <w:spacing w:line="240" w:lineRule="auto"/>
        <w:ind w:firstLine="708"/>
        <w:jc w:val="both"/>
        <w:rPr>
          <w:rFonts w:ascii="Times New Roman" w:hAnsi="Times New Roman"/>
          <w:sz w:val="24"/>
          <w:szCs w:val="24"/>
        </w:rPr>
      </w:pPr>
      <w:r>
        <w:rPr>
          <w:rFonts w:ascii="Times New Roman" w:hAnsi="Times New Roman"/>
          <w:sz w:val="24"/>
          <w:szCs w:val="24"/>
        </w:rPr>
        <w:t>Os resultados da Tabela 1</w:t>
      </w:r>
      <w:r w:rsidR="00E749F6">
        <w:rPr>
          <w:rFonts w:ascii="Times New Roman" w:hAnsi="Times New Roman"/>
          <w:sz w:val="24"/>
          <w:szCs w:val="24"/>
        </w:rPr>
        <w:t>3</w:t>
      </w:r>
      <w:r>
        <w:rPr>
          <w:rFonts w:ascii="Times New Roman" w:hAnsi="Times New Roman"/>
          <w:sz w:val="24"/>
          <w:szCs w:val="24"/>
        </w:rPr>
        <w:t xml:space="preserve"> mostram o quão importante é a interação entre os ciclos escolares e a </w:t>
      </w:r>
      <w:r w:rsidR="00A31064">
        <w:rPr>
          <w:rFonts w:ascii="Times New Roman" w:hAnsi="Times New Roman"/>
          <w:sz w:val="24"/>
          <w:szCs w:val="24"/>
        </w:rPr>
        <w:t>experiência</w:t>
      </w:r>
      <w:r>
        <w:rPr>
          <w:rFonts w:ascii="Times New Roman" w:hAnsi="Times New Roman"/>
          <w:sz w:val="24"/>
          <w:szCs w:val="24"/>
        </w:rPr>
        <w:t xml:space="preserve"> dos agentes n</w:t>
      </w:r>
      <w:r w:rsidR="00681A01">
        <w:rPr>
          <w:rFonts w:ascii="Times New Roman" w:hAnsi="Times New Roman"/>
          <w:sz w:val="24"/>
          <w:szCs w:val="24"/>
        </w:rPr>
        <w:t>a compreensão da redução recente</w:t>
      </w:r>
      <w:r>
        <w:rPr>
          <w:rFonts w:ascii="Times New Roman" w:hAnsi="Times New Roman"/>
          <w:sz w:val="24"/>
          <w:szCs w:val="24"/>
        </w:rPr>
        <w:t xml:space="preserve"> da taxa de informalidade no Brasil.</w:t>
      </w:r>
      <w:r w:rsidR="00883CBD">
        <w:rPr>
          <w:rFonts w:ascii="Times New Roman" w:hAnsi="Times New Roman"/>
          <w:sz w:val="24"/>
          <w:szCs w:val="24"/>
        </w:rPr>
        <w:t xml:space="preserve"> </w:t>
      </w:r>
      <w:r>
        <w:rPr>
          <w:rFonts w:ascii="Times New Roman" w:hAnsi="Times New Roman"/>
          <w:sz w:val="24"/>
          <w:szCs w:val="24"/>
        </w:rPr>
        <w:t xml:space="preserve">Agora, o efeito composição chega a explicar </w:t>
      </w:r>
      <w:r w:rsidR="00436B3F">
        <w:rPr>
          <w:rFonts w:ascii="Times New Roman" w:hAnsi="Times New Roman"/>
          <w:sz w:val="24"/>
          <w:szCs w:val="24"/>
        </w:rPr>
        <w:t>53</w:t>
      </w:r>
      <w:r>
        <w:rPr>
          <w:rFonts w:ascii="Times New Roman" w:hAnsi="Times New Roman"/>
          <w:sz w:val="24"/>
          <w:szCs w:val="24"/>
        </w:rPr>
        <w:t>%</w:t>
      </w:r>
      <w:r w:rsidR="00436B3F">
        <w:rPr>
          <w:rFonts w:ascii="Times New Roman" w:hAnsi="Times New Roman"/>
          <w:sz w:val="24"/>
          <w:szCs w:val="24"/>
        </w:rPr>
        <w:t xml:space="preserve"> (77%)</w:t>
      </w:r>
      <w:r>
        <w:rPr>
          <w:rFonts w:ascii="Times New Roman" w:hAnsi="Times New Roman"/>
          <w:sz w:val="24"/>
          <w:szCs w:val="24"/>
        </w:rPr>
        <w:t xml:space="preserve"> da redução da </w:t>
      </w:r>
      <w:r w:rsidR="00681A01">
        <w:rPr>
          <w:rFonts w:ascii="Times New Roman" w:hAnsi="Times New Roman"/>
          <w:sz w:val="24"/>
          <w:szCs w:val="24"/>
        </w:rPr>
        <w:t>taxa de informalidade</w:t>
      </w:r>
      <w:r w:rsidR="00436B3F">
        <w:rPr>
          <w:rFonts w:ascii="Times New Roman" w:hAnsi="Times New Roman"/>
          <w:sz w:val="24"/>
          <w:szCs w:val="24"/>
        </w:rPr>
        <w:t xml:space="preserve"> entre 2002 e 2011 (2009)</w:t>
      </w:r>
      <w:r w:rsidR="00681A01">
        <w:rPr>
          <w:rFonts w:ascii="Times New Roman" w:hAnsi="Times New Roman"/>
          <w:sz w:val="24"/>
          <w:szCs w:val="24"/>
        </w:rPr>
        <w:t xml:space="preserve">. </w:t>
      </w:r>
      <w:r w:rsidR="00B25C0F">
        <w:rPr>
          <w:rFonts w:ascii="Times New Roman" w:hAnsi="Times New Roman"/>
          <w:sz w:val="24"/>
          <w:szCs w:val="24"/>
        </w:rPr>
        <w:t>Tal efeito decorre do fato dos indivíduos com menores níveis de educação</w:t>
      </w:r>
      <w:r w:rsidR="00B369D6">
        <w:rPr>
          <w:rFonts w:ascii="Times New Roman" w:hAnsi="Times New Roman"/>
          <w:sz w:val="24"/>
          <w:szCs w:val="24"/>
        </w:rPr>
        <w:t xml:space="preserve"> (</w:t>
      </w:r>
      <w:r w:rsidR="00F37211">
        <w:rPr>
          <w:rFonts w:ascii="Times New Roman" w:hAnsi="Times New Roman"/>
          <w:sz w:val="24"/>
          <w:szCs w:val="24"/>
        </w:rPr>
        <w:t>até o</w:t>
      </w:r>
      <w:r w:rsidR="00B369D6">
        <w:rPr>
          <w:rFonts w:ascii="Times New Roman" w:hAnsi="Times New Roman"/>
          <w:sz w:val="24"/>
          <w:szCs w:val="24"/>
        </w:rPr>
        <w:t xml:space="preserve"> </w:t>
      </w:r>
      <w:r w:rsidR="00115EE2">
        <w:rPr>
          <w:rFonts w:ascii="Times New Roman" w:hAnsi="Times New Roman"/>
          <w:sz w:val="24"/>
          <w:szCs w:val="24"/>
        </w:rPr>
        <w:t>ciclo do antigo primário completo)</w:t>
      </w:r>
      <w:r w:rsidR="00B25C0F">
        <w:rPr>
          <w:rFonts w:ascii="Times New Roman" w:hAnsi="Times New Roman"/>
          <w:sz w:val="24"/>
          <w:szCs w:val="24"/>
        </w:rPr>
        <w:t xml:space="preserve"> e experiência</w:t>
      </w:r>
      <w:r w:rsidR="00115EE2">
        <w:rPr>
          <w:rFonts w:ascii="Times New Roman" w:hAnsi="Times New Roman"/>
          <w:sz w:val="24"/>
          <w:szCs w:val="24"/>
        </w:rPr>
        <w:t xml:space="preserve"> (até 1</w:t>
      </w:r>
      <w:r w:rsidR="00F37211">
        <w:rPr>
          <w:rFonts w:ascii="Times New Roman" w:hAnsi="Times New Roman"/>
          <w:sz w:val="24"/>
          <w:szCs w:val="24"/>
        </w:rPr>
        <w:t>9</w:t>
      </w:r>
      <w:r w:rsidR="00115EE2">
        <w:rPr>
          <w:rFonts w:ascii="Times New Roman" w:hAnsi="Times New Roman"/>
          <w:sz w:val="24"/>
          <w:szCs w:val="24"/>
        </w:rPr>
        <w:t xml:space="preserve"> anos)</w:t>
      </w:r>
      <w:r w:rsidR="00B25C0F">
        <w:rPr>
          <w:rFonts w:ascii="Times New Roman" w:hAnsi="Times New Roman"/>
          <w:sz w:val="24"/>
          <w:szCs w:val="24"/>
        </w:rPr>
        <w:t xml:space="preserve"> ter</w:t>
      </w:r>
      <w:r w:rsidR="00115EE2">
        <w:rPr>
          <w:rFonts w:ascii="Times New Roman" w:hAnsi="Times New Roman"/>
          <w:sz w:val="24"/>
          <w:szCs w:val="24"/>
        </w:rPr>
        <w:t>em</w:t>
      </w:r>
      <w:r w:rsidR="00B25C0F">
        <w:rPr>
          <w:rFonts w:ascii="Times New Roman" w:hAnsi="Times New Roman"/>
          <w:sz w:val="24"/>
          <w:szCs w:val="24"/>
        </w:rPr>
        <w:t xml:space="preserve"> reduzido o seu percentual entre os ocupados. Ou seja, como já citado, os jovens estão se educando e com isso cresce o percentual dos mais escolarizados (ciclo do ensino médio completo) e baixa experiência</w:t>
      </w:r>
      <w:r w:rsidR="00F37211">
        <w:rPr>
          <w:rFonts w:ascii="Times New Roman" w:hAnsi="Times New Roman"/>
          <w:sz w:val="24"/>
          <w:szCs w:val="24"/>
        </w:rPr>
        <w:t xml:space="preserve"> (até 19 anos)</w:t>
      </w:r>
      <w:r w:rsidR="00B25C0F">
        <w:rPr>
          <w:rFonts w:ascii="Times New Roman" w:hAnsi="Times New Roman"/>
          <w:sz w:val="24"/>
          <w:szCs w:val="24"/>
        </w:rPr>
        <w:t>.</w:t>
      </w:r>
      <w:r w:rsidR="00B369D6">
        <w:rPr>
          <w:rFonts w:ascii="Times New Roman" w:hAnsi="Times New Roman"/>
          <w:sz w:val="24"/>
          <w:szCs w:val="24"/>
        </w:rPr>
        <w:t xml:space="preserve"> Assim, o fator educação do capital humano ainda é o preponderante na explicação do efeito composição. Mas com o </w:t>
      </w:r>
      <w:r w:rsidR="0048607D">
        <w:rPr>
          <w:rFonts w:ascii="Times New Roman" w:hAnsi="Times New Roman"/>
          <w:sz w:val="24"/>
          <w:szCs w:val="24"/>
        </w:rPr>
        <w:t>processo de transição demográfica em curso</w:t>
      </w:r>
      <w:r w:rsidR="00B369D6">
        <w:rPr>
          <w:rFonts w:ascii="Times New Roman" w:hAnsi="Times New Roman"/>
          <w:sz w:val="24"/>
          <w:szCs w:val="24"/>
        </w:rPr>
        <w:t>, o fator experiência tende a ganhar maior peso e contribuir para a queda da informalidade, visto que os mais experientes apresentam menor taxa de informalidade.</w:t>
      </w:r>
    </w:p>
    <w:p w:rsidR="0065168B" w:rsidRDefault="00681A01" w:rsidP="001F03CD">
      <w:pPr>
        <w:spacing w:line="240" w:lineRule="auto"/>
        <w:ind w:firstLine="708"/>
        <w:jc w:val="both"/>
        <w:rPr>
          <w:rFonts w:ascii="Times New Roman" w:hAnsi="Times New Roman"/>
          <w:sz w:val="24"/>
          <w:szCs w:val="24"/>
        </w:rPr>
      </w:pPr>
      <w:r>
        <w:rPr>
          <w:rFonts w:ascii="Times New Roman" w:hAnsi="Times New Roman"/>
          <w:sz w:val="24"/>
          <w:szCs w:val="24"/>
        </w:rPr>
        <w:lastRenderedPageBreak/>
        <w:t xml:space="preserve">Na análise do diferencial da taxa de informalidade entre regiões metropolitanas e não metropolitanas o efeito composição chega a explicar </w:t>
      </w:r>
      <w:r w:rsidR="0064114F">
        <w:rPr>
          <w:rFonts w:ascii="Times New Roman" w:hAnsi="Times New Roman"/>
          <w:sz w:val="24"/>
          <w:szCs w:val="24"/>
        </w:rPr>
        <w:t>48</w:t>
      </w:r>
      <w:r>
        <w:rPr>
          <w:rFonts w:ascii="Times New Roman" w:hAnsi="Times New Roman"/>
          <w:sz w:val="24"/>
          <w:szCs w:val="24"/>
        </w:rPr>
        <w:t>%</w:t>
      </w:r>
      <w:r w:rsidR="0064114F">
        <w:rPr>
          <w:rFonts w:ascii="Times New Roman" w:hAnsi="Times New Roman"/>
          <w:sz w:val="24"/>
          <w:szCs w:val="24"/>
        </w:rPr>
        <w:t xml:space="preserve"> (32%)</w:t>
      </w:r>
      <w:r>
        <w:rPr>
          <w:rFonts w:ascii="Times New Roman" w:hAnsi="Times New Roman"/>
          <w:sz w:val="24"/>
          <w:szCs w:val="24"/>
        </w:rPr>
        <w:t xml:space="preserve"> do diferencial da</w:t>
      </w:r>
      <w:r w:rsidR="0064114F">
        <w:rPr>
          <w:rFonts w:ascii="Times New Roman" w:hAnsi="Times New Roman"/>
          <w:sz w:val="24"/>
          <w:szCs w:val="24"/>
        </w:rPr>
        <w:t xml:space="preserve"> informalidade entre as regiões, no ano de 2002 (2011).</w:t>
      </w:r>
    </w:p>
    <w:p w:rsidR="00327AF4" w:rsidRDefault="00327AF4" w:rsidP="001F03CD">
      <w:pPr>
        <w:spacing w:line="240" w:lineRule="auto"/>
        <w:jc w:val="both"/>
        <w:rPr>
          <w:rFonts w:ascii="Times New Roman" w:hAnsi="Times New Roman"/>
          <w:sz w:val="24"/>
          <w:szCs w:val="24"/>
          <w:u w:val="single"/>
        </w:rPr>
      </w:pPr>
    </w:p>
    <w:tbl>
      <w:tblPr>
        <w:tblW w:w="6460" w:type="dxa"/>
        <w:jc w:val="center"/>
        <w:tblInd w:w="55" w:type="dxa"/>
        <w:tblCellMar>
          <w:left w:w="70" w:type="dxa"/>
          <w:right w:w="70" w:type="dxa"/>
        </w:tblCellMar>
        <w:tblLook w:val="04A0" w:firstRow="1" w:lastRow="0" w:firstColumn="1" w:lastColumn="0" w:noHBand="0" w:noVBand="1"/>
      </w:tblPr>
      <w:tblGrid>
        <w:gridCol w:w="2038"/>
        <w:gridCol w:w="1224"/>
        <w:gridCol w:w="1987"/>
        <w:gridCol w:w="1211"/>
      </w:tblGrid>
      <w:tr w:rsidR="00436B3F" w:rsidRPr="00436B3F" w:rsidTr="00436B3F">
        <w:trPr>
          <w:trHeight w:val="270"/>
          <w:jc w:val="center"/>
        </w:trPr>
        <w:tc>
          <w:tcPr>
            <w:tcW w:w="6460" w:type="dxa"/>
            <w:gridSpan w:val="4"/>
            <w:tcBorders>
              <w:top w:val="single" w:sz="8" w:space="0" w:color="auto"/>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Tabela 13: Decomposição da variação da taxa de informalidade (em p.p.)</w:t>
            </w:r>
          </w:p>
        </w:tc>
      </w:tr>
      <w:tr w:rsidR="00436B3F" w:rsidRPr="00436B3F" w:rsidTr="00436B3F">
        <w:trPr>
          <w:trHeight w:val="270"/>
          <w:jc w:val="center"/>
        </w:trPr>
        <w:tc>
          <w:tcPr>
            <w:tcW w:w="6460" w:type="dxa"/>
            <w:gridSpan w:val="4"/>
            <w:tcBorders>
              <w:top w:val="single" w:sz="8" w:space="0" w:color="auto"/>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Capital Humano</w:t>
            </w:r>
          </w:p>
        </w:tc>
      </w:tr>
      <w:tr w:rsidR="00436B3F" w:rsidRPr="00436B3F" w:rsidTr="00436B3F">
        <w:trPr>
          <w:trHeight w:val="270"/>
          <w:jc w:val="center"/>
        </w:trPr>
        <w:tc>
          <w:tcPr>
            <w:tcW w:w="2038"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Período - Amostra</w:t>
            </w:r>
          </w:p>
        </w:tc>
        <w:tc>
          <w:tcPr>
            <w:tcW w:w="1224"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Efeito Nível</w:t>
            </w:r>
          </w:p>
        </w:tc>
        <w:tc>
          <w:tcPr>
            <w:tcW w:w="1987"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Efeito Composição</w:t>
            </w:r>
          </w:p>
        </w:tc>
        <w:tc>
          <w:tcPr>
            <w:tcW w:w="1211"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Efeito Total</w:t>
            </w:r>
          </w:p>
        </w:tc>
      </w:tr>
      <w:tr w:rsidR="00436B3F" w:rsidRPr="00436B3F" w:rsidTr="00436B3F">
        <w:trPr>
          <w:trHeight w:val="255"/>
          <w:jc w:val="center"/>
        </w:trPr>
        <w:tc>
          <w:tcPr>
            <w:tcW w:w="2038"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2011-2002</w:t>
            </w:r>
          </w:p>
        </w:tc>
        <w:tc>
          <w:tcPr>
            <w:tcW w:w="1224"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-5,1%</w:t>
            </w:r>
          </w:p>
        </w:tc>
        <w:tc>
          <w:tcPr>
            <w:tcW w:w="1987"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-5,8%</w:t>
            </w:r>
          </w:p>
        </w:tc>
        <w:tc>
          <w:tcPr>
            <w:tcW w:w="1211"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-10,9%</w:t>
            </w:r>
          </w:p>
        </w:tc>
      </w:tr>
      <w:tr w:rsidR="00436B3F" w:rsidRPr="00436B3F" w:rsidTr="00436B3F">
        <w:trPr>
          <w:trHeight w:val="270"/>
          <w:jc w:val="center"/>
        </w:trPr>
        <w:tc>
          <w:tcPr>
            <w:tcW w:w="2038"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2009-2002</w:t>
            </w:r>
          </w:p>
        </w:tc>
        <w:tc>
          <w:tcPr>
            <w:tcW w:w="1224"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-1,4%</w:t>
            </w:r>
          </w:p>
        </w:tc>
        <w:tc>
          <w:tcPr>
            <w:tcW w:w="1987"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-4,8%</w:t>
            </w:r>
          </w:p>
        </w:tc>
        <w:tc>
          <w:tcPr>
            <w:tcW w:w="1211"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-6,2%</w:t>
            </w:r>
          </w:p>
        </w:tc>
      </w:tr>
      <w:tr w:rsidR="00436B3F" w:rsidRPr="00436B3F" w:rsidTr="00436B3F">
        <w:trPr>
          <w:trHeight w:val="255"/>
          <w:jc w:val="center"/>
        </w:trPr>
        <w:tc>
          <w:tcPr>
            <w:tcW w:w="2038"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2011-2009</w:t>
            </w:r>
          </w:p>
        </w:tc>
        <w:tc>
          <w:tcPr>
            <w:tcW w:w="1224"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-3,4%</w:t>
            </w:r>
          </w:p>
        </w:tc>
        <w:tc>
          <w:tcPr>
            <w:tcW w:w="1987"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-1,2%</w:t>
            </w:r>
          </w:p>
        </w:tc>
        <w:tc>
          <w:tcPr>
            <w:tcW w:w="1211"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-4,7%</w:t>
            </w:r>
          </w:p>
        </w:tc>
      </w:tr>
      <w:tr w:rsidR="00436B3F" w:rsidRPr="00436B3F" w:rsidTr="00436B3F">
        <w:trPr>
          <w:trHeight w:val="255"/>
          <w:jc w:val="center"/>
        </w:trPr>
        <w:tc>
          <w:tcPr>
            <w:tcW w:w="2038"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2011-2002RM</w:t>
            </w:r>
          </w:p>
        </w:tc>
        <w:tc>
          <w:tcPr>
            <w:tcW w:w="1224"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-7,2%</w:t>
            </w:r>
          </w:p>
        </w:tc>
        <w:tc>
          <w:tcPr>
            <w:tcW w:w="1987"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-3,7%</w:t>
            </w:r>
          </w:p>
        </w:tc>
        <w:tc>
          <w:tcPr>
            <w:tcW w:w="1211"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-10,9%</w:t>
            </w:r>
          </w:p>
        </w:tc>
      </w:tr>
      <w:tr w:rsidR="00436B3F" w:rsidRPr="00436B3F" w:rsidTr="00436B3F">
        <w:trPr>
          <w:trHeight w:val="255"/>
          <w:jc w:val="center"/>
        </w:trPr>
        <w:tc>
          <w:tcPr>
            <w:tcW w:w="2038"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2011-2002NRM</w:t>
            </w:r>
          </w:p>
        </w:tc>
        <w:tc>
          <w:tcPr>
            <w:tcW w:w="1224"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-4,3%</w:t>
            </w:r>
          </w:p>
        </w:tc>
        <w:tc>
          <w:tcPr>
            <w:tcW w:w="1987"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-6,6%</w:t>
            </w:r>
          </w:p>
        </w:tc>
        <w:tc>
          <w:tcPr>
            <w:tcW w:w="1211"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-10,9%</w:t>
            </w:r>
          </w:p>
        </w:tc>
      </w:tr>
      <w:tr w:rsidR="00436B3F" w:rsidRPr="00436B3F" w:rsidTr="00436B3F">
        <w:trPr>
          <w:trHeight w:val="255"/>
          <w:jc w:val="center"/>
        </w:trPr>
        <w:tc>
          <w:tcPr>
            <w:tcW w:w="2038"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2011NRM-2011RM</w:t>
            </w:r>
          </w:p>
        </w:tc>
        <w:tc>
          <w:tcPr>
            <w:tcW w:w="1224"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8,6%</w:t>
            </w:r>
          </w:p>
        </w:tc>
        <w:tc>
          <w:tcPr>
            <w:tcW w:w="1987"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4,0%</w:t>
            </w:r>
          </w:p>
        </w:tc>
        <w:tc>
          <w:tcPr>
            <w:tcW w:w="1211"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12,6%</w:t>
            </w:r>
          </w:p>
        </w:tc>
      </w:tr>
      <w:tr w:rsidR="00436B3F" w:rsidRPr="00436B3F" w:rsidTr="00436B3F">
        <w:trPr>
          <w:trHeight w:val="270"/>
          <w:jc w:val="center"/>
        </w:trPr>
        <w:tc>
          <w:tcPr>
            <w:tcW w:w="2038"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2002NRM-2002RM</w:t>
            </w:r>
          </w:p>
        </w:tc>
        <w:tc>
          <w:tcPr>
            <w:tcW w:w="1224"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6,6%</w:t>
            </w:r>
          </w:p>
        </w:tc>
        <w:tc>
          <w:tcPr>
            <w:tcW w:w="1987"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6,0%</w:t>
            </w:r>
          </w:p>
        </w:tc>
        <w:tc>
          <w:tcPr>
            <w:tcW w:w="1211" w:type="dxa"/>
            <w:tcBorders>
              <w:top w:val="nil"/>
              <w:left w:val="nil"/>
              <w:bottom w:val="single" w:sz="8" w:space="0" w:color="auto"/>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12,6%</w:t>
            </w:r>
          </w:p>
        </w:tc>
      </w:tr>
      <w:tr w:rsidR="00436B3F" w:rsidRPr="00436B3F" w:rsidTr="00436B3F">
        <w:trPr>
          <w:trHeight w:val="255"/>
          <w:jc w:val="center"/>
        </w:trPr>
        <w:tc>
          <w:tcPr>
            <w:tcW w:w="5249" w:type="dxa"/>
            <w:gridSpan w:val="3"/>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rPr>
                <w:rFonts w:ascii="Arial" w:eastAsia="Times New Roman" w:hAnsi="Arial" w:cs="Arial"/>
                <w:sz w:val="20"/>
                <w:szCs w:val="20"/>
                <w:lang w:eastAsia="pt-BR"/>
              </w:rPr>
            </w:pPr>
            <w:r w:rsidRPr="00436B3F">
              <w:rPr>
                <w:rFonts w:ascii="Arial" w:eastAsia="Times New Roman" w:hAnsi="Arial" w:cs="Arial"/>
                <w:sz w:val="20"/>
                <w:szCs w:val="20"/>
                <w:lang w:eastAsia="pt-BR"/>
              </w:rPr>
              <w:t>Fonte: Elaboração Própria com dados da PNAD.</w:t>
            </w:r>
          </w:p>
        </w:tc>
        <w:tc>
          <w:tcPr>
            <w:tcW w:w="1211" w:type="dxa"/>
            <w:tcBorders>
              <w:top w:val="nil"/>
              <w:left w:val="nil"/>
              <w:bottom w:val="nil"/>
              <w:right w:val="nil"/>
            </w:tcBorders>
            <w:shd w:val="clear" w:color="000000" w:fill="FFFFFF"/>
            <w:noWrap/>
            <w:vAlign w:val="bottom"/>
            <w:hideMark/>
          </w:tcPr>
          <w:p w:rsidR="00436B3F" w:rsidRPr="00436B3F" w:rsidRDefault="00436B3F" w:rsidP="001F03CD">
            <w:pPr>
              <w:spacing w:after="0" w:line="240" w:lineRule="auto"/>
              <w:jc w:val="center"/>
              <w:rPr>
                <w:rFonts w:ascii="Arial" w:eastAsia="Times New Roman" w:hAnsi="Arial" w:cs="Arial"/>
                <w:sz w:val="20"/>
                <w:szCs w:val="20"/>
                <w:lang w:eastAsia="pt-BR"/>
              </w:rPr>
            </w:pPr>
            <w:r w:rsidRPr="00436B3F">
              <w:rPr>
                <w:rFonts w:ascii="Arial" w:eastAsia="Times New Roman" w:hAnsi="Arial" w:cs="Arial"/>
                <w:sz w:val="20"/>
                <w:szCs w:val="20"/>
                <w:lang w:eastAsia="pt-BR"/>
              </w:rPr>
              <w:t> </w:t>
            </w:r>
          </w:p>
        </w:tc>
      </w:tr>
    </w:tbl>
    <w:p w:rsidR="00436B3F" w:rsidRDefault="00436B3F" w:rsidP="001F03CD">
      <w:pPr>
        <w:spacing w:line="240" w:lineRule="auto"/>
        <w:jc w:val="both"/>
        <w:rPr>
          <w:rFonts w:ascii="Times New Roman" w:hAnsi="Times New Roman"/>
          <w:sz w:val="24"/>
          <w:szCs w:val="24"/>
          <w:u w:val="single"/>
        </w:rPr>
      </w:pPr>
    </w:p>
    <w:p w:rsidR="00436B3F" w:rsidRDefault="00436B3F" w:rsidP="001F03CD">
      <w:pPr>
        <w:spacing w:line="240" w:lineRule="auto"/>
        <w:jc w:val="both"/>
        <w:rPr>
          <w:rFonts w:ascii="Times New Roman" w:hAnsi="Times New Roman"/>
          <w:sz w:val="24"/>
          <w:szCs w:val="24"/>
          <w:u w:val="single"/>
        </w:rPr>
      </w:pPr>
    </w:p>
    <w:p w:rsidR="00C23DD9" w:rsidRPr="00681A01" w:rsidRDefault="00C23DD9" w:rsidP="001F03CD">
      <w:pPr>
        <w:spacing w:line="240" w:lineRule="auto"/>
        <w:jc w:val="both"/>
        <w:rPr>
          <w:rFonts w:ascii="Times New Roman" w:hAnsi="Times New Roman"/>
          <w:sz w:val="24"/>
          <w:szCs w:val="24"/>
          <w:u w:val="single"/>
        </w:rPr>
      </w:pPr>
      <w:r w:rsidRPr="00681A01">
        <w:rPr>
          <w:rFonts w:ascii="Times New Roman" w:hAnsi="Times New Roman"/>
          <w:sz w:val="24"/>
          <w:szCs w:val="24"/>
          <w:u w:val="single"/>
        </w:rPr>
        <w:t>Setor</w:t>
      </w:r>
    </w:p>
    <w:p w:rsidR="00E749F6" w:rsidRDefault="00681A01" w:rsidP="001F03CD">
      <w:pPr>
        <w:spacing w:line="240" w:lineRule="auto"/>
        <w:ind w:firstLine="708"/>
        <w:jc w:val="both"/>
        <w:rPr>
          <w:rFonts w:ascii="Times New Roman" w:hAnsi="Times New Roman"/>
          <w:sz w:val="24"/>
          <w:szCs w:val="24"/>
        </w:rPr>
      </w:pPr>
      <w:r>
        <w:rPr>
          <w:rFonts w:ascii="Times New Roman" w:hAnsi="Times New Roman"/>
          <w:sz w:val="24"/>
          <w:szCs w:val="24"/>
        </w:rPr>
        <w:t>A Tabela 1</w:t>
      </w:r>
      <w:r w:rsidR="00E749F6">
        <w:rPr>
          <w:rFonts w:ascii="Times New Roman" w:hAnsi="Times New Roman"/>
          <w:sz w:val="24"/>
          <w:szCs w:val="24"/>
        </w:rPr>
        <w:t>4</w:t>
      </w:r>
      <w:r>
        <w:rPr>
          <w:rFonts w:ascii="Times New Roman" w:hAnsi="Times New Roman"/>
          <w:sz w:val="24"/>
          <w:szCs w:val="24"/>
        </w:rPr>
        <w:t xml:space="preserve"> realiza a decomposição da seção 3 por setor de atividade econômica. Este corte nos mostra mais uma vez a importância da queda do nível de informalidade por setor neste período. O efeito composição</w:t>
      </w:r>
      <w:r w:rsidR="00542326">
        <w:rPr>
          <w:rFonts w:ascii="Times New Roman" w:hAnsi="Times New Roman"/>
          <w:sz w:val="24"/>
          <w:szCs w:val="24"/>
        </w:rPr>
        <w:t xml:space="preserve"> negativo,</w:t>
      </w:r>
      <w:r>
        <w:rPr>
          <w:rFonts w:ascii="Times New Roman" w:hAnsi="Times New Roman"/>
          <w:sz w:val="24"/>
          <w:szCs w:val="24"/>
        </w:rPr>
        <w:t xml:space="preserve"> que agora possui importância relativa mais baixa, mostra que </w:t>
      </w:r>
      <w:r w:rsidR="0085612B">
        <w:rPr>
          <w:rFonts w:ascii="Times New Roman" w:hAnsi="Times New Roman"/>
          <w:sz w:val="24"/>
          <w:szCs w:val="24"/>
        </w:rPr>
        <w:t>os setores com maior taxa de informalidade perderam participação na economia, em termos de população ocupada</w:t>
      </w:r>
      <w:r w:rsidR="00EF7A3A">
        <w:rPr>
          <w:rFonts w:ascii="Times New Roman" w:hAnsi="Times New Roman"/>
          <w:sz w:val="24"/>
          <w:szCs w:val="24"/>
        </w:rPr>
        <w:t>. O</w:t>
      </w:r>
      <w:r w:rsidR="00D544E2">
        <w:rPr>
          <w:rFonts w:ascii="Times New Roman" w:hAnsi="Times New Roman"/>
          <w:sz w:val="24"/>
          <w:szCs w:val="24"/>
        </w:rPr>
        <w:t xml:space="preserve"> setor agropecuário</w:t>
      </w:r>
      <w:r w:rsidR="00EF7A3A">
        <w:rPr>
          <w:rFonts w:ascii="Times New Roman" w:hAnsi="Times New Roman"/>
          <w:sz w:val="24"/>
          <w:szCs w:val="24"/>
        </w:rPr>
        <w:t xml:space="preserve"> foi o que mais contribuiu, principalmente pela queda na participação nas NRMs.</w:t>
      </w:r>
    </w:p>
    <w:p w:rsidR="00D623D1" w:rsidRDefault="00D623D1" w:rsidP="001F03CD">
      <w:pPr>
        <w:spacing w:line="240" w:lineRule="auto"/>
        <w:ind w:firstLine="708"/>
        <w:jc w:val="both"/>
        <w:rPr>
          <w:rFonts w:ascii="Times New Roman" w:hAnsi="Times New Roman"/>
          <w:sz w:val="24"/>
          <w:szCs w:val="24"/>
        </w:rPr>
      </w:pPr>
      <w:r>
        <w:rPr>
          <w:rFonts w:ascii="Times New Roman" w:hAnsi="Times New Roman"/>
          <w:sz w:val="24"/>
          <w:szCs w:val="24"/>
        </w:rPr>
        <w:t>Por sua vez, o efeito nível mostra que</w:t>
      </w:r>
      <w:r w:rsidR="00076D76">
        <w:rPr>
          <w:rFonts w:ascii="Times New Roman" w:hAnsi="Times New Roman"/>
          <w:sz w:val="24"/>
          <w:szCs w:val="24"/>
        </w:rPr>
        <w:t xml:space="preserve"> a</w:t>
      </w:r>
      <w:r>
        <w:rPr>
          <w:rFonts w:ascii="Times New Roman" w:hAnsi="Times New Roman"/>
          <w:sz w:val="24"/>
          <w:szCs w:val="24"/>
        </w:rPr>
        <w:t xml:space="preserve"> queda na taxa de informalidade de quase todos o</w:t>
      </w:r>
      <w:r w:rsidR="00921168">
        <w:rPr>
          <w:rFonts w:ascii="Times New Roman" w:hAnsi="Times New Roman"/>
          <w:sz w:val="24"/>
          <w:szCs w:val="24"/>
        </w:rPr>
        <w:t xml:space="preserve">s setores, dentre eles: agropecuário, indústria de transformação, construção, comércio e outros serviços. </w:t>
      </w:r>
    </w:p>
    <w:p w:rsidR="00681A01" w:rsidRDefault="00681A01" w:rsidP="001F03CD">
      <w:pPr>
        <w:spacing w:line="240" w:lineRule="auto"/>
        <w:jc w:val="both"/>
        <w:rPr>
          <w:rFonts w:ascii="Times New Roman" w:hAnsi="Times New Roman"/>
          <w:sz w:val="24"/>
          <w:szCs w:val="24"/>
        </w:rPr>
      </w:pPr>
    </w:p>
    <w:tbl>
      <w:tblPr>
        <w:tblW w:w="6400" w:type="dxa"/>
        <w:jc w:val="center"/>
        <w:tblInd w:w="55" w:type="dxa"/>
        <w:tblCellMar>
          <w:left w:w="70" w:type="dxa"/>
          <w:right w:w="70" w:type="dxa"/>
        </w:tblCellMar>
        <w:tblLook w:val="04A0" w:firstRow="1" w:lastRow="0" w:firstColumn="1" w:lastColumn="0" w:noHBand="0" w:noVBand="1"/>
      </w:tblPr>
      <w:tblGrid>
        <w:gridCol w:w="2019"/>
        <w:gridCol w:w="1213"/>
        <w:gridCol w:w="1968"/>
        <w:gridCol w:w="1200"/>
      </w:tblGrid>
      <w:tr w:rsidR="0064114F" w:rsidRPr="0064114F" w:rsidTr="0064114F">
        <w:trPr>
          <w:trHeight w:val="270"/>
          <w:jc w:val="center"/>
        </w:trPr>
        <w:tc>
          <w:tcPr>
            <w:tcW w:w="6400" w:type="dxa"/>
            <w:gridSpan w:val="4"/>
            <w:tcBorders>
              <w:top w:val="single" w:sz="8" w:space="0" w:color="auto"/>
              <w:left w:val="nil"/>
              <w:bottom w:val="single" w:sz="8" w:space="0" w:color="auto"/>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Tabela 14: Decomposição da variação da taxa de informalidade (em p.p.)</w:t>
            </w:r>
          </w:p>
        </w:tc>
      </w:tr>
      <w:tr w:rsidR="0064114F" w:rsidRPr="0064114F" w:rsidTr="0064114F">
        <w:trPr>
          <w:trHeight w:val="270"/>
          <w:jc w:val="center"/>
        </w:trPr>
        <w:tc>
          <w:tcPr>
            <w:tcW w:w="6400" w:type="dxa"/>
            <w:gridSpan w:val="4"/>
            <w:tcBorders>
              <w:top w:val="single" w:sz="8" w:space="0" w:color="auto"/>
              <w:left w:val="nil"/>
              <w:bottom w:val="single" w:sz="8" w:space="0" w:color="auto"/>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Setor</w:t>
            </w:r>
          </w:p>
        </w:tc>
      </w:tr>
      <w:tr w:rsidR="0064114F" w:rsidRPr="0064114F" w:rsidTr="0064114F">
        <w:trPr>
          <w:trHeight w:val="270"/>
          <w:jc w:val="center"/>
        </w:trPr>
        <w:tc>
          <w:tcPr>
            <w:tcW w:w="2019" w:type="dxa"/>
            <w:tcBorders>
              <w:top w:val="nil"/>
              <w:left w:val="nil"/>
              <w:bottom w:val="single" w:sz="8" w:space="0" w:color="auto"/>
              <w:right w:val="nil"/>
            </w:tcBorders>
            <w:shd w:val="clear" w:color="000000" w:fill="FFFFFF"/>
            <w:noWrap/>
            <w:vAlign w:val="bottom"/>
            <w:hideMark/>
          </w:tcPr>
          <w:p w:rsidR="0064114F" w:rsidRPr="0064114F" w:rsidRDefault="0064114F" w:rsidP="001F03CD">
            <w:pPr>
              <w:spacing w:after="0" w:line="240" w:lineRule="auto"/>
              <w:rPr>
                <w:rFonts w:ascii="Arial" w:eastAsia="Times New Roman" w:hAnsi="Arial" w:cs="Arial"/>
                <w:sz w:val="20"/>
                <w:szCs w:val="20"/>
                <w:lang w:eastAsia="pt-BR"/>
              </w:rPr>
            </w:pPr>
            <w:r w:rsidRPr="0064114F">
              <w:rPr>
                <w:rFonts w:ascii="Arial" w:eastAsia="Times New Roman" w:hAnsi="Arial" w:cs="Arial"/>
                <w:sz w:val="20"/>
                <w:szCs w:val="20"/>
                <w:lang w:eastAsia="pt-BR"/>
              </w:rPr>
              <w:t>Período - Amostra</w:t>
            </w:r>
          </w:p>
        </w:tc>
        <w:tc>
          <w:tcPr>
            <w:tcW w:w="1213" w:type="dxa"/>
            <w:tcBorders>
              <w:top w:val="nil"/>
              <w:left w:val="nil"/>
              <w:bottom w:val="single" w:sz="8" w:space="0" w:color="auto"/>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Efeito Nível</w:t>
            </w:r>
          </w:p>
        </w:tc>
        <w:tc>
          <w:tcPr>
            <w:tcW w:w="1968" w:type="dxa"/>
            <w:tcBorders>
              <w:top w:val="nil"/>
              <w:left w:val="nil"/>
              <w:bottom w:val="single" w:sz="8" w:space="0" w:color="auto"/>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Efeito Composição</w:t>
            </w:r>
          </w:p>
        </w:tc>
        <w:tc>
          <w:tcPr>
            <w:tcW w:w="1200" w:type="dxa"/>
            <w:tcBorders>
              <w:top w:val="nil"/>
              <w:left w:val="nil"/>
              <w:bottom w:val="single" w:sz="8" w:space="0" w:color="auto"/>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Efeito Total</w:t>
            </w:r>
          </w:p>
        </w:tc>
      </w:tr>
      <w:tr w:rsidR="0064114F" w:rsidRPr="0064114F" w:rsidTr="0064114F">
        <w:trPr>
          <w:trHeight w:val="255"/>
          <w:jc w:val="center"/>
        </w:trPr>
        <w:tc>
          <w:tcPr>
            <w:tcW w:w="2019"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rPr>
                <w:rFonts w:ascii="Arial" w:eastAsia="Times New Roman" w:hAnsi="Arial" w:cs="Arial"/>
                <w:sz w:val="20"/>
                <w:szCs w:val="20"/>
                <w:lang w:eastAsia="pt-BR"/>
              </w:rPr>
            </w:pPr>
            <w:r w:rsidRPr="0064114F">
              <w:rPr>
                <w:rFonts w:ascii="Arial" w:eastAsia="Times New Roman" w:hAnsi="Arial" w:cs="Arial"/>
                <w:sz w:val="20"/>
                <w:szCs w:val="20"/>
                <w:lang w:eastAsia="pt-BR"/>
              </w:rPr>
              <w:t>2011-2002</w:t>
            </w:r>
          </w:p>
        </w:tc>
        <w:tc>
          <w:tcPr>
            <w:tcW w:w="1213"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-10,1%</w:t>
            </w:r>
          </w:p>
        </w:tc>
        <w:tc>
          <w:tcPr>
            <w:tcW w:w="1968"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-0,8%</w:t>
            </w:r>
          </w:p>
        </w:tc>
        <w:tc>
          <w:tcPr>
            <w:tcW w:w="1200"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-10,9%</w:t>
            </w:r>
          </w:p>
        </w:tc>
      </w:tr>
      <w:tr w:rsidR="0064114F" w:rsidRPr="0064114F" w:rsidTr="0064114F">
        <w:trPr>
          <w:trHeight w:val="270"/>
          <w:jc w:val="center"/>
        </w:trPr>
        <w:tc>
          <w:tcPr>
            <w:tcW w:w="2019"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rPr>
                <w:rFonts w:ascii="Arial" w:eastAsia="Times New Roman" w:hAnsi="Arial" w:cs="Arial"/>
                <w:sz w:val="20"/>
                <w:szCs w:val="20"/>
                <w:lang w:eastAsia="pt-BR"/>
              </w:rPr>
            </w:pPr>
            <w:r w:rsidRPr="0064114F">
              <w:rPr>
                <w:rFonts w:ascii="Arial" w:eastAsia="Times New Roman" w:hAnsi="Arial" w:cs="Arial"/>
                <w:sz w:val="20"/>
                <w:szCs w:val="20"/>
                <w:lang w:eastAsia="pt-BR"/>
              </w:rPr>
              <w:t>2009-2002</w:t>
            </w:r>
          </w:p>
        </w:tc>
        <w:tc>
          <w:tcPr>
            <w:tcW w:w="1213"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-5,7%</w:t>
            </w:r>
          </w:p>
        </w:tc>
        <w:tc>
          <w:tcPr>
            <w:tcW w:w="1968"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-0,5%</w:t>
            </w:r>
          </w:p>
        </w:tc>
        <w:tc>
          <w:tcPr>
            <w:tcW w:w="1200"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-6,2%</w:t>
            </w:r>
          </w:p>
        </w:tc>
      </w:tr>
      <w:tr w:rsidR="0064114F" w:rsidRPr="0064114F" w:rsidTr="0064114F">
        <w:trPr>
          <w:trHeight w:val="255"/>
          <w:jc w:val="center"/>
        </w:trPr>
        <w:tc>
          <w:tcPr>
            <w:tcW w:w="2019"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rPr>
                <w:rFonts w:ascii="Arial" w:eastAsia="Times New Roman" w:hAnsi="Arial" w:cs="Arial"/>
                <w:sz w:val="20"/>
                <w:szCs w:val="20"/>
                <w:lang w:eastAsia="pt-BR"/>
              </w:rPr>
            </w:pPr>
            <w:r w:rsidRPr="0064114F">
              <w:rPr>
                <w:rFonts w:ascii="Arial" w:eastAsia="Times New Roman" w:hAnsi="Arial" w:cs="Arial"/>
                <w:sz w:val="20"/>
                <w:szCs w:val="20"/>
                <w:lang w:eastAsia="pt-BR"/>
              </w:rPr>
              <w:t>2011-2009</w:t>
            </w:r>
          </w:p>
        </w:tc>
        <w:tc>
          <w:tcPr>
            <w:tcW w:w="1213"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-4,4%</w:t>
            </w:r>
          </w:p>
        </w:tc>
        <w:tc>
          <w:tcPr>
            <w:tcW w:w="1968"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-0,3%</w:t>
            </w:r>
          </w:p>
        </w:tc>
        <w:tc>
          <w:tcPr>
            <w:tcW w:w="1200"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-4,7%</w:t>
            </w:r>
          </w:p>
        </w:tc>
      </w:tr>
      <w:tr w:rsidR="0064114F" w:rsidRPr="0064114F" w:rsidTr="0064114F">
        <w:trPr>
          <w:trHeight w:val="255"/>
          <w:jc w:val="center"/>
        </w:trPr>
        <w:tc>
          <w:tcPr>
            <w:tcW w:w="2019"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rPr>
                <w:rFonts w:ascii="Arial" w:eastAsia="Times New Roman" w:hAnsi="Arial" w:cs="Arial"/>
                <w:sz w:val="20"/>
                <w:szCs w:val="20"/>
                <w:lang w:eastAsia="pt-BR"/>
              </w:rPr>
            </w:pPr>
            <w:r w:rsidRPr="0064114F">
              <w:rPr>
                <w:rFonts w:ascii="Arial" w:eastAsia="Times New Roman" w:hAnsi="Arial" w:cs="Arial"/>
                <w:sz w:val="20"/>
                <w:szCs w:val="20"/>
                <w:lang w:eastAsia="pt-BR"/>
              </w:rPr>
              <w:t>2011-2002RM</w:t>
            </w:r>
          </w:p>
        </w:tc>
        <w:tc>
          <w:tcPr>
            <w:tcW w:w="1213"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-11,1%</w:t>
            </w:r>
          </w:p>
        </w:tc>
        <w:tc>
          <w:tcPr>
            <w:tcW w:w="1968"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0,2%</w:t>
            </w:r>
          </w:p>
        </w:tc>
        <w:tc>
          <w:tcPr>
            <w:tcW w:w="1200"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-10,9%</w:t>
            </w:r>
          </w:p>
        </w:tc>
      </w:tr>
      <w:tr w:rsidR="0064114F" w:rsidRPr="0064114F" w:rsidTr="0064114F">
        <w:trPr>
          <w:trHeight w:val="255"/>
          <w:jc w:val="center"/>
        </w:trPr>
        <w:tc>
          <w:tcPr>
            <w:tcW w:w="2019"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rPr>
                <w:rFonts w:ascii="Arial" w:eastAsia="Times New Roman" w:hAnsi="Arial" w:cs="Arial"/>
                <w:sz w:val="20"/>
                <w:szCs w:val="20"/>
                <w:lang w:eastAsia="pt-BR"/>
              </w:rPr>
            </w:pPr>
            <w:r w:rsidRPr="0064114F">
              <w:rPr>
                <w:rFonts w:ascii="Arial" w:eastAsia="Times New Roman" w:hAnsi="Arial" w:cs="Arial"/>
                <w:sz w:val="20"/>
                <w:szCs w:val="20"/>
                <w:lang w:eastAsia="pt-BR"/>
              </w:rPr>
              <w:t>2011-2002NRM</w:t>
            </w:r>
          </w:p>
        </w:tc>
        <w:tc>
          <w:tcPr>
            <w:tcW w:w="1213"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-9,7%</w:t>
            </w:r>
          </w:p>
        </w:tc>
        <w:tc>
          <w:tcPr>
            <w:tcW w:w="1968"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-1,2%</w:t>
            </w:r>
          </w:p>
        </w:tc>
        <w:tc>
          <w:tcPr>
            <w:tcW w:w="1200"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-10,9%</w:t>
            </w:r>
          </w:p>
        </w:tc>
      </w:tr>
      <w:tr w:rsidR="0064114F" w:rsidRPr="0064114F" w:rsidTr="0064114F">
        <w:trPr>
          <w:trHeight w:val="255"/>
          <w:jc w:val="center"/>
        </w:trPr>
        <w:tc>
          <w:tcPr>
            <w:tcW w:w="2019"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rPr>
                <w:rFonts w:ascii="Arial" w:eastAsia="Times New Roman" w:hAnsi="Arial" w:cs="Arial"/>
                <w:sz w:val="20"/>
                <w:szCs w:val="20"/>
                <w:lang w:eastAsia="pt-BR"/>
              </w:rPr>
            </w:pPr>
            <w:r w:rsidRPr="0064114F">
              <w:rPr>
                <w:rFonts w:ascii="Arial" w:eastAsia="Times New Roman" w:hAnsi="Arial" w:cs="Arial"/>
                <w:sz w:val="20"/>
                <w:szCs w:val="20"/>
                <w:lang w:eastAsia="pt-BR"/>
              </w:rPr>
              <w:t>2011NRM-2011RM</w:t>
            </w:r>
          </w:p>
        </w:tc>
        <w:tc>
          <w:tcPr>
            <w:tcW w:w="1213"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9,9%</w:t>
            </w:r>
          </w:p>
        </w:tc>
        <w:tc>
          <w:tcPr>
            <w:tcW w:w="1968"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2,7%</w:t>
            </w:r>
          </w:p>
        </w:tc>
        <w:tc>
          <w:tcPr>
            <w:tcW w:w="1200"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12,6%</w:t>
            </w:r>
          </w:p>
        </w:tc>
      </w:tr>
      <w:tr w:rsidR="0064114F" w:rsidRPr="0064114F" w:rsidTr="0064114F">
        <w:trPr>
          <w:trHeight w:val="270"/>
          <w:jc w:val="center"/>
        </w:trPr>
        <w:tc>
          <w:tcPr>
            <w:tcW w:w="2019" w:type="dxa"/>
            <w:tcBorders>
              <w:top w:val="nil"/>
              <w:left w:val="nil"/>
              <w:bottom w:val="single" w:sz="8" w:space="0" w:color="auto"/>
              <w:right w:val="nil"/>
            </w:tcBorders>
            <w:shd w:val="clear" w:color="000000" w:fill="FFFFFF"/>
            <w:noWrap/>
            <w:vAlign w:val="bottom"/>
            <w:hideMark/>
          </w:tcPr>
          <w:p w:rsidR="0064114F" w:rsidRPr="0064114F" w:rsidRDefault="0064114F" w:rsidP="001F03CD">
            <w:pPr>
              <w:spacing w:after="0" w:line="240" w:lineRule="auto"/>
              <w:rPr>
                <w:rFonts w:ascii="Arial" w:eastAsia="Times New Roman" w:hAnsi="Arial" w:cs="Arial"/>
                <w:sz w:val="20"/>
                <w:szCs w:val="20"/>
                <w:lang w:eastAsia="pt-BR"/>
              </w:rPr>
            </w:pPr>
            <w:r w:rsidRPr="0064114F">
              <w:rPr>
                <w:rFonts w:ascii="Arial" w:eastAsia="Times New Roman" w:hAnsi="Arial" w:cs="Arial"/>
                <w:sz w:val="20"/>
                <w:szCs w:val="20"/>
                <w:lang w:eastAsia="pt-BR"/>
              </w:rPr>
              <w:t>2002NRM-2002RM</w:t>
            </w:r>
          </w:p>
        </w:tc>
        <w:tc>
          <w:tcPr>
            <w:tcW w:w="1213" w:type="dxa"/>
            <w:tcBorders>
              <w:top w:val="nil"/>
              <w:left w:val="nil"/>
              <w:bottom w:val="single" w:sz="8" w:space="0" w:color="auto"/>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8,2%</w:t>
            </w:r>
          </w:p>
        </w:tc>
        <w:tc>
          <w:tcPr>
            <w:tcW w:w="1968" w:type="dxa"/>
            <w:tcBorders>
              <w:top w:val="nil"/>
              <w:left w:val="nil"/>
              <w:bottom w:val="single" w:sz="8" w:space="0" w:color="auto"/>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4,4%</w:t>
            </w:r>
          </w:p>
        </w:tc>
        <w:tc>
          <w:tcPr>
            <w:tcW w:w="1200" w:type="dxa"/>
            <w:tcBorders>
              <w:top w:val="nil"/>
              <w:left w:val="nil"/>
              <w:bottom w:val="single" w:sz="8" w:space="0" w:color="auto"/>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12,6%</w:t>
            </w:r>
          </w:p>
        </w:tc>
      </w:tr>
      <w:tr w:rsidR="0064114F" w:rsidRPr="0064114F" w:rsidTr="0064114F">
        <w:trPr>
          <w:trHeight w:val="255"/>
          <w:jc w:val="center"/>
        </w:trPr>
        <w:tc>
          <w:tcPr>
            <w:tcW w:w="5200" w:type="dxa"/>
            <w:gridSpan w:val="3"/>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rPr>
                <w:rFonts w:ascii="Arial" w:eastAsia="Times New Roman" w:hAnsi="Arial" w:cs="Arial"/>
                <w:sz w:val="20"/>
                <w:szCs w:val="20"/>
                <w:lang w:eastAsia="pt-BR"/>
              </w:rPr>
            </w:pPr>
            <w:r w:rsidRPr="0064114F">
              <w:rPr>
                <w:rFonts w:ascii="Arial" w:eastAsia="Times New Roman" w:hAnsi="Arial" w:cs="Arial"/>
                <w:sz w:val="20"/>
                <w:szCs w:val="20"/>
                <w:lang w:eastAsia="pt-BR"/>
              </w:rPr>
              <w:t>Fonte: Elaboração Própria com dados da PNAD.</w:t>
            </w:r>
          </w:p>
        </w:tc>
        <w:tc>
          <w:tcPr>
            <w:tcW w:w="1200" w:type="dxa"/>
            <w:tcBorders>
              <w:top w:val="nil"/>
              <w:left w:val="nil"/>
              <w:bottom w:val="nil"/>
              <w:right w:val="nil"/>
            </w:tcBorders>
            <w:shd w:val="clear" w:color="000000" w:fill="FFFFFF"/>
            <w:noWrap/>
            <w:vAlign w:val="bottom"/>
            <w:hideMark/>
          </w:tcPr>
          <w:p w:rsidR="0064114F" w:rsidRPr="0064114F" w:rsidRDefault="0064114F" w:rsidP="001F03CD">
            <w:pPr>
              <w:spacing w:after="0" w:line="240" w:lineRule="auto"/>
              <w:jc w:val="center"/>
              <w:rPr>
                <w:rFonts w:ascii="Arial" w:eastAsia="Times New Roman" w:hAnsi="Arial" w:cs="Arial"/>
                <w:sz w:val="20"/>
                <w:szCs w:val="20"/>
                <w:lang w:eastAsia="pt-BR"/>
              </w:rPr>
            </w:pPr>
            <w:r w:rsidRPr="0064114F">
              <w:rPr>
                <w:rFonts w:ascii="Arial" w:eastAsia="Times New Roman" w:hAnsi="Arial" w:cs="Arial"/>
                <w:sz w:val="20"/>
                <w:szCs w:val="20"/>
                <w:lang w:eastAsia="pt-BR"/>
              </w:rPr>
              <w:t> </w:t>
            </w:r>
          </w:p>
        </w:tc>
      </w:tr>
    </w:tbl>
    <w:p w:rsidR="0064114F" w:rsidRDefault="0064114F" w:rsidP="001F03CD">
      <w:pPr>
        <w:spacing w:line="240" w:lineRule="auto"/>
        <w:jc w:val="both"/>
        <w:rPr>
          <w:rFonts w:ascii="Times New Roman" w:hAnsi="Times New Roman"/>
          <w:sz w:val="24"/>
          <w:szCs w:val="24"/>
        </w:rPr>
      </w:pPr>
    </w:p>
    <w:p w:rsidR="00C23DD9" w:rsidRDefault="00681A01" w:rsidP="001F03CD">
      <w:pPr>
        <w:spacing w:line="240" w:lineRule="auto"/>
        <w:ind w:firstLine="708"/>
        <w:jc w:val="both"/>
        <w:rPr>
          <w:rFonts w:ascii="Times New Roman" w:hAnsi="Times New Roman"/>
          <w:sz w:val="24"/>
          <w:szCs w:val="24"/>
        </w:rPr>
      </w:pPr>
      <w:r>
        <w:rPr>
          <w:rFonts w:ascii="Times New Roman" w:hAnsi="Times New Roman"/>
          <w:sz w:val="24"/>
          <w:szCs w:val="24"/>
        </w:rPr>
        <w:t>A Tabela 13 mostra ainda que o efeito composição setorial é importante para explicar cerca de 3</w:t>
      </w:r>
      <w:r w:rsidR="00076D76">
        <w:rPr>
          <w:rFonts w:ascii="Times New Roman" w:hAnsi="Times New Roman"/>
          <w:sz w:val="24"/>
          <w:szCs w:val="24"/>
        </w:rPr>
        <w:t>5</w:t>
      </w:r>
      <w:r>
        <w:rPr>
          <w:rFonts w:ascii="Times New Roman" w:hAnsi="Times New Roman"/>
          <w:sz w:val="24"/>
          <w:szCs w:val="24"/>
        </w:rPr>
        <w:t>%</w:t>
      </w:r>
      <w:r w:rsidR="00076D76">
        <w:rPr>
          <w:rFonts w:ascii="Times New Roman" w:hAnsi="Times New Roman"/>
          <w:sz w:val="24"/>
          <w:szCs w:val="24"/>
        </w:rPr>
        <w:t xml:space="preserve"> (21%)</w:t>
      </w:r>
      <w:r>
        <w:rPr>
          <w:rFonts w:ascii="Times New Roman" w:hAnsi="Times New Roman"/>
          <w:sz w:val="24"/>
          <w:szCs w:val="24"/>
        </w:rPr>
        <w:t xml:space="preserve"> do diferencial de informalidade entre as regiões metropolitanas e não metropolitanas</w:t>
      </w:r>
      <w:r w:rsidR="00076D76">
        <w:rPr>
          <w:rFonts w:ascii="Times New Roman" w:hAnsi="Times New Roman"/>
          <w:sz w:val="24"/>
          <w:szCs w:val="24"/>
        </w:rPr>
        <w:t xml:space="preserve"> em 2002 (2011)</w:t>
      </w:r>
      <w:r>
        <w:rPr>
          <w:rFonts w:ascii="Times New Roman" w:hAnsi="Times New Roman"/>
          <w:sz w:val="24"/>
          <w:szCs w:val="24"/>
        </w:rPr>
        <w:t xml:space="preserve">. Este resultado, já mostrado de forma alternativa na Tabela 5, </w:t>
      </w:r>
      <w:r>
        <w:rPr>
          <w:rFonts w:ascii="Times New Roman" w:hAnsi="Times New Roman"/>
          <w:sz w:val="24"/>
          <w:szCs w:val="24"/>
        </w:rPr>
        <w:lastRenderedPageBreak/>
        <w:t xml:space="preserve">mostra que além da maior taxa de informalidade das regiões não metropolitanas, a </w:t>
      </w:r>
      <w:r w:rsidR="005A66B1">
        <w:rPr>
          <w:rFonts w:ascii="Times New Roman" w:hAnsi="Times New Roman"/>
          <w:sz w:val="24"/>
          <w:szCs w:val="24"/>
        </w:rPr>
        <w:t>diferente estrutura dos setores produtivos alimenta ainda mais o diferencial de</w:t>
      </w:r>
      <w:r>
        <w:rPr>
          <w:rFonts w:ascii="Times New Roman" w:hAnsi="Times New Roman"/>
          <w:sz w:val="24"/>
          <w:szCs w:val="24"/>
        </w:rPr>
        <w:t xml:space="preserve"> informalidade nestas regiões em comparação com as</w:t>
      </w:r>
      <w:r w:rsidR="005A66B1">
        <w:rPr>
          <w:rFonts w:ascii="Times New Roman" w:hAnsi="Times New Roman"/>
          <w:sz w:val="24"/>
          <w:szCs w:val="24"/>
        </w:rPr>
        <w:t xml:space="preserve"> regiões</w:t>
      </w:r>
      <w:r>
        <w:rPr>
          <w:rFonts w:ascii="Times New Roman" w:hAnsi="Times New Roman"/>
          <w:sz w:val="24"/>
          <w:szCs w:val="24"/>
        </w:rPr>
        <w:t xml:space="preserve"> metropolitanas.</w:t>
      </w:r>
    </w:p>
    <w:p w:rsidR="002A47A0" w:rsidRDefault="002A47A0" w:rsidP="001F03CD">
      <w:pPr>
        <w:spacing w:line="240" w:lineRule="auto"/>
        <w:ind w:firstLine="708"/>
        <w:jc w:val="both"/>
        <w:rPr>
          <w:rFonts w:ascii="Times New Roman" w:hAnsi="Times New Roman"/>
          <w:sz w:val="24"/>
          <w:szCs w:val="24"/>
        </w:rPr>
      </w:pPr>
    </w:p>
    <w:p w:rsidR="009F1BDF" w:rsidRPr="00E749F6" w:rsidRDefault="00E749F6" w:rsidP="001F03CD">
      <w:pPr>
        <w:spacing w:line="240" w:lineRule="auto"/>
        <w:jc w:val="both"/>
        <w:rPr>
          <w:rFonts w:ascii="Times New Roman" w:hAnsi="Times New Roman"/>
          <w:b/>
          <w:sz w:val="24"/>
          <w:szCs w:val="24"/>
        </w:rPr>
      </w:pPr>
      <w:r w:rsidRPr="00E749F6">
        <w:rPr>
          <w:rFonts w:ascii="Times New Roman" w:hAnsi="Times New Roman"/>
          <w:b/>
          <w:sz w:val="24"/>
          <w:szCs w:val="24"/>
        </w:rPr>
        <w:t>6</w:t>
      </w:r>
      <w:r w:rsidR="009F1BDF" w:rsidRPr="00E749F6">
        <w:rPr>
          <w:rFonts w:ascii="Times New Roman" w:hAnsi="Times New Roman"/>
          <w:b/>
          <w:sz w:val="24"/>
          <w:szCs w:val="24"/>
        </w:rPr>
        <w:t xml:space="preserve"> – Matriz de Transição</w:t>
      </w:r>
    </w:p>
    <w:p w:rsidR="00F45433" w:rsidRDefault="00F45433" w:rsidP="001F03CD">
      <w:pPr>
        <w:spacing w:line="240" w:lineRule="auto"/>
        <w:ind w:firstLine="708"/>
        <w:jc w:val="both"/>
        <w:rPr>
          <w:rFonts w:ascii="Times New Roman" w:hAnsi="Times New Roman"/>
          <w:sz w:val="24"/>
          <w:szCs w:val="24"/>
        </w:rPr>
      </w:pPr>
      <w:r>
        <w:rPr>
          <w:rFonts w:ascii="Times New Roman" w:hAnsi="Times New Roman"/>
          <w:color w:val="000000" w:themeColor="text1"/>
          <w:sz w:val="24"/>
          <w:szCs w:val="24"/>
        </w:rPr>
        <w:t>Esta seção mostra o resultado da matriz de transição, a qual permite analisar para quais condições de ocupação (informal, formal, desempregado ou fora da PEA) os indivíduos estão migrando com mais intensidade.</w:t>
      </w:r>
    </w:p>
    <w:p w:rsidR="00E749F6" w:rsidRDefault="00E749F6" w:rsidP="001F03CD">
      <w:pPr>
        <w:spacing w:line="240" w:lineRule="auto"/>
        <w:ind w:firstLine="708"/>
        <w:jc w:val="both"/>
        <w:rPr>
          <w:rFonts w:ascii="Times New Roman" w:hAnsi="Times New Roman"/>
          <w:sz w:val="24"/>
          <w:szCs w:val="24"/>
        </w:rPr>
      </w:pPr>
      <w:r>
        <w:rPr>
          <w:rFonts w:ascii="Times New Roman" w:hAnsi="Times New Roman"/>
          <w:sz w:val="24"/>
          <w:szCs w:val="24"/>
        </w:rPr>
        <w:t>Segundo a tabela 15</w:t>
      </w:r>
      <w:r w:rsidR="009F1BDF">
        <w:rPr>
          <w:rFonts w:ascii="Times New Roman" w:hAnsi="Times New Roman"/>
          <w:sz w:val="24"/>
          <w:szCs w:val="24"/>
        </w:rPr>
        <w:t>,</w:t>
      </w:r>
      <w:r w:rsidR="009B2864">
        <w:rPr>
          <w:rFonts w:ascii="Times New Roman" w:hAnsi="Times New Roman"/>
          <w:sz w:val="24"/>
          <w:szCs w:val="24"/>
        </w:rPr>
        <w:t xml:space="preserve"> em 2003,</w:t>
      </w:r>
      <w:r w:rsidR="009F1BDF">
        <w:rPr>
          <w:rFonts w:ascii="Times New Roman" w:hAnsi="Times New Roman"/>
          <w:sz w:val="24"/>
          <w:szCs w:val="24"/>
        </w:rPr>
        <w:t xml:space="preserve"> observa-se</w:t>
      </w:r>
      <w:r w:rsidR="009B2864">
        <w:rPr>
          <w:rFonts w:ascii="Times New Roman" w:hAnsi="Times New Roman"/>
          <w:sz w:val="24"/>
          <w:szCs w:val="24"/>
        </w:rPr>
        <w:t xml:space="preserve">, </w:t>
      </w:r>
      <w:r w:rsidR="009F1BDF">
        <w:rPr>
          <w:rFonts w:ascii="Times New Roman" w:hAnsi="Times New Roman"/>
          <w:sz w:val="24"/>
          <w:szCs w:val="24"/>
        </w:rPr>
        <w:t>que do total de informais (primeira linha) 6</w:t>
      </w:r>
      <w:r w:rsidR="00F45433">
        <w:rPr>
          <w:rFonts w:ascii="Times New Roman" w:hAnsi="Times New Roman"/>
          <w:sz w:val="24"/>
          <w:szCs w:val="24"/>
        </w:rPr>
        <w:t>5</w:t>
      </w:r>
      <w:r w:rsidR="009F1BDF">
        <w:rPr>
          <w:rFonts w:ascii="Times New Roman" w:hAnsi="Times New Roman"/>
          <w:sz w:val="24"/>
          <w:szCs w:val="24"/>
        </w:rPr>
        <w:t>,</w:t>
      </w:r>
      <w:r w:rsidR="00F45433">
        <w:rPr>
          <w:rFonts w:ascii="Times New Roman" w:hAnsi="Times New Roman"/>
          <w:sz w:val="24"/>
          <w:szCs w:val="24"/>
        </w:rPr>
        <w:t>6</w:t>
      </w:r>
      <w:r w:rsidR="009F1BDF">
        <w:rPr>
          <w:rFonts w:ascii="Times New Roman" w:hAnsi="Times New Roman"/>
          <w:sz w:val="24"/>
          <w:szCs w:val="24"/>
        </w:rPr>
        <w:t>% se manteve em tal condição. Outros 2</w:t>
      </w:r>
      <w:r w:rsidR="00F45433">
        <w:rPr>
          <w:rFonts w:ascii="Times New Roman" w:hAnsi="Times New Roman"/>
          <w:sz w:val="24"/>
          <w:szCs w:val="24"/>
        </w:rPr>
        <w:t>2</w:t>
      </w:r>
      <w:r w:rsidR="009F1BDF">
        <w:rPr>
          <w:rFonts w:ascii="Times New Roman" w:hAnsi="Times New Roman"/>
          <w:sz w:val="24"/>
          <w:szCs w:val="24"/>
        </w:rPr>
        <w:t>,</w:t>
      </w:r>
      <w:r w:rsidR="00F45433">
        <w:rPr>
          <w:rFonts w:ascii="Times New Roman" w:hAnsi="Times New Roman"/>
          <w:sz w:val="24"/>
          <w:szCs w:val="24"/>
        </w:rPr>
        <w:t>4</w:t>
      </w:r>
      <w:r w:rsidR="009F1BDF">
        <w:rPr>
          <w:rFonts w:ascii="Times New Roman" w:hAnsi="Times New Roman"/>
          <w:sz w:val="24"/>
          <w:szCs w:val="24"/>
        </w:rPr>
        <w:t xml:space="preserve">% se tornaram formais, </w:t>
      </w:r>
      <w:r w:rsidR="00F45433">
        <w:rPr>
          <w:rFonts w:ascii="Times New Roman" w:hAnsi="Times New Roman"/>
          <w:sz w:val="24"/>
          <w:szCs w:val="24"/>
        </w:rPr>
        <w:t>4</w:t>
      </w:r>
      <w:r w:rsidR="009F1BDF">
        <w:rPr>
          <w:rFonts w:ascii="Times New Roman" w:hAnsi="Times New Roman"/>
          <w:sz w:val="24"/>
          <w:szCs w:val="24"/>
        </w:rPr>
        <w:t>,</w:t>
      </w:r>
      <w:r w:rsidR="00F45433">
        <w:rPr>
          <w:rFonts w:ascii="Times New Roman" w:hAnsi="Times New Roman"/>
          <w:sz w:val="24"/>
          <w:szCs w:val="24"/>
        </w:rPr>
        <w:t>1</w:t>
      </w:r>
      <w:r w:rsidR="009F1BDF">
        <w:rPr>
          <w:rFonts w:ascii="Times New Roman" w:hAnsi="Times New Roman"/>
          <w:sz w:val="24"/>
          <w:szCs w:val="24"/>
        </w:rPr>
        <w:t xml:space="preserve">% ficaram desempregados e </w:t>
      </w:r>
      <w:r w:rsidR="00F45433">
        <w:rPr>
          <w:rFonts w:ascii="Times New Roman" w:hAnsi="Times New Roman"/>
          <w:sz w:val="24"/>
          <w:szCs w:val="24"/>
        </w:rPr>
        <w:t>8</w:t>
      </w:r>
      <w:r w:rsidR="009F1BDF">
        <w:rPr>
          <w:rFonts w:ascii="Times New Roman" w:hAnsi="Times New Roman"/>
          <w:sz w:val="24"/>
          <w:szCs w:val="24"/>
        </w:rPr>
        <w:t>,</w:t>
      </w:r>
      <w:r w:rsidR="00F45433">
        <w:rPr>
          <w:rFonts w:ascii="Times New Roman" w:hAnsi="Times New Roman"/>
          <w:sz w:val="24"/>
          <w:szCs w:val="24"/>
        </w:rPr>
        <w:t>0</w:t>
      </w:r>
      <w:r w:rsidR="009F1BDF">
        <w:rPr>
          <w:rFonts w:ascii="Times New Roman" w:hAnsi="Times New Roman"/>
          <w:sz w:val="24"/>
          <w:szCs w:val="24"/>
        </w:rPr>
        <w:t>% saíram da PEA.</w:t>
      </w:r>
      <w:r w:rsidR="009B2864">
        <w:rPr>
          <w:rFonts w:ascii="Times New Roman" w:hAnsi="Times New Roman"/>
          <w:sz w:val="24"/>
          <w:szCs w:val="24"/>
        </w:rPr>
        <w:t xml:space="preserve"> Por sua vez, do total de formais (segunda linha)</w:t>
      </w:r>
      <w:r w:rsidR="00AF2C57">
        <w:rPr>
          <w:rFonts w:ascii="Times New Roman" w:hAnsi="Times New Roman"/>
          <w:sz w:val="24"/>
          <w:szCs w:val="24"/>
        </w:rPr>
        <w:t xml:space="preserve">, em 2003, 5,9% se tornaram formais, 88,1% permaneceram formais, 1,6% ficaram desempregados e 4,4% saíram da PEA. Em termos absolutos, temos um </w:t>
      </w:r>
      <w:r w:rsidR="00217F07">
        <w:rPr>
          <w:rFonts w:ascii="Times New Roman" w:hAnsi="Times New Roman"/>
          <w:sz w:val="24"/>
          <w:szCs w:val="24"/>
        </w:rPr>
        <w:t>fluxo</w:t>
      </w:r>
      <w:r w:rsidR="00AF2C57">
        <w:rPr>
          <w:rFonts w:ascii="Times New Roman" w:hAnsi="Times New Roman"/>
          <w:sz w:val="24"/>
          <w:szCs w:val="24"/>
        </w:rPr>
        <w:t xml:space="preserve"> líquido</w:t>
      </w:r>
      <w:r w:rsidR="00503B49">
        <w:rPr>
          <w:rStyle w:val="Refdenotaderodap"/>
          <w:rFonts w:ascii="Times New Roman" w:hAnsi="Times New Roman"/>
          <w:sz w:val="24"/>
          <w:szCs w:val="24"/>
        </w:rPr>
        <w:footnoteReference w:id="6"/>
      </w:r>
      <w:r w:rsidR="00AF2C57">
        <w:rPr>
          <w:rFonts w:ascii="Times New Roman" w:hAnsi="Times New Roman"/>
          <w:sz w:val="24"/>
          <w:szCs w:val="24"/>
        </w:rPr>
        <w:t xml:space="preserve"> de 21.660 trabalhadores informais que se tornaram formais, 27.621 desempregados conseguiram um emprego informal, 11.309 trabalhadores formais ficaram desempregados, 29.581 indivíduos que estavam fora da PEA conseguiram um emprego informal e 33.527 trabalhadores formais saíram da PEA. Ou seja, em 2003, o setor informal era gerador de emprego para os desempregados e os que estavam </w:t>
      </w:r>
      <w:r w:rsidR="000253AF">
        <w:rPr>
          <w:rFonts w:ascii="Times New Roman" w:hAnsi="Times New Roman"/>
          <w:sz w:val="24"/>
          <w:szCs w:val="24"/>
        </w:rPr>
        <w:t>à margem do mercado de trabalho, enquanto o setor formal conseguia apenas “roubar” alguns trabalhadores do setor informal.</w:t>
      </w:r>
    </w:p>
    <w:p w:rsidR="00841B7F" w:rsidRDefault="000253AF" w:rsidP="001F03CD">
      <w:pPr>
        <w:spacing w:line="240" w:lineRule="auto"/>
        <w:ind w:firstLine="708"/>
        <w:jc w:val="both"/>
        <w:rPr>
          <w:rFonts w:ascii="Times New Roman" w:hAnsi="Times New Roman"/>
          <w:sz w:val="24"/>
          <w:szCs w:val="24"/>
        </w:rPr>
      </w:pPr>
      <w:r>
        <w:rPr>
          <w:rFonts w:ascii="Times New Roman" w:hAnsi="Times New Roman"/>
          <w:sz w:val="24"/>
          <w:szCs w:val="24"/>
        </w:rPr>
        <w:t xml:space="preserve">Em 2011, temos uma mudança </w:t>
      </w:r>
      <w:r w:rsidR="00C13C6F">
        <w:rPr>
          <w:rFonts w:ascii="Times New Roman" w:hAnsi="Times New Roman"/>
          <w:sz w:val="24"/>
          <w:szCs w:val="24"/>
        </w:rPr>
        <w:t xml:space="preserve">deste padrão: 104.085 trabalhadores informais se tornaram formais, 26.812 desempregados conseguiram um emprego informal, </w:t>
      </w:r>
      <w:r w:rsidR="00B2554F">
        <w:rPr>
          <w:rFonts w:ascii="Times New Roman" w:hAnsi="Times New Roman"/>
          <w:sz w:val="24"/>
          <w:szCs w:val="24"/>
        </w:rPr>
        <w:t>38.740</w:t>
      </w:r>
      <w:r w:rsidR="00C13C6F">
        <w:rPr>
          <w:rFonts w:ascii="Times New Roman" w:hAnsi="Times New Roman"/>
          <w:sz w:val="24"/>
          <w:szCs w:val="24"/>
        </w:rPr>
        <w:t xml:space="preserve"> desempregados</w:t>
      </w:r>
      <w:r w:rsidR="00B2554F">
        <w:rPr>
          <w:rFonts w:ascii="Times New Roman" w:hAnsi="Times New Roman"/>
          <w:sz w:val="24"/>
          <w:szCs w:val="24"/>
        </w:rPr>
        <w:t xml:space="preserve"> conseguiram um emprego formal</w:t>
      </w:r>
      <w:r w:rsidR="00C13C6F">
        <w:rPr>
          <w:rFonts w:ascii="Times New Roman" w:hAnsi="Times New Roman"/>
          <w:sz w:val="24"/>
          <w:szCs w:val="24"/>
        </w:rPr>
        <w:t xml:space="preserve">, </w:t>
      </w:r>
      <w:r w:rsidR="00B2554F">
        <w:rPr>
          <w:rFonts w:ascii="Times New Roman" w:hAnsi="Times New Roman"/>
          <w:sz w:val="24"/>
          <w:szCs w:val="24"/>
        </w:rPr>
        <w:t>26.163</w:t>
      </w:r>
      <w:r w:rsidR="00C13C6F">
        <w:rPr>
          <w:rFonts w:ascii="Times New Roman" w:hAnsi="Times New Roman"/>
          <w:sz w:val="24"/>
          <w:szCs w:val="24"/>
        </w:rPr>
        <w:t xml:space="preserve"> indivíduos que estavam fora da PEA conseguiram um emprego informal e 3</w:t>
      </w:r>
      <w:r w:rsidR="00B2554F">
        <w:rPr>
          <w:rFonts w:ascii="Times New Roman" w:hAnsi="Times New Roman"/>
          <w:sz w:val="24"/>
          <w:szCs w:val="24"/>
        </w:rPr>
        <w:t>2</w:t>
      </w:r>
      <w:r w:rsidR="00C13C6F">
        <w:rPr>
          <w:rFonts w:ascii="Times New Roman" w:hAnsi="Times New Roman"/>
          <w:sz w:val="24"/>
          <w:szCs w:val="24"/>
        </w:rPr>
        <w:t>.</w:t>
      </w:r>
      <w:r w:rsidR="00B2554F">
        <w:rPr>
          <w:rFonts w:ascii="Times New Roman" w:hAnsi="Times New Roman"/>
          <w:sz w:val="24"/>
          <w:szCs w:val="24"/>
        </w:rPr>
        <w:t>998</w:t>
      </w:r>
      <w:r w:rsidR="00C13C6F">
        <w:rPr>
          <w:rFonts w:ascii="Times New Roman" w:hAnsi="Times New Roman"/>
          <w:sz w:val="24"/>
          <w:szCs w:val="24"/>
        </w:rPr>
        <w:t xml:space="preserve"> trabalhadores formais saíram da PEA</w:t>
      </w:r>
      <w:r w:rsidR="00B2554F">
        <w:rPr>
          <w:rFonts w:ascii="Times New Roman" w:hAnsi="Times New Roman"/>
          <w:sz w:val="24"/>
          <w:szCs w:val="24"/>
        </w:rPr>
        <w:t xml:space="preserve">. Ou seja, apesar de muitos trabalhadores formais ainda saírem da PEA (parte destes devido à aposentadoria), </w:t>
      </w:r>
      <w:r w:rsidR="000046B0">
        <w:rPr>
          <w:rFonts w:ascii="Times New Roman" w:hAnsi="Times New Roman"/>
          <w:sz w:val="24"/>
          <w:szCs w:val="24"/>
        </w:rPr>
        <w:t>tal setor se tornou o principal contratador de mão-de-obra desempregada – apesar do setor informal ainda contratar um número alto de desempregados.</w:t>
      </w:r>
      <w:r w:rsidR="00D250C0">
        <w:rPr>
          <w:rFonts w:ascii="Times New Roman" w:hAnsi="Times New Roman"/>
          <w:sz w:val="24"/>
          <w:szCs w:val="24"/>
        </w:rPr>
        <w:t xml:space="preserve"> Mas a mudança mais significativa foi o forte aumento de contratações de trabalhadores informais pelo setor formal.</w:t>
      </w:r>
    </w:p>
    <w:tbl>
      <w:tblPr>
        <w:tblW w:w="7205" w:type="dxa"/>
        <w:jc w:val="center"/>
        <w:tblInd w:w="55" w:type="dxa"/>
        <w:tblCellMar>
          <w:left w:w="70" w:type="dxa"/>
          <w:right w:w="70" w:type="dxa"/>
        </w:tblCellMar>
        <w:tblLook w:val="04A0" w:firstRow="1" w:lastRow="0" w:firstColumn="1" w:lastColumn="0" w:noHBand="0" w:noVBand="1"/>
      </w:tblPr>
      <w:tblGrid>
        <w:gridCol w:w="1897"/>
        <w:gridCol w:w="903"/>
        <w:gridCol w:w="766"/>
        <w:gridCol w:w="1499"/>
        <w:gridCol w:w="1897"/>
        <w:gridCol w:w="641"/>
      </w:tblGrid>
      <w:tr w:rsidR="00841B7F" w:rsidRPr="00503B49" w:rsidTr="00FD319A">
        <w:trPr>
          <w:trHeight w:val="315"/>
          <w:jc w:val="center"/>
        </w:trPr>
        <w:tc>
          <w:tcPr>
            <w:tcW w:w="7205" w:type="dxa"/>
            <w:gridSpan w:val="6"/>
            <w:tcBorders>
              <w:top w:val="single" w:sz="8" w:space="0" w:color="auto"/>
              <w:left w:val="nil"/>
              <w:bottom w:val="single" w:sz="8" w:space="0" w:color="auto"/>
              <w:right w:val="nil"/>
            </w:tcBorders>
            <w:shd w:val="clear" w:color="000000" w:fill="FFFFFF"/>
            <w:noWrap/>
            <w:vAlign w:val="bottom"/>
            <w:hideMark/>
          </w:tcPr>
          <w:p w:rsidR="00841B7F" w:rsidRPr="00503B49" w:rsidRDefault="00D22588" w:rsidP="001F03CD">
            <w:pPr>
              <w:spacing w:after="0" w:line="240" w:lineRule="auto"/>
              <w:jc w:val="center"/>
              <w:rPr>
                <w:rFonts w:eastAsia="Times New Roman" w:cs="Calibri"/>
                <w:color w:val="000000"/>
                <w:lang w:eastAsia="pt-BR"/>
              </w:rPr>
            </w:pPr>
            <w:r>
              <w:rPr>
                <w:rFonts w:eastAsia="Times New Roman" w:cs="Calibri"/>
                <w:color w:val="000000"/>
                <w:lang w:eastAsia="pt-BR"/>
              </w:rPr>
              <w:t>Tabela 15: Matriz</w:t>
            </w:r>
            <w:r w:rsidR="00841B7F" w:rsidRPr="00503B49">
              <w:rPr>
                <w:rFonts w:eastAsia="Times New Roman" w:cs="Calibri"/>
                <w:color w:val="000000"/>
                <w:lang w:eastAsia="pt-BR"/>
              </w:rPr>
              <w:t xml:space="preserve"> de Transição do Mercado de Trabalho </w:t>
            </w:r>
          </w:p>
        </w:tc>
      </w:tr>
      <w:tr w:rsidR="00841B7F" w:rsidRPr="00650B7D" w:rsidTr="00FD319A">
        <w:trPr>
          <w:trHeight w:val="315"/>
          <w:jc w:val="center"/>
        </w:trPr>
        <w:tc>
          <w:tcPr>
            <w:tcW w:w="7205" w:type="dxa"/>
            <w:gridSpan w:val="6"/>
            <w:tcBorders>
              <w:top w:val="single" w:sz="8" w:space="0" w:color="auto"/>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2003</w:t>
            </w:r>
            <w:r>
              <w:rPr>
                <w:rFonts w:eastAsia="Times New Roman" w:cs="Calibri"/>
                <w:color w:val="000000"/>
                <w:lang w:eastAsia="pt-BR"/>
              </w:rPr>
              <w:t xml:space="preserve"> (em %)</w:t>
            </w:r>
          </w:p>
        </w:tc>
      </w:tr>
      <w:tr w:rsidR="00841B7F" w:rsidRPr="00650B7D" w:rsidTr="00FD319A">
        <w:trPr>
          <w:trHeight w:val="315"/>
          <w:jc w:val="center"/>
        </w:trPr>
        <w:tc>
          <w:tcPr>
            <w:tcW w:w="1897"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 </w:t>
            </w:r>
          </w:p>
        </w:tc>
        <w:tc>
          <w:tcPr>
            <w:tcW w:w="903"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Informal</w:t>
            </w:r>
          </w:p>
        </w:tc>
        <w:tc>
          <w:tcPr>
            <w:tcW w:w="766"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Formal</w:t>
            </w:r>
          </w:p>
        </w:tc>
        <w:tc>
          <w:tcPr>
            <w:tcW w:w="1499"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Pr>
                <w:rFonts w:eastAsia="Times New Roman" w:cs="Calibri"/>
                <w:color w:val="000000"/>
                <w:lang w:eastAsia="pt-BR"/>
              </w:rPr>
              <w:t>Desempregado</w:t>
            </w:r>
          </w:p>
        </w:tc>
        <w:tc>
          <w:tcPr>
            <w:tcW w:w="1897"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5A66B1">
              <w:rPr>
                <w:rFonts w:eastAsia="Times New Roman" w:cs="Calibri"/>
                <w:color w:val="000000"/>
                <w:lang w:val="en-US" w:eastAsia="pt-BR"/>
              </w:rPr>
              <w:t>Fora da PEA</w:t>
            </w:r>
          </w:p>
        </w:tc>
        <w:tc>
          <w:tcPr>
            <w:tcW w:w="243"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Total</w:t>
            </w:r>
          </w:p>
        </w:tc>
      </w:tr>
      <w:tr w:rsidR="00841B7F" w:rsidRPr="00650B7D" w:rsidTr="00FD319A">
        <w:trPr>
          <w:trHeight w:val="300"/>
          <w:jc w:val="center"/>
        </w:trPr>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Informal</w:t>
            </w:r>
          </w:p>
        </w:tc>
        <w:tc>
          <w:tcPr>
            <w:tcW w:w="90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65,6</w:t>
            </w:r>
          </w:p>
        </w:tc>
        <w:tc>
          <w:tcPr>
            <w:tcW w:w="766"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22,4</w:t>
            </w:r>
          </w:p>
        </w:tc>
        <w:tc>
          <w:tcPr>
            <w:tcW w:w="1499"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4,1</w:t>
            </w:r>
          </w:p>
        </w:tc>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8,0</w:t>
            </w:r>
          </w:p>
        </w:tc>
        <w:tc>
          <w:tcPr>
            <w:tcW w:w="24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100,0</w:t>
            </w:r>
          </w:p>
        </w:tc>
      </w:tr>
      <w:tr w:rsidR="00841B7F" w:rsidRPr="00650B7D" w:rsidTr="00FD319A">
        <w:trPr>
          <w:trHeight w:val="300"/>
          <w:jc w:val="center"/>
        </w:trPr>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Formal</w:t>
            </w:r>
          </w:p>
        </w:tc>
        <w:tc>
          <w:tcPr>
            <w:tcW w:w="90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5,9</w:t>
            </w:r>
          </w:p>
        </w:tc>
        <w:tc>
          <w:tcPr>
            <w:tcW w:w="766"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88,1</w:t>
            </w:r>
          </w:p>
        </w:tc>
        <w:tc>
          <w:tcPr>
            <w:tcW w:w="1499"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1,6</w:t>
            </w:r>
          </w:p>
        </w:tc>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4,4</w:t>
            </w:r>
          </w:p>
        </w:tc>
        <w:tc>
          <w:tcPr>
            <w:tcW w:w="24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100,0</w:t>
            </w:r>
          </w:p>
        </w:tc>
      </w:tr>
      <w:tr w:rsidR="00841B7F" w:rsidRPr="00650B7D" w:rsidTr="00FD319A">
        <w:trPr>
          <w:trHeight w:val="300"/>
          <w:jc w:val="center"/>
        </w:trPr>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Pr>
                <w:rFonts w:eastAsia="Times New Roman" w:cs="Calibri"/>
                <w:color w:val="000000"/>
                <w:lang w:eastAsia="pt-BR"/>
              </w:rPr>
              <w:t>Desempregado</w:t>
            </w:r>
          </w:p>
        </w:tc>
        <w:tc>
          <w:tcPr>
            <w:tcW w:w="90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8,1</w:t>
            </w:r>
          </w:p>
        </w:tc>
        <w:tc>
          <w:tcPr>
            <w:tcW w:w="766"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9,3</w:t>
            </w:r>
          </w:p>
        </w:tc>
        <w:tc>
          <w:tcPr>
            <w:tcW w:w="1499"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53,8</w:t>
            </w:r>
          </w:p>
        </w:tc>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28,7</w:t>
            </w:r>
          </w:p>
        </w:tc>
        <w:tc>
          <w:tcPr>
            <w:tcW w:w="24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100,0</w:t>
            </w:r>
          </w:p>
        </w:tc>
      </w:tr>
      <w:tr w:rsidR="00841B7F" w:rsidRPr="00650B7D" w:rsidTr="00FD319A">
        <w:trPr>
          <w:trHeight w:val="300"/>
          <w:jc w:val="center"/>
        </w:trPr>
        <w:tc>
          <w:tcPr>
            <w:tcW w:w="1897" w:type="dxa"/>
            <w:tcBorders>
              <w:top w:val="nil"/>
              <w:left w:val="nil"/>
              <w:bottom w:val="nil"/>
              <w:right w:val="nil"/>
            </w:tcBorders>
            <w:shd w:val="clear" w:color="000000" w:fill="FFFFFF"/>
            <w:noWrap/>
            <w:vAlign w:val="bottom"/>
            <w:hideMark/>
          </w:tcPr>
          <w:p w:rsidR="00841B7F" w:rsidRPr="005A66B1" w:rsidRDefault="00841B7F" w:rsidP="001F03CD">
            <w:pPr>
              <w:spacing w:after="0" w:line="240" w:lineRule="auto"/>
              <w:jc w:val="center"/>
              <w:rPr>
                <w:rFonts w:eastAsia="Times New Roman" w:cs="Calibri"/>
                <w:color w:val="000000"/>
                <w:lang w:val="en-US" w:eastAsia="pt-BR"/>
              </w:rPr>
            </w:pPr>
            <w:r w:rsidRPr="005A66B1">
              <w:rPr>
                <w:rFonts w:eastAsia="Times New Roman" w:cs="Calibri"/>
                <w:color w:val="000000"/>
                <w:lang w:val="en-US" w:eastAsia="pt-BR"/>
              </w:rPr>
              <w:t>Fora da PEA</w:t>
            </w:r>
          </w:p>
        </w:tc>
        <w:tc>
          <w:tcPr>
            <w:tcW w:w="90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2,1</w:t>
            </w:r>
          </w:p>
        </w:tc>
        <w:tc>
          <w:tcPr>
            <w:tcW w:w="766"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3,8</w:t>
            </w:r>
          </w:p>
        </w:tc>
        <w:tc>
          <w:tcPr>
            <w:tcW w:w="1499"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5,0</w:t>
            </w:r>
          </w:p>
        </w:tc>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89,1</w:t>
            </w:r>
          </w:p>
        </w:tc>
        <w:tc>
          <w:tcPr>
            <w:tcW w:w="24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100,0</w:t>
            </w:r>
          </w:p>
        </w:tc>
      </w:tr>
      <w:tr w:rsidR="00841B7F" w:rsidRPr="00650B7D" w:rsidTr="00FD319A">
        <w:trPr>
          <w:trHeight w:val="315"/>
          <w:jc w:val="center"/>
        </w:trPr>
        <w:tc>
          <w:tcPr>
            <w:tcW w:w="1897"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Total</w:t>
            </w:r>
          </w:p>
        </w:tc>
        <w:tc>
          <w:tcPr>
            <w:tcW w:w="90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10,7</w:t>
            </w:r>
          </w:p>
        </w:tc>
        <w:tc>
          <w:tcPr>
            <w:tcW w:w="766"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38,6</w:t>
            </w:r>
          </w:p>
        </w:tc>
        <w:tc>
          <w:tcPr>
            <w:tcW w:w="1499"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7,1</w:t>
            </w:r>
          </w:p>
        </w:tc>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43,6</w:t>
            </w:r>
          </w:p>
        </w:tc>
        <w:tc>
          <w:tcPr>
            <w:tcW w:w="24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100,0</w:t>
            </w:r>
          </w:p>
        </w:tc>
      </w:tr>
      <w:tr w:rsidR="00841B7F" w:rsidRPr="00650B7D" w:rsidTr="00FD319A">
        <w:trPr>
          <w:trHeight w:val="315"/>
          <w:jc w:val="center"/>
        </w:trPr>
        <w:tc>
          <w:tcPr>
            <w:tcW w:w="7205" w:type="dxa"/>
            <w:gridSpan w:val="6"/>
            <w:tcBorders>
              <w:top w:val="single" w:sz="8" w:space="0" w:color="auto"/>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2011</w:t>
            </w:r>
            <w:r>
              <w:rPr>
                <w:rFonts w:eastAsia="Times New Roman" w:cs="Calibri"/>
                <w:color w:val="000000"/>
                <w:lang w:eastAsia="pt-BR"/>
              </w:rPr>
              <w:t xml:space="preserve"> (em %)</w:t>
            </w:r>
          </w:p>
        </w:tc>
      </w:tr>
      <w:tr w:rsidR="00841B7F" w:rsidRPr="00650B7D" w:rsidTr="00FD319A">
        <w:trPr>
          <w:trHeight w:val="315"/>
          <w:jc w:val="center"/>
        </w:trPr>
        <w:tc>
          <w:tcPr>
            <w:tcW w:w="1897"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 </w:t>
            </w:r>
          </w:p>
        </w:tc>
        <w:tc>
          <w:tcPr>
            <w:tcW w:w="903"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Informal</w:t>
            </w:r>
          </w:p>
        </w:tc>
        <w:tc>
          <w:tcPr>
            <w:tcW w:w="766"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Formal</w:t>
            </w:r>
          </w:p>
        </w:tc>
        <w:tc>
          <w:tcPr>
            <w:tcW w:w="1499"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Pr>
                <w:rFonts w:eastAsia="Times New Roman" w:cs="Calibri"/>
                <w:color w:val="000000"/>
                <w:lang w:eastAsia="pt-BR"/>
              </w:rPr>
              <w:t>Desempregado</w:t>
            </w:r>
          </w:p>
        </w:tc>
        <w:tc>
          <w:tcPr>
            <w:tcW w:w="1897"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5A66B1">
              <w:rPr>
                <w:rFonts w:eastAsia="Times New Roman" w:cs="Calibri"/>
                <w:color w:val="000000"/>
                <w:lang w:val="en-US" w:eastAsia="pt-BR"/>
              </w:rPr>
              <w:t>Fora da PEA</w:t>
            </w:r>
          </w:p>
        </w:tc>
        <w:tc>
          <w:tcPr>
            <w:tcW w:w="243"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Total</w:t>
            </w:r>
          </w:p>
        </w:tc>
      </w:tr>
      <w:tr w:rsidR="00841B7F" w:rsidRPr="00650B7D" w:rsidTr="00FD319A">
        <w:trPr>
          <w:trHeight w:val="300"/>
          <w:jc w:val="center"/>
        </w:trPr>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Informal</w:t>
            </w:r>
          </w:p>
        </w:tc>
        <w:tc>
          <w:tcPr>
            <w:tcW w:w="90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66,6</w:t>
            </w:r>
          </w:p>
        </w:tc>
        <w:tc>
          <w:tcPr>
            <w:tcW w:w="766"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23,0</w:t>
            </w:r>
          </w:p>
        </w:tc>
        <w:tc>
          <w:tcPr>
            <w:tcW w:w="1499"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2,0</w:t>
            </w:r>
          </w:p>
        </w:tc>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8,4</w:t>
            </w:r>
          </w:p>
        </w:tc>
        <w:tc>
          <w:tcPr>
            <w:tcW w:w="24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100,0</w:t>
            </w:r>
          </w:p>
        </w:tc>
      </w:tr>
      <w:tr w:rsidR="00841B7F" w:rsidRPr="00650B7D" w:rsidTr="00FD319A">
        <w:trPr>
          <w:trHeight w:val="300"/>
          <w:jc w:val="center"/>
        </w:trPr>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lastRenderedPageBreak/>
              <w:t>Formal</w:t>
            </w:r>
          </w:p>
        </w:tc>
        <w:tc>
          <w:tcPr>
            <w:tcW w:w="90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4,2</w:t>
            </w:r>
          </w:p>
        </w:tc>
        <w:tc>
          <w:tcPr>
            <w:tcW w:w="766"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91,0</w:t>
            </w:r>
          </w:p>
        </w:tc>
        <w:tc>
          <w:tcPr>
            <w:tcW w:w="1499"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0,8</w:t>
            </w:r>
          </w:p>
        </w:tc>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4,0</w:t>
            </w:r>
          </w:p>
        </w:tc>
        <w:tc>
          <w:tcPr>
            <w:tcW w:w="24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100,0</w:t>
            </w:r>
          </w:p>
        </w:tc>
      </w:tr>
      <w:tr w:rsidR="00841B7F" w:rsidRPr="00650B7D" w:rsidTr="00FD319A">
        <w:trPr>
          <w:trHeight w:val="300"/>
          <w:jc w:val="center"/>
        </w:trPr>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Pr>
                <w:rFonts w:eastAsia="Times New Roman" w:cs="Calibri"/>
                <w:color w:val="000000"/>
                <w:lang w:eastAsia="pt-BR"/>
              </w:rPr>
              <w:t>Desempregado</w:t>
            </w:r>
          </w:p>
        </w:tc>
        <w:tc>
          <w:tcPr>
            <w:tcW w:w="90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7,3</w:t>
            </w:r>
          </w:p>
        </w:tc>
        <w:tc>
          <w:tcPr>
            <w:tcW w:w="766"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13,2</w:t>
            </w:r>
          </w:p>
        </w:tc>
        <w:tc>
          <w:tcPr>
            <w:tcW w:w="1499"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47,0</w:t>
            </w:r>
          </w:p>
        </w:tc>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32,6</w:t>
            </w:r>
          </w:p>
        </w:tc>
        <w:tc>
          <w:tcPr>
            <w:tcW w:w="24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100,0</w:t>
            </w:r>
          </w:p>
        </w:tc>
      </w:tr>
      <w:tr w:rsidR="00841B7F" w:rsidRPr="00650B7D" w:rsidTr="00FD319A">
        <w:trPr>
          <w:trHeight w:val="300"/>
          <w:jc w:val="center"/>
        </w:trPr>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5A66B1">
              <w:rPr>
                <w:rFonts w:eastAsia="Times New Roman" w:cs="Calibri"/>
                <w:color w:val="000000"/>
                <w:lang w:val="en-US" w:eastAsia="pt-BR"/>
              </w:rPr>
              <w:t>Fora da PEA</w:t>
            </w:r>
          </w:p>
        </w:tc>
        <w:tc>
          <w:tcPr>
            <w:tcW w:w="90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1,9</w:t>
            </w:r>
          </w:p>
        </w:tc>
        <w:tc>
          <w:tcPr>
            <w:tcW w:w="766"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3,8</w:t>
            </w:r>
          </w:p>
        </w:tc>
        <w:tc>
          <w:tcPr>
            <w:tcW w:w="1499"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2,7</w:t>
            </w:r>
          </w:p>
        </w:tc>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91,6</w:t>
            </w:r>
          </w:p>
        </w:tc>
        <w:tc>
          <w:tcPr>
            <w:tcW w:w="24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100,0</w:t>
            </w:r>
          </w:p>
        </w:tc>
      </w:tr>
      <w:tr w:rsidR="00841B7F" w:rsidRPr="00650B7D" w:rsidTr="00FD319A">
        <w:trPr>
          <w:trHeight w:val="315"/>
          <w:jc w:val="center"/>
        </w:trPr>
        <w:tc>
          <w:tcPr>
            <w:tcW w:w="1897"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Total</w:t>
            </w:r>
          </w:p>
        </w:tc>
        <w:tc>
          <w:tcPr>
            <w:tcW w:w="90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8,9</w:t>
            </w:r>
          </w:p>
        </w:tc>
        <w:tc>
          <w:tcPr>
            <w:tcW w:w="766"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44,3</w:t>
            </w:r>
          </w:p>
        </w:tc>
        <w:tc>
          <w:tcPr>
            <w:tcW w:w="1499"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3,3</w:t>
            </w:r>
          </w:p>
        </w:tc>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43,5</w:t>
            </w:r>
          </w:p>
        </w:tc>
        <w:tc>
          <w:tcPr>
            <w:tcW w:w="24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100,0</w:t>
            </w:r>
          </w:p>
        </w:tc>
      </w:tr>
      <w:tr w:rsidR="00841B7F" w:rsidRPr="00650B7D" w:rsidTr="00FD319A">
        <w:trPr>
          <w:trHeight w:val="315"/>
          <w:jc w:val="center"/>
        </w:trPr>
        <w:tc>
          <w:tcPr>
            <w:tcW w:w="7205" w:type="dxa"/>
            <w:gridSpan w:val="6"/>
            <w:tcBorders>
              <w:top w:val="single" w:sz="8" w:space="0" w:color="auto"/>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Variação entre 2003 e 2011</w:t>
            </w:r>
            <w:r>
              <w:rPr>
                <w:rFonts w:eastAsia="Times New Roman" w:cs="Calibri"/>
                <w:color w:val="000000"/>
                <w:lang w:eastAsia="pt-BR"/>
              </w:rPr>
              <w:t xml:space="preserve"> (em p.p.)</w:t>
            </w:r>
          </w:p>
        </w:tc>
      </w:tr>
      <w:tr w:rsidR="00841B7F" w:rsidRPr="00650B7D" w:rsidTr="00FD319A">
        <w:trPr>
          <w:trHeight w:val="315"/>
          <w:jc w:val="center"/>
        </w:trPr>
        <w:tc>
          <w:tcPr>
            <w:tcW w:w="1897"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 </w:t>
            </w:r>
          </w:p>
        </w:tc>
        <w:tc>
          <w:tcPr>
            <w:tcW w:w="903"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Informal</w:t>
            </w:r>
          </w:p>
        </w:tc>
        <w:tc>
          <w:tcPr>
            <w:tcW w:w="766"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Formal</w:t>
            </w:r>
          </w:p>
        </w:tc>
        <w:tc>
          <w:tcPr>
            <w:tcW w:w="1499"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Pr>
                <w:rFonts w:eastAsia="Times New Roman" w:cs="Calibri"/>
                <w:color w:val="000000"/>
                <w:lang w:eastAsia="pt-BR"/>
              </w:rPr>
              <w:t>Desempregado</w:t>
            </w:r>
          </w:p>
        </w:tc>
        <w:tc>
          <w:tcPr>
            <w:tcW w:w="1897"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5A66B1">
              <w:rPr>
                <w:rFonts w:eastAsia="Times New Roman" w:cs="Calibri"/>
                <w:color w:val="000000"/>
                <w:lang w:val="en-US" w:eastAsia="pt-BR"/>
              </w:rPr>
              <w:t>Fora da PEA</w:t>
            </w:r>
          </w:p>
        </w:tc>
        <w:tc>
          <w:tcPr>
            <w:tcW w:w="243"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Total</w:t>
            </w:r>
          </w:p>
        </w:tc>
      </w:tr>
      <w:tr w:rsidR="00841B7F" w:rsidRPr="00650B7D" w:rsidTr="00FD319A">
        <w:trPr>
          <w:trHeight w:val="300"/>
          <w:jc w:val="center"/>
        </w:trPr>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Informal</w:t>
            </w:r>
          </w:p>
        </w:tc>
        <w:tc>
          <w:tcPr>
            <w:tcW w:w="90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1,0</w:t>
            </w:r>
          </w:p>
        </w:tc>
        <w:tc>
          <w:tcPr>
            <w:tcW w:w="766"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0,6</w:t>
            </w:r>
          </w:p>
        </w:tc>
        <w:tc>
          <w:tcPr>
            <w:tcW w:w="1499"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-2,0</w:t>
            </w:r>
          </w:p>
        </w:tc>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0,5</w:t>
            </w:r>
          </w:p>
        </w:tc>
        <w:tc>
          <w:tcPr>
            <w:tcW w:w="24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0,0</w:t>
            </w:r>
          </w:p>
        </w:tc>
      </w:tr>
      <w:tr w:rsidR="00841B7F" w:rsidRPr="00650B7D" w:rsidTr="00FD319A">
        <w:trPr>
          <w:trHeight w:val="300"/>
          <w:jc w:val="center"/>
        </w:trPr>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Formal</w:t>
            </w:r>
          </w:p>
        </w:tc>
        <w:tc>
          <w:tcPr>
            <w:tcW w:w="90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-1,7</w:t>
            </w:r>
          </w:p>
        </w:tc>
        <w:tc>
          <w:tcPr>
            <w:tcW w:w="766"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2,9</w:t>
            </w:r>
          </w:p>
        </w:tc>
        <w:tc>
          <w:tcPr>
            <w:tcW w:w="1499"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-0,8</w:t>
            </w:r>
          </w:p>
        </w:tc>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-0,4</w:t>
            </w:r>
          </w:p>
        </w:tc>
        <w:tc>
          <w:tcPr>
            <w:tcW w:w="24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0,0</w:t>
            </w:r>
          </w:p>
        </w:tc>
      </w:tr>
      <w:tr w:rsidR="00841B7F" w:rsidRPr="00650B7D" w:rsidTr="00FD319A">
        <w:trPr>
          <w:trHeight w:val="300"/>
          <w:jc w:val="center"/>
        </w:trPr>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Pr>
                <w:rFonts w:eastAsia="Times New Roman" w:cs="Calibri"/>
                <w:color w:val="000000"/>
                <w:lang w:eastAsia="pt-BR"/>
              </w:rPr>
              <w:t>Desempregado</w:t>
            </w:r>
          </w:p>
        </w:tc>
        <w:tc>
          <w:tcPr>
            <w:tcW w:w="90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-0,8</w:t>
            </w:r>
          </w:p>
        </w:tc>
        <w:tc>
          <w:tcPr>
            <w:tcW w:w="766"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3,8</w:t>
            </w:r>
          </w:p>
        </w:tc>
        <w:tc>
          <w:tcPr>
            <w:tcW w:w="1499"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-6,9</w:t>
            </w:r>
          </w:p>
        </w:tc>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3,9</w:t>
            </w:r>
          </w:p>
        </w:tc>
        <w:tc>
          <w:tcPr>
            <w:tcW w:w="24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0,0</w:t>
            </w:r>
          </w:p>
        </w:tc>
      </w:tr>
      <w:tr w:rsidR="00841B7F" w:rsidRPr="00650B7D" w:rsidTr="00FD319A">
        <w:trPr>
          <w:trHeight w:val="300"/>
          <w:jc w:val="center"/>
        </w:trPr>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5A66B1">
              <w:rPr>
                <w:rFonts w:eastAsia="Times New Roman" w:cs="Calibri"/>
                <w:color w:val="000000"/>
                <w:lang w:val="en-US" w:eastAsia="pt-BR"/>
              </w:rPr>
              <w:t>Fora da PEA</w:t>
            </w:r>
          </w:p>
        </w:tc>
        <w:tc>
          <w:tcPr>
            <w:tcW w:w="90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-0,2</w:t>
            </w:r>
          </w:p>
        </w:tc>
        <w:tc>
          <w:tcPr>
            <w:tcW w:w="766"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0,1</w:t>
            </w:r>
          </w:p>
        </w:tc>
        <w:tc>
          <w:tcPr>
            <w:tcW w:w="1499"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-2,3</w:t>
            </w:r>
          </w:p>
        </w:tc>
        <w:tc>
          <w:tcPr>
            <w:tcW w:w="1897"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2,5</w:t>
            </w:r>
          </w:p>
        </w:tc>
        <w:tc>
          <w:tcPr>
            <w:tcW w:w="243" w:type="dxa"/>
            <w:tcBorders>
              <w:top w:val="nil"/>
              <w:left w:val="nil"/>
              <w:bottom w:val="nil"/>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0,0</w:t>
            </w:r>
          </w:p>
        </w:tc>
      </w:tr>
      <w:tr w:rsidR="00841B7F" w:rsidRPr="00650B7D" w:rsidTr="00FD319A">
        <w:trPr>
          <w:trHeight w:val="315"/>
          <w:jc w:val="center"/>
        </w:trPr>
        <w:tc>
          <w:tcPr>
            <w:tcW w:w="1897"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Total</w:t>
            </w:r>
          </w:p>
        </w:tc>
        <w:tc>
          <w:tcPr>
            <w:tcW w:w="903"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-1,8</w:t>
            </w:r>
          </w:p>
        </w:tc>
        <w:tc>
          <w:tcPr>
            <w:tcW w:w="766"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5,7</w:t>
            </w:r>
          </w:p>
        </w:tc>
        <w:tc>
          <w:tcPr>
            <w:tcW w:w="1499"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-3,7</w:t>
            </w:r>
          </w:p>
        </w:tc>
        <w:tc>
          <w:tcPr>
            <w:tcW w:w="1897"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-0,1</w:t>
            </w:r>
          </w:p>
        </w:tc>
        <w:tc>
          <w:tcPr>
            <w:tcW w:w="243" w:type="dxa"/>
            <w:tcBorders>
              <w:top w:val="nil"/>
              <w:left w:val="nil"/>
              <w:bottom w:val="single" w:sz="8" w:space="0" w:color="auto"/>
              <w:right w:val="nil"/>
            </w:tcBorders>
            <w:shd w:val="clear" w:color="000000" w:fill="FFFFFF"/>
            <w:noWrap/>
            <w:vAlign w:val="bottom"/>
            <w:hideMark/>
          </w:tcPr>
          <w:p w:rsidR="00841B7F" w:rsidRPr="00650B7D" w:rsidRDefault="00841B7F" w:rsidP="001F03CD">
            <w:pPr>
              <w:spacing w:after="0" w:line="240" w:lineRule="auto"/>
              <w:jc w:val="center"/>
              <w:rPr>
                <w:rFonts w:eastAsia="Times New Roman" w:cs="Calibri"/>
                <w:color w:val="000000"/>
                <w:lang w:eastAsia="pt-BR"/>
              </w:rPr>
            </w:pPr>
            <w:r w:rsidRPr="00650B7D">
              <w:rPr>
                <w:rFonts w:eastAsia="Times New Roman" w:cs="Calibri"/>
                <w:color w:val="000000"/>
                <w:lang w:eastAsia="pt-BR"/>
              </w:rPr>
              <w:t>0,0</w:t>
            </w:r>
          </w:p>
        </w:tc>
      </w:tr>
    </w:tbl>
    <w:p w:rsidR="00841B7F" w:rsidRDefault="00841B7F" w:rsidP="001F03CD">
      <w:pPr>
        <w:spacing w:line="240" w:lineRule="auto"/>
        <w:ind w:firstLine="708"/>
        <w:jc w:val="both"/>
        <w:rPr>
          <w:rFonts w:ascii="Times New Roman" w:hAnsi="Times New Roman"/>
          <w:sz w:val="24"/>
          <w:szCs w:val="24"/>
        </w:rPr>
      </w:pPr>
    </w:p>
    <w:p w:rsidR="00E749F6" w:rsidRDefault="00503B49" w:rsidP="001F03CD">
      <w:pPr>
        <w:spacing w:line="240" w:lineRule="auto"/>
        <w:ind w:firstLine="708"/>
        <w:jc w:val="both"/>
        <w:rPr>
          <w:rFonts w:ascii="Times New Roman" w:hAnsi="Times New Roman"/>
          <w:sz w:val="24"/>
          <w:szCs w:val="24"/>
        </w:rPr>
      </w:pPr>
      <w:r>
        <w:rPr>
          <w:rFonts w:ascii="Times New Roman" w:hAnsi="Times New Roman"/>
          <w:sz w:val="24"/>
          <w:szCs w:val="24"/>
        </w:rPr>
        <w:t>Assim, n</w:t>
      </w:r>
      <w:r w:rsidR="00D92A3C">
        <w:rPr>
          <w:rFonts w:ascii="Times New Roman" w:hAnsi="Times New Roman"/>
          <w:sz w:val="24"/>
          <w:szCs w:val="24"/>
        </w:rPr>
        <w:t>a comparação entre 2002 e 2011</w:t>
      </w:r>
      <w:r w:rsidR="008804A8">
        <w:rPr>
          <w:rFonts w:ascii="Times New Roman" w:hAnsi="Times New Roman"/>
          <w:sz w:val="24"/>
          <w:szCs w:val="24"/>
        </w:rPr>
        <w:t>, corrobora-se a análise acima:</w:t>
      </w:r>
      <w:r w:rsidR="00D92A3C">
        <w:rPr>
          <w:rFonts w:ascii="Times New Roman" w:hAnsi="Times New Roman"/>
          <w:sz w:val="24"/>
          <w:szCs w:val="24"/>
        </w:rPr>
        <w:t xml:space="preserve"> nota-se o aumento </w:t>
      </w:r>
      <w:r w:rsidR="00D20B01">
        <w:rPr>
          <w:rFonts w:ascii="Times New Roman" w:hAnsi="Times New Roman"/>
          <w:sz w:val="24"/>
          <w:szCs w:val="24"/>
        </w:rPr>
        <w:t>da probabilidade de transição de</w:t>
      </w:r>
      <w:r w:rsidR="00D92A3C">
        <w:rPr>
          <w:rFonts w:ascii="Times New Roman" w:hAnsi="Times New Roman"/>
          <w:sz w:val="24"/>
          <w:szCs w:val="24"/>
        </w:rPr>
        <w:t xml:space="preserve"> trabalhadores indo da informalidade para a formalidade.</w:t>
      </w:r>
      <w:r w:rsidR="003E5FB4">
        <w:rPr>
          <w:rFonts w:ascii="Times New Roman" w:hAnsi="Times New Roman"/>
          <w:sz w:val="24"/>
          <w:szCs w:val="24"/>
        </w:rPr>
        <w:t xml:space="preserve"> Esse aumento foi de </w:t>
      </w:r>
      <w:r w:rsidR="00650B7D">
        <w:rPr>
          <w:rFonts w:ascii="Times New Roman" w:hAnsi="Times New Roman"/>
          <w:sz w:val="24"/>
          <w:szCs w:val="24"/>
        </w:rPr>
        <w:t>2</w:t>
      </w:r>
      <w:r w:rsidR="003E5FB4">
        <w:rPr>
          <w:rFonts w:ascii="Times New Roman" w:hAnsi="Times New Roman"/>
          <w:sz w:val="24"/>
          <w:szCs w:val="24"/>
        </w:rPr>
        <w:t xml:space="preserve"> ponto</w:t>
      </w:r>
      <w:r w:rsidR="00650B7D">
        <w:rPr>
          <w:rFonts w:ascii="Times New Roman" w:hAnsi="Times New Roman"/>
          <w:sz w:val="24"/>
          <w:szCs w:val="24"/>
        </w:rPr>
        <w:t>s</w:t>
      </w:r>
      <w:r w:rsidR="003E5FB4">
        <w:rPr>
          <w:rFonts w:ascii="Times New Roman" w:hAnsi="Times New Roman"/>
          <w:sz w:val="24"/>
          <w:szCs w:val="24"/>
        </w:rPr>
        <w:t xml:space="preserve"> percentua</w:t>
      </w:r>
      <w:r w:rsidR="00650B7D">
        <w:rPr>
          <w:rFonts w:ascii="Times New Roman" w:hAnsi="Times New Roman"/>
          <w:sz w:val="24"/>
          <w:szCs w:val="24"/>
        </w:rPr>
        <w:t>is</w:t>
      </w:r>
      <w:r w:rsidR="003E5FB4">
        <w:rPr>
          <w:rFonts w:ascii="Times New Roman" w:hAnsi="Times New Roman"/>
          <w:sz w:val="24"/>
          <w:szCs w:val="24"/>
        </w:rPr>
        <w:t xml:space="preserve"> (p.p.) a mais (</w:t>
      </w:r>
      <w:r w:rsidR="00A35464">
        <w:rPr>
          <w:rFonts w:ascii="Times New Roman" w:hAnsi="Times New Roman"/>
          <w:sz w:val="24"/>
          <w:szCs w:val="24"/>
        </w:rPr>
        <w:t xml:space="preserve">ver Painel “Variação entre 2002 e 2011”: </w:t>
      </w:r>
      <w:r w:rsidR="003E5FB4">
        <w:rPr>
          <w:rFonts w:ascii="Times New Roman" w:hAnsi="Times New Roman"/>
          <w:sz w:val="24"/>
          <w:szCs w:val="24"/>
        </w:rPr>
        <w:t xml:space="preserve">linha Informal, coluna Formal). Além disso, </w:t>
      </w:r>
      <w:r w:rsidR="001A44A6">
        <w:rPr>
          <w:rFonts w:ascii="Times New Roman" w:hAnsi="Times New Roman"/>
          <w:sz w:val="24"/>
          <w:szCs w:val="24"/>
        </w:rPr>
        <w:t>a probabilidade</w:t>
      </w:r>
      <w:r w:rsidR="003E5FB4">
        <w:rPr>
          <w:rFonts w:ascii="Times New Roman" w:hAnsi="Times New Roman"/>
          <w:sz w:val="24"/>
          <w:szCs w:val="24"/>
        </w:rPr>
        <w:t xml:space="preserve"> no sentido contrário reduziu-se em </w:t>
      </w:r>
      <w:r w:rsidR="00650B7D">
        <w:rPr>
          <w:rFonts w:ascii="Times New Roman" w:hAnsi="Times New Roman"/>
          <w:sz w:val="24"/>
          <w:szCs w:val="24"/>
        </w:rPr>
        <w:t>1,7</w:t>
      </w:r>
      <w:r w:rsidR="003E5FB4">
        <w:rPr>
          <w:rFonts w:ascii="Times New Roman" w:hAnsi="Times New Roman"/>
          <w:sz w:val="24"/>
          <w:szCs w:val="24"/>
        </w:rPr>
        <w:t xml:space="preserve"> p.p. (linha Formal, coluna Informal). Assim, aumentou o fluxo líquido de trabalhadores do setor informal para o formal.</w:t>
      </w:r>
      <w:r w:rsidR="001F6E8B">
        <w:rPr>
          <w:rFonts w:ascii="Times New Roman" w:hAnsi="Times New Roman"/>
          <w:sz w:val="24"/>
          <w:szCs w:val="24"/>
        </w:rPr>
        <w:t xml:space="preserve"> Outro fator que auxiliou o aumento (queda) da (in)formalidade foi a geração de empregos. Nota-se uma redução de 0,</w:t>
      </w:r>
      <w:r w:rsidR="00650B7D">
        <w:rPr>
          <w:rFonts w:ascii="Times New Roman" w:hAnsi="Times New Roman"/>
          <w:sz w:val="24"/>
          <w:szCs w:val="24"/>
        </w:rPr>
        <w:t>8</w:t>
      </w:r>
      <w:r w:rsidR="001F6E8B">
        <w:rPr>
          <w:rFonts w:ascii="Times New Roman" w:hAnsi="Times New Roman"/>
          <w:sz w:val="24"/>
          <w:szCs w:val="24"/>
        </w:rPr>
        <w:t xml:space="preserve"> (2</w:t>
      </w:r>
      <w:r w:rsidR="00650B7D">
        <w:rPr>
          <w:rFonts w:ascii="Times New Roman" w:hAnsi="Times New Roman"/>
          <w:sz w:val="24"/>
          <w:szCs w:val="24"/>
        </w:rPr>
        <w:t>,0</w:t>
      </w:r>
      <w:r w:rsidR="001F6E8B">
        <w:rPr>
          <w:rFonts w:ascii="Times New Roman" w:hAnsi="Times New Roman"/>
          <w:sz w:val="24"/>
          <w:szCs w:val="24"/>
        </w:rPr>
        <w:t>) p.p. do fluxo da (in)formalidade para o desemprego.</w:t>
      </w:r>
      <w:r w:rsidR="0096492B">
        <w:rPr>
          <w:rFonts w:ascii="Times New Roman" w:hAnsi="Times New Roman"/>
          <w:sz w:val="24"/>
          <w:szCs w:val="24"/>
        </w:rPr>
        <w:t xml:space="preserve"> No sentido oposto, observa-se um crescimento de </w:t>
      </w:r>
      <w:r w:rsidR="00650B7D">
        <w:rPr>
          <w:rFonts w:ascii="Times New Roman" w:hAnsi="Times New Roman"/>
          <w:sz w:val="24"/>
          <w:szCs w:val="24"/>
        </w:rPr>
        <w:t>3,8</w:t>
      </w:r>
      <w:r w:rsidR="0096492B">
        <w:rPr>
          <w:rFonts w:ascii="Times New Roman" w:hAnsi="Times New Roman"/>
          <w:sz w:val="24"/>
          <w:szCs w:val="24"/>
        </w:rPr>
        <w:t xml:space="preserve"> (</w:t>
      </w:r>
      <w:r w:rsidR="00EE5B2D">
        <w:rPr>
          <w:rFonts w:ascii="Times New Roman" w:hAnsi="Times New Roman"/>
          <w:sz w:val="24"/>
          <w:szCs w:val="24"/>
        </w:rPr>
        <w:t>-</w:t>
      </w:r>
      <w:r w:rsidR="0096492B">
        <w:rPr>
          <w:rFonts w:ascii="Times New Roman" w:hAnsi="Times New Roman"/>
          <w:sz w:val="24"/>
          <w:szCs w:val="24"/>
        </w:rPr>
        <w:t>0,</w:t>
      </w:r>
      <w:r w:rsidR="00650B7D">
        <w:rPr>
          <w:rFonts w:ascii="Times New Roman" w:hAnsi="Times New Roman"/>
          <w:sz w:val="24"/>
          <w:szCs w:val="24"/>
        </w:rPr>
        <w:t>8</w:t>
      </w:r>
      <w:r w:rsidR="0096492B">
        <w:rPr>
          <w:rFonts w:ascii="Times New Roman" w:hAnsi="Times New Roman"/>
          <w:sz w:val="24"/>
          <w:szCs w:val="24"/>
        </w:rPr>
        <w:t xml:space="preserve">) p.p. do desemprego para a (in)formalidade. Ou seja, </w:t>
      </w:r>
      <w:r w:rsidR="008804A8">
        <w:rPr>
          <w:rFonts w:ascii="Times New Roman" w:hAnsi="Times New Roman"/>
          <w:sz w:val="24"/>
          <w:szCs w:val="24"/>
        </w:rPr>
        <w:t>enquanto</w:t>
      </w:r>
      <w:r w:rsidR="0096492B">
        <w:rPr>
          <w:rFonts w:ascii="Times New Roman" w:hAnsi="Times New Roman"/>
          <w:sz w:val="24"/>
          <w:szCs w:val="24"/>
        </w:rPr>
        <w:t xml:space="preserve"> </w:t>
      </w:r>
      <w:r w:rsidR="008804A8">
        <w:rPr>
          <w:rFonts w:ascii="Times New Roman" w:hAnsi="Times New Roman"/>
          <w:sz w:val="24"/>
          <w:szCs w:val="24"/>
        </w:rPr>
        <w:t>o setor informal reduziu o fluxo de contratações</w:t>
      </w:r>
      <w:r w:rsidR="0096492B">
        <w:rPr>
          <w:rFonts w:ascii="Times New Roman" w:hAnsi="Times New Roman"/>
          <w:sz w:val="24"/>
          <w:szCs w:val="24"/>
        </w:rPr>
        <w:t xml:space="preserve">, </w:t>
      </w:r>
      <w:r w:rsidR="008804A8">
        <w:rPr>
          <w:rFonts w:ascii="Times New Roman" w:hAnsi="Times New Roman"/>
          <w:sz w:val="24"/>
          <w:szCs w:val="24"/>
        </w:rPr>
        <w:t>o setor formal passou a gerar empregos para os desempregados, mais que compensando a perda de trabalhadores que se tornaram inativos do mercado de trabalho (fora da PEA)</w:t>
      </w:r>
      <w:r w:rsidR="0096492B">
        <w:rPr>
          <w:rFonts w:ascii="Times New Roman" w:hAnsi="Times New Roman"/>
          <w:sz w:val="24"/>
          <w:szCs w:val="24"/>
        </w:rPr>
        <w:t>.</w:t>
      </w:r>
      <w:r w:rsidR="005A4CF8">
        <w:rPr>
          <w:rFonts w:ascii="Times New Roman" w:hAnsi="Times New Roman"/>
          <w:sz w:val="24"/>
          <w:szCs w:val="24"/>
        </w:rPr>
        <w:t xml:space="preserve"> Também se destaca o queda (aumento) da</w:t>
      </w:r>
      <w:r w:rsidR="006519E4">
        <w:rPr>
          <w:rFonts w:ascii="Times New Roman" w:hAnsi="Times New Roman"/>
          <w:sz w:val="24"/>
          <w:szCs w:val="24"/>
        </w:rPr>
        <w:t xml:space="preserve"> probabilidade de</w:t>
      </w:r>
      <w:r w:rsidR="005A4CF8">
        <w:rPr>
          <w:rFonts w:ascii="Times New Roman" w:hAnsi="Times New Roman"/>
          <w:sz w:val="24"/>
          <w:szCs w:val="24"/>
        </w:rPr>
        <w:t xml:space="preserve"> transição dos (in)formais para fora da PEA em  0,4 (0,5) p.p.. No sentido oposto, observa-se um</w:t>
      </w:r>
      <w:r w:rsidR="0058001D">
        <w:rPr>
          <w:rFonts w:ascii="Times New Roman" w:hAnsi="Times New Roman"/>
          <w:sz w:val="24"/>
          <w:szCs w:val="24"/>
        </w:rPr>
        <w:t>(a)</w:t>
      </w:r>
      <w:r w:rsidR="005A4CF8">
        <w:rPr>
          <w:rFonts w:ascii="Times New Roman" w:hAnsi="Times New Roman"/>
          <w:sz w:val="24"/>
          <w:szCs w:val="24"/>
        </w:rPr>
        <w:t xml:space="preserve"> crescimento</w:t>
      </w:r>
      <w:r w:rsidR="0058001D">
        <w:rPr>
          <w:rFonts w:ascii="Times New Roman" w:hAnsi="Times New Roman"/>
          <w:sz w:val="24"/>
          <w:szCs w:val="24"/>
        </w:rPr>
        <w:t xml:space="preserve"> (redução)</w:t>
      </w:r>
      <w:r w:rsidR="005A4CF8">
        <w:rPr>
          <w:rFonts w:ascii="Times New Roman" w:hAnsi="Times New Roman"/>
          <w:sz w:val="24"/>
          <w:szCs w:val="24"/>
        </w:rPr>
        <w:t xml:space="preserve"> de </w:t>
      </w:r>
      <w:r w:rsidR="0058001D">
        <w:rPr>
          <w:rFonts w:ascii="Times New Roman" w:hAnsi="Times New Roman"/>
          <w:sz w:val="24"/>
          <w:szCs w:val="24"/>
        </w:rPr>
        <w:t>0,1 (</w:t>
      </w:r>
      <w:r w:rsidR="005A4CF8">
        <w:rPr>
          <w:rFonts w:ascii="Times New Roman" w:hAnsi="Times New Roman"/>
          <w:sz w:val="24"/>
          <w:szCs w:val="24"/>
        </w:rPr>
        <w:t>0,2</w:t>
      </w:r>
      <w:r w:rsidR="0058001D">
        <w:rPr>
          <w:rFonts w:ascii="Times New Roman" w:hAnsi="Times New Roman"/>
          <w:sz w:val="24"/>
          <w:szCs w:val="24"/>
        </w:rPr>
        <w:t>)</w:t>
      </w:r>
      <w:r w:rsidR="005A4CF8">
        <w:rPr>
          <w:rFonts w:ascii="Times New Roman" w:hAnsi="Times New Roman"/>
          <w:sz w:val="24"/>
          <w:szCs w:val="24"/>
        </w:rPr>
        <w:t xml:space="preserve"> p.p. d</w:t>
      </w:r>
      <w:r w:rsidR="0058001D">
        <w:rPr>
          <w:rFonts w:ascii="Times New Roman" w:hAnsi="Times New Roman"/>
          <w:sz w:val="24"/>
          <w:szCs w:val="24"/>
        </w:rPr>
        <w:t>o fluxo de indivíduos que estavam fora da PEA para o setor (in)formal.</w:t>
      </w:r>
      <w:r w:rsidR="006519E4">
        <w:rPr>
          <w:rFonts w:ascii="Times New Roman" w:hAnsi="Times New Roman"/>
          <w:sz w:val="24"/>
          <w:szCs w:val="24"/>
        </w:rPr>
        <w:t xml:space="preserve"> Em termos líquidos, o fluxo de fora da PEA (formalidade) para a informalidade (fora da PEA) se reduziu um pouco.</w:t>
      </w:r>
    </w:p>
    <w:p w:rsidR="009F1BDF" w:rsidRDefault="008908C1" w:rsidP="001F03CD">
      <w:pPr>
        <w:spacing w:line="240" w:lineRule="auto"/>
        <w:ind w:firstLine="708"/>
        <w:jc w:val="both"/>
        <w:rPr>
          <w:rFonts w:ascii="Times New Roman" w:hAnsi="Times New Roman"/>
          <w:sz w:val="24"/>
          <w:szCs w:val="24"/>
        </w:rPr>
      </w:pPr>
      <w:r>
        <w:rPr>
          <w:rFonts w:ascii="Times New Roman" w:hAnsi="Times New Roman"/>
          <w:sz w:val="24"/>
          <w:szCs w:val="24"/>
        </w:rPr>
        <w:t>De forma geral, o processo de queda da informalidade ocorreu</w:t>
      </w:r>
      <w:r w:rsidR="00D76A3D">
        <w:rPr>
          <w:rFonts w:ascii="Times New Roman" w:hAnsi="Times New Roman"/>
          <w:sz w:val="24"/>
          <w:szCs w:val="24"/>
        </w:rPr>
        <w:t xml:space="preserve"> principalmente</w:t>
      </w:r>
      <w:r>
        <w:rPr>
          <w:rFonts w:ascii="Times New Roman" w:hAnsi="Times New Roman"/>
          <w:sz w:val="24"/>
          <w:szCs w:val="24"/>
        </w:rPr>
        <w:t xml:space="preserve"> através de dois canais: </w:t>
      </w:r>
      <w:r w:rsidR="00795ACC">
        <w:rPr>
          <w:rFonts w:ascii="Times New Roman" w:hAnsi="Times New Roman"/>
          <w:sz w:val="24"/>
          <w:szCs w:val="24"/>
        </w:rPr>
        <w:t xml:space="preserve">aumento da </w:t>
      </w:r>
      <w:r>
        <w:rPr>
          <w:rFonts w:ascii="Times New Roman" w:hAnsi="Times New Roman"/>
          <w:sz w:val="24"/>
          <w:szCs w:val="24"/>
        </w:rPr>
        <w:t xml:space="preserve">transição de trabalhadores do setor informal para o formal e </w:t>
      </w:r>
      <w:r w:rsidR="00795ACC">
        <w:rPr>
          <w:rFonts w:ascii="Times New Roman" w:hAnsi="Times New Roman"/>
          <w:sz w:val="24"/>
          <w:szCs w:val="24"/>
        </w:rPr>
        <w:t xml:space="preserve">da </w:t>
      </w:r>
      <w:r w:rsidR="005A4CF8">
        <w:rPr>
          <w:rFonts w:ascii="Times New Roman" w:hAnsi="Times New Roman"/>
          <w:sz w:val="24"/>
          <w:szCs w:val="24"/>
        </w:rPr>
        <w:t>absorção dos desempregados pelo setor formal.</w:t>
      </w:r>
      <w:r>
        <w:rPr>
          <w:rFonts w:ascii="Times New Roman" w:hAnsi="Times New Roman"/>
          <w:sz w:val="24"/>
          <w:szCs w:val="24"/>
        </w:rPr>
        <w:t xml:space="preserve"> </w:t>
      </w:r>
      <w:r w:rsidR="00CC427A">
        <w:rPr>
          <w:rFonts w:ascii="Times New Roman" w:hAnsi="Times New Roman"/>
          <w:sz w:val="24"/>
          <w:szCs w:val="24"/>
        </w:rPr>
        <w:t>A redução</w:t>
      </w:r>
      <w:r w:rsidR="00795ACC">
        <w:rPr>
          <w:rFonts w:ascii="Times New Roman" w:hAnsi="Times New Roman"/>
          <w:sz w:val="24"/>
          <w:szCs w:val="24"/>
        </w:rPr>
        <w:t xml:space="preserve"> da</w:t>
      </w:r>
      <w:r w:rsidR="005A4CF8">
        <w:rPr>
          <w:rFonts w:ascii="Times New Roman" w:hAnsi="Times New Roman"/>
          <w:sz w:val="24"/>
          <w:szCs w:val="24"/>
        </w:rPr>
        <w:t xml:space="preserve"> </w:t>
      </w:r>
      <w:r w:rsidR="00D76A3D">
        <w:rPr>
          <w:rFonts w:ascii="Times New Roman" w:hAnsi="Times New Roman"/>
          <w:sz w:val="24"/>
          <w:szCs w:val="24"/>
        </w:rPr>
        <w:t>transição dos</w:t>
      </w:r>
      <w:r w:rsidR="00CC427A">
        <w:rPr>
          <w:rFonts w:ascii="Times New Roman" w:hAnsi="Times New Roman"/>
          <w:sz w:val="24"/>
          <w:szCs w:val="24"/>
        </w:rPr>
        <w:t xml:space="preserve"> desempregados e dos que estavam fora da PEA para a informalidade</w:t>
      </w:r>
      <w:r w:rsidR="00D76A3D">
        <w:rPr>
          <w:rFonts w:ascii="Times New Roman" w:hAnsi="Times New Roman"/>
          <w:sz w:val="24"/>
          <w:szCs w:val="24"/>
        </w:rPr>
        <w:t xml:space="preserve"> </w:t>
      </w:r>
      <w:r w:rsidR="002F7056">
        <w:rPr>
          <w:rFonts w:ascii="Times New Roman" w:hAnsi="Times New Roman"/>
          <w:sz w:val="24"/>
          <w:szCs w:val="24"/>
        </w:rPr>
        <w:t>contribuiu</w:t>
      </w:r>
      <w:r w:rsidR="00D76A3D">
        <w:rPr>
          <w:rFonts w:ascii="Times New Roman" w:hAnsi="Times New Roman"/>
          <w:sz w:val="24"/>
          <w:szCs w:val="24"/>
        </w:rPr>
        <w:t xml:space="preserve"> marginalmente para </w:t>
      </w:r>
      <w:r w:rsidR="00CC427A">
        <w:rPr>
          <w:rFonts w:ascii="Times New Roman" w:hAnsi="Times New Roman"/>
          <w:sz w:val="24"/>
          <w:szCs w:val="24"/>
        </w:rPr>
        <w:t xml:space="preserve">reduzir </w:t>
      </w:r>
      <w:r w:rsidR="00D76A3D">
        <w:rPr>
          <w:rFonts w:ascii="Times New Roman" w:hAnsi="Times New Roman"/>
          <w:sz w:val="24"/>
          <w:szCs w:val="24"/>
        </w:rPr>
        <w:t>a</w:t>
      </w:r>
      <w:r w:rsidR="008661C2">
        <w:rPr>
          <w:rFonts w:ascii="Times New Roman" w:hAnsi="Times New Roman"/>
          <w:sz w:val="24"/>
          <w:szCs w:val="24"/>
        </w:rPr>
        <w:t xml:space="preserve"> queda da taxa de informalidade</w:t>
      </w:r>
      <w:r w:rsidR="00CC427A">
        <w:rPr>
          <w:rFonts w:ascii="Times New Roman" w:hAnsi="Times New Roman"/>
          <w:sz w:val="24"/>
          <w:szCs w:val="24"/>
        </w:rPr>
        <w:t>, visto que os dois canais citados tiveram um peso maior.</w:t>
      </w:r>
      <w:r w:rsidR="008661C2">
        <w:rPr>
          <w:rFonts w:ascii="Times New Roman" w:hAnsi="Times New Roman"/>
          <w:sz w:val="24"/>
          <w:szCs w:val="24"/>
        </w:rPr>
        <w:t xml:space="preserve"> </w:t>
      </w:r>
      <w:r w:rsidR="00CC427A">
        <w:rPr>
          <w:rFonts w:ascii="Times New Roman" w:hAnsi="Times New Roman"/>
          <w:sz w:val="24"/>
          <w:szCs w:val="24"/>
        </w:rPr>
        <w:t xml:space="preserve">E </w:t>
      </w:r>
      <w:r w:rsidR="008661C2">
        <w:rPr>
          <w:rFonts w:ascii="Times New Roman" w:hAnsi="Times New Roman"/>
          <w:sz w:val="24"/>
          <w:szCs w:val="24"/>
        </w:rPr>
        <w:t xml:space="preserve">praticamente não houve variação do fluxo da formalidade para fora da </w:t>
      </w:r>
      <w:r w:rsidR="00C546A5">
        <w:rPr>
          <w:rFonts w:ascii="Times New Roman" w:hAnsi="Times New Roman"/>
          <w:sz w:val="24"/>
          <w:szCs w:val="24"/>
        </w:rPr>
        <w:t>PEA</w:t>
      </w:r>
      <w:r w:rsidR="008661C2">
        <w:rPr>
          <w:rFonts w:ascii="Times New Roman" w:hAnsi="Times New Roman"/>
          <w:sz w:val="24"/>
          <w:szCs w:val="24"/>
        </w:rPr>
        <w:t>.</w:t>
      </w:r>
    </w:p>
    <w:p w:rsidR="009F1BDF" w:rsidRDefault="009F1BDF" w:rsidP="001F03CD">
      <w:pPr>
        <w:spacing w:line="240" w:lineRule="auto"/>
        <w:jc w:val="both"/>
        <w:rPr>
          <w:rFonts w:ascii="Times New Roman" w:hAnsi="Times New Roman"/>
          <w:sz w:val="24"/>
          <w:szCs w:val="24"/>
        </w:rPr>
      </w:pPr>
    </w:p>
    <w:p w:rsidR="00107D22" w:rsidRPr="00A35464" w:rsidRDefault="00E749F6" w:rsidP="001F03CD">
      <w:pPr>
        <w:spacing w:line="240" w:lineRule="auto"/>
        <w:jc w:val="both"/>
        <w:rPr>
          <w:rFonts w:ascii="Times New Roman" w:hAnsi="Times New Roman"/>
          <w:b/>
          <w:sz w:val="24"/>
          <w:szCs w:val="24"/>
        </w:rPr>
      </w:pPr>
      <w:r>
        <w:rPr>
          <w:rFonts w:ascii="Times New Roman" w:hAnsi="Times New Roman"/>
          <w:b/>
          <w:sz w:val="24"/>
          <w:szCs w:val="24"/>
        </w:rPr>
        <w:t>7</w:t>
      </w:r>
      <w:r w:rsidR="00A35464">
        <w:rPr>
          <w:rFonts w:ascii="Times New Roman" w:hAnsi="Times New Roman"/>
          <w:b/>
          <w:sz w:val="24"/>
          <w:szCs w:val="24"/>
        </w:rPr>
        <w:t xml:space="preserve"> - CONCLUSÕES</w:t>
      </w:r>
    </w:p>
    <w:p w:rsidR="00A35464" w:rsidRDefault="00A35464" w:rsidP="001F03CD">
      <w:pPr>
        <w:spacing w:line="240" w:lineRule="auto"/>
        <w:ind w:firstLine="708"/>
        <w:jc w:val="both"/>
        <w:rPr>
          <w:rFonts w:ascii="Times New Roman" w:hAnsi="Times New Roman"/>
          <w:sz w:val="24"/>
          <w:szCs w:val="24"/>
        </w:rPr>
      </w:pPr>
      <w:r>
        <w:rPr>
          <w:rFonts w:ascii="Times New Roman" w:hAnsi="Times New Roman"/>
          <w:sz w:val="24"/>
          <w:szCs w:val="24"/>
        </w:rPr>
        <w:t xml:space="preserve">A queda da taxa da informalidade já é um fenômeno permanente na economia brasileira. No entanto, os determinantes de maior impacto sobre esta queda é pouco explorado na literatura. </w:t>
      </w:r>
    </w:p>
    <w:p w:rsidR="00364CB5" w:rsidRDefault="00364CB5" w:rsidP="001F03CD">
      <w:pPr>
        <w:spacing w:line="240" w:lineRule="auto"/>
        <w:ind w:firstLine="708"/>
        <w:jc w:val="both"/>
        <w:rPr>
          <w:rFonts w:ascii="Times New Roman" w:hAnsi="Times New Roman"/>
          <w:sz w:val="24"/>
          <w:szCs w:val="24"/>
        </w:rPr>
      </w:pPr>
      <w:r>
        <w:rPr>
          <w:rFonts w:ascii="Times New Roman" w:hAnsi="Times New Roman"/>
          <w:sz w:val="24"/>
          <w:szCs w:val="24"/>
        </w:rPr>
        <w:t xml:space="preserve">O artigo mostra que </w:t>
      </w:r>
      <w:r w:rsidR="00D216FF">
        <w:rPr>
          <w:rFonts w:ascii="Times New Roman" w:hAnsi="Times New Roman"/>
          <w:sz w:val="24"/>
          <w:szCs w:val="24"/>
        </w:rPr>
        <w:t xml:space="preserve">a queda da informalidade de </w:t>
      </w:r>
      <w:r w:rsidR="00076D76">
        <w:rPr>
          <w:rFonts w:ascii="Times New Roman" w:hAnsi="Times New Roman"/>
          <w:sz w:val="24"/>
          <w:szCs w:val="24"/>
        </w:rPr>
        <w:t>quase 11</w:t>
      </w:r>
      <w:r w:rsidR="00D216FF">
        <w:rPr>
          <w:rFonts w:ascii="Times New Roman" w:hAnsi="Times New Roman"/>
          <w:sz w:val="24"/>
          <w:szCs w:val="24"/>
        </w:rPr>
        <w:t xml:space="preserve"> p.p entre 2002 e 20</w:t>
      </w:r>
      <w:r w:rsidR="00076D76">
        <w:rPr>
          <w:rFonts w:ascii="Times New Roman" w:hAnsi="Times New Roman"/>
          <w:sz w:val="24"/>
          <w:szCs w:val="24"/>
        </w:rPr>
        <w:t>11</w:t>
      </w:r>
      <w:r w:rsidR="00D216FF">
        <w:rPr>
          <w:rFonts w:ascii="Times New Roman" w:hAnsi="Times New Roman"/>
          <w:sz w:val="24"/>
          <w:szCs w:val="24"/>
        </w:rPr>
        <w:t xml:space="preserve"> </w:t>
      </w:r>
      <w:r w:rsidR="00076D76">
        <w:rPr>
          <w:rFonts w:ascii="Times New Roman" w:hAnsi="Times New Roman"/>
          <w:sz w:val="24"/>
          <w:szCs w:val="24"/>
        </w:rPr>
        <w:t xml:space="preserve"> para todo o Brasil, </w:t>
      </w:r>
      <w:r w:rsidR="00D216FF">
        <w:rPr>
          <w:rFonts w:ascii="Times New Roman" w:hAnsi="Times New Roman"/>
          <w:sz w:val="24"/>
          <w:szCs w:val="24"/>
        </w:rPr>
        <w:t xml:space="preserve">foi </w:t>
      </w:r>
      <w:r w:rsidR="00076D76">
        <w:rPr>
          <w:rFonts w:ascii="Times New Roman" w:hAnsi="Times New Roman"/>
          <w:sz w:val="24"/>
          <w:szCs w:val="24"/>
        </w:rPr>
        <w:t xml:space="preserve">igual tanto nas </w:t>
      </w:r>
      <w:r w:rsidR="00D216FF">
        <w:rPr>
          <w:rFonts w:ascii="Times New Roman" w:hAnsi="Times New Roman"/>
          <w:sz w:val="24"/>
          <w:szCs w:val="24"/>
        </w:rPr>
        <w:t xml:space="preserve">regiões metropolitanas </w:t>
      </w:r>
      <w:r w:rsidR="00076D76">
        <w:rPr>
          <w:rFonts w:ascii="Times New Roman" w:hAnsi="Times New Roman"/>
          <w:sz w:val="24"/>
          <w:szCs w:val="24"/>
        </w:rPr>
        <w:t>como fora dessas</w:t>
      </w:r>
      <w:r w:rsidR="00D216FF">
        <w:rPr>
          <w:rFonts w:ascii="Times New Roman" w:hAnsi="Times New Roman"/>
          <w:sz w:val="24"/>
          <w:szCs w:val="24"/>
        </w:rPr>
        <w:t xml:space="preserve">. </w:t>
      </w:r>
      <w:r w:rsidR="00F822FB">
        <w:rPr>
          <w:rFonts w:ascii="Times New Roman" w:hAnsi="Times New Roman"/>
          <w:sz w:val="24"/>
          <w:szCs w:val="24"/>
        </w:rPr>
        <w:t>No entanto, a</w:t>
      </w:r>
      <w:r w:rsidR="00D216FF">
        <w:rPr>
          <w:rFonts w:ascii="Times New Roman" w:hAnsi="Times New Roman"/>
          <w:sz w:val="24"/>
          <w:szCs w:val="24"/>
        </w:rPr>
        <w:t xml:space="preserve"> diferença entre as taxas de informalidade nas regiões </w:t>
      </w:r>
      <w:r w:rsidR="00F822FB">
        <w:rPr>
          <w:rFonts w:ascii="Times New Roman" w:hAnsi="Times New Roman"/>
          <w:sz w:val="24"/>
          <w:szCs w:val="24"/>
        </w:rPr>
        <w:t>não m</w:t>
      </w:r>
      <w:r w:rsidR="00D216FF">
        <w:rPr>
          <w:rFonts w:ascii="Times New Roman" w:hAnsi="Times New Roman"/>
          <w:sz w:val="24"/>
          <w:szCs w:val="24"/>
        </w:rPr>
        <w:t xml:space="preserve">etropolitanas e as metropolitanas </w:t>
      </w:r>
      <w:r w:rsidR="00F822FB">
        <w:rPr>
          <w:rFonts w:ascii="Times New Roman" w:hAnsi="Times New Roman"/>
          <w:sz w:val="24"/>
          <w:szCs w:val="24"/>
        </w:rPr>
        <w:t>é ainda de</w:t>
      </w:r>
      <w:r w:rsidR="00D216FF">
        <w:rPr>
          <w:rFonts w:ascii="Times New Roman" w:hAnsi="Times New Roman"/>
          <w:sz w:val="24"/>
          <w:szCs w:val="24"/>
        </w:rPr>
        <w:t xml:space="preserve"> 12</w:t>
      </w:r>
      <w:r w:rsidR="00076D76">
        <w:rPr>
          <w:rFonts w:ascii="Times New Roman" w:hAnsi="Times New Roman"/>
          <w:sz w:val="24"/>
          <w:szCs w:val="24"/>
        </w:rPr>
        <w:t>,6</w:t>
      </w:r>
      <w:r w:rsidR="00F822FB">
        <w:rPr>
          <w:rFonts w:ascii="Times New Roman" w:hAnsi="Times New Roman"/>
          <w:sz w:val="24"/>
          <w:szCs w:val="24"/>
        </w:rPr>
        <w:t>p.p., em 20</w:t>
      </w:r>
      <w:r w:rsidR="00076D76">
        <w:rPr>
          <w:rFonts w:ascii="Times New Roman" w:hAnsi="Times New Roman"/>
          <w:sz w:val="24"/>
          <w:szCs w:val="24"/>
        </w:rPr>
        <w:t>11</w:t>
      </w:r>
      <w:r w:rsidR="00D216FF">
        <w:rPr>
          <w:rFonts w:ascii="Times New Roman" w:hAnsi="Times New Roman"/>
          <w:sz w:val="24"/>
          <w:szCs w:val="24"/>
        </w:rPr>
        <w:t>. O artigo mostra que a maior parte desta diferença ocorre devido às diferenças de nível de informalidade entre as duas regiões.</w:t>
      </w:r>
      <w:r w:rsidR="00F822FB">
        <w:rPr>
          <w:rFonts w:ascii="Times New Roman" w:hAnsi="Times New Roman"/>
          <w:sz w:val="24"/>
          <w:szCs w:val="24"/>
        </w:rPr>
        <w:t xml:space="preserve"> Ou seja,</w:t>
      </w:r>
      <w:r w:rsidR="00D216FF">
        <w:rPr>
          <w:rFonts w:ascii="Times New Roman" w:hAnsi="Times New Roman"/>
          <w:sz w:val="24"/>
          <w:szCs w:val="24"/>
        </w:rPr>
        <w:t xml:space="preserve"> </w:t>
      </w:r>
      <w:r w:rsidR="00F822FB">
        <w:rPr>
          <w:rFonts w:ascii="Times New Roman" w:hAnsi="Times New Roman"/>
          <w:sz w:val="24"/>
          <w:szCs w:val="24"/>
        </w:rPr>
        <w:t>a</w:t>
      </w:r>
      <w:r w:rsidR="00D216FF">
        <w:rPr>
          <w:rFonts w:ascii="Times New Roman" w:hAnsi="Times New Roman"/>
          <w:sz w:val="24"/>
          <w:szCs w:val="24"/>
        </w:rPr>
        <w:t xml:space="preserve"> diferente composição </w:t>
      </w:r>
      <w:r w:rsidR="00D216FF">
        <w:rPr>
          <w:rFonts w:ascii="Times New Roman" w:hAnsi="Times New Roman"/>
          <w:sz w:val="24"/>
          <w:szCs w:val="24"/>
        </w:rPr>
        <w:lastRenderedPageBreak/>
        <w:t>das atividades econômicas explica somente 1/</w:t>
      </w:r>
      <w:r w:rsidR="00076D76">
        <w:rPr>
          <w:rFonts w:ascii="Times New Roman" w:hAnsi="Times New Roman"/>
          <w:sz w:val="24"/>
          <w:szCs w:val="24"/>
        </w:rPr>
        <w:t>4</w:t>
      </w:r>
      <w:r w:rsidR="00D216FF">
        <w:rPr>
          <w:rFonts w:ascii="Times New Roman" w:hAnsi="Times New Roman"/>
          <w:sz w:val="24"/>
          <w:szCs w:val="24"/>
        </w:rPr>
        <w:t xml:space="preserve"> do diferencial, sendo o restante explicado por diferenças do nível de informalidade.</w:t>
      </w:r>
    </w:p>
    <w:p w:rsidR="00E749F6" w:rsidRDefault="00D216FF" w:rsidP="001F03CD">
      <w:pPr>
        <w:spacing w:line="240" w:lineRule="auto"/>
        <w:ind w:firstLine="708"/>
        <w:jc w:val="both"/>
        <w:rPr>
          <w:rFonts w:ascii="Times New Roman" w:hAnsi="Times New Roman"/>
          <w:sz w:val="24"/>
          <w:szCs w:val="24"/>
        </w:rPr>
      </w:pPr>
      <w:r>
        <w:rPr>
          <w:rFonts w:ascii="Times New Roman" w:hAnsi="Times New Roman"/>
          <w:sz w:val="24"/>
          <w:szCs w:val="24"/>
        </w:rPr>
        <w:t>Para aprofundar a compreensão deste fenômeno, no</w:t>
      </w:r>
      <w:r w:rsidR="00A35464">
        <w:rPr>
          <w:rFonts w:ascii="Times New Roman" w:hAnsi="Times New Roman"/>
          <w:sz w:val="24"/>
          <w:szCs w:val="24"/>
        </w:rPr>
        <w:t xml:space="preserve"> estudo realizamos uma decomposição da queda da taxa de informalidade em efeito nível e composição. Enquanto o primeiro mede a queda da taxa de informalidade dentro de cada grupo – mantido fixo a participação deste grupo na média dos dois períodos – o segundo mede a variação da participação no total de ocupados de cada grupo – mantido fixo a taxa de informalidade na média dos dois períodos.</w:t>
      </w:r>
    </w:p>
    <w:p w:rsidR="00260544" w:rsidRDefault="00591607" w:rsidP="001F03CD">
      <w:pPr>
        <w:spacing w:line="240" w:lineRule="auto"/>
        <w:ind w:firstLine="708"/>
        <w:jc w:val="both"/>
        <w:rPr>
          <w:rFonts w:ascii="Times New Roman" w:hAnsi="Times New Roman"/>
          <w:sz w:val="24"/>
          <w:szCs w:val="24"/>
        </w:rPr>
      </w:pPr>
      <w:r>
        <w:rPr>
          <w:rFonts w:ascii="Times New Roman" w:hAnsi="Times New Roman"/>
          <w:sz w:val="24"/>
          <w:szCs w:val="24"/>
        </w:rPr>
        <w:t>Os resultados mostram que, dependendo da decomposição, a queda da taxa de informalidade da economia foi devida à contribuição do efeito nível. Ou seja, devido à forte redução da taxa de informalidade dentro de diferentes grupos, aliado a uma alta participação de tais grupos no total de ocupados. Destaca-se a contribuição: de homens e mulheres</w:t>
      </w:r>
      <w:r w:rsidR="00260544">
        <w:rPr>
          <w:rFonts w:ascii="Times New Roman" w:hAnsi="Times New Roman"/>
          <w:sz w:val="24"/>
          <w:szCs w:val="24"/>
        </w:rPr>
        <w:t>;</w:t>
      </w:r>
      <w:r>
        <w:rPr>
          <w:rFonts w:ascii="Times New Roman" w:hAnsi="Times New Roman"/>
          <w:sz w:val="24"/>
          <w:szCs w:val="24"/>
        </w:rPr>
        <w:t xml:space="preserve"> brancos e pardos</w:t>
      </w:r>
      <w:r w:rsidR="00260544">
        <w:rPr>
          <w:rFonts w:ascii="Times New Roman" w:hAnsi="Times New Roman"/>
          <w:sz w:val="24"/>
          <w:szCs w:val="24"/>
        </w:rPr>
        <w:t>;</w:t>
      </w:r>
      <w:r>
        <w:rPr>
          <w:rFonts w:ascii="Times New Roman" w:hAnsi="Times New Roman"/>
          <w:sz w:val="24"/>
          <w:szCs w:val="24"/>
        </w:rPr>
        <w:t xml:space="preserve"> com ensino médio completo</w:t>
      </w:r>
      <w:r w:rsidR="00260544">
        <w:rPr>
          <w:rFonts w:ascii="Times New Roman" w:hAnsi="Times New Roman"/>
          <w:sz w:val="24"/>
          <w:szCs w:val="24"/>
        </w:rPr>
        <w:t>;</w:t>
      </w:r>
      <w:r>
        <w:rPr>
          <w:rFonts w:ascii="Times New Roman" w:hAnsi="Times New Roman"/>
          <w:sz w:val="24"/>
          <w:szCs w:val="24"/>
        </w:rPr>
        <w:t xml:space="preserve"> de </w:t>
      </w:r>
      <w:r w:rsidR="00076D76">
        <w:rPr>
          <w:rFonts w:ascii="Times New Roman" w:hAnsi="Times New Roman"/>
          <w:sz w:val="24"/>
          <w:szCs w:val="24"/>
        </w:rPr>
        <w:t>15</w:t>
      </w:r>
      <w:r>
        <w:rPr>
          <w:rFonts w:ascii="Times New Roman" w:hAnsi="Times New Roman"/>
          <w:sz w:val="24"/>
          <w:szCs w:val="24"/>
        </w:rPr>
        <w:t xml:space="preserve"> a </w:t>
      </w:r>
      <w:r w:rsidR="00076D76">
        <w:rPr>
          <w:rFonts w:ascii="Times New Roman" w:hAnsi="Times New Roman"/>
          <w:sz w:val="24"/>
          <w:szCs w:val="24"/>
        </w:rPr>
        <w:t>30</w:t>
      </w:r>
      <w:r>
        <w:rPr>
          <w:rFonts w:ascii="Times New Roman" w:hAnsi="Times New Roman"/>
          <w:sz w:val="24"/>
          <w:szCs w:val="24"/>
        </w:rPr>
        <w:t xml:space="preserve"> anos de idade</w:t>
      </w:r>
      <w:r w:rsidR="00260544">
        <w:rPr>
          <w:rFonts w:ascii="Times New Roman" w:hAnsi="Times New Roman"/>
          <w:sz w:val="24"/>
          <w:szCs w:val="24"/>
        </w:rPr>
        <w:t>;</w:t>
      </w:r>
      <w:r>
        <w:rPr>
          <w:rFonts w:ascii="Times New Roman" w:hAnsi="Times New Roman"/>
          <w:sz w:val="24"/>
          <w:szCs w:val="24"/>
        </w:rPr>
        <w:t xml:space="preserve"> com até 14 anos de experiência</w:t>
      </w:r>
      <w:r w:rsidR="00260544">
        <w:rPr>
          <w:rFonts w:ascii="Times New Roman" w:hAnsi="Times New Roman"/>
          <w:sz w:val="24"/>
          <w:szCs w:val="24"/>
        </w:rPr>
        <w:t>;</w:t>
      </w:r>
      <w:r>
        <w:rPr>
          <w:rFonts w:ascii="Times New Roman" w:hAnsi="Times New Roman"/>
          <w:sz w:val="24"/>
          <w:szCs w:val="24"/>
        </w:rPr>
        <w:t xml:space="preserve"> </w:t>
      </w:r>
      <w:r w:rsidR="00260544">
        <w:rPr>
          <w:rFonts w:ascii="Times New Roman" w:hAnsi="Times New Roman"/>
          <w:sz w:val="24"/>
          <w:szCs w:val="24"/>
        </w:rPr>
        <w:t>dos setores agropecuário, indústria de transformação, construção, comércio e outros serviços. Assim, o processo de formalização atingiu diferentes cortes da oferta e demanda de trabalho.</w:t>
      </w:r>
    </w:p>
    <w:p w:rsidR="00260544" w:rsidRDefault="00260544" w:rsidP="001F03CD">
      <w:pPr>
        <w:spacing w:line="240" w:lineRule="auto"/>
        <w:ind w:firstLine="708"/>
        <w:jc w:val="both"/>
        <w:rPr>
          <w:rFonts w:ascii="Times New Roman" w:hAnsi="Times New Roman"/>
          <w:sz w:val="24"/>
          <w:szCs w:val="24"/>
        </w:rPr>
      </w:pPr>
      <w:r>
        <w:rPr>
          <w:rFonts w:ascii="Times New Roman" w:hAnsi="Times New Roman"/>
          <w:sz w:val="24"/>
          <w:szCs w:val="24"/>
        </w:rPr>
        <w:t>No entanto, um resultado marcante é que o efeito composição apresentou uma magnitude alta quando a decomposição foi feita para a variável escolaridade, chegando a explicar 60%</w:t>
      </w:r>
      <w:r w:rsidR="00076D76">
        <w:rPr>
          <w:rFonts w:ascii="Times New Roman" w:hAnsi="Times New Roman"/>
          <w:sz w:val="24"/>
          <w:szCs w:val="24"/>
        </w:rPr>
        <w:t xml:space="preserve"> (41,2%)</w:t>
      </w:r>
      <w:r>
        <w:rPr>
          <w:rFonts w:ascii="Times New Roman" w:hAnsi="Times New Roman"/>
          <w:sz w:val="24"/>
          <w:szCs w:val="24"/>
        </w:rPr>
        <w:t xml:space="preserve"> da queda da informalidade</w:t>
      </w:r>
      <w:r w:rsidR="00076D76">
        <w:rPr>
          <w:rFonts w:ascii="Times New Roman" w:hAnsi="Times New Roman"/>
          <w:sz w:val="24"/>
          <w:szCs w:val="24"/>
        </w:rPr>
        <w:t xml:space="preserve"> entre 2002 e 2009 (2011)</w:t>
      </w:r>
      <w:r>
        <w:rPr>
          <w:rFonts w:ascii="Times New Roman" w:hAnsi="Times New Roman"/>
          <w:sz w:val="24"/>
          <w:szCs w:val="24"/>
        </w:rPr>
        <w:t>. Ou seja, o processo de escolarização que o país passou ao longo dos anos, com redução do percentual dos trabalhadores menos escolarizados (principalmente daqueles sem escolarização e com ensino fundamental completo) que apresentam alta taxa de informalidade (</w:t>
      </w:r>
      <w:r w:rsidR="003F1DC4">
        <w:rPr>
          <w:rFonts w:ascii="Times New Roman" w:hAnsi="Times New Roman"/>
          <w:sz w:val="24"/>
          <w:szCs w:val="24"/>
        </w:rPr>
        <w:t xml:space="preserve">por exemplo, </w:t>
      </w:r>
      <w:r>
        <w:rPr>
          <w:rFonts w:ascii="Times New Roman" w:hAnsi="Times New Roman"/>
          <w:sz w:val="24"/>
          <w:szCs w:val="24"/>
        </w:rPr>
        <w:t>6</w:t>
      </w:r>
      <w:r w:rsidR="00076D76">
        <w:rPr>
          <w:rFonts w:ascii="Times New Roman" w:hAnsi="Times New Roman"/>
          <w:sz w:val="24"/>
          <w:szCs w:val="24"/>
        </w:rPr>
        <w:t>2</w:t>
      </w:r>
      <w:r>
        <w:rPr>
          <w:rFonts w:ascii="Times New Roman" w:hAnsi="Times New Roman"/>
          <w:sz w:val="24"/>
          <w:szCs w:val="24"/>
        </w:rPr>
        <w:t>% para os sem escolarização</w:t>
      </w:r>
      <w:r w:rsidR="007A6369">
        <w:rPr>
          <w:rFonts w:ascii="Times New Roman" w:hAnsi="Times New Roman"/>
          <w:sz w:val="24"/>
          <w:szCs w:val="24"/>
        </w:rPr>
        <w:t xml:space="preserve"> na média entre 2002 e 20</w:t>
      </w:r>
      <w:r w:rsidR="00076D76">
        <w:rPr>
          <w:rFonts w:ascii="Times New Roman" w:hAnsi="Times New Roman"/>
          <w:sz w:val="24"/>
          <w:szCs w:val="24"/>
        </w:rPr>
        <w:t>11</w:t>
      </w:r>
      <w:r w:rsidR="007A6369">
        <w:rPr>
          <w:rFonts w:ascii="Times New Roman" w:hAnsi="Times New Roman"/>
          <w:sz w:val="24"/>
          <w:szCs w:val="24"/>
        </w:rPr>
        <w:t>), foi um determinante crucial para a queda da informalidade.</w:t>
      </w:r>
      <w:r w:rsidR="00C92267" w:rsidRPr="00C92267">
        <w:rPr>
          <w:rFonts w:ascii="Times New Roman" w:hAnsi="Times New Roman"/>
          <w:color w:val="000000" w:themeColor="text1"/>
          <w:sz w:val="24"/>
          <w:szCs w:val="24"/>
        </w:rPr>
        <w:t xml:space="preserve"> </w:t>
      </w:r>
      <w:r w:rsidR="00C92267">
        <w:rPr>
          <w:rFonts w:ascii="Times New Roman" w:hAnsi="Times New Roman"/>
          <w:color w:val="000000" w:themeColor="text1"/>
          <w:sz w:val="24"/>
          <w:szCs w:val="24"/>
        </w:rPr>
        <w:t>Além disso</w:t>
      </w:r>
      <w:r w:rsidR="00C92267" w:rsidRPr="00260B4B">
        <w:rPr>
          <w:rFonts w:ascii="Times New Roman" w:hAnsi="Times New Roman"/>
          <w:color w:val="000000" w:themeColor="text1"/>
          <w:sz w:val="24"/>
          <w:szCs w:val="24"/>
        </w:rPr>
        <w:t>,</w:t>
      </w:r>
      <w:r w:rsidR="00C92267">
        <w:rPr>
          <w:rFonts w:ascii="Times New Roman" w:hAnsi="Times New Roman"/>
          <w:color w:val="000000" w:themeColor="text1"/>
          <w:sz w:val="24"/>
          <w:szCs w:val="24"/>
        </w:rPr>
        <w:t xml:space="preserve"> quando</w:t>
      </w:r>
      <w:r w:rsidR="00C92267" w:rsidRPr="00260B4B">
        <w:rPr>
          <w:rFonts w:ascii="Times New Roman" w:hAnsi="Times New Roman"/>
          <w:color w:val="000000" w:themeColor="text1"/>
          <w:sz w:val="24"/>
          <w:szCs w:val="24"/>
        </w:rPr>
        <w:t xml:space="preserve"> a</w:t>
      </w:r>
      <w:r w:rsidR="00C92267">
        <w:rPr>
          <w:rFonts w:ascii="Times New Roman" w:hAnsi="Times New Roman"/>
          <w:color w:val="000000" w:themeColor="text1"/>
          <w:sz w:val="24"/>
          <w:szCs w:val="24"/>
        </w:rPr>
        <w:t xml:space="preserve"> decomposição é feita pela variável capital humano (</w:t>
      </w:r>
      <w:r w:rsidR="00C92267">
        <w:rPr>
          <w:rFonts w:ascii="Times New Roman" w:hAnsi="Times New Roman"/>
          <w:sz w:val="24"/>
          <w:szCs w:val="24"/>
        </w:rPr>
        <w:t>associação entre ciclos escolares e experiência)</w:t>
      </w:r>
      <w:r w:rsidR="00C92267">
        <w:rPr>
          <w:rFonts w:ascii="Times New Roman" w:hAnsi="Times New Roman"/>
          <w:color w:val="000000" w:themeColor="text1"/>
          <w:sz w:val="24"/>
          <w:szCs w:val="24"/>
        </w:rPr>
        <w:t xml:space="preserve"> a queda da participação de trabalhadores menos escolarizados com baixa experiência de trabalho chega a explicar </w:t>
      </w:r>
      <w:r w:rsidR="003F1DC4">
        <w:rPr>
          <w:rFonts w:ascii="Times New Roman" w:hAnsi="Times New Roman"/>
          <w:color w:val="000000" w:themeColor="text1"/>
          <w:sz w:val="24"/>
          <w:szCs w:val="24"/>
        </w:rPr>
        <w:t>77</w:t>
      </w:r>
      <w:r w:rsidR="00C92267">
        <w:rPr>
          <w:rFonts w:ascii="Times New Roman" w:hAnsi="Times New Roman"/>
          <w:color w:val="000000" w:themeColor="text1"/>
          <w:sz w:val="24"/>
          <w:szCs w:val="24"/>
        </w:rPr>
        <w:t>%</w:t>
      </w:r>
      <w:r w:rsidR="003F1DC4">
        <w:rPr>
          <w:rFonts w:ascii="Times New Roman" w:hAnsi="Times New Roman"/>
          <w:color w:val="000000" w:themeColor="text1"/>
          <w:sz w:val="24"/>
          <w:szCs w:val="24"/>
        </w:rPr>
        <w:t xml:space="preserve"> (53%)</w:t>
      </w:r>
      <w:r w:rsidR="00C92267">
        <w:rPr>
          <w:rFonts w:ascii="Times New Roman" w:hAnsi="Times New Roman"/>
          <w:color w:val="000000" w:themeColor="text1"/>
          <w:sz w:val="24"/>
          <w:szCs w:val="24"/>
        </w:rPr>
        <w:t xml:space="preserve"> da</w:t>
      </w:r>
      <w:r w:rsidR="003F1DC4">
        <w:rPr>
          <w:rFonts w:ascii="Times New Roman" w:hAnsi="Times New Roman"/>
          <w:color w:val="000000" w:themeColor="text1"/>
          <w:sz w:val="24"/>
          <w:szCs w:val="24"/>
        </w:rPr>
        <w:t xml:space="preserve"> queda da informalidade no país entre 2002 e 2009 (2011).</w:t>
      </w:r>
    </w:p>
    <w:p w:rsidR="008661C2" w:rsidRDefault="000114FA" w:rsidP="001F03CD">
      <w:pPr>
        <w:spacing w:line="240" w:lineRule="auto"/>
        <w:ind w:firstLine="708"/>
        <w:jc w:val="both"/>
        <w:rPr>
          <w:rFonts w:ascii="Times New Roman" w:hAnsi="Times New Roman"/>
          <w:sz w:val="24"/>
          <w:szCs w:val="24"/>
        </w:rPr>
      </w:pPr>
      <w:r>
        <w:rPr>
          <w:rFonts w:ascii="Times New Roman" w:hAnsi="Times New Roman"/>
          <w:sz w:val="24"/>
          <w:szCs w:val="24"/>
        </w:rPr>
        <w:t>Por fim, computamos uma matriz de transição entre os diferentes estados ocupacionais (para as principais regiões metropolitanas): informal, formal, desempregado e fora da força de trabalho (PEA). O resultado mostra que a formalização ocorreu através de dois canais:</w:t>
      </w:r>
      <w:r w:rsidR="008661C2">
        <w:rPr>
          <w:rFonts w:ascii="Times New Roman" w:hAnsi="Times New Roman"/>
          <w:sz w:val="24"/>
          <w:szCs w:val="24"/>
        </w:rPr>
        <w:t xml:space="preserve"> aumento da transição de trabalhadores do setor informal para o formal e da absorção dos desempregados pelo setor formal. </w:t>
      </w:r>
      <w:r w:rsidR="00E06686">
        <w:rPr>
          <w:rFonts w:ascii="Times New Roman" w:hAnsi="Times New Roman"/>
          <w:sz w:val="24"/>
          <w:szCs w:val="24"/>
        </w:rPr>
        <w:t>A redução da transição dos desempregados e dos que estavam fora da PEA para a informalidade contribuiu marginalmente para reduzir a queda da taxa de informalidade.</w:t>
      </w:r>
    </w:p>
    <w:p w:rsidR="00A35464" w:rsidRDefault="00A35464" w:rsidP="001F03CD">
      <w:pPr>
        <w:spacing w:line="240" w:lineRule="auto"/>
        <w:jc w:val="both"/>
        <w:rPr>
          <w:rFonts w:ascii="Times New Roman" w:hAnsi="Times New Roman"/>
          <w:sz w:val="24"/>
          <w:szCs w:val="24"/>
        </w:rPr>
      </w:pPr>
    </w:p>
    <w:p w:rsidR="00FC2E6F" w:rsidRPr="00107D22" w:rsidRDefault="00A35464" w:rsidP="001F03CD">
      <w:pPr>
        <w:spacing w:line="240" w:lineRule="auto"/>
        <w:jc w:val="both"/>
        <w:rPr>
          <w:rFonts w:ascii="Times New Roman" w:hAnsi="Times New Roman"/>
          <w:b/>
          <w:sz w:val="24"/>
          <w:szCs w:val="24"/>
        </w:rPr>
      </w:pPr>
      <w:r>
        <w:rPr>
          <w:rFonts w:ascii="Times New Roman" w:hAnsi="Times New Roman"/>
          <w:b/>
          <w:sz w:val="24"/>
          <w:szCs w:val="24"/>
        </w:rPr>
        <w:t>REFERÊNCIAS BIBLIOGRÁFICAS</w:t>
      </w:r>
    </w:p>
    <w:p w:rsidR="0063433D" w:rsidRPr="008D7322" w:rsidRDefault="0063433D" w:rsidP="001F03CD">
      <w:pPr>
        <w:spacing w:after="0" w:line="240" w:lineRule="auto"/>
        <w:ind w:left="720" w:hanging="720"/>
        <w:jc w:val="both"/>
        <w:rPr>
          <w:rFonts w:ascii="Times New Roman" w:hAnsi="Times New Roman"/>
          <w:color w:val="000000" w:themeColor="text1"/>
          <w:sz w:val="24"/>
          <w:szCs w:val="24"/>
          <w:lang w:val="en-US"/>
        </w:rPr>
      </w:pPr>
      <w:r w:rsidRPr="008D7322">
        <w:rPr>
          <w:rFonts w:ascii="Times New Roman" w:hAnsi="Times New Roman"/>
          <w:color w:val="000000" w:themeColor="text1"/>
          <w:sz w:val="24"/>
          <w:szCs w:val="24"/>
          <w:lang w:val="en-US"/>
        </w:rPr>
        <w:t xml:space="preserve">Banerjee, A., Galiani, S, Levinsohn, J, Mclaren, Z. e Woolard, I (2007). </w:t>
      </w:r>
      <w:r w:rsidR="005A66B1" w:rsidRPr="00260B4B">
        <w:rPr>
          <w:rFonts w:ascii="Times New Roman" w:hAnsi="Times New Roman"/>
          <w:color w:val="000000" w:themeColor="text1"/>
          <w:sz w:val="24"/>
          <w:szCs w:val="24"/>
          <w:lang w:val="en-US"/>
        </w:rPr>
        <w:t>“Why</w:t>
      </w:r>
      <w:r w:rsidRPr="00260B4B">
        <w:rPr>
          <w:rFonts w:ascii="Times New Roman" w:hAnsi="Times New Roman"/>
          <w:color w:val="000000" w:themeColor="text1"/>
          <w:sz w:val="24"/>
          <w:szCs w:val="24"/>
          <w:lang w:val="en-US"/>
        </w:rPr>
        <w:t xml:space="preserve"> Has Unemployment Risen in the New South </w:t>
      </w:r>
      <w:r w:rsidR="005A66B1" w:rsidRPr="00260B4B">
        <w:rPr>
          <w:rFonts w:ascii="Times New Roman" w:hAnsi="Times New Roman"/>
          <w:color w:val="000000" w:themeColor="text1"/>
          <w:sz w:val="24"/>
          <w:szCs w:val="24"/>
          <w:lang w:val="en-US"/>
        </w:rPr>
        <w:t>Africa</w:t>
      </w:r>
      <w:r w:rsidR="003F72BB">
        <w:rPr>
          <w:rFonts w:ascii="Times New Roman" w:hAnsi="Times New Roman"/>
          <w:color w:val="000000" w:themeColor="text1"/>
          <w:sz w:val="24"/>
          <w:szCs w:val="24"/>
          <w:lang w:val="en-US"/>
        </w:rPr>
        <w:t>?</w:t>
      </w:r>
      <w:r w:rsidR="005A66B1">
        <w:rPr>
          <w:rFonts w:ascii="Times New Roman" w:hAnsi="Times New Roman"/>
          <w:color w:val="000000" w:themeColor="text1"/>
          <w:sz w:val="24"/>
          <w:szCs w:val="24"/>
          <w:lang w:val="en-US"/>
        </w:rPr>
        <w:t>”. Wor</w:t>
      </w:r>
      <w:r w:rsidRPr="00260B4B">
        <w:rPr>
          <w:rFonts w:ascii="Times New Roman" w:hAnsi="Times New Roman"/>
          <w:color w:val="000000" w:themeColor="text1"/>
          <w:sz w:val="24"/>
          <w:szCs w:val="24"/>
          <w:lang w:val="en-US"/>
        </w:rPr>
        <w:t xml:space="preserve">king paper 13167, National Bureau of Economic Research. </w:t>
      </w:r>
      <w:r w:rsidRPr="008D7322">
        <w:rPr>
          <w:rFonts w:ascii="Times New Roman" w:hAnsi="Times New Roman"/>
          <w:color w:val="000000" w:themeColor="text1"/>
          <w:sz w:val="24"/>
          <w:szCs w:val="24"/>
          <w:lang w:val="en-US"/>
        </w:rPr>
        <w:t>Columbia University Press.</w:t>
      </w:r>
    </w:p>
    <w:p w:rsidR="0063433D" w:rsidRPr="0063433D" w:rsidRDefault="0063433D" w:rsidP="001F03CD">
      <w:pPr>
        <w:spacing w:after="0" w:line="240" w:lineRule="auto"/>
        <w:ind w:left="720" w:hanging="720"/>
        <w:jc w:val="both"/>
        <w:rPr>
          <w:rFonts w:ascii="Times New Roman" w:hAnsi="Times New Roman"/>
          <w:color w:val="000000" w:themeColor="text1"/>
          <w:sz w:val="24"/>
          <w:szCs w:val="24"/>
        </w:rPr>
      </w:pPr>
      <w:r w:rsidRPr="0063433D">
        <w:rPr>
          <w:rFonts w:ascii="Times New Roman" w:hAnsi="Times New Roman"/>
          <w:color w:val="000000" w:themeColor="text1"/>
          <w:sz w:val="24"/>
          <w:szCs w:val="24"/>
        </w:rPr>
        <w:t>Ba</w:t>
      </w:r>
      <w:r>
        <w:rPr>
          <w:rFonts w:ascii="Times New Roman" w:hAnsi="Times New Roman"/>
          <w:color w:val="000000" w:themeColor="text1"/>
          <w:sz w:val="24"/>
          <w:szCs w:val="24"/>
        </w:rPr>
        <w:t>rbosa Filho, F. e Pessôa, S. (2011). “Uma Análise da Redução da Taxa de Desemprego”. Rede de Economia Aplicada, Working Paper 28.</w:t>
      </w:r>
    </w:p>
    <w:p w:rsidR="00FC2E6F" w:rsidRDefault="00107D22" w:rsidP="001F03CD">
      <w:pPr>
        <w:spacing w:after="0" w:line="240" w:lineRule="auto"/>
        <w:ind w:left="720" w:hanging="720"/>
        <w:jc w:val="both"/>
        <w:rPr>
          <w:rFonts w:ascii="Times New Roman" w:hAnsi="Times New Roman"/>
          <w:sz w:val="24"/>
          <w:szCs w:val="24"/>
          <w:lang w:val="en-US"/>
        </w:rPr>
      </w:pPr>
      <w:r>
        <w:rPr>
          <w:rFonts w:ascii="Times New Roman" w:hAnsi="Times New Roman"/>
          <w:sz w:val="24"/>
          <w:szCs w:val="24"/>
        </w:rPr>
        <w:t xml:space="preserve">Corseuil, C. H.; Moura, R. L.; Ramos, L. (2011). </w:t>
      </w:r>
      <w:r w:rsidRPr="00107D22">
        <w:rPr>
          <w:rFonts w:ascii="Times New Roman" w:hAnsi="Times New Roman"/>
          <w:sz w:val="24"/>
          <w:szCs w:val="24"/>
        </w:rPr>
        <w:t>Determinantes da Expansão do Emprego Formal: O que</w:t>
      </w:r>
      <w:r>
        <w:rPr>
          <w:rFonts w:ascii="Times New Roman" w:hAnsi="Times New Roman"/>
          <w:sz w:val="24"/>
          <w:szCs w:val="24"/>
        </w:rPr>
        <w:t xml:space="preserve"> </w:t>
      </w:r>
      <w:r w:rsidRPr="00107D22">
        <w:rPr>
          <w:rFonts w:ascii="Times New Roman" w:hAnsi="Times New Roman"/>
          <w:sz w:val="24"/>
          <w:szCs w:val="24"/>
        </w:rPr>
        <w:t xml:space="preserve">explica o aumento do tamanho médio dos estabelecimentos? </w:t>
      </w:r>
      <w:r>
        <w:rPr>
          <w:rFonts w:ascii="Times New Roman" w:hAnsi="Times New Roman"/>
          <w:i/>
          <w:iCs/>
          <w:sz w:val="24"/>
          <w:szCs w:val="24"/>
          <w:lang w:val="en-US"/>
        </w:rPr>
        <w:t>Economia Aplicada</w:t>
      </w:r>
      <w:r w:rsidRPr="00107D22">
        <w:rPr>
          <w:rFonts w:ascii="Times New Roman" w:hAnsi="Times New Roman"/>
          <w:sz w:val="24"/>
          <w:szCs w:val="24"/>
          <w:lang w:val="en-US"/>
        </w:rPr>
        <w:t>, 15(1):45-63</w:t>
      </w:r>
      <w:r>
        <w:rPr>
          <w:rFonts w:ascii="Times New Roman" w:hAnsi="Times New Roman"/>
          <w:sz w:val="24"/>
          <w:szCs w:val="24"/>
          <w:lang w:val="en-US"/>
        </w:rPr>
        <w:t>.</w:t>
      </w:r>
    </w:p>
    <w:p w:rsidR="0063433D" w:rsidRPr="003F72BB" w:rsidRDefault="0063433D" w:rsidP="001F03CD">
      <w:pPr>
        <w:spacing w:after="0" w:line="240" w:lineRule="auto"/>
        <w:ind w:left="720" w:hanging="720"/>
        <w:jc w:val="both"/>
        <w:rPr>
          <w:rFonts w:ascii="Times New Roman" w:hAnsi="Times New Roman"/>
          <w:color w:val="000000" w:themeColor="text1"/>
          <w:sz w:val="24"/>
          <w:szCs w:val="24"/>
          <w:lang w:val="en-US" w:eastAsia="pt-BR"/>
        </w:rPr>
      </w:pPr>
      <w:r w:rsidRPr="0063433D">
        <w:rPr>
          <w:rFonts w:ascii="Times New Roman" w:hAnsi="Times New Roman"/>
          <w:color w:val="000000" w:themeColor="text1"/>
          <w:sz w:val="24"/>
          <w:szCs w:val="24"/>
          <w:lang w:val="en-US" w:eastAsia="pt-BR"/>
        </w:rPr>
        <w:lastRenderedPageBreak/>
        <w:t xml:space="preserve">Duca J.V., Campbell, C.M. (2007). </w:t>
      </w:r>
      <w:r w:rsidRPr="00260B4B">
        <w:rPr>
          <w:rFonts w:ascii="Times New Roman" w:hAnsi="Times New Roman"/>
          <w:color w:val="000000" w:themeColor="text1"/>
          <w:sz w:val="24"/>
          <w:szCs w:val="24"/>
          <w:lang w:val="en-US" w:eastAsia="pt-BR"/>
        </w:rPr>
        <w:t>The Impact of Evolving Labor Practices and Demographics</w:t>
      </w:r>
      <w:r w:rsidR="003F72BB">
        <w:rPr>
          <w:rFonts w:ascii="Times New Roman" w:hAnsi="Times New Roman"/>
          <w:color w:val="000000" w:themeColor="text1"/>
          <w:sz w:val="24"/>
          <w:szCs w:val="24"/>
          <w:lang w:val="en-US" w:eastAsia="pt-BR"/>
        </w:rPr>
        <w:t xml:space="preserve"> </w:t>
      </w:r>
      <w:r w:rsidRPr="00260B4B">
        <w:rPr>
          <w:rFonts w:ascii="Times New Roman" w:hAnsi="Times New Roman"/>
          <w:color w:val="000000" w:themeColor="text1"/>
          <w:sz w:val="24"/>
          <w:szCs w:val="24"/>
          <w:lang w:val="en-US" w:eastAsia="pt-BR"/>
        </w:rPr>
        <w:t xml:space="preserve">on U.S. Inflation and Unemployment. </w:t>
      </w:r>
      <w:r w:rsidRPr="003F72BB">
        <w:rPr>
          <w:rFonts w:ascii="Times New Roman" w:hAnsi="Times New Roman"/>
          <w:color w:val="000000" w:themeColor="text1"/>
          <w:sz w:val="24"/>
          <w:szCs w:val="24"/>
          <w:lang w:val="en-US" w:eastAsia="pt-BR"/>
        </w:rPr>
        <w:t>Federal Reserve Bank of Dallas Working Paper 0702.</w:t>
      </w:r>
    </w:p>
    <w:p w:rsidR="0063433D" w:rsidRPr="00260B4B" w:rsidRDefault="0063433D" w:rsidP="001F03CD">
      <w:pPr>
        <w:spacing w:after="0" w:line="240" w:lineRule="auto"/>
        <w:ind w:left="720" w:hanging="720"/>
        <w:jc w:val="both"/>
        <w:rPr>
          <w:rFonts w:ascii="Times New Roman" w:hAnsi="Times New Roman"/>
          <w:color w:val="000000" w:themeColor="text1"/>
          <w:sz w:val="24"/>
          <w:szCs w:val="24"/>
          <w:lang w:val="en-US" w:eastAsia="pt-BR"/>
        </w:rPr>
      </w:pPr>
      <w:r w:rsidRPr="00CC7670">
        <w:rPr>
          <w:rFonts w:ascii="Times New Roman" w:hAnsi="Times New Roman"/>
          <w:color w:val="000000" w:themeColor="text1"/>
          <w:sz w:val="24"/>
          <w:szCs w:val="24"/>
          <w:lang w:val="en-US" w:eastAsia="pt-BR"/>
        </w:rPr>
        <w:t xml:space="preserve">Hipple S. (1997). </w:t>
      </w:r>
      <w:r w:rsidRPr="00260B4B">
        <w:rPr>
          <w:rFonts w:ascii="Times New Roman" w:hAnsi="Times New Roman"/>
          <w:color w:val="000000" w:themeColor="text1"/>
          <w:sz w:val="24"/>
          <w:szCs w:val="24"/>
          <w:lang w:val="en-US" w:eastAsia="pt-BR"/>
        </w:rPr>
        <w:t xml:space="preserve">Worker Displacement in an Expanding Economy. </w:t>
      </w:r>
      <w:r w:rsidRPr="00D50860">
        <w:rPr>
          <w:rFonts w:ascii="Times New Roman" w:hAnsi="Times New Roman"/>
          <w:i/>
          <w:color w:val="000000" w:themeColor="text1"/>
          <w:sz w:val="24"/>
          <w:szCs w:val="24"/>
          <w:lang w:val="en-US" w:eastAsia="pt-BR"/>
        </w:rPr>
        <w:t>Monthly Labor Review</w:t>
      </w:r>
      <w:r w:rsidRPr="00260B4B">
        <w:rPr>
          <w:rFonts w:ascii="Times New Roman" w:hAnsi="Times New Roman"/>
          <w:color w:val="000000" w:themeColor="text1"/>
          <w:sz w:val="24"/>
          <w:szCs w:val="24"/>
          <w:lang w:val="en-US" w:eastAsia="pt-BR"/>
        </w:rPr>
        <w:t>, December 1997, pp. 25-39.</w:t>
      </w:r>
    </w:p>
    <w:p w:rsidR="0063433D" w:rsidRPr="00260B4B" w:rsidRDefault="0063433D" w:rsidP="001F03C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CC7670">
        <w:rPr>
          <w:rFonts w:ascii="Times New Roman" w:hAnsi="Times New Roman"/>
          <w:color w:val="000000" w:themeColor="text1"/>
          <w:sz w:val="24"/>
          <w:szCs w:val="24"/>
          <w:lang w:val="en-US" w:eastAsia="pt-BR"/>
        </w:rPr>
        <w:t xml:space="preserve">Shimer, R. (1999). </w:t>
      </w:r>
      <w:r w:rsidRPr="00260B4B">
        <w:rPr>
          <w:rFonts w:ascii="Times New Roman" w:hAnsi="Times New Roman"/>
          <w:color w:val="000000" w:themeColor="text1"/>
          <w:sz w:val="24"/>
          <w:szCs w:val="24"/>
          <w:lang w:val="en-US" w:eastAsia="pt-BR"/>
        </w:rPr>
        <w:t>Why is the U.S. Unemployment Rate So Much Lower? NBER Macroeconomics Annual 1998, 1999, Vol. 13, (Cambridge, Mass: MIT Press) pp. 11-61.</w:t>
      </w:r>
      <w:r w:rsidRPr="00260B4B">
        <w:rPr>
          <w:rFonts w:ascii="Times New Roman" w:hAnsi="Times New Roman"/>
          <w:color w:val="000000" w:themeColor="text1"/>
          <w:sz w:val="24"/>
          <w:szCs w:val="24"/>
          <w:lang w:val="en-US"/>
        </w:rPr>
        <w:t xml:space="preserve"> </w:t>
      </w:r>
    </w:p>
    <w:p w:rsidR="0063433D" w:rsidRPr="0063433D" w:rsidRDefault="0063433D" w:rsidP="001F03CD">
      <w:pPr>
        <w:spacing w:after="0" w:line="240" w:lineRule="auto"/>
        <w:ind w:left="720" w:hanging="720"/>
        <w:jc w:val="both"/>
        <w:rPr>
          <w:rFonts w:ascii="Times New Roman" w:hAnsi="Times New Roman"/>
          <w:color w:val="000000" w:themeColor="text1"/>
          <w:sz w:val="24"/>
          <w:szCs w:val="24"/>
          <w:lang w:val="en-US"/>
        </w:rPr>
      </w:pPr>
    </w:p>
    <w:sectPr w:rsidR="0063433D" w:rsidRPr="0063433D" w:rsidSect="001F03CD">
      <w:footerReference w:type="default" r:id="rId40"/>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3A0" w:rsidRDefault="008F73A0" w:rsidP="00E52682">
      <w:pPr>
        <w:spacing w:after="0" w:line="240" w:lineRule="auto"/>
      </w:pPr>
      <w:r>
        <w:separator/>
      </w:r>
    </w:p>
  </w:endnote>
  <w:endnote w:type="continuationSeparator" w:id="0">
    <w:p w:rsidR="008F73A0" w:rsidRDefault="008F73A0" w:rsidP="00E52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307046"/>
      <w:docPartObj>
        <w:docPartGallery w:val="Page Numbers (Bottom of Page)"/>
        <w:docPartUnique/>
      </w:docPartObj>
    </w:sdtPr>
    <w:sdtEndPr/>
    <w:sdtContent>
      <w:p w:rsidR="008F73A0" w:rsidRDefault="008F73A0">
        <w:pPr>
          <w:pStyle w:val="Rodap"/>
          <w:jc w:val="right"/>
        </w:pPr>
        <w:r>
          <w:fldChar w:fldCharType="begin"/>
        </w:r>
        <w:r>
          <w:instrText>PAGE   \* MERGEFORMAT</w:instrText>
        </w:r>
        <w:r>
          <w:fldChar w:fldCharType="separate"/>
        </w:r>
        <w:r w:rsidR="00FB7862">
          <w:rPr>
            <w:noProof/>
          </w:rPr>
          <w:t>2</w:t>
        </w:r>
        <w:r>
          <w:rPr>
            <w:noProof/>
          </w:rPr>
          <w:fldChar w:fldCharType="end"/>
        </w:r>
      </w:p>
    </w:sdtContent>
  </w:sdt>
  <w:p w:rsidR="008F73A0" w:rsidRDefault="008F73A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3A0" w:rsidRDefault="008F73A0" w:rsidP="00E52682">
      <w:pPr>
        <w:spacing w:after="0" w:line="240" w:lineRule="auto"/>
      </w:pPr>
      <w:r>
        <w:separator/>
      </w:r>
    </w:p>
  </w:footnote>
  <w:footnote w:type="continuationSeparator" w:id="0">
    <w:p w:rsidR="008F73A0" w:rsidRDefault="008F73A0" w:rsidP="00E52682">
      <w:pPr>
        <w:spacing w:after="0" w:line="240" w:lineRule="auto"/>
      </w:pPr>
      <w:r>
        <w:continuationSeparator/>
      </w:r>
    </w:p>
  </w:footnote>
  <w:footnote w:id="1">
    <w:p w:rsidR="008F73A0" w:rsidRDefault="008F73A0" w:rsidP="0074745F">
      <w:pPr>
        <w:pStyle w:val="Textodenotaderodap"/>
        <w:jc w:val="both"/>
      </w:pPr>
      <w:r>
        <w:rPr>
          <w:rStyle w:val="Refdenotaderodap"/>
        </w:rPr>
        <w:footnoteRef/>
      </w:r>
      <w:r>
        <w:t xml:space="preserve"> A equação (4) foi decomposta em duas partes, com peso (1/2) para cada uma, obtendo-se, assim, a equação (5). Na equação (6) o primeiro termo é o efeito nível e o segundo o efeito composição. Para se obter o efeito nível, fixa-se a participação na média dos períodos. Por sua vez, para se obter o efeito composição, fixa-se o nível da taxa de informalidade na média dos períodos. Assim, a escolha inicial do peso (1/2) foi arbitrária e gerou a média no final. Poder-se-ia ter escolhido quaisquer dois valores para o peso – de tal forma que somassem um – ou seja, qualquer combinação convexa. Uma metodologia similar é mostrada em Corseuil, Moura e Ramos (2011).</w:t>
      </w:r>
    </w:p>
  </w:footnote>
  <w:footnote w:id="2">
    <w:p w:rsidR="008F73A0" w:rsidRDefault="008F73A0">
      <w:pPr>
        <w:pStyle w:val="Textodenotaderodap"/>
      </w:pPr>
      <w:r>
        <w:rPr>
          <w:rStyle w:val="Refdenotaderodap"/>
        </w:rPr>
        <w:footnoteRef/>
      </w:r>
      <w:r>
        <w:t xml:space="preserve"> Essa matriz é denominada matriz de Markov.</w:t>
      </w:r>
    </w:p>
  </w:footnote>
  <w:footnote w:id="3">
    <w:p w:rsidR="008F73A0" w:rsidRDefault="008F73A0" w:rsidP="00514B62">
      <w:pPr>
        <w:pStyle w:val="Textodenotaderodap"/>
        <w:jc w:val="both"/>
      </w:pPr>
      <w:r>
        <w:rPr>
          <w:rStyle w:val="Refdenotaderodap"/>
        </w:rPr>
        <w:footnoteRef/>
      </w:r>
      <w:r>
        <w:t xml:space="preserve"> Não utilizamos a comparação de apenas dos meses de janeiro e dezembro devido ao problema de atrito. Além disso, somamos mês a mês para obtermos uma probabilidade suavizada de transição, a fim de mitigar o efeito da sazonalidade que ocorre ao se analisar meses diferentes do ano.</w:t>
      </w:r>
    </w:p>
  </w:footnote>
  <w:footnote w:id="4">
    <w:p w:rsidR="008F73A0" w:rsidRDefault="008F73A0">
      <w:pPr>
        <w:pStyle w:val="Textodenotaderodap"/>
      </w:pPr>
      <w:r>
        <w:rPr>
          <w:rStyle w:val="Refdenotaderodap"/>
        </w:rPr>
        <w:footnoteRef/>
      </w:r>
      <w:r>
        <w:t xml:space="preserve"> Ver Barbosa Filho e Pessôa (2012).</w:t>
      </w:r>
    </w:p>
  </w:footnote>
  <w:footnote w:id="5">
    <w:p w:rsidR="008F73A0" w:rsidRDefault="008F73A0" w:rsidP="00436B3F">
      <w:pPr>
        <w:pStyle w:val="Textodenotaderodap"/>
        <w:jc w:val="both"/>
      </w:pPr>
      <w:r>
        <w:rPr>
          <w:rStyle w:val="Refdenotaderodap"/>
        </w:rPr>
        <w:footnoteRef/>
      </w:r>
      <w:r>
        <w:t xml:space="preserve"> Neste trabalho os autores constroem uma variável de capital humano que leva em consideração não somente a escolaridade formal mas, também, a experiência no mercado de trabalho. Ambos fatores que elevam a produtividade do trabalhador e, por isso, podem ser considerados capital humano. </w:t>
      </w:r>
    </w:p>
  </w:footnote>
  <w:footnote w:id="6">
    <w:p w:rsidR="008F73A0" w:rsidRDefault="008F73A0" w:rsidP="00503B49">
      <w:pPr>
        <w:pStyle w:val="Textodenotaderodap"/>
        <w:jc w:val="both"/>
      </w:pPr>
      <w:r>
        <w:rPr>
          <w:rStyle w:val="Refdenotaderodap"/>
        </w:rPr>
        <w:footnoteRef/>
      </w:r>
      <w:r>
        <w:t xml:space="preserve"> Para obter o efeito líquido, multiplicamos cada probabilidade da matriz de transição (por exemplo, de 2003) pelo estoque de emprego em janeiro (de 2003) da condição original. Assim, o fluxo de trabalhadores da informalidade para formalidade foi de: 22,4%</w:t>
      </w:r>
      <w:r>
        <w:rPr>
          <w:rFonts w:cs="Calibri"/>
        </w:rPr>
        <w:t>×</w:t>
      </w:r>
      <w:r>
        <w:t>3.823.076 (totais de informais em janeiro) = 855.222. Por sua vez, o fluxo no sentido contráfio foi de: 5,9%</w:t>
      </w:r>
      <w:r>
        <w:rPr>
          <w:rFonts w:cs="Calibri"/>
        </w:rPr>
        <w:t>×14.104.259 (totais de formais em janeiro)=724.959. Assim, o fluxo líquido foi de 855.222-724.959 = 21.660 trabalhadores que transitaram da informalidade para a formalidade.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D7"/>
    <w:rsid w:val="000046B0"/>
    <w:rsid w:val="000114FA"/>
    <w:rsid w:val="000173F4"/>
    <w:rsid w:val="000253AF"/>
    <w:rsid w:val="00031F22"/>
    <w:rsid w:val="00034F4B"/>
    <w:rsid w:val="000413A2"/>
    <w:rsid w:val="00044989"/>
    <w:rsid w:val="00050454"/>
    <w:rsid w:val="00050A8A"/>
    <w:rsid w:val="00055272"/>
    <w:rsid w:val="00060C85"/>
    <w:rsid w:val="00061788"/>
    <w:rsid w:val="00066F94"/>
    <w:rsid w:val="00067610"/>
    <w:rsid w:val="0007122D"/>
    <w:rsid w:val="00071E28"/>
    <w:rsid w:val="0007316F"/>
    <w:rsid w:val="00076D76"/>
    <w:rsid w:val="00077E94"/>
    <w:rsid w:val="00082F75"/>
    <w:rsid w:val="00091765"/>
    <w:rsid w:val="00091EC2"/>
    <w:rsid w:val="000A480C"/>
    <w:rsid w:val="000A5488"/>
    <w:rsid w:val="000A5591"/>
    <w:rsid w:val="000A5AFB"/>
    <w:rsid w:val="000B66CE"/>
    <w:rsid w:val="000C00C5"/>
    <w:rsid w:val="000C0A48"/>
    <w:rsid w:val="000C2672"/>
    <w:rsid w:val="000C3D17"/>
    <w:rsid w:val="000C74DF"/>
    <w:rsid w:val="000D338D"/>
    <w:rsid w:val="000F6A25"/>
    <w:rsid w:val="00101B43"/>
    <w:rsid w:val="00101FCD"/>
    <w:rsid w:val="0010446F"/>
    <w:rsid w:val="0010466F"/>
    <w:rsid w:val="00107D22"/>
    <w:rsid w:val="00111C2D"/>
    <w:rsid w:val="00113FF3"/>
    <w:rsid w:val="00115EE2"/>
    <w:rsid w:val="00142678"/>
    <w:rsid w:val="00145D66"/>
    <w:rsid w:val="00146C86"/>
    <w:rsid w:val="00150F14"/>
    <w:rsid w:val="0015699B"/>
    <w:rsid w:val="00167607"/>
    <w:rsid w:val="001708E1"/>
    <w:rsid w:val="00185936"/>
    <w:rsid w:val="001A3DC4"/>
    <w:rsid w:val="001A4005"/>
    <w:rsid w:val="001A44A6"/>
    <w:rsid w:val="001A6C50"/>
    <w:rsid w:val="001C1ACF"/>
    <w:rsid w:val="001D2CE0"/>
    <w:rsid w:val="001F03CD"/>
    <w:rsid w:val="001F6E8B"/>
    <w:rsid w:val="002021B4"/>
    <w:rsid w:val="00202A66"/>
    <w:rsid w:val="00204B53"/>
    <w:rsid w:val="00217F07"/>
    <w:rsid w:val="0024380E"/>
    <w:rsid w:val="00256958"/>
    <w:rsid w:val="00257D72"/>
    <w:rsid w:val="00260544"/>
    <w:rsid w:val="0026538B"/>
    <w:rsid w:val="00267E59"/>
    <w:rsid w:val="00274903"/>
    <w:rsid w:val="00280DEA"/>
    <w:rsid w:val="0028224F"/>
    <w:rsid w:val="00290CA9"/>
    <w:rsid w:val="00297D89"/>
    <w:rsid w:val="002A47A0"/>
    <w:rsid w:val="002B3DC4"/>
    <w:rsid w:val="002B7A0E"/>
    <w:rsid w:val="002C3E33"/>
    <w:rsid w:val="002C545A"/>
    <w:rsid w:val="002D43FB"/>
    <w:rsid w:val="002D708F"/>
    <w:rsid w:val="002E4EC7"/>
    <w:rsid w:val="002F0088"/>
    <w:rsid w:val="002F0C72"/>
    <w:rsid w:val="002F1181"/>
    <w:rsid w:val="002F7056"/>
    <w:rsid w:val="00300E01"/>
    <w:rsid w:val="0030530E"/>
    <w:rsid w:val="003144CF"/>
    <w:rsid w:val="00316365"/>
    <w:rsid w:val="00327AF4"/>
    <w:rsid w:val="003572F5"/>
    <w:rsid w:val="00364CB5"/>
    <w:rsid w:val="00386D3A"/>
    <w:rsid w:val="00392543"/>
    <w:rsid w:val="00393347"/>
    <w:rsid w:val="00397D4C"/>
    <w:rsid w:val="003B39BC"/>
    <w:rsid w:val="003B3CC7"/>
    <w:rsid w:val="003B3CCC"/>
    <w:rsid w:val="003C084A"/>
    <w:rsid w:val="003D404D"/>
    <w:rsid w:val="003E5FB4"/>
    <w:rsid w:val="003F1DC4"/>
    <w:rsid w:val="003F2308"/>
    <w:rsid w:val="003F6156"/>
    <w:rsid w:val="003F72BB"/>
    <w:rsid w:val="00401D12"/>
    <w:rsid w:val="00417E3E"/>
    <w:rsid w:val="00423650"/>
    <w:rsid w:val="004242D5"/>
    <w:rsid w:val="00430364"/>
    <w:rsid w:val="00436B3F"/>
    <w:rsid w:val="00437F83"/>
    <w:rsid w:val="004510E1"/>
    <w:rsid w:val="00454F43"/>
    <w:rsid w:val="00457F5D"/>
    <w:rsid w:val="00461937"/>
    <w:rsid w:val="0046300B"/>
    <w:rsid w:val="00465116"/>
    <w:rsid w:val="00474D12"/>
    <w:rsid w:val="00480328"/>
    <w:rsid w:val="0048184B"/>
    <w:rsid w:val="00485173"/>
    <w:rsid w:val="0048607D"/>
    <w:rsid w:val="00487DA5"/>
    <w:rsid w:val="004950A1"/>
    <w:rsid w:val="004A1B9E"/>
    <w:rsid w:val="004A2803"/>
    <w:rsid w:val="004D1EC3"/>
    <w:rsid w:val="004D3E5E"/>
    <w:rsid w:val="004D4C06"/>
    <w:rsid w:val="004F26B7"/>
    <w:rsid w:val="004F33AE"/>
    <w:rsid w:val="004F6978"/>
    <w:rsid w:val="00503B49"/>
    <w:rsid w:val="00514B62"/>
    <w:rsid w:val="00521E1C"/>
    <w:rsid w:val="0053625A"/>
    <w:rsid w:val="005375D0"/>
    <w:rsid w:val="00542326"/>
    <w:rsid w:val="005575D8"/>
    <w:rsid w:val="0056227F"/>
    <w:rsid w:val="00562D5F"/>
    <w:rsid w:val="00564AFD"/>
    <w:rsid w:val="00564D88"/>
    <w:rsid w:val="0056745D"/>
    <w:rsid w:val="00572539"/>
    <w:rsid w:val="00572CE3"/>
    <w:rsid w:val="0058001D"/>
    <w:rsid w:val="00580D70"/>
    <w:rsid w:val="00591607"/>
    <w:rsid w:val="005A41FF"/>
    <w:rsid w:val="005A4CF8"/>
    <w:rsid w:val="005A66B1"/>
    <w:rsid w:val="005C3366"/>
    <w:rsid w:val="005C6C7E"/>
    <w:rsid w:val="005C708A"/>
    <w:rsid w:val="005D3964"/>
    <w:rsid w:val="005D56D2"/>
    <w:rsid w:val="005D6430"/>
    <w:rsid w:val="005D693D"/>
    <w:rsid w:val="005E4FC7"/>
    <w:rsid w:val="005F0230"/>
    <w:rsid w:val="005F3C66"/>
    <w:rsid w:val="005F3ED8"/>
    <w:rsid w:val="00630CBF"/>
    <w:rsid w:val="006329B4"/>
    <w:rsid w:val="0063433D"/>
    <w:rsid w:val="0064114F"/>
    <w:rsid w:val="00650B7D"/>
    <w:rsid w:val="0065168B"/>
    <w:rsid w:val="006519E4"/>
    <w:rsid w:val="0065422E"/>
    <w:rsid w:val="00665170"/>
    <w:rsid w:val="006659D4"/>
    <w:rsid w:val="00671CAD"/>
    <w:rsid w:val="00673BAA"/>
    <w:rsid w:val="00677358"/>
    <w:rsid w:val="00681090"/>
    <w:rsid w:val="0068141F"/>
    <w:rsid w:val="00681A01"/>
    <w:rsid w:val="0068756B"/>
    <w:rsid w:val="00695EB4"/>
    <w:rsid w:val="00695FFC"/>
    <w:rsid w:val="006A2942"/>
    <w:rsid w:val="006A3400"/>
    <w:rsid w:val="006B6F93"/>
    <w:rsid w:val="006B7A32"/>
    <w:rsid w:val="006C05D1"/>
    <w:rsid w:val="006D09E5"/>
    <w:rsid w:val="006D4E39"/>
    <w:rsid w:val="006F4E5C"/>
    <w:rsid w:val="006F5C00"/>
    <w:rsid w:val="007044EF"/>
    <w:rsid w:val="0071462E"/>
    <w:rsid w:val="007148B7"/>
    <w:rsid w:val="007229EA"/>
    <w:rsid w:val="00735353"/>
    <w:rsid w:val="00736169"/>
    <w:rsid w:val="00740007"/>
    <w:rsid w:val="0074745F"/>
    <w:rsid w:val="00753506"/>
    <w:rsid w:val="00793D1B"/>
    <w:rsid w:val="00795ACC"/>
    <w:rsid w:val="00797384"/>
    <w:rsid w:val="007A31E2"/>
    <w:rsid w:val="007A5E9C"/>
    <w:rsid w:val="007A60D5"/>
    <w:rsid w:val="007A6369"/>
    <w:rsid w:val="007B2BD2"/>
    <w:rsid w:val="007B30CE"/>
    <w:rsid w:val="007D3AF7"/>
    <w:rsid w:val="007F2CBA"/>
    <w:rsid w:val="007F7934"/>
    <w:rsid w:val="007F7C00"/>
    <w:rsid w:val="00801F96"/>
    <w:rsid w:val="008103B2"/>
    <w:rsid w:val="0081294B"/>
    <w:rsid w:val="00831ACF"/>
    <w:rsid w:val="008406C5"/>
    <w:rsid w:val="00841B7F"/>
    <w:rsid w:val="00842B2B"/>
    <w:rsid w:val="0084600F"/>
    <w:rsid w:val="0085612B"/>
    <w:rsid w:val="0085749C"/>
    <w:rsid w:val="00857B53"/>
    <w:rsid w:val="00864D2E"/>
    <w:rsid w:val="008661C2"/>
    <w:rsid w:val="0086668E"/>
    <w:rsid w:val="008804A8"/>
    <w:rsid w:val="008825E9"/>
    <w:rsid w:val="00883CBD"/>
    <w:rsid w:val="008908C1"/>
    <w:rsid w:val="00895B84"/>
    <w:rsid w:val="008A0937"/>
    <w:rsid w:val="008B0E12"/>
    <w:rsid w:val="008B2DE7"/>
    <w:rsid w:val="008B4D8C"/>
    <w:rsid w:val="008D20A8"/>
    <w:rsid w:val="008D3FF1"/>
    <w:rsid w:val="008D7322"/>
    <w:rsid w:val="008E503E"/>
    <w:rsid w:val="008F44FB"/>
    <w:rsid w:val="008F63CE"/>
    <w:rsid w:val="008F73A0"/>
    <w:rsid w:val="00907CC4"/>
    <w:rsid w:val="00912CBA"/>
    <w:rsid w:val="00915575"/>
    <w:rsid w:val="009156D7"/>
    <w:rsid w:val="00920281"/>
    <w:rsid w:val="00921168"/>
    <w:rsid w:val="00921299"/>
    <w:rsid w:val="0092542F"/>
    <w:rsid w:val="00926662"/>
    <w:rsid w:val="009312E3"/>
    <w:rsid w:val="0093757E"/>
    <w:rsid w:val="00941FE4"/>
    <w:rsid w:val="00945B0D"/>
    <w:rsid w:val="00947CC3"/>
    <w:rsid w:val="009553A7"/>
    <w:rsid w:val="0096091A"/>
    <w:rsid w:val="0096347F"/>
    <w:rsid w:val="0096492B"/>
    <w:rsid w:val="00966DBC"/>
    <w:rsid w:val="009701A8"/>
    <w:rsid w:val="009704AB"/>
    <w:rsid w:val="00981F35"/>
    <w:rsid w:val="00984867"/>
    <w:rsid w:val="009A4397"/>
    <w:rsid w:val="009A6015"/>
    <w:rsid w:val="009B24E1"/>
    <w:rsid w:val="009B2864"/>
    <w:rsid w:val="009D3157"/>
    <w:rsid w:val="009D35E6"/>
    <w:rsid w:val="009D381E"/>
    <w:rsid w:val="009D694F"/>
    <w:rsid w:val="009E4D27"/>
    <w:rsid w:val="009F1BDF"/>
    <w:rsid w:val="009F4B4C"/>
    <w:rsid w:val="00A05335"/>
    <w:rsid w:val="00A23B32"/>
    <w:rsid w:val="00A24FD8"/>
    <w:rsid w:val="00A31064"/>
    <w:rsid w:val="00A3470C"/>
    <w:rsid w:val="00A35464"/>
    <w:rsid w:val="00A54131"/>
    <w:rsid w:val="00A5466C"/>
    <w:rsid w:val="00A55AB5"/>
    <w:rsid w:val="00A67D79"/>
    <w:rsid w:val="00AA548A"/>
    <w:rsid w:val="00AA5B2E"/>
    <w:rsid w:val="00AB66CC"/>
    <w:rsid w:val="00AE371F"/>
    <w:rsid w:val="00AF2C57"/>
    <w:rsid w:val="00B02876"/>
    <w:rsid w:val="00B02E73"/>
    <w:rsid w:val="00B07205"/>
    <w:rsid w:val="00B11115"/>
    <w:rsid w:val="00B1407A"/>
    <w:rsid w:val="00B152E9"/>
    <w:rsid w:val="00B224D2"/>
    <w:rsid w:val="00B2554F"/>
    <w:rsid w:val="00B25C0F"/>
    <w:rsid w:val="00B30E03"/>
    <w:rsid w:val="00B369D6"/>
    <w:rsid w:val="00B50E14"/>
    <w:rsid w:val="00B5552C"/>
    <w:rsid w:val="00B6747F"/>
    <w:rsid w:val="00B82085"/>
    <w:rsid w:val="00B85097"/>
    <w:rsid w:val="00B92E07"/>
    <w:rsid w:val="00B94C48"/>
    <w:rsid w:val="00BA1A84"/>
    <w:rsid w:val="00BA3B7E"/>
    <w:rsid w:val="00BA45CC"/>
    <w:rsid w:val="00BA4699"/>
    <w:rsid w:val="00BA64BA"/>
    <w:rsid w:val="00BB0895"/>
    <w:rsid w:val="00BC79BF"/>
    <w:rsid w:val="00BD320B"/>
    <w:rsid w:val="00BE44F9"/>
    <w:rsid w:val="00BE5225"/>
    <w:rsid w:val="00BF1556"/>
    <w:rsid w:val="00BF299A"/>
    <w:rsid w:val="00BF2D51"/>
    <w:rsid w:val="00BF4883"/>
    <w:rsid w:val="00C01C84"/>
    <w:rsid w:val="00C03780"/>
    <w:rsid w:val="00C05DBB"/>
    <w:rsid w:val="00C13C6F"/>
    <w:rsid w:val="00C13E24"/>
    <w:rsid w:val="00C14724"/>
    <w:rsid w:val="00C159D4"/>
    <w:rsid w:val="00C17661"/>
    <w:rsid w:val="00C22D14"/>
    <w:rsid w:val="00C23DD9"/>
    <w:rsid w:val="00C27B0E"/>
    <w:rsid w:val="00C51AD0"/>
    <w:rsid w:val="00C546A5"/>
    <w:rsid w:val="00C564F6"/>
    <w:rsid w:val="00C57605"/>
    <w:rsid w:val="00C67E31"/>
    <w:rsid w:val="00C92267"/>
    <w:rsid w:val="00C968D8"/>
    <w:rsid w:val="00CA0072"/>
    <w:rsid w:val="00CA73D7"/>
    <w:rsid w:val="00CB1413"/>
    <w:rsid w:val="00CB1584"/>
    <w:rsid w:val="00CB48C8"/>
    <w:rsid w:val="00CB49E0"/>
    <w:rsid w:val="00CC2BD7"/>
    <w:rsid w:val="00CC356C"/>
    <w:rsid w:val="00CC427A"/>
    <w:rsid w:val="00CC545C"/>
    <w:rsid w:val="00CC6ECD"/>
    <w:rsid w:val="00CE2933"/>
    <w:rsid w:val="00CE4025"/>
    <w:rsid w:val="00CE4A1D"/>
    <w:rsid w:val="00CF061D"/>
    <w:rsid w:val="00CF542C"/>
    <w:rsid w:val="00D05C80"/>
    <w:rsid w:val="00D07484"/>
    <w:rsid w:val="00D075FE"/>
    <w:rsid w:val="00D148EF"/>
    <w:rsid w:val="00D200DF"/>
    <w:rsid w:val="00D20B01"/>
    <w:rsid w:val="00D216FF"/>
    <w:rsid w:val="00D21A9C"/>
    <w:rsid w:val="00D22588"/>
    <w:rsid w:val="00D250C0"/>
    <w:rsid w:val="00D35A6B"/>
    <w:rsid w:val="00D50860"/>
    <w:rsid w:val="00D544E2"/>
    <w:rsid w:val="00D623D1"/>
    <w:rsid w:val="00D65135"/>
    <w:rsid w:val="00D652D6"/>
    <w:rsid w:val="00D72AFF"/>
    <w:rsid w:val="00D76A3D"/>
    <w:rsid w:val="00D825A5"/>
    <w:rsid w:val="00D8458C"/>
    <w:rsid w:val="00D864C7"/>
    <w:rsid w:val="00D9054F"/>
    <w:rsid w:val="00D912E6"/>
    <w:rsid w:val="00D92A3C"/>
    <w:rsid w:val="00DA0A17"/>
    <w:rsid w:val="00DA1FE9"/>
    <w:rsid w:val="00DA2356"/>
    <w:rsid w:val="00DB01CC"/>
    <w:rsid w:val="00DC1AF0"/>
    <w:rsid w:val="00DC7C10"/>
    <w:rsid w:val="00DD3E26"/>
    <w:rsid w:val="00DD62C7"/>
    <w:rsid w:val="00DE0BE4"/>
    <w:rsid w:val="00DF1DC3"/>
    <w:rsid w:val="00DF4FA3"/>
    <w:rsid w:val="00E00059"/>
    <w:rsid w:val="00E0123A"/>
    <w:rsid w:val="00E05443"/>
    <w:rsid w:val="00E06686"/>
    <w:rsid w:val="00E152EE"/>
    <w:rsid w:val="00E210A3"/>
    <w:rsid w:val="00E401FB"/>
    <w:rsid w:val="00E413D0"/>
    <w:rsid w:val="00E4309B"/>
    <w:rsid w:val="00E47602"/>
    <w:rsid w:val="00E52682"/>
    <w:rsid w:val="00E749F6"/>
    <w:rsid w:val="00E75556"/>
    <w:rsid w:val="00E916AE"/>
    <w:rsid w:val="00EA0C95"/>
    <w:rsid w:val="00EA40D7"/>
    <w:rsid w:val="00EA4F9A"/>
    <w:rsid w:val="00EA563C"/>
    <w:rsid w:val="00EA7C97"/>
    <w:rsid w:val="00ED5CCF"/>
    <w:rsid w:val="00ED6F4B"/>
    <w:rsid w:val="00EE5A2D"/>
    <w:rsid w:val="00EE5B2D"/>
    <w:rsid w:val="00EE70C2"/>
    <w:rsid w:val="00EE7345"/>
    <w:rsid w:val="00EF7A3A"/>
    <w:rsid w:val="00F04452"/>
    <w:rsid w:val="00F06CAA"/>
    <w:rsid w:val="00F21A0E"/>
    <w:rsid w:val="00F23DB5"/>
    <w:rsid w:val="00F27F84"/>
    <w:rsid w:val="00F37211"/>
    <w:rsid w:val="00F45245"/>
    <w:rsid w:val="00F45433"/>
    <w:rsid w:val="00F45B13"/>
    <w:rsid w:val="00F5776C"/>
    <w:rsid w:val="00F663B1"/>
    <w:rsid w:val="00F71BFD"/>
    <w:rsid w:val="00F71E59"/>
    <w:rsid w:val="00F72CDC"/>
    <w:rsid w:val="00F822FB"/>
    <w:rsid w:val="00F830E4"/>
    <w:rsid w:val="00F87C5E"/>
    <w:rsid w:val="00F90E44"/>
    <w:rsid w:val="00F92C78"/>
    <w:rsid w:val="00F935CA"/>
    <w:rsid w:val="00F94BBB"/>
    <w:rsid w:val="00FA70AA"/>
    <w:rsid w:val="00FB07C8"/>
    <w:rsid w:val="00FB3AB9"/>
    <w:rsid w:val="00FB7862"/>
    <w:rsid w:val="00FC24C9"/>
    <w:rsid w:val="00FC2E6F"/>
    <w:rsid w:val="00FD319A"/>
    <w:rsid w:val="00FD35BD"/>
    <w:rsid w:val="00FD5614"/>
    <w:rsid w:val="00FE1549"/>
    <w:rsid w:val="00FE63C8"/>
    <w:rsid w:val="00FE6E56"/>
    <w:rsid w:val="00FF35CE"/>
    <w:rsid w:val="00FF5E9D"/>
    <w:rsid w:val="00FF60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CA9"/>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E5268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52682"/>
    <w:rPr>
      <w:lang w:eastAsia="en-US"/>
    </w:rPr>
  </w:style>
  <w:style w:type="character" w:styleId="Refdenotaderodap">
    <w:name w:val="footnote reference"/>
    <w:basedOn w:val="Fontepargpadro"/>
    <w:uiPriority w:val="99"/>
    <w:semiHidden/>
    <w:unhideWhenUsed/>
    <w:rsid w:val="00E52682"/>
    <w:rPr>
      <w:vertAlign w:val="superscript"/>
    </w:rPr>
  </w:style>
  <w:style w:type="paragraph" w:styleId="Cabealho">
    <w:name w:val="header"/>
    <w:basedOn w:val="Normal"/>
    <w:link w:val="CabealhoChar"/>
    <w:uiPriority w:val="99"/>
    <w:unhideWhenUsed/>
    <w:rsid w:val="0096091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091A"/>
    <w:rPr>
      <w:sz w:val="22"/>
      <w:szCs w:val="22"/>
      <w:lang w:eastAsia="en-US"/>
    </w:rPr>
  </w:style>
  <w:style w:type="paragraph" w:styleId="Rodap">
    <w:name w:val="footer"/>
    <w:basedOn w:val="Normal"/>
    <w:link w:val="RodapChar"/>
    <w:uiPriority w:val="99"/>
    <w:unhideWhenUsed/>
    <w:rsid w:val="0096091A"/>
    <w:pPr>
      <w:tabs>
        <w:tab w:val="center" w:pos="4252"/>
        <w:tab w:val="right" w:pos="8504"/>
      </w:tabs>
      <w:spacing w:after="0" w:line="240" w:lineRule="auto"/>
    </w:pPr>
  </w:style>
  <w:style w:type="character" w:customStyle="1" w:styleId="RodapChar">
    <w:name w:val="Rodapé Char"/>
    <w:basedOn w:val="Fontepargpadro"/>
    <w:link w:val="Rodap"/>
    <w:uiPriority w:val="99"/>
    <w:rsid w:val="0096091A"/>
    <w:rPr>
      <w:sz w:val="22"/>
      <w:szCs w:val="22"/>
      <w:lang w:eastAsia="en-US"/>
    </w:rPr>
  </w:style>
  <w:style w:type="character" w:styleId="Refdecomentrio">
    <w:name w:val="annotation reference"/>
    <w:basedOn w:val="Fontepargpadro"/>
    <w:uiPriority w:val="99"/>
    <w:semiHidden/>
    <w:unhideWhenUsed/>
    <w:rsid w:val="00A67D79"/>
    <w:rPr>
      <w:sz w:val="16"/>
      <w:szCs w:val="16"/>
    </w:rPr>
  </w:style>
  <w:style w:type="paragraph" w:styleId="Textodecomentrio">
    <w:name w:val="annotation text"/>
    <w:basedOn w:val="Normal"/>
    <w:link w:val="TextodecomentrioChar"/>
    <w:uiPriority w:val="99"/>
    <w:semiHidden/>
    <w:unhideWhenUsed/>
    <w:rsid w:val="00A67D7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67D79"/>
    <w:rPr>
      <w:lang w:eastAsia="en-US"/>
    </w:rPr>
  </w:style>
  <w:style w:type="paragraph" w:styleId="Assuntodocomentrio">
    <w:name w:val="annotation subject"/>
    <w:basedOn w:val="Textodecomentrio"/>
    <w:next w:val="Textodecomentrio"/>
    <w:link w:val="AssuntodocomentrioChar"/>
    <w:uiPriority w:val="99"/>
    <w:semiHidden/>
    <w:unhideWhenUsed/>
    <w:rsid w:val="00A67D79"/>
    <w:rPr>
      <w:b/>
      <w:bCs/>
    </w:rPr>
  </w:style>
  <w:style w:type="character" w:customStyle="1" w:styleId="AssuntodocomentrioChar">
    <w:name w:val="Assunto do comentário Char"/>
    <w:basedOn w:val="TextodecomentrioChar"/>
    <w:link w:val="Assuntodocomentrio"/>
    <w:uiPriority w:val="99"/>
    <w:semiHidden/>
    <w:rsid w:val="00A67D79"/>
    <w:rPr>
      <w:b/>
      <w:bCs/>
      <w:lang w:eastAsia="en-US"/>
    </w:rPr>
  </w:style>
  <w:style w:type="paragraph" w:styleId="Textodebalo">
    <w:name w:val="Balloon Text"/>
    <w:basedOn w:val="Normal"/>
    <w:link w:val="TextodebaloChar"/>
    <w:uiPriority w:val="99"/>
    <w:semiHidden/>
    <w:unhideWhenUsed/>
    <w:rsid w:val="00A67D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7D79"/>
    <w:rPr>
      <w:rFonts w:ascii="Tahoma" w:hAnsi="Tahoma" w:cs="Tahoma"/>
      <w:sz w:val="16"/>
      <w:szCs w:val="16"/>
      <w:lang w:eastAsia="en-US"/>
    </w:rPr>
  </w:style>
  <w:style w:type="character" w:styleId="TextodoEspaoReservado">
    <w:name w:val="Placeholder Text"/>
    <w:basedOn w:val="Fontepargpadro"/>
    <w:uiPriority w:val="99"/>
    <w:semiHidden/>
    <w:rsid w:val="00B152E9"/>
    <w:rPr>
      <w:color w:val="808080"/>
    </w:rPr>
  </w:style>
  <w:style w:type="character" w:styleId="nfase">
    <w:name w:val="Emphasis"/>
    <w:basedOn w:val="Fontepargpadro"/>
    <w:uiPriority w:val="20"/>
    <w:qFormat/>
    <w:locked/>
    <w:rsid w:val="00107D22"/>
    <w:rPr>
      <w:i/>
      <w:iCs/>
    </w:rPr>
  </w:style>
  <w:style w:type="character" w:styleId="Hyperlink">
    <w:name w:val="Hyperlink"/>
    <w:basedOn w:val="Fontepargpadro"/>
    <w:uiPriority w:val="99"/>
    <w:unhideWhenUsed/>
    <w:rsid w:val="000A54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CA9"/>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E5268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52682"/>
    <w:rPr>
      <w:lang w:eastAsia="en-US"/>
    </w:rPr>
  </w:style>
  <w:style w:type="character" w:styleId="Refdenotaderodap">
    <w:name w:val="footnote reference"/>
    <w:basedOn w:val="Fontepargpadro"/>
    <w:uiPriority w:val="99"/>
    <w:semiHidden/>
    <w:unhideWhenUsed/>
    <w:rsid w:val="00E52682"/>
    <w:rPr>
      <w:vertAlign w:val="superscript"/>
    </w:rPr>
  </w:style>
  <w:style w:type="paragraph" w:styleId="Cabealho">
    <w:name w:val="header"/>
    <w:basedOn w:val="Normal"/>
    <w:link w:val="CabealhoChar"/>
    <w:uiPriority w:val="99"/>
    <w:unhideWhenUsed/>
    <w:rsid w:val="0096091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091A"/>
    <w:rPr>
      <w:sz w:val="22"/>
      <w:szCs w:val="22"/>
      <w:lang w:eastAsia="en-US"/>
    </w:rPr>
  </w:style>
  <w:style w:type="paragraph" w:styleId="Rodap">
    <w:name w:val="footer"/>
    <w:basedOn w:val="Normal"/>
    <w:link w:val="RodapChar"/>
    <w:uiPriority w:val="99"/>
    <w:unhideWhenUsed/>
    <w:rsid w:val="0096091A"/>
    <w:pPr>
      <w:tabs>
        <w:tab w:val="center" w:pos="4252"/>
        <w:tab w:val="right" w:pos="8504"/>
      </w:tabs>
      <w:spacing w:after="0" w:line="240" w:lineRule="auto"/>
    </w:pPr>
  </w:style>
  <w:style w:type="character" w:customStyle="1" w:styleId="RodapChar">
    <w:name w:val="Rodapé Char"/>
    <w:basedOn w:val="Fontepargpadro"/>
    <w:link w:val="Rodap"/>
    <w:uiPriority w:val="99"/>
    <w:rsid w:val="0096091A"/>
    <w:rPr>
      <w:sz w:val="22"/>
      <w:szCs w:val="22"/>
      <w:lang w:eastAsia="en-US"/>
    </w:rPr>
  </w:style>
  <w:style w:type="character" w:styleId="Refdecomentrio">
    <w:name w:val="annotation reference"/>
    <w:basedOn w:val="Fontepargpadro"/>
    <w:uiPriority w:val="99"/>
    <w:semiHidden/>
    <w:unhideWhenUsed/>
    <w:rsid w:val="00A67D79"/>
    <w:rPr>
      <w:sz w:val="16"/>
      <w:szCs w:val="16"/>
    </w:rPr>
  </w:style>
  <w:style w:type="paragraph" w:styleId="Textodecomentrio">
    <w:name w:val="annotation text"/>
    <w:basedOn w:val="Normal"/>
    <w:link w:val="TextodecomentrioChar"/>
    <w:uiPriority w:val="99"/>
    <w:semiHidden/>
    <w:unhideWhenUsed/>
    <w:rsid w:val="00A67D7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67D79"/>
    <w:rPr>
      <w:lang w:eastAsia="en-US"/>
    </w:rPr>
  </w:style>
  <w:style w:type="paragraph" w:styleId="Assuntodocomentrio">
    <w:name w:val="annotation subject"/>
    <w:basedOn w:val="Textodecomentrio"/>
    <w:next w:val="Textodecomentrio"/>
    <w:link w:val="AssuntodocomentrioChar"/>
    <w:uiPriority w:val="99"/>
    <w:semiHidden/>
    <w:unhideWhenUsed/>
    <w:rsid w:val="00A67D79"/>
    <w:rPr>
      <w:b/>
      <w:bCs/>
    </w:rPr>
  </w:style>
  <w:style w:type="character" w:customStyle="1" w:styleId="AssuntodocomentrioChar">
    <w:name w:val="Assunto do comentário Char"/>
    <w:basedOn w:val="TextodecomentrioChar"/>
    <w:link w:val="Assuntodocomentrio"/>
    <w:uiPriority w:val="99"/>
    <w:semiHidden/>
    <w:rsid w:val="00A67D79"/>
    <w:rPr>
      <w:b/>
      <w:bCs/>
      <w:lang w:eastAsia="en-US"/>
    </w:rPr>
  </w:style>
  <w:style w:type="paragraph" w:styleId="Textodebalo">
    <w:name w:val="Balloon Text"/>
    <w:basedOn w:val="Normal"/>
    <w:link w:val="TextodebaloChar"/>
    <w:uiPriority w:val="99"/>
    <w:semiHidden/>
    <w:unhideWhenUsed/>
    <w:rsid w:val="00A67D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7D79"/>
    <w:rPr>
      <w:rFonts w:ascii="Tahoma" w:hAnsi="Tahoma" w:cs="Tahoma"/>
      <w:sz w:val="16"/>
      <w:szCs w:val="16"/>
      <w:lang w:eastAsia="en-US"/>
    </w:rPr>
  </w:style>
  <w:style w:type="character" w:styleId="TextodoEspaoReservado">
    <w:name w:val="Placeholder Text"/>
    <w:basedOn w:val="Fontepargpadro"/>
    <w:uiPriority w:val="99"/>
    <w:semiHidden/>
    <w:rsid w:val="00B152E9"/>
    <w:rPr>
      <w:color w:val="808080"/>
    </w:rPr>
  </w:style>
  <w:style w:type="character" w:styleId="nfase">
    <w:name w:val="Emphasis"/>
    <w:basedOn w:val="Fontepargpadro"/>
    <w:uiPriority w:val="20"/>
    <w:qFormat/>
    <w:locked/>
    <w:rsid w:val="00107D22"/>
    <w:rPr>
      <w:i/>
      <w:iCs/>
    </w:rPr>
  </w:style>
  <w:style w:type="character" w:styleId="Hyperlink">
    <w:name w:val="Hyperlink"/>
    <w:basedOn w:val="Fontepargpadro"/>
    <w:uiPriority w:val="99"/>
    <w:unhideWhenUsed/>
    <w:rsid w:val="000A54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20180">
      <w:bodyDiv w:val="1"/>
      <w:marLeft w:val="0"/>
      <w:marRight w:val="0"/>
      <w:marTop w:val="0"/>
      <w:marBottom w:val="0"/>
      <w:divBdr>
        <w:top w:val="none" w:sz="0" w:space="0" w:color="auto"/>
        <w:left w:val="none" w:sz="0" w:space="0" w:color="auto"/>
        <w:bottom w:val="none" w:sz="0" w:space="0" w:color="auto"/>
        <w:right w:val="none" w:sz="0" w:space="0" w:color="auto"/>
      </w:divBdr>
    </w:div>
    <w:div w:id="204026580">
      <w:bodyDiv w:val="1"/>
      <w:marLeft w:val="0"/>
      <w:marRight w:val="0"/>
      <w:marTop w:val="0"/>
      <w:marBottom w:val="0"/>
      <w:divBdr>
        <w:top w:val="none" w:sz="0" w:space="0" w:color="auto"/>
        <w:left w:val="none" w:sz="0" w:space="0" w:color="auto"/>
        <w:bottom w:val="none" w:sz="0" w:space="0" w:color="auto"/>
        <w:right w:val="none" w:sz="0" w:space="0" w:color="auto"/>
      </w:divBdr>
    </w:div>
    <w:div w:id="308559363">
      <w:bodyDiv w:val="1"/>
      <w:marLeft w:val="0"/>
      <w:marRight w:val="0"/>
      <w:marTop w:val="0"/>
      <w:marBottom w:val="0"/>
      <w:divBdr>
        <w:top w:val="none" w:sz="0" w:space="0" w:color="auto"/>
        <w:left w:val="none" w:sz="0" w:space="0" w:color="auto"/>
        <w:bottom w:val="none" w:sz="0" w:space="0" w:color="auto"/>
        <w:right w:val="none" w:sz="0" w:space="0" w:color="auto"/>
      </w:divBdr>
    </w:div>
    <w:div w:id="324165449">
      <w:bodyDiv w:val="1"/>
      <w:marLeft w:val="0"/>
      <w:marRight w:val="0"/>
      <w:marTop w:val="0"/>
      <w:marBottom w:val="0"/>
      <w:divBdr>
        <w:top w:val="none" w:sz="0" w:space="0" w:color="auto"/>
        <w:left w:val="none" w:sz="0" w:space="0" w:color="auto"/>
        <w:bottom w:val="none" w:sz="0" w:space="0" w:color="auto"/>
        <w:right w:val="none" w:sz="0" w:space="0" w:color="auto"/>
      </w:divBdr>
    </w:div>
    <w:div w:id="392699772">
      <w:bodyDiv w:val="1"/>
      <w:marLeft w:val="0"/>
      <w:marRight w:val="0"/>
      <w:marTop w:val="0"/>
      <w:marBottom w:val="0"/>
      <w:divBdr>
        <w:top w:val="none" w:sz="0" w:space="0" w:color="auto"/>
        <w:left w:val="none" w:sz="0" w:space="0" w:color="auto"/>
        <w:bottom w:val="none" w:sz="0" w:space="0" w:color="auto"/>
        <w:right w:val="none" w:sz="0" w:space="0" w:color="auto"/>
      </w:divBdr>
    </w:div>
    <w:div w:id="419064492">
      <w:bodyDiv w:val="1"/>
      <w:marLeft w:val="0"/>
      <w:marRight w:val="0"/>
      <w:marTop w:val="0"/>
      <w:marBottom w:val="0"/>
      <w:divBdr>
        <w:top w:val="none" w:sz="0" w:space="0" w:color="auto"/>
        <w:left w:val="none" w:sz="0" w:space="0" w:color="auto"/>
        <w:bottom w:val="none" w:sz="0" w:space="0" w:color="auto"/>
        <w:right w:val="none" w:sz="0" w:space="0" w:color="auto"/>
      </w:divBdr>
    </w:div>
    <w:div w:id="420488310">
      <w:bodyDiv w:val="1"/>
      <w:marLeft w:val="0"/>
      <w:marRight w:val="0"/>
      <w:marTop w:val="0"/>
      <w:marBottom w:val="0"/>
      <w:divBdr>
        <w:top w:val="none" w:sz="0" w:space="0" w:color="auto"/>
        <w:left w:val="none" w:sz="0" w:space="0" w:color="auto"/>
        <w:bottom w:val="none" w:sz="0" w:space="0" w:color="auto"/>
        <w:right w:val="none" w:sz="0" w:space="0" w:color="auto"/>
      </w:divBdr>
    </w:div>
    <w:div w:id="444736487">
      <w:bodyDiv w:val="1"/>
      <w:marLeft w:val="0"/>
      <w:marRight w:val="0"/>
      <w:marTop w:val="0"/>
      <w:marBottom w:val="0"/>
      <w:divBdr>
        <w:top w:val="none" w:sz="0" w:space="0" w:color="auto"/>
        <w:left w:val="none" w:sz="0" w:space="0" w:color="auto"/>
        <w:bottom w:val="none" w:sz="0" w:space="0" w:color="auto"/>
        <w:right w:val="none" w:sz="0" w:space="0" w:color="auto"/>
      </w:divBdr>
    </w:div>
    <w:div w:id="622807740">
      <w:bodyDiv w:val="1"/>
      <w:marLeft w:val="0"/>
      <w:marRight w:val="0"/>
      <w:marTop w:val="0"/>
      <w:marBottom w:val="0"/>
      <w:divBdr>
        <w:top w:val="none" w:sz="0" w:space="0" w:color="auto"/>
        <w:left w:val="none" w:sz="0" w:space="0" w:color="auto"/>
        <w:bottom w:val="none" w:sz="0" w:space="0" w:color="auto"/>
        <w:right w:val="none" w:sz="0" w:space="0" w:color="auto"/>
      </w:divBdr>
    </w:div>
    <w:div w:id="686096752">
      <w:bodyDiv w:val="1"/>
      <w:marLeft w:val="0"/>
      <w:marRight w:val="0"/>
      <w:marTop w:val="0"/>
      <w:marBottom w:val="0"/>
      <w:divBdr>
        <w:top w:val="none" w:sz="0" w:space="0" w:color="auto"/>
        <w:left w:val="none" w:sz="0" w:space="0" w:color="auto"/>
        <w:bottom w:val="none" w:sz="0" w:space="0" w:color="auto"/>
        <w:right w:val="none" w:sz="0" w:space="0" w:color="auto"/>
      </w:divBdr>
    </w:div>
    <w:div w:id="743337538">
      <w:marLeft w:val="0"/>
      <w:marRight w:val="0"/>
      <w:marTop w:val="0"/>
      <w:marBottom w:val="0"/>
      <w:divBdr>
        <w:top w:val="none" w:sz="0" w:space="0" w:color="auto"/>
        <w:left w:val="none" w:sz="0" w:space="0" w:color="auto"/>
        <w:bottom w:val="none" w:sz="0" w:space="0" w:color="auto"/>
        <w:right w:val="none" w:sz="0" w:space="0" w:color="auto"/>
      </w:divBdr>
    </w:div>
    <w:div w:id="743337539">
      <w:marLeft w:val="0"/>
      <w:marRight w:val="0"/>
      <w:marTop w:val="0"/>
      <w:marBottom w:val="0"/>
      <w:divBdr>
        <w:top w:val="none" w:sz="0" w:space="0" w:color="auto"/>
        <w:left w:val="none" w:sz="0" w:space="0" w:color="auto"/>
        <w:bottom w:val="none" w:sz="0" w:space="0" w:color="auto"/>
        <w:right w:val="none" w:sz="0" w:space="0" w:color="auto"/>
      </w:divBdr>
    </w:div>
    <w:div w:id="743337540">
      <w:marLeft w:val="0"/>
      <w:marRight w:val="0"/>
      <w:marTop w:val="0"/>
      <w:marBottom w:val="0"/>
      <w:divBdr>
        <w:top w:val="none" w:sz="0" w:space="0" w:color="auto"/>
        <w:left w:val="none" w:sz="0" w:space="0" w:color="auto"/>
        <w:bottom w:val="none" w:sz="0" w:space="0" w:color="auto"/>
        <w:right w:val="none" w:sz="0" w:space="0" w:color="auto"/>
      </w:divBdr>
    </w:div>
    <w:div w:id="743337541">
      <w:marLeft w:val="0"/>
      <w:marRight w:val="0"/>
      <w:marTop w:val="0"/>
      <w:marBottom w:val="0"/>
      <w:divBdr>
        <w:top w:val="none" w:sz="0" w:space="0" w:color="auto"/>
        <w:left w:val="none" w:sz="0" w:space="0" w:color="auto"/>
        <w:bottom w:val="none" w:sz="0" w:space="0" w:color="auto"/>
        <w:right w:val="none" w:sz="0" w:space="0" w:color="auto"/>
      </w:divBdr>
    </w:div>
    <w:div w:id="743337542">
      <w:marLeft w:val="0"/>
      <w:marRight w:val="0"/>
      <w:marTop w:val="0"/>
      <w:marBottom w:val="0"/>
      <w:divBdr>
        <w:top w:val="none" w:sz="0" w:space="0" w:color="auto"/>
        <w:left w:val="none" w:sz="0" w:space="0" w:color="auto"/>
        <w:bottom w:val="none" w:sz="0" w:space="0" w:color="auto"/>
        <w:right w:val="none" w:sz="0" w:space="0" w:color="auto"/>
      </w:divBdr>
    </w:div>
    <w:div w:id="776172759">
      <w:bodyDiv w:val="1"/>
      <w:marLeft w:val="0"/>
      <w:marRight w:val="0"/>
      <w:marTop w:val="0"/>
      <w:marBottom w:val="0"/>
      <w:divBdr>
        <w:top w:val="none" w:sz="0" w:space="0" w:color="auto"/>
        <w:left w:val="none" w:sz="0" w:space="0" w:color="auto"/>
        <w:bottom w:val="none" w:sz="0" w:space="0" w:color="auto"/>
        <w:right w:val="none" w:sz="0" w:space="0" w:color="auto"/>
      </w:divBdr>
    </w:div>
    <w:div w:id="776410419">
      <w:bodyDiv w:val="1"/>
      <w:marLeft w:val="0"/>
      <w:marRight w:val="0"/>
      <w:marTop w:val="0"/>
      <w:marBottom w:val="0"/>
      <w:divBdr>
        <w:top w:val="none" w:sz="0" w:space="0" w:color="auto"/>
        <w:left w:val="none" w:sz="0" w:space="0" w:color="auto"/>
        <w:bottom w:val="none" w:sz="0" w:space="0" w:color="auto"/>
        <w:right w:val="none" w:sz="0" w:space="0" w:color="auto"/>
      </w:divBdr>
    </w:div>
    <w:div w:id="813715049">
      <w:bodyDiv w:val="1"/>
      <w:marLeft w:val="0"/>
      <w:marRight w:val="0"/>
      <w:marTop w:val="0"/>
      <w:marBottom w:val="0"/>
      <w:divBdr>
        <w:top w:val="none" w:sz="0" w:space="0" w:color="auto"/>
        <w:left w:val="none" w:sz="0" w:space="0" w:color="auto"/>
        <w:bottom w:val="none" w:sz="0" w:space="0" w:color="auto"/>
        <w:right w:val="none" w:sz="0" w:space="0" w:color="auto"/>
      </w:divBdr>
    </w:div>
    <w:div w:id="882911205">
      <w:bodyDiv w:val="1"/>
      <w:marLeft w:val="0"/>
      <w:marRight w:val="0"/>
      <w:marTop w:val="0"/>
      <w:marBottom w:val="0"/>
      <w:divBdr>
        <w:top w:val="none" w:sz="0" w:space="0" w:color="auto"/>
        <w:left w:val="none" w:sz="0" w:space="0" w:color="auto"/>
        <w:bottom w:val="none" w:sz="0" w:space="0" w:color="auto"/>
        <w:right w:val="none" w:sz="0" w:space="0" w:color="auto"/>
      </w:divBdr>
    </w:div>
    <w:div w:id="885992951">
      <w:bodyDiv w:val="1"/>
      <w:marLeft w:val="0"/>
      <w:marRight w:val="0"/>
      <w:marTop w:val="0"/>
      <w:marBottom w:val="0"/>
      <w:divBdr>
        <w:top w:val="none" w:sz="0" w:space="0" w:color="auto"/>
        <w:left w:val="none" w:sz="0" w:space="0" w:color="auto"/>
        <w:bottom w:val="none" w:sz="0" w:space="0" w:color="auto"/>
        <w:right w:val="none" w:sz="0" w:space="0" w:color="auto"/>
      </w:divBdr>
    </w:div>
    <w:div w:id="993951201">
      <w:bodyDiv w:val="1"/>
      <w:marLeft w:val="0"/>
      <w:marRight w:val="0"/>
      <w:marTop w:val="0"/>
      <w:marBottom w:val="0"/>
      <w:divBdr>
        <w:top w:val="none" w:sz="0" w:space="0" w:color="auto"/>
        <w:left w:val="none" w:sz="0" w:space="0" w:color="auto"/>
        <w:bottom w:val="none" w:sz="0" w:space="0" w:color="auto"/>
        <w:right w:val="none" w:sz="0" w:space="0" w:color="auto"/>
      </w:divBdr>
    </w:div>
    <w:div w:id="1101336293">
      <w:bodyDiv w:val="1"/>
      <w:marLeft w:val="0"/>
      <w:marRight w:val="0"/>
      <w:marTop w:val="0"/>
      <w:marBottom w:val="0"/>
      <w:divBdr>
        <w:top w:val="none" w:sz="0" w:space="0" w:color="auto"/>
        <w:left w:val="none" w:sz="0" w:space="0" w:color="auto"/>
        <w:bottom w:val="none" w:sz="0" w:space="0" w:color="auto"/>
        <w:right w:val="none" w:sz="0" w:space="0" w:color="auto"/>
      </w:divBdr>
    </w:div>
    <w:div w:id="1115516500">
      <w:bodyDiv w:val="1"/>
      <w:marLeft w:val="0"/>
      <w:marRight w:val="0"/>
      <w:marTop w:val="0"/>
      <w:marBottom w:val="0"/>
      <w:divBdr>
        <w:top w:val="none" w:sz="0" w:space="0" w:color="auto"/>
        <w:left w:val="none" w:sz="0" w:space="0" w:color="auto"/>
        <w:bottom w:val="none" w:sz="0" w:space="0" w:color="auto"/>
        <w:right w:val="none" w:sz="0" w:space="0" w:color="auto"/>
      </w:divBdr>
    </w:div>
    <w:div w:id="1132821193">
      <w:bodyDiv w:val="1"/>
      <w:marLeft w:val="0"/>
      <w:marRight w:val="0"/>
      <w:marTop w:val="0"/>
      <w:marBottom w:val="0"/>
      <w:divBdr>
        <w:top w:val="none" w:sz="0" w:space="0" w:color="auto"/>
        <w:left w:val="none" w:sz="0" w:space="0" w:color="auto"/>
        <w:bottom w:val="none" w:sz="0" w:space="0" w:color="auto"/>
        <w:right w:val="none" w:sz="0" w:space="0" w:color="auto"/>
      </w:divBdr>
    </w:div>
    <w:div w:id="1193571462">
      <w:bodyDiv w:val="1"/>
      <w:marLeft w:val="0"/>
      <w:marRight w:val="0"/>
      <w:marTop w:val="0"/>
      <w:marBottom w:val="0"/>
      <w:divBdr>
        <w:top w:val="none" w:sz="0" w:space="0" w:color="auto"/>
        <w:left w:val="none" w:sz="0" w:space="0" w:color="auto"/>
        <w:bottom w:val="none" w:sz="0" w:space="0" w:color="auto"/>
        <w:right w:val="none" w:sz="0" w:space="0" w:color="auto"/>
      </w:divBdr>
    </w:div>
    <w:div w:id="1227567056">
      <w:bodyDiv w:val="1"/>
      <w:marLeft w:val="0"/>
      <w:marRight w:val="0"/>
      <w:marTop w:val="0"/>
      <w:marBottom w:val="0"/>
      <w:divBdr>
        <w:top w:val="none" w:sz="0" w:space="0" w:color="auto"/>
        <w:left w:val="none" w:sz="0" w:space="0" w:color="auto"/>
        <w:bottom w:val="none" w:sz="0" w:space="0" w:color="auto"/>
        <w:right w:val="none" w:sz="0" w:space="0" w:color="auto"/>
      </w:divBdr>
    </w:div>
    <w:div w:id="1347974492">
      <w:bodyDiv w:val="1"/>
      <w:marLeft w:val="0"/>
      <w:marRight w:val="0"/>
      <w:marTop w:val="0"/>
      <w:marBottom w:val="0"/>
      <w:divBdr>
        <w:top w:val="none" w:sz="0" w:space="0" w:color="auto"/>
        <w:left w:val="none" w:sz="0" w:space="0" w:color="auto"/>
        <w:bottom w:val="none" w:sz="0" w:space="0" w:color="auto"/>
        <w:right w:val="none" w:sz="0" w:space="0" w:color="auto"/>
      </w:divBdr>
    </w:div>
    <w:div w:id="1376613388">
      <w:bodyDiv w:val="1"/>
      <w:marLeft w:val="0"/>
      <w:marRight w:val="0"/>
      <w:marTop w:val="0"/>
      <w:marBottom w:val="0"/>
      <w:divBdr>
        <w:top w:val="none" w:sz="0" w:space="0" w:color="auto"/>
        <w:left w:val="none" w:sz="0" w:space="0" w:color="auto"/>
        <w:bottom w:val="none" w:sz="0" w:space="0" w:color="auto"/>
        <w:right w:val="none" w:sz="0" w:space="0" w:color="auto"/>
      </w:divBdr>
    </w:div>
    <w:div w:id="1445925538">
      <w:bodyDiv w:val="1"/>
      <w:marLeft w:val="0"/>
      <w:marRight w:val="0"/>
      <w:marTop w:val="0"/>
      <w:marBottom w:val="0"/>
      <w:divBdr>
        <w:top w:val="none" w:sz="0" w:space="0" w:color="auto"/>
        <w:left w:val="none" w:sz="0" w:space="0" w:color="auto"/>
        <w:bottom w:val="none" w:sz="0" w:space="0" w:color="auto"/>
        <w:right w:val="none" w:sz="0" w:space="0" w:color="auto"/>
      </w:divBdr>
    </w:div>
    <w:div w:id="1458375966">
      <w:bodyDiv w:val="1"/>
      <w:marLeft w:val="0"/>
      <w:marRight w:val="0"/>
      <w:marTop w:val="0"/>
      <w:marBottom w:val="0"/>
      <w:divBdr>
        <w:top w:val="none" w:sz="0" w:space="0" w:color="auto"/>
        <w:left w:val="none" w:sz="0" w:space="0" w:color="auto"/>
        <w:bottom w:val="none" w:sz="0" w:space="0" w:color="auto"/>
        <w:right w:val="none" w:sz="0" w:space="0" w:color="auto"/>
      </w:divBdr>
    </w:div>
    <w:div w:id="1484269956">
      <w:bodyDiv w:val="1"/>
      <w:marLeft w:val="0"/>
      <w:marRight w:val="0"/>
      <w:marTop w:val="0"/>
      <w:marBottom w:val="0"/>
      <w:divBdr>
        <w:top w:val="none" w:sz="0" w:space="0" w:color="auto"/>
        <w:left w:val="none" w:sz="0" w:space="0" w:color="auto"/>
        <w:bottom w:val="none" w:sz="0" w:space="0" w:color="auto"/>
        <w:right w:val="none" w:sz="0" w:space="0" w:color="auto"/>
      </w:divBdr>
    </w:div>
    <w:div w:id="1505631104">
      <w:bodyDiv w:val="1"/>
      <w:marLeft w:val="0"/>
      <w:marRight w:val="0"/>
      <w:marTop w:val="0"/>
      <w:marBottom w:val="0"/>
      <w:divBdr>
        <w:top w:val="none" w:sz="0" w:space="0" w:color="auto"/>
        <w:left w:val="none" w:sz="0" w:space="0" w:color="auto"/>
        <w:bottom w:val="none" w:sz="0" w:space="0" w:color="auto"/>
        <w:right w:val="none" w:sz="0" w:space="0" w:color="auto"/>
      </w:divBdr>
    </w:div>
    <w:div w:id="1507475653">
      <w:bodyDiv w:val="1"/>
      <w:marLeft w:val="0"/>
      <w:marRight w:val="0"/>
      <w:marTop w:val="0"/>
      <w:marBottom w:val="0"/>
      <w:divBdr>
        <w:top w:val="none" w:sz="0" w:space="0" w:color="auto"/>
        <w:left w:val="none" w:sz="0" w:space="0" w:color="auto"/>
        <w:bottom w:val="none" w:sz="0" w:space="0" w:color="auto"/>
        <w:right w:val="none" w:sz="0" w:space="0" w:color="auto"/>
      </w:divBdr>
    </w:div>
    <w:div w:id="1581984202">
      <w:bodyDiv w:val="1"/>
      <w:marLeft w:val="0"/>
      <w:marRight w:val="0"/>
      <w:marTop w:val="0"/>
      <w:marBottom w:val="0"/>
      <w:divBdr>
        <w:top w:val="none" w:sz="0" w:space="0" w:color="auto"/>
        <w:left w:val="none" w:sz="0" w:space="0" w:color="auto"/>
        <w:bottom w:val="none" w:sz="0" w:space="0" w:color="auto"/>
        <w:right w:val="none" w:sz="0" w:space="0" w:color="auto"/>
      </w:divBdr>
    </w:div>
    <w:div w:id="1690370928">
      <w:bodyDiv w:val="1"/>
      <w:marLeft w:val="0"/>
      <w:marRight w:val="0"/>
      <w:marTop w:val="0"/>
      <w:marBottom w:val="0"/>
      <w:divBdr>
        <w:top w:val="none" w:sz="0" w:space="0" w:color="auto"/>
        <w:left w:val="none" w:sz="0" w:space="0" w:color="auto"/>
        <w:bottom w:val="none" w:sz="0" w:space="0" w:color="auto"/>
        <w:right w:val="none" w:sz="0" w:space="0" w:color="auto"/>
      </w:divBdr>
    </w:div>
    <w:div w:id="1695810024">
      <w:bodyDiv w:val="1"/>
      <w:marLeft w:val="0"/>
      <w:marRight w:val="0"/>
      <w:marTop w:val="0"/>
      <w:marBottom w:val="0"/>
      <w:divBdr>
        <w:top w:val="none" w:sz="0" w:space="0" w:color="auto"/>
        <w:left w:val="none" w:sz="0" w:space="0" w:color="auto"/>
        <w:bottom w:val="none" w:sz="0" w:space="0" w:color="auto"/>
        <w:right w:val="none" w:sz="0" w:space="0" w:color="auto"/>
      </w:divBdr>
    </w:div>
    <w:div w:id="1732341352">
      <w:bodyDiv w:val="1"/>
      <w:marLeft w:val="0"/>
      <w:marRight w:val="0"/>
      <w:marTop w:val="0"/>
      <w:marBottom w:val="0"/>
      <w:divBdr>
        <w:top w:val="none" w:sz="0" w:space="0" w:color="auto"/>
        <w:left w:val="none" w:sz="0" w:space="0" w:color="auto"/>
        <w:bottom w:val="none" w:sz="0" w:space="0" w:color="auto"/>
        <w:right w:val="none" w:sz="0" w:space="0" w:color="auto"/>
      </w:divBdr>
    </w:div>
    <w:div w:id="1779371087">
      <w:bodyDiv w:val="1"/>
      <w:marLeft w:val="0"/>
      <w:marRight w:val="0"/>
      <w:marTop w:val="0"/>
      <w:marBottom w:val="0"/>
      <w:divBdr>
        <w:top w:val="none" w:sz="0" w:space="0" w:color="auto"/>
        <w:left w:val="none" w:sz="0" w:space="0" w:color="auto"/>
        <w:bottom w:val="none" w:sz="0" w:space="0" w:color="auto"/>
        <w:right w:val="none" w:sz="0" w:space="0" w:color="auto"/>
      </w:divBdr>
    </w:div>
    <w:div w:id="1779376307">
      <w:bodyDiv w:val="1"/>
      <w:marLeft w:val="0"/>
      <w:marRight w:val="0"/>
      <w:marTop w:val="0"/>
      <w:marBottom w:val="0"/>
      <w:divBdr>
        <w:top w:val="none" w:sz="0" w:space="0" w:color="auto"/>
        <w:left w:val="none" w:sz="0" w:space="0" w:color="auto"/>
        <w:bottom w:val="none" w:sz="0" w:space="0" w:color="auto"/>
        <w:right w:val="none" w:sz="0" w:space="0" w:color="auto"/>
      </w:divBdr>
    </w:div>
    <w:div w:id="1837265620">
      <w:bodyDiv w:val="1"/>
      <w:marLeft w:val="0"/>
      <w:marRight w:val="0"/>
      <w:marTop w:val="0"/>
      <w:marBottom w:val="0"/>
      <w:divBdr>
        <w:top w:val="none" w:sz="0" w:space="0" w:color="auto"/>
        <w:left w:val="none" w:sz="0" w:space="0" w:color="auto"/>
        <w:bottom w:val="none" w:sz="0" w:space="0" w:color="auto"/>
        <w:right w:val="none" w:sz="0" w:space="0" w:color="auto"/>
      </w:divBdr>
    </w:div>
    <w:div w:id="1884824129">
      <w:bodyDiv w:val="1"/>
      <w:marLeft w:val="0"/>
      <w:marRight w:val="0"/>
      <w:marTop w:val="0"/>
      <w:marBottom w:val="0"/>
      <w:divBdr>
        <w:top w:val="none" w:sz="0" w:space="0" w:color="auto"/>
        <w:left w:val="none" w:sz="0" w:space="0" w:color="auto"/>
        <w:bottom w:val="none" w:sz="0" w:space="0" w:color="auto"/>
        <w:right w:val="none" w:sz="0" w:space="0" w:color="auto"/>
      </w:divBdr>
    </w:div>
    <w:div w:id="1966933348">
      <w:bodyDiv w:val="1"/>
      <w:marLeft w:val="0"/>
      <w:marRight w:val="0"/>
      <w:marTop w:val="0"/>
      <w:marBottom w:val="0"/>
      <w:divBdr>
        <w:top w:val="none" w:sz="0" w:space="0" w:color="auto"/>
        <w:left w:val="none" w:sz="0" w:space="0" w:color="auto"/>
        <w:bottom w:val="none" w:sz="0" w:space="0" w:color="auto"/>
        <w:right w:val="none" w:sz="0" w:space="0" w:color="auto"/>
      </w:divBdr>
    </w:div>
    <w:div w:id="1974628325">
      <w:bodyDiv w:val="1"/>
      <w:marLeft w:val="0"/>
      <w:marRight w:val="0"/>
      <w:marTop w:val="0"/>
      <w:marBottom w:val="0"/>
      <w:divBdr>
        <w:top w:val="none" w:sz="0" w:space="0" w:color="auto"/>
        <w:left w:val="none" w:sz="0" w:space="0" w:color="auto"/>
        <w:bottom w:val="none" w:sz="0" w:space="0" w:color="auto"/>
        <w:right w:val="none" w:sz="0" w:space="0" w:color="auto"/>
      </w:divBdr>
    </w:div>
    <w:div w:id="205326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8" Type="http://schemas.openxmlformats.org/officeDocument/2006/relationships/image" Target="media/image1.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6E930-77E0-4C58-A1A7-044EBB563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7879</Words>
  <Characters>42547</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Evolução Recente da Informalidade no Brasil</vt:lpstr>
    </vt:vector>
  </TitlesOfParts>
  <Company/>
  <LinksUpToDate>false</LinksUpToDate>
  <CharactersWithSpaces>50326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Evolução Recente da Informalidade no Brasil</dc:title>
  <dc:creator>Fernando de Holanda Barbosa Filho</dc:creator>
  <cp:lastModifiedBy>Rodrigo Leandro de Moura</cp:lastModifiedBy>
  <cp:revision>3</cp:revision>
  <cp:lastPrinted>2013-04-29T22:39:00Z</cp:lastPrinted>
  <dcterms:created xsi:type="dcterms:W3CDTF">2013-07-16T19:41:00Z</dcterms:created>
  <dcterms:modified xsi:type="dcterms:W3CDTF">2013-07-16T19:42:00Z</dcterms:modified>
</cp:coreProperties>
</file>