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49" w:rsidRDefault="004A37B2" w:rsidP="00FF502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ESTRUTURA DE CAPITAL E CONTINGENTE CONVERSÍVEL SOB A ÓTICA DO BASILÉIA III</w:t>
      </w:r>
    </w:p>
    <w:p w:rsidR="004A37B2" w:rsidRDefault="004A37B2" w:rsidP="00FF502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UM ESTUDO EMPÍRICO SOBRE O BRASIL</w:t>
      </w:r>
      <w:r w:rsidR="00BA2DAF">
        <w:rPr>
          <w:rStyle w:val="Refdenotaderodap"/>
          <w:rFonts w:ascii="Times New Roman" w:hAnsi="Times New Roman" w:cs="Times New Roman"/>
          <w:b/>
          <w:sz w:val="24"/>
          <w:szCs w:val="24"/>
        </w:rPr>
        <w:footnoteReference w:id="1"/>
      </w:r>
    </w:p>
    <w:p w:rsidR="00E709EB" w:rsidRPr="00E171D5" w:rsidRDefault="00E709EB" w:rsidP="00FF5024">
      <w:pPr>
        <w:spacing w:after="0" w:line="240" w:lineRule="auto"/>
        <w:jc w:val="center"/>
        <w:rPr>
          <w:rFonts w:ascii="Times New Roman" w:hAnsi="Times New Roman" w:cs="Times New Roman"/>
          <w:sz w:val="24"/>
          <w:szCs w:val="24"/>
        </w:rPr>
      </w:pPr>
    </w:p>
    <w:p w:rsidR="004A37B2" w:rsidRDefault="00D122A1" w:rsidP="00FF5024">
      <w:pPr>
        <w:spacing w:after="0" w:line="240" w:lineRule="auto"/>
        <w:jc w:val="right"/>
        <w:rPr>
          <w:rFonts w:ascii="Times New Roman" w:hAnsi="Times New Roman" w:cs="Times New Roman"/>
          <w:sz w:val="24"/>
          <w:szCs w:val="24"/>
          <w:lang w:val="en-US"/>
        </w:rPr>
      </w:pPr>
      <w:r w:rsidRPr="00187476">
        <w:rPr>
          <w:rFonts w:ascii="Times New Roman" w:hAnsi="Times New Roman" w:cs="Times New Roman"/>
          <w:sz w:val="24"/>
          <w:szCs w:val="24"/>
          <w:lang w:val="en-US"/>
        </w:rPr>
        <w:t xml:space="preserve">Karina </w:t>
      </w:r>
      <w:proofErr w:type="spellStart"/>
      <w:r w:rsidRPr="00187476">
        <w:rPr>
          <w:rFonts w:ascii="Times New Roman" w:hAnsi="Times New Roman" w:cs="Times New Roman"/>
          <w:sz w:val="24"/>
          <w:szCs w:val="24"/>
          <w:lang w:val="en-US"/>
        </w:rPr>
        <w:t>Cyganczuk</w:t>
      </w:r>
      <w:proofErr w:type="spellEnd"/>
      <w:r w:rsidRPr="00187476">
        <w:rPr>
          <w:rFonts w:ascii="Times New Roman" w:hAnsi="Times New Roman" w:cs="Times New Roman"/>
          <w:sz w:val="24"/>
          <w:szCs w:val="24"/>
          <w:lang w:val="en-US"/>
        </w:rPr>
        <w:t xml:space="preserve"> Goes</w:t>
      </w:r>
      <w:r w:rsidR="00DF3371">
        <w:rPr>
          <w:rStyle w:val="Refdenotaderodap"/>
          <w:rFonts w:ascii="Times New Roman" w:hAnsi="Times New Roman" w:cs="Times New Roman"/>
          <w:sz w:val="24"/>
          <w:szCs w:val="24"/>
          <w:lang w:val="en-US"/>
        </w:rPr>
        <w:footnoteReference w:id="2"/>
      </w:r>
    </w:p>
    <w:p w:rsidR="00EF3690" w:rsidRDefault="00EF3690" w:rsidP="00EF3690">
      <w:pPr>
        <w:spacing w:after="0" w:line="240" w:lineRule="auto"/>
        <w:jc w:val="right"/>
        <w:rPr>
          <w:rFonts w:ascii="Times New Roman" w:hAnsi="Times New Roman" w:cs="Times New Roman"/>
          <w:sz w:val="24"/>
          <w:szCs w:val="24"/>
          <w:lang w:val="en-US"/>
        </w:rPr>
      </w:pPr>
      <w:r w:rsidRPr="00187476">
        <w:rPr>
          <w:rFonts w:ascii="Times New Roman" w:hAnsi="Times New Roman" w:cs="Times New Roman"/>
          <w:sz w:val="24"/>
          <w:szCs w:val="24"/>
          <w:lang w:val="en-US"/>
        </w:rPr>
        <w:t>Hsia Hua Sheng</w:t>
      </w:r>
      <w:r>
        <w:rPr>
          <w:rStyle w:val="Refdenotaderodap"/>
          <w:rFonts w:ascii="Times New Roman" w:hAnsi="Times New Roman" w:cs="Times New Roman"/>
          <w:sz w:val="24"/>
          <w:szCs w:val="24"/>
          <w:lang w:val="en-US"/>
        </w:rPr>
        <w:footnoteReference w:id="3"/>
      </w:r>
    </w:p>
    <w:p w:rsidR="00187476" w:rsidRPr="00EF3690" w:rsidRDefault="00187476" w:rsidP="00FF5024">
      <w:pPr>
        <w:spacing w:after="0" w:line="240" w:lineRule="auto"/>
        <w:jc w:val="right"/>
        <w:rPr>
          <w:rFonts w:ascii="Times New Roman" w:hAnsi="Times New Roman" w:cs="Times New Roman"/>
          <w:sz w:val="24"/>
          <w:szCs w:val="24"/>
          <w:lang w:val="en-US"/>
        </w:rPr>
      </w:pPr>
      <w:r w:rsidRPr="00EF3690">
        <w:rPr>
          <w:rFonts w:ascii="Times New Roman" w:hAnsi="Times New Roman" w:cs="Times New Roman"/>
          <w:sz w:val="24"/>
          <w:szCs w:val="24"/>
          <w:lang w:val="en-US"/>
        </w:rPr>
        <w:t xml:space="preserve">Rafael </w:t>
      </w:r>
      <w:proofErr w:type="spellStart"/>
      <w:r w:rsidRPr="00EF3690">
        <w:rPr>
          <w:rFonts w:ascii="Times New Roman" w:hAnsi="Times New Roman" w:cs="Times New Roman"/>
          <w:sz w:val="24"/>
          <w:szCs w:val="24"/>
          <w:lang w:val="en-US"/>
        </w:rPr>
        <w:t>Schiozer</w:t>
      </w:r>
      <w:proofErr w:type="spellEnd"/>
      <w:r w:rsidR="00DF3371">
        <w:rPr>
          <w:rStyle w:val="Refdenotaderodap"/>
          <w:rFonts w:ascii="Times New Roman" w:hAnsi="Times New Roman" w:cs="Times New Roman"/>
          <w:sz w:val="24"/>
          <w:szCs w:val="24"/>
          <w:lang w:val="en-US"/>
        </w:rPr>
        <w:footnoteReference w:id="4"/>
      </w:r>
    </w:p>
    <w:p w:rsidR="00E709EB" w:rsidRPr="00EF3690" w:rsidRDefault="00E709EB" w:rsidP="00FF5024">
      <w:pPr>
        <w:spacing w:after="0" w:line="240" w:lineRule="auto"/>
        <w:jc w:val="center"/>
        <w:rPr>
          <w:rFonts w:ascii="Times New Roman" w:hAnsi="Times New Roman" w:cs="Times New Roman"/>
          <w:sz w:val="24"/>
          <w:szCs w:val="24"/>
          <w:lang w:val="en-US"/>
        </w:rPr>
      </w:pPr>
    </w:p>
    <w:p w:rsidR="00E709EB" w:rsidRDefault="00E709EB" w:rsidP="00FF5024">
      <w:pPr>
        <w:spacing w:after="0" w:line="240" w:lineRule="auto"/>
        <w:jc w:val="center"/>
        <w:rPr>
          <w:rFonts w:ascii="Times New Roman" w:hAnsi="Times New Roman" w:cs="Times New Roman"/>
          <w:b/>
          <w:sz w:val="24"/>
          <w:szCs w:val="24"/>
        </w:rPr>
      </w:pPr>
      <w:r w:rsidRPr="00E171D5">
        <w:rPr>
          <w:rFonts w:ascii="Times New Roman" w:hAnsi="Times New Roman" w:cs="Times New Roman"/>
          <w:b/>
          <w:sz w:val="24"/>
          <w:szCs w:val="24"/>
        </w:rPr>
        <w:t>RESUMO</w:t>
      </w:r>
    </w:p>
    <w:p w:rsidR="006B1B74" w:rsidRPr="00E24471" w:rsidRDefault="006B1B74" w:rsidP="00FF5024">
      <w:pPr>
        <w:spacing w:after="0" w:line="240" w:lineRule="auto"/>
        <w:jc w:val="both"/>
        <w:rPr>
          <w:rFonts w:ascii="Times New Roman" w:hAnsi="Times New Roman" w:cs="Times New Roman"/>
          <w:sz w:val="24"/>
          <w:szCs w:val="24"/>
        </w:rPr>
      </w:pPr>
      <w:r w:rsidRPr="00E24471">
        <w:rPr>
          <w:rFonts w:ascii="Times New Roman" w:hAnsi="Times New Roman" w:cs="Times New Roman"/>
          <w:sz w:val="24"/>
          <w:szCs w:val="24"/>
        </w:rPr>
        <w:t>É fato</w:t>
      </w:r>
      <w:r>
        <w:rPr>
          <w:rFonts w:ascii="Times New Roman" w:hAnsi="Times New Roman" w:cs="Times New Roman"/>
          <w:sz w:val="24"/>
          <w:szCs w:val="24"/>
        </w:rPr>
        <w:t>,</w:t>
      </w:r>
      <w:r w:rsidRPr="00E24471">
        <w:rPr>
          <w:rFonts w:ascii="Times New Roman" w:hAnsi="Times New Roman" w:cs="Times New Roman"/>
          <w:sz w:val="24"/>
          <w:szCs w:val="24"/>
        </w:rPr>
        <w:t xml:space="preserve"> que os bancos do mundo inteiro mantêm excesso de capital regulatório, seja para minimizar custos de </w:t>
      </w:r>
      <w:proofErr w:type="spellStart"/>
      <w:r w:rsidRPr="00E24471">
        <w:rPr>
          <w:rFonts w:ascii="Times New Roman" w:hAnsi="Times New Roman" w:cs="Times New Roman"/>
          <w:sz w:val="24"/>
          <w:szCs w:val="24"/>
        </w:rPr>
        <w:t>recapitalização</w:t>
      </w:r>
      <w:proofErr w:type="spellEnd"/>
      <w:r w:rsidRPr="00E24471">
        <w:rPr>
          <w:rFonts w:ascii="Times New Roman" w:hAnsi="Times New Roman" w:cs="Times New Roman"/>
          <w:sz w:val="24"/>
          <w:szCs w:val="24"/>
        </w:rPr>
        <w:t>, seja para mitigar riscos de dificuldades financeiras. Mas somente depois da crise de 2007/2008, a qualidade desse capital em excesso</w:t>
      </w:r>
      <w:r>
        <w:rPr>
          <w:rFonts w:ascii="Times New Roman" w:hAnsi="Times New Roman" w:cs="Times New Roman"/>
          <w:sz w:val="24"/>
          <w:szCs w:val="24"/>
        </w:rPr>
        <w:t>,</w:t>
      </w:r>
      <w:r w:rsidRPr="00E24471">
        <w:rPr>
          <w:rFonts w:ascii="Times New Roman" w:hAnsi="Times New Roman" w:cs="Times New Roman"/>
          <w:sz w:val="24"/>
          <w:szCs w:val="24"/>
        </w:rPr>
        <w:t xml:space="preserve"> passou a ganhar importância entre os órgãos reguladores, </w:t>
      </w:r>
      <w:r>
        <w:rPr>
          <w:rFonts w:ascii="Times New Roman" w:hAnsi="Times New Roman" w:cs="Times New Roman"/>
          <w:sz w:val="24"/>
          <w:szCs w:val="24"/>
        </w:rPr>
        <w:t>que propuseram uma nova estrutura de capital no</w:t>
      </w:r>
      <w:r w:rsidRPr="00E24471">
        <w:rPr>
          <w:rFonts w:ascii="Times New Roman" w:hAnsi="Times New Roman" w:cs="Times New Roman"/>
          <w:sz w:val="24"/>
          <w:szCs w:val="24"/>
        </w:rPr>
        <w:t xml:space="preserve"> Acordo de Basiléia III</w:t>
      </w:r>
      <w:r>
        <w:rPr>
          <w:rFonts w:ascii="Times New Roman" w:hAnsi="Times New Roman" w:cs="Times New Roman"/>
          <w:sz w:val="24"/>
          <w:szCs w:val="24"/>
        </w:rPr>
        <w:t>, criando novos instrumentos híbridos de capital e dívidas, os contingentes conversíveis, cujo principal objetivo é, recapitalizar o banco automaticamente em momentos de dificuldades financeiras.</w:t>
      </w:r>
    </w:p>
    <w:p w:rsidR="006B1B74" w:rsidRDefault="006B1B74" w:rsidP="00FF50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Neste contexto, analisamos os 10 maiores bancos do Brasil, em total de ativos, comparando a estrutura de cada banco com dívidas subordinadas, contra a mesma estrutura com contingentes conversíveis, sob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regra</w:t>
      </w:r>
      <w:proofErr w:type="gramEnd"/>
      <w:r>
        <w:rPr>
          <w:rFonts w:ascii="Times New Roman" w:hAnsi="Times New Roman" w:cs="Times New Roman"/>
          <w:sz w:val="24"/>
          <w:szCs w:val="24"/>
        </w:rPr>
        <w:t xml:space="preserve"> de Basiléia III e, em ambientes sem regulamentações ou quando estas são frágeis.</w:t>
      </w:r>
    </w:p>
    <w:p w:rsidR="006B1B74" w:rsidRDefault="006B1B74" w:rsidP="00FF50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evidências sugerem que, segundo o modelo utilizado, os bancos brasileiros estariam mais bem capitalizados com contingentes conversíveis, do que com dívidas subordinadas sob as regras de Basiléia III, mas em ambientes sem regulamentação ou quando estas são frágeis, os contingentes conversíveis induzem o aumento de riscos, podendo levar a novas crises financeiras.</w:t>
      </w:r>
    </w:p>
    <w:p w:rsidR="00E709EB" w:rsidRDefault="00E709EB" w:rsidP="00FF5024">
      <w:pPr>
        <w:spacing w:after="0" w:line="240" w:lineRule="auto"/>
        <w:jc w:val="both"/>
        <w:rPr>
          <w:rFonts w:ascii="Times New Roman" w:hAnsi="Times New Roman" w:cs="Times New Roman"/>
          <w:sz w:val="24"/>
          <w:szCs w:val="24"/>
        </w:rPr>
      </w:pPr>
      <w:r w:rsidRPr="00747F13">
        <w:rPr>
          <w:rFonts w:ascii="Times New Roman" w:hAnsi="Times New Roman" w:cs="Times New Roman"/>
          <w:b/>
          <w:sz w:val="24"/>
          <w:szCs w:val="24"/>
        </w:rPr>
        <w:t>Palavra chave</w:t>
      </w:r>
      <w:r w:rsidRPr="00E24471">
        <w:rPr>
          <w:rFonts w:ascii="Times New Roman" w:hAnsi="Times New Roman" w:cs="Times New Roman"/>
          <w:sz w:val="24"/>
          <w:szCs w:val="24"/>
        </w:rPr>
        <w:t>:</w:t>
      </w:r>
      <w:r w:rsidR="00D7266C" w:rsidRPr="00E24471">
        <w:rPr>
          <w:rFonts w:ascii="Times New Roman" w:hAnsi="Times New Roman" w:cs="Times New Roman"/>
          <w:sz w:val="24"/>
          <w:szCs w:val="24"/>
        </w:rPr>
        <w:t xml:space="preserve"> </w:t>
      </w:r>
      <w:r w:rsidR="007C36A8">
        <w:rPr>
          <w:rFonts w:ascii="Times New Roman" w:hAnsi="Times New Roman" w:cs="Times New Roman"/>
          <w:sz w:val="24"/>
          <w:szCs w:val="24"/>
        </w:rPr>
        <w:t>C</w:t>
      </w:r>
      <w:r w:rsidR="00D7266C" w:rsidRPr="00E24471">
        <w:rPr>
          <w:rFonts w:ascii="Times New Roman" w:hAnsi="Times New Roman" w:cs="Times New Roman"/>
          <w:sz w:val="24"/>
          <w:szCs w:val="24"/>
        </w:rPr>
        <w:t>ontingentes</w:t>
      </w:r>
      <w:r w:rsidR="009B0EB2">
        <w:rPr>
          <w:rFonts w:ascii="Times New Roman" w:hAnsi="Times New Roman" w:cs="Times New Roman"/>
          <w:sz w:val="24"/>
          <w:szCs w:val="24"/>
        </w:rPr>
        <w:t xml:space="preserve"> C</w:t>
      </w:r>
      <w:r w:rsidR="00A34AD8" w:rsidRPr="00E24471">
        <w:rPr>
          <w:rFonts w:ascii="Times New Roman" w:hAnsi="Times New Roman" w:cs="Times New Roman"/>
          <w:sz w:val="24"/>
          <w:szCs w:val="24"/>
        </w:rPr>
        <w:t>onversíveis</w:t>
      </w:r>
      <w:r w:rsidR="007C36A8">
        <w:rPr>
          <w:rFonts w:ascii="Times New Roman" w:hAnsi="Times New Roman" w:cs="Times New Roman"/>
          <w:sz w:val="24"/>
          <w:szCs w:val="24"/>
        </w:rPr>
        <w:t>;</w:t>
      </w:r>
      <w:r w:rsidRPr="00E24471">
        <w:rPr>
          <w:rFonts w:ascii="Times New Roman" w:hAnsi="Times New Roman" w:cs="Times New Roman"/>
          <w:sz w:val="24"/>
          <w:szCs w:val="24"/>
        </w:rPr>
        <w:t xml:space="preserve"> Bancos Brasil</w:t>
      </w:r>
      <w:r w:rsidR="007C36A8">
        <w:rPr>
          <w:rFonts w:ascii="Times New Roman" w:hAnsi="Times New Roman" w:cs="Times New Roman"/>
          <w:sz w:val="24"/>
          <w:szCs w:val="24"/>
        </w:rPr>
        <w:t>;</w:t>
      </w:r>
      <w:r w:rsidRPr="00E24471">
        <w:rPr>
          <w:rFonts w:ascii="Times New Roman" w:hAnsi="Times New Roman" w:cs="Times New Roman"/>
          <w:sz w:val="24"/>
          <w:szCs w:val="24"/>
        </w:rPr>
        <w:t xml:space="preserve"> Capital Regulatório</w:t>
      </w:r>
      <w:r w:rsidR="007C36A8">
        <w:rPr>
          <w:rFonts w:ascii="Times New Roman" w:hAnsi="Times New Roman" w:cs="Times New Roman"/>
          <w:sz w:val="24"/>
          <w:szCs w:val="24"/>
        </w:rPr>
        <w:t>;</w:t>
      </w:r>
      <w:r w:rsidR="00583892">
        <w:rPr>
          <w:rFonts w:ascii="Times New Roman" w:hAnsi="Times New Roman" w:cs="Times New Roman"/>
          <w:sz w:val="24"/>
          <w:szCs w:val="24"/>
        </w:rPr>
        <w:t xml:space="preserve"> Basiléia </w:t>
      </w:r>
      <w:proofErr w:type="gramStart"/>
      <w:r w:rsidR="00583892">
        <w:rPr>
          <w:rFonts w:ascii="Times New Roman" w:hAnsi="Times New Roman" w:cs="Times New Roman"/>
          <w:sz w:val="24"/>
          <w:szCs w:val="24"/>
        </w:rPr>
        <w:t>III</w:t>
      </w:r>
      <w:proofErr w:type="gramEnd"/>
    </w:p>
    <w:p w:rsidR="00DF3371" w:rsidRPr="00466344" w:rsidRDefault="00DF3371" w:rsidP="00FF5024">
      <w:pPr>
        <w:spacing w:after="0" w:line="240" w:lineRule="auto"/>
        <w:jc w:val="both"/>
        <w:rPr>
          <w:rFonts w:ascii="Times New Roman" w:hAnsi="Times New Roman" w:cs="Times New Roman"/>
          <w:sz w:val="24"/>
          <w:szCs w:val="24"/>
          <w:lang w:val="en-US"/>
        </w:rPr>
      </w:pPr>
      <w:r w:rsidRPr="00DF3371">
        <w:rPr>
          <w:rFonts w:ascii="Times New Roman" w:hAnsi="Times New Roman" w:cs="Times New Roman"/>
          <w:b/>
          <w:bCs/>
          <w:color w:val="000000"/>
          <w:sz w:val="23"/>
          <w:szCs w:val="23"/>
          <w:lang w:val="en-US"/>
        </w:rPr>
        <w:t>JEL:</w:t>
      </w:r>
      <w:r>
        <w:rPr>
          <w:rFonts w:ascii="Times New Roman" w:hAnsi="Times New Roman" w:cs="Times New Roman"/>
          <w:b/>
          <w:bCs/>
          <w:color w:val="000000"/>
          <w:sz w:val="23"/>
          <w:szCs w:val="23"/>
          <w:lang w:val="en-US"/>
        </w:rPr>
        <w:t xml:space="preserve"> </w:t>
      </w:r>
      <w:r>
        <w:rPr>
          <w:rFonts w:ascii="Times New Roman" w:hAnsi="Times New Roman" w:cs="Times New Roman"/>
          <w:bCs/>
          <w:color w:val="000000"/>
          <w:sz w:val="23"/>
          <w:szCs w:val="23"/>
          <w:lang w:val="en-US"/>
        </w:rPr>
        <w:t>G01, G28</w:t>
      </w:r>
    </w:p>
    <w:p w:rsidR="00747F13" w:rsidRPr="00466344" w:rsidRDefault="00747F13" w:rsidP="00FF5024">
      <w:pPr>
        <w:spacing w:after="0" w:line="240" w:lineRule="auto"/>
        <w:jc w:val="center"/>
        <w:rPr>
          <w:rFonts w:ascii="Times New Roman" w:hAnsi="Times New Roman" w:cs="Times New Roman"/>
          <w:b/>
          <w:sz w:val="24"/>
          <w:szCs w:val="24"/>
          <w:lang w:val="en-US"/>
        </w:rPr>
      </w:pPr>
    </w:p>
    <w:p w:rsidR="00E709EB" w:rsidRPr="004A37B2" w:rsidRDefault="00E709EB" w:rsidP="00FF5024">
      <w:pPr>
        <w:spacing w:after="0" w:line="240" w:lineRule="auto"/>
        <w:jc w:val="center"/>
        <w:rPr>
          <w:rFonts w:ascii="Times New Roman" w:hAnsi="Times New Roman" w:cs="Times New Roman"/>
          <w:b/>
          <w:sz w:val="24"/>
          <w:szCs w:val="24"/>
          <w:lang w:val="en-US"/>
        </w:rPr>
      </w:pPr>
      <w:r w:rsidRPr="004A37B2">
        <w:rPr>
          <w:rFonts w:ascii="Times New Roman" w:hAnsi="Times New Roman" w:cs="Times New Roman"/>
          <w:b/>
          <w:sz w:val="24"/>
          <w:szCs w:val="24"/>
          <w:lang w:val="en-US"/>
        </w:rPr>
        <w:t>ABSTRACT</w:t>
      </w:r>
    </w:p>
    <w:p w:rsidR="00747F13" w:rsidRPr="004A37B2" w:rsidRDefault="00747F13" w:rsidP="00FF5024">
      <w:pPr>
        <w:spacing w:after="0" w:line="240" w:lineRule="auto"/>
        <w:jc w:val="center"/>
        <w:rPr>
          <w:rFonts w:ascii="Times New Roman" w:hAnsi="Times New Roman" w:cs="Times New Roman"/>
          <w:b/>
          <w:sz w:val="24"/>
          <w:szCs w:val="24"/>
          <w:lang w:val="en-US"/>
        </w:rPr>
      </w:pPr>
    </w:p>
    <w:p w:rsidR="006B1B74" w:rsidRDefault="006B1B74" w:rsidP="00FF5024">
      <w:pPr>
        <w:spacing w:after="0" w:line="240" w:lineRule="auto"/>
        <w:jc w:val="both"/>
        <w:rPr>
          <w:rFonts w:ascii="Times New Roman" w:hAnsi="Times New Roman" w:cs="Times New Roman"/>
          <w:color w:val="222222"/>
          <w:sz w:val="24"/>
          <w:szCs w:val="24"/>
          <w:lang w:val="en"/>
        </w:rPr>
      </w:pPr>
      <w:r w:rsidRPr="002C6A7D">
        <w:rPr>
          <w:rFonts w:ascii="Times New Roman" w:hAnsi="Times New Roman" w:cs="Times New Roman"/>
          <w:color w:val="222222"/>
          <w:sz w:val="24"/>
          <w:szCs w:val="24"/>
          <w:lang w:val="en"/>
        </w:rPr>
        <w:t>It is a fact that banks worldwide maintain excess regulatory capital, either to mini</w:t>
      </w:r>
      <w:r>
        <w:rPr>
          <w:rFonts w:ascii="Times New Roman" w:hAnsi="Times New Roman" w:cs="Times New Roman"/>
          <w:color w:val="222222"/>
          <w:sz w:val="24"/>
          <w:szCs w:val="24"/>
          <w:lang w:val="en"/>
        </w:rPr>
        <w:t>mize cost of recapitalization or</w:t>
      </w:r>
      <w:r w:rsidRPr="002C6A7D">
        <w:rPr>
          <w:rFonts w:ascii="Times New Roman" w:hAnsi="Times New Roman" w:cs="Times New Roman"/>
          <w:color w:val="222222"/>
          <w:sz w:val="24"/>
          <w:szCs w:val="24"/>
          <w:lang w:val="en"/>
        </w:rPr>
        <w:t xml:space="preserve"> to mitigate </w:t>
      </w:r>
      <w:r>
        <w:rPr>
          <w:rFonts w:ascii="Times New Roman" w:hAnsi="Times New Roman" w:cs="Times New Roman"/>
          <w:color w:val="222222"/>
          <w:sz w:val="24"/>
          <w:szCs w:val="24"/>
          <w:lang w:val="en"/>
        </w:rPr>
        <w:t>risks of financial difficulties</w:t>
      </w:r>
      <w:r w:rsidRPr="002C6A7D">
        <w:rPr>
          <w:rFonts w:ascii="Times New Roman" w:hAnsi="Times New Roman" w:cs="Times New Roman"/>
          <w:color w:val="222222"/>
          <w:sz w:val="24"/>
          <w:szCs w:val="24"/>
          <w:lang w:val="en"/>
        </w:rPr>
        <w:t xml:space="preserve">. But </w:t>
      </w:r>
      <w:r>
        <w:rPr>
          <w:rFonts w:ascii="Times New Roman" w:hAnsi="Times New Roman" w:cs="Times New Roman"/>
          <w:color w:val="222222"/>
          <w:sz w:val="24"/>
          <w:szCs w:val="24"/>
          <w:lang w:val="en"/>
        </w:rPr>
        <w:t>only after the 2007/2008 crisis</w:t>
      </w:r>
      <w:r w:rsidRPr="002C6A7D">
        <w:rPr>
          <w:rFonts w:ascii="Times New Roman" w:hAnsi="Times New Roman" w:cs="Times New Roman"/>
          <w:color w:val="222222"/>
          <w:sz w:val="24"/>
          <w:szCs w:val="24"/>
          <w:lang w:val="en"/>
        </w:rPr>
        <w:t xml:space="preserve">, the quality of that excess capital has been </w:t>
      </w:r>
      <w:r>
        <w:rPr>
          <w:rFonts w:ascii="Times New Roman" w:hAnsi="Times New Roman" w:cs="Times New Roman"/>
          <w:color w:val="222222"/>
          <w:sz w:val="24"/>
          <w:szCs w:val="24"/>
          <w:lang w:val="en"/>
        </w:rPr>
        <w:t>important</w:t>
      </w:r>
      <w:r w:rsidRPr="002C6A7D">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to</w:t>
      </w:r>
      <w:r w:rsidRPr="002C6A7D">
        <w:rPr>
          <w:rFonts w:ascii="Times New Roman" w:hAnsi="Times New Roman" w:cs="Times New Roman"/>
          <w:color w:val="222222"/>
          <w:sz w:val="24"/>
          <w:szCs w:val="24"/>
          <w:lang w:val="en"/>
        </w:rPr>
        <w:t xml:space="preserve"> regulators, who proposed a new capital structure in the Basel III agreement, creating new hybrid </w:t>
      </w:r>
      <w:r>
        <w:rPr>
          <w:rFonts w:ascii="Times New Roman" w:hAnsi="Times New Roman" w:cs="Times New Roman"/>
          <w:color w:val="222222"/>
          <w:sz w:val="24"/>
          <w:szCs w:val="24"/>
          <w:lang w:val="en"/>
        </w:rPr>
        <w:t>bonds</w:t>
      </w:r>
      <w:r w:rsidRPr="002C6A7D">
        <w:rPr>
          <w:rFonts w:ascii="Times New Roman" w:hAnsi="Times New Roman" w:cs="Times New Roman"/>
          <w:color w:val="222222"/>
          <w:sz w:val="24"/>
          <w:szCs w:val="24"/>
          <w:lang w:val="en"/>
        </w:rPr>
        <w:t>,</w:t>
      </w:r>
      <w:r>
        <w:rPr>
          <w:rFonts w:ascii="Times New Roman" w:hAnsi="Times New Roman" w:cs="Times New Roman"/>
          <w:color w:val="222222"/>
          <w:sz w:val="24"/>
          <w:szCs w:val="24"/>
          <w:lang w:val="en"/>
        </w:rPr>
        <w:t xml:space="preserve"> the</w:t>
      </w:r>
      <w:r w:rsidRPr="002C6A7D">
        <w:rPr>
          <w:rFonts w:ascii="Times New Roman" w:hAnsi="Times New Roman" w:cs="Times New Roman"/>
          <w:color w:val="222222"/>
          <w:sz w:val="24"/>
          <w:szCs w:val="24"/>
          <w:lang w:val="en"/>
        </w:rPr>
        <w:t xml:space="preserve"> contingent convertible, whose main objective is to recapitalize the bank automatically in times of financial difficultie</w:t>
      </w:r>
      <w:r>
        <w:rPr>
          <w:rFonts w:ascii="Times New Roman" w:hAnsi="Times New Roman" w:cs="Times New Roman"/>
          <w:color w:val="222222"/>
          <w:sz w:val="24"/>
          <w:szCs w:val="24"/>
          <w:lang w:val="en"/>
        </w:rPr>
        <w:t>s.</w:t>
      </w:r>
    </w:p>
    <w:p w:rsidR="006B1B74" w:rsidRDefault="006B1B74" w:rsidP="00FF5024">
      <w:pPr>
        <w:spacing w:after="0" w:line="240" w:lineRule="auto"/>
        <w:jc w:val="both"/>
        <w:rPr>
          <w:rFonts w:ascii="Times New Roman" w:hAnsi="Times New Roman" w:cs="Times New Roman"/>
          <w:color w:val="222222"/>
          <w:sz w:val="24"/>
          <w:szCs w:val="24"/>
          <w:lang w:val="en"/>
        </w:rPr>
      </w:pPr>
      <w:r w:rsidRPr="002C6A7D">
        <w:rPr>
          <w:rFonts w:ascii="Times New Roman" w:hAnsi="Times New Roman" w:cs="Times New Roman"/>
          <w:color w:val="222222"/>
          <w:sz w:val="24"/>
          <w:szCs w:val="24"/>
          <w:lang w:val="en"/>
        </w:rPr>
        <w:t>In this context, we analyzed the 10 largest banks in Brazil in total assets</w:t>
      </w:r>
      <w:r>
        <w:rPr>
          <w:rFonts w:ascii="Times New Roman" w:hAnsi="Times New Roman" w:cs="Times New Roman"/>
          <w:color w:val="222222"/>
          <w:sz w:val="24"/>
          <w:szCs w:val="24"/>
          <w:lang w:val="en"/>
        </w:rPr>
        <w:t>,</w:t>
      </w:r>
      <w:r w:rsidRPr="002C6A7D">
        <w:rPr>
          <w:rFonts w:ascii="Times New Roman" w:hAnsi="Times New Roman" w:cs="Times New Roman"/>
          <w:color w:val="222222"/>
          <w:sz w:val="24"/>
          <w:szCs w:val="24"/>
          <w:lang w:val="en"/>
        </w:rPr>
        <w:t xml:space="preserve"> comparing the structure of each bank with </w:t>
      </w:r>
      <w:r>
        <w:rPr>
          <w:rFonts w:ascii="Times New Roman" w:hAnsi="Times New Roman" w:cs="Times New Roman"/>
          <w:color w:val="222222"/>
          <w:sz w:val="24"/>
          <w:szCs w:val="24"/>
          <w:lang w:val="en"/>
        </w:rPr>
        <w:t>straight</w:t>
      </w:r>
      <w:r w:rsidRPr="002C6A7D">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bond</w:t>
      </w:r>
      <w:r w:rsidRPr="002C6A7D">
        <w:rPr>
          <w:rFonts w:ascii="Times New Roman" w:hAnsi="Times New Roman" w:cs="Times New Roman"/>
          <w:color w:val="222222"/>
          <w:sz w:val="24"/>
          <w:szCs w:val="24"/>
          <w:lang w:val="en"/>
        </w:rPr>
        <w:t xml:space="preserve">, against the same structure with contingent convertible under the Basel III rules and without regulations </w:t>
      </w:r>
      <w:r>
        <w:rPr>
          <w:rFonts w:ascii="Times New Roman" w:hAnsi="Times New Roman" w:cs="Times New Roman"/>
          <w:color w:val="222222"/>
          <w:sz w:val="24"/>
          <w:szCs w:val="24"/>
          <w:lang w:val="en"/>
        </w:rPr>
        <w:t xml:space="preserve">or </w:t>
      </w:r>
      <w:r w:rsidRPr="002C6A7D">
        <w:rPr>
          <w:rFonts w:ascii="Times New Roman" w:hAnsi="Times New Roman" w:cs="Times New Roman"/>
          <w:color w:val="222222"/>
          <w:sz w:val="24"/>
          <w:szCs w:val="24"/>
          <w:lang w:val="en"/>
        </w:rPr>
        <w:t xml:space="preserve">when they are </w:t>
      </w:r>
      <w:r>
        <w:rPr>
          <w:rFonts w:ascii="Times New Roman" w:hAnsi="Times New Roman" w:cs="Times New Roman"/>
          <w:color w:val="222222"/>
          <w:sz w:val="24"/>
          <w:szCs w:val="24"/>
          <w:lang w:val="en"/>
        </w:rPr>
        <w:t>fragile.</w:t>
      </w:r>
    </w:p>
    <w:p w:rsidR="006B1B74" w:rsidRDefault="006B1B74" w:rsidP="00FF5024">
      <w:pPr>
        <w:spacing w:after="0" w:line="240" w:lineRule="auto"/>
        <w:jc w:val="both"/>
        <w:rPr>
          <w:rFonts w:ascii="Times New Roman" w:hAnsi="Times New Roman" w:cs="Times New Roman"/>
          <w:sz w:val="24"/>
          <w:szCs w:val="24"/>
          <w:lang w:val="en-US"/>
        </w:rPr>
      </w:pPr>
      <w:r>
        <w:rPr>
          <w:rFonts w:ascii="Times New Roman" w:hAnsi="Times New Roman" w:cs="Times New Roman"/>
          <w:color w:val="222222"/>
          <w:sz w:val="24"/>
          <w:szCs w:val="24"/>
          <w:lang w:val="en"/>
        </w:rPr>
        <w:t>The evidence suggests that,</w:t>
      </w:r>
      <w:r w:rsidRPr="002C6A7D">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by</w:t>
      </w:r>
      <w:r w:rsidRPr="002C6A7D">
        <w:rPr>
          <w:rFonts w:ascii="Times New Roman" w:hAnsi="Times New Roman" w:cs="Times New Roman"/>
          <w:color w:val="222222"/>
          <w:sz w:val="24"/>
          <w:szCs w:val="24"/>
          <w:lang w:val="en"/>
        </w:rPr>
        <w:t xml:space="preserve"> the model, Brazilian banks were better capitalized </w:t>
      </w:r>
      <w:r>
        <w:rPr>
          <w:rFonts w:ascii="Times New Roman" w:hAnsi="Times New Roman" w:cs="Times New Roman"/>
          <w:color w:val="222222"/>
          <w:sz w:val="24"/>
          <w:szCs w:val="24"/>
          <w:lang w:val="en"/>
        </w:rPr>
        <w:t xml:space="preserve">with </w:t>
      </w:r>
      <w:r w:rsidRPr="002C6A7D">
        <w:rPr>
          <w:rFonts w:ascii="Times New Roman" w:hAnsi="Times New Roman" w:cs="Times New Roman"/>
          <w:color w:val="222222"/>
          <w:sz w:val="24"/>
          <w:szCs w:val="24"/>
          <w:lang w:val="en"/>
        </w:rPr>
        <w:t>contingent convertible,</w:t>
      </w:r>
      <w:r>
        <w:rPr>
          <w:rFonts w:ascii="Times New Roman" w:hAnsi="Times New Roman" w:cs="Times New Roman"/>
          <w:color w:val="222222"/>
          <w:sz w:val="24"/>
          <w:szCs w:val="24"/>
          <w:lang w:val="en"/>
        </w:rPr>
        <w:t xml:space="preserve"> than straight</w:t>
      </w:r>
      <w:r w:rsidRPr="002C6A7D">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bond</w:t>
      </w:r>
      <w:r w:rsidRPr="002C6A7D">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under Basel III rules</w:t>
      </w:r>
      <w:r w:rsidRPr="002C6A7D">
        <w:rPr>
          <w:rFonts w:ascii="Times New Roman" w:hAnsi="Times New Roman" w:cs="Times New Roman"/>
          <w:color w:val="222222"/>
          <w:sz w:val="24"/>
          <w:szCs w:val="24"/>
          <w:lang w:val="en"/>
        </w:rPr>
        <w:t>, but in unregulated environments or where they are fragile, contingent convertibles induce increased risk and may lead to new financial</w:t>
      </w:r>
      <w:r>
        <w:rPr>
          <w:rFonts w:ascii="Times New Roman" w:hAnsi="Times New Roman" w:cs="Times New Roman"/>
          <w:color w:val="222222"/>
          <w:sz w:val="24"/>
          <w:szCs w:val="24"/>
          <w:lang w:val="en"/>
        </w:rPr>
        <w:t xml:space="preserve"> crisis.</w:t>
      </w:r>
    </w:p>
    <w:p w:rsidR="00E709EB" w:rsidRDefault="00F97473" w:rsidP="00FF5024">
      <w:pPr>
        <w:spacing w:after="0" w:line="240" w:lineRule="auto"/>
        <w:jc w:val="both"/>
        <w:rPr>
          <w:rFonts w:ascii="Times New Roman" w:hAnsi="Times New Roman" w:cs="Times New Roman"/>
          <w:sz w:val="24"/>
          <w:szCs w:val="24"/>
          <w:lang w:val="en-US"/>
        </w:rPr>
      </w:pPr>
      <w:r w:rsidRPr="004A37B2">
        <w:rPr>
          <w:rFonts w:ascii="Times New Roman" w:hAnsi="Times New Roman" w:cs="Times New Roman"/>
          <w:b/>
          <w:sz w:val="24"/>
          <w:szCs w:val="24"/>
          <w:lang w:val="en-US"/>
        </w:rPr>
        <w:t>Keyword</w:t>
      </w:r>
      <w:r w:rsidR="00E709EB" w:rsidRPr="004A37B2">
        <w:rPr>
          <w:rFonts w:ascii="Times New Roman" w:hAnsi="Times New Roman" w:cs="Times New Roman"/>
          <w:sz w:val="24"/>
          <w:szCs w:val="24"/>
          <w:lang w:val="en-US"/>
        </w:rPr>
        <w:t xml:space="preserve">: </w:t>
      </w:r>
      <w:r w:rsidR="009B0EB2" w:rsidRPr="004A37B2">
        <w:rPr>
          <w:rFonts w:ascii="Times New Roman" w:hAnsi="Times New Roman" w:cs="Times New Roman"/>
          <w:sz w:val="24"/>
          <w:szCs w:val="24"/>
          <w:lang w:val="en-US"/>
        </w:rPr>
        <w:t>Contingent C</w:t>
      </w:r>
      <w:r w:rsidRPr="004A37B2">
        <w:rPr>
          <w:rFonts w:ascii="Times New Roman" w:hAnsi="Times New Roman" w:cs="Times New Roman"/>
          <w:sz w:val="24"/>
          <w:szCs w:val="24"/>
          <w:lang w:val="en-US"/>
        </w:rPr>
        <w:t>onvertible</w:t>
      </w:r>
      <w:r w:rsidR="00E709EB" w:rsidRPr="004A37B2">
        <w:rPr>
          <w:rFonts w:ascii="Times New Roman" w:hAnsi="Times New Roman" w:cs="Times New Roman"/>
          <w:sz w:val="24"/>
          <w:szCs w:val="24"/>
          <w:lang w:val="en-US"/>
        </w:rPr>
        <w:t>,</w:t>
      </w:r>
      <w:r w:rsidRPr="004A37B2">
        <w:rPr>
          <w:rFonts w:ascii="Times New Roman" w:hAnsi="Times New Roman" w:cs="Times New Roman"/>
          <w:sz w:val="24"/>
          <w:szCs w:val="24"/>
          <w:lang w:val="en-US"/>
        </w:rPr>
        <w:t xml:space="preserve"> </w:t>
      </w:r>
      <w:proofErr w:type="spellStart"/>
      <w:r w:rsidRPr="004A37B2">
        <w:rPr>
          <w:rFonts w:ascii="Times New Roman" w:hAnsi="Times New Roman" w:cs="Times New Roman"/>
          <w:sz w:val="24"/>
          <w:szCs w:val="24"/>
          <w:lang w:val="en-US"/>
        </w:rPr>
        <w:t>CoCos</w:t>
      </w:r>
      <w:proofErr w:type="spellEnd"/>
      <w:proofErr w:type="gramStart"/>
      <w:r w:rsidRPr="004A37B2">
        <w:rPr>
          <w:rFonts w:ascii="Times New Roman" w:hAnsi="Times New Roman" w:cs="Times New Roman"/>
          <w:sz w:val="24"/>
          <w:szCs w:val="24"/>
          <w:lang w:val="en-US"/>
        </w:rPr>
        <w:t xml:space="preserve">, </w:t>
      </w:r>
      <w:r w:rsidR="00E709EB" w:rsidRPr="004A37B2">
        <w:rPr>
          <w:rFonts w:ascii="Times New Roman" w:hAnsi="Times New Roman" w:cs="Times New Roman"/>
          <w:sz w:val="24"/>
          <w:szCs w:val="24"/>
          <w:lang w:val="en-US"/>
        </w:rPr>
        <w:t xml:space="preserve"> </w:t>
      </w:r>
      <w:r w:rsidRPr="004A37B2">
        <w:rPr>
          <w:rFonts w:ascii="Times New Roman" w:hAnsi="Times New Roman" w:cs="Times New Roman"/>
          <w:sz w:val="24"/>
          <w:szCs w:val="24"/>
          <w:lang w:val="en-US"/>
        </w:rPr>
        <w:t>Banks</w:t>
      </w:r>
      <w:proofErr w:type="gramEnd"/>
      <w:r w:rsidRPr="004A37B2">
        <w:rPr>
          <w:rFonts w:ascii="Times New Roman" w:hAnsi="Times New Roman" w:cs="Times New Roman"/>
          <w:sz w:val="24"/>
          <w:szCs w:val="24"/>
          <w:lang w:val="en-US"/>
        </w:rPr>
        <w:t xml:space="preserve"> - Brazil</w:t>
      </w:r>
      <w:r w:rsidR="00E709EB" w:rsidRPr="004A37B2">
        <w:rPr>
          <w:rFonts w:ascii="Times New Roman" w:hAnsi="Times New Roman" w:cs="Times New Roman"/>
          <w:sz w:val="24"/>
          <w:szCs w:val="24"/>
          <w:lang w:val="en-US"/>
        </w:rPr>
        <w:t xml:space="preserve">, </w:t>
      </w:r>
      <w:r w:rsidRPr="004A37B2">
        <w:rPr>
          <w:rFonts w:ascii="Times New Roman" w:hAnsi="Times New Roman" w:cs="Times New Roman"/>
          <w:sz w:val="24"/>
          <w:szCs w:val="24"/>
          <w:lang w:val="en-US"/>
        </w:rPr>
        <w:t>Regulatory capital</w:t>
      </w:r>
      <w:r w:rsidR="00E709EB" w:rsidRPr="004A37B2">
        <w:rPr>
          <w:rFonts w:ascii="Times New Roman" w:hAnsi="Times New Roman" w:cs="Times New Roman"/>
          <w:sz w:val="24"/>
          <w:szCs w:val="24"/>
          <w:lang w:val="en-US"/>
        </w:rPr>
        <w:t>, Bas</w:t>
      </w:r>
      <w:r w:rsidRPr="004A37B2">
        <w:rPr>
          <w:rFonts w:ascii="Times New Roman" w:hAnsi="Times New Roman" w:cs="Times New Roman"/>
          <w:sz w:val="24"/>
          <w:szCs w:val="24"/>
          <w:lang w:val="en-US"/>
        </w:rPr>
        <w:t>el</w:t>
      </w:r>
      <w:r w:rsidR="00E709EB" w:rsidRPr="004A37B2">
        <w:rPr>
          <w:rFonts w:ascii="Times New Roman" w:hAnsi="Times New Roman" w:cs="Times New Roman"/>
          <w:sz w:val="24"/>
          <w:szCs w:val="24"/>
          <w:lang w:val="en-US"/>
        </w:rPr>
        <w:t xml:space="preserve"> III</w:t>
      </w:r>
    </w:p>
    <w:p w:rsidR="00DF3371" w:rsidRPr="00DF3371" w:rsidRDefault="00DF3371" w:rsidP="00FF5024">
      <w:pPr>
        <w:spacing w:after="0" w:line="240" w:lineRule="auto"/>
        <w:jc w:val="both"/>
        <w:rPr>
          <w:rFonts w:ascii="Times New Roman" w:hAnsi="Times New Roman" w:cs="Times New Roman"/>
          <w:sz w:val="24"/>
          <w:szCs w:val="24"/>
        </w:rPr>
      </w:pPr>
      <w:r w:rsidRPr="00466344">
        <w:rPr>
          <w:rFonts w:ascii="Times New Roman" w:hAnsi="Times New Roman" w:cs="Times New Roman"/>
          <w:b/>
          <w:bCs/>
          <w:color w:val="000000"/>
          <w:sz w:val="23"/>
          <w:szCs w:val="23"/>
        </w:rPr>
        <w:t xml:space="preserve">JEL: </w:t>
      </w:r>
      <w:r w:rsidRPr="00466344">
        <w:rPr>
          <w:rFonts w:ascii="Times New Roman" w:hAnsi="Times New Roman" w:cs="Times New Roman"/>
          <w:bCs/>
          <w:color w:val="000000"/>
          <w:sz w:val="23"/>
          <w:szCs w:val="23"/>
        </w:rPr>
        <w:t>G01, G28</w:t>
      </w:r>
    </w:p>
    <w:p w:rsidR="00DF3371" w:rsidRPr="00466344" w:rsidRDefault="00DF3371" w:rsidP="00FF5024">
      <w:pPr>
        <w:spacing w:after="0" w:line="240" w:lineRule="auto"/>
        <w:jc w:val="both"/>
        <w:rPr>
          <w:rFonts w:ascii="Times New Roman" w:hAnsi="Times New Roman" w:cs="Times New Roman"/>
          <w:sz w:val="24"/>
          <w:szCs w:val="24"/>
        </w:rPr>
      </w:pPr>
    </w:p>
    <w:p w:rsidR="008D11B2" w:rsidRDefault="008D11B2" w:rsidP="00FF5024">
      <w:pPr>
        <w:spacing w:after="0" w:line="240" w:lineRule="auto"/>
        <w:jc w:val="both"/>
        <w:rPr>
          <w:rFonts w:ascii="Times New Roman" w:hAnsi="Times New Roman" w:cs="Times New Roman"/>
          <w:b/>
          <w:bCs/>
          <w:sz w:val="23"/>
          <w:szCs w:val="23"/>
        </w:rPr>
      </w:pPr>
      <w:r w:rsidRPr="008D11B2">
        <w:rPr>
          <w:rFonts w:ascii="Times New Roman" w:hAnsi="Times New Roman" w:cs="Times New Roman"/>
          <w:b/>
          <w:bCs/>
          <w:sz w:val="23"/>
          <w:szCs w:val="23"/>
        </w:rPr>
        <w:t xml:space="preserve">Área </w:t>
      </w:r>
      <w:proofErr w:type="spellStart"/>
      <w:r w:rsidRPr="008D11B2">
        <w:rPr>
          <w:rFonts w:ascii="Times New Roman" w:hAnsi="Times New Roman" w:cs="Times New Roman"/>
          <w:b/>
          <w:bCs/>
          <w:sz w:val="23"/>
          <w:szCs w:val="23"/>
        </w:rPr>
        <w:t>Anpec</w:t>
      </w:r>
      <w:proofErr w:type="spellEnd"/>
      <w:r w:rsidRPr="008D11B2">
        <w:rPr>
          <w:rFonts w:ascii="Times New Roman" w:hAnsi="Times New Roman" w:cs="Times New Roman"/>
          <w:b/>
          <w:bCs/>
          <w:sz w:val="23"/>
          <w:szCs w:val="23"/>
        </w:rPr>
        <w:t xml:space="preserve"> </w:t>
      </w:r>
      <w:proofErr w:type="gramStart"/>
      <w:r w:rsidRPr="008D11B2">
        <w:rPr>
          <w:rFonts w:ascii="Times New Roman" w:hAnsi="Times New Roman" w:cs="Times New Roman"/>
          <w:b/>
          <w:bCs/>
          <w:sz w:val="23"/>
          <w:szCs w:val="23"/>
        </w:rPr>
        <w:t>4</w:t>
      </w:r>
      <w:proofErr w:type="gramEnd"/>
      <w:r w:rsidRPr="008D11B2">
        <w:rPr>
          <w:rFonts w:ascii="Times New Roman" w:hAnsi="Times New Roman" w:cs="Times New Roman"/>
          <w:b/>
          <w:bCs/>
          <w:sz w:val="23"/>
          <w:szCs w:val="23"/>
        </w:rPr>
        <w:t>: Macroeconomia, Economia Monetária e Finanças</w:t>
      </w:r>
    </w:p>
    <w:p w:rsidR="009777BD" w:rsidRDefault="009777BD" w:rsidP="00FF5024">
      <w:pPr>
        <w:spacing w:after="0" w:line="240" w:lineRule="auto"/>
        <w:jc w:val="both"/>
        <w:rPr>
          <w:rFonts w:ascii="Times New Roman" w:hAnsi="Times New Roman" w:cs="Times New Roman"/>
          <w:b/>
          <w:bCs/>
          <w:sz w:val="23"/>
          <w:szCs w:val="23"/>
        </w:rPr>
      </w:pPr>
    </w:p>
    <w:p w:rsidR="009777BD" w:rsidRDefault="009777BD" w:rsidP="00FF5024">
      <w:pPr>
        <w:spacing w:after="0" w:line="240" w:lineRule="auto"/>
        <w:jc w:val="both"/>
        <w:rPr>
          <w:rFonts w:ascii="Times New Roman" w:hAnsi="Times New Roman" w:cs="Times New Roman"/>
          <w:b/>
          <w:bCs/>
          <w:sz w:val="23"/>
          <w:szCs w:val="23"/>
        </w:rPr>
      </w:pPr>
    </w:p>
    <w:p w:rsidR="009777BD" w:rsidRDefault="009777BD" w:rsidP="00FF5024">
      <w:pPr>
        <w:spacing w:after="0" w:line="240" w:lineRule="auto"/>
        <w:jc w:val="both"/>
        <w:rPr>
          <w:rFonts w:ascii="Times New Roman" w:hAnsi="Times New Roman" w:cs="Times New Roman"/>
          <w:b/>
          <w:bCs/>
          <w:sz w:val="23"/>
          <w:szCs w:val="23"/>
        </w:rPr>
      </w:pPr>
    </w:p>
    <w:p w:rsidR="009777BD" w:rsidRPr="008D11B2" w:rsidRDefault="009777BD" w:rsidP="00FF5024">
      <w:pPr>
        <w:spacing w:after="0" w:line="240" w:lineRule="auto"/>
        <w:jc w:val="both"/>
        <w:rPr>
          <w:rFonts w:ascii="Times New Roman" w:hAnsi="Times New Roman" w:cs="Times New Roman"/>
          <w:sz w:val="24"/>
          <w:szCs w:val="24"/>
        </w:rPr>
      </w:pPr>
    </w:p>
    <w:p w:rsidR="006926A3" w:rsidRPr="00FF5024" w:rsidRDefault="001373E5" w:rsidP="00FF5024">
      <w:pPr>
        <w:pStyle w:val="PargrafodaLista"/>
        <w:keepNext/>
        <w:keepLines/>
        <w:numPr>
          <w:ilvl w:val="0"/>
          <w:numId w:val="20"/>
        </w:numPr>
        <w:spacing w:after="120" w:line="240" w:lineRule="auto"/>
        <w:ind w:left="450" w:hanging="450"/>
        <w:outlineLvl w:val="0"/>
        <w:rPr>
          <w:rFonts w:ascii="Times New Roman" w:eastAsiaTheme="majorEastAsia" w:hAnsi="Times New Roman" w:cs="Times New Roman"/>
          <w:b/>
          <w:bCs/>
          <w:sz w:val="24"/>
          <w:szCs w:val="28"/>
        </w:rPr>
      </w:pPr>
      <w:bookmarkStart w:id="1" w:name="_Toc390075545"/>
      <w:r w:rsidRPr="00FF5024">
        <w:rPr>
          <w:rFonts w:ascii="Times New Roman" w:eastAsiaTheme="majorEastAsia" w:hAnsi="Times New Roman" w:cs="Times New Roman"/>
          <w:b/>
          <w:bCs/>
          <w:sz w:val="24"/>
          <w:szCs w:val="28"/>
        </w:rPr>
        <w:lastRenderedPageBreak/>
        <w:t>INTRODUÇÃO</w:t>
      </w:r>
      <w:bookmarkEnd w:id="1"/>
    </w:p>
    <w:p w:rsidR="00B03707" w:rsidRPr="00B03707" w:rsidRDefault="00B03707" w:rsidP="00B03707">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B03707">
        <w:rPr>
          <w:rFonts w:ascii="Times New Roman" w:eastAsia="Times New Roman" w:hAnsi="Times New Roman" w:cs="Times New Roman"/>
          <w:sz w:val="24"/>
          <w:szCs w:val="24"/>
          <w:lang w:eastAsia="pt-BR"/>
        </w:rPr>
        <w:t>O objetivo deste trabalho é analisar a estrutura de capital atual, dos dez maiores bancos brasileiros em ativos totais, que juntos representam 89% do Consolidado Financeiro I</w:t>
      </w:r>
      <w:r>
        <w:rPr>
          <w:rStyle w:val="Refdenotaderodap"/>
          <w:rFonts w:ascii="Times New Roman" w:eastAsia="Times New Roman" w:hAnsi="Times New Roman" w:cs="Times New Roman"/>
          <w:sz w:val="24"/>
          <w:szCs w:val="24"/>
          <w:lang w:eastAsia="pt-BR"/>
        </w:rPr>
        <w:footnoteReference w:id="5"/>
      </w:r>
      <w:r w:rsidRPr="00B03707">
        <w:rPr>
          <w:rFonts w:ascii="Times New Roman" w:eastAsia="Times New Roman" w:hAnsi="Times New Roman" w:cs="Times New Roman"/>
          <w:sz w:val="24"/>
          <w:szCs w:val="24"/>
          <w:lang w:eastAsia="pt-BR"/>
        </w:rPr>
        <w:t xml:space="preserve">, e responder se os bancos brasileiros estariam mais bem capitalizados com contingentes conversíveis </w:t>
      </w:r>
      <w:r w:rsidR="002442CB">
        <w:rPr>
          <w:rFonts w:ascii="Times New Roman" w:eastAsia="Times New Roman" w:hAnsi="Times New Roman" w:cs="Times New Roman"/>
          <w:sz w:val="24"/>
          <w:szCs w:val="24"/>
          <w:lang w:eastAsia="pt-BR"/>
        </w:rPr>
        <w:t>do que com dívidas subordinadas, e</w:t>
      </w:r>
      <w:r w:rsidRPr="00B03707">
        <w:rPr>
          <w:rFonts w:ascii="Times New Roman" w:eastAsia="Times New Roman" w:hAnsi="Times New Roman" w:cs="Times New Roman"/>
          <w:sz w:val="24"/>
          <w:szCs w:val="24"/>
          <w:lang w:eastAsia="pt-BR"/>
        </w:rPr>
        <w:t xml:space="preserve"> se esses novos instrumentos de capital, de fato não poderiam levar </w:t>
      </w:r>
      <w:r w:rsidR="002442CB">
        <w:rPr>
          <w:rFonts w:ascii="Times New Roman" w:eastAsia="Times New Roman" w:hAnsi="Times New Roman" w:cs="Times New Roman"/>
          <w:sz w:val="24"/>
          <w:szCs w:val="24"/>
          <w:lang w:eastAsia="pt-BR"/>
        </w:rPr>
        <w:t>os bancos a assumir mais riscos.</w:t>
      </w:r>
      <w:r w:rsidRPr="00B03707">
        <w:rPr>
          <w:rFonts w:ascii="Times New Roman" w:eastAsia="Times New Roman" w:hAnsi="Times New Roman" w:cs="Times New Roman"/>
          <w:sz w:val="24"/>
          <w:szCs w:val="24"/>
          <w:lang w:eastAsia="pt-BR"/>
        </w:rPr>
        <w:t xml:space="preserve"> Além de levantar em que c</w:t>
      </w:r>
      <w:r w:rsidR="002442CB">
        <w:rPr>
          <w:rFonts w:ascii="Times New Roman" w:eastAsia="Times New Roman" w:hAnsi="Times New Roman" w:cs="Times New Roman"/>
          <w:sz w:val="24"/>
          <w:szCs w:val="24"/>
          <w:lang w:eastAsia="pt-BR"/>
        </w:rPr>
        <w:t>ondições isso poderia acontecer.</w:t>
      </w:r>
      <w:r w:rsidR="002B4417">
        <w:rPr>
          <w:rFonts w:ascii="Times New Roman" w:eastAsia="Times New Roman" w:hAnsi="Times New Roman" w:cs="Times New Roman"/>
          <w:sz w:val="24"/>
          <w:szCs w:val="24"/>
          <w:lang w:eastAsia="pt-BR"/>
        </w:rPr>
        <w:t xml:space="preserve"> </w:t>
      </w:r>
      <w:r w:rsidRPr="00B03707">
        <w:rPr>
          <w:rFonts w:ascii="Times New Roman" w:eastAsia="Times New Roman" w:hAnsi="Times New Roman" w:cs="Times New Roman"/>
          <w:sz w:val="24"/>
          <w:szCs w:val="24"/>
          <w:lang w:eastAsia="pt-BR"/>
        </w:rPr>
        <w:t>Esta avaliação será feita através de um modelo estrutural, que modela a dívida ótima de um banco e, insere na estrutura de capital do banco, primeiramente com dívidas subordinadas e em seguida, o mesmo banco, com o mesmo montante de dívidas, só que em contingentes conversíveis, sob as regras de Basiléia III regulamentadas pelo Banco Central do Brasil. Em seguida, avaliamos como o afrouxamento dessa regulamentação pode influenciar a estrutura de capital e o incentivo a riscos através dos contingentes conversíveis (</w:t>
      </w:r>
      <w:proofErr w:type="spellStart"/>
      <w:r w:rsidRPr="00B03707">
        <w:rPr>
          <w:rFonts w:ascii="Times New Roman" w:eastAsia="Times New Roman" w:hAnsi="Times New Roman" w:cs="Times New Roman"/>
          <w:sz w:val="24"/>
          <w:szCs w:val="24"/>
          <w:lang w:eastAsia="pt-BR"/>
        </w:rPr>
        <w:t>Koziol</w:t>
      </w:r>
      <w:proofErr w:type="spellEnd"/>
      <w:r w:rsidRPr="00B03707">
        <w:rPr>
          <w:rFonts w:ascii="Times New Roman" w:eastAsia="Times New Roman" w:hAnsi="Times New Roman" w:cs="Times New Roman"/>
          <w:sz w:val="24"/>
          <w:szCs w:val="24"/>
          <w:lang w:eastAsia="pt-BR"/>
        </w:rPr>
        <w:t xml:space="preserve"> e </w:t>
      </w:r>
      <w:proofErr w:type="spellStart"/>
      <w:r w:rsidRPr="00B03707">
        <w:rPr>
          <w:rFonts w:ascii="Times New Roman" w:eastAsia="Times New Roman" w:hAnsi="Times New Roman" w:cs="Times New Roman"/>
          <w:sz w:val="24"/>
          <w:szCs w:val="24"/>
          <w:lang w:eastAsia="pt-BR"/>
        </w:rPr>
        <w:t>Lawrenz</w:t>
      </w:r>
      <w:proofErr w:type="spellEnd"/>
      <w:r w:rsidRPr="00B03707">
        <w:rPr>
          <w:rFonts w:ascii="Times New Roman" w:eastAsia="Times New Roman" w:hAnsi="Times New Roman" w:cs="Times New Roman"/>
          <w:sz w:val="24"/>
          <w:szCs w:val="24"/>
          <w:lang w:eastAsia="pt-BR"/>
        </w:rPr>
        <w:t>, 2012).</w:t>
      </w:r>
    </w:p>
    <w:p w:rsidR="00B03707" w:rsidRDefault="00B03707" w:rsidP="00B03707">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B03707">
        <w:rPr>
          <w:rFonts w:ascii="Times New Roman" w:eastAsia="Times New Roman" w:hAnsi="Times New Roman" w:cs="Times New Roman"/>
          <w:sz w:val="24"/>
          <w:szCs w:val="24"/>
          <w:lang w:eastAsia="pt-BR"/>
        </w:rPr>
        <w:t xml:space="preserve">Até a crise de 2007/2008, as regulamentações vigentes eram Basiléia I e II, e que segundo </w:t>
      </w:r>
      <w:proofErr w:type="spellStart"/>
      <w:r w:rsidRPr="00B03707">
        <w:rPr>
          <w:rFonts w:ascii="Times New Roman" w:eastAsia="Times New Roman" w:hAnsi="Times New Roman" w:cs="Times New Roman"/>
          <w:sz w:val="24"/>
          <w:szCs w:val="24"/>
          <w:lang w:eastAsia="pt-BR"/>
        </w:rPr>
        <w:t>Kuritzkes</w:t>
      </w:r>
      <w:proofErr w:type="spellEnd"/>
      <w:r w:rsidRPr="00B03707">
        <w:rPr>
          <w:rFonts w:ascii="Times New Roman" w:eastAsia="Times New Roman" w:hAnsi="Times New Roman" w:cs="Times New Roman"/>
          <w:sz w:val="24"/>
          <w:szCs w:val="24"/>
          <w:lang w:eastAsia="pt-BR"/>
        </w:rPr>
        <w:t xml:space="preserve"> e Scott (2009) e </w:t>
      </w:r>
      <w:proofErr w:type="spellStart"/>
      <w:r w:rsidRPr="00B03707">
        <w:rPr>
          <w:rFonts w:ascii="Times New Roman" w:eastAsia="Times New Roman" w:hAnsi="Times New Roman" w:cs="Times New Roman"/>
          <w:sz w:val="24"/>
          <w:szCs w:val="24"/>
          <w:lang w:eastAsia="pt-BR"/>
        </w:rPr>
        <w:t>Calomiris</w:t>
      </w:r>
      <w:proofErr w:type="spellEnd"/>
      <w:r w:rsidRPr="00B03707">
        <w:rPr>
          <w:rFonts w:ascii="Times New Roman" w:eastAsia="Times New Roman" w:hAnsi="Times New Roman" w:cs="Times New Roman"/>
          <w:sz w:val="24"/>
          <w:szCs w:val="24"/>
          <w:lang w:eastAsia="pt-BR"/>
        </w:rPr>
        <w:t xml:space="preserve"> e </w:t>
      </w:r>
      <w:proofErr w:type="spellStart"/>
      <w:r w:rsidRPr="00B03707">
        <w:rPr>
          <w:rFonts w:ascii="Times New Roman" w:eastAsia="Times New Roman" w:hAnsi="Times New Roman" w:cs="Times New Roman"/>
          <w:sz w:val="24"/>
          <w:szCs w:val="24"/>
          <w:lang w:eastAsia="pt-BR"/>
        </w:rPr>
        <w:t>Herring</w:t>
      </w:r>
      <w:proofErr w:type="spellEnd"/>
      <w:r w:rsidRPr="00B03707">
        <w:rPr>
          <w:rFonts w:ascii="Times New Roman" w:eastAsia="Times New Roman" w:hAnsi="Times New Roman" w:cs="Times New Roman"/>
          <w:sz w:val="24"/>
          <w:szCs w:val="24"/>
          <w:lang w:eastAsia="pt-BR"/>
        </w:rPr>
        <w:t xml:space="preserve"> (2011), se mostraram extremamente frágeis em relação à estrutura de capital, culminando na quebra de diversos bancos e na necessidade de intervenção governamental em outros tantos. Em 2007 o capital dos 20 maiores bancos dos Estados Unidos, que detêm quase dois terços dos ativos bancários norte americanos, era de 11,7% dos ativos ponderados a risco (RWA na sigla em inglês), sendo que o mínimo exigido por Basiléia era de 8% e, ainda assim muitos faliram ou recorreram à ajuda governamental. Dentre os motivos que levaram a falência ou a necessidade de ajuda a esses bancos americanos, está o fato de eles estarem capitalizados essencialmente em dívidas subordinadas, as quais provêm </w:t>
      </w:r>
      <w:proofErr w:type="gramStart"/>
      <w:r w:rsidRPr="00B03707">
        <w:rPr>
          <w:rFonts w:ascii="Times New Roman" w:eastAsia="Times New Roman" w:hAnsi="Times New Roman" w:cs="Times New Roman"/>
          <w:sz w:val="24"/>
          <w:szCs w:val="24"/>
          <w:lang w:eastAsia="pt-BR"/>
        </w:rPr>
        <w:t>capital</w:t>
      </w:r>
      <w:proofErr w:type="gramEnd"/>
      <w:r w:rsidRPr="00B03707">
        <w:rPr>
          <w:rFonts w:ascii="Times New Roman" w:eastAsia="Times New Roman" w:hAnsi="Times New Roman" w:cs="Times New Roman"/>
          <w:sz w:val="24"/>
          <w:szCs w:val="24"/>
          <w:lang w:eastAsia="pt-BR"/>
        </w:rPr>
        <w:t xml:space="preserve"> para proteger os depositantes, porém permitem também o aumento de alavancagem do banco o que acaba anulando parte, ou todo o efeito, de diminuir a probabilidade de dificuldades financeiras (</w:t>
      </w:r>
      <w:proofErr w:type="spellStart"/>
      <w:r w:rsidRPr="00B03707">
        <w:rPr>
          <w:rFonts w:ascii="Times New Roman" w:eastAsia="Times New Roman" w:hAnsi="Times New Roman" w:cs="Times New Roman"/>
          <w:sz w:val="24"/>
          <w:szCs w:val="24"/>
          <w:lang w:eastAsia="pt-BR"/>
        </w:rPr>
        <w:t>Pennacchi</w:t>
      </w:r>
      <w:proofErr w:type="spellEnd"/>
      <w:r w:rsidRPr="00B03707">
        <w:rPr>
          <w:rFonts w:ascii="Times New Roman" w:eastAsia="Times New Roman" w:hAnsi="Times New Roman" w:cs="Times New Roman"/>
          <w:sz w:val="24"/>
          <w:szCs w:val="24"/>
          <w:lang w:eastAsia="pt-BR"/>
        </w:rPr>
        <w:t>, 2010). Outro motivo importante é o Risco Moral, que é de difícil identificação dentro do sistema financeiro, já que dificuldades financeiras de fato podem ser causadas por um período de estresse financeiro e não necessariamente por mau comportamento do banco (</w:t>
      </w:r>
      <w:proofErr w:type="spellStart"/>
      <w:r w:rsidRPr="00B03707">
        <w:rPr>
          <w:rFonts w:ascii="Times New Roman" w:eastAsia="Times New Roman" w:hAnsi="Times New Roman" w:cs="Times New Roman"/>
          <w:sz w:val="24"/>
          <w:szCs w:val="24"/>
          <w:lang w:eastAsia="pt-BR"/>
        </w:rPr>
        <w:t>Dam</w:t>
      </w:r>
      <w:proofErr w:type="spellEnd"/>
      <w:r w:rsidRPr="00B03707">
        <w:rPr>
          <w:rFonts w:ascii="Times New Roman" w:eastAsia="Times New Roman" w:hAnsi="Times New Roman" w:cs="Times New Roman"/>
          <w:sz w:val="24"/>
          <w:szCs w:val="24"/>
          <w:lang w:eastAsia="pt-BR"/>
        </w:rPr>
        <w:t xml:space="preserve">; </w:t>
      </w:r>
      <w:proofErr w:type="spellStart"/>
      <w:r w:rsidRPr="00B03707">
        <w:rPr>
          <w:rFonts w:ascii="Times New Roman" w:eastAsia="Times New Roman" w:hAnsi="Times New Roman" w:cs="Times New Roman"/>
          <w:sz w:val="24"/>
          <w:szCs w:val="24"/>
          <w:lang w:eastAsia="pt-BR"/>
        </w:rPr>
        <w:t>Lammertjan</w:t>
      </w:r>
      <w:proofErr w:type="spellEnd"/>
      <w:r w:rsidRPr="00B03707">
        <w:rPr>
          <w:rFonts w:ascii="Times New Roman" w:eastAsia="Times New Roman" w:hAnsi="Times New Roman" w:cs="Times New Roman"/>
          <w:sz w:val="24"/>
          <w:szCs w:val="24"/>
          <w:lang w:eastAsia="pt-BR"/>
        </w:rPr>
        <w:t xml:space="preserve">; </w:t>
      </w:r>
      <w:proofErr w:type="spellStart"/>
      <w:r w:rsidRPr="00B03707">
        <w:rPr>
          <w:rFonts w:ascii="Times New Roman" w:eastAsia="Times New Roman" w:hAnsi="Times New Roman" w:cs="Times New Roman"/>
          <w:sz w:val="24"/>
          <w:szCs w:val="24"/>
          <w:lang w:eastAsia="pt-BR"/>
        </w:rPr>
        <w:t>Koetter</w:t>
      </w:r>
      <w:proofErr w:type="spellEnd"/>
      <w:r w:rsidRPr="00B03707">
        <w:rPr>
          <w:rFonts w:ascii="Times New Roman" w:eastAsia="Times New Roman" w:hAnsi="Times New Roman" w:cs="Times New Roman"/>
          <w:sz w:val="24"/>
          <w:szCs w:val="24"/>
          <w:lang w:eastAsia="pt-BR"/>
        </w:rPr>
        <w:t xml:space="preserve">, 2012). Por isso, em geral, os governos tendem a ajudar os bancos com dificuldades financeiras, especialmente os grandes bancos, que tem importância sistêmica na economia local ou mundial, a fim de evitar novas crises. Em contrapartida, os bancos sabendo dessa “garantia” implícita que possuem, tendem a tomar mais risco a fim de aumentar seu retorno. É o chamado “too big </w:t>
      </w:r>
      <w:proofErr w:type="spellStart"/>
      <w:r w:rsidRPr="00B03707">
        <w:rPr>
          <w:rFonts w:ascii="Times New Roman" w:eastAsia="Times New Roman" w:hAnsi="Times New Roman" w:cs="Times New Roman"/>
          <w:sz w:val="24"/>
          <w:szCs w:val="24"/>
          <w:lang w:eastAsia="pt-BR"/>
        </w:rPr>
        <w:t>to</w:t>
      </w:r>
      <w:proofErr w:type="spellEnd"/>
      <w:r w:rsidRPr="00B03707">
        <w:rPr>
          <w:rFonts w:ascii="Times New Roman" w:eastAsia="Times New Roman" w:hAnsi="Times New Roman" w:cs="Times New Roman"/>
          <w:sz w:val="24"/>
          <w:szCs w:val="24"/>
          <w:lang w:eastAsia="pt-BR"/>
        </w:rPr>
        <w:t xml:space="preserve"> </w:t>
      </w:r>
      <w:proofErr w:type="spellStart"/>
      <w:r w:rsidRPr="00B03707">
        <w:rPr>
          <w:rFonts w:ascii="Times New Roman" w:eastAsia="Times New Roman" w:hAnsi="Times New Roman" w:cs="Times New Roman"/>
          <w:sz w:val="24"/>
          <w:szCs w:val="24"/>
          <w:lang w:eastAsia="pt-BR"/>
        </w:rPr>
        <w:t>fail</w:t>
      </w:r>
      <w:proofErr w:type="spellEnd"/>
      <w:r w:rsidRPr="00B03707">
        <w:rPr>
          <w:rFonts w:ascii="Times New Roman" w:eastAsia="Times New Roman" w:hAnsi="Times New Roman" w:cs="Times New Roman"/>
          <w:sz w:val="24"/>
          <w:szCs w:val="24"/>
          <w:lang w:eastAsia="pt-BR"/>
        </w:rPr>
        <w:t>”.</w:t>
      </w:r>
      <w:r w:rsidR="002B4417">
        <w:rPr>
          <w:rFonts w:ascii="Times New Roman" w:eastAsia="Times New Roman" w:hAnsi="Times New Roman" w:cs="Times New Roman"/>
          <w:sz w:val="24"/>
          <w:szCs w:val="24"/>
          <w:lang w:eastAsia="pt-BR"/>
        </w:rPr>
        <w:t xml:space="preserve"> </w:t>
      </w:r>
      <w:r w:rsidRPr="00B03707">
        <w:rPr>
          <w:rFonts w:ascii="Times New Roman" w:eastAsia="Times New Roman" w:hAnsi="Times New Roman" w:cs="Times New Roman"/>
          <w:sz w:val="24"/>
          <w:szCs w:val="24"/>
          <w:lang w:eastAsia="pt-BR"/>
        </w:rPr>
        <w:t xml:space="preserve">Segundo Oliveira, </w:t>
      </w:r>
      <w:proofErr w:type="spellStart"/>
      <w:r w:rsidRPr="00B03707">
        <w:rPr>
          <w:rFonts w:ascii="Times New Roman" w:eastAsia="Times New Roman" w:hAnsi="Times New Roman" w:cs="Times New Roman"/>
          <w:sz w:val="24"/>
          <w:szCs w:val="24"/>
          <w:lang w:eastAsia="pt-BR"/>
        </w:rPr>
        <w:t>Schiozer</w:t>
      </w:r>
      <w:proofErr w:type="spellEnd"/>
      <w:r w:rsidRPr="00B03707">
        <w:rPr>
          <w:rFonts w:ascii="Times New Roman" w:eastAsia="Times New Roman" w:hAnsi="Times New Roman" w:cs="Times New Roman"/>
          <w:sz w:val="24"/>
          <w:szCs w:val="24"/>
          <w:lang w:eastAsia="pt-BR"/>
        </w:rPr>
        <w:t xml:space="preserve"> e Barros (2014), a percepção do “too big too </w:t>
      </w:r>
      <w:proofErr w:type="spellStart"/>
      <w:r w:rsidRPr="00B03707">
        <w:rPr>
          <w:rFonts w:ascii="Times New Roman" w:eastAsia="Times New Roman" w:hAnsi="Times New Roman" w:cs="Times New Roman"/>
          <w:sz w:val="24"/>
          <w:szCs w:val="24"/>
          <w:lang w:eastAsia="pt-BR"/>
        </w:rPr>
        <w:t>fail</w:t>
      </w:r>
      <w:proofErr w:type="spellEnd"/>
      <w:r w:rsidRPr="00B03707">
        <w:rPr>
          <w:rFonts w:ascii="Times New Roman" w:eastAsia="Times New Roman" w:hAnsi="Times New Roman" w:cs="Times New Roman"/>
          <w:sz w:val="24"/>
          <w:szCs w:val="24"/>
          <w:lang w:eastAsia="pt-BR"/>
        </w:rPr>
        <w:t>” é verdadeira não somente do ponto de vista dos bancos, mas também do ponto de vista dos investidores, que em períodos de turbulência financeira recorrem aos grandes bancos para deixar seus investimentos, acreditando que estes são mais seguros e que seus investimentos estarão protegidos.</w:t>
      </w:r>
    </w:p>
    <w:p w:rsidR="00B03707" w:rsidRPr="00B03707" w:rsidRDefault="006D7EC8" w:rsidP="002442CB">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B03707">
        <w:rPr>
          <w:rFonts w:ascii="Times New Roman" w:eastAsia="Times New Roman" w:hAnsi="Times New Roman" w:cs="Times New Roman"/>
          <w:sz w:val="24"/>
          <w:szCs w:val="24"/>
          <w:lang w:eastAsia="pt-BR"/>
        </w:rPr>
        <w:t>No Brasil, as consequências da crise</w:t>
      </w:r>
      <w:r w:rsidR="002442CB">
        <w:rPr>
          <w:rFonts w:ascii="Times New Roman" w:eastAsia="Times New Roman" w:hAnsi="Times New Roman" w:cs="Times New Roman"/>
          <w:sz w:val="24"/>
          <w:szCs w:val="24"/>
          <w:lang w:eastAsia="pt-BR"/>
        </w:rPr>
        <w:t xml:space="preserve"> </w:t>
      </w:r>
      <w:r w:rsidR="002442CB" w:rsidRPr="00B03707">
        <w:rPr>
          <w:rFonts w:ascii="Times New Roman" w:eastAsia="Times New Roman" w:hAnsi="Times New Roman" w:cs="Times New Roman"/>
          <w:sz w:val="24"/>
          <w:szCs w:val="24"/>
          <w:lang w:eastAsia="pt-BR"/>
        </w:rPr>
        <w:t>de 2007/2008</w:t>
      </w:r>
      <w:r w:rsidRPr="00B03707">
        <w:rPr>
          <w:rFonts w:ascii="Times New Roman" w:eastAsia="Times New Roman" w:hAnsi="Times New Roman" w:cs="Times New Roman"/>
          <w:sz w:val="24"/>
          <w:szCs w:val="24"/>
          <w:lang w:eastAsia="pt-BR"/>
        </w:rPr>
        <w:t xml:space="preserve"> não foram tão extremas. De fato, os bancos privados brasileiros se viram obrigados a reduzir a concessão de crédito livre, mas em contrapartida os bancos públicos aumentaram seu crescimento em praticamente todas as modalidades de crédito durante este mesmo período de crise e no pós-crise (Oliveira; </w:t>
      </w:r>
      <w:proofErr w:type="spellStart"/>
      <w:r w:rsidRPr="00B03707">
        <w:rPr>
          <w:rFonts w:ascii="Times New Roman" w:eastAsia="Times New Roman" w:hAnsi="Times New Roman" w:cs="Times New Roman"/>
          <w:sz w:val="24"/>
          <w:szCs w:val="24"/>
          <w:lang w:eastAsia="pt-BR"/>
        </w:rPr>
        <w:t>Schiozer</w:t>
      </w:r>
      <w:proofErr w:type="spellEnd"/>
      <w:r w:rsidRPr="00B03707">
        <w:rPr>
          <w:rFonts w:ascii="Times New Roman" w:eastAsia="Times New Roman" w:hAnsi="Times New Roman" w:cs="Times New Roman"/>
          <w:sz w:val="24"/>
          <w:szCs w:val="24"/>
          <w:lang w:eastAsia="pt-BR"/>
        </w:rPr>
        <w:t xml:space="preserve">; Leão, 2014). </w:t>
      </w:r>
      <w:r w:rsidR="00B03707" w:rsidRPr="00B03707">
        <w:rPr>
          <w:rFonts w:ascii="Times New Roman" w:eastAsia="Times New Roman" w:hAnsi="Times New Roman" w:cs="Times New Roman"/>
          <w:sz w:val="24"/>
          <w:szCs w:val="24"/>
          <w:lang w:eastAsia="pt-BR"/>
        </w:rPr>
        <w:t>Visando preencher essas lacunas que levaram à crise, o BCBS</w:t>
      </w:r>
      <w:r w:rsidR="002442CB">
        <w:rPr>
          <w:rFonts w:ascii="Times New Roman" w:eastAsia="Times New Roman" w:hAnsi="Times New Roman" w:cs="Times New Roman"/>
          <w:sz w:val="24"/>
          <w:szCs w:val="24"/>
          <w:lang w:eastAsia="pt-BR"/>
        </w:rPr>
        <w:t xml:space="preserve"> (</w:t>
      </w:r>
      <w:hyperlink r:id="rId9" w:history="1">
        <w:r w:rsidR="002442CB" w:rsidRPr="002442CB">
          <w:rPr>
            <w:rFonts w:ascii="Times New Roman" w:eastAsia="Times New Roman" w:hAnsi="Times New Roman" w:cs="Times New Roman"/>
            <w:sz w:val="24"/>
            <w:szCs w:val="24"/>
            <w:lang w:eastAsia="pt-BR"/>
          </w:rPr>
          <w:t xml:space="preserve">Basel </w:t>
        </w:r>
        <w:proofErr w:type="spellStart"/>
        <w:r w:rsidR="002442CB" w:rsidRPr="002442CB">
          <w:rPr>
            <w:rFonts w:ascii="Times New Roman" w:eastAsia="Times New Roman" w:hAnsi="Times New Roman" w:cs="Times New Roman"/>
            <w:sz w:val="24"/>
            <w:szCs w:val="24"/>
            <w:lang w:eastAsia="pt-BR"/>
          </w:rPr>
          <w:t>Committee</w:t>
        </w:r>
        <w:proofErr w:type="spellEnd"/>
        <w:r w:rsidR="002442CB" w:rsidRPr="002442CB">
          <w:rPr>
            <w:rFonts w:ascii="Times New Roman" w:eastAsia="Times New Roman" w:hAnsi="Times New Roman" w:cs="Times New Roman"/>
            <w:sz w:val="24"/>
            <w:szCs w:val="24"/>
            <w:lang w:eastAsia="pt-BR"/>
          </w:rPr>
          <w:t xml:space="preserve"> </w:t>
        </w:r>
        <w:proofErr w:type="spellStart"/>
        <w:r w:rsidR="002442CB" w:rsidRPr="002442CB">
          <w:rPr>
            <w:rFonts w:ascii="Times New Roman" w:eastAsia="Times New Roman" w:hAnsi="Times New Roman" w:cs="Times New Roman"/>
            <w:sz w:val="24"/>
            <w:szCs w:val="24"/>
            <w:lang w:eastAsia="pt-BR"/>
          </w:rPr>
          <w:t>on</w:t>
        </w:r>
        <w:proofErr w:type="spellEnd"/>
        <w:r w:rsidR="002442CB" w:rsidRPr="002442CB">
          <w:rPr>
            <w:rFonts w:ascii="Times New Roman" w:eastAsia="Times New Roman" w:hAnsi="Times New Roman" w:cs="Times New Roman"/>
            <w:sz w:val="24"/>
            <w:szCs w:val="24"/>
            <w:lang w:eastAsia="pt-BR"/>
          </w:rPr>
          <w:t xml:space="preserve"> Banking </w:t>
        </w:r>
        <w:proofErr w:type="spellStart"/>
        <w:r w:rsidR="002442CB" w:rsidRPr="002442CB">
          <w:rPr>
            <w:rFonts w:ascii="Times New Roman" w:eastAsia="Times New Roman" w:hAnsi="Times New Roman" w:cs="Times New Roman"/>
            <w:sz w:val="24"/>
            <w:szCs w:val="24"/>
            <w:lang w:eastAsia="pt-BR"/>
          </w:rPr>
          <w:t>Supervisio</w:t>
        </w:r>
      </w:hyperlink>
      <w:r w:rsidR="002442CB">
        <w:rPr>
          <w:rFonts w:ascii="Times New Roman" w:eastAsia="Times New Roman" w:hAnsi="Times New Roman" w:cs="Times New Roman"/>
          <w:sz w:val="24"/>
          <w:szCs w:val="24"/>
          <w:lang w:eastAsia="pt-BR"/>
        </w:rPr>
        <w:t>n</w:t>
      </w:r>
      <w:proofErr w:type="spellEnd"/>
      <w:r w:rsidR="002442CB">
        <w:rPr>
          <w:rFonts w:ascii="Times New Roman" w:eastAsia="Times New Roman" w:hAnsi="Times New Roman" w:cs="Times New Roman"/>
          <w:sz w:val="24"/>
          <w:szCs w:val="24"/>
          <w:lang w:eastAsia="pt-BR"/>
        </w:rPr>
        <w:t>)</w:t>
      </w:r>
      <w:r w:rsidR="00B03707" w:rsidRPr="00B03707">
        <w:rPr>
          <w:rFonts w:ascii="Times New Roman" w:eastAsia="Times New Roman" w:hAnsi="Times New Roman" w:cs="Times New Roman"/>
          <w:sz w:val="24"/>
          <w:szCs w:val="24"/>
          <w:lang w:eastAsia="pt-BR"/>
        </w:rPr>
        <w:t xml:space="preserve"> propôs novas recomendações para a estrutura de capital bancária a fim de torná-la mais efetiva na absorção de perdas em caso de dificuldades financeiras além de transferir, a princípio, todo o ônus de recuperação do banco para seus investidores e proprietários, tentando evitar que essa responsabilidade recaia sobre o governo e consequentemente sobre a sociedade.  Chamado de Acordo de Basiléia III, este traz para a estrutura de capital um novo</w:t>
      </w:r>
      <w:r>
        <w:rPr>
          <w:rFonts w:ascii="Times New Roman" w:eastAsia="Times New Roman" w:hAnsi="Times New Roman" w:cs="Times New Roman"/>
          <w:sz w:val="24"/>
          <w:szCs w:val="24"/>
          <w:lang w:eastAsia="pt-BR"/>
        </w:rPr>
        <w:t xml:space="preserve"> </w:t>
      </w:r>
      <w:r w:rsidR="00B03707" w:rsidRPr="00B03707">
        <w:rPr>
          <w:rFonts w:ascii="Times New Roman" w:eastAsia="Times New Roman" w:hAnsi="Times New Roman" w:cs="Times New Roman"/>
          <w:sz w:val="24"/>
          <w:szCs w:val="24"/>
          <w:lang w:eastAsia="pt-BR"/>
        </w:rPr>
        <w:t>instrumento híbrido de capital e dívida, o contingente conversível (</w:t>
      </w:r>
      <w:proofErr w:type="spellStart"/>
      <w:r w:rsidR="00B03707" w:rsidRPr="00B03707">
        <w:rPr>
          <w:rFonts w:ascii="Times New Roman" w:eastAsia="Times New Roman" w:hAnsi="Times New Roman" w:cs="Times New Roman"/>
          <w:sz w:val="24"/>
          <w:szCs w:val="24"/>
          <w:lang w:eastAsia="pt-BR"/>
        </w:rPr>
        <w:t>Contigent</w:t>
      </w:r>
      <w:proofErr w:type="spellEnd"/>
      <w:r w:rsidR="00B03707" w:rsidRPr="00B03707">
        <w:rPr>
          <w:rFonts w:ascii="Times New Roman" w:eastAsia="Times New Roman" w:hAnsi="Times New Roman" w:cs="Times New Roman"/>
          <w:sz w:val="24"/>
          <w:szCs w:val="24"/>
          <w:lang w:eastAsia="pt-BR"/>
        </w:rPr>
        <w:t xml:space="preserve"> </w:t>
      </w:r>
      <w:proofErr w:type="spellStart"/>
      <w:r w:rsidR="00B03707" w:rsidRPr="00B03707">
        <w:rPr>
          <w:rFonts w:ascii="Times New Roman" w:eastAsia="Times New Roman" w:hAnsi="Times New Roman" w:cs="Times New Roman"/>
          <w:sz w:val="24"/>
          <w:szCs w:val="24"/>
          <w:lang w:eastAsia="pt-BR"/>
        </w:rPr>
        <w:t>Convertible</w:t>
      </w:r>
      <w:proofErr w:type="spellEnd"/>
      <w:r w:rsidR="00B03707" w:rsidRPr="00B03707">
        <w:rPr>
          <w:rFonts w:ascii="Times New Roman" w:eastAsia="Times New Roman" w:hAnsi="Times New Roman" w:cs="Times New Roman"/>
          <w:sz w:val="24"/>
          <w:szCs w:val="24"/>
          <w:lang w:eastAsia="pt-BR"/>
        </w:rPr>
        <w:t xml:space="preserve"> ou </w:t>
      </w:r>
      <w:proofErr w:type="spellStart"/>
      <w:proofErr w:type="gramStart"/>
      <w:r w:rsidR="00B03707" w:rsidRPr="00B03707">
        <w:rPr>
          <w:rFonts w:ascii="Times New Roman" w:eastAsia="Times New Roman" w:hAnsi="Times New Roman" w:cs="Times New Roman"/>
          <w:sz w:val="24"/>
          <w:szCs w:val="24"/>
          <w:lang w:eastAsia="pt-BR"/>
        </w:rPr>
        <w:t>CoCos</w:t>
      </w:r>
      <w:proofErr w:type="spellEnd"/>
      <w:proofErr w:type="gramEnd"/>
      <w:r w:rsidR="00B03707" w:rsidRPr="00B03707">
        <w:rPr>
          <w:rFonts w:ascii="Times New Roman" w:eastAsia="Times New Roman" w:hAnsi="Times New Roman" w:cs="Times New Roman"/>
          <w:sz w:val="24"/>
          <w:szCs w:val="24"/>
          <w:lang w:eastAsia="pt-BR"/>
        </w:rPr>
        <w:t xml:space="preserve"> – contingentes conversíveis na sigla em inglês</w:t>
      </w:r>
      <w:r w:rsidR="007C2A40">
        <w:rPr>
          <w:rFonts w:ascii="Times New Roman" w:eastAsia="Times New Roman" w:hAnsi="Times New Roman" w:cs="Times New Roman"/>
          <w:sz w:val="24"/>
          <w:szCs w:val="24"/>
          <w:lang w:eastAsia="pt-BR"/>
        </w:rPr>
        <w:t>, que utilizaremos a partir de agora</w:t>
      </w:r>
      <w:r w:rsidR="00B03707" w:rsidRPr="00B03707">
        <w:rPr>
          <w:rFonts w:ascii="Times New Roman" w:eastAsia="Times New Roman" w:hAnsi="Times New Roman" w:cs="Times New Roman"/>
          <w:sz w:val="24"/>
          <w:szCs w:val="24"/>
          <w:lang w:eastAsia="pt-BR"/>
        </w:rPr>
        <w:t>).</w:t>
      </w:r>
    </w:p>
    <w:p w:rsidR="00B03707" w:rsidRPr="00B03707" w:rsidRDefault="00B03707" w:rsidP="00B03707">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B03707">
        <w:rPr>
          <w:rFonts w:ascii="Times New Roman" w:eastAsia="Times New Roman" w:hAnsi="Times New Roman" w:cs="Times New Roman"/>
          <w:sz w:val="24"/>
          <w:szCs w:val="24"/>
          <w:lang w:eastAsia="pt-BR"/>
        </w:rPr>
        <w:t xml:space="preserve">O </w:t>
      </w:r>
      <w:proofErr w:type="spellStart"/>
      <w:proofErr w:type="gramStart"/>
      <w:r w:rsidR="0099005E">
        <w:rPr>
          <w:rFonts w:ascii="Times New Roman" w:eastAsia="Times New Roman" w:hAnsi="Times New Roman" w:cs="Times New Roman"/>
          <w:sz w:val="24"/>
          <w:szCs w:val="24"/>
          <w:lang w:eastAsia="pt-BR"/>
        </w:rPr>
        <w:t>CoCo</w:t>
      </w:r>
      <w:proofErr w:type="spellEnd"/>
      <w:proofErr w:type="gramEnd"/>
      <w:r w:rsidRPr="00B03707">
        <w:rPr>
          <w:rFonts w:ascii="Times New Roman" w:eastAsia="Times New Roman" w:hAnsi="Times New Roman" w:cs="Times New Roman"/>
          <w:sz w:val="24"/>
          <w:szCs w:val="24"/>
          <w:lang w:eastAsia="pt-BR"/>
        </w:rPr>
        <w:t xml:space="preserve"> foi originalmente proposto por </w:t>
      </w:r>
      <w:proofErr w:type="spellStart"/>
      <w:r w:rsidRPr="00B03707">
        <w:rPr>
          <w:rFonts w:ascii="Times New Roman" w:eastAsia="Times New Roman" w:hAnsi="Times New Roman" w:cs="Times New Roman"/>
          <w:sz w:val="24"/>
          <w:szCs w:val="24"/>
          <w:lang w:eastAsia="pt-BR"/>
        </w:rPr>
        <w:t>Flannery</w:t>
      </w:r>
      <w:proofErr w:type="spellEnd"/>
      <w:r w:rsidRPr="00B03707">
        <w:rPr>
          <w:rFonts w:ascii="Times New Roman" w:eastAsia="Times New Roman" w:hAnsi="Times New Roman" w:cs="Times New Roman"/>
          <w:sz w:val="24"/>
          <w:szCs w:val="24"/>
          <w:lang w:eastAsia="pt-BR"/>
        </w:rPr>
        <w:t xml:space="preserve"> (2005), e são dívidas subordinadas, obrigatoriamente perpétuas, entre outras particularidades, e cujas principais características são a razão e o gatilho de conversão de seu principal em ações do banco, caso este venha a sofrer dificuldades financeiras. Assim, </w:t>
      </w:r>
      <w:r w:rsidRPr="00B03707">
        <w:rPr>
          <w:rFonts w:ascii="Times New Roman" w:eastAsia="Times New Roman" w:hAnsi="Times New Roman" w:cs="Times New Roman"/>
          <w:sz w:val="24"/>
          <w:szCs w:val="24"/>
          <w:lang w:eastAsia="pt-BR"/>
        </w:rPr>
        <w:lastRenderedPageBreak/>
        <w:t xml:space="preserve">antes da conversão o </w:t>
      </w:r>
      <w:proofErr w:type="spellStart"/>
      <w:proofErr w:type="gramStart"/>
      <w:r w:rsidR="0099005E">
        <w:rPr>
          <w:rFonts w:ascii="Times New Roman" w:eastAsia="Times New Roman" w:hAnsi="Times New Roman" w:cs="Times New Roman"/>
          <w:sz w:val="24"/>
          <w:szCs w:val="24"/>
          <w:lang w:eastAsia="pt-BR"/>
        </w:rPr>
        <w:t>CoCo</w:t>
      </w:r>
      <w:proofErr w:type="spellEnd"/>
      <w:proofErr w:type="gramEnd"/>
      <w:r w:rsidRPr="00B03707">
        <w:rPr>
          <w:rFonts w:ascii="Times New Roman" w:eastAsia="Times New Roman" w:hAnsi="Times New Roman" w:cs="Times New Roman"/>
          <w:sz w:val="24"/>
          <w:szCs w:val="24"/>
          <w:lang w:eastAsia="pt-BR"/>
        </w:rPr>
        <w:t xml:space="preserve"> se comporta como uma dívida subordinada comum, pagando um cupom periódico, porém em seu contrato é definido um gatilho de conversão da dívida, que pode ser uma medida contábil (BCBS, 2010; </w:t>
      </w:r>
      <w:proofErr w:type="spellStart"/>
      <w:r w:rsidRPr="00B03707">
        <w:rPr>
          <w:rFonts w:ascii="Times New Roman" w:eastAsia="Times New Roman" w:hAnsi="Times New Roman" w:cs="Times New Roman"/>
          <w:sz w:val="24"/>
          <w:szCs w:val="24"/>
          <w:lang w:eastAsia="pt-BR"/>
        </w:rPr>
        <w:t>Glasserman</w:t>
      </w:r>
      <w:proofErr w:type="spellEnd"/>
      <w:r w:rsidRPr="00B03707">
        <w:rPr>
          <w:rFonts w:ascii="Times New Roman" w:eastAsia="Times New Roman" w:hAnsi="Times New Roman" w:cs="Times New Roman"/>
          <w:sz w:val="24"/>
          <w:szCs w:val="24"/>
          <w:lang w:eastAsia="pt-BR"/>
        </w:rPr>
        <w:t xml:space="preserve">; </w:t>
      </w:r>
      <w:proofErr w:type="spellStart"/>
      <w:r w:rsidRPr="00B03707">
        <w:rPr>
          <w:rFonts w:ascii="Times New Roman" w:eastAsia="Times New Roman" w:hAnsi="Times New Roman" w:cs="Times New Roman"/>
          <w:sz w:val="24"/>
          <w:szCs w:val="24"/>
          <w:lang w:eastAsia="pt-BR"/>
        </w:rPr>
        <w:t>Nouri</w:t>
      </w:r>
      <w:proofErr w:type="spellEnd"/>
      <w:r w:rsidRPr="00B03707">
        <w:rPr>
          <w:rFonts w:ascii="Times New Roman" w:eastAsia="Times New Roman" w:hAnsi="Times New Roman" w:cs="Times New Roman"/>
          <w:sz w:val="24"/>
          <w:szCs w:val="24"/>
          <w:lang w:eastAsia="pt-BR"/>
        </w:rPr>
        <w:t>, 2010), ou de valor de mercado das ações do banco (</w:t>
      </w:r>
      <w:proofErr w:type="spellStart"/>
      <w:r w:rsidRPr="00B03707">
        <w:rPr>
          <w:rFonts w:ascii="Times New Roman" w:eastAsia="Times New Roman" w:hAnsi="Times New Roman" w:cs="Times New Roman"/>
          <w:sz w:val="24"/>
          <w:szCs w:val="24"/>
          <w:lang w:eastAsia="pt-BR"/>
        </w:rPr>
        <w:t>Flannery</w:t>
      </w:r>
      <w:proofErr w:type="spellEnd"/>
      <w:r w:rsidRPr="00B03707">
        <w:rPr>
          <w:rFonts w:ascii="Times New Roman" w:eastAsia="Times New Roman" w:hAnsi="Times New Roman" w:cs="Times New Roman"/>
          <w:sz w:val="24"/>
          <w:szCs w:val="24"/>
          <w:lang w:eastAsia="pt-BR"/>
        </w:rPr>
        <w:t xml:space="preserve">, 2005; </w:t>
      </w:r>
      <w:proofErr w:type="spellStart"/>
      <w:r w:rsidRPr="00B03707">
        <w:rPr>
          <w:rFonts w:ascii="Times New Roman" w:eastAsia="Times New Roman" w:hAnsi="Times New Roman" w:cs="Times New Roman"/>
          <w:sz w:val="24"/>
          <w:szCs w:val="24"/>
          <w:lang w:eastAsia="pt-BR"/>
        </w:rPr>
        <w:t>Calomiris</w:t>
      </w:r>
      <w:proofErr w:type="spellEnd"/>
      <w:r w:rsidRPr="00B03707">
        <w:rPr>
          <w:rFonts w:ascii="Times New Roman" w:eastAsia="Times New Roman" w:hAnsi="Times New Roman" w:cs="Times New Roman"/>
          <w:sz w:val="24"/>
          <w:szCs w:val="24"/>
          <w:lang w:eastAsia="pt-BR"/>
        </w:rPr>
        <w:t xml:space="preserve">, 2011) entre outras metodologias. Também é definida a razão de conversão onde, uma vez que o banco entra em dificuldades financeiras e toca a barreira mínima definida no contrato, o gatilho é disparado, e parte ou todo o valor do principal se transforma automaticamente em capital do banco e o investidor, por sua vez recebe o principal em ações do banco. Existem casos em que o contrato especifica que a conversão será somente para o banco, ou seja, a dívida é convertida em capital para o banco e é extinta para o investidor. </w:t>
      </w:r>
    </w:p>
    <w:p w:rsidR="00B03707" w:rsidRDefault="00B03707" w:rsidP="00B03707">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B03707">
        <w:rPr>
          <w:rFonts w:ascii="Times New Roman" w:eastAsia="Times New Roman" w:hAnsi="Times New Roman" w:cs="Times New Roman"/>
          <w:sz w:val="24"/>
          <w:szCs w:val="24"/>
          <w:lang w:eastAsia="pt-BR"/>
        </w:rPr>
        <w:t xml:space="preserve">A grande vantagem dos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B03707">
        <w:rPr>
          <w:rFonts w:ascii="Times New Roman" w:eastAsia="Times New Roman" w:hAnsi="Times New Roman" w:cs="Times New Roman"/>
          <w:sz w:val="24"/>
          <w:szCs w:val="24"/>
          <w:lang w:eastAsia="pt-BR"/>
        </w:rPr>
        <w:t xml:space="preserve"> é a “</w:t>
      </w:r>
      <w:proofErr w:type="spellStart"/>
      <w:r w:rsidRPr="00B03707">
        <w:rPr>
          <w:rFonts w:ascii="Times New Roman" w:eastAsia="Times New Roman" w:hAnsi="Times New Roman" w:cs="Times New Roman"/>
          <w:sz w:val="24"/>
          <w:szCs w:val="24"/>
          <w:lang w:eastAsia="pt-BR"/>
        </w:rPr>
        <w:t>recapitalização</w:t>
      </w:r>
      <w:proofErr w:type="spellEnd"/>
      <w:r w:rsidRPr="00B03707">
        <w:rPr>
          <w:rFonts w:ascii="Times New Roman" w:eastAsia="Times New Roman" w:hAnsi="Times New Roman" w:cs="Times New Roman"/>
          <w:sz w:val="24"/>
          <w:szCs w:val="24"/>
          <w:lang w:eastAsia="pt-BR"/>
        </w:rPr>
        <w:t xml:space="preserve">” automática com baixo custo. Porém, é preciso que o contrato ou a regulamentação que define o </w:t>
      </w:r>
      <w:proofErr w:type="spellStart"/>
      <w:proofErr w:type="gramStart"/>
      <w:r w:rsidR="0099005E">
        <w:rPr>
          <w:rFonts w:ascii="Times New Roman" w:eastAsia="Times New Roman" w:hAnsi="Times New Roman" w:cs="Times New Roman"/>
          <w:sz w:val="24"/>
          <w:szCs w:val="24"/>
          <w:lang w:eastAsia="pt-BR"/>
        </w:rPr>
        <w:t>CoCo</w:t>
      </w:r>
      <w:proofErr w:type="spellEnd"/>
      <w:proofErr w:type="gramEnd"/>
      <w:r w:rsidRPr="00B03707">
        <w:rPr>
          <w:rFonts w:ascii="Times New Roman" w:eastAsia="Times New Roman" w:hAnsi="Times New Roman" w:cs="Times New Roman"/>
          <w:sz w:val="24"/>
          <w:szCs w:val="24"/>
          <w:lang w:eastAsia="pt-BR"/>
        </w:rPr>
        <w:t xml:space="preserve"> e principalmente suas cláusulas de conversão estejam muito bem definidos, a fim de mitigar os problemas de risco moral que eles podem trazer. </w:t>
      </w:r>
    </w:p>
    <w:p w:rsidR="000E437B" w:rsidRDefault="000E437B" w:rsidP="00974113">
      <w:pPr>
        <w:pStyle w:val="PargrafodaLista"/>
        <w:keepNext/>
        <w:keepLines/>
        <w:numPr>
          <w:ilvl w:val="0"/>
          <w:numId w:val="20"/>
        </w:numPr>
        <w:spacing w:after="120" w:line="240" w:lineRule="auto"/>
        <w:ind w:left="450" w:hanging="450"/>
        <w:outlineLvl w:val="0"/>
        <w:rPr>
          <w:rFonts w:ascii="Times New Roman" w:eastAsiaTheme="majorEastAsia" w:hAnsi="Times New Roman" w:cs="Times New Roman"/>
          <w:b/>
          <w:bCs/>
          <w:sz w:val="24"/>
          <w:szCs w:val="28"/>
        </w:rPr>
      </w:pPr>
      <w:bookmarkStart w:id="2" w:name="_Toc390075546"/>
      <w:r w:rsidRPr="000F1D00">
        <w:rPr>
          <w:rFonts w:ascii="Times New Roman" w:eastAsiaTheme="majorEastAsia" w:hAnsi="Times New Roman" w:cs="Times New Roman"/>
          <w:b/>
          <w:bCs/>
          <w:sz w:val="24"/>
          <w:szCs w:val="28"/>
        </w:rPr>
        <w:t>REVISÃO BIBLIOGRÁFICA</w:t>
      </w:r>
      <w:bookmarkEnd w:id="2"/>
    </w:p>
    <w:p w:rsidR="00B03707" w:rsidRDefault="002442CB" w:rsidP="00B03707">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w:t>
      </w:r>
      <w:r w:rsidR="00B03707">
        <w:rPr>
          <w:rFonts w:ascii="Times New Roman" w:eastAsia="Times New Roman" w:hAnsi="Times New Roman" w:cs="Times New Roman"/>
          <w:sz w:val="24"/>
          <w:szCs w:val="24"/>
          <w:lang w:eastAsia="pt-BR"/>
        </w:rPr>
        <w:t xml:space="preserve">omando o </w:t>
      </w:r>
      <w:r w:rsidR="00B03707" w:rsidRPr="007D0F0E">
        <w:rPr>
          <w:rFonts w:ascii="Times New Roman" w:eastAsia="Times New Roman" w:hAnsi="Times New Roman" w:cs="Times New Roman"/>
          <w:sz w:val="24"/>
          <w:szCs w:val="24"/>
          <w:lang w:eastAsia="pt-BR"/>
        </w:rPr>
        <w:t>excesso de capital como implícito</w:t>
      </w:r>
      <w:r w:rsidR="00B03707">
        <w:rPr>
          <w:rFonts w:ascii="Times New Roman" w:eastAsia="Times New Roman" w:hAnsi="Times New Roman" w:cs="Times New Roman"/>
          <w:sz w:val="24"/>
          <w:szCs w:val="24"/>
          <w:lang w:eastAsia="pt-BR"/>
        </w:rPr>
        <w:t xml:space="preserve">, estamos interessados em </w:t>
      </w:r>
      <w:proofErr w:type="gramStart"/>
      <w:r w:rsidR="00B03707">
        <w:rPr>
          <w:rFonts w:ascii="Times New Roman" w:eastAsia="Times New Roman" w:hAnsi="Times New Roman" w:cs="Times New Roman"/>
          <w:sz w:val="24"/>
          <w:szCs w:val="24"/>
          <w:lang w:eastAsia="pt-BR"/>
        </w:rPr>
        <w:t>otimizar</w:t>
      </w:r>
      <w:proofErr w:type="gramEnd"/>
      <w:r w:rsidR="00B03707">
        <w:rPr>
          <w:rFonts w:ascii="Times New Roman" w:eastAsia="Times New Roman" w:hAnsi="Times New Roman" w:cs="Times New Roman"/>
          <w:sz w:val="24"/>
          <w:szCs w:val="24"/>
          <w:lang w:eastAsia="pt-BR"/>
        </w:rPr>
        <w:t xml:space="preserve"> a quantidade em excesso e a qualidade do capital como um todo</w:t>
      </w:r>
      <w:r w:rsidR="006D7EC8">
        <w:rPr>
          <w:rFonts w:ascii="Times New Roman" w:eastAsia="Times New Roman" w:hAnsi="Times New Roman" w:cs="Times New Roman"/>
          <w:sz w:val="24"/>
          <w:szCs w:val="24"/>
          <w:lang w:eastAsia="pt-BR"/>
        </w:rPr>
        <w:t xml:space="preserve">, para parte representativo do </w:t>
      </w:r>
      <w:r w:rsidR="00042906">
        <w:rPr>
          <w:rFonts w:ascii="Times New Roman" w:eastAsia="Times New Roman" w:hAnsi="Times New Roman" w:cs="Times New Roman"/>
          <w:sz w:val="24"/>
          <w:szCs w:val="24"/>
          <w:lang w:eastAsia="pt-BR"/>
        </w:rPr>
        <w:t xml:space="preserve">Sistema Financeiro do </w:t>
      </w:r>
      <w:r w:rsidR="006D7EC8">
        <w:rPr>
          <w:rFonts w:ascii="Times New Roman" w:eastAsia="Times New Roman" w:hAnsi="Times New Roman" w:cs="Times New Roman"/>
          <w:sz w:val="24"/>
          <w:szCs w:val="24"/>
          <w:lang w:eastAsia="pt-BR"/>
        </w:rPr>
        <w:t>Brasil</w:t>
      </w:r>
      <w:r w:rsidR="00B03707">
        <w:rPr>
          <w:rFonts w:ascii="Times New Roman" w:eastAsia="Times New Roman" w:hAnsi="Times New Roman" w:cs="Times New Roman"/>
          <w:sz w:val="24"/>
          <w:szCs w:val="24"/>
          <w:lang w:eastAsia="pt-BR"/>
        </w:rPr>
        <w:t>.</w:t>
      </w:r>
      <w:r w:rsidR="00B03707" w:rsidRPr="007D0F0E">
        <w:rPr>
          <w:rFonts w:ascii="Times New Roman" w:eastAsia="Times New Roman" w:hAnsi="Times New Roman" w:cs="Times New Roman"/>
          <w:sz w:val="24"/>
          <w:szCs w:val="24"/>
          <w:lang w:eastAsia="pt-BR"/>
        </w:rPr>
        <w:t xml:space="preserve"> </w:t>
      </w:r>
    </w:p>
    <w:p w:rsidR="00974113" w:rsidRPr="00974113" w:rsidRDefault="00B03707" w:rsidP="009777BD">
      <w:pPr>
        <w:autoSpaceDE w:val="0"/>
        <w:autoSpaceDN w:val="0"/>
        <w:adjustRightInd w:val="0"/>
        <w:spacing w:after="120" w:line="240" w:lineRule="auto"/>
        <w:jc w:val="both"/>
        <w:rPr>
          <w:rFonts w:ascii="Times New Roman" w:eastAsiaTheme="majorEastAsia" w:hAnsi="Times New Roman" w:cs="Times New Roman"/>
          <w:b/>
          <w:bCs/>
          <w:sz w:val="24"/>
          <w:szCs w:val="28"/>
        </w:rPr>
      </w:pPr>
      <w:r>
        <w:rPr>
          <w:rFonts w:ascii="Times New Roman" w:eastAsia="Times New Roman" w:hAnsi="Times New Roman" w:cs="Times New Roman"/>
          <w:sz w:val="24"/>
          <w:szCs w:val="24"/>
          <w:lang w:eastAsia="pt-BR"/>
        </w:rPr>
        <w:t xml:space="preserve">Nosso trabalho é baseado na metodologia </w:t>
      </w:r>
      <w:r w:rsidR="00A034B7">
        <w:rPr>
          <w:rFonts w:ascii="Times New Roman" w:eastAsia="Times New Roman" w:hAnsi="Times New Roman" w:cs="Times New Roman"/>
          <w:sz w:val="24"/>
          <w:szCs w:val="24"/>
          <w:lang w:eastAsia="pt-BR"/>
        </w:rPr>
        <w:t>de</w:t>
      </w:r>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K</w:t>
      </w:r>
      <w:r w:rsidRPr="00B03707">
        <w:rPr>
          <w:rFonts w:ascii="Times New Roman" w:eastAsia="Times New Roman" w:hAnsi="Times New Roman" w:cs="Times New Roman"/>
          <w:sz w:val="24"/>
          <w:szCs w:val="24"/>
          <w:lang w:eastAsia="pt-BR"/>
        </w:rPr>
        <w:t>oziol</w:t>
      </w:r>
      <w:proofErr w:type="spellEnd"/>
      <w:r w:rsidRPr="00B03707">
        <w:rPr>
          <w:rFonts w:ascii="Times New Roman" w:eastAsia="Times New Roman" w:hAnsi="Times New Roman" w:cs="Times New Roman"/>
          <w:sz w:val="24"/>
          <w:szCs w:val="24"/>
          <w:lang w:eastAsia="pt-BR"/>
        </w:rPr>
        <w:t xml:space="preserve"> e </w:t>
      </w:r>
      <w:proofErr w:type="spellStart"/>
      <w:r w:rsidRPr="00B03707">
        <w:rPr>
          <w:rFonts w:ascii="Times New Roman" w:eastAsia="Times New Roman" w:hAnsi="Times New Roman" w:cs="Times New Roman"/>
          <w:sz w:val="24"/>
          <w:szCs w:val="24"/>
          <w:lang w:eastAsia="pt-BR"/>
        </w:rPr>
        <w:t>Lawrenz</w:t>
      </w:r>
      <w:proofErr w:type="spellEnd"/>
      <w:r w:rsidRPr="00B03707">
        <w:rPr>
          <w:rFonts w:ascii="Times New Roman" w:eastAsia="Times New Roman" w:hAnsi="Times New Roman" w:cs="Times New Roman"/>
          <w:sz w:val="24"/>
          <w:szCs w:val="24"/>
          <w:lang w:eastAsia="pt-BR"/>
        </w:rPr>
        <w:t xml:space="preserve"> (2011), </w:t>
      </w:r>
      <w:r w:rsidR="00771C32">
        <w:rPr>
          <w:rFonts w:ascii="Times New Roman" w:eastAsia="Times New Roman" w:hAnsi="Times New Roman" w:cs="Times New Roman"/>
          <w:sz w:val="24"/>
          <w:szCs w:val="24"/>
          <w:lang w:eastAsia="pt-BR"/>
        </w:rPr>
        <w:t>q</w:t>
      </w:r>
      <w:r w:rsidR="00A034B7">
        <w:rPr>
          <w:rFonts w:ascii="Times New Roman" w:eastAsia="Times New Roman" w:hAnsi="Times New Roman" w:cs="Times New Roman"/>
          <w:sz w:val="24"/>
          <w:szCs w:val="24"/>
          <w:lang w:eastAsia="pt-BR"/>
        </w:rPr>
        <w:t>ue</w:t>
      </w:r>
      <w:r w:rsidR="006D7EC8">
        <w:rPr>
          <w:rFonts w:ascii="Times New Roman" w:eastAsia="Times New Roman" w:hAnsi="Times New Roman" w:cs="Times New Roman"/>
          <w:sz w:val="24"/>
          <w:szCs w:val="24"/>
          <w:lang w:eastAsia="pt-BR"/>
        </w:rPr>
        <w:t xml:space="preserve"> </w:t>
      </w:r>
      <w:r w:rsidRPr="00B03707">
        <w:rPr>
          <w:rFonts w:ascii="Times New Roman" w:eastAsia="Times New Roman" w:hAnsi="Times New Roman" w:cs="Times New Roman"/>
          <w:sz w:val="24"/>
          <w:szCs w:val="24"/>
          <w:lang w:eastAsia="pt-BR"/>
        </w:rPr>
        <w:t xml:space="preserve">estima a quantidade ótima de dívidas subordinadas que o banco deveria ter e, estabelece algumas relações entre uma estrutura de capital com e sem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B03707">
        <w:rPr>
          <w:rFonts w:ascii="Times New Roman" w:eastAsia="Times New Roman" w:hAnsi="Times New Roman" w:cs="Times New Roman"/>
          <w:sz w:val="24"/>
          <w:szCs w:val="24"/>
          <w:lang w:eastAsia="pt-BR"/>
        </w:rPr>
        <w:t xml:space="preserve">, através do valor do banco. Assim, os bancos que possuem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B03707">
        <w:rPr>
          <w:rFonts w:ascii="Times New Roman" w:eastAsia="Times New Roman" w:hAnsi="Times New Roman" w:cs="Times New Roman"/>
          <w:sz w:val="24"/>
          <w:szCs w:val="24"/>
          <w:lang w:eastAsia="pt-BR"/>
        </w:rPr>
        <w:t xml:space="preserve"> devem ter um maior valor. Do ponto de vista econômico, isto é verdade pelo fato de que, </w:t>
      </w:r>
      <w:r w:rsidR="00187333">
        <w:rPr>
          <w:rFonts w:ascii="Times New Roman" w:eastAsia="Times New Roman" w:hAnsi="Times New Roman" w:cs="Times New Roman"/>
          <w:sz w:val="24"/>
          <w:szCs w:val="24"/>
          <w:lang w:eastAsia="pt-BR"/>
        </w:rPr>
        <w:t>títulos</w:t>
      </w:r>
      <w:r w:rsidRPr="00B03707">
        <w:rPr>
          <w:rFonts w:ascii="Times New Roman" w:eastAsia="Times New Roman" w:hAnsi="Times New Roman" w:cs="Times New Roman"/>
          <w:sz w:val="24"/>
          <w:szCs w:val="24"/>
          <w:lang w:eastAsia="pt-BR"/>
        </w:rPr>
        <w:t xml:space="preserve"> com cupons mais altos produzem benefícios fiscais maiores e no caso de dificuldades financeiras, o banco não irá sofrer custos, dado que a dívida se converterá em capital social. Assim, benefícios fiscais adicionais são criados pelos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B03707">
        <w:rPr>
          <w:rFonts w:ascii="Times New Roman" w:eastAsia="Times New Roman" w:hAnsi="Times New Roman" w:cs="Times New Roman"/>
          <w:sz w:val="24"/>
          <w:szCs w:val="24"/>
          <w:lang w:eastAsia="pt-BR"/>
        </w:rPr>
        <w:t xml:space="preserve">, sem aumentar o risco e a probabilidade de falhas. Porém, isso só acontece nos modelos </w:t>
      </w:r>
      <w:r w:rsidR="006D7EC8">
        <w:rPr>
          <w:rFonts w:ascii="Times New Roman" w:eastAsia="Times New Roman" w:hAnsi="Times New Roman" w:cs="Times New Roman"/>
          <w:sz w:val="24"/>
          <w:szCs w:val="24"/>
          <w:lang w:eastAsia="pt-BR"/>
        </w:rPr>
        <w:t xml:space="preserve">chamados de </w:t>
      </w:r>
      <w:r w:rsidRPr="00B03707">
        <w:rPr>
          <w:rFonts w:ascii="Times New Roman" w:eastAsia="Times New Roman" w:hAnsi="Times New Roman" w:cs="Times New Roman"/>
          <w:sz w:val="24"/>
          <w:szCs w:val="24"/>
          <w:lang w:eastAsia="pt-BR"/>
        </w:rPr>
        <w:t xml:space="preserve">contratos completos, onde </w:t>
      </w:r>
      <w:r w:rsidR="002B4417">
        <w:rPr>
          <w:rFonts w:ascii="Times New Roman" w:eastAsia="Times New Roman" w:hAnsi="Times New Roman" w:cs="Times New Roman"/>
          <w:sz w:val="24"/>
          <w:szCs w:val="24"/>
          <w:lang w:eastAsia="pt-BR"/>
        </w:rPr>
        <w:t>a</w:t>
      </w:r>
      <w:r w:rsidRPr="00B03707">
        <w:rPr>
          <w:rFonts w:ascii="Times New Roman" w:eastAsia="Times New Roman" w:hAnsi="Times New Roman" w:cs="Times New Roman"/>
          <w:sz w:val="24"/>
          <w:szCs w:val="24"/>
          <w:lang w:eastAsia="pt-BR"/>
        </w:rPr>
        <w:t xml:space="preserve"> contratação segue Basiléia III e, portanto tem barreira de conversão e especificações de extinção ou conversão da </w:t>
      </w:r>
      <w:proofErr w:type="gramStart"/>
      <w:r w:rsidRPr="00B03707">
        <w:rPr>
          <w:rFonts w:ascii="Times New Roman" w:eastAsia="Times New Roman" w:hAnsi="Times New Roman" w:cs="Times New Roman"/>
          <w:sz w:val="24"/>
          <w:szCs w:val="24"/>
          <w:lang w:eastAsia="pt-BR"/>
        </w:rPr>
        <w:t>dívida muito bem definidos</w:t>
      </w:r>
      <w:proofErr w:type="gramEnd"/>
      <w:r w:rsidRPr="00B03707">
        <w:rPr>
          <w:rFonts w:ascii="Times New Roman" w:eastAsia="Times New Roman" w:hAnsi="Times New Roman" w:cs="Times New Roman"/>
          <w:sz w:val="24"/>
          <w:szCs w:val="24"/>
          <w:lang w:eastAsia="pt-BR"/>
        </w:rPr>
        <w:t>. Já nos casos em que os contratos não seguem as regras de Basiléia, estes instrumentos podem se tornar perigosos</w:t>
      </w:r>
      <w:r w:rsidR="002B4417">
        <w:rPr>
          <w:rFonts w:ascii="Times New Roman" w:eastAsia="Times New Roman" w:hAnsi="Times New Roman" w:cs="Times New Roman"/>
          <w:sz w:val="24"/>
          <w:szCs w:val="24"/>
          <w:lang w:eastAsia="pt-BR"/>
        </w:rPr>
        <w:t>,</w:t>
      </w:r>
      <w:r w:rsidRPr="00B03707">
        <w:rPr>
          <w:rFonts w:ascii="Times New Roman" w:eastAsia="Times New Roman" w:hAnsi="Times New Roman" w:cs="Times New Roman"/>
          <w:sz w:val="24"/>
          <w:szCs w:val="24"/>
          <w:lang w:eastAsia="pt-BR"/>
        </w:rPr>
        <w:t xml:space="preserve"> para os investidores </w:t>
      </w:r>
      <w:r w:rsidR="002B4417">
        <w:rPr>
          <w:rFonts w:ascii="Times New Roman" w:eastAsia="Times New Roman" w:hAnsi="Times New Roman" w:cs="Times New Roman"/>
          <w:sz w:val="24"/>
          <w:szCs w:val="24"/>
          <w:lang w:eastAsia="pt-BR"/>
        </w:rPr>
        <w:t>e</w:t>
      </w:r>
      <w:r w:rsidRPr="00B03707">
        <w:rPr>
          <w:rFonts w:ascii="Times New Roman" w:eastAsia="Times New Roman" w:hAnsi="Times New Roman" w:cs="Times New Roman"/>
          <w:sz w:val="24"/>
          <w:szCs w:val="24"/>
          <w:lang w:eastAsia="pt-BR"/>
        </w:rPr>
        <w:t xml:space="preserve"> bancos. Ambos podem sofrer perdas por conversões antecipadas ou conduzidas por decisões da administração em beneficio próprio</w:t>
      </w:r>
      <w:r w:rsidR="00A034B7">
        <w:rPr>
          <w:rFonts w:ascii="Times New Roman" w:eastAsia="Times New Roman" w:hAnsi="Times New Roman" w:cs="Times New Roman"/>
          <w:sz w:val="24"/>
          <w:szCs w:val="24"/>
          <w:lang w:eastAsia="pt-BR"/>
        </w:rPr>
        <w:t xml:space="preserve"> gerando</w:t>
      </w:r>
      <w:r w:rsidRPr="00B03707">
        <w:rPr>
          <w:rFonts w:ascii="Times New Roman" w:eastAsia="Times New Roman" w:hAnsi="Times New Roman" w:cs="Times New Roman"/>
          <w:sz w:val="24"/>
          <w:szCs w:val="24"/>
          <w:lang w:eastAsia="pt-BR"/>
        </w:rPr>
        <w:t xml:space="preserve"> n</w:t>
      </w:r>
      <w:r w:rsidR="00D41154">
        <w:rPr>
          <w:rFonts w:ascii="Times New Roman" w:eastAsia="Times New Roman" w:hAnsi="Times New Roman" w:cs="Times New Roman"/>
          <w:sz w:val="24"/>
          <w:szCs w:val="24"/>
          <w:lang w:eastAsia="pt-BR"/>
        </w:rPr>
        <w:t>ovas crises financeiras. Assim,</w:t>
      </w:r>
      <w:r w:rsidRPr="00B03707">
        <w:rPr>
          <w:rFonts w:ascii="Times New Roman" w:eastAsia="Times New Roman" w:hAnsi="Times New Roman" w:cs="Times New Roman"/>
          <w:sz w:val="24"/>
          <w:szCs w:val="24"/>
          <w:lang w:eastAsia="pt-BR"/>
        </w:rPr>
        <w:t xml:space="preserve"> eles concluem que os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B03707">
        <w:rPr>
          <w:rFonts w:ascii="Times New Roman" w:eastAsia="Times New Roman" w:hAnsi="Times New Roman" w:cs="Times New Roman"/>
          <w:sz w:val="24"/>
          <w:szCs w:val="24"/>
          <w:lang w:eastAsia="pt-BR"/>
        </w:rPr>
        <w:t xml:space="preserve"> garantem uma melhor capitalização dos bancos, mas somente </w:t>
      </w:r>
      <w:r w:rsidR="00A034B7">
        <w:rPr>
          <w:rFonts w:ascii="Times New Roman" w:eastAsia="Times New Roman" w:hAnsi="Times New Roman" w:cs="Times New Roman"/>
          <w:sz w:val="24"/>
          <w:szCs w:val="24"/>
          <w:lang w:eastAsia="pt-BR"/>
        </w:rPr>
        <w:t>com</w:t>
      </w:r>
      <w:r w:rsidRPr="00B03707">
        <w:rPr>
          <w:rFonts w:ascii="Times New Roman" w:eastAsia="Times New Roman" w:hAnsi="Times New Roman" w:cs="Times New Roman"/>
          <w:sz w:val="24"/>
          <w:szCs w:val="24"/>
          <w:lang w:eastAsia="pt-BR"/>
        </w:rPr>
        <w:t xml:space="preserve"> rígidas regulamentações</w:t>
      </w:r>
      <w:r w:rsidR="00187333">
        <w:rPr>
          <w:rFonts w:ascii="Times New Roman" w:eastAsia="Times New Roman" w:hAnsi="Times New Roman" w:cs="Times New Roman"/>
          <w:sz w:val="24"/>
          <w:szCs w:val="24"/>
          <w:lang w:eastAsia="pt-BR"/>
        </w:rPr>
        <w:t>.</w:t>
      </w:r>
    </w:p>
    <w:p w:rsidR="00974113" w:rsidRDefault="00974113" w:rsidP="00974113">
      <w:pPr>
        <w:pStyle w:val="PargrafodaLista"/>
        <w:keepNext/>
        <w:keepLines/>
        <w:numPr>
          <w:ilvl w:val="1"/>
          <w:numId w:val="20"/>
        </w:numPr>
        <w:spacing w:after="120" w:line="240" w:lineRule="auto"/>
        <w:outlineLvl w:val="0"/>
        <w:rPr>
          <w:rFonts w:ascii="Times New Roman" w:eastAsiaTheme="majorEastAsia" w:hAnsi="Times New Roman" w:cs="Times New Roman"/>
          <w:b/>
          <w:bCs/>
          <w:sz w:val="24"/>
          <w:szCs w:val="28"/>
        </w:rPr>
      </w:pPr>
      <w:r w:rsidRPr="000F1D00">
        <w:rPr>
          <w:rFonts w:ascii="Times New Roman" w:eastAsiaTheme="majorEastAsia" w:hAnsi="Times New Roman" w:cs="Times New Roman"/>
          <w:b/>
          <w:bCs/>
          <w:sz w:val="24"/>
          <w:szCs w:val="28"/>
        </w:rPr>
        <w:t xml:space="preserve">Basiléia III, Estrutura </w:t>
      </w:r>
      <w:proofErr w:type="gramStart"/>
      <w:r w:rsidRPr="000F1D00">
        <w:rPr>
          <w:rFonts w:ascii="Times New Roman" w:eastAsiaTheme="majorEastAsia" w:hAnsi="Times New Roman" w:cs="Times New Roman"/>
          <w:b/>
          <w:bCs/>
          <w:sz w:val="24"/>
          <w:szCs w:val="28"/>
        </w:rPr>
        <w:t>de Capital e Contingentes Conversíveis no Brasil</w:t>
      </w:r>
      <w:proofErr w:type="gramEnd"/>
    </w:p>
    <w:p w:rsidR="00B0077F" w:rsidRPr="00BE6974" w:rsidRDefault="000E437B" w:rsidP="00D41154">
      <w:pPr>
        <w:autoSpaceDE w:val="0"/>
        <w:autoSpaceDN w:val="0"/>
        <w:adjustRightInd w:val="0"/>
        <w:spacing w:after="120" w:line="240" w:lineRule="auto"/>
        <w:jc w:val="both"/>
        <w:rPr>
          <w:sz w:val="18"/>
        </w:rPr>
      </w:pPr>
      <w:r w:rsidRPr="000441E4">
        <w:rPr>
          <w:rFonts w:ascii="Times New Roman" w:eastAsia="Times New Roman" w:hAnsi="Times New Roman" w:cs="Times New Roman"/>
          <w:sz w:val="24"/>
          <w:szCs w:val="24"/>
          <w:lang w:eastAsia="pt-BR"/>
        </w:rPr>
        <w:t>O Brasil aderiu às regulamentações de Basiléia em 1994. Em 1997</w:t>
      </w:r>
      <w:r w:rsidR="00BA397A" w:rsidRPr="000441E4">
        <w:rPr>
          <w:rFonts w:ascii="Times New Roman" w:eastAsia="Times New Roman" w:hAnsi="Times New Roman" w:cs="Times New Roman"/>
          <w:sz w:val="24"/>
          <w:szCs w:val="24"/>
          <w:lang w:eastAsia="pt-BR"/>
        </w:rPr>
        <w:t>,</w:t>
      </w:r>
      <w:r w:rsidRPr="000441E4">
        <w:rPr>
          <w:rFonts w:ascii="Times New Roman" w:eastAsia="Times New Roman" w:hAnsi="Times New Roman" w:cs="Times New Roman"/>
          <w:sz w:val="24"/>
          <w:szCs w:val="24"/>
          <w:lang w:eastAsia="pt-BR"/>
        </w:rPr>
        <w:t xml:space="preserve"> com a estabilização do Plano Real e da economia brasileira</w:t>
      </w:r>
      <w:r w:rsidR="00BA397A" w:rsidRPr="000441E4">
        <w:rPr>
          <w:rFonts w:ascii="Times New Roman" w:eastAsia="Times New Roman" w:hAnsi="Times New Roman" w:cs="Times New Roman"/>
          <w:sz w:val="24"/>
          <w:szCs w:val="24"/>
          <w:lang w:eastAsia="pt-BR"/>
        </w:rPr>
        <w:t>,</w:t>
      </w:r>
      <w:r w:rsidRPr="000441E4">
        <w:rPr>
          <w:rFonts w:ascii="Times New Roman" w:eastAsia="Times New Roman" w:hAnsi="Times New Roman" w:cs="Times New Roman"/>
          <w:sz w:val="24"/>
          <w:szCs w:val="24"/>
          <w:lang w:eastAsia="pt-BR"/>
        </w:rPr>
        <w:t xml:space="preserve"> o Banco Central do Brasil optou por uma posição mais conservadora em relação ao índice mínimo de Basiléia</w:t>
      </w:r>
      <w:r w:rsidR="00BA397A" w:rsidRPr="000441E4">
        <w:rPr>
          <w:rFonts w:ascii="Times New Roman" w:eastAsia="Times New Roman" w:hAnsi="Times New Roman" w:cs="Times New Roman"/>
          <w:sz w:val="24"/>
          <w:szCs w:val="24"/>
          <w:lang w:eastAsia="pt-BR"/>
        </w:rPr>
        <w:t>, aumentando o capital mínimo re</w:t>
      </w:r>
      <w:r w:rsidRPr="000441E4">
        <w:rPr>
          <w:rFonts w:ascii="Times New Roman" w:eastAsia="Times New Roman" w:hAnsi="Times New Roman" w:cs="Times New Roman"/>
          <w:sz w:val="24"/>
          <w:szCs w:val="24"/>
          <w:lang w:eastAsia="pt-BR"/>
        </w:rPr>
        <w:t>querido de 8% para 11% do RWA, ou seja, 3,75 pontos percentuais acima do mínimo recomendado pelo BCBS.</w:t>
      </w:r>
      <w:r w:rsidR="00154E56" w:rsidRPr="000441E4">
        <w:rPr>
          <w:rFonts w:ascii="Times New Roman" w:eastAsia="Times New Roman" w:hAnsi="Times New Roman" w:cs="Times New Roman"/>
          <w:sz w:val="24"/>
          <w:szCs w:val="24"/>
          <w:lang w:eastAsia="pt-BR"/>
        </w:rPr>
        <w:t xml:space="preserve"> Mesmo percentual adotado pelo novo acordo de Basiléia III, que trouxe também </w:t>
      </w:r>
      <w:r w:rsidRPr="000441E4">
        <w:rPr>
          <w:rFonts w:ascii="Times New Roman" w:eastAsia="Times New Roman" w:hAnsi="Times New Roman" w:cs="Times New Roman"/>
          <w:sz w:val="24"/>
          <w:szCs w:val="24"/>
          <w:lang w:eastAsia="pt-BR"/>
        </w:rPr>
        <w:t xml:space="preserve">uma nova proposta de composição de capital para o </w:t>
      </w:r>
      <w:r w:rsidR="00154E56" w:rsidRPr="000441E4">
        <w:rPr>
          <w:rFonts w:ascii="Times New Roman" w:eastAsia="Times New Roman" w:hAnsi="Times New Roman" w:cs="Times New Roman"/>
          <w:sz w:val="24"/>
          <w:szCs w:val="24"/>
          <w:lang w:eastAsia="pt-BR"/>
        </w:rPr>
        <w:t>contexto mundial</w:t>
      </w:r>
      <w:r w:rsidRPr="000441E4">
        <w:rPr>
          <w:rFonts w:ascii="Times New Roman" w:eastAsia="Times New Roman" w:hAnsi="Times New Roman" w:cs="Times New Roman"/>
          <w:sz w:val="24"/>
          <w:szCs w:val="24"/>
          <w:lang w:eastAsia="pt-BR"/>
        </w:rPr>
        <w:t>.</w:t>
      </w:r>
      <w:r w:rsidR="00A034B7">
        <w:rPr>
          <w:rFonts w:ascii="Times New Roman" w:eastAsia="Times New Roman" w:hAnsi="Times New Roman" w:cs="Times New Roman"/>
          <w:sz w:val="24"/>
          <w:szCs w:val="24"/>
          <w:lang w:eastAsia="pt-BR"/>
        </w:rPr>
        <w:t xml:space="preserve"> </w:t>
      </w:r>
      <w:r w:rsidRPr="000441E4">
        <w:rPr>
          <w:rFonts w:ascii="Times New Roman" w:eastAsia="Times New Roman" w:hAnsi="Times New Roman" w:cs="Times New Roman"/>
          <w:sz w:val="24"/>
          <w:szCs w:val="24"/>
          <w:lang w:eastAsia="pt-BR"/>
        </w:rPr>
        <w:t xml:space="preserve">O capital de </w:t>
      </w:r>
      <w:r w:rsidR="00F56FB8" w:rsidRPr="000441E4">
        <w:rPr>
          <w:rFonts w:ascii="Times New Roman" w:eastAsia="Times New Roman" w:hAnsi="Times New Roman" w:cs="Times New Roman"/>
          <w:sz w:val="24"/>
          <w:szCs w:val="24"/>
          <w:lang w:eastAsia="pt-BR"/>
        </w:rPr>
        <w:t>n</w:t>
      </w:r>
      <w:r w:rsidR="00BF4674" w:rsidRPr="000441E4">
        <w:rPr>
          <w:rFonts w:ascii="Times New Roman" w:eastAsia="Times New Roman" w:hAnsi="Times New Roman" w:cs="Times New Roman"/>
          <w:sz w:val="24"/>
          <w:szCs w:val="24"/>
          <w:lang w:eastAsia="pt-BR"/>
        </w:rPr>
        <w:t>ível</w:t>
      </w:r>
      <w:r w:rsidRPr="000441E4">
        <w:rPr>
          <w:rFonts w:ascii="Times New Roman" w:eastAsia="Times New Roman" w:hAnsi="Times New Roman" w:cs="Times New Roman"/>
          <w:sz w:val="24"/>
          <w:szCs w:val="24"/>
          <w:lang w:eastAsia="pt-BR"/>
        </w:rPr>
        <w:t xml:space="preserve"> </w:t>
      </w:r>
      <w:r w:rsidR="00154E56" w:rsidRPr="000441E4">
        <w:rPr>
          <w:rFonts w:ascii="Times New Roman" w:eastAsia="Times New Roman" w:hAnsi="Times New Roman" w:cs="Times New Roman"/>
          <w:sz w:val="24"/>
          <w:szCs w:val="24"/>
          <w:lang w:eastAsia="pt-BR"/>
        </w:rPr>
        <w:t>I passou a ser</w:t>
      </w:r>
      <w:r w:rsidR="00BA397A" w:rsidRPr="000441E4">
        <w:rPr>
          <w:rFonts w:ascii="Times New Roman" w:eastAsia="Times New Roman" w:hAnsi="Times New Roman" w:cs="Times New Roman"/>
          <w:sz w:val="24"/>
          <w:szCs w:val="24"/>
          <w:lang w:eastAsia="pt-BR"/>
        </w:rPr>
        <w:t xml:space="preserve"> composto pelas parcelas de c</w:t>
      </w:r>
      <w:r w:rsidRPr="000441E4">
        <w:rPr>
          <w:rFonts w:ascii="Times New Roman" w:eastAsia="Times New Roman" w:hAnsi="Times New Roman" w:cs="Times New Roman"/>
          <w:sz w:val="24"/>
          <w:szCs w:val="24"/>
          <w:lang w:eastAsia="pt-BR"/>
        </w:rPr>
        <w:t>apital</w:t>
      </w:r>
      <w:r w:rsidR="00154E56" w:rsidRPr="000441E4">
        <w:rPr>
          <w:rFonts w:ascii="Times New Roman" w:eastAsia="Times New Roman" w:hAnsi="Times New Roman" w:cs="Times New Roman"/>
          <w:sz w:val="24"/>
          <w:szCs w:val="24"/>
          <w:lang w:eastAsia="pt-BR"/>
        </w:rPr>
        <w:t xml:space="preserve"> principal (</w:t>
      </w:r>
      <w:r w:rsidR="00154E56" w:rsidRPr="000F1D00">
        <w:rPr>
          <w:rFonts w:ascii="Times New Roman" w:eastAsia="Times New Roman" w:hAnsi="Times New Roman" w:cs="Times New Roman"/>
          <w:sz w:val="24"/>
          <w:szCs w:val="24"/>
          <w:lang w:eastAsia="pt-BR"/>
        </w:rPr>
        <w:t>capital social, lucros retidos e reservas</w:t>
      </w:r>
      <w:r w:rsidR="00154E56" w:rsidRPr="000441E4">
        <w:rPr>
          <w:rFonts w:ascii="Times New Roman" w:eastAsia="Times New Roman" w:hAnsi="Times New Roman" w:cs="Times New Roman"/>
          <w:sz w:val="24"/>
          <w:szCs w:val="24"/>
          <w:lang w:eastAsia="pt-BR"/>
        </w:rPr>
        <w:t>)</w:t>
      </w:r>
      <w:r w:rsidR="00F56FB8" w:rsidRPr="000441E4">
        <w:rPr>
          <w:rFonts w:ascii="Times New Roman" w:eastAsia="Times New Roman" w:hAnsi="Times New Roman" w:cs="Times New Roman"/>
          <w:sz w:val="24"/>
          <w:szCs w:val="24"/>
          <w:lang w:eastAsia="pt-BR"/>
        </w:rPr>
        <w:t>, c</w:t>
      </w:r>
      <w:r w:rsidRPr="000441E4">
        <w:rPr>
          <w:rFonts w:ascii="Times New Roman" w:eastAsia="Times New Roman" w:hAnsi="Times New Roman" w:cs="Times New Roman"/>
          <w:sz w:val="24"/>
          <w:szCs w:val="24"/>
          <w:lang w:eastAsia="pt-BR"/>
        </w:rPr>
        <w:t xml:space="preserve">apital </w:t>
      </w:r>
      <w:r w:rsidR="00F56FB8" w:rsidRPr="000441E4">
        <w:rPr>
          <w:rFonts w:ascii="Times New Roman" w:eastAsia="Times New Roman" w:hAnsi="Times New Roman" w:cs="Times New Roman"/>
          <w:sz w:val="24"/>
          <w:szCs w:val="24"/>
          <w:lang w:eastAsia="pt-BR"/>
        </w:rPr>
        <w:t>a</w:t>
      </w:r>
      <w:r w:rsidRPr="000441E4">
        <w:rPr>
          <w:rFonts w:ascii="Times New Roman" w:eastAsia="Times New Roman" w:hAnsi="Times New Roman" w:cs="Times New Roman"/>
          <w:sz w:val="24"/>
          <w:szCs w:val="24"/>
          <w:lang w:eastAsia="pt-BR"/>
        </w:rPr>
        <w:t>dicional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0441E4">
        <w:rPr>
          <w:rFonts w:ascii="Times New Roman" w:eastAsia="Times New Roman" w:hAnsi="Times New Roman" w:cs="Times New Roman"/>
          <w:sz w:val="24"/>
          <w:szCs w:val="24"/>
          <w:lang w:eastAsia="pt-BR"/>
        </w:rPr>
        <w:t>) e de um montante complementar às exigências mínimas regulatórias</w:t>
      </w:r>
      <w:r w:rsidR="00154E56" w:rsidRPr="000441E4">
        <w:rPr>
          <w:rFonts w:ascii="Times New Roman" w:eastAsia="Times New Roman" w:hAnsi="Times New Roman" w:cs="Times New Roman"/>
          <w:sz w:val="24"/>
          <w:szCs w:val="24"/>
          <w:lang w:eastAsia="pt-BR"/>
        </w:rPr>
        <w:t xml:space="preserve"> (</w:t>
      </w:r>
      <w:r w:rsidRPr="000441E4">
        <w:rPr>
          <w:rFonts w:ascii="Times New Roman" w:eastAsia="Times New Roman" w:hAnsi="Times New Roman" w:cs="Times New Roman"/>
          <w:sz w:val="24"/>
          <w:szCs w:val="24"/>
          <w:lang w:eastAsia="pt-BR"/>
        </w:rPr>
        <w:t>co</w:t>
      </w:r>
      <w:r w:rsidR="00BA397A" w:rsidRPr="000441E4">
        <w:rPr>
          <w:rFonts w:ascii="Times New Roman" w:eastAsia="Times New Roman" w:hAnsi="Times New Roman" w:cs="Times New Roman"/>
          <w:sz w:val="24"/>
          <w:szCs w:val="24"/>
          <w:lang w:eastAsia="pt-BR"/>
        </w:rPr>
        <w:t>mposto de elementos aceitos no c</w:t>
      </w:r>
      <w:r w:rsidRPr="000441E4">
        <w:rPr>
          <w:rFonts w:ascii="Times New Roman" w:eastAsia="Times New Roman" w:hAnsi="Times New Roman" w:cs="Times New Roman"/>
          <w:sz w:val="24"/>
          <w:szCs w:val="24"/>
          <w:lang w:eastAsia="pt-BR"/>
        </w:rPr>
        <w:t xml:space="preserve">apital </w:t>
      </w:r>
      <w:r w:rsidR="00BA397A" w:rsidRPr="000441E4">
        <w:rPr>
          <w:rFonts w:ascii="Times New Roman" w:eastAsia="Times New Roman" w:hAnsi="Times New Roman" w:cs="Times New Roman"/>
          <w:sz w:val="24"/>
          <w:szCs w:val="24"/>
          <w:lang w:eastAsia="pt-BR"/>
        </w:rPr>
        <w:t>p</w:t>
      </w:r>
      <w:r w:rsidRPr="000441E4">
        <w:rPr>
          <w:rFonts w:ascii="Times New Roman" w:eastAsia="Times New Roman" w:hAnsi="Times New Roman" w:cs="Times New Roman"/>
          <w:sz w:val="24"/>
          <w:szCs w:val="24"/>
          <w:lang w:eastAsia="pt-BR"/>
        </w:rPr>
        <w:t>rincipal e com poder de absorção de perdas, acumulados durante os períodos favoráveis dos ciclos econômicos para serem utilizados em momentos de estresse, ou seja, durante o funcionamento da instituição</w:t>
      </w:r>
      <w:r w:rsidR="00154E56" w:rsidRPr="000441E4">
        <w:rPr>
          <w:rFonts w:ascii="Times New Roman" w:eastAsia="Times New Roman" w:hAnsi="Times New Roman" w:cs="Times New Roman"/>
          <w:sz w:val="24"/>
          <w:szCs w:val="24"/>
          <w:lang w:eastAsia="pt-BR"/>
        </w:rPr>
        <w:t>)</w:t>
      </w:r>
      <w:r w:rsidRPr="000441E4">
        <w:rPr>
          <w:rFonts w:ascii="Times New Roman" w:eastAsia="Times New Roman" w:hAnsi="Times New Roman" w:cs="Times New Roman"/>
          <w:sz w:val="24"/>
          <w:szCs w:val="24"/>
          <w:lang w:eastAsia="pt-BR"/>
        </w:rPr>
        <w:t>.</w:t>
      </w:r>
      <w:r w:rsidR="00187333">
        <w:rPr>
          <w:rFonts w:ascii="Times New Roman" w:eastAsia="Times New Roman" w:hAnsi="Times New Roman" w:cs="Times New Roman"/>
          <w:sz w:val="24"/>
          <w:szCs w:val="24"/>
          <w:lang w:eastAsia="pt-BR"/>
        </w:rPr>
        <w:t xml:space="preserve"> </w:t>
      </w:r>
      <w:r w:rsidRPr="000441E4">
        <w:rPr>
          <w:rFonts w:ascii="Times New Roman" w:eastAsia="Times New Roman" w:hAnsi="Times New Roman" w:cs="Times New Roman"/>
          <w:sz w:val="24"/>
          <w:szCs w:val="24"/>
          <w:lang w:eastAsia="pt-BR"/>
        </w:rPr>
        <w:t xml:space="preserve">O capital de </w:t>
      </w:r>
      <w:r w:rsidR="00F56FB8" w:rsidRPr="000441E4">
        <w:rPr>
          <w:rFonts w:ascii="Times New Roman" w:eastAsia="Times New Roman" w:hAnsi="Times New Roman" w:cs="Times New Roman"/>
          <w:sz w:val="24"/>
          <w:szCs w:val="24"/>
          <w:lang w:eastAsia="pt-BR"/>
        </w:rPr>
        <w:t>n</w:t>
      </w:r>
      <w:r w:rsidR="00BF4674" w:rsidRPr="000441E4">
        <w:rPr>
          <w:rFonts w:ascii="Times New Roman" w:eastAsia="Times New Roman" w:hAnsi="Times New Roman" w:cs="Times New Roman"/>
          <w:sz w:val="24"/>
          <w:szCs w:val="24"/>
          <w:lang w:eastAsia="pt-BR"/>
        </w:rPr>
        <w:t>ível</w:t>
      </w:r>
      <w:r w:rsidR="00F56FB8" w:rsidRPr="000441E4">
        <w:rPr>
          <w:rFonts w:ascii="Times New Roman" w:eastAsia="Times New Roman" w:hAnsi="Times New Roman" w:cs="Times New Roman"/>
          <w:sz w:val="24"/>
          <w:szCs w:val="24"/>
          <w:lang w:eastAsia="pt-BR"/>
        </w:rPr>
        <w:t xml:space="preserve"> </w:t>
      </w:r>
      <w:r w:rsidRPr="000441E4">
        <w:rPr>
          <w:rFonts w:ascii="Times New Roman" w:eastAsia="Times New Roman" w:hAnsi="Times New Roman" w:cs="Times New Roman"/>
          <w:sz w:val="24"/>
          <w:szCs w:val="24"/>
          <w:lang w:eastAsia="pt-BR"/>
        </w:rPr>
        <w:t>I</w:t>
      </w:r>
      <w:r w:rsidR="00BD2B05" w:rsidRPr="000441E4">
        <w:rPr>
          <w:rFonts w:ascii="Times New Roman" w:eastAsia="Times New Roman" w:hAnsi="Times New Roman" w:cs="Times New Roman"/>
          <w:sz w:val="24"/>
          <w:szCs w:val="24"/>
          <w:lang w:eastAsia="pt-BR"/>
        </w:rPr>
        <w:t>I</w:t>
      </w:r>
      <w:r w:rsidRPr="000441E4">
        <w:rPr>
          <w:rFonts w:ascii="Times New Roman" w:eastAsia="Times New Roman" w:hAnsi="Times New Roman" w:cs="Times New Roman"/>
          <w:sz w:val="24"/>
          <w:szCs w:val="24"/>
          <w:lang w:eastAsia="pt-BR"/>
        </w:rPr>
        <w:t xml:space="preserve"> é composto por elementos capazes de absorver perdas no caso de inviabilidade de funcionamento da instituição, ou seja, as dívidas subordinadas. No Brasil, as novas regras serão implantadas gradativament</w:t>
      </w:r>
      <w:r w:rsidR="00966CB2" w:rsidRPr="000441E4">
        <w:rPr>
          <w:rFonts w:ascii="Times New Roman" w:eastAsia="Times New Roman" w:hAnsi="Times New Roman" w:cs="Times New Roman"/>
          <w:sz w:val="24"/>
          <w:szCs w:val="24"/>
          <w:lang w:eastAsia="pt-BR"/>
        </w:rPr>
        <w:t>e ao longo de um cronograma de seis</w:t>
      </w:r>
      <w:r w:rsidRPr="000441E4">
        <w:rPr>
          <w:rFonts w:ascii="Times New Roman" w:eastAsia="Times New Roman" w:hAnsi="Times New Roman" w:cs="Times New Roman"/>
          <w:sz w:val="24"/>
          <w:szCs w:val="24"/>
          <w:lang w:eastAsia="pt-BR"/>
        </w:rPr>
        <w:t xml:space="preserve"> anos (2014 a 2019)</w:t>
      </w:r>
      <w:r w:rsidR="0035067D" w:rsidRPr="000441E4">
        <w:rPr>
          <w:rFonts w:ascii="Times New Roman" w:eastAsia="Times New Roman" w:hAnsi="Times New Roman" w:cs="Times New Roman"/>
          <w:sz w:val="24"/>
          <w:szCs w:val="24"/>
          <w:lang w:eastAsia="pt-BR"/>
        </w:rPr>
        <w:t>,</w:t>
      </w:r>
      <w:r w:rsidRPr="000441E4">
        <w:rPr>
          <w:rFonts w:ascii="Times New Roman" w:eastAsia="Times New Roman" w:hAnsi="Times New Roman" w:cs="Times New Roman"/>
          <w:sz w:val="24"/>
          <w:szCs w:val="24"/>
          <w:lang w:eastAsia="pt-BR"/>
        </w:rPr>
        <w:t xml:space="preserve"> para que os bancos possam s</w:t>
      </w:r>
      <w:r w:rsidR="0035067D" w:rsidRPr="000441E4">
        <w:rPr>
          <w:rFonts w:ascii="Times New Roman" w:eastAsia="Times New Roman" w:hAnsi="Times New Roman" w:cs="Times New Roman"/>
          <w:sz w:val="24"/>
          <w:szCs w:val="24"/>
          <w:lang w:eastAsia="pt-BR"/>
        </w:rPr>
        <w:t xml:space="preserve">e adequar aos novos requisitos. </w:t>
      </w:r>
    </w:p>
    <w:p w:rsidR="000E437B" w:rsidRPr="000F1D00" w:rsidRDefault="000E437B" w:rsidP="00FF5024">
      <w:pPr>
        <w:pStyle w:val="PargrafodaLista"/>
        <w:autoSpaceDE w:val="0"/>
        <w:autoSpaceDN w:val="0"/>
        <w:adjustRightInd w:val="0"/>
        <w:spacing w:after="120" w:line="240" w:lineRule="auto"/>
        <w:ind w:left="0"/>
        <w:jc w:val="both"/>
        <w:rPr>
          <w:rFonts w:ascii="Times New Roman" w:eastAsia="Times New Roman" w:hAnsi="Times New Roman" w:cs="Times New Roman"/>
          <w:sz w:val="24"/>
          <w:szCs w:val="24"/>
          <w:lang w:eastAsia="pt-BR"/>
        </w:rPr>
      </w:pPr>
      <w:r w:rsidRPr="000F1D00">
        <w:rPr>
          <w:rFonts w:ascii="Times New Roman" w:eastAsia="Times New Roman" w:hAnsi="Times New Roman" w:cs="Times New Roman"/>
          <w:sz w:val="24"/>
          <w:szCs w:val="24"/>
          <w:lang w:eastAsia="pt-BR"/>
        </w:rPr>
        <w:t>Os instrumentos de dívida possuem um limite máximo de participação dentro de cada parcela de capital:</w:t>
      </w:r>
    </w:p>
    <w:p w:rsidR="000E437B" w:rsidRPr="00466344" w:rsidRDefault="008E2A91" w:rsidP="00466344">
      <w:pPr>
        <w:pStyle w:val="PargrafodaLista"/>
        <w:numPr>
          <w:ilvl w:val="0"/>
          <w:numId w:val="22"/>
        </w:num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466344">
        <w:rPr>
          <w:rFonts w:ascii="Times New Roman" w:eastAsia="Times New Roman" w:hAnsi="Times New Roman" w:cs="Times New Roman"/>
          <w:sz w:val="24"/>
          <w:szCs w:val="24"/>
          <w:lang w:eastAsia="pt-BR"/>
        </w:rPr>
        <w:t>Contingentes</w:t>
      </w:r>
      <w:r w:rsidR="000E437B" w:rsidRPr="00466344">
        <w:rPr>
          <w:rFonts w:ascii="Times New Roman" w:eastAsia="Times New Roman" w:hAnsi="Times New Roman" w:cs="Times New Roman"/>
          <w:sz w:val="24"/>
          <w:szCs w:val="24"/>
          <w:lang w:eastAsia="pt-BR"/>
        </w:rPr>
        <w:t xml:space="preserve"> conversíveis no </w:t>
      </w:r>
      <w:r w:rsidR="0035067D" w:rsidRPr="00466344">
        <w:rPr>
          <w:rFonts w:ascii="Times New Roman" w:eastAsia="Times New Roman" w:hAnsi="Times New Roman" w:cs="Times New Roman"/>
          <w:sz w:val="24"/>
          <w:szCs w:val="24"/>
          <w:lang w:eastAsia="pt-BR"/>
        </w:rPr>
        <w:t>c</w:t>
      </w:r>
      <w:r w:rsidR="000E437B" w:rsidRPr="00466344">
        <w:rPr>
          <w:rFonts w:ascii="Times New Roman" w:eastAsia="Times New Roman" w:hAnsi="Times New Roman" w:cs="Times New Roman"/>
          <w:sz w:val="24"/>
          <w:szCs w:val="24"/>
          <w:lang w:eastAsia="pt-BR"/>
        </w:rPr>
        <w:t xml:space="preserve">apital </w:t>
      </w:r>
      <w:r w:rsidR="0035067D" w:rsidRPr="00466344">
        <w:rPr>
          <w:rFonts w:ascii="Times New Roman" w:eastAsia="Times New Roman" w:hAnsi="Times New Roman" w:cs="Times New Roman"/>
          <w:sz w:val="24"/>
          <w:szCs w:val="24"/>
          <w:lang w:eastAsia="pt-BR"/>
        </w:rPr>
        <w:t>a</w:t>
      </w:r>
      <w:r w:rsidR="000E437B" w:rsidRPr="00466344">
        <w:rPr>
          <w:rFonts w:ascii="Times New Roman" w:eastAsia="Times New Roman" w:hAnsi="Times New Roman" w:cs="Times New Roman"/>
          <w:sz w:val="24"/>
          <w:szCs w:val="24"/>
          <w:lang w:eastAsia="pt-BR"/>
        </w:rPr>
        <w:t xml:space="preserve">dicional de </w:t>
      </w:r>
      <w:r w:rsidR="0035067D" w:rsidRPr="00466344">
        <w:rPr>
          <w:rFonts w:ascii="Times New Roman" w:eastAsia="Times New Roman" w:hAnsi="Times New Roman" w:cs="Times New Roman"/>
          <w:sz w:val="24"/>
          <w:szCs w:val="24"/>
          <w:lang w:eastAsia="pt-BR"/>
        </w:rPr>
        <w:t>n</w:t>
      </w:r>
      <w:r w:rsidR="00BF4674" w:rsidRPr="00466344">
        <w:rPr>
          <w:rFonts w:ascii="Times New Roman" w:eastAsia="Times New Roman" w:hAnsi="Times New Roman" w:cs="Times New Roman"/>
          <w:sz w:val="24"/>
          <w:szCs w:val="24"/>
          <w:lang w:eastAsia="pt-BR"/>
        </w:rPr>
        <w:t>ível</w:t>
      </w:r>
      <w:r w:rsidR="0035067D" w:rsidRPr="00466344">
        <w:rPr>
          <w:rFonts w:ascii="Times New Roman" w:eastAsia="Times New Roman" w:hAnsi="Times New Roman" w:cs="Times New Roman"/>
          <w:sz w:val="24"/>
          <w:szCs w:val="24"/>
          <w:lang w:eastAsia="pt-BR"/>
        </w:rPr>
        <w:t xml:space="preserve"> I</w:t>
      </w:r>
      <w:r w:rsidR="000E437B" w:rsidRPr="00466344">
        <w:rPr>
          <w:rFonts w:ascii="Times New Roman" w:eastAsia="Times New Roman" w:hAnsi="Times New Roman" w:cs="Times New Roman"/>
          <w:sz w:val="24"/>
          <w:szCs w:val="24"/>
          <w:lang w:eastAsia="pt-BR"/>
        </w:rPr>
        <w:t xml:space="preserve"> – até 15% do total de </w:t>
      </w:r>
      <w:r w:rsidR="00F56FB8" w:rsidRPr="00466344">
        <w:rPr>
          <w:rFonts w:ascii="Times New Roman" w:eastAsia="Times New Roman" w:hAnsi="Times New Roman" w:cs="Times New Roman"/>
          <w:sz w:val="24"/>
          <w:szCs w:val="24"/>
          <w:lang w:eastAsia="pt-BR"/>
        </w:rPr>
        <w:t>n</w:t>
      </w:r>
      <w:r w:rsidR="00BF4674" w:rsidRPr="00466344">
        <w:rPr>
          <w:rFonts w:ascii="Times New Roman" w:eastAsia="Times New Roman" w:hAnsi="Times New Roman" w:cs="Times New Roman"/>
          <w:sz w:val="24"/>
          <w:szCs w:val="24"/>
          <w:lang w:eastAsia="pt-BR"/>
        </w:rPr>
        <w:t>ível</w:t>
      </w:r>
      <w:r w:rsidR="00F56FB8" w:rsidRPr="00466344">
        <w:rPr>
          <w:rFonts w:ascii="Times New Roman" w:eastAsia="Times New Roman" w:hAnsi="Times New Roman" w:cs="Times New Roman"/>
          <w:sz w:val="24"/>
          <w:szCs w:val="24"/>
          <w:lang w:eastAsia="pt-BR"/>
        </w:rPr>
        <w:t xml:space="preserve"> I</w:t>
      </w:r>
      <w:r w:rsidR="000E437B" w:rsidRPr="00466344">
        <w:rPr>
          <w:rFonts w:ascii="Times New Roman" w:eastAsia="Times New Roman" w:hAnsi="Times New Roman" w:cs="Times New Roman"/>
          <w:sz w:val="24"/>
          <w:szCs w:val="24"/>
          <w:lang w:eastAsia="pt-BR"/>
        </w:rPr>
        <w:t xml:space="preserve"> </w:t>
      </w:r>
    </w:p>
    <w:p w:rsidR="000E437B" w:rsidRPr="00466344" w:rsidRDefault="008E2A91" w:rsidP="00466344">
      <w:pPr>
        <w:pStyle w:val="PargrafodaLista"/>
        <w:numPr>
          <w:ilvl w:val="0"/>
          <w:numId w:val="22"/>
        </w:num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466344">
        <w:rPr>
          <w:rFonts w:ascii="Times New Roman" w:eastAsia="Times New Roman" w:hAnsi="Times New Roman" w:cs="Times New Roman"/>
          <w:sz w:val="24"/>
          <w:szCs w:val="24"/>
          <w:lang w:eastAsia="pt-BR"/>
        </w:rPr>
        <w:t>Dívidas</w:t>
      </w:r>
      <w:r w:rsidR="000E437B" w:rsidRPr="00466344">
        <w:rPr>
          <w:rFonts w:ascii="Times New Roman" w:eastAsia="Times New Roman" w:hAnsi="Times New Roman" w:cs="Times New Roman"/>
          <w:sz w:val="24"/>
          <w:szCs w:val="24"/>
          <w:lang w:eastAsia="pt-BR"/>
        </w:rPr>
        <w:t xml:space="preserve"> subordinadas – até 50% do total de </w:t>
      </w:r>
      <w:r w:rsidR="00F56FB8" w:rsidRPr="00466344">
        <w:rPr>
          <w:rFonts w:ascii="Times New Roman" w:eastAsia="Times New Roman" w:hAnsi="Times New Roman" w:cs="Times New Roman"/>
          <w:sz w:val="24"/>
          <w:szCs w:val="24"/>
          <w:lang w:eastAsia="pt-BR"/>
        </w:rPr>
        <w:t>n</w:t>
      </w:r>
      <w:r w:rsidR="00BF4674" w:rsidRPr="00466344">
        <w:rPr>
          <w:rFonts w:ascii="Times New Roman" w:eastAsia="Times New Roman" w:hAnsi="Times New Roman" w:cs="Times New Roman"/>
          <w:sz w:val="24"/>
          <w:szCs w:val="24"/>
          <w:lang w:eastAsia="pt-BR"/>
        </w:rPr>
        <w:t>ível</w:t>
      </w:r>
      <w:r w:rsidR="00F56FB8" w:rsidRPr="00466344">
        <w:rPr>
          <w:rFonts w:ascii="Times New Roman" w:eastAsia="Times New Roman" w:hAnsi="Times New Roman" w:cs="Times New Roman"/>
          <w:sz w:val="24"/>
          <w:szCs w:val="24"/>
          <w:lang w:eastAsia="pt-BR"/>
        </w:rPr>
        <w:t xml:space="preserve"> I</w:t>
      </w:r>
    </w:p>
    <w:p w:rsidR="000E437B" w:rsidRPr="000F1D00" w:rsidRDefault="000E437B" w:rsidP="008A208D">
      <w:pPr>
        <w:autoSpaceDE w:val="0"/>
        <w:autoSpaceDN w:val="0"/>
        <w:adjustRightInd w:val="0"/>
        <w:spacing w:after="120" w:line="240" w:lineRule="auto"/>
        <w:jc w:val="both"/>
        <w:rPr>
          <w:rFonts w:ascii="Times New Roman" w:eastAsia="Times New Roman" w:hAnsi="Times New Roman" w:cs="Times New Roman"/>
          <w:color w:val="FF0000"/>
          <w:sz w:val="24"/>
          <w:szCs w:val="24"/>
          <w:lang w:eastAsia="pt-BR"/>
        </w:rPr>
      </w:pPr>
      <w:r w:rsidRPr="000F1D00">
        <w:rPr>
          <w:rFonts w:ascii="Times New Roman" w:eastAsia="Times New Roman" w:hAnsi="Times New Roman" w:cs="Times New Roman"/>
          <w:sz w:val="24"/>
          <w:szCs w:val="24"/>
          <w:lang w:eastAsia="pt-BR"/>
        </w:rPr>
        <w:t xml:space="preserve">De fato, para o Brasil o índice mínimo de capital regulatório já estava enquadrado na nova recomendação de 11% </w:t>
      </w:r>
      <w:r w:rsidR="0035067D">
        <w:rPr>
          <w:rFonts w:ascii="Times New Roman" w:eastAsia="Times New Roman" w:hAnsi="Times New Roman" w:cs="Times New Roman"/>
          <w:sz w:val="24"/>
          <w:szCs w:val="24"/>
          <w:lang w:eastAsia="pt-BR"/>
        </w:rPr>
        <w:t>do RWA. O</w:t>
      </w:r>
      <w:r w:rsidRPr="000F1D00">
        <w:rPr>
          <w:rFonts w:ascii="Times New Roman" w:eastAsia="Times New Roman" w:hAnsi="Times New Roman" w:cs="Times New Roman"/>
          <w:sz w:val="24"/>
          <w:szCs w:val="24"/>
          <w:lang w:eastAsia="pt-BR"/>
        </w:rPr>
        <w:t xml:space="preserve">bservando dados históricos do </w:t>
      </w:r>
      <w:r w:rsidR="005E35AE">
        <w:rPr>
          <w:rFonts w:ascii="Times New Roman" w:eastAsia="Times New Roman" w:hAnsi="Times New Roman" w:cs="Times New Roman"/>
          <w:sz w:val="24"/>
          <w:szCs w:val="24"/>
          <w:lang w:eastAsia="pt-BR"/>
        </w:rPr>
        <w:t>Banco Central do Brasil (</w:t>
      </w:r>
      <w:r w:rsidRPr="000F1D00">
        <w:rPr>
          <w:rFonts w:ascii="Times New Roman" w:eastAsia="Times New Roman" w:hAnsi="Times New Roman" w:cs="Times New Roman"/>
          <w:sz w:val="24"/>
          <w:szCs w:val="24"/>
          <w:lang w:eastAsia="pt-BR"/>
        </w:rPr>
        <w:t>BACEN</w:t>
      </w:r>
      <w:proofErr w:type="gramStart"/>
      <w:r w:rsidR="005E35AE">
        <w:rPr>
          <w:rFonts w:ascii="Times New Roman" w:eastAsia="Times New Roman" w:hAnsi="Times New Roman" w:cs="Times New Roman"/>
          <w:sz w:val="24"/>
          <w:szCs w:val="24"/>
          <w:lang w:eastAsia="pt-BR"/>
        </w:rPr>
        <w:t>)</w:t>
      </w:r>
      <w:proofErr w:type="gramEnd"/>
      <w:r w:rsidR="00E82DF0">
        <w:rPr>
          <w:rStyle w:val="Refdenotaderodap"/>
          <w:rFonts w:ascii="Times New Roman" w:eastAsia="Times New Roman" w:hAnsi="Times New Roman" w:cs="Times New Roman"/>
          <w:sz w:val="24"/>
          <w:szCs w:val="24"/>
          <w:lang w:eastAsia="pt-BR"/>
        </w:rPr>
        <w:footnoteReference w:id="6"/>
      </w:r>
      <w:r w:rsidRPr="000F1D00">
        <w:rPr>
          <w:rFonts w:ascii="Times New Roman" w:eastAsia="Times New Roman" w:hAnsi="Times New Roman" w:cs="Times New Roman"/>
          <w:sz w:val="24"/>
          <w:szCs w:val="24"/>
          <w:lang w:eastAsia="pt-BR"/>
        </w:rPr>
        <w:t xml:space="preserve">, na média os </w:t>
      </w:r>
      <w:r w:rsidRPr="000F1D00">
        <w:rPr>
          <w:rFonts w:ascii="Times New Roman" w:eastAsia="Times New Roman" w:hAnsi="Times New Roman" w:cs="Times New Roman"/>
          <w:sz w:val="24"/>
          <w:szCs w:val="24"/>
          <w:lang w:eastAsia="pt-BR"/>
        </w:rPr>
        <w:lastRenderedPageBreak/>
        <w:t>bancos brasileiros sempre mantiveram um índice de Basiléia entre 4 e 5 pontos percentuais acima do mínimo requerido, como podemos observar no Gráfico 1.</w:t>
      </w:r>
    </w:p>
    <w:p w:rsidR="000E437B" w:rsidRPr="000F1D00" w:rsidRDefault="00910FC0" w:rsidP="00002D00">
      <w:pPr>
        <w:pStyle w:val="PargrafodaLista"/>
        <w:autoSpaceDE w:val="0"/>
        <w:autoSpaceDN w:val="0"/>
        <w:adjustRightInd w:val="0"/>
        <w:spacing w:after="0" w:line="240" w:lineRule="auto"/>
        <w:ind w:left="0"/>
        <w:rPr>
          <w:rFonts w:ascii="Times New Roman" w:eastAsia="Times New Roman" w:hAnsi="Times New Roman" w:cs="Times New Roman"/>
          <w:color w:val="FF0000"/>
          <w:sz w:val="24"/>
          <w:szCs w:val="24"/>
          <w:lang w:eastAsia="pt-BR"/>
        </w:rPr>
      </w:pPr>
      <w:r w:rsidRPr="00910FC0">
        <w:rPr>
          <w:noProof/>
          <w:lang w:eastAsia="pt-BR"/>
        </w:rPr>
        <w:drawing>
          <wp:inline distT="0" distB="0" distL="0" distR="0">
            <wp:extent cx="4198288" cy="1439186"/>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0049" cy="1443218"/>
                    </a:xfrm>
                    <a:prstGeom prst="rect">
                      <a:avLst/>
                    </a:prstGeom>
                    <a:noFill/>
                    <a:ln>
                      <a:noFill/>
                    </a:ln>
                  </pic:spPr>
                </pic:pic>
              </a:graphicData>
            </a:graphic>
          </wp:inline>
        </w:drawing>
      </w:r>
    </w:p>
    <w:p w:rsidR="000E437B" w:rsidRPr="00D41154" w:rsidRDefault="000E437B" w:rsidP="00002D00">
      <w:pPr>
        <w:spacing w:after="0"/>
        <w:rPr>
          <w:rFonts w:ascii="Times New Roman" w:hAnsi="Times New Roman" w:cs="Times New Roman"/>
          <w:b/>
          <w:sz w:val="18"/>
        </w:rPr>
      </w:pPr>
      <w:r w:rsidRPr="00D41154">
        <w:rPr>
          <w:rFonts w:ascii="Times New Roman" w:hAnsi="Times New Roman" w:cs="Times New Roman"/>
          <w:b/>
          <w:sz w:val="18"/>
        </w:rPr>
        <w:t xml:space="preserve">Gráfico </w:t>
      </w:r>
      <w:proofErr w:type="gramStart"/>
      <w:r w:rsidRPr="00D41154">
        <w:rPr>
          <w:rFonts w:ascii="Times New Roman" w:hAnsi="Times New Roman" w:cs="Times New Roman"/>
          <w:b/>
          <w:sz w:val="18"/>
        </w:rPr>
        <w:t>1</w:t>
      </w:r>
      <w:proofErr w:type="gramEnd"/>
      <w:r w:rsidRPr="00D41154">
        <w:rPr>
          <w:rFonts w:ascii="Times New Roman" w:hAnsi="Times New Roman" w:cs="Times New Roman"/>
          <w:b/>
          <w:sz w:val="18"/>
        </w:rPr>
        <w:t xml:space="preserve">: Índice de Basiléia  médio dos bancos do </w:t>
      </w:r>
      <w:r w:rsidR="00002D00" w:rsidRPr="00D41154">
        <w:rPr>
          <w:rFonts w:ascii="Times New Roman" w:hAnsi="Times New Roman" w:cs="Times New Roman"/>
          <w:b/>
          <w:sz w:val="18"/>
        </w:rPr>
        <w:t>SFN</w:t>
      </w:r>
      <w:r w:rsidRPr="00D41154">
        <w:rPr>
          <w:rFonts w:ascii="Times New Roman" w:hAnsi="Times New Roman" w:cs="Times New Roman"/>
          <w:b/>
          <w:sz w:val="18"/>
        </w:rPr>
        <w:t>.</w:t>
      </w:r>
      <w:r w:rsidR="00002D00" w:rsidRPr="00D41154">
        <w:rPr>
          <w:rFonts w:ascii="Times New Roman" w:hAnsi="Times New Roman" w:cs="Times New Roman"/>
          <w:b/>
          <w:sz w:val="18"/>
        </w:rPr>
        <w:t xml:space="preserve"> Elaboração própria</w:t>
      </w:r>
      <w:r w:rsidRPr="00D41154">
        <w:rPr>
          <w:rFonts w:ascii="Times New Roman" w:hAnsi="Times New Roman" w:cs="Times New Roman"/>
          <w:b/>
          <w:sz w:val="18"/>
        </w:rPr>
        <w:t xml:space="preserve"> </w:t>
      </w:r>
    </w:p>
    <w:p w:rsidR="000E437B" w:rsidRPr="00D41154" w:rsidRDefault="000E437B" w:rsidP="00002D00">
      <w:pPr>
        <w:autoSpaceDE w:val="0"/>
        <w:autoSpaceDN w:val="0"/>
        <w:adjustRightInd w:val="0"/>
        <w:spacing w:after="0" w:line="240" w:lineRule="auto"/>
        <w:jc w:val="both"/>
        <w:rPr>
          <w:rFonts w:ascii="Times New Roman" w:hAnsi="Times New Roman" w:cs="Times New Roman"/>
          <w:sz w:val="18"/>
        </w:rPr>
      </w:pPr>
      <w:r w:rsidRPr="00D41154">
        <w:rPr>
          <w:rFonts w:ascii="Times New Roman" w:hAnsi="Times New Roman" w:cs="Times New Roman"/>
          <w:sz w:val="18"/>
        </w:rPr>
        <w:t xml:space="preserve">Fonte: Relatório de Estabilidade Financeira do </w:t>
      </w:r>
      <w:proofErr w:type="gramStart"/>
      <w:r w:rsidRPr="00D41154">
        <w:rPr>
          <w:rFonts w:ascii="Times New Roman" w:hAnsi="Times New Roman" w:cs="Times New Roman"/>
          <w:sz w:val="18"/>
        </w:rPr>
        <w:t>Bacen</w:t>
      </w:r>
      <w:proofErr w:type="gramEnd"/>
      <w:r w:rsidRPr="00D41154">
        <w:rPr>
          <w:rFonts w:ascii="Times New Roman" w:hAnsi="Times New Roman" w:cs="Times New Roman"/>
          <w:sz w:val="18"/>
        </w:rPr>
        <w:t xml:space="preserve">. </w:t>
      </w:r>
    </w:p>
    <w:p w:rsidR="00002D00" w:rsidRPr="00977A31" w:rsidRDefault="00002D00" w:rsidP="00D41154">
      <w:pPr>
        <w:autoSpaceDE w:val="0"/>
        <w:autoSpaceDN w:val="0"/>
        <w:adjustRightInd w:val="0"/>
        <w:spacing w:after="0" w:line="240" w:lineRule="auto"/>
        <w:jc w:val="both"/>
        <w:rPr>
          <w:rFonts w:ascii="Times New Roman" w:hAnsi="Times New Roman" w:cs="Times New Roman"/>
        </w:rPr>
      </w:pPr>
    </w:p>
    <w:p w:rsidR="000E437B" w:rsidRDefault="00A034B7" w:rsidP="00FF5024">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H</w:t>
      </w:r>
      <w:r w:rsidR="000E437B" w:rsidRPr="000F1D00">
        <w:rPr>
          <w:rFonts w:ascii="Times New Roman" w:eastAsia="Times New Roman" w:hAnsi="Times New Roman" w:cs="Times New Roman"/>
          <w:sz w:val="24"/>
          <w:szCs w:val="24"/>
          <w:lang w:eastAsia="pt-BR"/>
        </w:rPr>
        <w:t>oje, apenas os dois maiores bancos públicos</w:t>
      </w:r>
      <w:r>
        <w:rPr>
          <w:rFonts w:ascii="Times New Roman" w:eastAsia="Times New Roman" w:hAnsi="Times New Roman" w:cs="Times New Roman"/>
          <w:sz w:val="24"/>
          <w:szCs w:val="24"/>
          <w:lang w:eastAsia="pt-BR"/>
        </w:rPr>
        <w:t xml:space="preserve"> do Brasil</w:t>
      </w:r>
      <w:r w:rsidR="000E437B" w:rsidRPr="000F1D00">
        <w:rPr>
          <w:rFonts w:ascii="Times New Roman" w:eastAsia="Times New Roman" w:hAnsi="Times New Roman" w:cs="Times New Roman"/>
          <w:sz w:val="24"/>
          <w:szCs w:val="24"/>
          <w:lang w:eastAsia="pt-BR"/>
        </w:rPr>
        <w:t xml:space="preserve"> possuem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000E437B" w:rsidRPr="000F1D00">
        <w:rPr>
          <w:rFonts w:ascii="Times New Roman" w:eastAsia="Times New Roman" w:hAnsi="Times New Roman" w:cs="Times New Roman"/>
          <w:sz w:val="24"/>
          <w:szCs w:val="24"/>
          <w:lang w:eastAsia="pt-BR"/>
        </w:rPr>
        <w:t xml:space="preserve"> em suas estruturas</w:t>
      </w:r>
      <w:r w:rsidR="007C712A">
        <w:rPr>
          <w:rFonts w:ascii="Times New Roman" w:eastAsia="Times New Roman" w:hAnsi="Times New Roman" w:cs="Times New Roman"/>
          <w:sz w:val="24"/>
          <w:szCs w:val="24"/>
          <w:lang w:eastAsia="pt-BR"/>
        </w:rPr>
        <w:t xml:space="preserve"> de capital</w:t>
      </w:r>
      <w:r w:rsidR="000E437B" w:rsidRPr="000F1D00">
        <w:rPr>
          <w:rFonts w:ascii="Times New Roman" w:eastAsia="Times New Roman" w:hAnsi="Times New Roman" w:cs="Times New Roman"/>
          <w:sz w:val="24"/>
          <w:szCs w:val="24"/>
          <w:lang w:eastAsia="pt-BR"/>
        </w:rPr>
        <w:t xml:space="preserve">, o Banco do Brasil e a Caixa Econômica. O Banco do Brasil foi o primeiro a emitir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000E437B" w:rsidRPr="000F1D00">
        <w:rPr>
          <w:rFonts w:ascii="Times New Roman" w:eastAsia="Times New Roman" w:hAnsi="Times New Roman" w:cs="Times New Roman"/>
          <w:sz w:val="24"/>
          <w:szCs w:val="24"/>
          <w:lang w:eastAsia="pt-BR"/>
        </w:rPr>
        <w:t>, sendo que até o 1T2014 foram feitas 3 emissões</w:t>
      </w:r>
      <w:r w:rsidR="00042906">
        <w:rPr>
          <w:rFonts w:ascii="Times New Roman" w:eastAsia="Times New Roman" w:hAnsi="Times New Roman" w:cs="Times New Roman"/>
          <w:sz w:val="24"/>
          <w:szCs w:val="24"/>
          <w:lang w:eastAsia="pt-BR"/>
        </w:rPr>
        <w:t xml:space="preserve">, conforme a tabela </w:t>
      </w:r>
      <w:r w:rsidR="00D41154">
        <w:rPr>
          <w:rFonts w:ascii="Times New Roman" w:eastAsia="Times New Roman" w:hAnsi="Times New Roman" w:cs="Times New Roman"/>
          <w:sz w:val="24"/>
          <w:szCs w:val="24"/>
          <w:lang w:eastAsia="pt-BR"/>
        </w:rPr>
        <w:t>1</w:t>
      </w:r>
      <w:r w:rsidR="00042906">
        <w:rPr>
          <w:rFonts w:ascii="Times New Roman" w:eastAsia="Times New Roman" w:hAnsi="Times New Roman" w:cs="Times New Roman"/>
          <w:sz w:val="24"/>
          <w:szCs w:val="24"/>
          <w:lang w:eastAsia="pt-BR"/>
        </w:rPr>
        <w:t>.</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57"/>
        <w:gridCol w:w="1181"/>
        <w:gridCol w:w="846"/>
        <w:gridCol w:w="787"/>
        <w:gridCol w:w="856"/>
        <w:gridCol w:w="1617"/>
        <w:gridCol w:w="617"/>
      </w:tblGrid>
      <w:tr w:rsidR="000E437B" w:rsidRPr="00B312F0" w:rsidTr="00D41154">
        <w:trPr>
          <w:trHeight w:hRule="exact" w:val="255"/>
        </w:trPr>
        <w:tc>
          <w:tcPr>
            <w:tcW w:w="0" w:type="auto"/>
            <w:tcBorders>
              <w:top w:val="nil"/>
              <w:bottom w:val="single" w:sz="12" w:space="0" w:color="auto"/>
            </w:tcBorders>
            <w:shd w:val="clear" w:color="auto" w:fill="FFFFFF" w:themeFill="background1"/>
            <w:vAlign w:val="center"/>
          </w:tcPr>
          <w:p w:rsidR="000E437B" w:rsidRPr="00B312F0" w:rsidRDefault="000E437B" w:rsidP="00FF5024">
            <w:pPr>
              <w:pStyle w:val="PargrafodaLista"/>
              <w:autoSpaceDE w:val="0"/>
              <w:autoSpaceDN w:val="0"/>
              <w:adjustRightInd w:val="0"/>
              <w:spacing w:after="120"/>
              <w:ind w:left="0"/>
              <w:rPr>
                <w:rFonts w:ascii="Times New Roman" w:eastAsia="Times New Roman" w:hAnsi="Times New Roman" w:cs="Times New Roman"/>
                <w:b/>
                <w:sz w:val="18"/>
                <w:szCs w:val="24"/>
                <w:lang w:eastAsia="pt-BR"/>
              </w:rPr>
            </w:pPr>
          </w:p>
        </w:tc>
        <w:tc>
          <w:tcPr>
            <w:tcW w:w="0" w:type="auto"/>
            <w:tcBorders>
              <w:top w:val="nil"/>
              <w:bottom w:val="single" w:sz="12" w:space="0" w:color="auto"/>
            </w:tcBorders>
            <w:shd w:val="clear" w:color="auto" w:fill="FFFFFF" w:themeFill="background1"/>
            <w:vAlign w:val="bottom"/>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sz w:val="18"/>
                <w:szCs w:val="24"/>
                <w:lang w:eastAsia="pt-BR"/>
              </w:rPr>
            </w:pPr>
          </w:p>
        </w:tc>
        <w:tc>
          <w:tcPr>
            <w:tcW w:w="0" w:type="auto"/>
            <w:tcBorders>
              <w:top w:val="nil"/>
              <w:bottom w:val="single" w:sz="12" w:space="0" w:color="auto"/>
            </w:tcBorders>
            <w:shd w:val="clear" w:color="auto" w:fill="FFFFFF" w:themeFill="background1"/>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sz w:val="18"/>
                <w:szCs w:val="24"/>
                <w:lang w:eastAsia="pt-BR"/>
              </w:rPr>
            </w:pPr>
          </w:p>
        </w:tc>
        <w:tc>
          <w:tcPr>
            <w:tcW w:w="0" w:type="auto"/>
            <w:tcBorders>
              <w:top w:val="nil"/>
              <w:bottom w:val="single" w:sz="12" w:space="0" w:color="auto"/>
            </w:tcBorders>
            <w:shd w:val="clear" w:color="auto" w:fill="FFFFFF" w:themeFill="background1"/>
            <w:vAlign w:val="bottom"/>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sz w:val="18"/>
                <w:szCs w:val="24"/>
                <w:lang w:eastAsia="pt-BR"/>
              </w:rPr>
            </w:pPr>
          </w:p>
        </w:tc>
        <w:tc>
          <w:tcPr>
            <w:tcW w:w="0" w:type="auto"/>
            <w:gridSpan w:val="3"/>
            <w:tcBorders>
              <w:top w:val="single" w:sz="12" w:space="0" w:color="auto"/>
              <w:bottom w:val="single" w:sz="12" w:space="0" w:color="auto"/>
            </w:tcBorders>
            <w:shd w:val="clear" w:color="auto" w:fill="D9D9D9" w:themeFill="background1" w:themeFillShade="D9"/>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sz w:val="18"/>
                <w:szCs w:val="24"/>
                <w:lang w:eastAsia="pt-BR"/>
              </w:rPr>
            </w:pPr>
            <w:r w:rsidRPr="00B312F0">
              <w:rPr>
                <w:rFonts w:ascii="Times New Roman" w:eastAsia="Times New Roman" w:hAnsi="Times New Roman" w:cs="Times New Roman"/>
                <w:b/>
                <w:sz w:val="18"/>
                <w:szCs w:val="24"/>
                <w:lang w:eastAsia="pt-BR"/>
              </w:rPr>
              <w:t>Rating de Emissão</w:t>
            </w:r>
          </w:p>
        </w:tc>
      </w:tr>
      <w:tr w:rsidR="000E437B" w:rsidRPr="00B312F0" w:rsidTr="00D41154">
        <w:trPr>
          <w:trHeight w:hRule="exact" w:val="284"/>
        </w:trPr>
        <w:tc>
          <w:tcPr>
            <w:tcW w:w="0" w:type="auto"/>
            <w:tcBorders>
              <w:top w:val="single" w:sz="12" w:space="0" w:color="auto"/>
              <w:bottom w:val="single" w:sz="12" w:space="0" w:color="auto"/>
            </w:tcBorders>
            <w:shd w:val="clear" w:color="auto" w:fill="D9D9D9" w:themeFill="background1" w:themeFillShade="D9"/>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sz w:val="18"/>
                <w:szCs w:val="24"/>
                <w:lang w:eastAsia="pt-BR"/>
              </w:rPr>
            </w:pPr>
            <w:r w:rsidRPr="00B312F0">
              <w:rPr>
                <w:rFonts w:ascii="Times New Roman" w:eastAsia="Times New Roman" w:hAnsi="Times New Roman" w:cs="Times New Roman"/>
                <w:b/>
                <w:sz w:val="18"/>
                <w:szCs w:val="24"/>
                <w:lang w:eastAsia="pt-BR"/>
              </w:rPr>
              <w:t>Emissão</w:t>
            </w:r>
          </w:p>
        </w:tc>
        <w:tc>
          <w:tcPr>
            <w:tcW w:w="0" w:type="auto"/>
            <w:tcBorders>
              <w:top w:val="single" w:sz="12" w:space="0" w:color="auto"/>
              <w:bottom w:val="single" w:sz="12" w:space="0" w:color="auto"/>
            </w:tcBorders>
            <w:shd w:val="clear" w:color="auto" w:fill="D9D9D9" w:themeFill="background1" w:themeFillShade="D9"/>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sz w:val="18"/>
                <w:szCs w:val="24"/>
                <w:lang w:eastAsia="pt-BR"/>
              </w:rPr>
            </w:pPr>
            <w:r w:rsidRPr="00B312F0">
              <w:rPr>
                <w:rFonts w:ascii="Times New Roman" w:eastAsia="Times New Roman" w:hAnsi="Times New Roman" w:cs="Times New Roman"/>
                <w:b/>
                <w:sz w:val="18"/>
                <w:szCs w:val="24"/>
                <w:lang w:eastAsia="pt-BR"/>
              </w:rPr>
              <w:t>Valor (USD)</w:t>
            </w:r>
          </w:p>
        </w:tc>
        <w:tc>
          <w:tcPr>
            <w:tcW w:w="0" w:type="auto"/>
            <w:tcBorders>
              <w:top w:val="single" w:sz="12" w:space="0" w:color="auto"/>
              <w:bottom w:val="single" w:sz="12" w:space="0" w:color="auto"/>
            </w:tcBorders>
            <w:shd w:val="clear" w:color="auto" w:fill="D9D9D9" w:themeFill="background1" w:themeFillShade="D9"/>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sz w:val="18"/>
                <w:szCs w:val="24"/>
                <w:lang w:eastAsia="pt-BR"/>
              </w:rPr>
            </w:pPr>
            <w:r w:rsidRPr="00B312F0">
              <w:rPr>
                <w:rFonts w:ascii="Times New Roman" w:eastAsia="Times New Roman" w:hAnsi="Times New Roman" w:cs="Times New Roman"/>
                <w:b/>
                <w:sz w:val="18"/>
                <w:szCs w:val="24"/>
                <w:lang w:eastAsia="pt-BR"/>
              </w:rPr>
              <w:t>Tipo</w:t>
            </w:r>
          </w:p>
        </w:tc>
        <w:tc>
          <w:tcPr>
            <w:tcW w:w="0" w:type="auto"/>
            <w:tcBorders>
              <w:top w:val="single" w:sz="12" w:space="0" w:color="auto"/>
              <w:bottom w:val="single" w:sz="12" w:space="0" w:color="auto"/>
            </w:tcBorders>
            <w:shd w:val="clear" w:color="auto" w:fill="D9D9D9" w:themeFill="background1" w:themeFillShade="D9"/>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sz w:val="18"/>
                <w:szCs w:val="24"/>
                <w:lang w:eastAsia="pt-BR"/>
              </w:rPr>
            </w:pPr>
            <w:r w:rsidRPr="00B312F0">
              <w:rPr>
                <w:rFonts w:ascii="Times New Roman" w:eastAsia="Times New Roman" w:hAnsi="Times New Roman" w:cs="Times New Roman"/>
                <w:b/>
                <w:sz w:val="18"/>
                <w:szCs w:val="24"/>
                <w:lang w:eastAsia="pt-BR"/>
              </w:rPr>
              <w:t>Cupom</w:t>
            </w:r>
          </w:p>
        </w:tc>
        <w:tc>
          <w:tcPr>
            <w:tcW w:w="0" w:type="auto"/>
            <w:tcBorders>
              <w:top w:val="single" w:sz="12" w:space="0" w:color="auto"/>
              <w:bottom w:val="single" w:sz="12" w:space="0" w:color="auto"/>
            </w:tcBorders>
            <w:shd w:val="clear" w:color="auto" w:fill="D9D9D9" w:themeFill="background1" w:themeFillShade="D9"/>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i/>
                <w:sz w:val="18"/>
                <w:szCs w:val="24"/>
                <w:lang w:eastAsia="pt-BR"/>
              </w:rPr>
            </w:pPr>
            <w:r w:rsidRPr="00B312F0">
              <w:rPr>
                <w:rFonts w:ascii="Times New Roman" w:eastAsia="Times New Roman" w:hAnsi="Times New Roman" w:cs="Times New Roman"/>
                <w:b/>
                <w:i/>
                <w:sz w:val="18"/>
                <w:szCs w:val="24"/>
                <w:lang w:eastAsia="pt-BR"/>
              </w:rPr>
              <w:t>Moody’s</w:t>
            </w:r>
          </w:p>
        </w:tc>
        <w:tc>
          <w:tcPr>
            <w:tcW w:w="0" w:type="auto"/>
            <w:tcBorders>
              <w:top w:val="single" w:sz="12" w:space="0" w:color="auto"/>
              <w:bottom w:val="single" w:sz="12" w:space="0" w:color="auto"/>
            </w:tcBorders>
            <w:shd w:val="clear" w:color="auto" w:fill="D9D9D9" w:themeFill="background1" w:themeFillShade="D9"/>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i/>
                <w:sz w:val="18"/>
                <w:szCs w:val="24"/>
                <w:lang w:eastAsia="pt-BR"/>
              </w:rPr>
            </w:pPr>
            <w:r w:rsidRPr="00B312F0">
              <w:rPr>
                <w:rFonts w:ascii="Times New Roman" w:eastAsia="Times New Roman" w:hAnsi="Times New Roman" w:cs="Times New Roman"/>
                <w:b/>
                <w:i/>
                <w:sz w:val="18"/>
                <w:szCs w:val="24"/>
                <w:lang w:eastAsia="pt-BR"/>
              </w:rPr>
              <w:t xml:space="preserve">Standard &amp; </w:t>
            </w:r>
            <w:proofErr w:type="spellStart"/>
            <w:r w:rsidRPr="00B312F0">
              <w:rPr>
                <w:rFonts w:ascii="Times New Roman" w:eastAsia="Times New Roman" w:hAnsi="Times New Roman" w:cs="Times New Roman"/>
                <w:b/>
                <w:i/>
                <w:sz w:val="18"/>
                <w:szCs w:val="24"/>
                <w:lang w:eastAsia="pt-BR"/>
              </w:rPr>
              <w:t>Poor’s</w:t>
            </w:r>
            <w:proofErr w:type="spellEnd"/>
          </w:p>
        </w:tc>
        <w:tc>
          <w:tcPr>
            <w:tcW w:w="0" w:type="auto"/>
            <w:tcBorders>
              <w:top w:val="single" w:sz="12" w:space="0" w:color="auto"/>
              <w:bottom w:val="single" w:sz="12" w:space="0" w:color="auto"/>
            </w:tcBorders>
            <w:shd w:val="clear" w:color="auto" w:fill="D9D9D9" w:themeFill="background1" w:themeFillShade="D9"/>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b/>
                <w:i/>
                <w:sz w:val="18"/>
                <w:szCs w:val="24"/>
                <w:lang w:eastAsia="pt-BR"/>
              </w:rPr>
            </w:pPr>
            <w:r w:rsidRPr="00B312F0">
              <w:rPr>
                <w:rFonts w:ascii="Times New Roman" w:eastAsia="Times New Roman" w:hAnsi="Times New Roman" w:cs="Times New Roman"/>
                <w:b/>
                <w:i/>
                <w:sz w:val="18"/>
                <w:szCs w:val="24"/>
                <w:lang w:eastAsia="pt-BR"/>
              </w:rPr>
              <w:t>Fitch</w:t>
            </w:r>
          </w:p>
        </w:tc>
      </w:tr>
      <w:tr w:rsidR="000E437B" w:rsidRPr="00B312F0" w:rsidTr="00466344">
        <w:tc>
          <w:tcPr>
            <w:tcW w:w="0" w:type="auto"/>
            <w:tcBorders>
              <w:top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2009</w:t>
            </w:r>
          </w:p>
        </w:tc>
        <w:tc>
          <w:tcPr>
            <w:tcW w:w="0" w:type="auto"/>
            <w:tcBorders>
              <w:top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1.500.000</w:t>
            </w:r>
          </w:p>
        </w:tc>
        <w:tc>
          <w:tcPr>
            <w:tcW w:w="0" w:type="auto"/>
            <w:tcBorders>
              <w:top w:val="single" w:sz="12" w:space="0" w:color="auto"/>
            </w:tcBorders>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Perpétua</w:t>
            </w:r>
          </w:p>
        </w:tc>
        <w:tc>
          <w:tcPr>
            <w:tcW w:w="0" w:type="auto"/>
            <w:tcBorders>
              <w:top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8,5%</w:t>
            </w:r>
          </w:p>
        </w:tc>
        <w:tc>
          <w:tcPr>
            <w:tcW w:w="0" w:type="auto"/>
            <w:tcBorders>
              <w:top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Baa2</w:t>
            </w:r>
          </w:p>
        </w:tc>
        <w:tc>
          <w:tcPr>
            <w:tcW w:w="0" w:type="auto"/>
            <w:tcBorders>
              <w:top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BBB</w:t>
            </w:r>
          </w:p>
        </w:tc>
        <w:tc>
          <w:tcPr>
            <w:tcW w:w="0" w:type="auto"/>
            <w:tcBorders>
              <w:top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BBB</w:t>
            </w:r>
          </w:p>
        </w:tc>
      </w:tr>
      <w:tr w:rsidR="000E437B" w:rsidRPr="00B312F0" w:rsidTr="00466344">
        <w:tc>
          <w:tcPr>
            <w:tcW w:w="0" w:type="auto"/>
            <w:tcBorders>
              <w:bottom w:val="single" w:sz="4"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2012</w:t>
            </w:r>
          </w:p>
        </w:tc>
        <w:tc>
          <w:tcPr>
            <w:tcW w:w="0" w:type="auto"/>
            <w:tcBorders>
              <w:bottom w:val="single" w:sz="4"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1.750.000</w:t>
            </w:r>
          </w:p>
        </w:tc>
        <w:tc>
          <w:tcPr>
            <w:tcW w:w="0" w:type="auto"/>
            <w:tcBorders>
              <w:bottom w:val="single" w:sz="4" w:space="0" w:color="auto"/>
            </w:tcBorders>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Perpétua</w:t>
            </w:r>
          </w:p>
        </w:tc>
        <w:tc>
          <w:tcPr>
            <w:tcW w:w="0" w:type="auto"/>
            <w:tcBorders>
              <w:bottom w:val="single" w:sz="4"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9,250%</w:t>
            </w:r>
          </w:p>
        </w:tc>
        <w:tc>
          <w:tcPr>
            <w:tcW w:w="0" w:type="auto"/>
            <w:tcBorders>
              <w:bottom w:val="single" w:sz="4"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Baa2</w:t>
            </w:r>
          </w:p>
        </w:tc>
        <w:tc>
          <w:tcPr>
            <w:tcW w:w="0" w:type="auto"/>
            <w:tcBorders>
              <w:bottom w:val="single" w:sz="4"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BBB</w:t>
            </w:r>
          </w:p>
        </w:tc>
        <w:tc>
          <w:tcPr>
            <w:tcW w:w="0" w:type="auto"/>
            <w:tcBorders>
              <w:bottom w:val="single" w:sz="4"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BBB</w:t>
            </w:r>
          </w:p>
        </w:tc>
      </w:tr>
      <w:tr w:rsidR="000E437B" w:rsidRPr="00B312F0" w:rsidTr="00466344">
        <w:tc>
          <w:tcPr>
            <w:tcW w:w="0" w:type="auto"/>
            <w:tcBorders>
              <w:bottom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2013</w:t>
            </w:r>
          </w:p>
        </w:tc>
        <w:tc>
          <w:tcPr>
            <w:tcW w:w="0" w:type="auto"/>
            <w:tcBorders>
              <w:bottom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2.000.000</w:t>
            </w:r>
          </w:p>
        </w:tc>
        <w:tc>
          <w:tcPr>
            <w:tcW w:w="0" w:type="auto"/>
            <w:tcBorders>
              <w:bottom w:val="single" w:sz="12" w:space="0" w:color="auto"/>
            </w:tcBorders>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Perpétua</w:t>
            </w:r>
          </w:p>
        </w:tc>
        <w:tc>
          <w:tcPr>
            <w:tcW w:w="0" w:type="auto"/>
            <w:tcBorders>
              <w:bottom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6,250%</w:t>
            </w:r>
          </w:p>
        </w:tc>
        <w:tc>
          <w:tcPr>
            <w:tcW w:w="0" w:type="auto"/>
            <w:tcBorders>
              <w:bottom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Baa2</w:t>
            </w:r>
          </w:p>
        </w:tc>
        <w:tc>
          <w:tcPr>
            <w:tcW w:w="0" w:type="auto"/>
            <w:tcBorders>
              <w:bottom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BBB</w:t>
            </w:r>
          </w:p>
        </w:tc>
        <w:tc>
          <w:tcPr>
            <w:tcW w:w="0" w:type="auto"/>
            <w:tcBorders>
              <w:bottom w:val="single" w:sz="12" w:space="0" w:color="auto"/>
            </w:tcBorders>
            <w:vAlign w:val="center"/>
          </w:tcPr>
          <w:p w:rsidR="000E437B" w:rsidRPr="00B312F0" w:rsidRDefault="000E437B" w:rsidP="00FF5024">
            <w:pPr>
              <w:pStyle w:val="PargrafodaLista"/>
              <w:autoSpaceDE w:val="0"/>
              <w:autoSpaceDN w:val="0"/>
              <w:adjustRightInd w:val="0"/>
              <w:spacing w:after="120"/>
              <w:ind w:left="0"/>
              <w:jc w:val="center"/>
              <w:rPr>
                <w:rFonts w:ascii="Times New Roman" w:eastAsia="Times New Roman" w:hAnsi="Times New Roman" w:cs="Times New Roman"/>
                <w:sz w:val="18"/>
                <w:szCs w:val="24"/>
                <w:lang w:eastAsia="pt-BR"/>
              </w:rPr>
            </w:pPr>
            <w:r w:rsidRPr="00B312F0">
              <w:rPr>
                <w:rFonts w:ascii="Times New Roman" w:eastAsia="Times New Roman" w:hAnsi="Times New Roman" w:cs="Times New Roman"/>
                <w:sz w:val="18"/>
                <w:szCs w:val="24"/>
                <w:lang w:eastAsia="pt-BR"/>
              </w:rPr>
              <w:t>BBB</w:t>
            </w:r>
          </w:p>
        </w:tc>
      </w:tr>
    </w:tbl>
    <w:p w:rsidR="000E437B" w:rsidRPr="00BE6974" w:rsidRDefault="000E437B" w:rsidP="00002D00">
      <w:pPr>
        <w:pStyle w:val="tabela"/>
        <w:spacing w:after="120"/>
        <w:rPr>
          <w:sz w:val="18"/>
        </w:rPr>
      </w:pPr>
      <w:r w:rsidRPr="00BE6974">
        <w:rPr>
          <w:sz w:val="18"/>
        </w:rPr>
        <w:t xml:space="preserve">Tabela </w:t>
      </w:r>
      <w:r w:rsidR="00D41154">
        <w:rPr>
          <w:sz w:val="18"/>
        </w:rPr>
        <w:t>1</w:t>
      </w:r>
      <w:r w:rsidRPr="00BE6974">
        <w:rPr>
          <w:sz w:val="18"/>
        </w:rPr>
        <w:t xml:space="preserve"> – Emissões de contingentes conversíveis do Banco do Brasil.</w:t>
      </w:r>
      <w:r w:rsidR="00002D00" w:rsidRPr="00BE6974">
        <w:rPr>
          <w:sz w:val="18"/>
        </w:rPr>
        <w:t xml:space="preserve"> </w:t>
      </w:r>
      <w:r w:rsidR="00EC5694" w:rsidRPr="00BE6974">
        <w:rPr>
          <w:sz w:val="18"/>
        </w:rPr>
        <w:t xml:space="preserve">Elaboração </w:t>
      </w:r>
      <w:proofErr w:type="gramStart"/>
      <w:r w:rsidR="00EC5694" w:rsidRPr="00BE6974">
        <w:rPr>
          <w:sz w:val="18"/>
        </w:rPr>
        <w:t>própria</w:t>
      </w:r>
      <w:proofErr w:type="gramEnd"/>
    </w:p>
    <w:p w:rsidR="000E437B" w:rsidRPr="000F1D00" w:rsidRDefault="00D41154" w:rsidP="00FF5024">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0F1D00">
        <w:rPr>
          <w:rFonts w:ascii="Times New Roman" w:eastAsia="Times New Roman" w:hAnsi="Times New Roman" w:cs="Times New Roman"/>
          <w:sz w:val="24"/>
          <w:szCs w:val="24"/>
          <w:lang w:eastAsia="pt-BR"/>
        </w:rPr>
        <w:t>As três</w:t>
      </w:r>
      <w:r>
        <w:rPr>
          <w:rFonts w:ascii="Times New Roman" w:eastAsia="Times New Roman" w:hAnsi="Times New Roman" w:cs="Times New Roman"/>
          <w:sz w:val="24"/>
          <w:szCs w:val="24"/>
          <w:lang w:eastAsia="pt-BR"/>
        </w:rPr>
        <w:t xml:space="preserve"> principais </w:t>
      </w:r>
      <w:r w:rsidRPr="000F1D00">
        <w:rPr>
          <w:rFonts w:ascii="Times New Roman" w:eastAsia="Times New Roman" w:hAnsi="Times New Roman" w:cs="Times New Roman"/>
          <w:sz w:val="24"/>
          <w:szCs w:val="24"/>
          <w:lang w:eastAsia="pt-BR"/>
        </w:rPr>
        <w:t>agências</w:t>
      </w:r>
      <w:r>
        <w:rPr>
          <w:rFonts w:ascii="Times New Roman" w:eastAsia="Times New Roman" w:hAnsi="Times New Roman" w:cs="Times New Roman"/>
          <w:sz w:val="24"/>
          <w:szCs w:val="24"/>
          <w:lang w:eastAsia="pt-BR"/>
        </w:rPr>
        <w:t xml:space="preserve"> </w:t>
      </w:r>
      <w:r w:rsidRPr="007C712A">
        <w:rPr>
          <w:rFonts w:ascii="Times New Roman" w:eastAsia="Times New Roman" w:hAnsi="Times New Roman" w:cs="Times New Roman"/>
          <w:sz w:val="24"/>
          <w:szCs w:val="24"/>
          <w:lang w:eastAsia="pt-BR"/>
        </w:rPr>
        <w:t>de classificação de risco</w:t>
      </w:r>
      <w:r>
        <w:rPr>
          <w:rFonts w:ascii="Times New Roman" w:eastAsia="Times New Roman" w:hAnsi="Times New Roman" w:cs="Times New Roman"/>
          <w:sz w:val="24"/>
          <w:szCs w:val="24"/>
          <w:lang w:eastAsia="pt-BR"/>
        </w:rPr>
        <w:t xml:space="preserve"> avaliaram</w:t>
      </w:r>
      <w:r w:rsidRPr="000F1D00">
        <w:rPr>
          <w:rFonts w:ascii="Times New Roman" w:eastAsia="Times New Roman" w:hAnsi="Times New Roman" w:cs="Times New Roman"/>
          <w:sz w:val="24"/>
          <w:szCs w:val="24"/>
          <w:lang w:eastAsia="pt-BR"/>
        </w:rPr>
        <w:t xml:space="preserve"> as emissões dentro do Grau de Investimento </w:t>
      </w:r>
      <w:r>
        <w:rPr>
          <w:rFonts w:ascii="Times New Roman" w:eastAsia="Times New Roman" w:hAnsi="Times New Roman" w:cs="Times New Roman"/>
          <w:sz w:val="24"/>
          <w:szCs w:val="24"/>
          <w:lang w:eastAsia="pt-BR"/>
        </w:rPr>
        <w:t>M</w:t>
      </w:r>
      <w:r w:rsidRPr="000F1D00">
        <w:rPr>
          <w:rFonts w:ascii="Times New Roman" w:eastAsia="Times New Roman" w:hAnsi="Times New Roman" w:cs="Times New Roman"/>
          <w:sz w:val="24"/>
          <w:szCs w:val="24"/>
          <w:lang w:eastAsia="pt-BR"/>
        </w:rPr>
        <w:t>édio</w:t>
      </w:r>
      <w:r>
        <w:rPr>
          <w:rFonts w:ascii="Times New Roman" w:eastAsia="Times New Roman" w:hAnsi="Times New Roman" w:cs="Times New Roman"/>
          <w:sz w:val="24"/>
          <w:szCs w:val="24"/>
          <w:lang w:eastAsia="pt-BR"/>
        </w:rPr>
        <w:t>,</w:t>
      </w:r>
      <w:r w:rsidRPr="000F1D00">
        <w:rPr>
          <w:rFonts w:ascii="Times New Roman" w:eastAsia="Times New Roman" w:hAnsi="Times New Roman" w:cs="Times New Roman"/>
          <w:sz w:val="24"/>
          <w:szCs w:val="24"/>
          <w:lang w:eastAsia="pt-BR"/>
        </w:rPr>
        <w:t xml:space="preserve"> o que significa que elas têm baixa expectativa de risco de inadimplência com capacidade de pagamento adequada, porém mudanças adversas nos negócios ou nas condições econômicas tem maior probabilidade de limitar essa capacidade de pagamentos.</w:t>
      </w:r>
      <w:r w:rsidRPr="00D41154">
        <w:rPr>
          <w:rFonts w:ascii="Times New Roman" w:eastAsia="Times New Roman" w:hAnsi="Times New Roman" w:cs="Times New Roman"/>
          <w:sz w:val="24"/>
          <w:szCs w:val="24"/>
          <w:lang w:eastAsia="pt-BR"/>
        </w:rPr>
        <w:t xml:space="preserve"> </w:t>
      </w:r>
      <w:r w:rsidR="000E437B" w:rsidRPr="000F1D00">
        <w:rPr>
          <w:rFonts w:ascii="Times New Roman" w:eastAsia="Times New Roman" w:hAnsi="Times New Roman" w:cs="Times New Roman"/>
          <w:sz w:val="24"/>
          <w:szCs w:val="24"/>
          <w:lang w:eastAsia="pt-BR"/>
        </w:rPr>
        <w:t xml:space="preserve">Estes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000E437B" w:rsidRPr="000F1D00">
        <w:rPr>
          <w:rFonts w:ascii="Times New Roman" w:eastAsia="Times New Roman" w:hAnsi="Times New Roman" w:cs="Times New Roman"/>
          <w:sz w:val="24"/>
          <w:szCs w:val="24"/>
          <w:lang w:eastAsia="pt-BR"/>
        </w:rPr>
        <w:t xml:space="preserve"> emitidos pelo Banco do Brasil atendem os requisitos de Basiléia III e foram aprovados pelo Banco C</w:t>
      </w:r>
      <w:r w:rsidR="007C712A">
        <w:rPr>
          <w:rFonts w:ascii="Times New Roman" w:eastAsia="Times New Roman" w:hAnsi="Times New Roman" w:cs="Times New Roman"/>
          <w:sz w:val="24"/>
          <w:szCs w:val="24"/>
          <w:lang w:eastAsia="pt-BR"/>
        </w:rPr>
        <w:t>entral do Brasil para compor o c</w:t>
      </w:r>
      <w:r w:rsidR="000E437B" w:rsidRPr="000F1D00">
        <w:rPr>
          <w:rFonts w:ascii="Times New Roman" w:eastAsia="Times New Roman" w:hAnsi="Times New Roman" w:cs="Times New Roman"/>
          <w:sz w:val="24"/>
          <w:szCs w:val="24"/>
          <w:lang w:eastAsia="pt-BR"/>
        </w:rPr>
        <w:t xml:space="preserve">apital </w:t>
      </w:r>
      <w:r w:rsidR="007C712A">
        <w:rPr>
          <w:rFonts w:ascii="Times New Roman" w:eastAsia="Times New Roman" w:hAnsi="Times New Roman" w:cs="Times New Roman"/>
          <w:sz w:val="24"/>
          <w:szCs w:val="24"/>
          <w:lang w:eastAsia="pt-BR"/>
        </w:rPr>
        <w:t>a</w:t>
      </w:r>
      <w:r w:rsidR="000E437B" w:rsidRPr="000F1D00">
        <w:rPr>
          <w:rFonts w:ascii="Times New Roman" w:eastAsia="Times New Roman" w:hAnsi="Times New Roman" w:cs="Times New Roman"/>
          <w:sz w:val="24"/>
          <w:szCs w:val="24"/>
          <w:lang w:eastAsia="pt-BR"/>
        </w:rPr>
        <w:t xml:space="preserve">dicional de </w:t>
      </w:r>
      <w:r w:rsidR="007C712A">
        <w:rPr>
          <w:rFonts w:ascii="Times New Roman" w:eastAsia="Times New Roman" w:hAnsi="Times New Roman" w:cs="Times New Roman"/>
          <w:sz w:val="24"/>
          <w:szCs w:val="24"/>
          <w:lang w:eastAsia="pt-BR"/>
        </w:rPr>
        <w:t>n</w:t>
      </w:r>
      <w:r w:rsidR="00BF4674">
        <w:rPr>
          <w:rFonts w:ascii="Times New Roman" w:eastAsia="Times New Roman" w:hAnsi="Times New Roman" w:cs="Times New Roman"/>
          <w:sz w:val="24"/>
          <w:szCs w:val="24"/>
          <w:lang w:eastAsia="pt-BR"/>
        </w:rPr>
        <w:t>ível</w:t>
      </w:r>
      <w:r w:rsidR="007C712A">
        <w:rPr>
          <w:rFonts w:ascii="Times New Roman" w:eastAsia="Times New Roman" w:hAnsi="Times New Roman" w:cs="Times New Roman"/>
          <w:sz w:val="24"/>
          <w:szCs w:val="24"/>
          <w:lang w:eastAsia="pt-BR"/>
        </w:rPr>
        <w:t xml:space="preserve"> I</w:t>
      </w:r>
      <w:r w:rsidR="000E437B" w:rsidRPr="000F1D00">
        <w:rPr>
          <w:rFonts w:ascii="Times New Roman" w:eastAsia="Times New Roman" w:hAnsi="Times New Roman" w:cs="Times New Roman"/>
          <w:sz w:val="24"/>
          <w:szCs w:val="24"/>
          <w:lang w:eastAsia="pt-BR"/>
        </w:rPr>
        <w:t xml:space="preserve">. A conversão, no caso do </w:t>
      </w:r>
      <w:r w:rsidR="007C712A">
        <w:rPr>
          <w:rFonts w:ascii="Times New Roman" w:eastAsia="Times New Roman" w:hAnsi="Times New Roman" w:cs="Times New Roman"/>
          <w:sz w:val="24"/>
          <w:szCs w:val="24"/>
          <w:lang w:eastAsia="pt-BR"/>
        </w:rPr>
        <w:t>n</w:t>
      </w:r>
      <w:r w:rsidR="00BF4674">
        <w:rPr>
          <w:rFonts w:ascii="Times New Roman" w:eastAsia="Times New Roman" w:hAnsi="Times New Roman" w:cs="Times New Roman"/>
          <w:sz w:val="24"/>
          <w:szCs w:val="24"/>
          <w:lang w:eastAsia="pt-BR"/>
        </w:rPr>
        <w:t>ível</w:t>
      </w:r>
      <w:r w:rsidR="007C712A">
        <w:rPr>
          <w:rFonts w:ascii="Times New Roman" w:eastAsia="Times New Roman" w:hAnsi="Times New Roman" w:cs="Times New Roman"/>
          <w:sz w:val="24"/>
          <w:szCs w:val="24"/>
          <w:lang w:eastAsia="pt-BR"/>
        </w:rPr>
        <w:t xml:space="preserve"> I</w:t>
      </w:r>
      <w:r w:rsidR="000E437B" w:rsidRPr="000F1D00">
        <w:rPr>
          <w:rFonts w:ascii="Times New Roman" w:eastAsia="Times New Roman" w:hAnsi="Times New Roman" w:cs="Times New Roman"/>
          <w:sz w:val="24"/>
          <w:szCs w:val="24"/>
          <w:lang w:eastAsia="pt-BR"/>
        </w:rPr>
        <w:t xml:space="preserve"> tocar a barreira mínima de 4,25% do RWA, é apenas para o Banco do Brasil, ou seja, apenas o principal é convertido em capital social do banco e a dívida é extinta, não sendo convertida em ações para os investidores. </w:t>
      </w:r>
    </w:p>
    <w:p w:rsidR="000E437B" w:rsidRDefault="000E437B" w:rsidP="00FF5024">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4932D9">
        <w:rPr>
          <w:rFonts w:ascii="Times New Roman" w:eastAsia="Times New Roman" w:hAnsi="Times New Roman" w:cs="Times New Roman"/>
          <w:sz w:val="24"/>
          <w:szCs w:val="24"/>
          <w:lang w:eastAsia="pt-BR"/>
        </w:rPr>
        <w:t xml:space="preserve">Um dos possíveis motivos para o desinteresse dos bancos em emitir esses títulos de dívida até então, pode ter sido </w:t>
      </w:r>
      <w:r w:rsidR="00B27F6A">
        <w:rPr>
          <w:rFonts w:ascii="Times New Roman" w:eastAsia="Times New Roman" w:hAnsi="Times New Roman" w:cs="Times New Roman"/>
          <w:sz w:val="24"/>
          <w:szCs w:val="24"/>
          <w:lang w:eastAsia="pt-BR"/>
        </w:rPr>
        <w:t xml:space="preserve">o </w:t>
      </w:r>
      <w:r w:rsidRPr="004932D9">
        <w:rPr>
          <w:rFonts w:ascii="Times New Roman" w:eastAsia="Times New Roman" w:hAnsi="Times New Roman" w:cs="Times New Roman"/>
          <w:sz w:val="24"/>
          <w:szCs w:val="24"/>
          <w:lang w:eastAsia="pt-BR"/>
        </w:rPr>
        <w:t>maior custo comparado às dívidas subordinadas</w:t>
      </w:r>
      <w:r w:rsidR="00B27F6A">
        <w:rPr>
          <w:rFonts w:ascii="Times New Roman" w:eastAsia="Times New Roman" w:hAnsi="Times New Roman" w:cs="Times New Roman"/>
          <w:sz w:val="24"/>
          <w:szCs w:val="24"/>
          <w:lang w:eastAsia="pt-BR"/>
        </w:rPr>
        <w:t>,</w:t>
      </w:r>
      <w:r w:rsidRPr="004932D9">
        <w:rPr>
          <w:rFonts w:ascii="Times New Roman" w:eastAsia="Times New Roman" w:hAnsi="Times New Roman" w:cs="Times New Roman"/>
          <w:sz w:val="24"/>
          <w:szCs w:val="24"/>
          <w:lang w:eastAsia="pt-BR"/>
        </w:rPr>
        <w:t xml:space="preserve"> dado que a opção de conversão é compensada por um maior retorno periódico.</w:t>
      </w:r>
      <w:r w:rsidRPr="000F1D00">
        <w:rPr>
          <w:rFonts w:ascii="Times New Roman" w:eastAsia="Times New Roman" w:hAnsi="Times New Roman" w:cs="Times New Roman"/>
          <w:sz w:val="24"/>
          <w:szCs w:val="24"/>
          <w:lang w:eastAsia="pt-BR"/>
        </w:rPr>
        <w:t xml:space="preserve"> Outro possível motivo é que</w:t>
      </w:r>
      <w:r w:rsidR="00B27F6A">
        <w:rPr>
          <w:rFonts w:ascii="Times New Roman" w:eastAsia="Times New Roman" w:hAnsi="Times New Roman" w:cs="Times New Roman"/>
          <w:sz w:val="24"/>
          <w:szCs w:val="24"/>
          <w:lang w:eastAsia="pt-BR"/>
        </w:rPr>
        <w:t>,</w:t>
      </w:r>
      <w:r w:rsidRPr="000F1D00">
        <w:rPr>
          <w:rFonts w:ascii="Times New Roman" w:eastAsia="Times New Roman" w:hAnsi="Times New Roman" w:cs="Times New Roman"/>
          <w:sz w:val="24"/>
          <w:szCs w:val="24"/>
          <w:lang w:eastAsia="pt-BR"/>
        </w:rPr>
        <w:t xml:space="preserve"> até 2008 a regulamentação brasileira proibia expressamente a opção de recompra dos instrumentos híbridos de capital e dívida que fizessem parte do </w:t>
      </w:r>
      <w:r w:rsidR="00B27F6A">
        <w:rPr>
          <w:rFonts w:ascii="Times New Roman" w:eastAsia="Times New Roman" w:hAnsi="Times New Roman" w:cs="Times New Roman"/>
          <w:sz w:val="24"/>
          <w:szCs w:val="24"/>
          <w:lang w:eastAsia="pt-BR"/>
        </w:rPr>
        <w:t>p</w:t>
      </w:r>
      <w:r w:rsidR="00D64C34">
        <w:rPr>
          <w:rFonts w:ascii="Times New Roman" w:eastAsia="Times New Roman" w:hAnsi="Times New Roman" w:cs="Times New Roman"/>
          <w:sz w:val="24"/>
          <w:szCs w:val="24"/>
          <w:lang w:eastAsia="pt-BR"/>
        </w:rPr>
        <w:t xml:space="preserve">atrimônio de </w:t>
      </w:r>
      <w:r w:rsidR="007C4EE9">
        <w:rPr>
          <w:rFonts w:ascii="Times New Roman" w:eastAsia="Times New Roman" w:hAnsi="Times New Roman" w:cs="Times New Roman"/>
          <w:sz w:val="24"/>
          <w:szCs w:val="24"/>
          <w:lang w:eastAsia="pt-BR"/>
        </w:rPr>
        <w:t>referência</w:t>
      </w:r>
      <w:r w:rsidR="00542A1F">
        <w:rPr>
          <w:rFonts w:ascii="Times New Roman" w:eastAsia="Times New Roman" w:hAnsi="Times New Roman" w:cs="Times New Roman"/>
          <w:sz w:val="24"/>
          <w:szCs w:val="24"/>
          <w:lang w:eastAsia="pt-BR"/>
        </w:rPr>
        <w:t xml:space="preserve"> (inciso III do </w:t>
      </w:r>
      <w:proofErr w:type="spellStart"/>
      <w:r w:rsidR="00542A1F">
        <w:rPr>
          <w:rFonts w:ascii="Times New Roman" w:eastAsia="Times New Roman" w:hAnsi="Times New Roman" w:cs="Times New Roman"/>
          <w:sz w:val="24"/>
          <w:szCs w:val="24"/>
          <w:lang w:eastAsia="pt-BR"/>
        </w:rPr>
        <w:t>art</w:t>
      </w:r>
      <w:proofErr w:type="spellEnd"/>
      <w:r w:rsidR="00542A1F">
        <w:rPr>
          <w:rFonts w:ascii="Times New Roman" w:eastAsia="Times New Roman" w:hAnsi="Times New Roman" w:cs="Times New Roman"/>
          <w:sz w:val="24"/>
          <w:szCs w:val="24"/>
          <w:lang w:eastAsia="pt-BR"/>
        </w:rPr>
        <w:t xml:space="preserve"> 8º </w:t>
      </w:r>
      <w:r w:rsidRPr="000F1D00">
        <w:rPr>
          <w:rFonts w:ascii="Times New Roman" w:eastAsia="Times New Roman" w:hAnsi="Times New Roman" w:cs="Times New Roman"/>
          <w:sz w:val="24"/>
          <w:szCs w:val="24"/>
          <w:lang w:eastAsia="pt-BR"/>
        </w:rPr>
        <w:t>CMN nº 3.</w:t>
      </w:r>
      <w:r w:rsidR="00542A1F">
        <w:rPr>
          <w:rFonts w:ascii="Times New Roman" w:eastAsia="Times New Roman" w:hAnsi="Times New Roman" w:cs="Times New Roman"/>
          <w:sz w:val="24"/>
          <w:szCs w:val="24"/>
          <w:lang w:eastAsia="pt-BR"/>
        </w:rPr>
        <w:t>444, de 28/02/</w:t>
      </w:r>
      <w:r w:rsidRPr="000F1D00">
        <w:rPr>
          <w:rFonts w:ascii="Times New Roman" w:eastAsia="Times New Roman" w:hAnsi="Times New Roman" w:cs="Times New Roman"/>
          <w:sz w:val="24"/>
          <w:szCs w:val="24"/>
          <w:lang w:eastAsia="pt-BR"/>
        </w:rPr>
        <w:t>2007)</w:t>
      </w:r>
      <w:r w:rsidR="00B27F6A">
        <w:rPr>
          <w:rFonts w:ascii="Times New Roman" w:eastAsia="Times New Roman" w:hAnsi="Times New Roman" w:cs="Times New Roman"/>
          <w:sz w:val="24"/>
          <w:szCs w:val="24"/>
          <w:lang w:eastAsia="pt-BR"/>
        </w:rPr>
        <w:t>,</w:t>
      </w:r>
      <w:r w:rsidRPr="000F1D00">
        <w:rPr>
          <w:rFonts w:ascii="Times New Roman" w:eastAsia="Times New Roman" w:hAnsi="Times New Roman" w:cs="Times New Roman"/>
          <w:sz w:val="24"/>
          <w:szCs w:val="24"/>
          <w:lang w:eastAsia="pt-BR"/>
        </w:rPr>
        <w:t xml:space="preserve"> e essa restrição</w:t>
      </w:r>
      <w:r w:rsidR="00B27F6A">
        <w:rPr>
          <w:rFonts w:ascii="Times New Roman" w:eastAsia="Times New Roman" w:hAnsi="Times New Roman" w:cs="Times New Roman"/>
          <w:sz w:val="24"/>
          <w:szCs w:val="24"/>
          <w:lang w:eastAsia="pt-BR"/>
        </w:rPr>
        <w:t>,</w:t>
      </w:r>
      <w:r w:rsidRPr="000F1D00">
        <w:rPr>
          <w:rFonts w:ascii="Times New Roman" w:eastAsia="Times New Roman" w:hAnsi="Times New Roman" w:cs="Times New Roman"/>
          <w:sz w:val="24"/>
          <w:szCs w:val="24"/>
          <w:lang w:eastAsia="pt-BR"/>
        </w:rPr>
        <w:t xml:space="preserve"> na prática se constituía apenas em fator de perda de competitividade para as instituições financeiras.</w:t>
      </w:r>
      <w:r w:rsidR="00542A1F">
        <w:rPr>
          <w:rFonts w:ascii="Times New Roman" w:eastAsia="Times New Roman" w:hAnsi="Times New Roman" w:cs="Times New Roman"/>
          <w:sz w:val="24"/>
          <w:szCs w:val="24"/>
          <w:lang w:eastAsia="pt-BR"/>
        </w:rPr>
        <w:t xml:space="preserve"> </w:t>
      </w:r>
      <w:r w:rsidRPr="000F1D00">
        <w:rPr>
          <w:rFonts w:ascii="Times New Roman" w:eastAsia="Times New Roman" w:hAnsi="Times New Roman" w:cs="Times New Roman"/>
          <w:sz w:val="24"/>
          <w:szCs w:val="24"/>
          <w:lang w:eastAsia="pt-BR"/>
        </w:rPr>
        <w:t xml:space="preserve"> Mesmo depois da alteração da CVM nº 3444, não </w:t>
      </w:r>
      <w:proofErr w:type="gramStart"/>
      <w:r w:rsidRPr="000F1D00">
        <w:rPr>
          <w:rFonts w:ascii="Times New Roman" w:eastAsia="Times New Roman" w:hAnsi="Times New Roman" w:cs="Times New Roman"/>
          <w:sz w:val="24"/>
          <w:szCs w:val="24"/>
          <w:lang w:eastAsia="pt-BR"/>
        </w:rPr>
        <w:t>houve</w:t>
      </w:r>
      <w:r w:rsidR="00B27F6A">
        <w:rPr>
          <w:rFonts w:ascii="Times New Roman" w:eastAsia="Times New Roman" w:hAnsi="Times New Roman" w:cs="Times New Roman"/>
          <w:sz w:val="24"/>
          <w:szCs w:val="24"/>
          <w:lang w:eastAsia="pt-BR"/>
        </w:rPr>
        <w:t>,</w:t>
      </w:r>
      <w:proofErr w:type="gramEnd"/>
      <w:r w:rsidR="00B27F6A">
        <w:rPr>
          <w:rFonts w:ascii="Times New Roman" w:eastAsia="Times New Roman" w:hAnsi="Times New Roman" w:cs="Times New Roman"/>
          <w:sz w:val="24"/>
          <w:szCs w:val="24"/>
          <w:lang w:eastAsia="pt-BR"/>
        </w:rPr>
        <w:t xml:space="preserve"> de imediato,</w:t>
      </w:r>
      <w:r w:rsidRPr="000F1D00">
        <w:rPr>
          <w:rFonts w:ascii="Times New Roman" w:eastAsia="Times New Roman" w:hAnsi="Times New Roman" w:cs="Times New Roman"/>
          <w:sz w:val="24"/>
          <w:szCs w:val="24"/>
          <w:lang w:eastAsia="pt-BR"/>
        </w:rPr>
        <w:t xml:space="preserve"> manifestação </w:t>
      </w:r>
      <w:r w:rsidR="00B27F6A">
        <w:rPr>
          <w:rFonts w:ascii="Times New Roman" w:eastAsia="Times New Roman" w:hAnsi="Times New Roman" w:cs="Times New Roman"/>
          <w:sz w:val="24"/>
          <w:szCs w:val="24"/>
          <w:lang w:eastAsia="pt-BR"/>
        </w:rPr>
        <w:t xml:space="preserve">por parte </w:t>
      </w:r>
      <w:r w:rsidRPr="000F1D00">
        <w:rPr>
          <w:rFonts w:ascii="Times New Roman" w:eastAsia="Times New Roman" w:hAnsi="Times New Roman" w:cs="Times New Roman"/>
          <w:sz w:val="24"/>
          <w:szCs w:val="24"/>
          <w:lang w:eastAsia="pt-BR"/>
        </w:rPr>
        <w:t xml:space="preserve">dos bancos privados em emitir esse tipo de instrumento financeiro. Isto muito provavelmente porque, estando capitalizados, seria necessário resgatar suas dívidas subordinadas antes do vencimento, o que tem um custo associado, e emitir novas dívidas em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00B27F6A">
        <w:rPr>
          <w:rFonts w:ascii="Times New Roman" w:eastAsia="Times New Roman" w:hAnsi="Times New Roman" w:cs="Times New Roman"/>
          <w:sz w:val="24"/>
          <w:szCs w:val="24"/>
          <w:lang w:eastAsia="pt-BR"/>
        </w:rPr>
        <w:t>, com mais outro</w:t>
      </w:r>
      <w:r w:rsidRPr="000F1D00">
        <w:rPr>
          <w:rFonts w:ascii="Times New Roman" w:eastAsia="Times New Roman" w:hAnsi="Times New Roman" w:cs="Times New Roman"/>
          <w:sz w:val="24"/>
          <w:szCs w:val="24"/>
          <w:lang w:eastAsia="pt-BR"/>
        </w:rPr>
        <w:t xml:space="preserve"> custo associado, ou seja, antecipar a troca dessas dívidas poderia trazer mais custos do que benefícios para o banco.</w:t>
      </w:r>
      <w:r w:rsidRPr="004F0488">
        <w:rPr>
          <w:rFonts w:ascii="Times New Roman" w:eastAsia="Times New Roman" w:hAnsi="Times New Roman" w:cs="Times New Roman"/>
          <w:sz w:val="24"/>
          <w:szCs w:val="24"/>
          <w:lang w:eastAsia="pt-BR"/>
        </w:rPr>
        <w:t xml:space="preserve"> </w:t>
      </w:r>
    </w:p>
    <w:p w:rsidR="006926A3" w:rsidRPr="00D97FFB" w:rsidRDefault="001514B8" w:rsidP="00154E56">
      <w:pPr>
        <w:pStyle w:val="PargrafodaLista"/>
        <w:keepNext/>
        <w:keepLines/>
        <w:numPr>
          <w:ilvl w:val="1"/>
          <w:numId w:val="20"/>
        </w:numPr>
        <w:spacing w:after="120" w:line="240" w:lineRule="auto"/>
        <w:outlineLvl w:val="0"/>
        <w:rPr>
          <w:rFonts w:ascii="Times New Roman" w:eastAsiaTheme="majorEastAsia" w:hAnsi="Times New Roman" w:cs="Times New Roman"/>
          <w:b/>
          <w:bCs/>
          <w:sz w:val="24"/>
          <w:szCs w:val="28"/>
        </w:rPr>
      </w:pPr>
      <w:bookmarkStart w:id="3" w:name="_Toc390075548"/>
      <w:r w:rsidRPr="00D97FFB">
        <w:rPr>
          <w:rFonts w:ascii="Times New Roman" w:eastAsiaTheme="majorEastAsia" w:hAnsi="Times New Roman" w:cs="Times New Roman"/>
          <w:b/>
          <w:bCs/>
          <w:sz w:val="24"/>
          <w:szCs w:val="28"/>
        </w:rPr>
        <w:t xml:space="preserve">Basiléia </w:t>
      </w:r>
      <w:r w:rsidR="006926A3" w:rsidRPr="00D97FFB">
        <w:rPr>
          <w:rFonts w:ascii="Times New Roman" w:eastAsiaTheme="majorEastAsia" w:hAnsi="Times New Roman" w:cs="Times New Roman"/>
          <w:b/>
          <w:bCs/>
          <w:sz w:val="24"/>
          <w:szCs w:val="28"/>
        </w:rPr>
        <w:t xml:space="preserve">III, Estrutura </w:t>
      </w:r>
      <w:proofErr w:type="gramStart"/>
      <w:r w:rsidR="006926A3" w:rsidRPr="00D97FFB">
        <w:rPr>
          <w:rFonts w:ascii="Times New Roman" w:eastAsiaTheme="majorEastAsia" w:hAnsi="Times New Roman" w:cs="Times New Roman"/>
          <w:b/>
          <w:bCs/>
          <w:sz w:val="24"/>
          <w:szCs w:val="28"/>
        </w:rPr>
        <w:t>de Capital e Contingentes Conversíveis no Contexto Mundial</w:t>
      </w:r>
      <w:bookmarkEnd w:id="3"/>
      <w:proofErr w:type="gramEnd"/>
    </w:p>
    <w:p w:rsidR="00B03707" w:rsidRDefault="00542A1F" w:rsidP="004B182C">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excesso de capital é observado há algum tempo,</w:t>
      </w:r>
      <w:proofErr w:type="gramStart"/>
      <w:r>
        <w:rPr>
          <w:rFonts w:ascii="Times New Roman" w:eastAsia="Times New Roman" w:hAnsi="Times New Roman" w:cs="Times New Roman"/>
          <w:sz w:val="24"/>
          <w:szCs w:val="24"/>
          <w:lang w:eastAsia="pt-BR"/>
        </w:rPr>
        <w:t xml:space="preserve">  </w:t>
      </w:r>
      <w:proofErr w:type="spellStart"/>
      <w:proofErr w:type="gramEnd"/>
      <w:r w:rsidR="00B03707" w:rsidRPr="00F56186">
        <w:rPr>
          <w:rFonts w:ascii="Times New Roman" w:eastAsia="Times New Roman" w:hAnsi="Times New Roman" w:cs="Times New Roman"/>
          <w:sz w:val="24"/>
          <w:szCs w:val="24"/>
          <w:lang w:eastAsia="pt-BR"/>
        </w:rPr>
        <w:t>Flannery</w:t>
      </w:r>
      <w:proofErr w:type="spellEnd"/>
      <w:r w:rsidR="00B03707" w:rsidRPr="00F56186">
        <w:rPr>
          <w:rFonts w:ascii="Times New Roman" w:eastAsia="Times New Roman" w:hAnsi="Times New Roman" w:cs="Times New Roman"/>
          <w:sz w:val="24"/>
          <w:szCs w:val="24"/>
          <w:lang w:eastAsia="pt-BR"/>
        </w:rPr>
        <w:t xml:space="preserve"> e </w:t>
      </w:r>
      <w:proofErr w:type="spellStart"/>
      <w:r w:rsidR="00B03707" w:rsidRPr="00F56186">
        <w:rPr>
          <w:rFonts w:ascii="Times New Roman" w:eastAsia="Times New Roman" w:hAnsi="Times New Roman" w:cs="Times New Roman"/>
          <w:sz w:val="24"/>
          <w:szCs w:val="24"/>
          <w:lang w:eastAsia="pt-BR"/>
        </w:rPr>
        <w:t>Rangan</w:t>
      </w:r>
      <w:proofErr w:type="spellEnd"/>
      <w:r w:rsidR="00B03707" w:rsidRPr="00F56186">
        <w:rPr>
          <w:rFonts w:ascii="Times New Roman" w:eastAsia="Times New Roman" w:hAnsi="Times New Roman" w:cs="Times New Roman"/>
          <w:sz w:val="24"/>
          <w:szCs w:val="24"/>
          <w:lang w:eastAsia="pt-BR"/>
        </w:rPr>
        <w:t xml:space="preserve"> (2008)</w:t>
      </w:r>
      <w:r w:rsidR="00B03707">
        <w:rPr>
          <w:rFonts w:ascii="Times New Roman" w:eastAsia="Times New Roman" w:hAnsi="Times New Roman" w:cs="Times New Roman"/>
          <w:sz w:val="24"/>
          <w:szCs w:val="24"/>
          <w:lang w:eastAsia="pt-BR"/>
        </w:rPr>
        <w:t>,</w:t>
      </w:r>
      <w:r w:rsidR="00B03707" w:rsidRPr="00F56186">
        <w:rPr>
          <w:rFonts w:ascii="Times New Roman" w:eastAsia="Times New Roman" w:hAnsi="Times New Roman" w:cs="Times New Roman"/>
          <w:sz w:val="24"/>
          <w:szCs w:val="24"/>
          <w:lang w:eastAsia="pt-BR"/>
        </w:rPr>
        <w:t xml:space="preserve"> em um </w:t>
      </w:r>
      <w:r w:rsidR="00B03707">
        <w:rPr>
          <w:rFonts w:ascii="Times New Roman" w:eastAsia="Times New Roman" w:hAnsi="Times New Roman" w:cs="Times New Roman"/>
          <w:sz w:val="24"/>
          <w:szCs w:val="24"/>
          <w:lang w:eastAsia="pt-BR"/>
        </w:rPr>
        <w:t>estudo sobre os grandes bancos d</w:t>
      </w:r>
      <w:r w:rsidR="00B03707" w:rsidRPr="00F56186">
        <w:rPr>
          <w:rFonts w:ascii="Times New Roman" w:eastAsia="Times New Roman" w:hAnsi="Times New Roman" w:cs="Times New Roman"/>
          <w:sz w:val="24"/>
          <w:szCs w:val="24"/>
          <w:lang w:eastAsia="pt-BR"/>
        </w:rPr>
        <w:t xml:space="preserve">os </w:t>
      </w:r>
      <w:r w:rsidR="00B03707">
        <w:rPr>
          <w:rFonts w:ascii="Times New Roman" w:eastAsia="Times New Roman" w:hAnsi="Times New Roman" w:cs="Times New Roman"/>
          <w:sz w:val="24"/>
          <w:szCs w:val="24"/>
          <w:lang w:eastAsia="pt-BR"/>
        </w:rPr>
        <w:t xml:space="preserve">Estados Unidos </w:t>
      </w:r>
      <w:r w:rsidR="00B03707" w:rsidRPr="00F56186">
        <w:rPr>
          <w:rFonts w:ascii="Times New Roman" w:eastAsia="Times New Roman" w:hAnsi="Times New Roman" w:cs="Times New Roman"/>
          <w:sz w:val="24"/>
          <w:szCs w:val="24"/>
          <w:lang w:eastAsia="pt-BR"/>
        </w:rPr>
        <w:t>durante a década de 90</w:t>
      </w:r>
      <w:r w:rsidR="00B03707">
        <w:rPr>
          <w:rFonts w:ascii="Times New Roman" w:eastAsia="Times New Roman" w:hAnsi="Times New Roman" w:cs="Times New Roman"/>
          <w:sz w:val="24"/>
          <w:szCs w:val="24"/>
          <w:lang w:eastAsia="pt-BR"/>
        </w:rPr>
        <w:t>,</w:t>
      </w:r>
      <w:r w:rsidR="00B03707" w:rsidRPr="00F56186">
        <w:rPr>
          <w:rFonts w:ascii="Times New Roman" w:eastAsia="Times New Roman" w:hAnsi="Times New Roman" w:cs="Times New Roman"/>
          <w:sz w:val="24"/>
          <w:szCs w:val="24"/>
          <w:lang w:eastAsia="pt-BR"/>
        </w:rPr>
        <w:t xml:space="preserve"> evidenciam o crescimento de capital pós-recessão, levando os bancos a acumularem capital, em média, 75% acima do capital mínimo regulatório</w:t>
      </w:r>
      <w:r w:rsidR="00B03707">
        <w:rPr>
          <w:rFonts w:ascii="Times New Roman" w:eastAsia="Times New Roman" w:hAnsi="Times New Roman" w:cs="Times New Roman"/>
          <w:sz w:val="24"/>
          <w:szCs w:val="24"/>
          <w:lang w:eastAsia="pt-BR"/>
        </w:rPr>
        <w:t>, como forma de resposta</w:t>
      </w:r>
      <w:r w:rsidR="00B03707" w:rsidRPr="00F56186">
        <w:rPr>
          <w:rFonts w:ascii="Times New Roman" w:eastAsia="Times New Roman" w:hAnsi="Times New Roman" w:cs="Times New Roman"/>
          <w:sz w:val="24"/>
          <w:szCs w:val="24"/>
          <w:lang w:eastAsia="pt-BR"/>
        </w:rPr>
        <w:t xml:space="preserve"> racional dos participantes do mer</w:t>
      </w:r>
      <w:r w:rsidR="00B03707">
        <w:rPr>
          <w:rFonts w:ascii="Times New Roman" w:eastAsia="Times New Roman" w:hAnsi="Times New Roman" w:cs="Times New Roman"/>
          <w:sz w:val="24"/>
          <w:szCs w:val="24"/>
          <w:lang w:eastAsia="pt-BR"/>
        </w:rPr>
        <w:t>cado bancário à</w:t>
      </w:r>
      <w:r w:rsidR="00B03707" w:rsidRPr="00F56186">
        <w:rPr>
          <w:rFonts w:ascii="Times New Roman" w:eastAsia="Times New Roman" w:hAnsi="Times New Roman" w:cs="Times New Roman"/>
          <w:sz w:val="24"/>
          <w:szCs w:val="24"/>
          <w:lang w:eastAsia="pt-BR"/>
        </w:rPr>
        <w:t xml:space="preserve"> medida de retirada das garantias governamentais implícitas. Pós 1993, a correlação entre exposição ao risco e o índice de capital passou a ser positiva</w:t>
      </w:r>
      <w:r w:rsidR="00B03707">
        <w:rPr>
          <w:rFonts w:ascii="Times New Roman" w:eastAsia="Times New Roman" w:hAnsi="Times New Roman" w:cs="Times New Roman"/>
          <w:sz w:val="24"/>
          <w:szCs w:val="24"/>
          <w:lang w:eastAsia="pt-BR"/>
        </w:rPr>
        <w:t xml:space="preserve">, </w:t>
      </w:r>
      <w:r w:rsidR="00B03707" w:rsidRPr="00F56186">
        <w:rPr>
          <w:rFonts w:ascii="Times New Roman" w:eastAsia="Times New Roman" w:hAnsi="Times New Roman" w:cs="Times New Roman"/>
          <w:sz w:val="24"/>
          <w:szCs w:val="24"/>
          <w:lang w:eastAsia="pt-BR"/>
        </w:rPr>
        <w:t xml:space="preserve">época da entrada da regulamentação de enfraquecimento das garantias governamentais. De fato a combinação de aversão crescente e aumento da exposição ao risco explicam a maior parte do </w:t>
      </w:r>
      <w:r w:rsidR="00B03707" w:rsidRPr="00F56186">
        <w:rPr>
          <w:rFonts w:ascii="Times New Roman" w:eastAsia="Times New Roman" w:hAnsi="Times New Roman" w:cs="Times New Roman"/>
          <w:sz w:val="24"/>
          <w:szCs w:val="24"/>
          <w:lang w:eastAsia="pt-BR"/>
        </w:rPr>
        <w:lastRenderedPageBreak/>
        <w:t xml:space="preserve">capital em excesso. </w:t>
      </w:r>
      <w:r w:rsidR="00B03707">
        <w:rPr>
          <w:rFonts w:ascii="Times New Roman" w:eastAsia="Times New Roman" w:hAnsi="Times New Roman" w:cs="Times New Roman"/>
          <w:sz w:val="24"/>
          <w:szCs w:val="24"/>
          <w:lang w:eastAsia="pt-BR"/>
        </w:rPr>
        <w:t>Além disso, a ide</w:t>
      </w:r>
      <w:r w:rsidR="00B03707" w:rsidRPr="00CD6F85">
        <w:rPr>
          <w:rFonts w:ascii="Times New Roman" w:eastAsia="Times New Roman" w:hAnsi="Times New Roman" w:cs="Times New Roman"/>
          <w:sz w:val="24"/>
          <w:szCs w:val="24"/>
          <w:lang w:eastAsia="pt-BR"/>
        </w:rPr>
        <w:t>ia de que os órgãos reguladores distorcem os incentivos dos bancos</w:t>
      </w:r>
      <w:r w:rsidR="00B03707">
        <w:rPr>
          <w:rFonts w:ascii="Times New Roman" w:eastAsia="Times New Roman" w:hAnsi="Times New Roman" w:cs="Times New Roman"/>
          <w:sz w:val="24"/>
          <w:szCs w:val="24"/>
          <w:lang w:eastAsia="pt-BR"/>
        </w:rPr>
        <w:t>,</w:t>
      </w:r>
      <w:r w:rsidR="00B03707" w:rsidRPr="00CD6F85">
        <w:rPr>
          <w:rFonts w:ascii="Times New Roman" w:eastAsia="Times New Roman" w:hAnsi="Times New Roman" w:cs="Times New Roman"/>
          <w:sz w:val="24"/>
          <w:szCs w:val="24"/>
          <w:lang w:eastAsia="pt-BR"/>
        </w:rPr>
        <w:t xml:space="preserve"> limitando sua </w:t>
      </w:r>
      <w:proofErr w:type="gramStart"/>
      <w:r w:rsidR="00B03707" w:rsidRPr="00CD6F85">
        <w:rPr>
          <w:rFonts w:ascii="Times New Roman" w:eastAsia="Times New Roman" w:hAnsi="Times New Roman" w:cs="Times New Roman"/>
          <w:sz w:val="24"/>
          <w:szCs w:val="24"/>
          <w:lang w:eastAsia="pt-BR"/>
        </w:rPr>
        <w:t>alavancagem</w:t>
      </w:r>
      <w:proofErr w:type="gramEnd"/>
      <w:r w:rsidR="00B03707">
        <w:rPr>
          <w:rFonts w:ascii="Times New Roman" w:eastAsia="Times New Roman" w:hAnsi="Times New Roman" w:cs="Times New Roman"/>
          <w:sz w:val="24"/>
          <w:szCs w:val="24"/>
          <w:lang w:eastAsia="pt-BR"/>
        </w:rPr>
        <w:t>,</w:t>
      </w:r>
      <w:r w:rsidR="00B03707" w:rsidRPr="00CD6F85">
        <w:rPr>
          <w:rFonts w:ascii="Times New Roman" w:eastAsia="Times New Roman" w:hAnsi="Times New Roman" w:cs="Times New Roman"/>
          <w:sz w:val="24"/>
          <w:szCs w:val="24"/>
          <w:lang w:eastAsia="pt-BR"/>
        </w:rPr>
        <w:t xml:space="preserve"> pode ter sido verdade nos anos 80, depois disso os bancos passam a elevar e mant</w:t>
      </w:r>
      <w:r w:rsidR="00B03707">
        <w:rPr>
          <w:rFonts w:ascii="Times New Roman" w:eastAsia="Times New Roman" w:hAnsi="Times New Roman" w:cs="Times New Roman"/>
          <w:sz w:val="24"/>
          <w:szCs w:val="24"/>
          <w:lang w:eastAsia="pt-BR"/>
        </w:rPr>
        <w:t>er</w:t>
      </w:r>
      <w:r w:rsidR="00B03707" w:rsidRPr="00CD6F85">
        <w:rPr>
          <w:rFonts w:ascii="Times New Roman" w:eastAsia="Times New Roman" w:hAnsi="Times New Roman" w:cs="Times New Roman"/>
          <w:sz w:val="24"/>
          <w:szCs w:val="24"/>
          <w:lang w:eastAsia="pt-BR"/>
        </w:rPr>
        <w:t xml:space="preserve"> o excesso de capital</w:t>
      </w:r>
      <w:r w:rsidR="00B03707">
        <w:rPr>
          <w:rFonts w:ascii="Times New Roman" w:eastAsia="Times New Roman" w:hAnsi="Times New Roman" w:cs="Times New Roman"/>
          <w:sz w:val="24"/>
          <w:szCs w:val="24"/>
          <w:lang w:eastAsia="pt-BR"/>
        </w:rPr>
        <w:t>,</w:t>
      </w:r>
      <w:r w:rsidR="00B03707" w:rsidRPr="00CD6F85">
        <w:rPr>
          <w:rFonts w:ascii="Times New Roman" w:eastAsia="Times New Roman" w:hAnsi="Times New Roman" w:cs="Times New Roman"/>
          <w:sz w:val="24"/>
          <w:szCs w:val="24"/>
          <w:lang w:eastAsia="pt-BR"/>
        </w:rPr>
        <w:t xml:space="preserve"> a principio por incentivo próprio de se proteger de riscos. Pelas regras de Basiléia I</w:t>
      </w:r>
      <w:r w:rsidR="00B03707">
        <w:rPr>
          <w:rFonts w:ascii="Times New Roman" w:eastAsia="Times New Roman" w:hAnsi="Times New Roman" w:cs="Times New Roman"/>
          <w:sz w:val="24"/>
          <w:szCs w:val="24"/>
          <w:lang w:eastAsia="pt-BR"/>
        </w:rPr>
        <w:t>,</w:t>
      </w:r>
      <w:r w:rsidR="00B03707" w:rsidRPr="00CD6F85">
        <w:rPr>
          <w:rFonts w:ascii="Times New Roman" w:eastAsia="Times New Roman" w:hAnsi="Times New Roman" w:cs="Times New Roman"/>
          <w:sz w:val="24"/>
          <w:szCs w:val="24"/>
          <w:lang w:eastAsia="pt-BR"/>
        </w:rPr>
        <w:t xml:space="preserve"> os mínimos </w:t>
      </w:r>
      <w:r w:rsidR="00B03707">
        <w:rPr>
          <w:rFonts w:ascii="Times New Roman" w:eastAsia="Times New Roman" w:hAnsi="Times New Roman" w:cs="Times New Roman"/>
          <w:sz w:val="24"/>
          <w:szCs w:val="24"/>
          <w:lang w:eastAsia="pt-BR"/>
        </w:rPr>
        <w:t xml:space="preserve">regulatórios </w:t>
      </w:r>
      <w:r w:rsidR="00B03707" w:rsidRPr="00CD6F85">
        <w:rPr>
          <w:rFonts w:ascii="Times New Roman" w:eastAsia="Times New Roman" w:hAnsi="Times New Roman" w:cs="Times New Roman"/>
          <w:sz w:val="24"/>
          <w:szCs w:val="24"/>
          <w:lang w:eastAsia="pt-BR"/>
        </w:rPr>
        <w:t xml:space="preserve">internacionais eram de 4% de </w:t>
      </w:r>
      <w:r w:rsidR="00B03707">
        <w:rPr>
          <w:rFonts w:ascii="Times New Roman" w:eastAsia="Times New Roman" w:hAnsi="Times New Roman" w:cs="Times New Roman"/>
          <w:sz w:val="24"/>
          <w:szCs w:val="24"/>
          <w:lang w:eastAsia="pt-BR"/>
        </w:rPr>
        <w:t xml:space="preserve">nível </w:t>
      </w:r>
      <w:r w:rsidR="00B03707" w:rsidRPr="00CD6F85">
        <w:rPr>
          <w:rFonts w:ascii="Times New Roman" w:eastAsia="Times New Roman" w:hAnsi="Times New Roman" w:cs="Times New Roman"/>
          <w:sz w:val="24"/>
          <w:szCs w:val="24"/>
          <w:lang w:eastAsia="pt-BR"/>
        </w:rPr>
        <w:t xml:space="preserve">I e 8% no total, mas o próprio FDICIA </w:t>
      </w:r>
      <w:r w:rsidR="00B03707">
        <w:rPr>
          <w:rFonts w:ascii="Times New Roman" w:eastAsia="Times New Roman" w:hAnsi="Times New Roman" w:cs="Times New Roman"/>
          <w:sz w:val="24"/>
          <w:szCs w:val="24"/>
          <w:lang w:eastAsia="pt-BR"/>
        </w:rPr>
        <w:t>(</w:t>
      </w:r>
      <w:r w:rsidR="00B03707" w:rsidRPr="00B03707">
        <w:rPr>
          <w:rFonts w:ascii="Times New Roman" w:eastAsia="Times New Roman" w:hAnsi="Times New Roman" w:cs="Times New Roman"/>
          <w:sz w:val="24"/>
          <w:szCs w:val="24"/>
          <w:lang w:eastAsia="pt-BR"/>
        </w:rPr>
        <w:t xml:space="preserve">Federal </w:t>
      </w:r>
      <w:proofErr w:type="spellStart"/>
      <w:r w:rsidR="00B03707" w:rsidRPr="00B03707">
        <w:rPr>
          <w:rFonts w:ascii="Times New Roman" w:eastAsia="Times New Roman" w:hAnsi="Times New Roman" w:cs="Times New Roman"/>
          <w:sz w:val="24"/>
          <w:szCs w:val="24"/>
          <w:lang w:eastAsia="pt-BR"/>
        </w:rPr>
        <w:t>Deposit</w:t>
      </w:r>
      <w:proofErr w:type="spellEnd"/>
      <w:r w:rsidR="00B03707" w:rsidRPr="00B03707">
        <w:rPr>
          <w:rFonts w:ascii="Times New Roman" w:eastAsia="Times New Roman" w:hAnsi="Times New Roman" w:cs="Times New Roman"/>
          <w:sz w:val="24"/>
          <w:szCs w:val="24"/>
          <w:lang w:eastAsia="pt-BR"/>
        </w:rPr>
        <w:t xml:space="preserve"> </w:t>
      </w:r>
      <w:proofErr w:type="spellStart"/>
      <w:r w:rsidR="00B03707" w:rsidRPr="00B03707">
        <w:rPr>
          <w:rFonts w:ascii="Times New Roman" w:eastAsia="Times New Roman" w:hAnsi="Times New Roman" w:cs="Times New Roman"/>
          <w:sz w:val="24"/>
          <w:szCs w:val="24"/>
          <w:lang w:eastAsia="pt-BR"/>
        </w:rPr>
        <w:t>Insurance</w:t>
      </w:r>
      <w:proofErr w:type="spellEnd"/>
      <w:r w:rsidR="00B03707" w:rsidRPr="00B03707">
        <w:rPr>
          <w:rFonts w:ascii="Times New Roman" w:eastAsia="Times New Roman" w:hAnsi="Times New Roman" w:cs="Times New Roman"/>
          <w:sz w:val="24"/>
          <w:szCs w:val="24"/>
          <w:lang w:eastAsia="pt-BR"/>
        </w:rPr>
        <w:t xml:space="preserve"> Corporation </w:t>
      </w:r>
      <w:proofErr w:type="spellStart"/>
      <w:r w:rsidR="00B03707" w:rsidRPr="00B03707">
        <w:rPr>
          <w:rFonts w:ascii="Times New Roman" w:eastAsia="Times New Roman" w:hAnsi="Times New Roman" w:cs="Times New Roman"/>
          <w:sz w:val="24"/>
          <w:szCs w:val="24"/>
          <w:lang w:eastAsia="pt-BR"/>
        </w:rPr>
        <w:t>Improvement</w:t>
      </w:r>
      <w:proofErr w:type="spellEnd"/>
      <w:r w:rsidR="00B03707" w:rsidRPr="00B03707">
        <w:rPr>
          <w:rFonts w:ascii="Times New Roman" w:eastAsia="Times New Roman" w:hAnsi="Times New Roman" w:cs="Times New Roman"/>
          <w:sz w:val="24"/>
          <w:szCs w:val="24"/>
          <w:lang w:eastAsia="pt-BR"/>
        </w:rPr>
        <w:t xml:space="preserve"> </w:t>
      </w:r>
      <w:proofErr w:type="spellStart"/>
      <w:r w:rsidR="00B03707" w:rsidRPr="00B03707">
        <w:rPr>
          <w:rFonts w:ascii="Times New Roman" w:eastAsia="Times New Roman" w:hAnsi="Times New Roman" w:cs="Times New Roman"/>
          <w:sz w:val="24"/>
          <w:szCs w:val="24"/>
          <w:lang w:eastAsia="pt-BR"/>
        </w:rPr>
        <w:t>Act</w:t>
      </w:r>
      <w:proofErr w:type="spellEnd"/>
      <w:r w:rsidR="00B03707" w:rsidRPr="00B03707">
        <w:rPr>
          <w:rFonts w:ascii="Times New Roman" w:eastAsia="Times New Roman" w:hAnsi="Times New Roman" w:cs="Times New Roman"/>
          <w:sz w:val="24"/>
          <w:szCs w:val="24"/>
          <w:lang w:eastAsia="pt-BR"/>
        </w:rPr>
        <w:t xml:space="preserve"> – Lei de Melhoria da Sociedade Federal de Seguro de Depósitos), </w:t>
      </w:r>
      <w:r w:rsidR="00B03707" w:rsidRPr="00CD6F85">
        <w:rPr>
          <w:rFonts w:ascii="Times New Roman" w:eastAsia="Times New Roman" w:hAnsi="Times New Roman" w:cs="Times New Roman"/>
          <w:sz w:val="24"/>
          <w:szCs w:val="24"/>
          <w:lang w:eastAsia="pt-BR"/>
        </w:rPr>
        <w:t xml:space="preserve">especificava que os bancos com </w:t>
      </w:r>
      <w:r w:rsidR="00B03707">
        <w:rPr>
          <w:rFonts w:ascii="Times New Roman" w:eastAsia="Times New Roman" w:hAnsi="Times New Roman" w:cs="Times New Roman"/>
          <w:sz w:val="24"/>
          <w:szCs w:val="24"/>
          <w:lang w:eastAsia="pt-BR"/>
        </w:rPr>
        <w:t xml:space="preserve">nível </w:t>
      </w:r>
      <w:r w:rsidR="00B03707" w:rsidRPr="00CD6F85">
        <w:rPr>
          <w:rFonts w:ascii="Times New Roman" w:eastAsia="Times New Roman" w:hAnsi="Times New Roman" w:cs="Times New Roman"/>
          <w:sz w:val="24"/>
          <w:szCs w:val="24"/>
          <w:lang w:eastAsia="pt-BR"/>
        </w:rPr>
        <w:t xml:space="preserve">I acima de 5% e </w:t>
      </w:r>
      <w:r w:rsidR="00B03707">
        <w:rPr>
          <w:rFonts w:ascii="Times New Roman" w:eastAsia="Times New Roman" w:hAnsi="Times New Roman" w:cs="Times New Roman"/>
          <w:sz w:val="24"/>
          <w:szCs w:val="24"/>
          <w:lang w:eastAsia="pt-BR"/>
        </w:rPr>
        <w:t xml:space="preserve">nível </w:t>
      </w:r>
      <w:r w:rsidR="00B03707" w:rsidRPr="00CD6F85">
        <w:rPr>
          <w:rFonts w:ascii="Times New Roman" w:eastAsia="Times New Roman" w:hAnsi="Times New Roman" w:cs="Times New Roman"/>
          <w:sz w:val="24"/>
          <w:szCs w:val="24"/>
          <w:lang w:eastAsia="pt-BR"/>
        </w:rPr>
        <w:t>II acima de 10% eram considerados “bem capitalizados”. Assim, indiretamente havia um incentivo governamental pa</w:t>
      </w:r>
      <w:r w:rsidR="00B03707">
        <w:rPr>
          <w:rFonts w:ascii="Times New Roman" w:eastAsia="Times New Roman" w:hAnsi="Times New Roman" w:cs="Times New Roman"/>
          <w:sz w:val="24"/>
          <w:szCs w:val="24"/>
          <w:lang w:eastAsia="pt-BR"/>
        </w:rPr>
        <w:t xml:space="preserve">ra manter excesso de capital e, de fato havia um conceito de que manter excesso de capital acima de um percentual especifico garantia a boa capitalização do banco. </w:t>
      </w:r>
    </w:p>
    <w:p w:rsidR="0084721D" w:rsidRPr="001514B8" w:rsidRDefault="00466344" w:rsidP="00466344">
      <w:pPr>
        <w:autoSpaceDE w:val="0"/>
        <w:autoSpaceDN w:val="0"/>
        <w:adjustRightInd w:val="0"/>
        <w:spacing w:after="120" w:line="240" w:lineRule="auto"/>
        <w:jc w:val="both"/>
        <w:rPr>
          <w:rFonts w:ascii="Times New Roman" w:eastAsia="Times New Roman" w:hAnsi="Times New Roman" w:cs="Times New Roman"/>
          <w:color w:val="FF0000"/>
          <w:sz w:val="24"/>
          <w:szCs w:val="24"/>
          <w:lang w:eastAsia="pt-BR"/>
        </w:rPr>
      </w:pPr>
      <w:r w:rsidRPr="003977F1">
        <w:rPr>
          <w:rFonts w:ascii="Times New Roman" w:eastAsia="Times New Roman" w:hAnsi="Times New Roman" w:cs="Times New Roman"/>
          <w:sz w:val="24"/>
          <w:szCs w:val="24"/>
          <w:lang w:eastAsia="pt-BR"/>
        </w:rPr>
        <w:t xml:space="preserve">Teixeira, </w:t>
      </w:r>
      <w:proofErr w:type="gramStart"/>
      <w:r w:rsidRPr="003977F1">
        <w:rPr>
          <w:rFonts w:ascii="Times New Roman" w:eastAsia="Times New Roman" w:hAnsi="Times New Roman" w:cs="Times New Roman"/>
          <w:sz w:val="24"/>
          <w:szCs w:val="24"/>
          <w:lang w:eastAsia="pt-BR"/>
        </w:rPr>
        <w:t>et</w:t>
      </w:r>
      <w:proofErr w:type="gramEnd"/>
      <w:r w:rsidRPr="003977F1">
        <w:rPr>
          <w:rFonts w:ascii="Times New Roman" w:eastAsia="Times New Roman" w:hAnsi="Times New Roman" w:cs="Times New Roman"/>
          <w:sz w:val="24"/>
          <w:szCs w:val="24"/>
          <w:lang w:eastAsia="pt-BR"/>
        </w:rPr>
        <w:t xml:space="preserve"> al. (2014) </w:t>
      </w:r>
      <w:r>
        <w:rPr>
          <w:rFonts w:ascii="Times New Roman" w:eastAsia="Times New Roman" w:hAnsi="Times New Roman" w:cs="Times New Roman"/>
          <w:sz w:val="24"/>
          <w:szCs w:val="24"/>
          <w:lang w:eastAsia="pt-BR"/>
        </w:rPr>
        <w:t xml:space="preserve">e </w:t>
      </w:r>
      <w:proofErr w:type="spellStart"/>
      <w:r w:rsidRPr="003977F1">
        <w:rPr>
          <w:rFonts w:ascii="Times New Roman" w:eastAsia="Times New Roman" w:hAnsi="Times New Roman" w:cs="Times New Roman"/>
          <w:sz w:val="24"/>
          <w:szCs w:val="24"/>
          <w:lang w:eastAsia="pt-BR"/>
        </w:rPr>
        <w:t>VanHoose</w:t>
      </w:r>
      <w:proofErr w:type="spellEnd"/>
      <w:r w:rsidRPr="003977F1">
        <w:rPr>
          <w:rFonts w:ascii="Times New Roman" w:eastAsia="Times New Roman" w:hAnsi="Times New Roman" w:cs="Times New Roman"/>
          <w:sz w:val="24"/>
          <w:szCs w:val="24"/>
          <w:lang w:eastAsia="pt-BR"/>
        </w:rPr>
        <w:t xml:space="preserve"> (2007) </w:t>
      </w:r>
      <w:r w:rsidR="00175D91">
        <w:rPr>
          <w:rFonts w:ascii="Times New Roman" w:eastAsia="Times New Roman" w:hAnsi="Times New Roman" w:cs="Times New Roman"/>
          <w:sz w:val="24"/>
          <w:szCs w:val="24"/>
          <w:lang w:eastAsia="pt-BR"/>
        </w:rPr>
        <w:t>mostram</w:t>
      </w:r>
      <w:r>
        <w:rPr>
          <w:rFonts w:ascii="Times New Roman" w:eastAsia="Times New Roman" w:hAnsi="Times New Roman" w:cs="Times New Roman"/>
          <w:sz w:val="24"/>
          <w:szCs w:val="24"/>
          <w:lang w:eastAsia="pt-BR"/>
        </w:rPr>
        <w:t xml:space="preserve"> que </w:t>
      </w:r>
      <w:r w:rsidRPr="003977F1">
        <w:rPr>
          <w:rFonts w:ascii="Times New Roman" w:eastAsia="Times New Roman" w:hAnsi="Times New Roman" w:cs="Times New Roman"/>
          <w:sz w:val="24"/>
          <w:szCs w:val="24"/>
          <w:lang w:eastAsia="pt-BR"/>
        </w:rPr>
        <w:t>os bancos</w:t>
      </w:r>
      <w:r w:rsidR="00175D91">
        <w:rPr>
          <w:rFonts w:ascii="Times New Roman" w:eastAsia="Times New Roman" w:hAnsi="Times New Roman" w:cs="Times New Roman"/>
          <w:sz w:val="24"/>
          <w:szCs w:val="24"/>
          <w:lang w:eastAsia="pt-BR"/>
        </w:rPr>
        <w:t xml:space="preserve"> </w:t>
      </w:r>
      <w:r w:rsidRPr="003977F1">
        <w:rPr>
          <w:rFonts w:ascii="Times New Roman" w:eastAsia="Times New Roman" w:hAnsi="Times New Roman" w:cs="Times New Roman"/>
          <w:sz w:val="24"/>
          <w:szCs w:val="24"/>
          <w:lang w:eastAsia="pt-BR"/>
        </w:rPr>
        <w:t xml:space="preserve">mantêm excesso de capital regulatório, afim evitar custos de </w:t>
      </w:r>
      <w:proofErr w:type="spellStart"/>
      <w:r w:rsidRPr="003977F1">
        <w:rPr>
          <w:rFonts w:ascii="Times New Roman" w:eastAsia="Times New Roman" w:hAnsi="Times New Roman" w:cs="Times New Roman"/>
          <w:sz w:val="24"/>
          <w:szCs w:val="24"/>
          <w:lang w:eastAsia="pt-BR"/>
        </w:rPr>
        <w:t>recapitalização</w:t>
      </w:r>
      <w:proofErr w:type="spellEnd"/>
      <w:r w:rsidRPr="003977F1">
        <w:rPr>
          <w:rFonts w:ascii="Times New Roman" w:eastAsia="Times New Roman" w:hAnsi="Times New Roman" w:cs="Times New Roman"/>
          <w:sz w:val="24"/>
          <w:szCs w:val="24"/>
          <w:lang w:eastAsia="pt-BR"/>
        </w:rPr>
        <w:t xml:space="preserve"> de emergência</w:t>
      </w:r>
      <w:r>
        <w:rPr>
          <w:rFonts w:ascii="Times New Roman" w:eastAsia="Times New Roman" w:hAnsi="Times New Roman" w:cs="Times New Roman"/>
          <w:sz w:val="24"/>
          <w:szCs w:val="24"/>
          <w:lang w:eastAsia="pt-BR"/>
        </w:rPr>
        <w:t xml:space="preserve">, assim como </w:t>
      </w:r>
      <w:proofErr w:type="spellStart"/>
      <w:r w:rsidRPr="008E2A91">
        <w:rPr>
          <w:rFonts w:ascii="Times New Roman" w:eastAsia="Times New Roman" w:hAnsi="Times New Roman" w:cs="Times New Roman"/>
          <w:sz w:val="24"/>
          <w:szCs w:val="24"/>
          <w:lang w:eastAsia="pt-BR"/>
        </w:rPr>
        <w:t>Peura</w:t>
      </w:r>
      <w:proofErr w:type="spellEnd"/>
      <w:r w:rsidRPr="008E2A91">
        <w:rPr>
          <w:rFonts w:ascii="Times New Roman" w:eastAsia="Times New Roman" w:hAnsi="Times New Roman" w:cs="Times New Roman"/>
          <w:sz w:val="24"/>
          <w:szCs w:val="24"/>
          <w:lang w:eastAsia="pt-BR"/>
        </w:rPr>
        <w:t xml:space="preserve"> e </w:t>
      </w:r>
      <w:proofErr w:type="spellStart"/>
      <w:r w:rsidRPr="008E2A91">
        <w:rPr>
          <w:rFonts w:ascii="Times New Roman" w:eastAsia="Times New Roman" w:hAnsi="Times New Roman" w:cs="Times New Roman"/>
          <w:sz w:val="24"/>
          <w:szCs w:val="24"/>
          <w:lang w:eastAsia="pt-BR"/>
        </w:rPr>
        <w:t>Keppo</w:t>
      </w:r>
      <w:proofErr w:type="spellEnd"/>
      <w:r w:rsidRPr="008E2A91">
        <w:rPr>
          <w:rFonts w:ascii="Times New Roman" w:eastAsia="Times New Roman" w:hAnsi="Times New Roman" w:cs="Times New Roman"/>
          <w:sz w:val="24"/>
          <w:szCs w:val="24"/>
          <w:lang w:eastAsia="pt-BR"/>
        </w:rPr>
        <w:t xml:space="preserve"> (2005) </w:t>
      </w:r>
      <w:r>
        <w:rPr>
          <w:rFonts w:ascii="Times New Roman" w:eastAsia="Times New Roman" w:hAnsi="Times New Roman" w:cs="Times New Roman"/>
          <w:sz w:val="24"/>
          <w:szCs w:val="24"/>
          <w:lang w:eastAsia="pt-BR"/>
        </w:rPr>
        <w:t xml:space="preserve">que </w:t>
      </w:r>
      <w:r w:rsidRPr="008E2A91">
        <w:rPr>
          <w:rFonts w:ascii="Times New Roman" w:eastAsia="Times New Roman" w:hAnsi="Times New Roman" w:cs="Times New Roman"/>
          <w:sz w:val="24"/>
          <w:szCs w:val="24"/>
          <w:lang w:eastAsia="pt-BR"/>
        </w:rPr>
        <w:t xml:space="preserve">chamam o excesso de capital de </w:t>
      </w:r>
      <w:proofErr w:type="spellStart"/>
      <w:r w:rsidRPr="003977F1">
        <w:rPr>
          <w:rFonts w:ascii="Times New Roman" w:eastAsia="Times New Roman" w:hAnsi="Times New Roman" w:cs="Times New Roman"/>
          <w:sz w:val="24"/>
          <w:szCs w:val="24"/>
          <w:lang w:eastAsia="pt-BR"/>
        </w:rPr>
        <w:t>hedging</w:t>
      </w:r>
      <w:proofErr w:type="spellEnd"/>
      <w:r w:rsidRPr="008E2A91">
        <w:rPr>
          <w:rFonts w:ascii="Times New Roman" w:eastAsia="Times New Roman" w:hAnsi="Times New Roman" w:cs="Times New Roman"/>
          <w:sz w:val="24"/>
          <w:szCs w:val="24"/>
          <w:lang w:eastAsia="pt-BR"/>
        </w:rPr>
        <w:t xml:space="preserve"> cont</w:t>
      </w:r>
      <w:r>
        <w:rPr>
          <w:rFonts w:ascii="Times New Roman" w:eastAsia="Times New Roman" w:hAnsi="Times New Roman" w:cs="Times New Roman"/>
          <w:sz w:val="24"/>
          <w:szCs w:val="24"/>
          <w:lang w:eastAsia="pt-BR"/>
        </w:rPr>
        <w:t xml:space="preserve">ra a violação de capital mínimo, onde </w:t>
      </w:r>
      <w:r w:rsidRPr="008E2A91">
        <w:rPr>
          <w:rFonts w:ascii="Times New Roman" w:eastAsia="Times New Roman" w:hAnsi="Times New Roman" w:cs="Times New Roman"/>
          <w:sz w:val="24"/>
          <w:szCs w:val="24"/>
          <w:lang w:eastAsia="pt-BR"/>
        </w:rPr>
        <w:t xml:space="preserve">num mundo de capital regulatório mínimo determinado por Basiléia, otimização da estrutura de capital esta na otimização do excesso de </w:t>
      </w:r>
      <w:r>
        <w:rPr>
          <w:rFonts w:ascii="Times New Roman" w:eastAsia="Times New Roman" w:hAnsi="Times New Roman" w:cs="Times New Roman"/>
          <w:sz w:val="24"/>
          <w:szCs w:val="24"/>
          <w:lang w:eastAsia="pt-BR"/>
        </w:rPr>
        <w:t xml:space="preserve">capital que o banco irá manter e </w:t>
      </w:r>
      <w:r w:rsidRPr="003977F1">
        <w:rPr>
          <w:rFonts w:ascii="Times New Roman" w:eastAsia="Times New Roman" w:hAnsi="Times New Roman" w:cs="Times New Roman"/>
          <w:sz w:val="24"/>
          <w:szCs w:val="24"/>
          <w:lang w:eastAsia="pt-BR"/>
        </w:rPr>
        <w:t xml:space="preserve">estimam alguns valores percentuais médios de excesso de capital entre 2,4% e 3,5% acima do mínimo regulatório. </w:t>
      </w:r>
    </w:p>
    <w:p w:rsidR="003977F1" w:rsidRPr="003977F1" w:rsidRDefault="003977F1" w:rsidP="004B182C">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8E2A91">
        <w:rPr>
          <w:rFonts w:ascii="Times New Roman" w:eastAsia="Times New Roman" w:hAnsi="Times New Roman" w:cs="Times New Roman"/>
          <w:sz w:val="24"/>
          <w:szCs w:val="24"/>
          <w:lang w:eastAsia="pt-BR"/>
        </w:rPr>
        <w:t xml:space="preserve">O excesso de capital regulatório, com base nos novos instrumentos de capital e dívida, é estudado por </w:t>
      </w:r>
      <w:proofErr w:type="spellStart"/>
      <w:r w:rsidRPr="008E2A91">
        <w:rPr>
          <w:rFonts w:ascii="Times New Roman" w:eastAsia="Times New Roman" w:hAnsi="Times New Roman" w:cs="Times New Roman"/>
          <w:sz w:val="24"/>
          <w:szCs w:val="24"/>
          <w:lang w:eastAsia="pt-BR"/>
        </w:rPr>
        <w:t>Colomires</w:t>
      </w:r>
      <w:proofErr w:type="spellEnd"/>
      <w:r w:rsidRPr="008E2A91">
        <w:rPr>
          <w:rFonts w:ascii="Times New Roman" w:eastAsia="Times New Roman" w:hAnsi="Times New Roman" w:cs="Times New Roman"/>
          <w:sz w:val="24"/>
          <w:szCs w:val="24"/>
          <w:lang w:eastAsia="pt-BR"/>
        </w:rPr>
        <w:t xml:space="preserve"> e </w:t>
      </w:r>
      <w:proofErr w:type="spellStart"/>
      <w:r w:rsidRPr="008E2A91">
        <w:rPr>
          <w:rFonts w:ascii="Times New Roman" w:eastAsia="Times New Roman" w:hAnsi="Times New Roman" w:cs="Times New Roman"/>
          <w:sz w:val="24"/>
          <w:szCs w:val="24"/>
          <w:lang w:eastAsia="pt-BR"/>
        </w:rPr>
        <w:t>Herring</w:t>
      </w:r>
      <w:proofErr w:type="spellEnd"/>
      <w:r w:rsidRPr="008E2A91">
        <w:rPr>
          <w:rFonts w:ascii="Times New Roman" w:eastAsia="Times New Roman" w:hAnsi="Times New Roman" w:cs="Times New Roman"/>
          <w:sz w:val="24"/>
          <w:szCs w:val="24"/>
          <w:lang w:eastAsia="pt-BR"/>
        </w:rPr>
        <w:t xml:space="preserve"> (2011), que propõem requerimentos para maximizar a efetividade dos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8E2A91">
        <w:rPr>
          <w:rFonts w:ascii="Times New Roman" w:eastAsia="Times New Roman" w:hAnsi="Times New Roman" w:cs="Times New Roman"/>
          <w:sz w:val="24"/>
          <w:szCs w:val="24"/>
          <w:lang w:eastAsia="pt-BR"/>
        </w:rPr>
        <w:t xml:space="preserve">. Um montante de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8E2A91">
        <w:rPr>
          <w:rFonts w:ascii="Times New Roman" w:eastAsia="Times New Roman" w:hAnsi="Times New Roman" w:cs="Times New Roman"/>
          <w:sz w:val="24"/>
          <w:szCs w:val="24"/>
          <w:lang w:eastAsia="pt-BR"/>
        </w:rPr>
        <w:t xml:space="preserve"> relativo ao patrimônio líquido, e não restrito aos 15% do total de nível I, poderia mitigar o atraso no reconhecimento de perdas através das combinações de valores contábeis, uma vez que toda perda “maquiada” e transformada em patrimônio líquido estaria coberta por um </w:t>
      </w:r>
      <w:proofErr w:type="spellStart"/>
      <w:r w:rsidR="0099005E">
        <w:rPr>
          <w:rFonts w:ascii="Times New Roman" w:eastAsia="Times New Roman" w:hAnsi="Times New Roman" w:cs="Times New Roman"/>
          <w:sz w:val="24"/>
          <w:szCs w:val="24"/>
          <w:lang w:eastAsia="pt-BR"/>
        </w:rPr>
        <w:t>CoCo</w:t>
      </w:r>
      <w:proofErr w:type="spellEnd"/>
      <w:r w:rsidRPr="008E2A91">
        <w:rPr>
          <w:rFonts w:ascii="Times New Roman" w:eastAsia="Times New Roman" w:hAnsi="Times New Roman" w:cs="Times New Roman"/>
          <w:sz w:val="24"/>
          <w:szCs w:val="24"/>
          <w:lang w:eastAsia="pt-BR"/>
        </w:rPr>
        <w:t xml:space="preserve">. Além de </w:t>
      </w:r>
      <w:proofErr w:type="spellStart"/>
      <w:r w:rsidRPr="008E2A91">
        <w:rPr>
          <w:rFonts w:ascii="Times New Roman" w:eastAsia="Times New Roman" w:hAnsi="Times New Roman" w:cs="Times New Roman"/>
          <w:sz w:val="24"/>
          <w:szCs w:val="24"/>
          <w:lang w:eastAsia="pt-BR"/>
        </w:rPr>
        <w:t>Colomires</w:t>
      </w:r>
      <w:proofErr w:type="spellEnd"/>
      <w:r w:rsidRPr="008E2A91">
        <w:rPr>
          <w:rFonts w:ascii="Times New Roman" w:eastAsia="Times New Roman" w:hAnsi="Times New Roman" w:cs="Times New Roman"/>
          <w:sz w:val="24"/>
          <w:szCs w:val="24"/>
          <w:lang w:eastAsia="pt-BR"/>
        </w:rPr>
        <w:t xml:space="preserve"> e </w:t>
      </w:r>
      <w:proofErr w:type="spellStart"/>
      <w:r w:rsidRPr="008E2A91">
        <w:rPr>
          <w:rFonts w:ascii="Times New Roman" w:eastAsia="Times New Roman" w:hAnsi="Times New Roman" w:cs="Times New Roman"/>
          <w:sz w:val="24"/>
          <w:szCs w:val="24"/>
          <w:lang w:eastAsia="pt-BR"/>
        </w:rPr>
        <w:t>Herring</w:t>
      </w:r>
      <w:proofErr w:type="spellEnd"/>
      <w:r w:rsidRPr="008E2A91">
        <w:rPr>
          <w:rFonts w:ascii="Times New Roman" w:eastAsia="Times New Roman" w:hAnsi="Times New Roman" w:cs="Times New Roman"/>
          <w:sz w:val="24"/>
          <w:szCs w:val="24"/>
          <w:lang w:eastAsia="pt-BR"/>
        </w:rPr>
        <w:t xml:space="preserve"> (2011), </w:t>
      </w:r>
      <w:proofErr w:type="gramStart"/>
      <w:r w:rsidRPr="008E2A91">
        <w:rPr>
          <w:rFonts w:ascii="Times New Roman" w:eastAsia="Times New Roman" w:hAnsi="Times New Roman" w:cs="Times New Roman"/>
          <w:sz w:val="24"/>
          <w:szCs w:val="24"/>
          <w:lang w:eastAsia="pt-BR"/>
        </w:rPr>
        <w:t>D'Souza</w:t>
      </w:r>
      <w:proofErr w:type="gramEnd"/>
      <w:r w:rsidRPr="008E2A91">
        <w:rPr>
          <w:rFonts w:ascii="Times New Roman" w:eastAsia="Times New Roman" w:hAnsi="Times New Roman" w:cs="Times New Roman"/>
          <w:sz w:val="24"/>
          <w:szCs w:val="24"/>
          <w:lang w:eastAsia="pt-BR"/>
        </w:rPr>
        <w:t xml:space="preserve"> et al. (2009) também propõem que o gatilho de conversão deveria ser baseado no valor de mercado e não em valores contábeis e, com valor elevado em relação aos ativos, de forma que o gatilho seja acionado  muito antes da preocupação com insolvência e a tempo de levantar novo capital. Além disso, a conversão deveria ser com diluição (</w:t>
      </w:r>
      <w:proofErr w:type="spellStart"/>
      <w:r w:rsidRPr="003977F1">
        <w:rPr>
          <w:rFonts w:ascii="Times New Roman" w:eastAsia="Times New Roman" w:hAnsi="Times New Roman" w:cs="Times New Roman"/>
          <w:sz w:val="24"/>
          <w:szCs w:val="24"/>
          <w:lang w:eastAsia="pt-BR"/>
        </w:rPr>
        <w:t>dilutive</w:t>
      </w:r>
      <w:proofErr w:type="spellEnd"/>
      <w:r w:rsidRPr="003977F1">
        <w:rPr>
          <w:rFonts w:ascii="Times New Roman" w:eastAsia="Times New Roman" w:hAnsi="Times New Roman" w:cs="Times New Roman"/>
          <w:sz w:val="24"/>
          <w:szCs w:val="24"/>
          <w:lang w:eastAsia="pt-BR"/>
        </w:rPr>
        <w:t xml:space="preserve"> </w:t>
      </w:r>
      <w:proofErr w:type="spellStart"/>
      <w:proofErr w:type="gramStart"/>
      <w:r w:rsidRPr="003977F1">
        <w:rPr>
          <w:rFonts w:ascii="Times New Roman" w:eastAsia="Times New Roman" w:hAnsi="Times New Roman" w:cs="Times New Roman"/>
          <w:sz w:val="24"/>
          <w:szCs w:val="24"/>
          <w:lang w:eastAsia="pt-BR"/>
        </w:rPr>
        <w:t>CoCo</w:t>
      </w:r>
      <w:proofErr w:type="spellEnd"/>
      <w:proofErr w:type="gramEnd"/>
      <w:r w:rsidRPr="003977F1">
        <w:rPr>
          <w:rFonts w:ascii="Times New Roman" w:eastAsia="Times New Roman" w:hAnsi="Times New Roman" w:cs="Times New Roman"/>
          <w:sz w:val="24"/>
          <w:szCs w:val="24"/>
          <w:lang w:eastAsia="pt-BR"/>
        </w:rPr>
        <w:t xml:space="preserve"> </w:t>
      </w:r>
      <w:proofErr w:type="spellStart"/>
      <w:r w:rsidRPr="003977F1">
        <w:rPr>
          <w:rFonts w:ascii="Times New Roman" w:eastAsia="Times New Roman" w:hAnsi="Times New Roman" w:cs="Times New Roman"/>
          <w:sz w:val="24"/>
          <w:szCs w:val="24"/>
          <w:lang w:eastAsia="pt-BR"/>
        </w:rPr>
        <w:t>conversion</w:t>
      </w:r>
      <w:proofErr w:type="spellEnd"/>
      <w:r w:rsidRPr="008E2A91">
        <w:rPr>
          <w:rFonts w:ascii="Times New Roman" w:eastAsia="Times New Roman" w:hAnsi="Times New Roman" w:cs="Times New Roman"/>
          <w:sz w:val="24"/>
          <w:szCs w:val="24"/>
          <w:lang w:eastAsia="pt-BR"/>
        </w:rPr>
        <w:t xml:space="preserve">), ou seja, uma conversão que deixa os titulares de </w:t>
      </w:r>
      <w:proofErr w:type="spellStart"/>
      <w:r w:rsidR="0099005E">
        <w:rPr>
          <w:rFonts w:ascii="Times New Roman" w:eastAsia="Times New Roman" w:hAnsi="Times New Roman" w:cs="Times New Roman"/>
          <w:sz w:val="24"/>
          <w:szCs w:val="24"/>
          <w:lang w:eastAsia="pt-BR"/>
        </w:rPr>
        <w:t>CoCos</w:t>
      </w:r>
      <w:proofErr w:type="spellEnd"/>
      <w:r w:rsidRPr="008E2A91">
        <w:rPr>
          <w:rFonts w:ascii="Times New Roman" w:eastAsia="Times New Roman" w:hAnsi="Times New Roman" w:cs="Times New Roman"/>
          <w:sz w:val="24"/>
          <w:szCs w:val="24"/>
          <w:lang w:eastAsia="pt-BR"/>
        </w:rPr>
        <w:t xml:space="preserve"> com, pelo menos, tanto valor em novas ações quanto o principal dos títulos que eles possuíam. Assim, o banco enfrentando perdas significativas e se aproximando da barreira de conversão, irá preferir elevar o capital social voluntariamente ou emitir novas dívidas, evitando assim a conversão e consequente diluição do controle acionário. Por isso, para ser eficaz, o montante de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8E2A91">
        <w:rPr>
          <w:rFonts w:ascii="Times New Roman" w:eastAsia="Times New Roman" w:hAnsi="Times New Roman" w:cs="Times New Roman"/>
          <w:sz w:val="24"/>
          <w:szCs w:val="24"/>
          <w:lang w:eastAsia="pt-BR"/>
        </w:rPr>
        <w:t xml:space="preserve"> emitidos deve ser alto, senão o risco de diluição não será tão grande e a barreira de conversão desses </w:t>
      </w:r>
      <w:proofErr w:type="spellStart"/>
      <w:r w:rsidR="0099005E">
        <w:rPr>
          <w:rFonts w:ascii="Times New Roman" w:eastAsia="Times New Roman" w:hAnsi="Times New Roman" w:cs="Times New Roman"/>
          <w:sz w:val="24"/>
          <w:szCs w:val="24"/>
          <w:lang w:eastAsia="pt-BR"/>
        </w:rPr>
        <w:t>CoCos</w:t>
      </w:r>
      <w:proofErr w:type="spellEnd"/>
      <w:r w:rsidRPr="008E2A91">
        <w:rPr>
          <w:rFonts w:ascii="Times New Roman" w:eastAsia="Times New Roman" w:hAnsi="Times New Roman" w:cs="Times New Roman"/>
          <w:sz w:val="24"/>
          <w:szCs w:val="24"/>
          <w:lang w:eastAsia="pt-BR"/>
        </w:rPr>
        <w:t xml:space="preserve"> deve ser alto em relação aos ativos, senão o banco não terá tempo hábil de levantar capital antes de ficar inadimplente.</w:t>
      </w:r>
    </w:p>
    <w:p w:rsidR="003977F1" w:rsidRPr="003977F1" w:rsidRDefault="003977F1" w:rsidP="004B182C">
      <w:pPr>
        <w:autoSpaceDE w:val="0"/>
        <w:autoSpaceDN w:val="0"/>
        <w:adjustRightInd w:val="0"/>
        <w:spacing w:after="120" w:line="240" w:lineRule="auto"/>
        <w:jc w:val="both"/>
        <w:rPr>
          <w:rFonts w:ascii="Times New Roman" w:eastAsia="Times New Roman" w:hAnsi="Times New Roman" w:cs="Times New Roman"/>
          <w:sz w:val="24"/>
          <w:szCs w:val="24"/>
          <w:lang w:eastAsia="pt-BR"/>
        </w:rPr>
      </w:pPr>
      <w:proofErr w:type="spellStart"/>
      <w:r w:rsidRPr="003977F1">
        <w:rPr>
          <w:rFonts w:ascii="Times New Roman" w:eastAsia="Times New Roman" w:hAnsi="Times New Roman" w:cs="Times New Roman"/>
          <w:sz w:val="24"/>
          <w:szCs w:val="24"/>
          <w:lang w:eastAsia="pt-BR"/>
        </w:rPr>
        <w:t>Pennacchi</w:t>
      </w:r>
      <w:proofErr w:type="spellEnd"/>
      <w:r w:rsidRPr="003977F1">
        <w:rPr>
          <w:rFonts w:ascii="Times New Roman" w:eastAsia="Times New Roman" w:hAnsi="Times New Roman" w:cs="Times New Roman"/>
          <w:sz w:val="24"/>
          <w:szCs w:val="24"/>
          <w:lang w:eastAsia="pt-BR"/>
        </w:rPr>
        <w:t xml:space="preserve"> (2010) </w:t>
      </w:r>
      <w:r w:rsidR="00A1452F">
        <w:rPr>
          <w:rFonts w:ascii="Times New Roman" w:eastAsia="Times New Roman" w:hAnsi="Times New Roman" w:cs="Times New Roman"/>
          <w:sz w:val="24"/>
          <w:szCs w:val="24"/>
          <w:lang w:eastAsia="pt-BR"/>
        </w:rPr>
        <w:t xml:space="preserve">estuda </w:t>
      </w:r>
      <w:r w:rsidRPr="003977F1">
        <w:rPr>
          <w:rFonts w:ascii="Times New Roman" w:eastAsia="Times New Roman" w:hAnsi="Times New Roman" w:cs="Times New Roman"/>
          <w:sz w:val="24"/>
          <w:szCs w:val="24"/>
          <w:lang w:eastAsia="pt-BR"/>
        </w:rPr>
        <w:t xml:space="preserve">o quanto a emissão de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3977F1">
        <w:rPr>
          <w:rFonts w:ascii="Times New Roman" w:eastAsia="Times New Roman" w:hAnsi="Times New Roman" w:cs="Times New Roman"/>
          <w:sz w:val="24"/>
          <w:szCs w:val="24"/>
          <w:lang w:eastAsia="pt-BR"/>
        </w:rPr>
        <w:t xml:space="preserve"> afeta o valor da empresa, e compara os incentivos de risco entre os bancos que emitem </w:t>
      </w:r>
      <w:proofErr w:type="spellStart"/>
      <w:r w:rsidR="0099005E">
        <w:rPr>
          <w:rFonts w:ascii="Times New Roman" w:eastAsia="Times New Roman" w:hAnsi="Times New Roman" w:cs="Times New Roman"/>
          <w:sz w:val="24"/>
          <w:szCs w:val="24"/>
          <w:lang w:eastAsia="pt-BR"/>
        </w:rPr>
        <w:t>CoCos</w:t>
      </w:r>
      <w:proofErr w:type="spellEnd"/>
      <w:r w:rsidRPr="003977F1">
        <w:rPr>
          <w:rFonts w:ascii="Times New Roman" w:eastAsia="Times New Roman" w:hAnsi="Times New Roman" w:cs="Times New Roman"/>
          <w:sz w:val="24"/>
          <w:szCs w:val="24"/>
          <w:lang w:eastAsia="pt-BR"/>
        </w:rPr>
        <w:t xml:space="preserve"> e os que emitem apenas dívidas subordinadas. </w:t>
      </w:r>
      <w:r w:rsidR="00175D91">
        <w:rPr>
          <w:rFonts w:ascii="Times New Roman" w:eastAsia="Times New Roman" w:hAnsi="Times New Roman" w:cs="Times New Roman"/>
          <w:sz w:val="24"/>
          <w:szCs w:val="24"/>
          <w:lang w:eastAsia="pt-BR"/>
        </w:rPr>
        <w:t>O</w:t>
      </w:r>
      <w:r w:rsidRPr="003977F1">
        <w:rPr>
          <w:rFonts w:ascii="Times New Roman" w:eastAsia="Times New Roman" w:hAnsi="Times New Roman" w:cs="Times New Roman"/>
          <w:sz w:val="24"/>
          <w:szCs w:val="24"/>
          <w:lang w:eastAsia="pt-BR"/>
        </w:rPr>
        <w:t xml:space="preserve">s bancos com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3977F1">
        <w:rPr>
          <w:rFonts w:ascii="Times New Roman" w:eastAsia="Times New Roman" w:hAnsi="Times New Roman" w:cs="Times New Roman"/>
          <w:sz w:val="24"/>
          <w:szCs w:val="24"/>
          <w:lang w:eastAsia="pt-BR"/>
        </w:rPr>
        <w:t xml:space="preserve"> têm menor incentivo para deslocar seus riscos para ativos mais arriscados do que aqueles com dívida subordinada apenas. Isso em geral acontece porque, além dos benefícios de conversão e extinção de dívida, os </w:t>
      </w:r>
      <w:proofErr w:type="spellStart"/>
      <w:proofErr w:type="gramStart"/>
      <w:r w:rsidR="0099005E">
        <w:rPr>
          <w:rFonts w:ascii="Times New Roman" w:eastAsia="Times New Roman" w:hAnsi="Times New Roman" w:cs="Times New Roman"/>
          <w:sz w:val="24"/>
          <w:szCs w:val="24"/>
          <w:lang w:eastAsia="pt-BR"/>
        </w:rPr>
        <w:t>CoCos</w:t>
      </w:r>
      <w:proofErr w:type="spellEnd"/>
      <w:proofErr w:type="gramEnd"/>
      <w:r w:rsidRPr="003977F1">
        <w:rPr>
          <w:rFonts w:ascii="Times New Roman" w:eastAsia="Times New Roman" w:hAnsi="Times New Roman" w:cs="Times New Roman"/>
          <w:sz w:val="24"/>
          <w:szCs w:val="24"/>
          <w:lang w:eastAsia="pt-BR"/>
        </w:rPr>
        <w:t xml:space="preserve"> são equivalentes às dívidas subordinadas do ponto de vista de benefícios </w:t>
      </w:r>
      <w:proofErr w:type="spellStart"/>
      <w:r w:rsidRPr="003977F1">
        <w:rPr>
          <w:rFonts w:ascii="Times New Roman" w:eastAsia="Times New Roman" w:hAnsi="Times New Roman" w:cs="Times New Roman"/>
          <w:sz w:val="24"/>
          <w:szCs w:val="24"/>
          <w:lang w:eastAsia="pt-BR"/>
        </w:rPr>
        <w:t>fiscais.Dentro</w:t>
      </w:r>
      <w:proofErr w:type="spellEnd"/>
      <w:r w:rsidRPr="003977F1">
        <w:rPr>
          <w:rFonts w:ascii="Times New Roman" w:eastAsia="Times New Roman" w:hAnsi="Times New Roman" w:cs="Times New Roman"/>
          <w:sz w:val="24"/>
          <w:szCs w:val="24"/>
          <w:lang w:eastAsia="pt-BR"/>
        </w:rPr>
        <w:t xml:space="preserve"> deste contexto de otimização do excesso de capital e seguindo a abordagem de </w:t>
      </w:r>
      <w:proofErr w:type="spellStart"/>
      <w:r w:rsidRPr="003977F1">
        <w:rPr>
          <w:rFonts w:ascii="Times New Roman" w:eastAsia="Times New Roman" w:hAnsi="Times New Roman" w:cs="Times New Roman"/>
          <w:sz w:val="24"/>
          <w:szCs w:val="24"/>
          <w:lang w:eastAsia="pt-BR"/>
        </w:rPr>
        <w:t>Koziol</w:t>
      </w:r>
      <w:proofErr w:type="spellEnd"/>
      <w:r w:rsidRPr="003977F1">
        <w:rPr>
          <w:rFonts w:ascii="Times New Roman" w:eastAsia="Times New Roman" w:hAnsi="Times New Roman" w:cs="Times New Roman"/>
          <w:sz w:val="24"/>
          <w:szCs w:val="24"/>
          <w:lang w:eastAsia="pt-BR"/>
        </w:rPr>
        <w:t xml:space="preserve"> e </w:t>
      </w:r>
      <w:proofErr w:type="spellStart"/>
      <w:r w:rsidRPr="003977F1">
        <w:rPr>
          <w:rFonts w:ascii="Times New Roman" w:eastAsia="Times New Roman" w:hAnsi="Times New Roman" w:cs="Times New Roman"/>
          <w:sz w:val="24"/>
          <w:szCs w:val="24"/>
          <w:lang w:eastAsia="pt-BR"/>
        </w:rPr>
        <w:t>Lawrenz</w:t>
      </w:r>
      <w:proofErr w:type="spellEnd"/>
      <w:r w:rsidRPr="003977F1">
        <w:rPr>
          <w:rFonts w:ascii="Times New Roman" w:eastAsia="Times New Roman" w:hAnsi="Times New Roman" w:cs="Times New Roman"/>
          <w:sz w:val="24"/>
          <w:szCs w:val="24"/>
          <w:lang w:eastAsia="pt-BR"/>
        </w:rPr>
        <w:t xml:space="preserve"> (2012), vamos estimar a dívida ótima dos bancos brasileiros e avaliar as seguintes hipóteses:</w:t>
      </w:r>
    </w:p>
    <w:p w:rsidR="003977F1" w:rsidRPr="003977F1" w:rsidRDefault="003977F1" w:rsidP="004B182C">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3977F1">
        <w:rPr>
          <w:rFonts w:ascii="Times New Roman" w:eastAsia="Times New Roman" w:hAnsi="Times New Roman" w:cs="Times New Roman"/>
          <w:sz w:val="24"/>
          <w:szCs w:val="24"/>
          <w:lang w:eastAsia="pt-BR"/>
        </w:rPr>
        <w:t xml:space="preserve">Hipótese </w:t>
      </w:r>
      <w:proofErr w:type="gramStart"/>
      <w:r w:rsidRPr="003977F1">
        <w:rPr>
          <w:rFonts w:ascii="Times New Roman" w:eastAsia="Times New Roman" w:hAnsi="Times New Roman" w:cs="Times New Roman"/>
          <w:sz w:val="24"/>
          <w:szCs w:val="24"/>
          <w:lang w:eastAsia="pt-BR"/>
        </w:rPr>
        <w:t>1</w:t>
      </w:r>
      <w:proofErr w:type="gramEnd"/>
      <w:r w:rsidRPr="003977F1">
        <w:rPr>
          <w:rFonts w:ascii="Times New Roman" w:eastAsia="Times New Roman" w:hAnsi="Times New Roman" w:cs="Times New Roman"/>
          <w:sz w:val="24"/>
          <w:szCs w:val="24"/>
          <w:lang w:eastAsia="pt-BR"/>
        </w:rPr>
        <w:t>: Os bancos brasileiros estariam mais bem capitalizados, com contingentes conversíveis do que com dívidas subordinadas, sob as regulamentações determinadas pela Banco Central do Brasil.</w:t>
      </w:r>
    </w:p>
    <w:p w:rsidR="003977F1" w:rsidRPr="003977F1" w:rsidRDefault="003977F1" w:rsidP="004B182C">
      <w:pPr>
        <w:autoSpaceDE w:val="0"/>
        <w:autoSpaceDN w:val="0"/>
        <w:adjustRightInd w:val="0"/>
        <w:spacing w:after="120" w:line="240" w:lineRule="auto"/>
        <w:jc w:val="both"/>
        <w:rPr>
          <w:rFonts w:ascii="Times New Roman" w:eastAsia="Times New Roman" w:hAnsi="Times New Roman" w:cs="Times New Roman"/>
          <w:sz w:val="24"/>
          <w:szCs w:val="24"/>
          <w:lang w:eastAsia="pt-BR"/>
        </w:rPr>
      </w:pPr>
      <w:r w:rsidRPr="003977F1">
        <w:rPr>
          <w:rFonts w:ascii="Times New Roman" w:eastAsia="Times New Roman" w:hAnsi="Times New Roman" w:cs="Times New Roman"/>
          <w:sz w:val="24"/>
          <w:szCs w:val="24"/>
          <w:lang w:eastAsia="pt-BR"/>
        </w:rPr>
        <w:t xml:space="preserve">Hipótese </w:t>
      </w:r>
      <w:proofErr w:type="gramStart"/>
      <w:r w:rsidRPr="003977F1">
        <w:rPr>
          <w:rFonts w:ascii="Times New Roman" w:eastAsia="Times New Roman" w:hAnsi="Times New Roman" w:cs="Times New Roman"/>
          <w:sz w:val="24"/>
          <w:szCs w:val="24"/>
          <w:lang w:eastAsia="pt-BR"/>
        </w:rPr>
        <w:t>2</w:t>
      </w:r>
      <w:proofErr w:type="gramEnd"/>
      <w:r w:rsidRPr="008E2A91">
        <w:rPr>
          <w:rFonts w:ascii="Times New Roman" w:eastAsia="Times New Roman" w:hAnsi="Times New Roman" w:cs="Times New Roman"/>
          <w:sz w:val="24"/>
          <w:szCs w:val="24"/>
          <w:lang w:eastAsia="pt-BR"/>
        </w:rPr>
        <w:t>:</w:t>
      </w:r>
      <w:r w:rsidRPr="003977F1">
        <w:rPr>
          <w:rFonts w:ascii="Times New Roman" w:eastAsia="Times New Roman" w:hAnsi="Times New Roman" w:cs="Times New Roman"/>
          <w:sz w:val="24"/>
          <w:szCs w:val="24"/>
          <w:lang w:eastAsia="pt-BR"/>
        </w:rPr>
        <w:t xml:space="preserve"> Os contingentes conversíveis aumentam o risco dos bancos quando não regulamentados. </w:t>
      </w:r>
    </w:p>
    <w:p w:rsidR="00CC46FA" w:rsidRDefault="001373E5" w:rsidP="00FF5024">
      <w:pPr>
        <w:pStyle w:val="PargrafodaLista"/>
        <w:keepNext/>
        <w:keepLines/>
        <w:numPr>
          <w:ilvl w:val="0"/>
          <w:numId w:val="20"/>
        </w:numPr>
        <w:spacing w:after="120" w:line="240" w:lineRule="auto"/>
        <w:ind w:left="450" w:hanging="450"/>
        <w:outlineLvl w:val="0"/>
        <w:rPr>
          <w:rFonts w:ascii="Times New Roman" w:eastAsiaTheme="majorEastAsia" w:hAnsi="Times New Roman" w:cs="Times New Roman"/>
          <w:b/>
          <w:bCs/>
          <w:sz w:val="24"/>
          <w:szCs w:val="28"/>
        </w:rPr>
      </w:pPr>
      <w:bookmarkStart w:id="4" w:name="_Toc390075549"/>
      <w:r>
        <w:rPr>
          <w:rFonts w:ascii="Times New Roman" w:eastAsiaTheme="majorEastAsia" w:hAnsi="Times New Roman" w:cs="Times New Roman"/>
          <w:b/>
          <w:bCs/>
          <w:sz w:val="24"/>
          <w:szCs w:val="28"/>
        </w:rPr>
        <w:t>METODOLOGIA</w:t>
      </w:r>
      <w:bookmarkEnd w:id="4"/>
    </w:p>
    <w:p w:rsidR="003F4C54" w:rsidRDefault="00190530" w:rsidP="00FF5024">
      <w:pPr>
        <w:spacing w:after="12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 linha d</w:t>
      </w:r>
      <w:r w:rsidR="00074B07">
        <w:rPr>
          <w:rFonts w:ascii="Times New Roman" w:eastAsia="Times New Roman" w:hAnsi="Times New Roman" w:cs="Times New Roman"/>
          <w:sz w:val="24"/>
          <w:szCs w:val="24"/>
          <w:lang w:eastAsia="pt-BR"/>
        </w:rPr>
        <w:t xml:space="preserve">os modelos de </w:t>
      </w:r>
      <w:proofErr w:type="spellStart"/>
      <w:r w:rsidR="00BE7933" w:rsidRPr="00BE7933">
        <w:rPr>
          <w:rFonts w:ascii="Times New Roman" w:eastAsia="Times New Roman" w:hAnsi="Times New Roman" w:cs="Times New Roman"/>
          <w:sz w:val="24"/>
          <w:szCs w:val="24"/>
          <w:lang w:eastAsia="pt-BR"/>
        </w:rPr>
        <w:t>Bhattacharya</w:t>
      </w:r>
      <w:proofErr w:type="spellEnd"/>
      <w:r w:rsidR="00BE7933" w:rsidRPr="00190530">
        <w:rPr>
          <w:rFonts w:ascii="Times New Roman" w:eastAsia="Times New Roman" w:hAnsi="Times New Roman" w:cs="Times New Roman"/>
          <w:sz w:val="24"/>
          <w:szCs w:val="24"/>
          <w:lang w:eastAsia="pt-BR"/>
        </w:rPr>
        <w:t xml:space="preserve"> </w:t>
      </w:r>
      <w:proofErr w:type="gramStart"/>
      <w:r w:rsidR="00BE7933" w:rsidRPr="00190530">
        <w:rPr>
          <w:rFonts w:ascii="Times New Roman" w:eastAsia="Times New Roman" w:hAnsi="Times New Roman" w:cs="Times New Roman"/>
          <w:sz w:val="24"/>
          <w:szCs w:val="24"/>
          <w:lang w:eastAsia="pt-BR"/>
        </w:rPr>
        <w:t>et</w:t>
      </w:r>
      <w:proofErr w:type="gramEnd"/>
      <w:r w:rsidR="00BE7933" w:rsidRPr="00190530">
        <w:rPr>
          <w:rFonts w:ascii="Times New Roman" w:eastAsia="Times New Roman" w:hAnsi="Times New Roman" w:cs="Times New Roman"/>
          <w:sz w:val="24"/>
          <w:szCs w:val="24"/>
          <w:lang w:eastAsia="pt-BR"/>
        </w:rPr>
        <w:t xml:space="preserve"> al.</w:t>
      </w:r>
      <w:r>
        <w:rPr>
          <w:rFonts w:ascii="Times New Roman" w:eastAsia="Times New Roman" w:hAnsi="Times New Roman" w:cs="Times New Roman"/>
          <w:sz w:val="24"/>
          <w:szCs w:val="24"/>
          <w:lang w:eastAsia="pt-BR"/>
        </w:rPr>
        <w:t xml:space="preserve"> (</w:t>
      </w:r>
      <w:r w:rsidR="00BE7933" w:rsidRPr="00190530">
        <w:rPr>
          <w:rFonts w:ascii="Times New Roman" w:eastAsia="Times New Roman" w:hAnsi="Times New Roman" w:cs="Times New Roman"/>
          <w:sz w:val="24"/>
          <w:szCs w:val="24"/>
          <w:lang w:eastAsia="pt-BR"/>
        </w:rPr>
        <w:t>2002</w:t>
      </w:r>
      <w:r>
        <w:rPr>
          <w:rFonts w:ascii="Times New Roman" w:eastAsia="Times New Roman" w:hAnsi="Times New Roman" w:cs="Times New Roman"/>
          <w:sz w:val="24"/>
          <w:szCs w:val="24"/>
          <w:lang w:eastAsia="pt-BR"/>
        </w:rPr>
        <w:t xml:space="preserve">) e </w:t>
      </w:r>
      <w:proofErr w:type="spellStart"/>
      <w:r w:rsidRPr="00190530">
        <w:rPr>
          <w:rFonts w:ascii="Times New Roman" w:eastAsia="Times New Roman" w:hAnsi="Times New Roman" w:cs="Times New Roman"/>
          <w:sz w:val="24"/>
          <w:szCs w:val="24"/>
          <w:lang w:eastAsia="pt-BR"/>
        </w:rPr>
        <w:t>Decamps</w:t>
      </w:r>
      <w:proofErr w:type="spellEnd"/>
      <w:r w:rsidRPr="00190530">
        <w:rPr>
          <w:rFonts w:ascii="Times New Roman" w:eastAsia="Times New Roman" w:hAnsi="Times New Roman" w:cs="Times New Roman"/>
          <w:sz w:val="24"/>
          <w:szCs w:val="24"/>
          <w:lang w:eastAsia="pt-BR"/>
        </w:rPr>
        <w:t xml:space="preserve"> et al.</w:t>
      </w:r>
      <w:r>
        <w:rPr>
          <w:rFonts w:ascii="Times New Roman" w:eastAsia="Times New Roman" w:hAnsi="Times New Roman" w:cs="Times New Roman"/>
          <w:sz w:val="24"/>
          <w:szCs w:val="24"/>
          <w:lang w:eastAsia="pt-BR"/>
        </w:rPr>
        <w:t xml:space="preserve"> (</w:t>
      </w:r>
      <w:r w:rsidRPr="00190530">
        <w:rPr>
          <w:rFonts w:ascii="Times New Roman" w:eastAsia="Times New Roman" w:hAnsi="Times New Roman" w:cs="Times New Roman"/>
          <w:sz w:val="24"/>
          <w:szCs w:val="24"/>
          <w:lang w:eastAsia="pt-BR"/>
        </w:rPr>
        <w:t>2004</w:t>
      </w:r>
      <w:r>
        <w:rPr>
          <w:rFonts w:ascii="Times New Roman" w:eastAsia="Times New Roman" w:hAnsi="Times New Roman" w:cs="Times New Roman"/>
          <w:sz w:val="24"/>
          <w:szCs w:val="24"/>
          <w:lang w:eastAsia="pt-BR"/>
        </w:rPr>
        <w:t xml:space="preserve">), vamos utilizar o modelo de  </w:t>
      </w:r>
      <w:proofErr w:type="spellStart"/>
      <w:r>
        <w:rPr>
          <w:rFonts w:ascii="Times New Roman" w:eastAsia="Times New Roman" w:hAnsi="Times New Roman" w:cs="Times New Roman"/>
          <w:sz w:val="24"/>
          <w:szCs w:val="24"/>
          <w:lang w:eastAsia="pt-BR"/>
        </w:rPr>
        <w:t>Koziol</w:t>
      </w:r>
      <w:proofErr w:type="spellEnd"/>
      <w:r>
        <w:rPr>
          <w:rFonts w:ascii="Times New Roman" w:eastAsia="Times New Roman" w:hAnsi="Times New Roman" w:cs="Times New Roman"/>
          <w:sz w:val="24"/>
          <w:szCs w:val="24"/>
          <w:lang w:eastAsia="pt-BR"/>
        </w:rPr>
        <w:t xml:space="preserve"> e </w:t>
      </w:r>
      <w:proofErr w:type="spellStart"/>
      <w:r>
        <w:rPr>
          <w:rFonts w:ascii="Times New Roman" w:eastAsia="Times New Roman" w:hAnsi="Times New Roman" w:cs="Times New Roman"/>
          <w:sz w:val="24"/>
          <w:szCs w:val="24"/>
          <w:lang w:eastAsia="pt-BR"/>
        </w:rPr>
        <w:t>Lawrenz</w:t>
      </w:r>
      <w:proofErr w:type="spellEnd"/>
      <w:r>
        <w:rPr>
          <w:rFonts w:ascii="Times New Roman" w:eastAsia="Times New Roman" w:hAnsi="Times New Roman" w:cs="Times New Roman"/>
          <w:sz w:val="24"/>
          <w:szCs w:val="24"/>
          <w:lang w:eastAsia="pt-BR"/>
        </w:rPr>
        <w:t xml:space="preserve"> (</w:t>
      </w:r>
      <w:r w:rsidRPr="00190530">
        <w:rPr>
          <w:rFonts w:ascii="Times New Roman" w:eastAsia="Times New Roman" w:hAnsi="Times New Roman" w:cs="Times New Roman"/>
          <w:sz w:val="24"/>
          <w:szCs w:val="24"/>
          <w:lang w:eastAsia="pt-BR"/>
        </w:rPr>
        <w:t>2012)</w:t>
      </w:r>
      <w:r>
        <w:rPr>
          <w:rFonts w:ascii="Times New Roman" w:eastAsia="Times New Roman" w:hAnsi="Times New Roman" w:cs="Times New Roman"/>
          <w:sz w:val="24"/>
          <w:szCs w:val="24"/>
          <w:lang w:eastAsia="pt-BR"/>
        </w:rPr>
        <w:t xml:space="preserve"> </w:t>
      </w:r>
      <w:r w:rsidR="00387631">
        <w:rPr>
          <w:rFonts w:ascii="Times New Roman" w:eastAsia="Times New Roman" w:hAnsi="Times New Roman" w:cs="Times New Roman"/>
          <w:sz w:val="24"/>
          <w:szCs w:val="24"/>
          <w:lang w:eastAsia="pt-BR"/>
        </w:rPr>
        <w:t>para</w:t>
      </w:r>
      <w:r>
        <w:rPr>
          <w:rFonts w:ascii="Times New Roman" w:eastAsia="Times New Roman" w:hAnsi="Times New Roman" w:cs="Times New Roman"/>
          <w:sz w:val="24"/>
          <w:szCs w:val="24"/>
          <w:lang w:eastAsia="pt-BR"/>
        </w:rPr>
        <w:t xml:space="preserve"> estimar a estrutura ótima de capital dos 10 maiores bancos</w:t>
      </w:r>
      <w:r w:rsidR="0038763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74B07">
        <w:rPr>
          <w:rFonts w:ascii="Times New Roman" w:eastAsia="Times New Roman" w:hAnsi="Times New Roman" w:cs="Times New Roman"/>
          <w:sz w:val="24"/>
          <w:szCs w:val="24"/>
          <w:lang w:eastAsia="pt-BR"/>
        </w:rPr>
        <w:t>em total de ativos</w:t>
      </w:r>
      <w:r w:rsidR="00387631">
        <w:rPr>
          <w:rFonts w:ascii="Times New Roman" w:eastAsia="Times New Roman" w:hAnsi="Times New Roman" w:cs="Times New Roman"/>
          <w:sz w:val="24"/>
          <w:szCs w:val="24"/>
          <w:lang w:eastAsia="pt-BR"/>
        </w:rPr>
        <w:t>,</w:t>
      </w:r>
      <w:r w:rsidR="00074B07">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d</w:t>
      </w:r>
      <w:r w:rsidR="00074B07">
        <w:rPr>
          <w:rFonts w:ascii="Times New Roman" w:eastAsia="Times New Roman" w:hAnsi="Times New Roman" w:cs="Times New Roman"/>
          <w:sz w:val="24"/>
          <w:szCs w:val="24"/>
          <w:lang w:eastAsia="pt-BR"/>
        </w:rPr>
        <w:t xml:space="preserve">o Sistema Financeiro </w:t>
      </w:r>
      <w:r w:rsidR="004B7A73">
        <w:rPr>
          <w:rFonts w:ascii="Times New Roman" w:eastAsia="Times New Roman" w:hAnsi="Times New Roman" w:cs="Times New Roman"/>
          <w:sz w:val="24"/>
          <w:szCs w:val="24"/>
          <w:lang w:eastAsia="pt-BR"/>
        </w:rPr>
        <w:t>Nacional</w:t>
      </w:r>
      <w:r w:rsidR="000B2585">
        <w:rPr>
          <w:rFonts w:ascii="Times New Roman" w:eastAsia="Times New Roman" w:hAnsi="Times New Roman" w:cs="Times New Roman"/>
          <w:sz w:val="24"/>
          <w:szCs w:val="24"/>
          <w:lang w:eastAsia="pt-BR"/>
        </w:rPr>
        <w:t xml:space="preserve"> </w:t>
      </w:r>
      <w:r w:rsidR="004B7A73">
        <w:rPr>
          <w:rFonts w:ascii="Times New Roman" w:eastAsia="Times New Roman" w:hAnsi="Times New Roman" w:cs="Times New Roman"/>
          <w:sz w:val="24"/>
          <w:szCs w:val="24"/>
          <w:lang w:eastAsia="pt-BR"/>
        </w:rPr>
        <w:t xml:space="preserve">(SFN) </w:t>
      </w:r>
      <w:r w:rsidR="000B2585">
        <w:rPr>
          <w:rFonts w:ascii="Times New Roman" w:eastAsia="Times New Roman" w:hAnsi="Times New Roman" w:cs="Times New Roman"/>
          <w:sz w:val="24"/>
          <w:szCs w:val="24"/>
          <w:lang w:eastAsia="pt-BR"/>
        </w:rPr>
        <w:t>e</w:t>
      </w:r>
      <w:r w:rsidR="00074B07">
        <w:rPr>
          <w:rFonts w:ascii="Times New Roman" w:eastAsia="Times New Roman" w:hAnsi="Times New Roman" w:cs="Times New Roman"/>
          <w:sz w:val="24"/>
          <w:szCs w:val="24"/>
          <w:lang w:eastAsia="pt-BR"/>
        </w:rPr>
        <w:t xml:space="preserve"> respo</w:t>
      </w:r>
      <w:r w:rsidR="000B2585">
        <w:rPr>
          <w:rFonts w:ascii="Times New Roman" w:eastAsia="Times New Roman" w:hAnsi="Times New Roman" w:cs="Times New Roman"/>
          <w:sz w:val="24"/>
          <w:szCs w:val="24"/>
          <w:lang w:eastAsia="pt-BR"/>
        </w:rPr>
        <w:t>nder, na visão do modelo,</w:t>
      </w:r>
      <w:r w:rsidR="00074B07">
        <w:rPr>
          <w:rFonts w:ascii="Times New Roman" w:eastAsia="Times New Roman" w:hAnsi="Times New Roman" w:cs="Times New Roman"/>
          <w:sz w:val="24"/>
          <w:szCs w:val="24"/>
          <w:lang w:eastAsia="pt-BR"/>
        </w:rPr>
        <w:t xml:space="preserve"> as </w:t>
      </w:r>
      <w:r w:rsidR="004B7A73">
        <w:rPr>
          <w:rFonts w:ascii="Times New Roman" w:eastAsia="Times New Roman" w:hAnsi="Times New Roman" w:cs="Times New Roman"/>
          <w:sz w:val="24"/>
          <w:szCs w:val="24"/>
          <w:lang w:eastAsia="pt-BR"/>
        </w:rPr>
        <w:t>hipóteses</w:t>
      </w:r>
      <w:r w:rsidR="000B2585">
        <w:rPr>
          <w:rFonts w:ascii="Times New Roman" w:eastAsia="Times New Roman" w:hAnsi="Times New Roman" w:cs="Times New Roman"/>
          <w:sz w:val="24"/>
          <w:szCs w:val="24"/>
          <w:lang w:eastAsia="pt-BR"/>
        </w:rPr>
        <w:t xml:space="preserve"> </w:t>
      </w:r>
      <w:r w:rsidR="004B7A73">
        <w:rPr>
          <w:rFonts w:ascii="Times New Roman" w:eastAsia="Times New Roman" w:hAnsi="Times New Roman" w:cs="Times New Roman"/>
          <w:sz w:val="24"/>
          <w:szCs w:val="24"/>
          <w:lang w:eastAsia="pt-BR"/>
        </w:rPr>
        <w:t>1 e 2.</w:t>
      </w:r>
      <w:r w:rsidR="000B2585">
        <w:rPr>
          <w:rFonts w:ascii="Times New Roman" w:eastAsia="Times New Roman" w:hAnsi="Times New Roman" w:cs="Times New Roman"/>
          <w:sz w:val="24"/>
          <w:szCs w:val="24"/>
          <w:lang w:eastAsia="pt-BR"/>
        </w:rPr>
        <w:t xml:space="preserve"> </w:t>
      </w:r>
    </w:p>
    <w:p w:rsidR="006926A3" w:rsidRPr="001373E5" w:rsidRDefault="006926A3" w:rsidP="002447B7">
      <w:pPr>
        <w:pStyle w:val="PargrafodaLista"/>
        <w:keepNext/>
        <w:keepLines/>
        <w:numPr>
          <w:ilvl w:val="1"/>
          <w:numId w:val="20"/>
        </w:numPr>
        <w:spacing w:after="120" w:line="240" w:lineRule="auto"/>
        <w:outlineLvl w:val="0"/>
        <w:rPr>
          <w:rFonts w:ascii="Times New Roman" w:eastAsiaTheme="majorEastAsia" w:hAnsi="Times New Roman" w:cs="Times New Roman"/>
          <w:b/>
          <w:bCs/>
          <w:sz w:val="24"/>
          <w:szCs w:val="28"/>
        </w:rPr>
      </w:pPr>
      <w:bookmarkStart w:id="5" w:name="_Toc390075550"/>
      <w:r w:rsidRPr="002447B7">
        <w:rPr>
          <w:rFonts w:ascii="Times New Roman" w:eastAsiaTheme="majorEastAsia" w:hAnsi="Times New Roman" w:cs="Times New Roman"/>
          <w:b/>
          <w:bCs/>
          <w:sz w:val="24"/>
          <w:szCs w:val="28"/>
        </w:rPr>
        <w:t>Determinação do capital ótimo sob as regulamentações do BACEN e de Basiléia III</w:t>
      </w:r>
      <w:bookmarkEnd w:id="5"/>
    </w:p>
    <w:p w:rsidR="00FA45BF" w:rsidRPr="00DD5017" w:rsidRDefault="001373E5" w:rsidP="00FF5024">
      <w:pPr>
        <w:spacing w:after="120" w:line="240" w:lineRule="auto"/>
        <w:jc w:val="both"/>
        <w:rPr>
          <w:rFonts w:ascii="Times New Roman" w:eastAsia="Times New Roman" w:hAnsi="Times New Roman" w:cs="Times New Roman"/>
          <w:sz w:val="24"/>
          <w:szCs w:val="24"/>
          <w:lang w:eastAsia="pt-BR"/>
        </w:rPr>
      </w:pPr>
      <w:r w:rsidRPr="00DD5017">
        <w:rPr>
          <w:rFonts w:ascii="Times New Roman" w:eastAsia="Times New Roman" w:hAnsi="Times New Roman" w:cs="Times New Roman"/>
          <w:sz w:val="24"/>
          <w:szCs w:val="24"/>
          <w:lang w:eastAsia="pt-BR"/>
        </w:rPr>
        <w:t>Utilizando o Banco do Brasil como modelo, apresentaremos a metodologia utilizada</w:t>
      </w:r>
      <w:r w:rsidR="009777BD">
        <w:rPr>
          <w:rFonts w:ascii="Times New Roman" w:eastAsia="Times New Roman" w:hAnsi="Times New Roman" w:cs="Times New Roman"/>
          <w:sz w:val="24"/>
          <w:szCs w:val="24"/>
          <w:lang w:eastAsia="pt-BR"/>
        </w:rPr>
        <w:t xml:space="preserve">, na qual </w:t>
      </w:r>
      <w:r w:rsidR="002447B7">
        <w:rPr>
          <w:rFonts w:ascii="Times New Roman" w:eastAsia="Times New Roman" w:hAnsi="Times New Roman" w:cs="Times New Roman"/>
          <w:sz w:val="24"/>
          <w:szCs w:val="24"/>
          <w:lang w:eastAsia="pt-BR"/>
        </w:rPr>
        <w:t>o</w:t>
      </w:r>
      <w:r w:rsidR="00925AA8" w:rsidRPr="00DD5017">
        <w:rPr>
          <w:rFonts w:ascii="Times New Roman" w:eastAsia="Times New Roman" w:hAnsi="Times New Roman" w:cs="Times New Roman"/>
          <w:sz w:val="24"/>
          <w:szCs w:val="24"/>
          <w:lang w:eastAsia="pt-BR"/>
        </w:rPr>
        <w:t xml:space="preserve"> fluxo d</w:t>
      </w:r>
      <w:r w:rsidR="00664FFE" w:rsidRPr="00DD5017">
        <w:rPr>
          <w:rFonts w:ascii="Times New Roman" w:eastAsia="Times New Roman" w:hAnsi="Times New Roman" w:cs="Times New Roman"/>
          <w:sz w:val="24"/>
          <w:szCs w:val="24"/>
          <w:lang w:eastAsia="pt-BR"/>
        </w:rPr>
        <w:t>e caixa do banco</w:t>
      </w:r>
      <w:r w:rsidR="009777BD">
        <w:rPr>
          <w:rFonts w:ascii="Times New Roman" w:eastAsia="Times New Roman" w:hAnsi="Times New Roman" w:cs="Times New Roman"/>
          <w:sz w:val="24"/>
          <w:szCs w:val="24"/>
          <w:lang w:eastAsia="pt-BR"/>
        </w:rPr>
        <w:t xml:space="preserve"> é projetado</w:t>
      </w:r>
      <w:r w:rsidR="00ED7771">
        <w:rPr>
          <w:rFonts w:ascii="Times New Roman" w:eastAsia="Times New Roman" w:hAnsi="Times New Roman" w:cs="Times New Roman"/>
          <w:sz w:val="24"/>
          <w:szCs w:val="24"/>
          <w:lang w:eastAsia="pt-BR"/>
        </w:rPr>
        <w:t>,</w:t>
      </w:r>
      <w:r w:rsidR="00664FFE" w:rsidRPr="00DD5017">
        <w:rPr>
          <w:rFonts w:ascii="Times New Roman" w:eastAsia="Times New Roman" w:hAnsi="Times New Roman" w:cs="Times New Roman"/>
          <w:sz w:val="24"/>
          <w:szCs w:val="24"/>
          <w:lang w:eastAsia="pt-BR"/>
        </w:rPr>
        <w:t xml:space="preserve"> </w:t>
      </w:r>
      <w:r w:rsidR="009777BD">
        <w:rPr>
          <w:rFonts w:ascii="Times New Roman" w:eastAsia="Times New Roman" w:hAnsi="Times New Roman" w:cs="Times New Roman"/>
          <w:sz w:val="24"/>
          <w:szCs w:val="24"/>
          <w:lang w:eastAsia="pt-BR"/>
        </w:rPr>
        <w:t>com base no histórico</w:t>
      </w:r>
      <w:r w:rsidR="002447B7">
        <w:rPr>
          <w:rFonts w:ascii="Times New Roman" w:eastAsia="Times New Roman" w:hAnsi="Times New Roman" w:cs="Times New Roman"/>
          <w:sz w:val="24"/>
          <w:szCs w:val="24"/>
          <w:lang w:eastAsia="pt-BR"/>
        </w:rPr>
        <w:t xml:space="preserve">, </w:t>
      </w:r>
      <w:r w:rsidR="00FA45BF" w:rsidRPr="00DD5017">
        <w:rPr>
          <w:rFonts w:ascii="Times New Roman" w:eastAsia="Times New Roman" w:hAnsi="Times New Roman" w:cs="Times New Roman"/>
          <w:sz w:val="24"/>
          <w:szCs w:val="24"/>
          <w:lang w:eastAsia="pt-BR"/>
        </w:rPr>
        <w:t>utiliza</w:t>
      </w:r>
      <w:r w:rsidR="002447B7">
        <w:rPr>
          <w:rFonts w:ascii="Times New Roman" w:eastAsia="Times New Roman" w:hAnsi="Times New Roman" w:cs="Times New Roman"/>
          <w:sz w:val="24"/>
          <w:szCs w:val="24"/>
          <w:lang w:eastAsia="pt-BR"/>
        </w:rPr>
        <w:t>ndo</w:t>
      </w:r>
      <w:r w:rsidR="00FA45BF" w:rsidRPr="00DD5017">
        <w:rPr>
          <w:rFonts w:ascii="Times New Roman" w:eastAsia="Times New Roman" w:hAnsi="Times New Roman" w:cs="Times New Roman"/>
          <w:sz w:val="24"/>
          <w:szCs w:val="24"/>
          <w:lang w:eastAsia="pt-BR"/>
        </w:rPr>
        <w:t xml:space="preserve"> a equação diferencial estocástica: </w:t>
      </w:r>
    </w:p>
    <w:p w:rsidR="00FA45BF" w:rsidRPr="00DD5017" w:rsidRDefault="00445FF9" w:rsidP="00FF5024">
      <w:pPr>
        <w:spacing w:after="120" w:line="240" w:lineRule="auto"/>
        <w:jc w:val="right"/>
        <w:rPr>
          <w:rFonts w:ascii="Times New Roman" w:eastAsia="Times New Roman" w:hAnsi="Times New Roman" w:cs="Times New Roman"/>
          <w:sz w:val="24"/>
          <w:szCs w:val="24"/>
          <w:lang w:eastAsia="pt-BR"/>
        </w:rPr>
      </w:pPr>
      <m:oMath>
        <m:sSub>
          <m:sSubPr>
            <m:ctrlPr>
              <w:rPr>
                <w:rFonts w:ascii="Cambria Math" w:hAnsi="Cambria Math" w:cs="Times New Roman"/>
                <w:i/>
                <w:sz w:val="24"/>
                <w:szCs w:val="24"/>
                <w:lang w:val="pt-PT"/>
              </w:rPr>
            </m:ctrlPr>
          </m:sSubPr>
          <m:e>
            <m:r>
              <w:rPr>
                <w:rFonts w:ascii="Cambria Math" w:hAnsi="Cambria Math" w:cs="Times New Roman"/>
                <w:sz w:val="24"/>
                <w:szCs w:val="24"/>
                <w:lang w:val="pt-PT"/>
              </w:rPr>
              <m:t>dx</m:t>
            </m:r>
          </m:e>
          <m:sub>
            <m:r>
              <w:rPr>
                <w:rFonts w:ascii="Cambria Math" w:hAnsi="Cambria Math" w:cs="Times New Roman"/>
                <w:sz w:val="24"/>
                <w:szCs w:val="24"/>
                <w:lang w:val="pt-PT"/>
              </w:rPr>
              <m:t>t</m:t>
            </m:r>
          </m:sub>
        </m:sSub>
        <m:r>
          <w:rPr>
            <w:rFonts w:ascii="Cambria Math" w:hAnsi="Cambria Math" w:cs="Times New Roman"/>
            <w:sz w:val="24"/>
            <w:szCs w:val="24"/>
            <w:lang w:val="pt-PT"/>
          </w:rPr>
          <m:t xml:space="preserve">= </m:t>
        </m:r>
        <m:sSub>
          <m:sSubPr>
            <m:ctrlPr>
              <w:rPr>
                <w:rFonts w:ascii="Cambria Math" w:hAnsi="Cambria Math" w:cs="Times New Roman"/>
                <w:i/>
                <w:sz w:val="24"/>
                <w:szCs w:val="24"/>
                <w:lang w:val="pt-PT"/>
              </w:rPr>
            </m:ctrlPr>
          </m:sSubPr>
          <m:e>
            <m:r>
              <w:rPr>
                <w:rFonts w:ascii="Cambria Math" w:hAnsi="Cambria Math" w:cs="Times New Roman"/>
                <w:sz w:val="24"/>
                <w:szCs w:val="24"/>
                <w:lang w:val="pt-PT"/>
              </w:rPr>
              <m:t>μx</m:t>
            </m:r>
          </m:e>
          <m:sub>
            <m:r>
              <w:rPr>
                <w:rFonts w:ascii="Cambria Math" w:hAnsi="Cambria Math" w:cs="Times New Roman"/>
                <w:sz w:val="24"/>
                <w:szCs w:val="24"/>
                <w:lang w:val="pt-PT"/>
              </w:rPr>
              <m:t>t</m:t>
            </m:r>
          </m:sub>
        </m:sSub>
        <m:r>
          <w:rPr>
            <w:rFonts w:ascii="Cambria Math" w:hAnsi="Cambria Math" w:cs="Times New Roman"/>
            <w:sz w:val="24"/>
            <w:szCs w:val="24"/>
            <w:lang w:val="pt-PT"/>
          </w:rPr>
          <m:t xml:space="preserve"> dt+ </m:t>
        </m:r>
        <m:sSub>
          <m:sSubPr>
            <m:ctrlPr>
              <w:rPr>
                <w:rFonts w:ascii="Cambria Math" w:hAnsi="Cambria Math" w:cs="Times New Roman"/>
                <w:i/>
                <w:sz w:val="24"/>
                <w:szCs w:val="24"/>
                <w:lang w:val="pt-PT"/>
              </w:rPr>
            </m:ctrlPr>
          </m:sSubPr>
          <m:e>
            <m:r>
              <w:rPr>
                <w:rFonts w:ascii="Cambria Math" w:hAnsi="Cambria Math" w:cs="Times New Roman"/>
                <w:sz w:val="24"/>
                <w:szCs w:val="24"/>
                <w:lang w:val="pt-PT"/>
              </w:rPr>
              <m:t>σx</m:t>
            </m:r>
          </m:e>
          <m:sub>
            <m:r>
              <w:rPr>
                <w:rFonts w:ascii="Cambria Math" w:hAnsi="Cambria Math" w:cs="Times New Roman"/>
                <w:sz w:val="24"/>
                <w:szCs w:val="24"/>
                <w:lang w:val="pt-PT"/>
              </w:rPr>
              <m:t>t</m:t>
            </m:r>
          </m:sub>
        </m:sSub>
        <m:r>
          <w:rPr>
            <w:rFonts w:ascii="Cambria Math" w:hAnsi="Cambria Math" w:cs="Times New Roman"/>
            <w:sz w:val="24"/>
            <w:szCs w:val="24"/>
            <w:lang w:val="pt-PT"/>
          </w:rPr>
          <m:t xml:space="preserve"> </m:t>
        </m:r>
        <m:sSub>
          <m:sSubPr>
            <m:ctrlPr>
              <w:rPr>
                <w:rFonts w:ascii="Cambria Math" w:hAnsi="Cambria Math" w:cs="Times New Roman"/>
                <w:i/>
                <w:sz w:val="24"/>
                <w:szCs w:val="24"/>
                <w:lang w:val="pt-PT"/>
              </w:rPr>
            </m:ctrlPr>
          </m:sSubPr>
          <m:e>
            <m:r>
              <w:rPr>
                <w:rFonts w:ascii="Cambria Math" w:hAnsi="Cambria Math" w:cs="Times New Roman"/>
                <w:sz w:val="24"/>
                <w:szCs w:val="24"/>
                <w:lang w:val="pt-PT"/>
              </w:rPr>
              <m:t>dz</m:t>
            </m:r>
          </m:e>
          <m:sub>
            <m:r>
              <w:rPr>
                <w:rFonts w:ascii="Cambria Math" w:hAnsi="Cambria Math" w:cs="Times New Roman"/>
                <w:sz w:val="24"/>
                <w:szCs w:val="24"/>
                <w:lang w:val="pt-PT"/>
              </w:rPr>
              <m:t>t</m:t>
            </m:r>
          </m:sub>
        </m:sSub>
      </m:oMath>
      <w:r w:rsidR="00FA45BF" w:rsidRPr="00DD5017">
        <w:rPr>
          <w:rFonts w:ascii="Times New Roman" w:eastAsia="Times New Roman" w:hAnsi="Times New Roman" w:cs="Times New Roman"/>
          <w:sz w:val="24"/>
          <w:szCs w:val="24"/>
          <w:lang w:val="pt-PT"/>
        </w:rPr>
        <w:t xml:space="preserve">                                                (1)</w:t>
      </w:r>
    </w:p>
    <w:p w:rsidR="00A57207" w:rsidRPr="00DD5017" w:rsidRDefault="00FA45BF" w:rsidP="009777BD">
      <w:pPr>
        <w:spacing w:after="120" w:line="240" w:lineRule="auto"/>
        <w:jc w:val="both"/>
        <w:rPr>
          <w:rFonts w:ascii="Times New Roman" w:eastAsia="Times New Roman" w:hAnsi="Times New Roman" w:cs="Times New Roman"/>
          <w:sz w:val="24"/>
          <w:szCs w:val="24"/>
          <w:lang w:eastAsia="pt-BR"/>
        </w:rPr>
      </w:pPr>
      <w:proofErr w:type="gramStart"/>
      <w:r w:rsidRPr="00DD5017">
        <w:rPr>
          <w:rFonts w:ascii="Times New Roman" w:eastAsia="Times New Roman" w:hAnsi="Times New Roman" w:cs="Times New Roman"/>
          <w:sz w:val="24"/>
          <w:szCs w:val="24"/>
          <w:lang w:eastAsia="pt-BR"/>
        </w:rPr>
        <w:t>onde</w:t>
      </w:r>
      <w:proofErr w:type="gramEnd"/>
      <w:r w:rsidRPr="00DD5017">
        <w:rPr>
          <w:rFonts w:ascii="Times New Roman" w:eastAsia="Times New Roman" w:hAnsi="Times New Roman" w:cs="Times New Roman"/>
          <w:sz w:val="24"/>
          <w:szCs w:val="24"/>
          <w:lang w:eastAsia="pt-BR"/>
        </w:rPr>
        <w:t>,</w:t>
      </w:r>
      <w:r w:rsidR="00664FFE" w:rsidRPr="00DD5017">
        <w:rPr>
          <w:rFonts w:ascii="Times New Roman" w:eastAsia="Times New Roman" w:hAnsi="Times New Roman" w:cs="Times New Roman"/>
          <w:sz w:val="24"/>
          <w:szCs w:val="24"/>
          <w:lang w:eastAsia="pt-BR"/>
        </w:rPr>
        <w:t xml:space="preserve"> a</w:t>
      </w:r>
      <w:r w:rsidR="002447B7">
        <w:rPr>
          <w:rFonts w:ascii="Times New Roman" w:eastAsia="Times New Roman" w:hAnsi="Times New Roman" w:cs="Times New Roman"/>
          <w:sz w:val="24"/>
          <w:szCs w:val="24"/>
          <w:lang w:eastAsia="pt-BR"/>
        </w:rPr>
        <w:t>s</w:t>
      </w:r>
      <w:r w:rsidR="00664FFE" w:rsidRPr="00DD5017">
        <w:rPr>
          <w:rFonts w:ascii="Times New Roman" w:eastAsia="Times New Roman" w:hAnsi="Times New Roman" w:cs="Times New Roman"/>
          <w:sz w:val="24"/>
          <w:szCs w:val="24"/>
          <w:lang w:eastAsia="pt-BR"/>
        </w:rPr>
        <w:t xml:space="preserve"> constante</w:t>
      </w:r>
      <w:r w:rsidR="002447B7">
        <w:rPr>
          <w:rFonts w:ascii="Times New Roman" w:eastAsia="Times New Roman" w:hAnsi="Times New Roman" w:cs="Times New Roman"/>
          <w:sz w:val="24"/>
          <w:szCs w:val="24"/>
          <w:lang w:eastAsia="pt-BR"/>
        </w:rPr>
        <w:t>s</w:t>
      </w:r>
      <w:r w:rsidR="00664FFE" w:rsidRPr="00DD5017">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μ</m:t>
        </m:r>
      </m:oMath>
      <w:r w:rsidR="00664FFE" w:rsidRPr="00DD5017">
        <w:rPr>
          <w:rFonts w:ascii="Times New Roman" w:eastAsia="Times New Roman" w:hAnsi="Times New Roman" w:cs="Times New Roman"/>
          <w:sz w:val="24"/>
          <w:szCs w:val="24"/>
          <w:lang w:eastAsia="pt-BR"/>
        </w:rPr>
        <w:t xml:space="preserve"> </w:t>
      </w:r>
      <w:r w:rsidR="002447B7">
        <w:rPr>
          <w:rFonts w:ascii="Times New Roman" w:eastAsia="Times New Roman" w:hAnsi="Times New Roman" w:cs="Times New Roman"/>
          <w:sz w:val="24"/>
          <w:szCs w:val="24"/>
          <w:lang w:eastAsia="pt-BR"/>
        </w:rPr>
        <w:t xml:space="preserve">e </w:t>
      </w:r>
      <m:oMath>
        <m:r>
          <w:rPr>
            <w:rFonts w:ascii="Cambria Math" w:eastAsia="Times New Roman" w:hAnsi="Cambria Math" w:cs="Times New Roman"/>
            <w:sz w:val="24"/>
            <w:szCs w:val="24"/>
            <w:lang w:eastAsia="pt-BR"/>
          </w:rPr>
          <m:t>σ</m:t>
        </m:r>
      </m:oMath>
      <w:r w:rsidR="002447B7" w:rsidRPr="00DD5017">
        <w:rPr>
          <w:rFonts w:ascii="Times New Roman" w:eastAsia="Times New Roman" w:hAnsi="Times New Roman" w:cs="Times New Roman"/>
          <w:sz w:val="24"/>
          <w:szCs w:val="24"/>
          <w:lang w:eastAsia="pt-BR"/>
        </w:rPr>
        <w:t xml:space="preserve"> </w:t>
      </w:r>
      <w:r w:rsidR="00664FFE" w:rsidRPr="00DD5017">
        <w:rPr>
          <w:rFonts w:ascii="Times New Roman" w:eastAsia="Times New Roman" w:hAnsi="Times New Roman" w:cs="Times New Roman"/>
          <w:sz w:val="24"/>
          <w:szCs w:val="24"/>
          <w:lang w:eastAsia="pt-BR"/>
        </w:rPr>
        <w:t>representa</w:t>
      </w:r>
      <w:r w:rsidR="002447B7">
        <w:rPr>
          <w:rFonts w:ascii="Times New Roman" w:eastAsia="Times New Roman" w:hAnsi="Times New Roman" w:cs="Times New Roman"/>
          <w:sz w:val="24"/>
          <w:szCs w:val="24"/>
          <w:lang w:eastAsia="pt-BR"/>
        </w:rPr>
        <w:t>m respectivamente,</w:t>
      </w:r>
      <w:r w:rsidR="00664FFE" w:rsidRPr="00DD5017">
        <w:rPr>
          <w:rFonts w:ascii="Times New Roman" w:eastAsia="Times New Roman" w:hAnsi="Times New Roman" w:cs="Times New Roman"/>
          <w:sz w:val="24"/>
          <w:szCs w:val="24"/>
          <w:lang w:eastAsia="pt-BR"/>
        </w:rPr>
        <w:t xml:space="preserve"> o retorno sobre o</w:t>
      </w:r>
      <w:r w:rsidRPr="00DD5017">
        <w:rPr>
          <w:rFonts w:ascii="Times New Roman" w:eastAsia="Times New Roman" w:hAnsi="Times New Roman" w:cs="Times New Roman"/>
          <w:sz w:val="24"/>
          <w:szCs w:val="24"/>
          <w:lang w:eastAsia="pt-BR"/>
        </w:rPr>
        <w:t>s</w:t>
      </w:r>
      <w:r w:rsidR="00664FFE" w:rsidRPr="00DD5017">
        <w:rPr>
          <w:rFonts w:ascii="Times New Roman" w:eastAsia="Times New Roman" w:hAnsi="Times New Roman" w:cs="Times New Roman"/>
          <w:sz w:val="24"/>
          <w:szCs w:val="24"/>
          <w:lang w:eastAsia="pt-BR"/>
        </w:rPr>
        <w:t xml:space="preserve"> fluxo</w:t>
      </w:r>
      <w:r w:rsidRPr="00DD5017">
        <w:rPr>
          <w:rFonts w:ascii="Times New Roman" w:eastAsia="Times New Roman" w:hAnsi="Times New Roman" w:cs="Times New Roman"/>
          <w:sz w:val="24"/>
          <w:szCs w:val="24"/>
          <w:lang w:eastAsia="pt-BR"/>
        </w:rPr>
        <w:t>s</w:t>
      </w:r>
      <w:r w:rsidR="00664FFE" w:rsidRPr="00DD5017">
        <w:rPr>
          <w:rFonts w:ascii="Times New Roman" w:eastAsia="Times New Roman" w:hAnsi="Times New Roman" w:cs="Times New Roman"/>
          <w:sz w:val="24"/>
          <w:szCs w:val="24"/>
          <w:lang w:eastAsia="pt-BR"/>
        </w:rPr>
        <w:t xml:space="preserve"> de caixa </w:t>
      </w:r>
      <w:r w:rsidR="002447B7">
        <w:rPr>
          <w:rFonts w:ascii="Times New Roman" w:eastAsia="Times New Roman" w:hAnsi="Times New Roman" w:cs="Times New Roman"/>
          <w:sz w:val="24"/>
          <w:szCs w:val="24"/>
          <w:lang w:eastAsia="pt-BR"/>
        </w:rPr>
        <w:t>e</w:t>
      </w:r>
      <w:r w:rsidR="00F03F8F" w:rsidRPr="00DD5017">
        <w:rPr>
          <w:rFonts w:ascii="Times New Roman" w:eastAsia="Times New Roman" w:hAnsi="Times New Roman" w:cs="Times New Roman"/>
          <w:sz w:val="24"/>
          <w:szCs w:val="24"/>
          <w:lang w:eastAsia="pt-BR"/>
        </w:rPr>
        <w:t xml:space="preserve"> </w:t>
      </w:r>
      <w:r w:rsidR="00664FFE" w:rsidRPr="00DD5017">
        <w:rPr>
          <w:rFonts w:ascii="Times New Roman" w:eastAsia="Times New Roman" w:hAnsi="Times New Roman" w:cs="Times New Roman"/>
          <w:sz w:val="24"/>
          <w:szCs w:val="24"/>
          <w:lang w:eastAsia="pt-BR"/>
        </w:rPr>
        <w:t>a volatilidade total dos fluxos de caixa</w:t>
      </w:r>
      <w:r w:rsidRPr="00DD5017">
        <w:rPr>
          <w:rFonts w:ascii="Times New Roman" w:eastAsia="Times New Roman" w:hAnsi="Times New Roman" w:cs="Times New Roman"/>
          <w:sz w:val="24"/>
          <w:szCs w:val="24"/>
          <w:lang w:eastAsia="pt-BR"/>
        </w:rPr>
        <w:t xml:space="preserve">, </w:t>
      </w:r>
      <m:oMath>
        <m:sSub>
          <m:sSubPr>
            <m:ctrlPr>
              <w:rPr>
                <w:rFonts w:ascii="Cambria Math" w:hAnsi="Cambria Math" w:cs="Times New Roman"/>
                <w:i/>
                <w:sz w:val="24"/>
                <w:szCs w:val="24"/>
                <w:lang w:val="pt-PT"/>
              </w:rPr>
            </m:ctrlPr>
          </m:sSubPr>
          <m:e>
            <m:r>
              <w:rPr>
                <w:rFonts w:ascii="Cambria Math" w:hAnsi="Cambria Math" w:cs="Times New Roman"/>
                <w:sz w:val="24"/>
                <w:szCs w:val="24"/>
                <w:lang w:val="pt-PT"/>
              </w:rPr>
              <m:t>x</m:t>
            </m:r>
          </m:e>
          <m:sub>
            <m:r>
              <w:rPr>
                <w:rFonts w:ascii="Cambria Math" w:hAnsi="Cambria Math" w:cs="Times New Roman"/>
                <w:sz w:val="24"/>
                <w:szCs w:val="24"/>
                <w:lang w:val="pt-PT"/>
              </w:rPr>
              <m:t>t</m:t>
            </m:r>
          </m:sub>
        </m:sSub>
      </m:oMath>
      <w:r w:rsidRPr="00DD5017">
        <w:rPr>
          <w:rFonts w:ascii="Times New Roman" w:eastAsia="Times New Roman" w:hAnsi="Times New Roman" w:cs="Times New Roman"/>
          <w:sz w:val="24"/>
          <w:szCs w:val="24"/>
          <w:lang w:eastAsia="pt-BR"/>
        </w:rPr>
        <w:t xml:space="preserve"> são os fluxos de caixa projetados no período t</w:t>
      </w:r>
      <w:r w:rsidR="00FD621A" w:rsidRPr="00DD5017">
        <w:rPr>
          <w:rFonts w:ascii="Times New Roman" w:eastAsia="Times New Roman" w:hAnsi="Times New Roman" w:cs="Times New Roman"/>
          <w:sz w:val="24"/>
          <w:szCs w:val="24"/>
          <w:lang w:eastAsia="pt-BR"/>
        </w:rPr>
        <w:t xml:space="preserve"> e </w:t>
      </w:r>
      <m:oMath>
        <m:sSub>
          <m:sSubPr>
            <m:ctrlPr>
              <w:rPr>
                <w:rFonts w:ascii="Cambria Math" w:hAnsi="Cambria Math" w:cs="Times New Roman"/>
                <w:i/>
                <w:sz w:val="24"/>
                <w:szCs w:val="24"/>
                <w:lang w:val="pt-PT"/>
              </w:rPr>
            </m:ctrlPr>
          </m:sSubPr>
          <m:e>
            <m:r>
              <w:rPr>
                <w:rFonts w:ascii="Cambria Math" w:hAnsi="Cambria Math" w:cs="Times New Roman"/>
                <w:sz w:val="24"/>
                <w:szCs w:val="24"/>
                <w:lang w:val="pt-PT"/>
              </w:rPr>
              <m:t>z</m:t>
            </m:r>
          </m:e>
          <m:sub>
            <m:r>
              <w:rPr>
                <w:rFonts w:ascii="Cambria Math" w:hAnsi="Cambria Math" w:cs="Times New Roman"/>
                <w:sz w:val="24"/>
                <w:szCs w:val="24"/>
                <w:lang w:val="pt-PT"/>
              </w:rPr>
              <m:t>t</m:t>
            </m:r>
          </m:sub>
        </m:sSub>
      </m:oMath>
      <w:r w:rsidR="00FD621A" w:rsidRPr="00DD5017">
        <w:rPr>
          <w:rFonts w:ascii="Times New Roman" w:eastAsia="Times New Roman" w:hAnsi="Times New Roman" w:cs="Times New Roman"/>
          <w:sz w:val="24"/>
          <w:szCs w:val="24"/>
          <w:lang w:val="pt-PT"/>
        </w:rPr>
        <w:t xml:space="preserve"> é um processo padrão de Wiener que</w:t>
      </w:r>
      <w:r w:rsidR="00F03F8F" w:rsidRPr="00DD5017">
        <w:rPr>
          <w:rFonts w:ascii="Times New Roman" w:eastAsia="Times New Roman" w:hAnsi="Times New Roman" w:cs="Times New Roman"/>
          <w:sz w:val="24"/>
          <w:szCs w:val="24"/>
          <w:lang w:val="pt-PT"/>
        </w:rPr>
        <w:t>,</w:t>
      </w:r>
      <w:r w:rsidR="00FD621A" w:rsidRPr="00DD5017">
        <w:rPr>
          <w:rFonts w:ascii="Times New Roman" w:eastAsia="Times New Roman" w:hAnsi="Times New Roman" w:cs="Times New Roman"/>
          <w:sz w:val="24"/>
          <w:szCs w:val="24"/>
          <w:lang w:val="pt-PT"/>
        </w:rPr>
        <w:t xml:space="preserve"> </w:t>
      </w:r>
      <w:r w:rsidR="00664FFE" w:rsidRPr="00DD5017">
        <w:rPr>
          <w:rFonts w:ascii="Times New Roman" w:eastAsia="Times New Roman" w:hAnsi="Times New Roman" w:cs="Times New Roman"/>
          <w:sz w:val="24"/>
          <w:szCs w:val="24"/>
          <w:lang w:eastAsia="pt-BR"/>
        </w:rPr>
        <w:t xml:space="preserve">através do Movimento Browniano Geométrico, </w:t>
      </w:r>
      <w:r w:rsidR="00436A01" w:rsidRPr="00DD5017">
        <w:rPr>
          <w:rFonts w:ascii="Times New Roman" w:eastAsia="Times New Roman" w:hAnsi="Times New Roman" w:cs="Times New Roman"/>
          <w:sz w:val="24"/>
          <w:szCs w:val="24"/>
          <w:lang w:eastAsia="pt-BR"/>
        </w:rPr>
        <w:t xml:space="preserve">gera </w:t>
      </w:r>
      <w:r w:rsidRPr="00DD5017">
        <w:rPr>
          <w:rFonts w:ascii="Times New Roman" w:eastAsia="Times New Roman" w:hAnsi="Times New Roman" w:cs="Times New Roman"/>
          <w:sz w:val="24"/>
          <w:szCs w:val="24"/>
          <w:lang w:eastAsia="pt-BR"/>
        </w:rPr>
        <w:t xml:space="preserve">os </w:t>
      </w:r>
      <w:r w:rsidR="00436A01" w:rsidRPr="00DD5017">
        <w:rPr>
          <w:rFonts w:ascii="Times New Roman" w:eastAsia="Times New Roman" w:hAnsi="Times New Roman" w:cs="Times New Roman"/>
          <w:sz w:val="24"/>
          <w:szCs w:val="24"/>
          <w:lang w:eastAsia="pt-BR"/>
        </w:rPr>
        <w:t xml:space="preserve">fluxos de caixa </w:t>
      </w:r>
      <w:r w:rsidRPr="00DD5017">
        <w:rPr>
          <w:rFonts w:ascii="Times New Roman" w:eastAsia="Times New Roman" w:hAnsi="Times New Roman" w:cs="Times New Roman"/>
          <w:sz w:val="24"/>
          <w:szCs w:val="24"/>
          <w:lang w:eastAsia="pt-BR"/>
        </w:rPr>
        <w:t>aleatórios</w:t>
      </w:r>
      <w:r w:rsidR="00436A01" w:rsidRPr="00DD5017">
        <w:rPr>
          <w:rFonts w:ascii="Times New Roman" w:eastAsia="Times New Roman" w:hAnsi="Times New Roman" w:cs="Times New Roman"/>
          <w:sz w:val="24"/>
          <w:szCs w:val="24"/>
          <w:lang w:eastAsia="pt-BR"/>
        </w:rPr>
        <w:t>.</w:t>
      </w:r>
      <w:r w:rsidRPr="00DD5017">
        <w:rPr>
          <w:rFonts w:ascii="Times New Roman" w:eastAsia="Times New Roman" w:hAnsi="Times New Roman" w:cs="Times New Roman"/>
          <w:sz w:val="24"/>
          <w:szCs w:val="24"/>
          <w:lang w:eastAsia="pt-BR"/>
        </w:rPr>
        <w:t xml:space="preserve"> </w:t>
      </w:r>
      <w:r w:rsidR="00D65B2E" w:rsidRPr="00DD5017">
        <w:rPr>
          <w:rFonts w:ascii="Times New Roman" w:eastAsia="Times New Roman" w:hAnsi="Times New Roman" w:cs="Times New Roman"/>
          <w:sz w:val="24"/>
          <w:szCs w:val="24"/>
          <w:lang w:eastAsia="pt-BR"/>
        </w:rPr>
        <w:t xml:space="preserve">Para cada fluxo de caixa gerado, o modelo estima uma estrutura ótima de capital. </w:t>
      </w:r>
      <w:r w:rsidR="00F03F8F" w:rsidRPr="00DD5017">
        <w:rPr>
          <w:rFonts w:ascii="Times New Roman" w:eastAsia="Times New Roman" w:hAnsi="Times New Roman" w:cs="Times New Roman"/>
          <w:sz w:val="24"/>
          <w:szCs w:val="24"/>
          <w:lang w:eastAsia="pt-BR"/>
        </w:rPr>
        <w:t>Porém, estamos</w:t>
      </w:r>
      <w:r w:rsidRPr="00DD5017">
        <w:rPr>
          <w:rFonts w:ascii="Times New Roman" w:eastAsia="Times New Roman" w:hAnsi="Times New Roman" w:cs="Times New Roman"/>
          <w:sz w:val="24"/>
          <w:szCs w:val="24"/>
          <w:lang w:eastAsia="pt-BR"/>
        </w:rPr>
        <w:t xml:space="preserve"> interessados</w:t>
      </w:r>
      <w:r w:rsidR="00F03F8F" w:rsidRPr="00DD5017">
        <w:rPr>
          <w:rFonts w:ascii="Times New Roman" w:eastAsia="Times New Roman" w:hAnsi="Times New Roman" w:cs="Times New Roman"/>
          <w:sz w:val="24"/>
          <w:szCs w:val="24"/>
          <w:lang w:eastAsia="pt-BR"/>
        </w:rPr>
        <w:t xml:space="preserve"> </w:t>
      </w:r>
      <w:r w:rsidRPr="00DD5017">
        <w:rPr>
          <w:rFonts w:ascii="Times New Roman" w:eastAsia="Times New Roman" w:hAnsi="Times New Roman" w:cs="Times New Roman"/>
          <w:sz w:val="24"/>
          <w:szCs w:val="24"/>
          <w:lang w:eastAsia="pt-BR"/>
        </w:rPr>
        <w:t xml:space="preserve">apenas </w:t>
      </w:r>
      <w:r w:rsidR="00F03F8F" w:rsidRPr="00DD5017">
        <w:rPr>
          <w:rFonts w:ascii="Times New Roman" w:eastAsia="Times New Roman" w:hAnsi="Times New Roman" w:cs="Times New Roman"/>
          <w:sz w:val="24"/>
          <w:szCs w:val="24"/>
          <w:lang w:eastAsia="pt-BR"/>
        </w:rPr>
        <w:t>n</w:t>
      </w:r>
      <w:r w:rsidRPr="00DD5017">
        <w:rPr>
          <w:rFonts w:ascii="Times New Roman" w:eastAsia="Times New Roman" w:hAnsi="Times New Roman" w:cs="Times New Roman"/>
          <w:sz w:val="24"/>
          <w:szCs w:val="24"/>
          <w:lang w:eastAsia="pt-BR"/>
        </w:rPr>
        <w:t xml:space="preserve">as estimativas feitas para </w:t>
      </w:r>
      <w:r w:rsidR="00900BED">
        <w:rPr>
          <w:rFonts w:ascii="Times New Roman" w:eastAsia="Times New Roman" w:hAnsi="Times New Roman" w:cs="Times New Roman"/>
          <w:sz w:val="24"/>
          <w:szCs w:val="24"/>
          <w:lang w:eastAsia="pt-BR"/>
        </w:rPr>
        <w:t>o</w:t>
      </w:r>
      <w:r w:rsidR="000B2585" w:rsidRPr="00DD5017">
        <w:rPr>
          <w:rFonts w:ascii="Times New Roman" w:eastAsia="Times New Roman" w:hAnsi="Times New Roman" w:cs="Times New Roman"/>
          <w:sz w:val="24"/>
          <w:szCs w:val="24"/>
          <w:lang w:eastAsia="pt-BR"/>
        </w:rPr>
        <w:t xml:space="preserve"> ú</w:t>
      </w:r>
      <w:r w:rsidRPr="00DD5017">
        <w:rPr>
          <w:rFonts w:ascii="Times New Roman" w:eastAsia="Times New Roman" w:hAnsi="Times New Roman" w:cs="Times New Roman"/>
          <w:sz w:val="24"/>
          <w:szCs w:val="24"/>
          <w:lang w:eastAsia="pt-BR"/>
        </w:rPr>
        <w:t xml:space="preserve">ltimo balanço </w:t>
      </w:r>
      <w:r w:rsidR="00AD60E0" w:rsidRPr="00DD5017">
        <w:rPr>
          <w:rFonts w:ascii="Times New Roman" w:eastAsia="Times New Roman" w:hAnsi="Times New Roman" w:cs="Times New Roman"/>
          <w:sz w:val="24"/>
          <w:szCs w:val="24"/>
          <w:lang w:eastAsia="pt-BR"/>
        </w:rPr>
        <w:t>realizado</w:t>
      </w:r>
      <w:r w:rsidR="00A57207">
        <w:rPr>
          <w:rFonts w:ascii="Times New Roman" w:eastAsia="Times New Roman" w:hAnsi="Times New Roman" w:cs="Times New Roman"/>
          <w:sz w:val="24"/>
          <w:szCs w:val="24"/>
          <w:lang w:eastAsia="pt-BR"/>
        </w:rPr>
        <w:t xml:space="preserve"> (dezembro de 2013 - </w:t>
      </w:r>
      <w:r w:rsidRPr="00DD5017">
        <w:rPr>
          <w:rFonts w:ascii="Times New Roman" w:eastAsia="Times New Roman" w:hAnsi="Times New Roman" w:cs="Times New Roman"/>
          <w:sz w:val="24"/>
          <w:szCs w:val="24"/>
          <w:lang w:eastAsia="pt-BR"/>
        </w:rPr>
        <w:t>4T2013).</w:t>
      </w:r>
      <w:r w:rsidR="00983757" w:rsidRPr="00DD5017">
        <w:rPr>
          <w:rFonts w:ascii="Times New Roman" w:eastAsia="Times New Roman" w:hAnsi="Times New Roman" w:cs="Times New Roman"/>
          <w:sz w:val="24"/>
          <w:szCs w:val="24"/>
          <w:lang w:eastAsia="pt-BR"/>
        </w:rPr>
        <w:t xml:space="preserve"> </w:t>
      </w:r>
      <w:r w:rsidR="002447B7">
        <w:rPr>
          <w:rFonts w:ascii="Times New Roman" w:eastAsia="Times New Roman" w:hAnsi="Times New Roman" w:cs="Times New Roman"/>
          <w:sz w:val="24"/>
          <w:szCs w:val="24"/>
          <w:lang w:eastAsia="pt-BR"/>
        </w:rPr>
        <w:t>O</w:t>
      </w:r>
      <w:r w:rsidR="006926A3" w:rsidRPr="00DD5017">
        <w:rPr>
          <w:rFonts w:ascii="Times New Roman" w:eastAsia="Times New Roman" w:hAnsi="Times New Roman" w:cs="Times New Roman"/>
          <w:sz w:val="24"/>
          <w:szCs w:val="24"/>
          <w:lang w:eastAsia="pt-BR"/>
        </w:rPr>
        <w:t xml:space="preserve"> histórico de </w:t>
      </w:r>
      <w:r w:rsidR="00FD5B73" w:rsidRPr="00DD5017">
        <w:rPr>
          <w:rFonts w:ascii="Times New Roman" w:eastAsia="Times New Roman" w:hAnsi="Times New Roman" w:cs="Times New Roman"/>
          <w:sz w:val="24"/>
          <w:szCs w:val="24"/>
          <w:lang w:eastAsia="pt-BR"/>
        </w:rPr>
        <w:t xml:space="preserve">fluxos de caixa </w:t>
      </w:r>
      <m:oMath>
        <m:sSub>
          <m:sSubPr>
            <m:ctrlPr>
              <w:rPr>
                <w:rFonts w:ascii="Cambria Math" w:hAnsi="Cambria Math" w:cs="Times New Roman"/>
                <w:i/>
                <w:sz w:val="24"/>
                <w:szCs w:val="24"/>
                <w:lang w:val="pt-PT"/>
              </w:rPr>
            </m:ctrlPr>
          </m:sSubPr>
          <m:e>
            <m:r>
              <w:rPr>
                <w:rFonts w:ascii="Cambria Math" w:hAnsi="Cambria Math" w:cs="Times New Roman"/>
                <w:sz w:val="24"/>
                <w:szCs w:val="24"/>
                <w:lang w:val="pt-PT"/>
              </w:rPr>
              <m:t>x</m:t>
            </m:r>
          </m:e>
          <m:sub>
            <m:r>
              <w:rPr>
                <w:rFonts w:ascii="Cambria Math" w:hAnsi="Cambria Math" w:cs="Times New Roman"/>
                <w:sz w:val="24"/>
                <w:szCs w:val="24"/>
                <w:lang w:val="pt-PT"/>
              </w:rPr>
              <m:t>t</m:t>
            </m:r>
          </m:sub>
        </m:sSub>
      </m:oMath>
      <w:r w:rsidR="002447B7">
        <w:rPr>
          <w:rFonts w:ascii="Times New Roman" w:eastAsia="Times New Roman" w:hAnsi="Times New Roman" w:cs="Times New Roman"/>
          <w:sz w:val="24"/>
          <w:szCs w:val="24"/>
          <w:lang w:val="pt-PT"/>
        </w:rPr>
        <w:t xml:space="preserve"> </w:t>
      </w:r>
      <w:r w:rsidR="002447B7" w:rsidRPr="00DD5017">
        <w:rPr>
          <w:rFonts w:ascii="Times New Roman" w:eastAsia="Times New Roman" w:hAnsi="Times New Roman" w:cs="Times New Roman"/>
          <w:sz w:val="24"/>
          <w:szCs w:val="24"/>
          <w:lang w:val="pt-PT"/>
        </w:rPr>
        <w:t>será</w:t>
      </w:r>
      <w:r w:rsidR="006926A3" w:rsidRPr="00DD5017">
        <w:rPr>
          <w:rFonts w:ascii="Times New Roman" w:hAnsi="Times New Roman" w:cs="Times New Roman"/>
          <w:sz w:val="24"/>
          <w:szCs w:val="24"/>
          <w:lang w:eastAsia="pt-BR"/>
        </w:rPr>
        <w:t xml:space="preserve"> </w:t>
      </w:r>
      <w:r w:rsidR="002447B7">
        <w:rPr>
          <w:rFonts w:ascii="Times New Roman" w:hAnsi="Times New Roman" w:cs="Times New Roman"/>
          <w:sz w:val="24"/>
          <w:szCs w:val="24"/>
          <w:lang w:eastAsia="pt-BR"/>
        </w:rPr>
        <w:t xml:space="preserve">o </w:t>
      </w:r>
      <w:r w:rsidR="002447B7" w:rsidRPr="00DD5017">
        <w:rPr>
          <w:rFonts w:ascii="Times New Roman" w:eastAsia="Times New Roman" w:hAnsi="Times New Roman" w:cs="Times New Roman"/>
          <w:sz w:val="24"/>
          <w:szCs w:val="24"/>
          <w:lang w:eastAsia="pt-BR"/>
        </w:rPr>
        <w:t>LAJIR (Lucro antes dos juros e imposto de renda – EBIT na sigla em inglês)</w:t>
      </w:r>
      <w:r w:rsidR="002447B7">
        <w:rPr>
          <w:rFonts w:ascii="Times New Roman" w:eastAsia="Times New Roman" w:hAnsi="Times New Roman" w:cs="Times New Roman"/>
          <w:sz w:val="24"/>
          <w:szCs w:val="24"/>
          <w:lang w:eastAsia="pt-BR"/>
        </w:rPr>
        <w:t>,</w:t>
      </w:r>
      <w:r w:rsidR="006926A3" w:rsidRPr="00DD5017">
        <w:rPr>
          <w:rFonts w:ascii="Times New Roman" w:hAnsi="Times New Roman" w:cs="Times New Roman"/>
          <w:sz w:val="24"/>
          <w:szCs w:val="24"/>
          <w:lang w:eastAsia="pt-BR"/>
        </w:rPr>
        <w:t xml:space="preserve"> adiciona</w:t>
      </w:r>
      <w:r w:rsidR="000A5FDD" w:rsidRPr="00DD5017">
        <w:rPr>
          <w:rFonts w:ascii="Times New Roman" w:hAnsi="Times New Roman" w:cs="Times New Roman"/>
          <w:sz w:val="24"/>
          <w:szCs w:val="24"/>
          <w:lang w:eastAsia="pt-BR"/>
        </w:rPr>
        <w:t>ndo</w:t>
      </w:r>
      <w:r w:rsidR="006926A3" w:rsidRPr="00DD5017">
        <w:rPr>
          <w:rFonts w:ascii="Times New Roman" w:hAnsi="Times New Roman" w:cs="Times New Roman"/>
          <w:sz w:val="24"/>
          <w:szCs w:val="24"/>
          <w:lang w:eastAsia="pt-BR"/>
        </w:rPr>
        <w:t xml:space="preserve"> </w:t>
      </w:r>
      <w:r w:rsidR="000A5FDD" w:rsidRPr="00DD5017">
        <w:rPr>
          <w:rFonts w:ascii="Times New Roman" w:hAnsi="Times New Roman" w:cs="Times New Roman"/>
          <w:sz w:val="24"/>
          <w:szCs w:val="24"/>
          <w:lang w:eastAsia="pt-BR"/>
        </w:rPr>
        <w:t>os juros pagos pelas d</w:t>
      </w:r>
      <w:r w:rsidR="00AD60E0" w:rsidRPr="00DD5017">
        <w:rPr>
          <w:rFonts w:ascii="Times New Roman" w:hAnsi="Times New Roman" w:cs="Times New Roman"/>
          <w:sz w:val="24"/>
          <w:szCs w:val="24"/>
          <w:lang w:eastAsia="pt-BR"/>
        </w:rPr>
        <w:t>í</w:t>
      </w:r>
      <w:r w:rsidR="00ED7771">
        <w:rPr>
          <w:rFonts w:ascii="Times New Roman" w:hAnsi="Times New Roman" w:cs="Times New Roman"/>
          <w:sz w:val="24"/>
          <w:szCs w:val="24"/>
          <w:lang w:eastAsia="pt-BR"/>
        </w:rPr>
        <w:t>vidas subordinadas,</w:t>
      </w:r>
      <w:r w:rsidR="000A5FDD" w:rsidRPr="00DD5017">
        <w:rPr>
          <w:rFonts w:ascii="Times New Roman" w:hAnsi="Times New Roman" w:cs="Times New Roman"/>
          <w:sz w:val="24"/>
          <w:szCs w:val="24"/>
          <w:lang w:eastAsia="pt-BR"/>
        </w:rPr>
        <w:t xml:space="preserve"> instrument</w:t>
      </w:r>
      <w:r w:rsidR="00EF6DB4" w:rsidRPr="00DD5017">
        <w:rPr>
          <w:rFonts w:ascii="Times New Roman" w:hAnsi="Times New Roman" w:cs="Times New Roman"/>
          <w:sz w:val="24"/>
          <w:szCs w:val="24"/>
          <w:lang w:eastAsia="pt-BR"/>
        </w:rPr>
        <w:t>os híbridos de capital e dívida</w:t>
      </w:r>
      <w:r w:rsidR="00ED7771">
        <w:rPr>
          <w:rFonts w:ascii="Times New Roman" w:hAnsi="Times New Roman" w:cs="Times New Roman"/>
          <w:sz w:val="24"/>
          <w:szCs w:val="24"/>
          <w:lang w:eastAsia="pt-BR"/>
        </w:rPr>
        <w:t>, depósitos</w:t>
      </w:r>
      <w:r w:rsidR="000A5FDD" w:rsidRPr="00DD5017">
        <w:rPr>
          <w:rFonts w:ascii="Times New Roman" w:hAnsi="Times New Roman" w:cs="Times New Roman"/>
          <w:sz w:val="24"/>
          <w:szCs w:val="24"/>
          <w:lang w:eastAsia="pt-BR"/>
        </w:rPr>
        <w:t xml:space="preserve"> </w:t>
      </w:r>
      <w:r w:rsidR="006926A3" w:rsidRPr="00DD5017">
        <w:rPr>
          <w:rFonts w:ascii="Times New Roman" w:hAnsi="Times New Roman" w:cs="Times New Roman"/>
          <w:sz w:val="24"/>
          <w:szCs w:val="24"/>
          <w:lang w:eastAsia="pt-BR"/>
        </w:rPr>
        <w:t>e</w:t>
      </w:r>
      <w:r w:rsidR="000A5FDD" w:rsidRPr="00DD5017">
        <w:rPr>
          <w:rFonts w:ascii="Times New Roman" w:hAnsi="Times New Roman" w:cs="Times New Roman"/>
          <w:sz w:val="24"/>
          <w:szCs w:val="24"/>
          <w:lang w:eastAsia="pt-BR"/>
        </w:rPr>
        <w:t xml:space="preserve"> </w:t>
      </w:r>
      <w:r w:rsidR="000B2585" w:rsidRPr="00DD5017">
        <w:rPr>
          <w:rFonts w:ascii="Times New Roman" w:hAnsi="Times New Roman" w:cs="Times New Roman"/>
          <w:sz w:val="24"/>
          <w:szCs w:val="24"/>
          <w:lang w:eastAsia="pt-BR"/>
        </w:rPr>
        <w:t>as despesas t</w:t>
      </w:r>
      <w:r w:rsidR="006926A3" w:rsidRPr="00DD5017">
        <w:rPr>
          <w:rFonts w:ascii="Times New Roman" w:hAnsi="Times New Roman" w:cs="Times New Roman"/>
          <w:sz w:val="24"/>
          <w:szCs w:val="24"/>
          <w:lang w:eastAsia="pt-BR"/>
        </w:rPr>
        <w:t>ributárias</w:t>
      </w:r>
      <w:r w:rsidR="004418EA">
        <w:rPr>
          <w:rFonts w:ascii="Times New Roman" w:hAnsi="Times New Roman" w:cs="Times New Roman"/>
          <w:sz w:val="24"/>
          <w:szCs w:val="24"/>
          <w:lang w:eastAsia="pt-BR"/>
        </w:rPr>
        <w:t xml:space="preserve"> (</w:t>
      </w:r>
      <w:r w:rsidR="006926A3" w:rsidRPr="00DD5017">
        <w:rPr>
          <w:rFonts w:ascii="Times New Roman" w:hAnsi="Times New Roman" w:cs="Times New Roman"/>
          <w:sz w:val="24"/>
          <w:szCs w:val="24"/>
          <w:lang w:eastAsia="pt-BR"/>
        </w:rPr>
        <w:t>PIS, COFINS e ISS</w:t>
      </w:r>
      <w:r w:rsidR="004418EA">
        <w:rPr>
          <w:rFonts w:ascii="Times New Roman" w:hAnsi="Times New Roman" w:cs="Times New Roman"/>
          <w:sz w:val="24"/>
          <w:szCs w:val="24"/>
          <w:lang w:eastAsia="pt-BR"/>
        </w:rPr>
        <w:t>)</w:t>
      </w:r>
      <w:r w:rsidR="00FD5B73" w:rsidRPr="00DD5017">
        <w:rPr>
          <w:rFonts w:ascii="Times New Roman" w:hAnsi="Times New Roman" w:cs="Times New Roman"/>
          <w:sz w:val="24"/>
          <w:szCs w:val="24"/>
          <w:lang w:eastAsia="pt-BR"/>
        </w:rPr>
        <w:t>.</w:t>
      </w:r>
      <w:r w:rsidR="004418EA">
        <w:rPr>
          <w:rFonts w:ascii="Times New Roman" w:hAnsi="Times New Roman" w:cs="Times New Roman"/>
          <w:sz w:val="24"/>
          <w:szCs w:val="24"/>
          <w:lang w:eastAsia="pt-BR"/>
        </w:rPr>
        <w:t xml:space="preserve"> O </w:t>
      </w:r>
      <w:r w:rsidR="009777BD" w:rsidRPr="00DD5017">
        <w:rPr>
          <w:rFonts w:ascii="Times New Roman" w:hAnsi="Times New Roman" w:cs="Times New Roman"/>
          <w:sz w:val="24"/>
          <w:szCs w:val="24"/>
          <w:lang w:eastAsia="pt-BR"/>
        </w:rPr>
        <w:t xml:space="preserve">EBIT </w:t>
      </w:r>
      <w:r w:rsidR="009777BD">
        <w:rPr>
          <w:rFonts w:ascii="Times New Roman" w:hAnsi="Times New Roman" w:cs="Times New Roman"/>
          <w:sz w:val="24"/>
          <w:szCs w:val="24"/>
          <w:lang w:eastAsia="pt-BR"/>
        </w:rPr>
        <w:t xml:space="preserve">do </w:t>
      </w:r>
      <w:r w:rsidR="00FD5B73" w:rsidRPr="00DD5017">
        <w:rPr>
          <w:rFonts w:ascii="Times New Roman" w:hAnsi="Times New Roman" w:cs="Times New Roman"/>
          <w:sz w:val="24"/>
          <w:szCs w:val="24"/>
          <w:lang w:eastAsia="pt-BR"/>
        </w:rPr>
        <w:t xml:space="preserve">Banco do Brasil </w:t>
      </w:r>
      <w:r w:rsidR="004418EA">
        <w:rPr>
          <w:rFonts w:ascii="Times New Roman" w:hAnsi="Times New Roman" w:cs="Times New Roman"/>
          <w:sz w:val="24"/>
          <w:szCs w:val="24"/>
          <w:lang w:eastAsia="pt-BR"/>
        </w:rPr>
        <w:t>será:</w:t>
      </w:r>
    </w:p>
    <w:p w:rsidR="002C060D" w:rsidRPr="00FD5B73" w:rsidRDefault="008D7337" w:rsidP="002447B7">
      <w:pPr>
        <w:spacing w:after="0" w:line="240" w:lineRule="auto"/>
        <w:jc w:val="both"/>
        <w:rPr>
          <w:rFonts w:ascii="Times New Roman" w:hAnsi="Times New Roman" w:cs="Times New Roman"/>
          <w:sz w:val="24"/>
          <w:szCs w:val="24"/>
          <w:lang w:eastAsia="pt-BR"/>
        </w:rPr>
      </w:pPr>
      <w:r w:rsidRPr="008D7337">
        <w:rPr>
          <w:noProof/>
          <w:lang w:eastAsia="pt-BR"/>
        </w:rPr>
        <w:drawing>
          <wp:inline distT="0" distB="0" distL="0" distR="0" wp14:anchorId="117DDD89" wp14:editId="24A888F8">
            <wp:extent cx="6438664" cy="586596"/>
            <wp:effectExtent l="0" t="0" r="635"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540" cy="590320"/>
                    </a:xfrm>
                    <a:prstGeom prst="rect">
                      <a:avLst/>
                    </a:prstGeom>
                    <a:noFill/>
                    <a:ln>
                      <a:noFill/>
                    </a:ln>
                  </pic:spPr>
                </pic:pic>
              </a:graphicData>
            </a:graphic>
          </wp:inline>
        </w:drawing>
      </w:r>
    </w:p>
    <w:p w:rsidR="00906963" w:rsidRPr="00BE6974" w:rsidRDefault="006A0618" w:rsidP="002447B7">
      <w:pPr>
        <w:pStyle w:val="tabela"/>
        <w:rPr>
          <w:sz w:val="18"/>
        </w:rPr>
      </w:pPr>
      <w:r w:rsidRPr="00BE6974">
        <w:rPr>
          <w:sz w:val="18"/>
        </w:rPr>
        <w:t>Tabela</w:t>
      </w:r>
      <w:r w:rsidR="00CE5756">
        <w:rPr>
          <w:sz w:val="18"/>
        </w:rPr>
        <w:t>2</w:t>
      </w:r>
      <w:r w:rsidRPr="00BE6974">
        <w:rPr>
          <w:sz w:val="18"/>
        </w:rPr>
        <w:t xml:space="preserve"> – Histórico de demonstração de resultados do Banco do Brasil</w:t>
      </w:r>
      <w:r w:rsidR="00B0077F" w:rsidRPr="00BE6974">
        <w:rPr>
          <w:sz w:val="18"/>
        </w:rPr>
        <w:t>.</w:t>
      </w:r>
      <w:r w:rsidR="002447B7" w:rsidRPr="00BE6974">
        <w:rPr>
          <w:sz w:val="18"/>
        </w:rPr>
        <w:t xml:space="preserve"> </w:t>
      </w:r>
      <w:r w:rsidR="00785748" w:rsidRPr="00BE6974">
        <w:rPr>
          <w:sz w:val="18"/>
        </w:rPr>
        <w:t>Elaboração p</w:t>
      </w:r>
      <w:r w:rsidR="00906963" w:rsidRPr="00BE6974">
        <w:rPr>
          <w:sz w:val="18"/>
        </w:rPr>
        <w:t>rópria.</w:t>
      </w:r>
    </w:p>
    <w:p w:rsidR="00075B7B" w:rsidRDefault="00075B7B" w:rsidP="002447B7">
      <w:pPr>
        <w:autoSpaceDE w:val="0"/>
        <w:autoSpaceDN w:val="0"/>
        <w:adjustRightInd w:val="0"/>
        <w:spacing w:after="0" w:line="240" w:lineRule="auto"/>
        <w:jc w:val="both"/>
        <w:rPr>
          <w:rStyle w:val="Hyperlink"/>
          <w:rFonts w:ascii="Times New Roman" w:eastAsia="Times New Roman" w:hAnsi="Times New Roman" w:cs="Times New Roman"/>
          <w:sz w:val="20"/>
          <w:szCs w:val="24"/>
          <w:lang w:eastAsia="pt-BR"/>
        </w:rPr>
      </w:pPr>
      <w:r w:rsidRPr="00075B7B">
        <w:rPr>
          <w:rFonts w:ascii="Times New Roman" w:eastAsia="Times New Roman" w:hAnsi="Times New Roman" w:cs="Times New Roman"/>
          <w:sz w:val="20"/>
          <w:szCs w:val="24"/>
          <w:lang w:eastAsia="pt-BR"/>
        </w:rPr>
        <w:t xml:space="preserve">Fonte: </w:t>
      </w:r>
      <w:r w:rsidR="00930C18">
        <w:rPr>
          <w:rFonts w:ascii="Times New Roman" w:eastAsia="Times New Roman" w:hAnsi="Times New Roman" w:cs="Times New Roman"/>
          <w:sz w:val="20"/>
          <w:szCs w:val="24"/>
          <w:lang w:eastAsia="pt-BR"/>
        </w:rPr>
        <w:t>Planilha de s</w:t>
      </w:r>
      <w:r w:rsidRPr="00075B7B">
        <w:rPr>
          <w:rFonts w:ascii="Times New Roman" w:eastAsia="Times New Roman" w:hAnsi="Times New Roman" w:cs="Times New Roman"/>
          <w:sz w:val="20"/>
          <w:szCs w:val="24"/>
          <w:lang w:eastAsia="pt-BR"/>
        </w:rPr>
        <w:t xml:space="preserve">éries históricas </w:t>
      </w:r>
      <w:r w:rsidR="00930C18">
        <w:rPr>
          <w:rFonts w:ascii="Times New Roman" w:eastAsia="Times New Roman" w:hAnsi="Times New Roman" w:cs="Times New Roman"/>
          <w:sz w:val="20"/>
          <w:szCs w:val="24"/>
          <w:lang w:eastAsia="pt-BR"/>
        </w:rPr>
        <w:t xml:space="preserve">do </w:t>
      </w:r>
      <w:r w:rsidRPr="00075B7B">
        <w:rPr>
          <w:rFonts w:ascii="Times New Roman" w:eastAsia="Times New Roman" w:hAnsi="Times New Roman" w:cs="Times New Roman"/>
          <w:sz w:val="20"/>
          <w:szCs w:val="24"/>
          <w:lang w:eastAsia="pt-BR"/>
        </w:rPr>
        <w:t xml:space="preserve">4T2013 </w:t>
      </w:r>
      <w:r w:rsidR="00930C18">
        <w:rPr>
          <w:rFonts w:ascii="Times New Roman" w:eastAsia="Times New Roman" w:hAnsi="Times New Roman" w:cs="Times New Roman"/>
          <w:sz w:val="20"/>
          <w:szCs w:val="24"/>
          <w:lang w:eastAsia="pt-BR"/>
        </w:rPr>
        <w:t>–</w:t>
      </w:r>
      <w:r w:rsidRPr="00075B7B">
        <w:rPr>
          <w:rFonts w:ascii="Times New Roman" w:eastAsia="Times New Roman" w:hAnsi="Times New Roman" w:cs="Times New Roman"/>
          <w:sz w:val="20"/>
          <w:szCs w:val="24"/>
          <w:lang w:eastAsia="pt-BR"/>
        </w:rPr>
        <w:t xml:space="preserve"> </w:t>
      </w:r>
      <w:hyperlink r:id="rId12" w:history="1">
        <w:r w:rsidRPr="00075B7B">
          <w:rPr>
            <w:rStyle w:val="Hyperlink"/>
            <w:rFonts w:ascii="Times New Roman" w:eastAsia="Times New Roman" w:hAnsi="Times New Roman" w:cs="Times New Roman"/>
            <w:sz w:val="20"/>
            <w:szCs w:val="24"/>
            <w:lang w:eastAsia="pt-BR"/>
          </w:rPr>
          <w:t>http://www.bb.com.br/portalbb/page206,136,145,0,0,1,8.bb</w:t>
        </w:r>
      </w:hyperlink>
    </w:p>
    <w:p w:rsidR="002447B7" w:rsidRPr="00075B7B" w:rsidRDefault="002447B7" w:rsidP="002447B7">
      <w:pPr>
        <w:autoSpaceDE w:val="0"/>
        <w:autoSpaceDN w:val="0"/>
        <w:adjustRightInd w:val="0"/>
        <w:spacing w:after="0" w:line="240" w:lineRule="auto"/>
        <w:jc w:val="both"/>
        <w:rPr>
          <w:rFonts w:ascii="Times New Roman" w:eastAsia="Times New Roman" w:hAnsi="Times New Roman" w:cs="Times New Roman"/>
          <w:sz w:val="20"/>
          <w:szCs w:val="24"/>
          <w:lang w:eastAsia="pt-BR"/>
        </w:rPr>
      </w:pPr>
    </w:p>
    <w:p w:rsidR="003F5473" w:rsidRPr="00DD5017" w:rsidRDefault="00A57207" w:rsidP="00FF5024">
      <w:pPr>
        <w:spacing w:after="120" w:line="240" w:lineRule="auto"/>
        <w:jc w:val="both"/>
        <w:rPr>
          <w:rFonts w:ascii="Times New Roman" w:eastAsiaTheme="minorEastAsia" w:hAnsi="Times New Roman" w:cs="Times New Roman"/>
          <w:sz w:val="24"/>
          <w:szCs w:val="24"/>
          <w:lang w:eastAsia="pt-BR"/>
        </w:rPr>
      </w:pPr>
      <w:r w:rsidRPr="00DD5017">
        <w:rPr>
          <w:rFonts w:ascii="Times New Roman" w:eastAsia="Times New Roman" w:hAnsi="Times New Roman" w:cs="Times New Roman"/>
          <w:sz w:val="24"/>
          <w:szCs w:val="24"/>
          <w:lang w:eastAsia="pt-BR"/>
        </w:rPr>
        <w:t xml:space="preserve">Com base no histórico de EBIT, a constante </w:t>
      </w:r>
      <m:oMath>
        <m:r>
          <w:rPr>
            <w:rFonts w:ascii="Cambria Math" w:eastAsia="Times New Roman" w:hAnsi="Cambria Math" w:cs="Times New Roman"/>
            <w:sz w:val="24"/>
            <w:szCs w:val="24"/>
            <w:lang w:eastAsia="pt-BR"/>
          </w:rPr>
          <m:t>μ</m:t>
        </m:r>
      </m:oMath>
      <w:r w:rsidRPr="00DD5017">
        <w:rPr>
          <w:rFonts w:ascii="Times New Roman" w:eastAsia="Times New Roman" w:hAnsi="Times New Roman" w:cs="Times New Roman"/>
          <w:iCs/>
          <w:sz w:val="24"/>
          <w:szCs w:val="24"/>
          <w:lang w:eastAsia="pt-BR"/>
        </w:rPr>
        <w:t xml:space="preserve"> </w:t>
      </w:r>
      <w:r w:rsidRPr="00DD5017">
        <w:rPr>
          <w:rFonts w:ascii="Times New Roman" w:eastAsia="Times New Roman" w:hAnsi="Times New Roman" w:cs="Times New Roman"/>
          <w:sz w:val="24"/>
          <w:szCs w:val="24"/>
          <w:lang w:eastAsia="pt-BR"/>
        </w:rPr>
        <w:t>(retorno sobre os fluxos de caixa) é calculada pela média dos retornos sobre os valores dos fluxos de caixa</w:t>
      </w:r>
      <w:r>
        <w:rPr>
          <w:rFonts w:ascii="Times New Roman" w:eastAsia="Times New Roman" w:hAnsi="Times New Roman" w:cs="Times New Roman"/>
          <w:sz w:val="24"/>
          <w:szCs w:val="24"/>
          <w:lang w:eastAsia="pt-BR"/>
        </w:rPr>
        <w:t xml:space="preserve"> e a </w:t>
      </w:r>
      <w:r w:rsidRPr="00DD5017">
        <w:rPr>
          <w:rFonts w:ascii="Times New Roman" w:eastAsia="Times New Roman" w:hAnsi="Times New Roman" w:cs="Times New Roman"/>
          <w:sz w:val="24"/>
          <w:szCs w:val="24"/>
          <w:lang w:eastAsia="pt-BR"/>
        </w:rPr>
        <w:t xml:space="preserve">constante </w:t>
      </w:r>
      <m:oMath>
        <m:r>
          <w:rPr>
            <w:rFonts w:ascii="Cambria Math" w:eastAsia="Times New Roman" w:hAnsi="Cambria Math" w:cs="Times New Roman"/>
            <w:sz w:val="24"/>
            <w:szCs w:val="24"/>
            <w:lang w:eastAsia="pt-BR"/>
          </w:rPr>
          <m:t>σ</m:t>
        </m:r>
      </m:oMath>
      <w:r w:rsidRPr="00DD5017">
        <w:rPr>
          <w:rFonts w:ascii="Times New Roman" w:eastAsia="Times New Roman" w:hAnsi="Times New Roman" w:cs="Times New Roman"/>
          <w:iCs/>
          <w:sz w:val="24"/>
          <w:szCs w:val="24"/>
          <w:lang w:eastAsia="pt-BR"/>
        </w:rPr>
        <w:t xml:space="preserve"> (</w:t>
      </w:r>
      <w:r w:rsidRPr="00DD5017">
        <w:rPr>
          <w:rFonts w:ascii="Times New Roman" w:eastAsia="Times New Roman" w:hAnsi="Times New Roman" w:cs="Times New Roman"/>
          <w:sz w:val="24"/>
          <w:szCs w:val="24"/>
          <w:lang w:eastAsia="pt-BR"/>
        </w:rPr>
        <w:t xml:space="preserve">volatilidade total dos fluxos de caixa - risco do banco) é o desvio padrão da série de </w:t>
      </w:r>
      <m:oMath>
        <m:r>
          <w:rPr>
            <w:rFonts w:ascii="Cambria Math" w:eastAsia="Times New Roman" w:hAnsi="Cambria Math" w:cs="Times New Roman"/>
            <w:sz w:val="24"/>
            <w:szCs w:val="24"/>
            <w:lang w:eastAsia="pt-BR"/>
          </w:rPr>
          <m:t>μ</m:t>
        </m:r>
      </m:oMath>
      <w:r w:rsidRPr="00DD5017">
        <w:rPr>
          <w:rFonts w:ascii="Times New Roman" w:eastAsia="Times New Roman" w:hAnsi="Times New Roman" w:cs="Times New Roman"/>
          <w:iCs/>
          <w:sz w:val="24"/>
          <w:szCs w:val="24"/>
          <w:lang w:eastAsia="pt-BR"/>
        </w:rPr>
        <w:t xml:space="preserve"> calculados. Para o Banco do Brasil temos:</w:t>
      </w:r>
      <w:r>
        <w:rPr>
          <w:rFonts w:ascii="Times New Roman" w:eastAsia="Times New Roman" w:hAnsi="Times New Roman" w:cs="Times New Roman"/>
          <w:iCs/>
          <w:sz w:val="24"/>
          <w:szCs w:val="24"/>
          <w:lang w:eastAsia="pt-BR"/>
        </w:rPr>
        <w:t xml:space="preserve"> </w:t>
      </w:r>
      <m:oMath>
        <m:r>
          <w:rPr>
            <w:rFonts w:ascii="Cambria Math" w:eastAsia="Times New Roman" w:hAnsi="Cambria Math" w:cs="Times New Roman"/>
            <w:sz w:val="24"/>
            <w:szCs w:val="24"/>
            <w:lang w:eastAsia="pt-BR"/>
          </w:rPr>
          <m:t>μ=</m:t>
        </m:r>
      </m:oMath>
      <w:r w:rsidRPr="00DD5017">
        <w:rPr>
          <w:rFonts w:ascii="Times New Roman" w:eastAsia="Times New Roman" w:hAnsi="Times New Roman" w:cs="Times New Roman"/>
          <w:sz w:val="24"/>
          <w:szCs w:val="24"/>
          <w:lang w:eastAsia="pt-BR"/>
        </w:rPr>
        <w:t xml:space="preserve"> 0,01</w:t>
      </w:r>
      <w:r>
        <w:rPr>
          <w:rFonts w:ascii="Times New Roman" w:eastAsia="Times New Roman" w:hAnsi="Times New Roman" w:cs="Times New Roman"/>
          <w:sz w:val="24"/>
          <w:szCs w:val="24"/>
          <w:lang w:eastAsia="pt-BR"/>
        </w:rPr>
        <w:t xml:space="preserve"> e </w:t>
      </w:r>
      <m:oMath>
        <m:r>
          <w:rPr>
            <w:rFonts w:ascii="Cambria Math" w:eastAsia="Times New Roman" w:hAnsi="Cambria Math" w:cs="Times New Roman"/>
            <w:sz w:val="24"/>
            <w:szCs w:val="24"/>
            <w:lang w:eastAsia="pt-BR"/>
          </w:rPr>
          <m:t>σ=</m:t>
        </m:r>
      </m:oMath>
      <w:r w:rsidRPr="00DD5017">
        <w:rPr>
          <w:rFonts w:ascii="Cambria Math" w:eastAsia="Times New Roman" w:hAnsi="Cambria Math" w:cs="Times New Roman"/>
          <w:i/>
          <w:sz w:val="24"/>
          <w:szCs w:val="24"/>
          <w:lang w:eastAsia="pt-BR"/>
        </w:rPr>
        <w:t>0,11</w:t>
      </w:r>
      <w:r>
        <w:rPr>
          <w:rFonts w:ascii="Cambria Math" w:eastAsia="Times New Roman" w:hAnsi="Cambria Math" w:cs="Times New Roman"/>
          <w:sz w:val="24"/>
          <w:szCs w:val="24"/>
          <w:lang w:eastAsia="pt-BR"/>
        </w:rPr>
        <w:t xml:space="preserve">. </w:t>
      </w:r>
      <w:r w:rsidRPr="00DD5017">
        <w:rPr>
          <w:rFonts w:ascii="Times New Roman" w:eastAsia="Times New Roman" w:hAnsi="Times New Roman" w:cs="Times New Roman"/>
          <w:sz w:val="24"/>
          <w:szCs w:val="24"/>
          <w:lang w:eastAsia="pt-BR"/>
        </w:rPr>
        <w:t>Isto significa que, pelo modelo, o retorno médio dos ativos do Banco do Brasil é de 1% com uma volatilidade de 11%. O próximo passo é definir o valor mínimo de fluxo de caixa que o banco pode atingir, a partir do qual ele passa a sofrer dificul</w:t>
      </w:r>
      <w:r>
        <w:rPr>
          <w:rFonts w:ascii="Times New Roman" w:eastAsia="Times New Roman" w:hAnsi="Times New Roman" w:cs="Times New Roman"/>
          <w:sz w:val="24"/>
          <w:szCs w:val="24"/>
          <w:lang w:eastAsia="pt-BR"/>
        </w:rPr>
        <w:t xml:space="preserve">dades financeiras, que </w:t>
      </w:r>
      <w:r w:rsidRPr="00DD5017">
        <w:rPr>
          <w:rFonts w:ascii="Times New Roman" w:eastAsia="Times New Roman" w:hAnsi="Times New Roman" w:cs="Times New Roman"/>
          <w:sz w:val="24"/>
          <w:szCs w:val="24"/>
          <w:lang w:eastAsia="pt-BR"/>
        </w:rPr>
        <w:t>chama</w:t>
      </w:r>
      <w:r>
        <w:rPr>
          <w:rFonts w:ascii="Times New Roman" w:eastAsia="Times New Roman" w:hAnsi="Times New Roman" w:cs="Times New Roman"/>
          <w:sz w:val="24"/>
          <w:szCs w:val="24"/>
          <w:lang w:eastAsia="pt-BR"/>
        </w:rPr>
        <w:t xml:space="preserve">remos </w:t>
      </w:r>
      <w:r w:rsidRPr="00DD5017">
        <w:rPr>
          <w:rFonts w:ascii="Times New Roman" w:eastAsia="Times New Roman" w:hAnsi="Times New Roman" w:cs="Times New Roman"/>
          <w:sz w:val="24"/>
          <w:szCs w:val="24"/>
          <w:lang w:eastAsia="pt-BR"/>
        </w:rPr>
        <w:t xml:space="preserve">de fronteira </w:t>
      </w:r>
      <m:oMath>
        <m:r>
          <w:rPr>
            <w:rFonts w:ascii="Cambria Math" w:eastAsia="Times New Roman" w:hAnsi="Cambria Math" w:cs="Times New Roman"/>
            <w:sz w:val="24"/>
            <w:szCs w:val="24"/>
            <w:lang w:eastAsia="pt-BR"/>
          </w:rPr>
          <m:t>(ξ)</m:t>
        </m:r>
      </m:oMath>
      <w:r w:rsidRPr="00DD5017">
        <w:rPr>
          <w:rFonts w:ascii="Times New Roman" w:eastAsia="Times New Roman" w:hAnsi="Times New Roman" w:cs="Times New Roman"/>
          <w:sz w:val="24"/>
          <w:szCs w:val="24"/>
          <w:lang w:eastAsia="pt-BR"/>
        </w:rPr>
        <w:t>. Assim, a dificuldade financeira para o banco é modelado como, o momento (</w:t>
      </w:r>
      <m:oMath>
        <m:r>
          <m:rPr>
            <m:scr m:val="script"/>
          </m:rPr>
          <w:rPr>
            <w:rFonts w:ascii="Cambria Math" w:eastAsia="Times New Roman" w:hAnsi="Cambria Math" w:cs="Times New Roman"/>
            <w:sz w:val="24"/>
            <w:szCs w:val="24"/>
            <w:lang w:eastAsia="pt-BR"/>
          </w:rPr>
          <m:t>T</m:t>
        </m:r>
      </m:oMath>
      <w:r w:rsidRPr="00DD5017">
        <w:rPr>
          <w:rFonts w:ascii="Times New Roman" w:eastAsia="Times New Roman" w:hAnsi="Times New Roman" w:cs="Times New Roman"/>
          <w:sz w:val="24"/>
          <w:szCs w:val="24"/>
          <w:lang w:eastAsia="pt-BR"/>
        </w:rPr>
        <w:t xml:space="preserve">) em que o fluxo de caixa </w:t>
      </w:r>
      <m:oMath>
        <m:sSub>
          <m:sSubPr>
            <m:ctrlPr>
              <w:rPr>
                <w:rFonts w:ascii="Cambria Math" w:hAnsi="Cambria Math" w:cs="Times New Roman"/>
                <w:i/>
                <w:sz w:val="24"/>
                <w:szCs w:val="24"/>
                <w:lang w:val="pt-PT"/>
              </w:rPr>
            </m:ctrlPr>
          </m:sSubPr>
          <m:e>
            <m:r>
              <w:rPr>
                <w:rFonts w:ascii="Cambria Math" w:hAnsi="Cambria Math" w:cs="Times New Roman"/>
                <w:sz w:val="24"/>
                <w:szCs w:val="24"/>
                <w:lang w:val="pt-PT"/>
              </w:rPr>
              <m:t>x</m:t>
            </m:r>
          </m:e>
          <m:sub>
            <m:r>
              <w:rPr>
                <w:rFonts w:ascii="Cambria Math" w:hAnsi="Cambria Math" w:cs="Times New Roman"/>
                <w:sz w:val="24"/>
                <w:szCs w:val="24"/>
                <w:lang w:val="pt-PT"/>
              </w:rPr>
              <m:t>t</m:t>
            </m:r>
          </m:sub>
        </m:sSub>
      </m:oMath>
      <w:r w:rsidRPr="00DD5017">
        <w:rPr>
          <w:rFonts w:ascii="Times New Roman" w:eastAsia="Times New Roman" w:hAnsi="Times New Roman" w:cs="Times New Roman"/>
          <w:sz w:val="24"/>
          <w:szCs w:val="24"/>
          <w:lang w:val="pt-PT"/>
        </w:rPr>
        <w:t xml:space="preserve"> toca a fronteira </w:t>
      </w:r>
      <m:oMath>
        <m:r>
          <w:rPr>
            <w:rFonts w:ascii="Cambria Math" w:eastAsia="Times New Roman" w:hAnsi="Cambria Math" w:cs="Times New Roman"/>
            <w:sz w:val="24"/>
            <w:szCs w:val="24"/>
            <w:lang w:eastAsia="pt-BR"/>
          </w:rPr>
          <m:t>ξ</m:t>
        </m:r>
      </m:oMath>
      <w:r w:rsidRPr="00DD5017">
        <w:rPr>
          <w:rFonts w:ascii="Times New Roman" w:eastAsia="Times New Roman" w:hAnsi="Times New Roman" w:cs="Times New Roman"/>
          <w:sz w:val="24"/>
          <w:szCs w:val="24"/>
          <w:lang w:eastAsia="pt-BR"/>
        </w:rPr>
        <w:t xml:space="preserve">, ou seja, </w:t>
      </w:r>
      <m:oMath>
        <m:sSub>
          <m:sSubPr>
            <m:ctrlPr>
              <w:rPr>
                <w:rFonts w:ascii="Cambria Math" w:eastAsia="Times New Roman" w:hAnsi="Cambria Math" w:cs="Times New Roman"/>
                <w:i/>
                <w:sz w:val="24"/>
                <w:szCs w:val="24"/>
                <w:lang w:eastAsia="pt-BR"/>
              </w:rPr>
            </m:ctrlPr>
          </m:sSubPr>
          <m:e>
            <m:r>
              <m:rPr>
                <m:scr m:val="script"/>
              </m:rPr>
              <w:rPr>
                <w:rFonts w:ascii="Cambria Math" w:eastAsia="Times New Roman" w:hAnsi="Cambria Math" w:cs="Times New Roman"/>
                <w:sz w:val="24"/>
                <w:szCs w:val="24"/>
                <w:lang w:eastAsia="pt-BR"/>
              </w:rPr>
              <m:t>T</m:t>
            </m:r>
          </m:e>
          <m:sub>
            <m:r>
              <w:rPr>
                <w:rFonts w:ascii="Cambria Math" w:eastAsia="Times New Roman" w:hAnsi="Cambria Math" w:cs="Times New Roman"/>
                <w:sz w:val="24"/>
                <w:szCs w:val="24"/>
                <w:lang w:eastAsia="pt-BR"/>
              </w:rPr>
              <m:t>ξ</m:t>
            </m:r>
          </m:sub>
        </m:sSub>
        <m:r>
          <w:rPr>
            <w:rFonts w:ascii="Cambria Math" w:eastAsia="Times New Roman" w:hAnsi="Cambria Math" w:cs="Times New Roman"/>
            <w:sz w:val="24"/>
            <w:szCs w:val="24"/>
            <w:lang w:eastAsia="pt-BR"/>
          </w:rPr>
          <m:t>=inf</m:t>
        </m:r>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t;</m:t>
            </m:r>
            <m:sSub>
              <m:sSubPr>
                <m:ctrlPr>
                  <w:rPr>
                    <w:rFonts w:ascii="Cambria Math" w:hAnsi="Cambria Math" w:cs="Times New Roman"/>
                    <w:i/>
                    <w:sz w:val="24"/>
                    <w:szCs w:val="24"/>
                    <w:lang w:val="pt-PT"/>
                  </w:rPr>
                </m:ctrlPr>
              </m:sSubPr>
              <m:e>
                <m:r>
                  <w:rPr>
                    <w:rFonts w:ascii="Cambria Math" w:hAnsi="Cambria Math" w:cs="Times New Roman"/>
                    <w:sz w:val="24"/>
                    <w:szCs w:val="24"/>
                    <w:lang w:val="pt-PT"/>
                  </w:rPr>
                  <m:t>x</m:t>
                </m:r>
              </m:e>
              <m:sub>
                <m:r>
                  <w:rPr>
                    <w:rFonts w:ascii="Cambria Math" w:hAnsi="Cambria Math" w:cs="Times New Roman"/>
                    <w:sz w:val="24"/>
                    <w:szCs w:val="24"/>
                    <w:lang w:val="pt-PT"/>
                  </w:rPr>
                  <m:t>t</m:t>
                </m:r>
              </m:sub>
            </m:sSub>
            <m:r>
              <w:rPr>
                <w:rFonts w:ascii="Cambria Math" w:hAnsi="Cambria Math" w:cs="Times New Roman"/>
                <w:sz w:val="24"/>
                <w:szCs w:val="24"/>
                <w:lang w:val="pt-PT"/>
              </w:rPr>
              <m:t>≤</m:t>
            </m:r>
            <m:r>
              <w:rPr>
                <w:rFonts w:ascii="Cambria Math" w:eastAsia="Times New Roman" w:hAnsi="Cambria Math" w:cs="Times New Roman"/>
                <w:sz w:val="24"/>
                <w:szCs w:val="24"/>
                <w:lang w:eastAsia="pt-BR"/>
              </w:rPr>
              <m:t>ξ</m:t>
            </m:r>
          </m:e>
        </m:d>
      </m:oMath>
      <w:r w:rsidRPr="00DD5017">
        <w:rPr>
          <w:rFonts w:ascii="Times New Roman" w:eastAsia="Times New Roman" w:hAnsi="Times New Roman" w:cs="Times New Roman"/>
          <w:sz w:val="24"/>
          <w:szCs w:val="24"/>
          <w:lang w:eastAsia="pt-BR"/>
        </w:rPr>
        <w:t xml:space="preserve">. No Brasil esta fronteira é dada pelo Banco Central do Brasil (BACEN) através do capital mínimo regulatório. </w:t>
      </w:r>
      <w:r w:rsidR="003F5473" w:rsidRPr="00DD5017">
        <w:rPr>
          <w:rFonts w:ascii="Times New Roman" w:eastAsia="Times New Roman" w:hAnsi="Times New Roman" w:cs="Times New Roman"/>
          <w:sz w:val="24"/>
          <w:szCs w:val="24"/>
          <w:lang w:eastAsia="pt-BR"/>
        </w:rPr>
        <w:t>A</w:t>
      </w:r>
      <w:r w:rsidR="006926A3" w:rsidRPr="00DD5017">
        <w:rPr>
          <w:rFonts w:ascii="Times New Roman" w:eastAsia="Times New Roman" w:hAnsi="Times New Roman" w:cs="Times New Roman"/>
          <w:sz w:val="24"/>
          <w:szCs w:val="24"/>
          <w:lang w:eastAsia="pt-BR"/>
        </w:rPr>
        <w:t xml:space="preserve"> eq</w:t>
      </w:r>
      <w:r w:rsidR="003F5473" w:rsidRPr="00DD5017">
        <w:rPr>
          <w:rFonts w:ascii="Times New Roman" w:eastAsia="Times New Roman" w:hAnsi="Times New Roman" w:cs="Times New Roman"/>
          <w:sz w:val="24"/>
          <w:szCs w:val="24"/>
          <w:lang w:eastAsia="pt-BR"/>
        </w:rPr>
        <w:t xml:space="preserve">uação que define essa fronteira </w:t>
      </w:r>
      <w:proofErr w:type="gramStart"/>
      <w:r w:rsidR="003F5473" w:rsidRPr="00DD5017">
        <w:rPr>
          <w:rFonts w:ascii="Times New Roman" w:eastAsia="Times New Roman" w:hAnsi="Times New Roman" w:cs="Times New Roman"/>
          <w:sz w:val="24"/>
          <w:szCs w:val="24"/>
          <w:lang w:eastAsia="pt-BR"/>
        </w:rPr>
        <w:t>relaciona</w:t>
      </w:r>
      <w:r w:rsidR="00D143DF" w:rsidRPr="00DD5017">
        <w:rPr>
          <w:rFonts w:ascii="Times New Roman" w:eastAsia="Times New Roman" w:hAnsi="Times New Roman" w:cs="Times New Roman"/>
          <w:sz w:val="24"/>
          <w:szCs w:val="24"/>
          <w:lang w:eastAsia="pt-BR"/>
        </w:rPr>
        <w:t>,</w:t>
      </w:r>
      <w:proofErr w:type="gramEnd"/>
      <w:r w:rsidR="006926A3" w:rsidRPr="00DD5017">
        <w:rPr>
          <w:rFonts w:ascii="Times New Roman" w:eastAsia="Times New Roman" w:hAnsi="Times New Roman" w:cs="Times New Roman"/>
          <w:sz w:val="24"/>
          <w:szCs w:val="24"/>
          <w:lang w:eastAsia="pt-BR"/>
        </w:rPr>
        <w:t xml:space="preserve"> </w:t>
      </w:r>
      <w:r w:rsidR="006926A3" w:rsidRPr="00DD5017">
        <w:rPr>
          <w:rFonts w:ascii="Times New Roman" w:eastAsiaTheme="minorEastAsia" w:hAnsi="Times New Roman" w:cs="Times New Roman"/>
          <w:sz w:val="24"/>
          <w:szCs w:val="24"/>
          <w:lang w:eastAsia="pt-BR"/>
        </w:rPr>
        <w:t xml:space="preserve">o </w:t>
      </w:r>
      <w:r w:rsidR="00D64C34" w:rsidRPr="00DD5017">
        <w:rPr>
          <w:rFonts w:ascii="Times New Roman" w:eastAsiaTheme="minorEastAsia" w:hAnsi="Times New Roman" w:cs="Times New Roman"/>
          <w:sz w:val="24"/>
          <w:szCs w:val="24"/>
          <w:lang w:eastAsia="pt-BR"/>
        </w:rPr>
        <w:t>nível</w:t>
      </w:r>
      <w:r w:rsidR="00161038" w:rsidRPr="00DD5017">
        <w:rPr>
          <w:rFonts w:ascii="Times New Roman" w:eastAsiaTheme="minorEastAsia" w:hAnsi="Times New Roman" w:cs="Times New Roman"/>
          <w:sz w:val="24"/>
          <w:szCs w:val="24"/>
          <w:lang w:eastAsia="pt-BR"/>
        </w:rPr>
        <w:t xml:space="preserve"> </w:t>
      </w:r>
      <w:r w:rsidR="006926A3" w:rsidRPr="00DD5017">
        <w:rPr>
          <w:rFonts w:ascii="Times New Roman" w:eastAsiaTheme="minorEastAsia" w:hAnsi="Times New Roman" w:cs="Times New Roman"/>
          <w:sz w:val="24"/>
          <w:szCs w:val="24"/>
          <w:lang w:eastAsia="pt-BR"/>
        </w:rPr>
        <w:t xml:space="preserve">de </w:t>
      </w:r>
      <w:r w:rsidR="003F5473" w:rsidRPr="00DD5017">
        <w:rPr>
          <w:rFonts w:ascii="Times New Roman" w:eastAsiaTheme="minorEastAsia" w:hAnsi="Times New Roman" w:cs="Times New Roman"/>
          <w:sz w:val="24"/>
          <w:szCs w:val="24"/>
          <w:lang w:eastAsia="pt-BR"/>
        </w:rPr>
        <w:t>endividamento</w:t>
      </w:r>
      <w:r w:rsidR="006926A3" w:rsidRPr="00DD5017">
        <w:rPr>
          <w:rFonts w:ascii="Times New Roman" w:eastAsiaTheme="minorEastAsia" w:hAnsi="Times New Roman" w:cs="Times New Roman"/>
          <w:sz w:val="24"/>
          <w:szCs w:val="24"/>
          <w:lang w:eastAsia="pt-BR"/>
        </w:rPr>
        <w:t xml:space="preserve"> do banco </w:t>
      </w:r>
      <m:oMath>
        <m:r>
          <w:rPr>
            <w:rFonts w:ascii="Cambria Math" w:eastAsiaTheme="minorEastAsia" w:hAnsi="Cambria Math" w:cs="Times New Roman"/>
            <w:sz w:val="24"/>
            <w:szCs w:val="24"/>
            <w:lang w:eastAsia="pt-BR"/>
          </w:rPr>
          <m:t>(π)</m:t>
        </m:r>
      </m:oMath>
      <w:r w:rsidR="006926A3" w:rsidRPr="00DD5017">
        <w:rPr>
          <w:rFonts w:ascii="Times New Roman" w:eastAsiaTheme="minorEastAsia" w:hAnsi="Times New Roman" w:cs="Times New Roman"/>
          <w:sz w:val="24"/>
          <w:szCs w:val="24"/>
          <w:lang w:eastAsia="pt-BR"/>
        </w:rPr>
        <w:t xml:space="preserve"> e uma constante </w:t>
      </w:r>
      <m:oMath>
        <m:r>
          <w:rPr>
            <w:rFonts w:ascii="Cambria Math" w:eastAsia="Times New Roman" w:hAnsi="Cambria Math" w:cs="Times New Roman"/>
            <w:sz w:val="24"/>
            <w:szCs w:val="24"/>
            <w:lang w:eastAsia="pt-BR"/>
          </w:rPr>
          <m:t>ϕ</m:t>
        </m:r>
      </m:oMath>
      <w:r w:rsidR="006926A3" w:rsidRPr="00DD5017">
        <w:rPr>
          <w:rFonts w:ascii="Times New Roman" w:eastAsiaTheme="minorEastAsia" w:hAnsi="Times New Roman" w:cs="Times New Roman"/>
          <w:sz w:val="24"/>
          <w:szCs w:val="24"/>
          <w:lang w:eastAsia="pt-BR"/>
        </w:rPr>
        <w:t xml:space="preserve"> que</w:t>
      </w:r>
      <w:r w:rsidR="00B21CA6" w:rsidRPr="00DD5017">
        <w:rPr>
          <w:rFonts w:ascii="Times New Roman" w:eastAsiaTheme="minorEastAsia" w:hAnsi="Times New Roman" w:cs="Times New Roman"/>
          <w:sz w:val="24"/>
          <w:szCs w:val="24"/>
          <w:lang w:eastAsia="pt-BR"/>
        </w:rPr>
        <w:t xml:space="preserve"> representa</w:t>
      </w:r>
      <w:r w:rsidR="006926A3" w:rsidRPr="00DD5017">
        <w:rPr>
          <w:rFonts w:ascii="Times New Roman" w:eastAsiaTheme="minorEastAsia" w:hAnsi="Times New Roman" w:cs="Times New Roman"/>
          <w:sz w:val="24"/>
          <w:szCs w:val="24"/>
          <w:lang w:eastAsia="pt-BR"/>
        </w:rPr>
        <w:t xml:space="preserve"> </w:t>
      </w:r>
      <w:r w:rsidR="00B21CA6" w:rsidRPr="00DD5017">
        <w:rPr>
          <w:rFonts w:ascii="Times New Roman" w:eastAsiaTheme="minorEastAsia" w:hAnsi="Times New Roman" w:cs="Times New Roman"/>
          <w:sz w:val="24"/>
          <w:szCs w:val="24"/>
          <w:lang w:eastAsia="pt-BR"/>
        </w:rPr>
        <w:t xml:space="preserve">a </w:t>
      </w:r>
      <w:r w:rsidR="00B21CA6" w:rsidRPr="00DD5017">
        <w:rPr>
          <w:rFonts w:ascii="Times New Roman" w:eastAsia="Times New Roman" w:hAnsi="Times New Roman" w:cs="Times New Roman"/>
          <w:sz w:val="24"/>
          <w:szCs w:val="24"/>
          <w:lang w:eastAsia="pt-BR"/>
        </w:rPr>
        <w:t>restrição regulatória de capital mínimo. Assim, temos</w:t>
      </w:r>
      <w:r w:rsidR="003F5473" w:rsidRPr="00DD5017">
        <w:rPr>
          <w:rFonts w:ascii="Times New Roman" w:eastAsiaTheme="minorEastAsia" w:hAnsi="Times New Roman" w:cs="Times New Roman"/>
          <w:sz w:val="24"/>
          <w:szCs w:val="24"/>
          <w:lang w:eastAsia="pt-BR"/>
        </w:rPr>
        <w:t>:</w:t>
      </w:r>
    </w:p>
    <w:p w:rsidR="006926A3" w:rsidRPr="00DD5017" w:rsidRDefault="003F5473" w:rsidP="00FF5024">
      <w:pPr>
        <w:spacing w:after="120" w:line="240" w:lineRule="auto"/>
        <w:jc w:val="right"/>
        <w:rPr>
          <w:rFonts w:ascii="Times New Roman" w:eastAsiaTheme="minorEastAsia" w:hAnsi="Times New Roman" w:cs="Times New Roman"/>
          <w:sz w:val="24"/>
          <w:szCs w:val="24"/>
          <w:lang w:eastAsia="pt-BR"/>
        </w:rPr>
      </w:pPr>
      <w:r w:rsidRPr="00DD5017">
        <w:rPr>
          <w:rFonts w:ascii="Times New Roman" w:eastAsiaTheme="minorEastAsia" w:hAnsi="Times New Roman" w:cs="Times New Roman"/>
          <w:sz w:val="24"/>
          <w:szCs w:val="24"/>
          <w:lang w:eastAsia="pt-BR"/>
        </w:rPr>
        <w:t xml:space="preserve"> </w:t>
      </w:r>
      <m:oMath>
        <m:r>
          <w:rPr>
            <w:rFonts w:ascii="Cambria Math" w:eastAsia="Times New Roman" w:hAnsi="Cambria Math" w:cs="Times New Roman"/>
            <w:sz w:val="24"/>
            <w:szCs w:val="24"/>
            <w:lang w:eastAsia="pt-BR"/>
          </w:rPr>
          <m:t>ξ</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π</m:t>
            </m:r>
          </m:e>
        </m:d>
        <m:r>
          <w:rPr>
            <w:rFonts w:ascii="Cambria Math" w:eastAsia="Times New Roman" w:hAnsi="Cambria Math" w:cs="Times New Roman"/>
            <w:sz w:val="24"/>
            <w:szCs w:val="24"/>
            <w:lang w:eastAsia="pt-BR"/>
          </w:rPr>
          <m:t>=ϕπ</m:t>
        </m:r>
      </m:oMath>
      <w:r w:rsidRPr="00DD5017">
        <w:rPr>
          <w:rFonts w:ascii="Times New Roman" w:eastAsiaTheme="minorEastAsia" w:hAnsi="Times New Roman" w:cs="Times New Roman"/>
          <w:sz w:val="24"/>
          <w:szCs w:val="24"/>
          <w:lang w:eastAsia="pt-BR"/>
        </w:rPr>
        <w:t xml:space="preserve">                                                                (</w:t>
      </w:r>
      <w:r w:rsidR="008D704E" w:rsidRPr="00DD5017">
        <w:rPr>
          <w:rFonts w:ascii="Times New Roman" w:eastAsiaTheme="minorEastAsia" w:hAnsi="Times New Roman" w:cs="Times New Roman"/>
          <w:sz w:val="24"/>
          <w:szCs w:val="24"/>
          <w:lang w:eastAsia="pt-BR"/>
        </w:rPr>
        <w:t>2</w:t>
      </w:r>
      <w:r w:rsidRPr="00DD5017">
        <w:rPr>
          <w:rFonts w:ascii="Times New Roman" w:eastAsiaTheme="minorEastAsia" w:hAnsi="Times New Roman" w:cs="Times New Roman"/>
          <w:sz w:val="24"/>
          <w:szCs w:val="24"/>
          <w:lang w:eastAsia="pt-BR"/>
        </w:rPr>
        <w:t>)</w:t>
      </w:r>
    </w:p>
    <w:p w:rsidR="00F31A7D" w:rsidRPr="00DD5017" w:rsidRDefault="003F5473" w:rsidP="00FF5024">
      <w:pPr>
        <w:spacing w:after="120" w:line="240" w:lineRule="auto"/>
        <w:jc w:val="both"/>
        <w:rPr>
          <w:rFonts w:ascii="Times New Roman" w:eastAsiaTheme="minorEastAsia" w:hAnsi="Times New Roman" w:cs="Times New Roman"/>
          <w:sz w:val="24"/>
          <w:szCs w:val="24"/>
          <w:lang w:eastAsia="pt-BR"/>
        </w:rPr>
      </w:pPr>
      <w:r w:rsidRPr="00DD5017">
        <w:rPr>
          <w:rFonts w:ascii="Times New Roman" w:eastAsiaTheme="minorEastAsia" w:hAnsi="Times New Roman" w:cs="Times New Roman"/>
          <w:sz w:val="24"/>
          <w:szCs w:val="24"/>
          <w:lang w:eastAsia="pt-BR"/>
        </w:rPr>
        <w:t xml:space="preserve">O </w:t>
      </w:r>
      <w:r w:rsidR="00D64C34" w:rsidRPr="00DD5017">
        <w:rPr>
          <w:rFonts w:ascii="Times New Roman" w:eastAsiaTheme="minorEastAsia" w:hAnsi="Times New Roman" w:cs="Times New Roman"/>
          <w:sz w:val="24"/>
          <w:szCs w:val="24"/>
          <w:lang w:eastAsia="pt-BR"/>
        </w:rPr>
        <w:t>nível</w:t>
      </w:r>
      <w:r w:rsidR="000E085C" w:rsidRPr="00DD5017">
        <w:rPr>
          <w:rFonts w:ascii="Times New Roman" w:eastAsiaTheme="minorEastAsia" w:hAnsi="Times New Roman" w:cs="Times New Roman"/>
          <w:sz w:val="24"/>
          <w:szCs w:val="24"/>
          <w:lang w:eastAsia="pt-BR"/>
        </w:rPr>
        <w:t xml:space="preserve"> </w:t>
      </w:r>
      <w:r w:rsidRPr="00DD5017">
        <w:rPr>
          <w:rFonts w:ascii="Times New Roman" w:eastAsiaTheme="minorEastAsia" w:hAnsi="Times New Roman" w:cs="Times New Roman"/>
          <w:sz w:val="24"/>
          <w:szCs w:val="24"/>
          <w:lang w:eastAsia="pt-BR"/>
        </w:rPr>
        <w:t xml:space="preserve">de endividamento </w:t>
      </w:r>
      <m:oMath>
        <m:r>
          <w:rPr>
            <w:rFonts w:ascii="Cambria Math" w:eastAsiaTheme="minorEastAsia" w:hAnsi="Cambria Math" w:cs="Times New Roman"/>
            <w:sz w:val="24"/>
            <w:szCs w:val="24"/>
            <w:lang w:eastAsia="pt-BR"/>
          </w:rPr>
          <m:t>π</m:t>
        </m:r>
      </m:oMath>
      <w:r w:rsidRPr="00DD5017">
        <w:rPr>
          <w:rFonts w:ascii="Times New Roman" w:eastAsiaTheme="minorEastAsia" w:hAnsi="Times New Roman" w:cs="Times New Roman"/>
          <w:sz w:val="24"/>
          <w:szCs w:val="24"/>
          <w:lang w:eastAsia="pt-BR"/>
        </w:rPr>
        <w:t xml:space="preserve"> é </w:t>
      </w:r>
      <w:r w:rsidR="00D143DF" w:rsidRPr="00DD5017">
        <w:rPr>
          <w:rFonts w:ascii="Times New Roman" w:eastAsiaTheme="minorEastAsia" w:hAnsi="Times New Roman" w:cs="Times New Roman"/>
          <w:sz w:val="24"/>
          <w:szCs w:val="24"/>
          <w:lang w:eastAsia="pt-BR"/>
        </w:rPr>
        <w:t>a</w:t>
      </w:r>
      <w:r w:rsidRPr="00DD5017">
        <w:rPr>
          <w:rFonts w:ascii="Times New Roman" w:eastAsiaTheme="minorEastAsia" w:hAnsi="Times New Roman" w:cs="Times New Roman"/>
          <w:sz w:val="24"/>
          <w:szCs w:val="24"/>
          <w:lang w:eastAsia="pt-BR"/>
        </w:rPr>
        <w:t xml:space="preserve"> soma dos </w:t>
      </w:r>
      <w:r w:rsidR="00D143DF" w:rsidRPr="00DD5017">
        <w:rPr>
          <w:rFonts w:ascii="Times New Roman" w:eastAsiaTheme="minorEastAsia" w:hAnsi="Times New Roman" w:cs="Times New Roman"/>
          <w:sz w:val="24"/>
          <w:szCs w:val="24"/>
          <w:lang w:eastAsia="pt-BR"/>
        </w:rPr>
        <w:t xml:space="preserve">cupons e </w:t>
      </w:r>
      <w:r w:rsidR="00F31A7D" w:rsidRPr="00DD5017">
        <w:rPr>
          <w:rFonts w:ascii="Times New Roman" w:eastAsiaTheme="minorEastAsia" w:hAnsi="Times New Roman" w:cs="Times New Roman"/>
          <w:sz w:val="24"/>
          <w:szCs w:val="24"/>
          <w:lang w:eastAsia="pt-BR"/>
        </w:rPr>
        <w:t>juros</w:t>
      </w:r>
      <w:r w:rsidRPr="00DD5017">
        <w:rPr>
          <w:rFonts w:ascii="Times New Roman" w:eastAsiaTheme="minorEastAsia" w:hAnsi="Times New Roman" w:cs="Times New Roman"/>
          <w:sz w:val="24"/>
          <w:szCs w:val="24"/>
          <w:lang w:eastAsia="pt-BR"/>
        </w:rPr>
        <w:t xml:space="preserve"> pagos </w:t>
      </w:r>
      <w:r w:rsidR="00F31A7D" w:rsidRPr="00DD5017">
        <w:rPr>
          <w:rFonts w:ascii="Times New Roman" w:eastAsiaTheme="minorEastAsia" w:hAnsi="Times New Roman" w:cs="Times New Roman"/>
          <w:sz w:val="24"/>
          <w:szCs w:val="24"/>
          <w:lang w:eastAsia="pt-BR"/>
        </w:rPr>
        <w:t xml:space="preserve">pelo banco. Estes juros podem ser cupons de dívida subordinada (b), cupons de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F31A7D" w:rsidRPr="00DD5017">
        <w:rPr>
          <w:rFonts w:ascii="Times New Roman" w:eastAsiaTheme="minorEastAsia" w:hAnsi="Times New Roman" w:cs="Times New Roman"/>
          <w:sz w:val="24"/>
          <w:szCs w:val="24"/>
          <w:lang w:eastAsia="pt-BR"/>
        </w:rPr>
        <w:t xml:space="preserve"> (c) ou juros de depósitos (d), assim:</w:t>
      </w:r>
    </w:p>
    <w:p w:rsidR="00F31A7D" w:rsidRPr="00DD5017" w:rsidRDefault="00F31A7D" w:rsidP="00FF5024">
      <w:pPr>
        <w:spacing w:after="120" w:line="240" w:lineRule="auto"/>
        <w:jc w:val="right"/>
        <w:rPr>
          <w:rFonts w:ascii="Times New Roman" w:eastAsiaTheme="minorEastAsia" w:hAnsi="Times New Roman" w:cs="Times New Roman"/>
          <w:sz w:val="24"/>
          <w:szCs w:val="24"/>
          <w:lang w:eastAsia="pt-BR"/>
        </w:rPr>
      </w:pPr>
      <m:oMath>
        <m:r>
          <m:rPr>
            <m:sty m:val="p"/>
          </m:rPr>
          <w:rPr>
            <w:rFonts w:ascii="Cambria Math" w:eastAsiaTheme="minorEastAsia" w:hAnsi="Cambria Math" w:cs="Times New Roman"/>
            <w:sz w:val="24"/>
            <w:szCs w:val="24"/>
            <w:lang w:eastAsia="pt-BR"/>
          </w:rPr>
          <m:t>π=d+b+c</m:t>
        </m:r>
      </m:oMath>
      <w:r w:rsidRPr="00DD5017">
        <w:rPr>
          <w:rFonts w:ascii="Times New Roman" w:eastAsiaTheme="minorEastAsia" w:hAnsi="Times New Roman" w:cs="Times New Roman"/>
          <w:sz w:val="24"/>
          <w:szCs w:val="24"/>
          <w:lang w:eastAsia="pt-BR"/>
        </w:rPr>
        <w:t xml:space="preserve">                                                                (</w:t>
      </w:r>
      <w:r w:rsidR="008D704E" w:rsidRPr="00DD5017">
        <w:rPr>
          <w:rFonts w:ascii="Times New Roman" w:eastAsiaTheme="minorEastAsia" w:hAnsi="Times New Roman" w:cs="Times New Roman"/>
          <w:sz w:val="24"/>
          <w:szCs w:val="24"/>
          <w:lang w:eastAsia="pt-BR"/>
        </w:rPr>
        <w:t>3</w:t>
      </w:r>
      <w:r w:rsidRPr="00DD5017">
        <w:rPr>
          <w:rFonts w:ascii="Times New Roman" w:eastAsiaTheme="minorEastAsia" w:hAnsi="Times New Roman" w:cs="Times New Roman"/>
          <w:sz w:val="24"/>
          <w:szCs w:val="24"/>
          <w:lang w:eastAsia="pt-BR"/>
        </w:rPr>
        <w:t>)</w:t>
      </w:r>
    </w:p>
    <w:p w:rsidR="006926A3" w:rsidRPr="00DD5017" w:rsidRDefault="00E07A65" w:rsidP="00FF5024">
      <w:pPr>
        <w:spacing w:after="120" w:line="240" w:lineRule="auto"/>
        <w:jc w:val="both"/>
        <w:rPr>
          <w:rFonts w:ascii="Times New Roman" w:eastAsia="Times New Roman" w:hAnsi="Times New Roman" w:cs="Times New Roman"/>
          <w:sz w:val="24"/>
          <w:szCs w:val="24"/>
          <w:lang w:eastAsia="pt-BR"/>
        </w:rPr>
      </w:pPr>
      <w:r w:rsidRPr="00DD5017">
        <w:rPr>
          <w:rFonts w:ascii="Times New Roman" w:eastAsia="Times New Roman" w:hAnsi="Times New Roman" w:cs="Times New Roman"/>
          <w:sz w:val="24"/>
          <w:szCs w:val="24"/>
          <w:lang w:eastAsia="pt-BR"/>
        </w:rPr>
        <w:t>Para estim</w:t>
      </w:r>
      <w:r w:rsidR="00B21CA6" w:rsidRPr="00DD5017">
        <w:rPr>
          <w:rFonts w:ascii="Times New Roman" w:eastAsia="Times New Roman" w:hAnsi="Times New Roman" w:cs="Times New Roman"/>
          <w:sz w:val="24"/>
          <w:szCs w:val="24"/>
          <w:lang w:eastAsia="pt-BR"/>
        </w:rPr>
        <w:t xml:space="preserve">ar a </w:t>
      </w:r>
      <w:r w:rsidR="00B21CA6" w:rsidRPr="00DD5017">
        <w:rPr>
          <w:rFonts w:ascii="Times New Roman" w:eastAsiaTheme="minorEastAsia" w:hAnsi="Times New Roman" w:cs="Times New Roman"/>
          <w:sz w:val="24"/>
          <w:szCs w:val="24"/>
          <w:lang w:eastAsia="pt-BR"/>
        </w:rPr>
        <w:t xml:space="preserve">constante </w:t>
      </w:r>
      <m:oMath>
        <m:r>
          <w:rPr>
            <w:rFonts w:ascii="Cambria Math" w:eastAsia="Times New Roman" w:hAnsi="Cambria Math" w:cs="Times New Roman"/>
            <w:sz w:val="24"/>
            <w:szCs w:val="24"/>
            <w:lang w:eastAsia="pt-BR"/>
          </w:rPr>
          <m:t>ϕ</m:t>
        </m:r>
      </m:oMath>
      <w:r w:rsidR="00B21CA6" w:rsidRPr="00DD5017">
        <w:rPr>
          <w:rFonts w:ascii="Times New Roman" w:eastAsiaTheme="minorEastAsia" w:hAnsi="Times New Roman" w:cs="Times New Roman"/>
          <w:sz w:val="24"/>
          <w:szCs w:val="24"/>
          <w:lang w:eastAsia="pt-BR"/>
        </w:rPr>
        <w:t>,</w:t>
      </w:r>
      <w:r w:rsidRPr="00DD5017">
        <w:rPr>
          <w:rFonts w:ascii="Times New Roman" w:eastAsia="Times New Roman" w:hAnsi="Times New Roman" w:cs="Times New Roman"/>
          <w:sz w:val="24"/>
          <w:szCs w:val="24"/>
          <w:lang w:eastAsia="pt-BR"/>
        </w:rPr>
        <w:t xml:space="preserve"> vamos </w:t>
      </w:r>
      <w:r w:rsidR="006926A3" w:rsidRPr="00DD5017">
        <w:rPr>
          <w:rFonts w:ascii="Times New Roman" w:eastAsia="Times New Roman" w:hAnsi="Times New Roman" w:cs="Times New Roman"/>
          <w:sz w:val="24"/>
          <w:szCs w:val="24"/>
          <w:lang w:eastAsia="pt-BR"/>
        </w:rPr>
        <w:t>utiliza</w:t>
      </w:r>
      <w:r w:rsidRPr="00DD5017">
        <w:rPr>
          <w:rFonts w:ascii="Times New Roman" w:eastAsia="Times New Roman" w:hAnsi="Times New Roman" w:cs="Times New Roman"/>
          <w:sz w:val="24"/>
          <w:szCs w:val="24"/>
          <w:lang w:eastAsia="pt-BR"/>
        </w:rPr>
        <w:t>r</w:t>
      </w:r>
      <w:r w:rsidR="006926A3" w:rsidRPr="00DD5017">
        <w:rPr>
          <w:rFonts w:ascii="Times New Roman" w:eastAsia="Times New Roman" w:hAnsi="Times New Roman" w:cs="Times New Roman"/>
          <w:sz w:val="24"/>
          <w:szCs w:val="24"/>
          <w:lang w:eastAsia="pt-BR"/>
        </w:rPr>
        <w:t xml:space="preserve"> a abordagem de Bank e </w:t>
      </w:r>
      <w:proofErr w:type="spellStart"/>
      <w:r w:rsidR="006926A3" w:rsidRPr="00DD5017">
        <w:rPr>
          <w:rFonts w:ascii="Times New Roman" w:eastAsia="Times New Roman" w:hAnsi="Times New Roman" w:cs="Times New Roman"/>
          <w:sz w:val="24"/>
          <w:szCs w:val="24"/>
          <w:lang w:eastAsia="pt-BR"/>
        </w:rPr>
        <w:t>Lawrenz</w:t>
      </w:r>
      <w:proofErr w:type="spellEnd"/>
      <w:r w:rsidR="006926A3" w:rsidRPr="00DD5017">
        <w:rPr>
          <w:rFonts w:ascii="Times New Roman" w:eastAsia="Times New Roman" w:hAnsi="Times New Roman" w:cs="Times New Roman"/>
          <w:sz w:val="24"/>
          <w:szCs w:val="24"/>
          <w:lang w:eastAsia="pt-BR"/>
        </w:rPr>
        <w:t xml:space="preserve"> (2010), </w:t>
      </w:r>
      <w:r w:rsidR="009F5628">
        <w:rPr>
          <w:rFonts w:ascii="Times New Roman" w:eastAsia="Times New Roman" w:hAnsi="Times New Roman" w:cs="Times New Roman"/>
          <w:sz w:val="24"/>
          <w:szCs w:val="24"/>
          <w:lang w:eastAsia="pt-BR"/>
        </w:rPr>
        <w:t>que</w:t>
      </w:r>
      <w:r w:rsidR="00015B92" w:rsidRPr="00DD5017">
        <w:rPr>
          <w:rFonts w:ascii="Times New Roman" w:eastAsia="Times New Roman" w:hAnsi="Times New Roman" w:cs="Times New Roman"/>
          <w:sz w:val="24"/>
          <w:szCs w:val="24"/>
          <w:lang w:eastAsia="pt-BR"/>
        </w:rPr>
        <w:t xml:space="preserve"> relacionando </w:t>
      </w:r>
      <w:r w:rsidR="004637E7" w:rsidRPr="00DD5017">
        <w:rPr>
          <w:rFonts w:ascii="Times New Roman" w:eastAsia="Times New Roman" w:hAnsi="Times New Roman" w:cs="Times New Roman"/>
          <w:sz w:val="24"/>
          <w:szCs w:val="24"/>
          <w:lang w:eastAsia="pt-BR"/>
        </w:rPr>
        <w:t>o</w:t>
      </w:r>
      <w:r w:rsidR="006926A3" w:rsidRPr="00DD5017">
        <w:rPr>
          <w:rFonts w:ascii="Times New Roman" w:eastAsia="Times New Roman" w:hAnsi="Times New Roman" w:cs="Times New Roman"/>
          <w:sz w:val="24"/>
          <w:szCs w:val="24"/>
          <w:lang w:eastAsia="pt-BR"/>
        </w:rPr>
        <w:t xml:space="preserve"> </w:t>
      </w:r>
      <w:r w:rsidR="00D64C34" w:rsidRPr="00DD5017">
        <w:rPr>
          <w:rFonts w:ascii="Times New Roman" w:eastAsia="Times New Roman" w:hAnsi="Times New Roman" w:cs="Times New Roman"/>
          <w:sz w:val="24"/>
          <w:szCs w:val="24"/>
          <w:lang w:eastAsia="pt-BR"/>
        </w:rPr>
        <w:t xml:space="preserve">patrimônio de </w:t>
      </w:r>
      <w:r w:rsidR="007C4EE9" w:rsidRPr="00DD5017">
        <w:rPr>
          <w:rFonts w:ascii="Times New Roman" w:eastAsia="Times New Roman" w:hAnsi="Times New Roman" w:cs="Times New Roman"/>
          <w:sz w:val="24"/>
          <w:szCs w:val="24"/>
          <w:lang w:eastAsia="pt-BR"/>
        </w:rPr>
        <w:t>referência</w:t>
      </w:r>
      <w:r w:rsidR="00E27CB0" w:rsidRPr="00DD5017">
        <w:rPr>
          <w:rFonts w:ascii="Times New Roman" w:eastAsia="Times New Roman" w:hAnsi="Times New Roman" w:cs="Times New Roman"/>
          <w:sz w:val="24"/>
          <w:szCs w:val="24"/>
          <w:lang w:eastAsia="pt-BR"/>
        </w:rPr>
        <w:t xml:space="preserve"> e</w:t>
      </w:r>
      <w:r w:rsidR="006926A3" w:rsidRPr="00DD5017">
        <w:rPr>
          <w:rFonts w:ascii="Times New Roman" w:eastAsia="Times New Roman" w:hAnsi="Times New Roman" w:cs="Times New Roman"/>
          <w:sz w:val="24"/>
          <w:szCs w:val="24"/>
          <w:lang w:eastAsia="pt-BR"/>
        </w:rPr>
        <w:t>xigido (</w:t>
      </w:r>
      <w:r w:rsidR="004637E7" w:rsidRPr="00DD5017">
        <w:rPr>
          <w:rFonts w:ascii="Times New Roman" w:eastAsia="Times New Roman" w:hAnsi="Times New Roman" w:cs="Times New Roman"/>
          <w:sz w:val="24"/>
          <w:szCs w:val="24"/>
          <w:lang w:eastAsia="pt-BR"/>
        </w:rPr>
        <w:t>mínimo regulatório de 11% do RWA</w:t>
      </w:r>
      <w:r w:rsidR="006926A3" w:rsidRPr="00DD5017">
        <w:rPr>
          <w:rFonts w:ascii="Times New Roman" w:eastAsia="Times New Roman" w:hAnsi="Times New Roman" w:cs="Times New Roman"/>
          <w:sz w:val="24"/>
          <w:szCs w:val="24"/>
          <w:lang w:eastAsia="pt-BR"/>
        </w:rPr>
        <w:t>)</w:t>
      </w:r>
      <w:r w:rsidR="00D143DF" w:rsidRPr="00DD5017">
        <w:rPr>
          <w:rFonts w:ascii="Times New Roman" w:eastAsia="Times New Roman" w:hAnsi="Times New Roman" w:cs="Times New Roman"/>
          <w:sz w:val="24"/>
          <w:szCs w:val="24"/>
          <w:lang w:eastAsia="pt-BR"/>
        </w:rPr>
        <w:t>,</w:t>
      </w:r>
      <w:r w:rsidR="006926A3" w:rsidRPr="00DD5017">
        <w:rPr>
          <w:rFonts w:ascii="Times New Roman" w:eastAsia="Times New Roman" w:hAnsi="Times New Roman" w:cs="Times New Roman"/>
          <w:sz w:val="24"/>
          <w:szCs w:val="24"/>
          <w:lang w:eastAsia="pt-BR"/>
        </w:rPr>
        <w:t xml:space="preserve"> </w:t>
      </w:r>
      <w:r w:rsidR="00015B92" w:rsidRPr="00DD5017">
        <w:rPr>
          <w:rFonts w:ascii="Times New Roman" w:eastAsia="Times New Roman" w:hAnsi="Times New Roman" w:cs="Times New Roman"/>
          <w:sz w:val="24"/>
          <w:szCs w:val="24"/>
          <w:lang w:eastAsia="pt-BR"/>
        </w:rPr>
        <w:t>com</w:t>
      </w:r>
      <w:r w:rsidR="004637E7" w:rsidRPr="00DD5017">
        <w:rPr>
          <w:rFonts w:ascii="Times New Roman" w:eastAsia="Times New Roman" w:hAnsi="Times New Roman" w:cs="Times New Roman"/>
          <w:sz w:val="24"/>
          <w:szCs w:val="24"/>
          <w:lang w:eastAsia="pt-BR"/>
        </w:rPr>
        <w:t xml:space="preserve"> o </w:t>
      </w:r>
      <w:r w:rsidR="00D64C34" w:rsidRPr="00DD5017">
        <w:rPr>
          <w:rFonts w:ascii="Times New Roman" w:eastAsia="Times New Roman" w:hAnsi="Times New Roman" w:cs="Times New Roman"/>
          <w:sz w:val="24"/>
          <w:szCs w:val="24"/>
          <w:lang w:eastAsia="pt-BR"/>
        </w:rPr>
        <w:t xml:space="preserve">patrimônio de </w:t>
      </w:r>
      <w:r w:rsidR="007C4EE9" w:rsidRPr="00DD5017">
        <w:rPr>
          <w:rFonts w:ascii="Times New Roman" w:eastAsia="Times New Roman" w:hAnsi="Times New Roman" w:cs="Times New Roman"/>
          <w:sz w:val="24"/>
          <w:szCs w:val="24"/>
          <w:lang w:eastAsia="pt-BR"/>
        </w:rPr>
        <w:t>referência</w:t>
      </w:r>
      <w:r w:rsidR="004637E7" w:rsidRPr="00DD5017">
        <w:rPr>
          <w:rFonts w:ascii="Times New Roman" w:eastAsia="Times New Roman" w:hAnsi="Times New Roman" w:cs="Times New Roman"/>
          <w:sz w:val="24"/>
          <w:szCs w:val="24"/>
          <w:lang w:eastAsia="pt-BR"/>
        </w:rPr>
        <w:t xml:space="preserve"> atual do banco</w:t>
      </w:r>
      <w:r w:rsidR="00E27CB0" w:rsidRPr="00DD5017">
        <w:rPr>
          <w:rFonts w:ascii="Times New Roman" w:eastAsia="Times New Roman" w:hAnsi="Times New Roman" w:cs="Times New Roman"/>
          <w:sz w:val="24"/>
          <w:szCs w:val="24"/>
          <w:lang w:eastAsia="pt-BR"/>
        </w:rPr>
        <w:t xml:space="preserve">, </w:t>
      </w:r>
      <w:r w:rsidR="00015B92" w:rsidRPr="00DD5017">
        <w:rPr>
          <w:rFonts w:ascii="Times New Roman" w:eastAsiaTheme="minorEastAsia" w:hAnsi="Times New Roman" w:cs="Times New Roman"/>
          <w:sz w:val="24"/>
          <w:szCs w:val="24"/>
          <w:lang w:eastAsia="pt-BR"/>
        </w:rPr>
        <w:t>da seguinte forma:</w:t>
      </w:r>
      <w:r w:rsidR="00103478" w:rsidRPr="00DD5017">
        <w:rPr>
          <w:rFonts w:ascii="Times New Roman" w:eastAsiaTheme="minorEastAsia" w:hAnsi="Times New Roman" w:cs="Times New Roman"/>
          <w:sz w:val="24"/>
          <w:szCs w:val="24"/>
          <w:lang w:eastAsia="pt-BR"/>
        </w:rPr>
        <w:t xml:space="preserve"> </w:t>
      </w:r>
    </w:p>
    <w:p w:rsidR="00103478" w:rsidRPr="00DD5017" w:rsidRDefault="00103478" w:rsidP="00FF5024">
      <w:pPr>
        <w:spacing w:after="120" w:line="240" w:lineRule="auto"/>
        <w:jc w:val="right"/>
        <w:rPr>
          <w:rFonts w:ascii="Times New Roman" w:eastAsiaTheme="minorEastAsia" w:hAnsi="Times New Roman" w:cs="Times New Roman"/>
          <w:sz w:val="24"/>
          <w:szCs w:val="24"/>
          <w:lang w:eastAsia="pt-BR"/>
        </w:rPr>
      </w:pPr>
      <m:oMath>
        <m:r>
          <m:rPr>
            <m:sty m:val="p"/>
          </m:rPr>
          <w:rPr>
            <w:rFonts w:ascii="Cambria Math" w:eastAsiaTheme="minorEastAsia" w:hAnsi="Cambria Math" w:cs="Times New Roman"/>
            <w:sz w:val="24"/>
            <w:szCs w:val="24"/>
            <w:lang w:eastAsia="pt-BR"/>
          </w:rPr>
          <m:t>ϕ=</m:t>
        </m:r>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PRE</m:t>
            </m:r>
          </m:num>
          <m:den>
            <m:r>
              <m:rPr>
                <m:sty m:val="p"/>
              </m:rPr>
              <w:rPr>
                <w:rFonts w:ascii="Cambria Math" w:eastAsiaTheme="minorEastAsia" w:hAnsi="Cambria Math" w:cs="Times New Roman"/>
                <w:sz w:val="24"/>
                <w:szCs w:val="24"/>
                <w:lang w:eastAsia="pt-BR"/>
              </w:rPr>
              <m:t>PR</m:t>
            </m:r>
          </m:den>
        </m:f>
      </m:oMath>
      <w:r w:rsidRPr="00DD5017">
        <w:rPr>
          <w:rFonts w:ascii="Times New Roman" w:eastAsiaTheme="minorEastAsia" w:hAnsi="Times New Roman" w:cs="Times New Roman"/>
          <w:sz w:val="24"/>
          <w:szCs w:val="24"/>
          <w:lang w:eastAsia="pt-BR"/>
        </w:rPr>
        <w:t xml:space="preserve">                                                                                    (</w:t>
      </w:r>
      <w:r w:rsidR="008D704E" w:rsidRPr="00DD5017">
        <w:rPr>
          <w:rFonts w:ascii="Times New Roman" w:eastAsiaTheme="minorEastAsia" w:hAnsi="Times New Roman" w:cs="Times New Roman"/>
          <w:sz w:val="24"/>
          <w:szCs w:val="24"/>
          <w:lang w:eastAsia="pt-BR"/>
        </w:rPr>
        <w:t>4</w:t>
      </w:r>
      <w:r w:rsidRPr="00DD5017">
        <w:rPr>
          <w:rFonts w:ascii="Times New Roman" w:eastAsiaTheme="minorEastAsia" w:hAnsi="Times New Roman" w:cs="Times New Roman"/>
          <w:sz w:val="24"/>
          <w:szCs w:val="24"/>
          <w:lang w:eastAsia="pt-BR"/>
        </w:rPr>
        <w:t>)</w:t>
      </w:r>
    </w:p>
    <w:p w:rsidR="00D41154" w:rsidRDefault="00AD7FC2" w:rsidP="00FF5024">
      <w:pPr>
        <w:spacing w:after="120" w:line="240" w:lineRule="auto"/>
        <w:jc w:val="both"/>
        <w:rPr>
          <w:rFonts w:ascii="Times New Roman" w:eastAsia="Times New Roman" w:hAnsi="Times New Roman" w:cs="Times New Roman"/>
          <w:sz w:val="24"/>
          <w:szCs w:val="24"/>
          <w:lang w:eastAsia="pt-BR"/>
        </w:rPr>
      </w:pPr>
      <w:r w:rsidRPr="00DD5017">
        <w:rPr>
          <w:rFonts w:ascii="Times New Roman" w:eastAsia="Times New Roman" w:hAnsi="Times New Roman" w:cs="Times New Roman"/>
          <w:sz w:val="24"/>
          <w:szCs w:val="24"/>
          <w:lang w:eastAsia="pt-BR"/>
        </w:rPr>
        <w:t>P</w:t>
      </w:r>
      <w:r w:rsidR="00103478" w:rsidRPr="00DD5017">
        <w:rPr>
          <w:rFonts w:ascii="Times New Roman" w:eastAsia="Times New Roman" w:hAnsi="Times New Roman" w:cs="Times New Roman"/>
          <w:sz w:val="24"/>
          <w:szCs w:val="24"/>
          <w:lang w:eastAsia="pt-BR"/>
        </w:rPr>
        <w:t xml:space="preserve">ara </w:t>
      </w:r>
      <m:oMath>
        <m:r>
          <m:rPr>
            <m:sty m:val="p"/>
          </m:rPr>
          <w:rPr>
            <w:rFonts w:ascii="Cambria Math" w:eastAsiaTheme="minorEastAsia" w:hAnsi="Cambria Math" w:cs="Times New Roman"/>
            <w:sz w:val="24"/>
            <w:szCs w:val="24"/>
            <w:lang w:eastAsia="pt-BR"/>
          </w:rPr>
          <m:t>ϕ</m:t>
        </m:r>
        <m:r>
          <w:rPr>
            <w:rFonts w:ascii="Cambria Math" w:eastAsia="Times New Roman" w:hAnsi="Cambria Math" w:cs="Times New Roman"/>
            <w:sz w:val="24"/>
            <w:szCs w:val="24"/>
            <w:lang w:eastAsia="pt-BR"/>
          </w:rPr>
          <m:t>&gt;0</m:t>
        </m:r>
      </m:oMath>
      <w:r w:rsidR="00103478" w:rsidRPr="00DD5017">
        <w:rPr>
          <w:rFonts w:ascii="Times New Roman" w:eastAsia="Times New Roman" w:hAnsi="Times New Roman" w:cs="Times New Roman"/>
          <w:sz w:val="24"/>
          <w:szCs w:val="24"/>
          <w:lang w:eastAsia="pt-BR"/>
        </w:rPr>
        <w:t xml:space="preserve">, se  </w:t>
      </w:r>
      <m:oMath>
        <m:r>
          <m:rPr>
            <m:sty m:val="p"/>
          </m:rPr>
          <w:rPr>
            <w:rFonts w:ascii="Cambria Math" w:eastAsiaTheme="minorEastAsia" w:hAnsi="Cambria Math" w:cs="Times New Roman"/>
            <w:sz w:val="24"/>
            <w:szCs w:val="24"/>
            <w:lang w:eastAsia="pt-BR"/>
          </w:rPr>
          <m:t>ϕ=1</m:t>
        </m:r>
      </m:oMath>
      <w:r w:rsidRPr="00DD5017">
        <w:rPr>
          <w:rFonts w:ascii="Times New Roman" w:eastAsia="Times New Roman" w:hAnsi="Times New Roman" w:cs="Times New Roman"/>
          <w:sz w:val="24"/>
          <w:szCs w:val="24"/>
          <w:lang w:eastAsia="pt-BR"/>
        </w:rPr>
        <w:t xml:space="preserve">, </w:t>
      </w:r>
      <w:r w:rsidR="00103478" w:rsidRPr="00DD5017">
        <w:rPr>
          <w:rFonts w:ascii="Times New Roman" w:eastAsia="Times New Roman" w:hAnsi="Times New Roman" w:cs="Times New Roman"/>
          <w:sz w:val="24"/>
          <w:szCs w:val="24"/>
          <w:lang w:eastAsia="pt-BR"/>
        </w:rPr>
        <w:t xml:space="preserve">o banco </w:t>
      </w:r>
      <w:r w:rsidRPr="00DD5017">
        <w:rPr>
          <w:rFonts w:ascii="Times New Roman" w:eastAsia="Times New Roman" w:hAnsi="Times New Roman" w:cs="Times New Roman"/>
          <w:sz w:val="24"/>
          <w:szCs w:val="24"/>
          <w:lang w:eastAsia="pt-BR"/>
        </w:rPr>
        <w:t xml:space="preserve">apresenta evidências de </w:t>
      </w:r>
      <w:r w:rsidR="00103478" w:rsidRPr="00DD5017">
        <w:rPr>
          <w:rFonts w:ascii="Times New Roman" w:eastAsia="Times New Roman" w:hAnsi="Times New Roman" w:cs="Times New Roman"/>
          <w:sz w:val="24"/>
          <w:szCs w:val="24"/>
          <w:lang w:eastAsia="pt-BR"/>
        </w:rPr>
        <w:t>dificu</w:t>
      </w:r>
      <w:r w:rsidR="00D64C34" w:rsidRPr="00DD5017">
        <w:rPr>
          <w:rFonts w:ascii="Times New Roman" w:eastAsia="Times New Roman" w:hAnsi="Times New Roman" w:cs="Times New Roman"/>
          <w:sz w:val="24"/>
          <w:szCs w:val="24"/>
          <w:lang w:eastAsia="pt-BR"/>
        </w:rPr>
        <w:t>ldades financeiras, já que seu p</w:t>
      </w:r>
      <w:r w:rsidR="00103478" w:rsidRPr="00DD5017">
        <w:rPr>
          <w:rFonts w:ascii="Times New Roman" w:eastAsia="Times New Roman" w:hAnsi="Times New Roman" w:cs="Times New Roman"/>
          <w:sz w:val="24"/>
          <w:szCs w:val="24"/>
          <w:lang w:eastAsia="pt-BR"/>
        </w:rPr>
        <w:t xml:space="preserve">atrimônio de </w:t>
      </w:r>
      <w:r w:rsidR="00D64C34" w:rsidRPr="00DD5017">
        <w:rPr>
          <w:rFonts w:ascii="Times New Roman" w:eastAsia="Times New Roman" w:hAnsi="Times New Roman" w:cs="Times New Roman"/>
          <w:sz w:val="24"/>
          <w:szCs w:val="24"/>
          <w:lang w:eastAsia="pt-BR"/>
        </w:rPr>
        <w:t>r</w:t>
      </w:r>
      <w:r w:rsidR="00103478" w:rsidRPr="00DD5017">
        <w:rPr>
          <w:rFonts w:ascii="Times New Roman" w:eastAsia="Times New Roman" w:hAnsi="Times New Roman" w:cs="Times New Roman"/>
          <w:sz w:val="24"/>
          <w:szCs w:val="24"/>
          <w:lang w:eastAsia="pt-BR"/>
        </w:rPr>
        <w:t xml:space="preserve">eferência chegou </w:t>
      </w:r>
      <w:r w:rsidR="004355D6" w:rsidRPr="00DD5017">
        <w:rPr>
          <w:rFonts w:ascii="Times New Roman" w:eastAsia="Times New Roman" w:hAnsi="Times New Roman" w:cs="Times New Roman"/>
          <w:sz w:val="24"/>
          <w:szCs w:val="24"/>
          <w:lang w:eastAsia="pt-BR"/>
        </w:rPr>
        <w:t>ao</w:t>
      </w:r>
      <w:r w:rsidR="00103478" w:rsidRPr="00DD5017">
        <w:rPr>
          <w:rFonts w:ascii="Times New Roman" w:eastAsia="Times New Roman" w:hAnsi="Times New Roman" w:cs="Times New Roman"/>
          <w:sz w:val="24"/>
          <w:szCs w:val="24"/>
          <w:lang w:eastAsia="pt-BR"/>
        </w:rPr>
        <w:t xml:space="preserve"> limite mínimo regulatório</w:t>
      </w:r>
      <w:r w:rsidRPr="00DD5017">
        <w:rPr>
          <w:rFonts w:ascii="Times New Roman" w:eastAsia="Times New Roman" w:hAnsi="Times New Roman" w:cs="Times New Roman"/>
          <w:sz w:val="24"/>
          <w:szCs w:val="24"/>
          <w:lang w:eastAsia="pt-BR"/>
        </w:rPr>
        <w:t xml:space="preserve"> definido pelo BACEN</w:t>
      </w:r>
      <w:r w:rsidR="00103478" w:rsidRPr="00DD5017">
        <w:rPr>
          <w:rFonts w:ascii="Times New Roman" w:eastAsia="Times New Roman" w:hAnsi="Times New Roman" w:cs="Times New Roman"/>
          <w:sz w:val="24"/>
          <w:szCs w:val="24"/>
          <w:lang w:eastAsia="pt-BR"/>
        </w:rPr>
        <w:t xml:space="preserve">. Se </w:t>
      </w:r>
      <m:oMath>
        <m:r>
          <m:rPr>
            <m:sty m:val="p"/>
          </m:rPr>
          <w:rPr>
            <w:rFonts w:ascii="Cambria Math" w:eastAsiaTheme="minorEastAsia" w:hAnsi="Cambria Math" w:cs="Times New Roman"/>
            <w:sz w:val="24"/>
            <w:szCs w:val="24"/>
            <w:lang w:eastAsia="pt-BR"/>
          </w:rPr>
          <m:t>ϕ&gt;1</m:t>
        </m:r>
      </m:oMath>
      <w:r w:rsidR="00103478" w:rsidRPr="00DD5017">
        <w:rPr>
          <w:rFonts w:ascii="Times New Roman" w:eastAsia="Times New Roman" w:hAnsi="Times New Roman" w:cs="Times New Roman"/>
          <w:sz w:val="24"/>
          <w:szCs w:val="24"/>
          <w:lang w:eastAsia="pt-BR"/>
        </w:rPr>
        <w:t xml:space="preserve">, o banco esta com restrições financeiras severas, mesmo que seu fluxo de caixa atual exceda o pagamento de juros e se, </w:t>
      </w:r>
      <m:oMath>
        <m:r>
          <m:rPr>
            <m:sty m:val="p"/>
          </m:rPr>
          <w:rPr>
            <w:rFonts w:ascii="Cambria Math" w:eastAsiaTheme="minorEastAsia" w:hAnsi="Cambria Math" w:cs="Times New Roman"/>
            <w:sz w:val="24"/>
            <w:szCs w:val="24"/>
            <w:lang w:eastAsia="pt-BR"/>
          </w:rPr>
          <m:t>ϕ&lt;1</m:t>
        </m:r>
      </m:oMath>
      <w:r w:rsidR="00103478" w:rsidRPr="00DD5017">
        <w:rPr>
          <w:rFonts w:ascii="Times New Roman" w:eastAsia="Times New Roman" w:hAnsi="Times New Roman" w:cs="Times New Roman"/>
          <w:sz w:val="24"/>
          <w:szCs w:val="24"/>
          <w:lang w:eastAsia="pt-BR"/>
        </w:rPr>
        <w:t xml:space="preserve"> podemos assumir que o banco é capaz de </w:t>
      </w:r>
      <w:r w:rsidRPr="00DD5017">
        <w:rPr>
          <w:rFonts w:ascii="Times New Roman" w:eastAsia="Times New Roman" w:hAnsi="Times New Roman" w:cs="Times New Roman"/>
          <w:sz w:val="24"/>
          <w:szCs w:val="24"/>
          <w:lang w:eastAsia="pt-BR"/>
        </w:rPr>
        <w:t>levantar novo capital para evitar a insolvência, mesmo que seus fluxos de caixa atuais sejam menores que o total de pagamento de juros.</w:t>
      </w:r>
      <w:r w:rsidR="00BA5AEF">
        <w:rPr>
          <w:rFonts w:ascii="Times New Roman" w:eastAsia="Times New Roman" w:hAnsi="Times New Roman" w:cs="Times New Roman"/>
          <w:sz w:val="24"/>
          <w:szCs w:val="24"/>
          <w:lang w:eastAsia="pt-BR"/>
        </w:rPr>
        <w:t xml:space="preserve"> </w:t>
      </w:r>
      <w:r w:rsidR="00015B92" w:rsidRPr="00DD5017">
        <w:rPr>
          <w:rFonts w:ascii="Times New Roman" w:eastAsia="Times New Roman" w:hAnsi="Times New Roman" w:cs="Times New Roman"/>
          <w:sz w:val="24"/>
          <w:szCs w:val="24"/>
          <w:lang w:eastAsia="pt-BR"/>
        </w:rPr>
        <w:t xml:space="preserve">Para estimar </w:t>
      </w:r>
      <w:r w:rsidR="00A42590" w:rsidRPr="00DD5017">
        <w:rPr>
          <w:rFonts w:ascii="Times New Roman" w:eastAsia="Times New Roman" w:hAnsi="Times New Roman" w:cs="Times New Roman"/>
          <w:sz w:val="24"/>
          <w:szCs w:val="24"/>
          <w:lang w:eastAsia="pt-BR"/>
        </w:rPr>
        <w:t xml:space="preserve">os parâmetros do modelo, </w:t>
      </w:r>
      <w:r w:rsidR="004355D6" w:rsidRPr="00DD5017">
        <w:rPr>
          <w:rFonts w:ascii="Times New Roman" w:eastAsia="Times New Roman" w:hAnsi="Times New Roman" w:cs="Times New Roman"/>
          <w:sz w:val="24"/>
          <w:szCs w:val="24"/>
          <w:lang w:eastAsia="pt-BR"/>
        </w:rPr>
        <w:t>utilizamos</w:t>
      </w:r>
      <w:r w:rsidR="00A42590" w:rsidRPr="00DD5017">
        <w:rPr>
          <w:rFonts w:ascii="Times New Roman" w:eastAsia="Times New Roman" w:hAnsi="Times New Roman" w:cs="Times New Roman"/>
          <w:sz w:val="24"/>
          <w:szCs w:val="24"/>
          <w:lang w:eastAsia="pt-BR"/>
        </w:rPr>
        <w:t xml:space="preserve"> </w:t>
      </w:r>
      <w:r w:rsidR="00422AB7">
        <w:rPr>
          <w:rFonts w:ascii="Times New Roman" w:eastAsia="Times New Roman" w:hAnsi="Times New Roman" w:cs="Times New Roman"/>
          <w:sz w:val="24"/>
          <w:szCs w:val="24"/>
          <w:lang w:eastAsia="pt-BR"/>
        </w:rPr>
        <w:t xml:space="preserve">os </w:t>
      </w:r>
      <w:r w:rsidR="00A42590" w:rsidRPr="00DD5017">
        <w:rPr>
          <w:rFonts w:ascii="Times New Roman" w:eastAsia="Times New Roman" w:hAnsi="Times New Roman" w:cs="Times New Roman"/>
          <w:sz w:val="24"/>
          <w:szCs w:val="24"/>
          <w:lang w:eastAsia="pt-BR"/>
        </w:rPr>
        <w:t>dados do balanço do Banco do Brasil</w:t>
      </w:r>
      <w:r w:rsidR="00422AB7">
        <w:rPr>
          <w:rFonts w:ascii="Times New Roman" w:eastAsia="Times New Roman" w:hAnsi="Times New Roman" w:cs="Times New Roman"/>
          <w:sz w:val="24"/>
          <w:szCs w:val="24"/>
          <w:lang w:eastAsia="pt-BR"/>
        </w:rPr>
        <w:t>:</w:t>
      </w:r>
      <w:r w:rsidR="00A42590" w:rsidRPr="00DD5017">
        <w:rPr>
          <w:rFonts w:ascii="Times New Roman" w:eastAsia="Times New Roman" w:hAnsi="Times New Roman" w:cs="Times New Roman"/>
          <w:sz w:val="24"/>
          <w:szCs w:val="24"/>
          <w:lang w:eastAsia="pt-BR"/>
        </w:rPr>
        <w:t xml:space="preserve"> </w:t>
      </w:r>
    </w:p>
    <w:p w:rsidR="00BB547B" w:rsidRPr="00E07A65" w:rsidRDefault="009F5628" w:rsidP="009F5628">
      <w:pPr>
        <w:spacing w:after="0" w:line="240" w:lineRule="auto"/>
        <w:jc w:val="both"/>
        <w:rPr>
          <w:rFonts w:ascii="Times New Roman" w:eastAsia="Times New Roman" w:hAnsi="Times New Roman" w:cs="Times New Roman"/>
          <w:sz w:val="24"/>
          <w:szCs w:val="24"/>
          <w:lang w:eastAsia="pt-BR"/>
        </w:rPr>
      </w:pPr>
      <w:r w:rsidRPr="009F5628">
        <w:rPr>
          <w:noProof/>
          <w:lang w:eastAsia="pt-BR"/>
        </w:rPr>
        <w:drawing>
          <wp:inline distT="0" distB="0" distL="0" distR="0" wp14:anchorId="3C841D25" wp14:editId="335EDF5F">
            <wp:extent cx="5934974" cy="4194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9306" cy="421185"/>
                    </a:xfrm>
                    <a:prstGeom prst="rect">
                      <a:avLst/>
                    </a:prstGeom>
                    <a:noFill/>
                    <a:ln>
                      <a:noFill/>
                    </a:ln>
                  </pic:spPr>
                </pic:pic>
              </a:graphicData>
            </a:graphic>
          </wp:inline>
        </w:drawing>
      </w:r>
    </w:p>
    <w:p w:rsidR="009A6C8B" w:rsidRPr="00BE6974" w:rsidRDefault="00A42590" w:rsidP="009F5628">
      <w:pPr>
        <w:pStyle w:val="tabela"/>
        <w:rPr>
          <w:sz w:val="18"/>
          <w:szCs w:val="20"/>
        </w:rPr>
      </w:pPr>
      <w:r w:rsidRPr="00BE6974">
        <w:rPr>
          <w:sz w:val="18"/>
          <w:szCs w:val="20"/>
        </w:rPr>
        <w:t xml:space="preserve">Tabela </w:t>
      </w:r>
      <w:r w:rsidR="00CE5756">
        <w:rPr>
          <w:sz w:val="18"/>
          <w:szCs w:val="20"/>
        </w:rPr>
        <w:t>3</w:t>
      </w:r>
      <w:r w:rsidRPr="00BE6974">
        <w:rPr>
          <w:sz w:val="18"/>
          <w:szCs w:val="20"/>
        </w:rPr>
        <w:t xml:space="preserve"> </w:t>
      </w:r>
      <w:proofErr w:type="gramStart"/>
      <w:r w:rsidRPr="00BE6974">
        <w:rPr>
          <w:sz w:val="18"/>
          <w:szCs w:val="20"/>
        </w:rPr>
        <w:t>–</w:t>
      </w:r>
      <w:r w:rsidR="00F85196" w:rsidRPr="00BE6974">
        <w:rPr>
          <w:sz w:val="18"/>
          <w:szCs w:val="20"/>
        </w:rPr>
        <w:t>D</w:t>
      </w:r>
      <w:r w:rsidRPr="00BE6974">
        <w:rPr>
          <w:sz w:val="18"/>
          <w:szCs w:val="20"/>
        </w:rPr>
        <w:t>ados</w:t>
      </w:r>
      <w:proofErr w:type="gramEnd"/>
      <w:r w:rsidRPr="00BE6974">
        <w:rPr>
          <w:sz w:val="18"/>
          <w:szCs w:val="20"/>
        </w:rPr>
        <w:t xml:space="preserve"> do balanço do Banco do Brasil. </w:t>
      </w:r>
      <w:r w:rsidR="009A6C8B" w:rsidRPr="00BE6974">
        <w:rPr>
          <w:sz w:val="18"/>
          <w:szCs w:val="20"/>
        </w:rPr>
        <w:t>Elaboração Própria.</w:t>
      </w:r>
    </w:p>
    <w:p w:rsidR="00A42590" w:rsidRPr="00ED7193" w:rsidRDefault="00A42590" w:rsidP="009F5628">
      <w:pPr>
        <w:autoSpaceDE w:val="0"/>
        <w:autoSpaceDN w:val="0"/>
        <w:adjustRightInd w:val="0"/>
        <w:spacing w:after="0" w:line="240" w:lineRule="auto"/>
        <w:jc w:val="both"/>
        <w:rPr>
          <w:rFonts w:ascii="Times New Roman" w:eastAsia="Times New Roman" w:hAnsi="Times New Roman" w:cs="Times New Roman"/>
          <w:sz w:val="20"/>
          <w:szCs w:val="20"/>
          <w:lang w:eastAsia="pt-BR"/>
        </w:rPr>
      </w:pPr>
      <w:r w:rsidRPr="00ED7193">
        <w:rPr>
          <w:rFonts w:ascii="Times New Roman" w:eastAsia="Times New Roman" w:hAnsi="Times New Roman" w:cs="Times New Roman"/>
          <w:sz w:val="20"/>
          <w:szCs w:val="20"/>
          <w:lang w:eastAsia="pt-BR"/>
        </w:rPr>
        <w:t xml:space="preserve">Fonte: Planilha de séries históricas do </w:t>
      </w:r>
      <w:r w:rsidR="00906963" w:rsidRPr="00ED7193">
        <w:rPr>
          <w:rFonts w:ascii="Times New Roman" w:eastAsia="Times New Roman" w:hAnsi="Times New Roman" w:cs="Times New Roman"/>
          <w:sz w:val="20"/>
          <w:szCs w:val="20"/>
          <w:lang w:eastAsia="pt-BR"/>
        </w:rPr>
        <w:t>4T2013 -</w:t>
      </w:r>
      <w:r w:rsidRPr="00ED7193">
        <w:rPr>
          <w:rFonts w:ascii="Times New Roman" w:eastAsia="Times New Roman" w:hAnsi="Times New Roman" w:cs="Times New Roman"/>
          <w:sz w:val="20"/>
          <w:szCs w:val="20"/>
          <w:lang w:eastAsia="pt-BR"/>
        </w:rPr>
        <w:t xml:space="preserve"> </w:t>
      </w:r>
      <w:hyperlink r:id="rId14" w:history="1">
        <w:r w:rsidRPr="00ED7193">
          <w:rPr>
            <w:rStyle w:val="Hyperlink"/>
            <w:rFonts w:ascii="Times New Roman" w:eastAsia="Times New Roman" w:hAnsi="Times New Roman" w:cs="Times New Roman"/>
            <w:sz w:val="20"/>
            <w:szCs w:val="20"/>
            <w:lang w:eastAsia="pt-BR"/>
          </w:rPr>
          <w:t>http://www.bb.com.br/portalbb/page206,136,145,0,0,1,8.bb</w:t>
        </w:r>
      </w:hyperlink>
    </w:p>
    <w:p w:rsidR="00A42590" w:rsidRDefault="00A42590" w:rsidP="00FF5024">
      <w:pPr>
        <w:autoSpaceDE w:val="0"/>
        <w:autoSpaceDN w:val="0"/>
        <w:adjustRightInd w:val="0"/>
        <w:spacing w:after="120" w:line="240" w:lineRule="auto"/>
        <w:jc w:val="both"/>
        <w:rPr>
          <w:rFonts w:ascii="Times New Roman" w:eastAsia="Times New Roman" w:hAnsi="Times New Roman" w:cs="Times New Roman"/>
          <w:sz w:val="20"/>
          <w:szCs w:val="24"/>
          <w:lang w:eastAsia="pt-BR"/>
        </w:rPr>
      </w:pPr>
      <w:proofErr w:type="spellStart"/>
      <w:r w:rsidRPr="00ED7193">
        <w:rPr>
          <w:rFonts w:ascii="Times New Roman" w:eastAsia="Times New Roman" w:hAnsi="Times New Roman" w:cs="Times New Roman"/>
          <w:sz w:val="20"/>
          <w:szCs w:val="24"/>
          <w:lang w:eastAsia="pt-BR"/>
        </w:rPr>
        <w:t>Xt</w:t>
      </w:r>
      <w:proofErr w:type="spellEnd"/>
      <w:r w:rsidRPr="00ED7193">
        <w:rPr>
          <w:rFonts w:ascii="Times New Roman" w:eastAsia="Times New Roman" w:hAnsi="Times New Roman" w:cs="Times New Roman"/>
          <w:sz w:val="20"/>
          <w:szCs w:val="24"/>
          <w:lang w:eastAsia="pt-BR"/>
        </w:rPr>
        <w:t>-Fluxo de caixa;</w:t>
      </w:r>
      <w:r w:rsidR="009F5628" w:rsidRPr="00ED7193">
        <w:rPr>
          <w:rFonts w:ascii="Times New Roman" w:eastAsia="Times New Roman" w:hAnsi="Times New Roman" w:cs="Times New Roman"/>
          <w:sz w:val="20"/>
          <w:szCs w:val="24"/>
          <w:lang w:eastAsia="pt-BR"/>
        </w:rPr>
        <w:t xml:space="preserve"> </w:t>
      </w:r>
      <w:r w:rsidRPr="00ED7193">
        <w:rPr>
          <w:rFonts w:ascii="Times New Roman" w:eastAsia="Times New Roman" w:hAnsi="Times New Roman" w:cs="Times New Roman"/>
          <w:sz w:val="20"/>
          <w:szCs w:val="24"/>
          <w:lang w:eastAsia="pt-BR"/>
        </w:rPr>
        <w:t xml:space="preserve">d </w:t>
      </w:r>
      <w:r w:rsidR="004E75B6" w:rsidRPr="00ED7193">
        <w:rPr>
          <w:rFonts w:ascii="Times New Roman" w:eastAsia="Times New Roman" w:hAnsi="Times New Roman" w:cs="Times New Roman"/>
          <w:sz w:val="20"/>
          <w:szCs w:val="24"/>
          <w:lang w:eastAsia="pt-BR"/>
        </w:rPr>
        <w:t>–</w:t>
      </w:r>
      <w:r w:rsidRPr="00ED7193">
        <w:rPr>
          <w:rFonts w:ascii="Times New Roman" w:eastAsia="Times New Roman" w:hAnsi="Times New Roman" w:cs="Times New Roman"/>
          <w:sz w:val="20"/>
          <w:szCs w:val="24"/>
          <w:lang w:eastAsia="pt-BR"/>
        </w:rPr>
        <w:t xml:space="preserve"> </w:t>
      </w:r>
      <w:r w:rsidR="004E75B6" w:rsidRPr="00ED7193">
        <w:rPr>
          <w:rFonts w:ascii="Times New Roman" w:eastAsia="Times New Roman" w:hAnsi="Times New Roman" w:cs="Times New Roman"/>
          <w:sz w:val="20"/>
          <w:szCs w:val="24"/>
          <w:lang w:eastAsia="pt-BR"/>
        </w:rPr>
        <w:t xml:space="preserve">total de </w:t>
      </w:r>
      <w:r w:rsidRPr="00ED7193">
        <w:rPr>
          <w:rFonts w:ascii="Times New Roman" w:eastAsia="Times New Roman" w:hAnsi="Times New Roman" w:cs="Times New Roman"/>
          <w:sz w:val="20"/>
          <w:szCs w:val="24"/>
          <w:lang w:eastAsia="pt-BR"/>
        </w:rPr>
        <w:t xml:space="preserve">juros </w:t>
      </w:r>
      <w:r w:rsidR="004E75B6" w:rsidRPr="00ED7193">
        <w:rPr>
          <w:rFonts w:ascii="Times New Roman" w:eastAsia="Times New Roman" w:hAnsi="Times New Roman" w:cs="Times New Roman"/>
          <w:sz w:val="20"/>
          <w:szCs w:val="24"/>
          <w:lang w:eastAsia="pt-BR"/>
        </w:rPr>
        <w:t>pagos pelos</w:t>
      </w:r>
      <w:r w:rsidRPr="00ED7193">
        <w:rPr>
          <w:rFonts w:ascii="Times New Roman" w:eastAsia="Times New Roman" w:hAnsi="Times New Roman" w:cs="Times New Roman"/>
          <w:sz w:val="20"/>
          <w:szCs w:val="24"/>
          <w:lang w:eastAsia="pt-BR"/>
        </w:rPr>
        <w:t xml:space="preserve"> depósitos</w:t>
      </w:r>
      <w:r w:rsidR="004E75B6" w:rsidRPr="00ED7193">
        <w:rPr>
          <w:rFonts w:ascii="Times New Roman" w:eastAsia="Times New Roman" w:hAnsi="Times New Roman" w:cs="Times New Roman"/>
          <w:sz w:val="20"/>
          <w:szCs w:val="24"/>
          <w:lang w:eastAsia="pt-BR"/>
        </w:rPr>
        <w:t>; b – total de juros pagos pelas dívidas subordinadas</w:t>
      </w:r>
      <w:r w:rsidR="004355D6" w:rsidRPr="00ED7193">
        <w:rPr>
          <w:rFonts w:ascii="Times New Roman" w:eastAsia="Times New Roman" w:hAnsi="Times New Roman" w:cs="Times New Roman"/>
          <w:sz w:val="20"/>
          <w:szCs w:val="24"/>
          <w:lang w:eastAsia="pt-BR"/>
        </w:rPr>
        <w:t>;</w:t>
      </w:r>
      <w:r w:rsidR="004E75B6" w:rsidRPr="00ED7193">
        <w:rPr>
          <w:rFonts w:ascii="Times New Roman" w:eastAsia="Times New Roman" w:hAnsi="Times New Roman" w:cs="Times New Roman"/>
          <w:sz w:val="20"/>
          <w:szCs w:val="24"/>
          <w:lang w:eastAsia="pt-BR"/>
        </w:rPr>
        <w:t xml:space="preserve"> c – total de juros pagos pelos </w:t>
      </w:r>
      <w:proofErr w:type="spellStart"/>
      <w:proofErr w:type="gramStart"/>
      <w:r w:rsidR="0099005E">
        <w:rPr>
          <w:rFonts w:ascii="Times New Roman" w:eastAsia="Times New Roman" w:hAnsi="Times New Roman" w:cs="Times New Roman"/>
          <w:sz w:val="20"/>
          <w:szCs w:val="24"/>
          <w:lang w:eastAsia="pt-BR"/>
        </w:rPr>
        <w:t>CoCos</w:t>
      </w:r>
      <w:proofErr w:type="spellEnd"/>
      <w:proofErr w:type="gramEnd"/>
      <w:r w:rsidR="004355D6" w:rsidRPr="00ED7193">
        <w:rPr>
          <w:rFonts w:ascii="Times New Roman" w:eastAsia="Times New Roman" w:hAnsi="Times New Roman" w:cs="Times New Roman"/>
          <w:sz w:val="20"/>
          <w:szCs w:val="24"/>
          <w:lang w:eastAsia="pt-BR"/>
        </w:rPr>
        <w:t>;</w:t>
      </w:r>
      <w:r w:rsidR="009F5628" w:rsidRPr="00ED7193">
        <w:rPr>
          <w:rFonts w:ascii="Times New Roman" w:eastAsia="Times New Roman" w:hAnsi="Times New Roman" w:cs="Times New Roman"/>
          <w:sz w:val="20"/>
          <w:szCs w:val="24"/>
          <w:lang w:eastAsia="pt-BR"/>
        </w:rPr>
        <w:t xml:space="preserve"> </w:t>
      </w:r>
      <m:oMath>
        <m:r>
          <w:rPr>
            <w:rFonts w:ascii="Cambria Math" w:eastAsia="Times New Roman" w:hAnsi="Cambria Math" w:cs="Times New Roman"/>
            <w:sz w:val="20"/>
            <w:szCs w:val="24"/>
            <w:lang w:eastAsia="pt-BR"/>
          </w:rPr>
          <m:t>π</m:t>
        </m:r>
      </m:oMath>
      <w:r w:rsidR="004E75B6" w:rsidRPr="00ED7193">
        <w:rPr>
          <w:rFonts w:ascii="Times New Roman" w:eastAsia="Times New Roman" w:hAnsi="Times New Roman" w:cs="Times New Roman"/>
          <w:sz w:val="20"/>
          <w:szCs w:val="24"/>
          <w:lang w:eastAsia="pt-BR"/>
        </w:rPr>
        <w:t xml:space="preserve"> – total de juros pagos pelo banco; A – total de ativos; P – total de passivos; PL – </w:t>
      </w:r>
      <w:r w:rsidR="00D64C34" w:rsidRPr="00ED7193">
        <w:rPr>
          <w:rFonts w:ascii="Times New Roman" w:eastAsia="Times New Roman" w:hAnsi="Times New Roman" w:cs="Times New Roman"/>
          <w:sz w:val="20"/>
          <w:szCs w:val="24"/>
          <w:lang w:eastAsia="pt-BR"/>
        </w:rPr>
        <w:t>patrimônio líquido</w:t>
      </w:r>
      <w:r w:rsidR="004E75B6" w:rsidRPr="00ED7193">
        <w:rPr>
          <w:rFonts w:ascii="Times New Roman" w:eastAsia="Times New Roman" w:hAnsi="Times New Roman" w:cs="Times New Roman"/>
          <w:sz w:val="20"/>
          <w:szCs w:val="24"/>
          <w:lang w:eastAsia="pt-BR"/>
        </w:rPr>
        <w:t xml:space="preserve">; C- montante de </w:t>
      </w:r>
      <w:proofErr w:type="spellStart"/>
      <w:r w:rsidR="0099005E">
        <w:rPr>
          <w:rFonts w:ascii="Times New Roman" w:eastAsia="Times New Roman" w:hAnsi="Times New Roman" w:cs="Times New Roman"/>
          <w:sz w:val="20"/>
          <w:szCs w:val="24"/>
          <w:lang w:eastAsia="pt-BR"/>
        </w:rPr>
        <w:t>CoCos</w:t>
      </w:r>
      <w:proofErr w:type="spellEnd"/>
      <w:r w:rsidR="004E75B6" w:rsidRPr="00ED7193">
        <w:rPr>
          <w:rFonts w:ascii="Times New Roman" w:eastAsia="Times New Roman" w:hAnsi="Times New Roman" w:cs="Times New Roman"/>
          <w:sz w:val="20"/>
          <w:szCs w:val="24"/>
          <w:lang w:eastAsia="pt-BR"/>
        </w:rPr>
        <w:t xml:space="preserve">; B – montante de dívidas subordinadas; D – montante de depósitos; RWA – total de ativos </w:t>
      </w:r>
      <w:r w:rsidR="004E75B6" w:rsidRPr="00ED7193">
        <w:rPr>
          <w:rFonts w:ascii="Times New Roman" w:eastAsia="Times New Roman" w:hAnsi="Times New Roman" w:cs="Times New Roman"/>
          <w:sz w:val="20"/>
          <w:szCs w:val="24"/>
          <w:lang w:eastAsia="pt-BR"/>
        </w:rPr>
        <w:lastRenderedPageBreak/>
        <w:t xml:space="preserve">ponderados pelo risco; IB – índice de Basiléia; PRNI – </w:t>
      </w:r>
      <w:r w:rsidR="00D64C34" w:rsidRPr="00ED7193">
        <w:rPr>
          <w:rFonts w:ascii="Times New Roman" w:eastAsia="Times New Roman" w:hAnsi="Times New Roman" w:cs="Times New Roman"/>
          <w:sz w:val="20"/>
          <w:szCs w:val="24"/>
          <w:lang w:eastAsia="pt-BR"/>
        </w:rPr>
        <w:t>patrimônio</w:t>
      </w:r>
      <w:r w:rsidR="004E75B6" w:rsidRPr="00ED7193">
        <w:rPr>
          <w:rFonts w:ascii="Times New Roman" w:eastAsia="Times New Roman" w:hAnsi="Times New Roman" w:cs="Times New Roman"/>
          <w:sz w:val="20"/>
          <w:szCs w:val="24"/>
          <w:lang w:eastAsia="pt-BR"/>
        </w:rPr>
        <w:t xml:space="preserve"> de referência</w:t>
      </w:r>
      <w:r w:rsidR="00682BEB">
        <w:rPr>
          <w:rFonts w:ascii="Times New Roman" w:eastAsia="Times New Roman" w:hAnsi="Times New Roman" w:cs="Times New Roman"/>
          <w:sz w:val="20"/>
          <w:szCs w:val="24"/>
          <w:lang w:eastAsia="pt-BR"/>
        </w:rPr>
        <w:t xml:space="preserve"> </w:t>
      </w:r>
      <w:r w:rsidR="004E75B6" w:rsidRPr="00ED7193">
        <w:rPr>
          <w:rFonts w:ascii="Times New Roman" w:eastAsia="Times New Roman" w:hAnsi="Times New Roman" w:cs="Times New Roman"/>
          <w:sz w:val="20"/>
          <w:szCs w:val="24"/>
          <w:lang w:eastAsia="pt-BR"/>
        </w:rPr>
        <w:t xml:space="preserve">de </w:t>
      </w:r>
      <w:r w:rsidR="004355D6" w:rsidRPr="00ED7193">
        <w:rPr>
          <w:rFonts w:ascii="Times New Roman" w:eastAsia="Times New Roman" w:hAnsi="Times New Roman" w:cs="Times New Roman"/>
          <w:sz w:val="20"/>
          <w:szCs w:val="24"/>
          <w:lang w:eastAsia="pt-BR"/>
        </w:rPr>
        <w:t>n</w:t>
      </w:r>
      <w:r w:rsidR="00BF4674" w:rsidRPr="00ED7193">
        <w:rPr>
          <w:rFonts w:ascii="Times New Roman" w:eastAsia="Times New Roman" w:hAnsi="Times New Roman" w:cs="Times New Roman"/>
          <w:sz w:val="20"/>
          <w:szCs w:val="24"/>
          <w:lang w:eastAsia="pt-BR"/>
        </w:rPr>
        <w:t>ível</w:t>
      </w:r>
      <w:r w:rsidR="004355D6" w:rsidRPr="00ED7193">
        <w:rPr>
          <w:rFonts w:ascii="Times New Roman" w:eastAsia="Times New Roman" w:hAnsi="Times New Roman" w:cs="Times New Roman"/>
          <w:sz w:val="20"/>
          <w:szCs w:val="24"/>
          <w:lang w:eastAsia="pt-BR"/>
        </w:rPr>
        <w:t xml:space="preserve"> I</w:t>
      </w:r>
      <w:r w:rsidR="004E75B6" w:rsidRPr="00ED7193">
        <w:rPr>
          <w:rFonts w:ascii="Times New Roman" w:eastAsia="Times New Roman" w:hAnsi="Times New Roman" w:cs="Times New Roman"/>
          <w:sz w:val="20"/>
          <w:szCs w:val="24"/>
          <w:lang w:eastAsia="pt-BR"/>
        </w:rPr>
        <w:t xml:space="preserve">; PRNII - </w:t>
      </w:r>
      <w:r w:rsidR="009A6C8B" w:rsidRPr="00ED7193">
        <w:rPr>
          <w:rFonts w:ascii="Times New Roman" w:eastAsia="Times New Roman" w:hAnsi="Times New Roman" w:cs="Times New Roman"/>
          <w:sz w:val="20"/>
          <w:szCs w:val="24"/>
          <w:lang w:eastAsia="pt-BR"/>
        </w:rPr>
        <w:t xml:space="preserve">patrimônio de referência de </w:t>
      </w:r>
      <w:r w:rsidR="004355D6" w:rsidRPr="00ED7193">
        <w:rPr>
          <w:rFonts w:ascii="Times New Roman" w:eastAsia="Times New Roman" w:hAnsi="Times New Roman" w:cs="Times New Roman"/>
          <w:sz w:val="20"/>
          <w:szCs w:val="24"/>
          <w:lang w:eastAsia="pt-BR"/>
        </w:rPr>
        <w:t>n</w:t>
      </w:r>
      <w:r w:rsidR="00BF4674" w:rsidRPr="00ED7193">
        <w:rPr>
          <w:rFonts w:ascii="Times New Roman" w:eastAsia="Times New Roman" w:hAnsi="Times New Roman" w:cs="Times New Roman"/>
          <w:sz w:val="20"/>
          <w:szCs w:val="24"/>
          <w:lang w:eastAsia="pt-BR"/>
        </w:rPr>
        <w:t>ível</w:t>
      </w:r>
      <w:r w:rsidR="004355D6" w:rsidRPr="00ED7193">
        <w:rPr>
          <w:rFonts w:ascii="Times New Roman" w:eastAsia="Times New Roman" w:hAnsi="Times New Roman" w:cs="Times New Roman"/>
          <w:sz w:val="20"/>
          <w:szCs w:val="24"/>
          <w:lang w:eastAsia="pt-BR"/>
        </w:rPr>
        <w:t xml:space="preserve"> </w:t>
      </w:r>
      <w:r w:rsidR="009A6C8B" w:rsidRPr="00ED7193">
        <w:rPr>
          <w:rFonts w:ascii="Times New Roman" w:eastAsia="Times New Roman" w:hAnsi="Times New Roman" w:cs="Times New Roman"/>
          <w:sz w:val="20"/>
          <w:szCs w:val="24"/>
          <w:lang w:eastAsia="pt-BR"/>
        </w:rPr>
        <w:t>I</w:t>
      </w:r>
      <w:r w:rsidR="004355D6" w:rsidRPr="00ED7193">
        <w:rPr>
          <w:rFonts w:ascii="Times New Roman" w:eastAsia="Times New Roman" w:hAnsi="Times New Roman" w:cs="Times New Roman"/>
          <w:sz w:val="20"/>
          <w:szCs w:val="24"/>
          <w:lang w:eastAsia="pt-BR"/>
        </w:rPr>
        <w:t>I</w:t>
      </w:r>
      <w:r w:rsidR="009A6C8B" w:rsidRPr="00ED7193">
        <w:rPr>
          <w:rFonts w:ascii="Times New Roman" w:eastAsia="Times New Roman" w:hAnsi="Times New Roman" w:cs="Times New Roman"/>
          <w:sz w:val="20"/>
          <w:szCs w:val="24"/>
          <w:lang w:eastAsia="pt-BR"/>
        </w:rPr>
        <w:t xml:space="preserve">; </w:t>
      </w:r>
      <w:r w:rsidR="004E75B6" w:rsidRPr="00ED7193">
        <w:rPr>
          <w:rFonts w:ascii="Times New Roman" w:eastAsia="Times New Roman" w:hAnsi="Times New Roman" w:cs="Times New Roman"/>
          <w:sz w:val="20"/>
          <w:szCs w:val="24"/>
          <w:lang w:eastAsia="pt-BR"/>
        </w:rPr>
        <w:t>PR</w:t>
      </w:r>
      <w:r w:rsidR="009A6C8B" w:rsidRPr="00ED7193">
        <w:rPr>
          <w:rFonts w:ascii="Times New Roman" w:eastAsia="Times New Roman" w:hAnsi="Times New Roman" w:cs="Times New Roman"/>
          <w:sz w:val="20"/>
          <w:szCs w:val="24"/>
          <w:lang w:eastAsia="pt-BR"/>
        </w:rPr>
        <w:t xml:space="preserve"> - patrimônio de referência;</w:t>
      </w:r>
      <w:r w:rsidR="004E75B6" w:rsidRPr="00ED7193">
        <w:rPr>
          <w:rFonts w:ascii="Times New Roman" w:eastAsia="Times New Roman" w:hAnsi="Times New Roman" w:cs="Times New Roman"/>
          <w:sz w:val="20"/>
          <w:szCs w:val="24"/>
          <w:lang w:eastAsia="pt-BR"/>
        </w:rPr>
        <w:t xml:space="preserve"> PRE</w:t>
      </w:r>
      <w:r w:rsidR="009A6C8B" w:rsidRPr="00ED7193">
        <w:rPr>
          <w:rFonts w:ascii="Times New Roman" w:eastAsia="Times New Roman" w:hAnsi="Times New Roman" w:cs="Times New Roman"/>
          <w:sz w:val="20"/>
          <w:szCs w:val="24"/>
          <w:lang w:eastAsia="pt-BR"/>
        </w:rPr>
        <w:t xml:space="preserve"> - </w:t>
      </w:r>
      <w:r w:rsidR="00D64C34" w:rsidRPr="00ED7193">
        <w:rPr>
          <w:rFonts w:ascii="Times New Roman" w:eastAsia="Times New Roman" w:hAnsi="Times New Roman" w:cs="Times New Roman"/>
          <w:sz w:val="20"/>
          <w:szCs w:val="24"/>
          <w:lang w:eastAsia="pt-BR"/>
        </w:rPr>
        <w:t>patrimônio</w:t>
      </w:r>
      <w:r w:rsidR="009A6C8B" w:rsidRPr="00ED7193">
        <w:rPr>
          <w:rFonts w:ascii="Times New Roman" w:eastAsia="Times New Roman" w:hAnsi="Times New Roman" w:cs="Times New Roman"/>
          <w:sz w:val="20"/>
          <w:szCs w:val="24"/>
          <w:lang w:eastAsia="pt-BR"/>
        </w:rPr>
        <w:t xml:space="preserve"> de referência exigido</w:t>
      </w:r>
      <w:r w:rsidR="00ED7193" w:rsidRPr="00ED7193">
        <w:rPr>
          <w:rFonts w:ascii="Times New Roman" w:eastAsia="Times New Roman" w:hAnsi="Times New Roman" w:cs="Times New Roman"/>
          <w:sz w:val="20"/>
          <w:szCs w:val="24"/>
          <w:lang w:eastAsia="pt-BR"/>
        </w:rPr>
        <w:t>.</w:t>
      </w:r>
    </w:p>
    <w:p w:rsidR="00494F27" w:rsidRPr="007A0FE8" w:rsidRDefault="00494F27" w:rsidP="00494F27">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A constante </w:t>
      </w:r>
      <m:oMath>
        <m:r>
          <m:rPr>
            <m:sty m:val="p"/>
          </m:rPr>
          <w:rPr>
            <w:rFonts w:ascii="Cambria Math" w:eastAsiaTheme="minorEastAsia" w:hAnsi="Cambria Math" w:cs="Times New Roman"/>
            <w:sz w:val="24"/>
            <w:szCs w:val="24"/>
            <w:lang w:eastAsia="pt-BR"/>
          </w:rPr>
          <m:t>ϕ</m:t>
        </m:r>
      </m:oMath>
      <w:r w:rsidRPr="007A0FE8">
        <w:rPr>
          <w:rFonts w:ascii="Times New Roman" w:eastAsiaTheme="minorEastAsia" w:hAnsi="Times New Roman" w:cs="Times New Roman"/>
          <w:sz w:val="24"/>
          <w:szCs w:val="24"/>
          <w:lang w:eastAsia="pt-BR"/>
        </w:rPr>
        <w:t xml:space="preserve"> </w:t>
      </w:r>
      <w:r w:rsidR="00BA5AEF">
        <w:rPr>
          <w:rFonts w:ascii="Times New Roman" w:eastAsiaTheme="minorEastAsia" w:hAnsi="Times New Roman" w:cs="Times New Roman"/>
          <w:sz w:val="24"/>
          <w:szCs w:val="24"/>
          <w:lang w:eastAsia="pt-BR"/>
        </w:rPr>
        <w:t>d</w:t>
      </w:r>
      <w:r w:rsidRPr="007A0FE8">
        <w:rPr>
          <w:rFonts w:ascii="Times New Roman" w:eastAsiaTheme="minorEastAsia" w:hAnsi="Times New Roman" w:cs="Times New Roman"/>
          <w:sz w:val="24"/>
          <w:szCs w:val="24"/>
          <w:lang w:eastAsia="pt-BR"/>
        </w:rPr>
        <w:t xml:space="preserve">o 4T2013 do Banco do Brasil é de 76% e o nível de endividamento </w:t>
      </w:r>
      <m:oMath>
        <m:r>
          <w:rPr>
            <w:rFonts w:ascii="Cambria Math" w:eastAsiaTheme="minorEastAsia" w:hAnsi="Cambria Math" w:cs="Times New Roman"/>
            <w:sz w:val="24"/>
            <w:szCs w:val="24"/>
            <w:lang w:eastAsia="pt-BR"/>
          </w:rPr>
          <m:t>π</m:t>
        </m:r>
      </m:oMath>
      <w:r w:rsidRPr="007A0FE8">
        <w:rPr>
          <w:rFonts w:ascii="Times New Roman" w:eastAsiaTheme="minorEastAsia" w:hAnsi="Times New Roman" w:cs="Times New Roman"/>
          <w:sz w:val="24"/>
          <w:szCs w:val="24"/>
          <w:lang w:eastAsia="pt-BR"/>
        </w:rPr>
        <w:t>= R$20.074 bil</w:t>
      </w:r>
      <w:proofErr w:type="spellStart"/>
      <w:r>
        <w:rPr>
          <w:rFonts w:ascii="Times New Roman" w:eastAsiaTheme="minorEastAsia" w:hAnsi="Times New Roman" w:cs="Times New Roman"/>
          <w:sz w:val="24"/>
          <w:szCs w:val="24"/>
          <w:lang w:eastAsia="pt-BR"/>
        </w:rPr>
        <w:t>hões</w:t>
      </w:r>
      <w:proofErr w:type="spellEnd"/>
      <w:r>
        <w:rPr>
          <w:rFonts w:ascii="Times New Roman" w:eastAsiaTheme="minorEastAsia" w:hAnsi="Times New Roman" w:cs="Times New Roman"/>
          <w:sz w:val="24"/>
          <w:szCs w:val="24"/>
          <w:lang w:eastAsia="pt-BR"/>
        </w:rPr>
        <w:t xml:space="preserve">, portanto a fronteira é de </w:t>
      </w:r>
      <m:oMath>
        <m:r>
          <w:rPr>
            <w:rFonts w:ascii="Cambria Math" w:eastAsia="Times New Roman" w:hAnsi="Cambria Math" w:cs="Times New Roman"/>
            <w:sz w:val="24"/>
            <w:szCs w:val="24"/>
            <w:lang w:eastAsia="pt-BR"/>
          </w:rPr>
          <m:t>ξ</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π</m:t>
            </m:r>
          </m:e>
        </m:d>
        <m:r>
          <w:rPr>
            <w:rFonts w:ascii="Cambria Math" w:eastAsia="Times New Roman" w:hAnsi="Cambria Math" w:cs="Times New Roman"/>
            <w:sz w:val="24"/>
            <w:szCs w:val="24"/>
            <w:lang w:eastAsia="pt-BR"/>
          </w:rPr>
          <m:t>=R$ 15.195 bilhões</m:t>
        </m:r>
      </m:oMath>
      <w:r>
        <w:rPr>
          <w:rFonts w:ascii="Times New Roman" w:eastAsiaTheme="minorEastAsia" w:hAnsi="Times New Roman" w:cs="Times New Roman"/>
          <w:sz w:val="24"/>
          <w:szCs w:val="24"/>
          <w:lang w:eastAsia="pt-BR"/>
        </w:rPr>
        <w:t>.</w:t>
      </w:r>
      <w:r w:rsidR="0037373A">
        <w:rPr>
          <w:rFonts w:ascii="Times New Roman" w:eastAsiaTheme="minorEastAsia" w:hAnsi="Times New Roman" w:cs="Times New Roman"/>
          <w:sz w:val="24"/>
          <w:szCs w:val="24"/>
          <w:lang w:eastAsia="pt-BR"/>
        </w:rPr>
        <w:t xml:space="preserve"> </w:t>
      </w:r>
      <w:r w:rsidRPr="007A0FE8">
        <w:rPr>
          <w:rFonts w:ascii="Times New Roman" w:eastAsiaTheme="minorEastAsia" w:hAnsi="Times New Roman" w:cs="Times New Roman"/>
          <w:sz w:val="24"/>
          <w:szCs w:val="24"/>
          <w:lang w:eastAsia="pt-BR"/>
        </w:rPr>
        <w:t xml:space="preserve">Consideramos que os depósitos são exógenos, portanto as variáveis de escolha para otimização da estrutura de capital serão, os juros de dívidas subordinadas (b) e os juros de </w:t>
      </w:r>
      <w:proofErr w:type="spellStart"/>
      <w:proofErr w:type="gramStart"/>
      <w:r>
        <w:rPr>
          <w:rFonts w:ascii="Times New Roman" w:eastAsiaTheme="minorEastAsia" w:hAnsi="Times New Roman" w:cs="Times New Roman"/>
          <w:sz w:val="24"/>
          <w:szCs w:val="24"/>
          <w:lang w:eastAsia="pt-BR"/>
        </w:rPr>
        <w:t>CoCos</w:t>
      </w:r>
      <w:proofErr w:type="spellEnd"/>
      <w:proofErr w:type="gramEnd"/>
      <w:r w:rsidRPr="007A0FE8">
        <w:rPr>
          <w:rFonts w:ascii="Times New Roman" w:eastAsiaTheme="minorEastAsia" w:hAnsi="Times New Roman" w:cs="Times New Roman"/>
          <w:sz w:val="24"/>
          <w:szCs w:val="24"/>
          <w:lang w:eastAsia="pt-BR"/>
        </w:rPr>
        <w:t xml:space="preserve"> (c).</w:t>
      </w:r>
      <w:r w:rsidR="0037373A">
        <w:rPr>
          <w:rFonts w:ascii="Times New Roman" w:eastAsiaTheme="minorEastAsia" w:hAnsi="Times New Roman" w:cs="Times New Roman"/>
          <w:sz w:val="24"/>
          <w:szCs w:val="24"/>
          <w:lang w:eastAsia="pt-BR"/>
        </w:rPr>
        <w:t xml:space="preserve"> </w:t>
      </w:r>
      <w:r w:rsidRPr="007A0FE8">
        <w:rPr>
          <w:rFonts w:ascii="Times New Roman" w:eastAsiaTheme="minorEastAsia" w:hAnsi="Times New Roman" w:cs="Times New Roman"/>
          <w:sz w:val="24"/>
          <w:szCs w:val="24"/>
          <w:lang w:eastAsia="pt-BR"/>
        </w:rPr>
        <w:t xml:space="preserve">Seguindo o modelo, vamos estimar </w:t>
      </w:r>
      <w:r w:rsidRPr="007A0FE8">
        <w:rPr>
          <w:rFonts w:ascii="Times New Roman" w:eastAsiaTheme="minorEastAsia" w:hAnsi="Times New Roman" w:cs="Times New Roman"/>
          <w:sz w:val="24"/>
          <w:szCs w:val="24"/>
        </w:rPr>
        <w:t xml:space="preserve">o </w:t>
      </w:r>
      <w:r w:rsidRPr="007A0FE8">
        <w:rPr>
          <w:rFonts w:ascii="Times New Roman" w:eastAsiaTheme="minorEastAsia" w:hAnsi="Times New Roman" w:cs="Times New Roman"/>
          <w:sz w:val="24"/>
          <w:szCs w:val="24"/>
          <w:lang w:eastAsia="pt-BR"/>
        </w:rPr>
        <w:t>patrimônio líquido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7A0FE8">
        <w:rPr>
          <w:rFonts w:ascii="Times New Roman" w:eastAsiaTheme="minorEastAsia" w:hAnsi="Times New Roman" w:cs="Times New Roman"/>
          <w:sz w:val="24"/>
          <w:szCs w:val="24"/>
        </w:rPr>
        <w:t>):</w:t>
      </w:r>
    </w:p>
    <w:p w:rsidR="00494F27" w:rsidRPr="007A0FE8" w:rsidRDefault="00445FF9" w:rsidP="00494F27">
      <w:pPr>
        <w:spacing w:after="12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=(1-τ)</m:t>
        </m:r>
        <m:d>
          <m:dPr>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num>
                  <m:den>
                    <m:r>
                      <w:rPr>
                        <w:rFonts w:ascii="Cambria Math" w:hAnsi="Cambria Math" w:cs="Times New Roman"/>
                        <w:sz w:val="24"/>
                        <w:szCs w:val="24"/>
                      </w:rPr>
                      <m:t>r-μ</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r</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ξ</m:t>
                    </m:r>
                  </m:num>
                  <m:den>
                    <m:r>
                      <w:rPr>
                        <w:rFonts w:ascii="Cambria Math" w:hAnsi="Cambria Math" w:cs="Times New Roman"/>
                        <w:sz w:val="24"/>
                        <w:szCs w:val="24"/>
                      </w:rPr>
                      <m:t>r-μ</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r</m:t>
                    </m:r>
                  </m:den>
                </m:f>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num>
                      <m:den>
                        <m:r>
                          <w:rPr>
                            <w:rFonts w:ascii="Cambria Math" w:hAnsi="Cambria Math" w:cs="Times New Roman"/>
                            <w:sz w:val="24"/>
                            <w:szCs w:val="24"/>
                          </w:rPr>
                          <m:t>ξ</m:t>
                        </m:r>
                      </m:den>
                    </m:f>
                  </m:e>
                </m:d>
              </m:e>
              <m:sup>
                <m:r>
                  <w:rPr>
                    <w:rFonts w:ascii="Cambria Math" w:hAnsi="Cambria Math" w:cs="Times New Roman"/>
                    <w:sz w:val="24"/>
                    <w:szCs w:val="24"/>
                  </w:rPr>
                  <m:t>β</m:t>
                </m:r>
              </m:sup>
            </m:sSup>
          </m:e>
        </m:d>
      </m:oMath>
      <w:r w:rsidR="00494F27" w:rsidRPr="007A0FE8">
        <w:rPr>
          <w:rFonts w:ascii="Times New Roman" w:eastAsiaTheme="minorEastAsia" w:hAnsi="Times New Roman" w:cs="Times New Roman"/>
          <w:sz w:val="24"/>
          <w:szCs w:val="24"/>
        </w:rPr>
        <w:t xml:space="preserve">                                      (5)</w:t>
      </w:r>
    </w:p>
    <w:p w:rsidR="00F72C05" w:rsidRPr="007A0FE8" w:rsidRDefault="00494F27" w:rsidP="00FF5024">
      <w:pPr>
        <w:spacing w:after="120" w:line="240" w:lineRule="auto"/>
        <w:jc w:val="both"/>
        <w:rPr>
          <w:rFonts w:ascii="Times New Roman" w:eastAsiaTheme="minorEastAsia" w:hAnsi="Times New Roman" w:cs="Times New Roman"/>
          <w:sz w:val="24"/>
          <w:szCs w:val="24"/>
        </w:rPr>
      </w:pPr>
      <w:r w:rsidRPr="007A0FE8">
        <w:rPr>
          <w:rFonts w:ascii="Times New Roman" w:eastAsiaTheme="minorEastAsia" w:hAnsi="Times New Roman" w:cs="Times New Roman"/>
          <w:sz w:val="24"/>
          <w:szCs w:val="24"/>
          <w:lang w:eastAsia="pt-BR"/>
        </w:rPr>
        <w:t xml:space="preserve">Onde </w:t>
      </w:r>
      <m:oMath>
        <m:r>
          <w:rPr>
            <w:rFonts w:ascii="Cambria Math" w:hAnsi="Cambria Math" w:cs="Times New Roman"/>
            <w:sz w:val="24"/>
            <w:szCs w:val="24"/>
          </w:rPr>
          <m:t>τ</m:t>
        </m:r>
      </m:oMath>
      <w:r w:rsidRPr="007A0FE8">
        <w:rPr>
          <w:rFonts w:ascii="Times New Roman" w:eastAsiaTheme="minorEastAsia" w:hAnsi="Times New Roman" w:cs="Times New Roman"/>
          <w:sz w:val="24"/>
          <w:szCs w:val="24"/>
        </w:rPr>
        <w:t xml:space="preserve"> é a taxa de imposto corporativo, cujo valor de </w:t>
      </w:r>
      <m:oMath>
        <m:r>
          <w:rPr>
            <w:rFonts w:ascii="Cambria Math" w:hAnsi="Cambria Math" w:cs="Times New Roman"/>
            <w:sz w:val="24"/>
            <w:szCs w:val="24"/>
          </w:rPr>
          <m:t>τ</m:t>
        </m:r>
      </m:oMath>
      <w:r w:rsidRPr="007A0FE8">
        <w:rPr>
          <w:rFonts w:ascii="Times New Roman" w:eastAsiaTheme="minorEastAsia" w:hAnsi="Times New Roman" w:cs="Times New Roman"/>
          <w:sz w:val="24"/>
          <w:szCs w:val="24"/>
        </w:rPr>
        <w:t xml:space="preserve"> =0,40 é definido pelo BACEN, e r é a taxa livre de juros</w:t>
      </w:r>
      <w:r w:rsidR="00422AB7">
        <w:rPr>
          <w:rFonts w:ascii="Times New Roman" w:eastAsiaTheme="minorEastAsia" w:hAnsi="Times New Roman" w:cs="Times New Roman"/>
          <w:sz w:val="24"/>
          <w:szCs w:val="24"/>
        </w:rPr>
        <w:t>, que u</w:t>
      </w:r>
      <w:r w:rsidRPr="007A0FE8">
        <w:rPr>
          <w:rFonts w:ascii="Times New Roman" w:eastAsiaTheme="minorEastAsia" w:hAnsi="Times New Roman" w:cs="Times New Roman"/>
          <w:sz w:val="24"/>
          <w:szCs w:val="24"/>
        </w:rPr>
        <w:t xml:space="preserve">tilizamos a SELIC do último dia útil de 2013, cujo valor era de r=0,104 ou 10,4%. </w:t>
      </w:r>
      <w:r w:rsidR="00F72C05" w:rsidRPr="007A0FE8">
        <w:rPr>
          <w:rFonts w:ascii="Times New Roman" w:eastAsiaTheme="minorEastAsia" w:hAnsi="Times New Roman" w:cs="Times New Roman"/>
          <w:sz w:val="24"/>
          <w:szCs w:val="24"/>
        </w:rPr>
        <w:t xml:space="preserve">A parcela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num>
                  <m:den>
                    <m:r>
                      <w:rPr>
                        <w:rFonts w:ascii="Cambria Math" w:hAnsi="Cambria Math" w:cs="Times New Roman"/>
                        <w:sz w:val="24"/>
                        <w:szCs w:val="24"/>
                      </w:rPr>
                      <m:t>ξ</m:t>
                    </m:r>
                  </m:den>
                </m:f>
              </m:e>
            </m:d>
          </m:e>
          <m:sup>
            <m:r>
              <w:rPr>
                <w:rFonts w:ascii="Cambria Math" w:hAnsi="Cambria Math" w:cs="Times New Roman"/>
                <w:sz w:val="24"/>
                <w:szCs w:val="24"/>
              </w:rPr>
              <m:t>β</m:t>
            </m:r>
          </m:sup>
        </m:sSup>
      </m:oMath>
      <w:r w:rsidR="00F72C05" w:rsidRPr="007A0FE8">
        <w:rPr>
          <w:rFonts w:ascii="Times New Roman" w:eastAsiaTheme="minorEastAsia" w:hAnsi="Times New Roman" w:cs="Times New Roman"/>
          <w:sz w:val="24"/>
          <w:szCs w:val="24"/>
        </w:rPr>
        <w:t xml:space="preserve">do </w:t>
      </w:r>
      <w:r w:rsidR="00D64C34" w:rsidRPr="007A0FE8">
        <w:rPr>
          <w:rFonts w:ascii="Times New Roman" w:eastAsiaTheme="minorEastAsia" w:hAnsi="Times New Roman" w:cs="Times New Roman"/>
          <w:sz w:val="24"/>
          <w:szCs w:val="24"/>
          <w:lang w:eastAsia="pt-BR"/>
        </w:rPr>
        <w:t>patrimônio líquido</w:t>
      </w:r>
      <w:r w:rsidR="007A0FE8" w:rsidRPr="007A0FE8">
        <w:rPr>
          <w:rFonts w:ascii="Times New Roman" w:eastAsiaTheme="minorEastAsia" w:hAnsi="Times New Roman" w:cs="Times New Roman"/>
          <w:sz w:val="24"/>
          <w:szCs w:val="24"/>
          <w:lang w:eastAsia="pt-BR"/>
        </w:rPr>
        <w:t xml:space="preserve"> é</w:t>
      </w:r>
      <w:r w:rsidR="00B33734" w:rsidRPr="007A0FE8">
        <w:rPr>
          <w:rFonts w:ascii="Times New Roman" w:eastAsiaTheme="minorEastAsia" w:hAnsi="Times New Roman" w:cs="Times New Roman"/>
          <w:sz w:val="24"/>
          <w:szCs w:val="24"/>
        </w:rPr>
        <w:t xml:space="preserve"> interpretada como</w:t>
      </w:r>
      <w:r w:rsidR="007A0FE8">
        <w:rPr>
          <w:rFonts w:ascii="Times New Roman" w:eastAsiaTheme="minorEastAsia" w:hAnsi="Times New Roman" w:cs="Times New Roman"/>
          <w:sz w:val="24"/>
          <w:szCs w:val="24"/>
        </w:rPr>
        <w:t>,</w:t>
      </w:r>
      <w:r w:rsidR="00B33734" w:rsidRPr="007A0FE8">
        <w:rPr>
          <w:rFonts w:ascii="Times New Roman" w:eastAsiaTheme="minorEastAsia" w:hAnsi="Times New Roman" w:cs="Times New Roman"/>
          <w:sz w:val="24"/>
          <w:szCs w:val="24"/>
        </w:rPr>
        <w:t xml:space="preserve"> um fator de desconto ponderado pela sua probabilidade, </w:t>
      </w:r>
      <w:r w:rsidR="00720420" w:rsidRPr="007A0FE8">
        <w:rPr>
          <w:rFonts w:ascii="Times New Roman" w:eastAsiaTheme="minorEastAsia" w:hAnsi="Times New Roman" w:cs="Times New Roman"/>
          <w:sz w:val="24"/>
          <w:szCs w:val="24"/>
        </w:rPr>
        <w:t>dado por</w:t>
      </w:r>
      <w:r w:rsidR="00B33734" w:rsidRPr="007A0FE8">
        <w:rPr>
          <w:rFonts w:ascii="Times New Roman" w:eastAsiaTheme="minorEastAsia" w:hAnsi="Times New Roman" w:cs="Times New Roman"/>
          <w:sz w:val="24"/>
          <w:szCs w:val="24"/>
        </w:rPr>
        <w:t>:</w:t>
      </w:r>
    </w:p>
    <w:p w:rsidR="00B33734" w:rsidRPr="007A0FE8" w:rsidRDefault="00B33734" w:rsidP="00FF5024">
      <w:pPr>
        <w:spacing w:after="120" w:line="240" w:lineRule="auto"/>
        <w:jc w:val="right"/>
        <w:rPr>
          <w:rFonts w:ascii="Times New Roman" w:eastAsiaTheme="minorEastAsia" w:hAnsi="Times New Roman" w:cs="Times New Roman"/>
          <w:sz w:val="24"/>
          <w:szCs w:val="24"/>
        </w:rPr>
      </w:pPr>
      <m:oMath>
        <m:r>
          <w:rPr>
            <w:rFonts w:ascii="Cambria Math" w:hAnsi="Cambria Math" w:cs="Times New Roman"/>
            <w:sz w:val="24"/>
            <w:szCs w:val="24"/>
          </w:rPr>
          <m:t>β=-</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μ-</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2r</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μ-</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2</m:t>
                                </m:r>
                              </m:den>
                            </m:f>
                          </m:e>
                        </m:d>
                      </m:e>
                      <m:sup>
                        <m:r>
                          <w:rPr>
                            <w:rFonts w:ascii="Cambria Math" w:hAnsi="Cambria Math" w:cs="Times New Roman"/>
                            <w:sz w:val="24"/>
                            <w:szCs w:val="24"/>
                          </w:rPr>
                          <m:t>2</m:t>
                        </m:r>
                      </m:sup>
                    </m:sSup>
                  </m:e>
                </m:rad>
              </m:e>
            </m:d>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w:r w:rsidRPr="007A0FE8">
        <w:rPr>
          <w:rFonts w:ascii="Times New Roman" w:eastAsiaTheme="minorEastAsia" w:hAnsi="Times New Roman" w:cs="Times New Roman"/>
          <w:sz w:val="24"/>
          <w:szCs w:val="24"/>
        </w:rPr>
        <w:t xml:space="preserve">                                                  (6)</w:t>
      </w:r>
    </w:p>
    <w:p w:rsidR="00B33734" w:rsidRPr="007A0FE8" w:rsidRDefault="00B33734" w:rsidP="00FF5024">
      <w:pPr>
        <w:spacing w:after="120" w:line="240" w:lineRule="auto"/>
        <w:jc w:val="both"/>
        <w:rPr>
          <w:rFonts w:ascii="Times New Roman" w:hAnsi="Times New Roman" w:cs="Times New Roman"/>
          <w:sz w:val="24"/>
          <w:szCs w:val="24"/>
        </w:rPr>
      </w:pPr>
      <w:r w:rsidRPr="007A0FE8">
        <w:rPr>
          <w:rFonts w:ascii="Times New Roman" w:eastAsiaTheme="minorEastAsia" w:hAnsi="Times New Roman" w:cs="Times New Roman"/>
          <w:sz w:val="24"/>
          <w:szCs w:val="24"/>
          <w:lang w:eastAsia="pt-BR"/>
        </w:rPr>
        <w:t xml:space="preserve">Por facilidade, vamos adotar a notação de </w:t>
      </w:r>
      <w:proofErr w:type="spellStart"/>
      <w:r w:rsidRPr="007A0FE8">
        <w:rPr>
          <w:rFonts w:ascii="Times New Roman" w:hAnsi="Times New Roman" w:cs="Times New Roman"/>
          <w:sz w:val="24"/>
          <w:szCs w:val="24"/>
        </w:rPr>
        <w:t>Koziol</w:t>
      </w:r>
      <w:proofErr w:type="spellEnd"/>
      <w:r w:rsidRPr="007A0FE8">
        <w:rPr>
          <w:rFonts w:ascii="Times New Roman" w:hAnsi="Times New Roman" w:cs="Times New Roman"/>
          <w:sz w:val="24"/>
          <w:szCs w:val="24"/>
        </w:rPr>
        <w:t xml:space="preserve"> e </w:t>
      </w:r>
      <w:proofErr w:type="spellStart"/>
      <w:r w:rsidRPr="007A0FE8">
        <w:rPr>
          <w:rFonts w:ascii="Times New Roman" w:hAnsi="Times New Roman" w:cs="Times New Roman"/>
          <w:sz w:val="24"/>
          <w:szCs w:val="24"/>
        </w:rPr>
        <w:t>Lawrenz</w:t>
      </w:r>
      <w:proofErr w:type="spellEnd"/>
      <w:r w:rsidRPr="007A0FE8">
        <w:rPr>
          <w:rFonts w:ascii="Times New Roman" w:hAnsi="Times New Roman" w:cs="Times New Roman"/>
          <w:sz w:val="24"/>
          <w:szCs w:val="24"/>
        </w:rPr>
        <w:t xml:space="preserve"> (2012), da seguinte forma:</w:t>
      </w:r>
    </w:p>
    <w:p w:rsidR="00B33734" w:rsidRPr="007A0FE8" w:rsidRDefault="00B33734" w:rsidP="00FF5024">
      <w:pPr>
        <w:spacing w:after="120" w:line="240" w:lineRule="auto"/>
        <w:jc w:val="right"/>
        <w:rPr>
          <w:rFonts w:ascii="Times New Roman" w:eastAsiaTheme="minorEastAsia" w:hAnsi="Times New Roman" w:cs="Times New Roman"/>
          <w:sz w:val="24"/>
          <w:szCs w:val="24"/>
        </w:rPr>
      </w:pPr>
      <m:oMath>
        <m:r>
          <m:rPr>
            <m:scr m:val="script"/>
          </m:rP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y,π</m:t>
            </m:r>
          </m:e>
        </m:d>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d>
          <m:dPr>
            <m:ctrlPr>
              <w:rPr>
                <w:rFonts w:ascii="Cambria Math" w:eastAsiaTheme="minorEastAsia" w:hAnsi="Cambria Math" w:cs="Times New Roman"/>
                <w:i/>
                <w:sz w:val="24"/>
                <w:szCs w:val="24"/>
              </w:rPr>
            </m:ctrlPr>
          </m:dPr>
          <m:e>
            <m:f>
              <m:fPr>
                <m:ctrlPr>
                  <w:rPr>
                    <w:rFonts w:ascii="Cambria Math" w:hAnsi="Cambria Math" w:cs="Times New Roman"/>
                    <w:i/>
                    <w:sz w:val="24"/>
                    <w:szCs w:val="24"/>
                    <w:lang w:val="en-US"/>
                  </w:rPr>
                </m:ctrlPr>
              </m:fPr>
              <m:num>
                <m:r>
                  <w:rPr>
                    <w:rFonts w:ascii="Cambria Math" w:hAnsi="Cambria Math" w:cs="Times New Roman"/>
                    <w:sz w:val="24"/>
                    <w:szCs w:val="24"/>
                  </w:rPr>
                  <m:t>y</m:t>
                </m:r>
              </m:num>
              <m:den>
                <m:r>
                  <w:rPr>
                    <w:rFonts w:ascii="Cambria Math" w:hAnsi="Cambria Math" w:cs="Times New Roman"/>
                    <w:sz w:val="24"/>
                    <w:szCs w:val="24"/>
                  </w:rPr>
                  <m:t>r-μ</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π</m:t>
                </m:r>
              </m:num>
              <m:den>
                <m:r>
                  <w:rPr>
                    <w:rFonts w:ascii="Cambria Math" w:hAnsi="Cambria Math" w:cs="Times New Roman"/>
                    <w:sz w:val="24"/>
                    <w:szCs w:val="24"/>
                  </w:rPr>
                  <m:t>r</m:t>
                </m:r>
              </m:den>
            </m:f>
          </m:e>
        </m:d>
      </m:oMath>
      <w:r w:rsidRPr="007A0FE8">
        <w:rPr>
          <w:rFonts w:ascii="Times New Roman" w:eastAsiaTheme="minorEastAsia" w:hAnsi="Times New Roman" w:cs="Times New Roman"/>
          <w:sz w:val="24"/>
          <w:szCs w:val="24"/>
        </w:rPr>
        <w:t xml:space="preserve">                                                               (7)</w:t>
      </w:r>
    </w:p>
    <w:p w:rsidR="00B33734" w:rsidRPr="007A0FE8" w:rsidRDefault="00B33734" w:rsidP="00FF5024">
      <w:pPr>
        <w:spacing w:after="120" w:line="240" w:lineRule="auto"/>
        <w:jc w:val="right"/>
        <w:rPr>
          <w:rFonts w:ascii="Times New Roman" w:eastAsiaTheme="minorEastAsia" w:hAnsi="Times New Roman" w:cs="Times New Roman"/>
          <w:sz w:val="24"/>
          <w:szCs w:val="24"/>
        </w:rPr>
      </w:pPr>
      <m:oMath>
        <m:r>
          <m:rPr>
            <m:scr m:val="script"/>
          </m:rP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en>
                </m:f>
              </m:e>
            </m:d>
          </m:e>
          <m:sup>
            <m:r>
              <w:rPr>
                <w:rFonts w:ascii="Cambria Math" w:hAnsi="Cambria Math" w:cs="Times New Roman"/>
                <w:sz w:val="24"/>
                <w:szCs w:val="24"/>
              </w:rPr>
              <m:t>β</m:t>
            </m:r>
          </m:sup>
        </m:sSup>
      </m:oMath>
      <w:r w:rsidRPr="007A0FE8">
        <w:rPr>
          <w:rFonts w:ascii="Times New Roman" w:eastAsiaTheme="minorEastAsia" w:hAnsi="Times New Roman" w:cs="Times New Roman"/>
          <w:sz w:val="24"/>
          <w:szCs w:val="24"/>
        </w:rPr>
        <w:t xml:space="preserve">                                                                         (8)</w:t>
      </w:r>
    </w:p>
    <w:p w:rsidR="00B33734" w:rsidRPr="007A0FE8" w:rsidRDefault="00B25392"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hAnsi="Times New Roman" w:cs="Times New Roman"/>
          <w:sz w:val="24"/>
          <w:szCs w:val="24"/>
        </w:rPr>
        <w:t xml:space="preserve">Desta forma, </w:t>
      </w:r>
      <w:r w:rsidR="00B33734" w:rsidRPr="007A0FE8">
        <w:rPr>
          <w:rFonts w:ascii="Times New Roman" w:eastAsiaTheme="minorEastAsia" w:hAnsi="Times New Roman" w:cs="Times New Roman"/>
          <w:sz w:val="24"/>
          <w:szCs w:val="24"/>
          <w:lang w:eastAsia="pt-BR"/>
        </w:rPr>
        <w:t xml:space="preserve">a equação do </w:t>
      </w:r>
      <w:r w:rsidR="00D64C34" w:rsidRPr="007A0FE8">
        <w:rPr>
          <w:rFonts w:ascii="Times New Roman" w:eastAsiaTheme="minorEastAsia" w:hAnsi="Times New Roman" w:cs="Times New Roman"/>
          <w:sz w:val="24"/>
          <w:szCs w:val="24"/>
          <w:lang w:eastAsia="pt-BR"/>
        </w:rPr>
        <w:t xml:space="preserve">patrimônio líquido </w:t>
      </w:r>
      <w:r w:rsidRPr="007A0FE8">
        <w:rPr>
          <w:rFonts w:ascii="Times New Roman" w:eastAsiaTheme="minorEastAsia" w:hAnsi="Times New Roman" w:cs="Times New Roman"/>
          <w:sz w:val="24"/>
          <w:szCs w:val="24"/>
          <w:lang w:eastAsia="pt-BR"/>
        </w:rPr>
        <w:t>fica:</w:t>
      </w:r>
    </w:p>
    <w:p w:rsidR="00B25392" w:rsidRPr="007A0FE8" w:rsidRDefault="00445FF9" w:rsidP="00FF5024">
      <w:pPr>
        <w:spacing w:after="120" w:line="240" w:lineRule="auto"/>
        <w:jc w:val="right"/>
        <w:rPr>
          <w:rFonts w:ascii="Times New Roman" w:eastAsiaTheme="minorEastAsia" w:hAnsi="Times New Roman" w:cs="Times New Roman"/>
          <w:sz w:val="24"/>
          <w:szCs w:val="24"/>
          <w:lang w:eastAsia="pt-BR"/>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m:rPr>
            <m:scr m:val="script"/>
          </m:rPr>
          <w:rPr>
            <w:rFonts w:ascii="Cambria Math" w:hAnsi="Cambria Math" w:cs="Times New Roman"/>
            <w:sz w:val="24"/>
            <w:szCs w:val="24"/>
          </w:rPr>
          <m:t>=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,π</m:t>
            </m:r>
          </m:e>
        </m:d>
        <m:r>
          <m:rPr>
            <m:scr m:val="script"/>
          </m:rP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ξ,π</m:t>
            </m:r>
          </m:e>
        </m:d>
        <m:r>
          <m:rPr>
            <m:scr m:val="script"/>
          </m:rP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,ξ</m:t>
            </m:r>
          </m:e>
        </m:d>
      </m:oMath>
      <w:r w:rsidR="00B25392" w:rsidRPr="007A0FE8">
        <w:rPr>
          <w:rFonts w:ascii="Times New Roman" w:eastAsiaTheme="minorEastAsia" w:hAnsi="Times New Roman" w:cs="Times New Roman"/>
          <w:sz w:val="24"/>
          <w:szCs w:val="24"/>
        </w:rPr>
        <w:t xml:space="preserve">                                                 (9)</w:t>
      </w:r>
    </w:p>
    <w:p w:rsidR="00B25392" w:rsidRPr="007A0FE8" w:rsidRDefault="00B25392"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Para o Banco do Brasil temos os seguintes valores:</w:t>
      </w:r>
      <w:r w:rsidR="00ED7193">
        <w:rPr>
          <w:rFonts w:ascii="Times New Roman" w:eastAsiaTheme="minorEastAsia" w:hAnsi="Times New Roman" w:cs="Times New Roman"/>
          <w:sz w:val="24"/>
          <w:szCs w:val="24"/>
          <w:lang w:eastAsia="pt-BR"/>
        </w:rPr>
        <w:t xml:space="preserve"> </w:t>
      </w:r>
      <m:oMath>
        <m:r>
          <w:rPr>
            <w:rFonts w:ascii="Cambria Math" w:hAnsi="Cambria Math" w:cs="Times New Roman"/>
            <w:sz w:val="24"/>
            <w:szCs w:val="24"/>
          </w:rPr>
          <m:t>β=</m:t>
        </m:r>
      </m:oMath>
      <w:r w:rsidR="00720420" w:rsidRPr="007A0FE8">
        <w:rPr>
          <w:rFonts w:ascii="Times New Roman" w:eastAsiaTheme="minorEastAsia" w:hAnsi="Times New Roman" w:cs="Times New Roman"/>
          <w:sz w:val="24"/>
          <w:szCs w:val="24"/>
        </w:rPr>
        <w:t>-4,6869</w:t>
      </w:r>
      <w:r w:rsidR="00ED7193">
        <w:rPr>
          <w:rFonts w:ascii="Times New Roman" w:eastAsiaTheme="minorEastAsia" w:hAnsi="Times New Roman" w:cs="Times New Roman"/>
          <w:sz w:val="24"/>
          <w:szCs w:val="24"/>
        </w:rPr>
        <w:t xml:space="preserve">, </w:t>
      </w:r>
      <m:oMath>
        <m:r>
          <m:rPr>
            <m:scr m:val="script"/>
          </m:rP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w:proofErr w:type="gramStart"/>
            <m:r>
              <w:rPr>
                <w:rFonts w:ascii="Cambria Math" w:hAnsi="Cambria Math" w:cs="Times New Roman"/>
                <w:sz w:val="24"/>
                <w:szCs w:val="24"/>
              </w:rPr>
              <m:t>,</m:t>
            </m:r>
            <w:proofErr w:type="gramEnd"/>
            <m:r>
              <w:rPr>
                <w:rFonts w:ascii="Cambria Math" w:hAnsi="Cambria Math" w:cs="Times New Roman"/>
                <w:sz w:val="24"/>
                <w:szCs w:val="24"/>
              </w:rPr>
              <m:t>π</m:t>
            </m:r>
          </m:e>
        </m:d>
        <m:r>
          <w:rPr>
            <w:rFonts w:ascii="Cambria Math" w:hAnsi="Cambria Math" w:cs="Times New Roman"/>
            <w:sz w:val="24"/>
            <w:szCs w:val="24"/>
          </w:rPr>
          <m:t>=</m:t>
        </m:r>
      </m:oMath>
      <w:r w:rsidR="00720420" w:rsidRPr="007A0FE8">
        <w:rPr>
          <w:rFonts w:ascii="Times New Roman" w:eastAsiaTheme="minorEastAsia" w:hAnsi="Times New Roman" w:cs="Times New Roman"/>
          <w:sz w:val="24"/>
          <w:szCs w:val="24"/>
          <w:lang w:eastAsia="pt-BR"/>
        </w:rPr>
        <w:t>43.600</w:t>
      </w:r>
      <w:r w:rsidR="00ED7193">
        <w:rPr>
          <w:rFonts w:ascii="Times New Roman" w:eastAsiaTheme="minorEastAsia" w:hAnsi="Times New Roman" w:cs="Times New Roman"/>
          <w:sz w:val="24"/>
          <w:szCs w:val="24"/>
          <w:lang w:eastAsia="pt-BR"/>
        </w:rPr>
        <w:t xml:space="preserve">, </w:t>
      </w:r>
      <m:oMath>
        <m:r>
          <m:rPr>
            <m:scr m:val="script"/>
          </m:rP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ξ,π</m:t>
            </m:r>
          </m:e>
        </m:d>
        <m:r>
          <w:rPr>
            <w:rFonts w:ascii="Cambria Math" w:hAnsi="Cambria Math" w:cs="Times New Roman"/>
            <w:sz w:val="24"/>
            <w:szCs w:val="24"/>
          </w:rPr>
          <m:t xml:space="preserve">= </m:t>
        </m:r>
      </m:oMath>
      <w:r w:rsidR="00720420" w:rsidRPr="007A0FE8">
        <w:rPr>
          <w:rFonts w:ascii="Times New Roman" w:eastAsiaTheme="minorEastAsia" w:hAnsi="Times New Roman" w:cs="Times New Roman"/>
          <w:sz w:val="24"/>
          <w:szCs w:val="24"/>
        </w:rPr>
        <w:t>-</w:t>
      </w:r>
      <w:r w:rsidR="00EB7567" w:rsidRPr="007A0FE8">
        <w:rPr>
          <w:rFonts w:ascii="Times New Roman" w:eastAsiaTheme="minorEastAsia" w:hAnsi="Times New Roman" w:cs="Times New Roman"/>
          <w:sz w:val="24"/>
          <w:szCs w:val="24"/>
        </w:rPr>
        <w:t>14</w:t>
      </w:r>
      <w:r w:rsidR="00720420" w:rsidRPr="007A0FE8">
        <w:rPr>
          <w:rFonts w:ascii="Times New Roman" w:eastAsiaTheme="minorEastAsia" w:hAnsi="Times New Roman" w:cs="Times New Roman"/>
          <w:sz w:val="24"/>
          <w:szCs w:val="24"/>
        </w:rPr>
        <w:t>.</w:t>
      </w:r>
      <w:r w:rsidR="00EB7567" w:rsidRPr="007A0FE8">
        <w:rPr>
          <w:rFonts w:ascii="Times New Roman" w:eastAsiaTheme="minorEastAsia" w:hAnsi="Times New Roman" w:cs="Times New Roman"/>
          <w:sz w:val="24"/>
          <w:szCs w:val="24"/>
        </w:rPr>
        <w:t>998</w:t>
      </w:r>
      <w:r w:rsidR="00ED7193">
        <w:rPr>
          <w:rFonts w:ascii="Times New Roman" w:eastAsiaTheme="minorEastAsia" w:hAnsi="Times New Roman" w:cs="Times New Roman"/>
          <w:sz w:val="24"/>
          <w:szCs w:val="24"/>
        </w:rPr>
        <w:t xml:space="preserve">, </w:t>
      </w:r>
      <m:oMath>
        <m:r>
          <m:rPr>
            <m:scr m:val="script"/>
          </m:rP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,ξ</m:t>
            </m:r>
          </m:e>
        </m:d>
        <m:r>
          <w:rPr>
            <w:rFonts w:ascii="Cambria Math" w:hAnsi="Cambria Math" w:cs="Times New Roman"/>
            <w:sz w:val="24"/>
            <w:szCs w:val="24"/>
          </w:rPr>
          <m:t>=</m:t>
        </m:r>
      </m:oMath>
      <w:r w:rsidR="00720420" w:rsidRPr="007A0FE8">
        <w:rPr>
          <w:rFonts w:ascii="Times New Roman" w:eastAsiaTheme="minorEastAsia" w:hAnsi="Times New Roman" w:cs="Times New Roman"/>
          <w:sz w:val="24"/>
          <w:szCs w:val="24"/>
        </w:rPr>
        <w:t>0,1162</w:t>
      </w:r>
      <w:r w:rsidR="00845B4F">
        <w:rPr>
          <w:rFonts w:ascii="Times New Roman" w:eastAsiaTheme="minorEastAsia" w:hAnsi="Times New Roman" w:cs="Times New Roman"/>
          <w:sz w:val="24"/>
          <w:szCs w:val="24"/>
        </w:rPr>
        <w:t xml:space="preserve"> e o </w:t>
      </w:r>
      <w:r w:rsidRPr="007A0FE8">
        <w:rPr>
          <w:rFonts w:ascii="Times New Roman" w:eastAsiaTheme="minorEastAsia" w:hAnsi="Times New Roman" w:cs="Times New Roman"/>
          <w:sz w:val="24"/>
          <w:szCs w:val="24"/>
        </w:rPr>
        <w:t xml:space="preserve">valor do </w:t>
      </w:r>
      <w:r w:rsidR="00D64C34" w:rsidRPr="007A0FE8">
        <w:rPr>
          <w:rFonts w:ascii="Times New Roman" w:eastAsiaTheme="minorEastAsia" w:hAnsi="Times New Roman" w:cs="Times New Roman"/>
          <w:sz w:val="24"/>
          <w:szCs w:val="24"/>
          <w:lang w:eastAsia="pt-BR"/>
        </w:rPr>
        <w:t xml:space="preserve">patrimônio líquido </w:t>
      </w:r>
      <w:r w:rsidRPr="007A0FE8">
        <w:rPr>
          <w:rFonts w:ascii="Times New Roman" w:eastAsiaTheme="minorEastAsia" w:hAnsi="Times New Roman" w:cs="Times New Roman"/>
          <w:sz w:val="24"/>
          <w:szCs w:val="24"/>
          <w:lang w:eastAsia="pt-BR"/>
        </w:rPr>
        <w:t>é:</w:t>
      </w:r>
      <w:r w:rsidR="00ED7193">
        <w:rPr>
          <w:rFonts w:ascii="Times New Roman" w:eastAsiaTheme="minorEastAsia" w:hAnsi="Times New Roman" w:cs="Times New Roman"/>
          <w:sz w:val="24"/>
          <w:szCs w:val="24"/>
          <w:lang w:eastAsia="pt-B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w:r w:rsidR="003C5DD7" w:rsidRPr="007A0FE8">
        <w:rPr>
          <w:rFonts w:ascii="Times New Roman" w:eastAsia="Times New Roman" w:hAnsi="Times New Roman" w:cs="Times New Roman"/>
          <w:color w:val="000000"/>
          <w:sz w:val="24"/>
          <w:szCs w:val="24"/>
          <w:lang w:eastAsia="pt-BR"/>
        </w:rPr>
        <w:t xml:space="preserve"> R$</w:t>
      </w:r>
      <w:r w:rsidRPr="007A0FE8">
        <w:rPr>
          <w:rFonts w:ascii="Times New Roman" w:eastAsia="Times New Roman" w:hAnsi="Times New Roman" w:cs="Times New Roman"/>
          <w:color w:val="000000"/>
          <w:sz w:val="24"/>
          <w:szCs w:val="24"/>
          <w:lang w:eastAsia="pt-BR"/>
        </w:rPr>
        <w:t xml:space="preserve"> </w:t>
      </w:r>
      <w:r w:rsidR="008C3A37" w:rsidRPr="007A0FE8">
        <w:rPr>
          <w:rFonts w:ascii="Times New Roman" w:eastAsia="Times New Roman" w:hAnsi="Times New Roman" w:cs="Times New Roman"/>
          <w:color w:val="000000"/>
          <w:sz w:val="24"/>
          <w:szCs w:val="24"/>
          <w:lang w:eastAsia="pt-BR"/>
        </w:rPr>
        <w:t>45</w:t>
      </w:r>
      <w:r w:rsidR="003C5DD7" w:rsidRPr="007A0FE8">
        <w:rPr>
          <w:rFonts w:ascii="Times New Roman" w:eastAsia="Times New Roman" w:hAnsi="Times New Roman" w:cs="Times New Roman"/>
          <w:color w:val="000000"/>
          <w:sz w:val="24"/>
          <w:szCs w:val="24"/>
          <w:lang w:eastAsia="pt-BR"/>
        </w:rPr>
        <w:t>.</w:t>
      </w:r>
      <w:r w:rsidR="008C3A37" w:rsidRPr="007A0FE8">
        <w:rPr>
          <w:rFonts w:ascii="Times New Roman" w:eastAsia="Times New Roman" w:hAnsi="Times New Roman" w:cs="Times New Roman"/>
          <w:color w:val="000000"/>
          <w:sz w:val="24"/>
          <w:szCs w:val="24"/>
          <w:lang w:eastAsia="pt-BR"/>
        </w:rPr>
        <w:t>342</w:t>
      </w:r>
      <w:r w:rsidR="003C5DD7" w:rsidRPr="007A0FE8">
        <w:rPr>
          <w:rFonts w:ascii="Times New Roman" w:eastAsia="Times New Roman" w:hAnsi="Times New Roman" w:cs="Times New Roman"/>
          <w:color w:val="000000"/>
          <w:sz w:val="24"/>
          <w:szCs w:val="24"/>
          <w:lang w:eastAsia="pt-BR"/>
        </w:rPr>
        <w:t xml:space="preserve"> bilhões</w:t>
      </w:r>
      <w:r w:rsidR="00ED7193">
        <w:rPr>
          <w:rFonts w:ascii="Times New Roman" w:eastAsia="Times New Roman" w:hAnsi="Times New Roman" w:cs="Times New Roman"/>
          <w:color w:val="000000"/>
          <w:sz w:val="24"/>
          <w:szCs w:val="24"/>
          <w:lang w:eastAsia="pt-BR"/>
        </w:rPr>
        <w:t>.</w:t>
      </w:r>
      <w:r w:rsidR="00682BEB">
        <w:rPr>
          <w:rFonts w:ascii="Times New Roman" w:eastAsia="Times New Roman" w:hAnsi="Times New Roman" w:cs="Times New Roman"/>
          <w:color w:val="000000"/>
          <w:sz w:val="24"/>
          <w:szCs w:val="24"/>
          <w:lang w:eastAsia="pt-BR"/>
        </w:rPr>
        <w:t xml:space="preserve"> </w:t>
      </w:r>
      <w:r w:rsidR="0045528E" w:rsidRPr="007A0FE8">
        <w:rPr>
          <w:rFonts w:ascii="Times New Roman" w:eastAsiaTheme="minorEastAsia" w:hAnsi="Times New Roman" w:cs="Times New Roman"/>
          <w:sz w:val="24"/>
          <w:szCs w:val="24"/>
          <w:lang w:eastAsia="pt-BR"/>
        </w:rPr>
        <w:t>O modelo assume que os depósitos (d) são segurados e que os bancos dev</w:t>
      </w:r>
      <w:r w:rsidR="008C3A37" w:rsidRPr="007A0FE8">
        <w:rPr>
          <w:rFonts w:ascii="Times New Roman" w:eastAsiaTheme="minorEastAsia" w:hAnsi="Times New Roman" w:cs="Times New Roman"/>
          <w:sz w:val="24"/>
          <w:szCs w:val="24"/>
          <w:lang w:eastAsia="pt-BR"/>
        </w:rPr>
        <w:t>em pagar um prêmio de seguro</w:t>
      </w:r>
      <w:r w:rsidR="0045528E" w:rsidRPr="007A0FE8">
        <w:rPr>
          <w:rFonts w:ascii="Times New Roman" w:eastAsiaTheme="minorEastAsia" w:hAnsi="Times New Roman" w:cs="Times New Roman"/>
          <w:sz w:val="24"/>
          <w:szCs w:val="24"/>
          <w:lang w:eastAsia="pt-BR"/>
        </w:rPr>
        <w:t>. Esse prêmio é dado por:</w:t>
      </w:r>
    </w:p>
    <w:p w:rsidR="0045528E" w:rsidRPr="007A0FE8" w:rsidRDefault="00445FF9" w:rsidP="00FF5024">
      <w:pPr>
        <w:spacing w:after="120" w:line="240" w:lineRule="auto"/>
        <w:jc w:val="right"/>
        <w:rPr>
          <w:rFonts w:ascii="Times New Roman" w:eastAsiaTheme="minorEastAsia" w:hAnsi="Times New Roman" w:cs="Times New Roman"/>
          <w:sz w:val="24"/>
          <w:szCs w:val="24"/>
          <w:lang w:eastAsia="pt-BR"/>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=max</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r-μ</m:t>
                </m:r>
              </m:den>
            </m:f>
            <m:r>
              <w:rPr>
                <w:rFonts w:ascii="Cambria Math" w:hAnsi="Cambria Math" w:cs="Times New Roman"/>
                <w:sz w:val="24"/>
                <w:szCs w:val="24"/>
              </w:rPr>
              <m:t>ξ,0</m:t>
            </m:r>
          </m:e>
        </m:d>
        <m:r>
          <m:rPr>
            <m:scr m:val="script"/>
          </m:rPr>
          <w:rPr>
            <w:rFonts w:ascii="Cambria Math" w:hAnsi="Cambria Math" w:cs="Times New Roman"/>
            <w:sz w:val="24"/>
            <w:szCs w:val="24"/>
          </w:rPr>
          <m:t xml:space="preserve"> 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,ξ</m:t>
            </m:r>
          </m:e>
        </m:d>
      </m:oMath>
      <w:r w:rsidR="0045528E" w:rsidRPr="007A0FE8">
        <w:rPr>
          <w:rFonts w:ascii="Times New Roman" w:eastAsiaTheme="minorEastAsia" w:hAnsi="Times New Roman" w:cs="Times New Roman"/>
          <w:sz w:val="24"/>
          <w:szCs w:val="24"/>
        </w:rPr>
        <w:t xml:space="preserve">                                       (10)</w:t>
      </w:r>
    </w:p>
    <w:p w:rsidR="0045528E" w:rsidRPr="007A0FE8" w:rsidRDefault="0045528E" w:rsidP="00FF5024">
      <w:pPr>
        <w:spacing w:after="120" w:line="24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*(1-τ)</m:t>
        </m:r>
      </m:oMath>
      <w:r w:rsidRPr="007A0FE8">
        <w:rPr>
          <w:rFonts w:ascii="Times New Roman" w:eastAsiaTheme="minorEastAsia" w:hAnsi="Times New Roman" w:cs="Times New Roman"/>
          <w:sz w:val="24"/>
          <w:szCs w:val="24"/>
        </w:rPr>
        <w:t xml:space="preserve">                                                      (11)</w:t>
      </w:r>
    </w:p>
    <w:p w:rsidR="00B224E8" w:rsidRPr="007A0FE8" w:rsidRDefault="00752D4B"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Onde </w:t>
      </w:r>
      <m:oMath>
        <m:r>
          <m:rPr>
            <m:sty m:val="p"/>
          </m:rPr>
          <w:rPr>
            <w:rFonts w:ascii="Cambria Math" w:eastAsiaTheme="minorEastAsia" w:hAnsi="Cambria Math" w:cs="Times New Roman"/>
            <w:sz w:val="24"/>
            <w:szCs w:val="24"/>
            <w:lang w:eastAsia="pt-BR"/>
          </w:rPr>
          <m:t>λ</m:t>
        </m:r>
      </m:oMath>
      <w:r w:rsidRPr="007A0FE8">
        <w:rPr>
          <w:rFonts w:ascii="Times New Roman" w:eastAsiaTheme="minorEastAsia" w:hAnsi="Times New Roman" w:cs="Times New Roman"/>
          <w:sz w:val="24"/>
          <w:szCs w:val="24"/>
          <w:lang w:eastAsia="pt-BR"/>
        </w:rPr>
        <w:t xml:space="preserve"> é o valor do percentual de liquidação do banco, no momento que es</w:t>
      </w:r>
      <w:r>
        <w:rPr>
          <w:rFonts w:ascii="Times New Roman" w:eastAsiaTheme="minorEastAsia" w:hAnsi="Times New Roman" w:cs="Times New Roman"/>
          <w:sz w:val="24"/>
          <w:szCs w:val="24"/>
          <w:lang w:eastAsia="pt-BR"/>
        </w:rPr>
        <w:t xml:space="preserve">te atinge o mínimo regulatório, </w:t>
      </w:r>
      <m:oMath>
        <m:r>
          <m:rPr>
            <m:sty m:val="p"/>
          </m:rPr>
          <w:rPr>
            <w:rFonts w:ascii="Cambria Math" w:eastAsiaTheme="minorEastAsia" w:hAnsi="Cambria Math" w:cs="Times New Roman"/>
            <w:sz w:val="24"/>
            <w:szCs w:val="24"/>
          </w:rPr>
          <m:t>α</m:t>
        </m:r>
      </m:oMath>
      <w:r w:rsidR="0045528E" w:rsidRPr="007A0FE8">
        <w:rPr>
          <w:rFonts w:ascii="Times New Roman" w:eastAsiaTheme="minorEastAsia" w:hAnsi="Times New Roman" w:cs="Times New Roman"/>
          <w:sz w:val="24"/>
          <w:szCs w:val="24"/>
        </w:rPr>
        <w:t xml:space="preserve"> é o custo de falência que</w:t>
      </w:r>
      <w:r w:rsidR="008C3A37" w:rsidRPr="007A0FE8">
        <w:rPr>
          <w:rFonts w:ascii="Times New Roman" w:eastAsiaTheme="minorEastAsia" w:hAnsi="Times New Roman" w:cs="Times New Roman"/>
          <w:sz w:val="24"/>
          <w:szCs w:val="24"/>
        </w:rPr>
        <w:t>,</w:t>
      </w:r>
      <w:r w:rsidR="0045528E" w:rsidRPr="007A0FE8">
        <w:rPr>
          <w:rFonts w:ascii="Times New Roman" w:eastAsiaTheme="minorEastAsia" w:hAnsi="Times New Roman" w:cs="Times New Roman"/>
          <w:sz w:val="24"/>
          <w:szCs w:val="24"/>
        </w:rPr>
        <w:t xml:space="preserve"> segundo Andrade e Kaplan (1998)</w:t>
      </w:r>
      <w:r w:rsidR="008C3A37" w:rsidRPr="007A0FE8">
        <w:rPr>
          <w:rFonts w:ascii="Times New Roman" w:eastAsiaTheme="minorEastAsia" w:hAnsi="Times New Roman" w:cs="Times New Roman"/>
          <w:sz w:val="24"/>
          <w:szCs w:val="24"/>
        </w:rPr>
        <w:t>,</w:t>
      </w:r>
      <w:r w:rsidR="0045528E" w:rsidRPr="007A0FE8">
        <w:rPr>
          <w:rFonts w:ascii="Times New Roman" w:eastAsiaTheme="minorEastAsia" w:hAnsi="Times New Roman" w:cs="Times New Roman"/>
          <w:sz w:val="24"/>
          <w:szCs w:val="24"/>
        </w:rPr>
        <w:t xml:space="preserve"> é igual a 15% do valor do banco. Assim </w:t>
      </w:r>
      <m:oMath>
        <m:r>
          <m:rPr>
            <m:sty m:val="p"/>
          </m:rPr>
          <w:rPr>
            <w:rFonts w:ascii="Cambria Math" w:eastAsiaTheme="minorEastAsia" w:hAnsi="Cambria Math" w:cs="Times New Roman"/>
            <w:sz w:val="24"/>
            <w:szCs w:val="24"/>
          </w:rPr>
          <m:t>λ=</m:t>
        </m:r>
      </m:oMath>
      <w:r w:rsidR="008C3A37" w:rsidRPr="007A0FE8">
        <w:rPr>
          <w:rFonts w:ascii="Times New Roman" w:eastAsiaTheme="minorEastAsia" w:hAnsi="Times New Roman" w:cs="Times New Roman"/>
          <w:sz w:val="24"/>
          <w:szCs w:val="24"/>
        </w:rPr>
        <w:t>0,5100</w:t>
      </w:r>
      <w:r w:rsidR="00B224E8" w:rsidRPr="007A0FE8">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sidR="008C3A37" w:rsidRPr="007A0FE8">
        <w:rPr>
          <w:rFonts w:ascii="Times New Roman" w:eastAsiaTheme="minorEastAsia" w:hAnsi="Times New Roman" w:cs="Times New Roman"/>
          <w:sz w:val="24"/>
          <w:szCs w:val="24"/>
        </w:rPr>
        <w:t>R$8.185</w:t>
      </w:r>
      <w:r w:rsidR="00E66A0E" w:rsidRPr="007A0FE8">
        <w:rPr>
          <w:rFonts w:ascii="Times New Roman" w:eastAsiaTheme="minorEastAsia" w:hAnsi="Times New Roman" w:cs="Times New Roman"/>
          <w:sz w:val="24"/>
          <w:szCs w:val="24"/>
        </w:rPr>
        <w:t xml:space="preserve"> bilhões</w:t>
      </w:r>
      <w:r w:rsidR="00906963" w:rsidRPr="007A0FE8">
        <w:rPr>
          <w:rFonts w:ascii="Times New Roman" w:eastAsiaTheme="minorEastAsia" w:hAnsi="Times New Roman" w:cs="Times New Roman"/>
          <w:sz w:val="24"/>
          <w:szCs w:val="24"/>
        </w:rPr>
        <w:t>.</w:t>
      </w:r>
      <w:r w:rsidR="00B224E8" w:rsidRPr="007A0FE8">
        <w:rPr>
          <w:rFonts w:ascii="Times New Roman" w:eastAsiaTheme="minorEastAsia" w:hAnsi="Times New Roman" w:cs="Times New Roman"/>
          <w:sz w:val="24"/>
          <w:szCs w:val="24"/>
        </w:rPr>
        <w:t xml:space="preserve"> </w:t>
      </w:r>
      <w:r w:rsidR="008C3A37" w:rsidRPr="007A0FE8">
        <w:rPr>
          <w:rFonts w:ascii="Times New Roman" w:eastAsiaTheme="minorEastAsia" w:hAnsi="Times New Roman" w:cs="Times New Roman"/>
          <w:sz w:val="24"/>
          <w:szCs w:val="24"/>
          <w:lang w:eastAsia="pt-BR"/>
        </w:rPr>
        <w:t>O</w:t>
      </w:r>
      <w:r w:rsidR="00B224E8" w:rsidRPr="007A0FE8">
        <w:rPr>
          <w:rFonts w:ascii="Times New Roman" w:eastAsiaTheme="minorEastAsia" w:hAnsi="Times New Roman" w:cs="Times New Roman"/>
          <w:sz w:val="24"/>
          <w:szCs w:val="24"/>
          <w:lang w:eastAsia="pt-BR"/>
        </w:rPr>
        <w:t xml:space="preserve"> seguro </w:t>
      </w:r>
      <w:r w:rsidR="00AF1EE8">
        <w:rPr>
          <w:rFonts w:ascii="Times New Roman" w:eastAsiaTheme="minorEastAsia" w:hAnsi="Times New Roman" w:cs="Times New Roman"/>
          <w:sz w:val="24"/>
          <w:szCs w:val="24"/>
          <w:lang w:eastAsia="pt-BR"/>
        </w:rPr>
        <w:t>faz</w:t>
      </w:r>
      <w:r w:rsidR="00B224E8" w:rsidRPr="007A0FE8">
        <w:rPr>
          <w:rFonts w:ascii="Times New Roman" w:eastAsiaTheme="minorEastAsia" w:hAnsi="Times New Roman" w:cs="Times New Roman"/>
          <w:sz w:val="24"/>
          <w:szCs w:val="24"/>
          <w:lang w:eastAsia="pt-BR"/>
        </w:rPr>
        <w:t xml:space="preserve"> os depósitos sem risco, se os depositantes descontarem os pagamentos futuros a uma taxa livre de riscos (r), o valor agregado do depósito será:</w:t>
      </w:r>
    </w:p>
    <w:p w:rsidR="00B224E8" w:rsidRPr="007A0FE8" w:rsidRDefault="00B224E8" w:rsidP="00FF5024">
      <w:pPr>
        <w:spacing w:after="120" w:line="240" w:lineRule="auto"/>
        <w:jc w:val="right"/>
        <w:rPr>
          <w:rFonts w:ascii="Times New Roman" w:eastAsiaTheme="minorEastAsia" w:hAnsi="Times New Roman" w:cs="Times New Roman"/>
          <w:sz w:val="24"/>
          <w:szCs w:val="24"/>
        </w:rPr>
      </w:pPr>
      <w:r w:rsidRPr="007A0FE8">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Dt=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d</m:t>
            </m:r>
          </m:num>
          <m:den>
            <m:r>
              <m:rPr>
                <m:sty m:val="p"/>
              </m:rPr>
              <w:rPr>
                <w:rFonts w:ascii="Cambria Math" w:eastAsiaTheme="minorEastAsia" w:hAnsi="Cambria Math" w:cs="Times New Roman"/>
                <w:sz w:val="24"/>
                <w:szCs w:val="24"/>
              </w:rPr>
              <m:t>r</m:t>
            </m:r>
          </m:den>
        </m:f>
      </m:oMath>
      <w:r w:rsidRPr="007A0FE8">
        <w:rPr>
          <w:rFonts w:ascii="Times New Roman" w:eastAsiaTheme="minorEastAsia" w:hAnsi="Times New Roman" w:cs="Times New Roman"/>
          <w:sz w:val="24"/>
          <w:szCs w:val="24"/>
        </w:rPr>
        <w:t xml:space="preserve">                                                                       (12)</w:t>
      </w:r>
    </w:p>
    <w:p w:rsidR="00B224E8" w:rsidRPr="007A0FE8" w:rsidRDefault="00B224E8" w:rsidP="00FF5024">
      <w:pPr>
        <w:spacing w:after="120" w:line="240" w:lineRule="auto"/>
        <w:jc w:val="both"/>
        <w:rPr>
          <w:rFonts w:ascii="Times New Roman" w:eastAsiaTheme="minorEastAsia" w:hAnsi="Times New Roman" w:cs="Times New Roman"/>
          <w:sz w:val="24"/>
          <w:szCs w:val="24"/>
        </w:rPr>
      </w:pPr>
      <w:r w:rsidRPr="007A0FE8">
        <w:rPr>
          <w:rFonts w:ascii="Times New Roman" w:eastAsiaTheme="minorEastAsia" w:hAnsi="Times New Roman" w:cs="Times New Roman"/>
          <w:sz w:val="24"/>
          <w:szCs w:val="24"/>
          <w:lang w:eastAsia="pt-BR"/>
        </w:rPr>
        <w:t xml:space="preserve">E o valor dos depósitos agregados do </w:t>
      </w:r>
      <w:r w:rsidRPr="007A0FE8">
        <w:rPr>
          <w:rFonts w:ascii="Times New Roman" w:eastAsiaTheme="minorEastAsia" w:hAnsi="Times New Roman" w:cs="Times New Roman"/>
          <w:sz w:val="24"/>
          <w:szCs w:val="24"/>
        </w:rPr>
        <w:t xml:space="preserve">Banco do Brasil </w:t>
      </w:r>
      <w:r w:rsidR="00466344">
        <w:rPr>
          <w:rFonts w:ascii="Times New Roman" w:eastAsiaTheme="minorEastAsia" w:hAnsi="Times New Roman" w:cs="Times New Roman"/>
          <w:sz w:val="24"/>
          <w:szCs w:val="24"/>
        </w:rPr>
        <w:t>é</w:t>
      </w:r>
      <w:r w:rsidRPr="007A0FE8">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Dt=</m:t>
        </m:r>
      </m:oMath>
      <w:r w:rsidR="008C3A37" w:rsidRPr="007A0FE8">
        <w:rPr>
          <w:rFonts w:ascii="Times New Roman" w:eastAsiaTheme="minorEastAsia" w:hAnsi="Times New Roman" w:cs="Times New Roman"/>
          <w:sz w:val="24"/>
          <w:szCs w:val="24"/>
        </w:rPr>
        <w:t>156.112</w:t>
      </w:r>
      <w:r w:rsidR="00E66A0E" w:rsidRPr="007A0FE8">
        <w:rPr>
          <w:rFonts w:ascii="Times New Roman" w:eastAsiaTheme="minorEastAsia" w:hAnsi="Times New Roman" w:cs="Times New Roman"/>
          <w:sz w:val="24"/>
          <w:szCs w:val="24"/>
        </w:rPr>
        <w:t xml:space="preserve"> bilhões</w:t>
      </w:r>
      <w:r w:rsidR="008C3A37" w:rsidRPr="007A0FE8">
        <w:rPr>
          <w:rFonts w:ascii="Times New Roman" w:eastAsiaTheme="minorEastAsia" w:hAnsi="Times New Roman" w:cs="Times New Roman"/>
          <w:sz w:val="24"/>
          <w:szCs w:val="24"/>
        </w:rPr>
        <w:t>.</w:t>
      </w:r>
    </w:p>
    <w:p w:rsidR="00835044" w:rsidRPr="007A0FE8" w:rsidRDefault="007C3599" w:rsidP="00FF5024">
      <w:pPr>
        <w:spacing w:after="12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lang w:eastAsia="pt-BR"/>
        </w:rPr>
        <w:t>Com os</w:t>
      </w:r>
      <w:r w:rsidR="006B0270" w:rsidRPr="007A0FE8">
        <w:rPr>
          <w:rFonts w:ascii="Times New Roman" w:eastAsiaTheme="minorEastAsia" w:hAnsi="Times New Roman" w:cs="Times New Roman"/>
          <w:sz w:val="24"/>
          <w:szCs w:val="24"/>
          <w:lang w:eastAsia="pt-BR"/>
        </w:rPr>
        <w:t xml:space="preserve"> parâmetros básicos</w:t>
      </w:r>
      <w:r>
        <w:rPr>
          <w:rFonts w:ascii="Times New Roman" w:eastAsiaTheme="minorEastAsia" w:hAnsi="Times New Roman" w:cs="Times New Roman"/>
          <w:sz w:val="24"/>
          <w:szCs w:val="24"/>
          <w:lang w:eastAsia="pt-BR"/>
        </w:rPr>
        <w:t xml:space="preserve"> definidos</w:t>
      </w:r>
      <w:r w:rsidR="006B0270" w:rsidRPr="007A0FE8">
        <w:rPr>
          <w:rFonts w:ascii="Times New Roman" w:eastAsiaTheme="minorEastAsia" w:hAnsi="Times New Roman" w:cs="Times New Roman"/>
          <w:sz w:val="24"/>
          <w:szCs w:val="24"/>
          <w:lang w:eastAsia="pt-BR"/>
        </w:rPr>
        <w:t>, vamos estimar a dívida ótima</w:t>
      </w:r>
      <w:r w:rsidR="00494F27">
        <w:rPr>
          <w:rFonts w:ascii="Times New Roman" w:eastAsiaTheme="minorEastAsia" w:hAnsi="Times New Roman" w:cs="Times New Roman"/>
          <w:sz w:val="24"/>
          <w:szCs w:val="24"/>
          <w:lang w:eastAsia="pt-BR"/>
        </w:rPr>
        <w:t xml:space="preserve"> do Banco do Brasil. P</w:t>
      </w:r>
      <w:r w:rsidR="00B625DB" w:rsidRPr="007A0FE8">
        <w:rPr>
          <w:rFonts w:ascii="Times New Roman" w:eastAsiaTheme="minorEastAsia" w:hAnsi="Times New Roman" w:cs="Times New Roman"/>
          <w:sz w:val="24"/>
          <w:szCs w:val="24"/>
          <w:lang w:eastAsia="pt-BR"/>
        </w:rPr>
        <w:t xml:space="preserve">ara </w:t>
      </w:r>
      <w:r>
        <w:rPr>
          <w:rFonts w:ascii="Times New Roman" w:eastAsiaTheme="minorEastAsia" w:hAnsi="Times New Roman" w:cs="Times New Roman"/>
          <w:sz w:val="24"/>
          <w:szCs w:val="24"/>
          <w:lang w:eastAsia="pt-BR"/>
        </w:rPr>
        <w:t>isso</w:t>
      </w:r>
      <w:r w:rsidR="00B625DB" w:rsidRPr="007A0FE8">
        <w:rPr>
          <w:rFonts w:ascii="Times New Roman" w:eastAsiaTheme="minorEastAsia" w:hAnsi="Times New Roman" w:cs="Times New Roman"/>
          <w:sz w:val="24"/>
          <w:szCs w:val="24"/>
          <w:lang w:eastAsia="pt-BR"/>
        </w:rPr>
        <w:t>, o</w:t>
      </w:r>
      <w:r w:rsidR="006B0270" w:rsidRPr="007A0FE8">
        <w:rPr>
          <w:rFonts w:ascii="Times New Roman" w:eastAsiaTheme="minorEastAsia" w:hAnsi="Times New Roman" w:cs="Times New Roman"/>
          <w:sz w:val="24"/>
          <w:szCs w:val="24"/>
          <w:lang w:eastAsia="pt-BR"/>
        </w:rPr>
        <w:t xml:space="preserve"> modelo de </w:t>
      </w:r>
      <w:proofErr w:type="spellStart"/>
      <w:r w:rsidR="006B0270" w:rsidRPr="007A0FE8">
        <w:rPr>
          <w:rFonts w:ascii="Times New Roman" w:hAnsi="Times New Roman" w:cs="Times New Roman"/>
          <w:sz w:val="24"/>
          <w:szCs w:val="24"/>
        </w:rPr>
        <w:t>Koziol</w:t>
      </w:r>
      <w:proofErr w:type="spellEnd"/>
      <w:r w:rsidR="006B0270" w:rsidRPr="007A0FE8">
        <w:rPr>
          <w:rFonts w:ascii="Times New Roman" w:hAnsi="Times New Roman" w:cs="Times New Roman"/>
          <w:sz w:val="24"/>
          <w:szCs w:val="24"/>
        </w:rPr>
        <w:t xml:space="preserve"> e </w:t>
      </w:r>
      <w:proofErr w:type="spellStart"/>
      <w:r w:rsidR="006B0270" w:rsidRPr="007A0FE8">
        <w:rPr>
          <w:rFonts w:ascii="Times New Roman" w:hAnsi="Times New Roman" w:cs="Times New Roman"/>
          <w:sz w:val="24"/>
          <w:szCs w:val="24"/>
        </w:rPr>
        <w:t>Lawrenz</w:t>
      </w:r>
      <w:proofErr w:type="spellEnd"/>
      <w:r w:rsidR="006B0270" w:rsidRPr="007A0FE8">
        <w:rPr>
          <w:rFonts w:ascii="Times New Roman" w:hAnsi="Times New Roman" w:cs="Times New Roman"/>
          <w:sz w:val="24"/>
          <w:szCs w:val="24"/>
        </w:rPr>
        <w:t xml:space="preserve"> (2012) assume que o</w:t>
      </w:r>
      <w:r w:rsidR="00B625DB" w:rsidRPr="007A0FE8">
        <w:rPr>
          <w:rFonts w:ascii="Times New Roman" w:hAnsi="Times New Roman" w:cs="Times New Roman"/>
          <w:sz w:val="24"/>
          <w:szCs w:val="24"/>
        </w:rPr>
        <w:t xml:space="preserve"> endividamento endógeno do </w:t>
      </w:r>
      <w:r w:rsidR="006B0270" w:rsidRPr="007A0FE8">
        <w:rPr>
          <w:rFonts w:ascii="Times New Roman" w:hAnsi="Times New Roman" w:cs="Times New Roman"/>
          <w:sz w:val="24"/>
          <w:szCs w:val="24"/>
        </w:rPr>
        <w:t xml:space="preserve">banco </w:t>
      </w:r>
      <w:r w:rsidR="00B625DB" w:rsidRPr="007A0FE8">
        <w:rPr>
          <w:rFonts w:ascii="Times New Roman" w:hAnsi="Times New Roman" w:cs="Times New Roman"/>
          <w:sz w:val="24"/>
          <w:szCs w:val="24"/>
        </w:rPr>
        <w:t xml:space="preserve">é </w:t>
      </w:r>
      <w:r w:rsidR="006B0270" w:rsidRPr="007A0FE8">
        <w:rPr>
          <w:rFonts w:ascii="Times New Roman" w:hAnsi="Times New Roman" w:cs="Times New Roman"/>
          <w:sz w:val="24"/>
          <w:szCs w:val="24"/>
        </w:rPr>
        <w:t>apenas em dívi</w:t>
      </w:r>
      <w:r w:rsidR="00B625DB" w:rsidRPr="007A0FE8">
        <w:rPr>
          <w:rFonts w:ascii="Times New Roman" w:hAnsi="Times New Roman" w:cs="Times New Roman"/>
          <w:sz w:val="24"/>
          <w:szCs w:val="24"/>
        </w:rPr>
        <w:t xml:space="preserve">das subordinadas. Uma vez estimada a dívida ótima, consideramos o valor estimado em dívidas subordinadas igual ao valor em </w:t>
      </w:r>
      <w:proofErr w:type="spellStart"/>
      <w:proofErr w:type="gramStart"/>
      <w:r w:rsidR="0099005E">
        <w:rPr>
          <w:rFonts w:ascii="Times New Roman" w:hAnsi="Times New Roman" w:cs="Times New Roman"/>
          <w:sz w:val="24"/>
          <w:szCs w:val="24"/>
        </w:rPr>
        <w:t>CoCos</w:t>
      </w:r>
      <w:proofErr w:type="spellEnd"/>
      <w:proofErr w:type="gramEnd"/>
      <w:r w:rsidR="00595016" w:rsidRPr="007A0FE8">
        <w:rPr>
          <w:rFonts w:ascii="Times New Roman" w:hAnsi="Times New Roman" w:cs="Times New Roman"/>
          <w:sz w:val="24"/>
          <w:szCs w:val="24"/>
        </w:rPr>
        <w:t xml:space="preserve"> e </w:t>
      </w:r>
      <w:r w:rsidR="00B625DB" w:rsidRPr="007A0FE8">
        <w:rPr>
          <w:rFonts w:ascii="Times New Roman" w:hAnsi="Times New Roman" w:cs="Times New Roman"/>
          <w:sz w:val="24"/>
          <w:szCs w:val="24"/>
        </w:rPr>
        <w:t>então comparamos as duas estruturas</w:t>
      </w:r>
      <w:r w:rsidR="006B0270" w:rsidRPr="007A0FE8">
        <w:rPr>
          <w:rFonts w:ascii="Times New Roman" w:hAnsi="Times New Roman" w:cs="Times New Roman"/>
          <w:sz w:val="24"/>
          <w:szCs w:val="24"/>
        </w:rPr>
        <w:t>. O Banco do Brasil</w:t>
      </w:r>
      <w:r w:rsidR="00EE69BB" w:rsidRPr="007A0FE8">
        <w:rPr>
          <w:rFonts w:ascii="Times New Roman" w:hAnsi="Times New Roman" w:cs="Times New Roman"/>
          <w:sz w:val="24"/>
          <w:szCs w:val="24"/>
        </w:rPr>
        <w:t xml:space="preserve"> possui</w:t>
      </w:r>
      <w:r w:rsidR="006B0270" w:rsidRPr="007A0FE8">
        <w:rPr>
          <w:rFonts w:ascii="Times New Roman" w:hAnsi="Times New Roman" w:cs="Times New Roman"/>
          <w:sz w:val="24"/>
          <w:szCs w:val="24"/>
        </w:rPr>
        <w:t xml:space="preserve"> parte de </w:t>
      </w:r>
      <w:r w:rsidR="006B0270" w:rsidRPr="007A0FE8">
        <w:rPr>
          <w:rFonts w:ascii="Times New Roman" w:eastAsiaTheme="minorEastAsia" w:hAnsi="Times New Roman" w:cs="Times New Roman"/>
          <w:sz w:val="24"/>
          <w:szCs w:val="24"/>
          <w:lang w:eastAsia="pt-BR"/>
        </w:rPr>
        <w:t xml:space="preserve">sua estrutura de capital em dívidas subordinadas e parte em </w:t>
      </w:r>
      <w:proofErr w:type="spellStart"/>
      <w:proofErr w:type="gramStart"/>
      <w:r w:rsidR="0099005E">
        <w:rPr>
          <w:rFonts w:ascii="Times New Roman" w:hAnsi="Times New Roman" w:cs="Times New Roman"/>
          <w:sz w:val="24"/>
          <w:szCs w:val="24"/>
        </w:rPr>
        <w:t>CoCos</w:t>
      </w:r>
      <w:proofErr w:type="spellEnd"/>
      <w:proofErr w:type="gramEnd"/>
      <w:r w:rsidR="006B0270" w:rsidRPr="007A0FE8">
        <w:rPr>
          <w:rFonts w:ascii="Times New Roman" w:hAnsi="Times New Roman" w:cs="Times New Roman"/>
          <w:sz w:val="24"/>
          <w:szCs w:val="24"/>
        </w:rPr>
        <w:t xml:space="preserve">, mas para analisar sua estrutura dentro desse modelo, vamos assumir que </w:t>
      </w:r>
      <w:r w:rsidR="00B625DB" w:rsidRPr="007A0FE8">
        <w:rPr>
          <w:rFonts w:ascii="Times New Roman" w:hAnsi="Times New Roman" w:cs="Times New Roman"/>
          <w:sz w:val="24"/>
          <w:szCs w:val="24"/>
        </w:rPr>
        <w:t xml:space="preserve">todo seu endividamento </w:t>
      </w:r>
      <w:r w:rsidR="00595016" w:rsidRPr="007A0FE8">
        <w:rPr>
          <w:rFonts w:ascii="Times New Roman" w:hAnsi="Times New Roman" w:cs="Times New Roman"/>
          <w:sz w:val="24"/>
          <w:szCs w:val="24"/>
        </w:rPr>
        <w:t>é</w:t>
      </w:r>
      <w:r w:rsidR="00835044" w:rsidRPr="007A0FE8">
        <w:rPr>
          <w:rFonts w:ascii="Times New Roman" w:hAnsi="Times New Roman" w:cs="Times New Roman"/>
          <w:sz w:val="24"/>
          <w:szCs w:val="24"/>
        </w:rPr>
        <w:t xml:space="preserve"> em dívidas subordinadas. </w:t>
      </w:r>
      <w:r w:rsidR="00F85196">
        <w:rPr>
          <w:rFonts w:ascii="Times New Roman" w:hAnsi="Times New Roman" w:cs="Times New Roman"/>
          <w:sz w:val="24"/>
          <w:szCs w:val="24"/>
        </w:rPr>
        <w:t>Neste caso, b será</w:t>
      </w:r>
      <w:r w:rsidR="00043290" w:rsidRPr="007A0FE8">
        <w:rPr>
          <w:rFonts w:ascii="Times New Roman" w:hAnsi="Times New Roman" w:cs="Times New Roman"/>
          <w:sz w:val="24"/>
          <w:szCs w:val="24"/>
        </w:rPr>
        <w:t xml:space="preserve"> a variável de escolha e </w:t>
      </w:r>
      <w:r w:rsidR="00A62A69" w:rsidRPr="007A0FE8">
        <w:rPr>
          <w:rFonts w:ascii="Times New Roman" w:hAnsi="Times New Roman" w:cs="Times New Roman"/>
          <w:sz w:val="24"/>
          <w:szCs w:val="24"/>
        </w:rPr>
        <w:t>o cupom ótimo b* é resultado da maximização do valor de todos os</w:t>
      </w:r>
      <w:r w:rsidR="00300249" w:rsidRPr="007A0FE8">
        <w:rPr>
          <w:rFonts w:ascii="Times New Roman" w:hAnsi="Times New Roman" w:cs="Times New Roman"/>
          <w:sz w:val="24"/>
          <w:szCs w:val="24"/>
        </w:rPr>
        <w:t xml:space="preserve"> créditos</w:t>
      </w:r>
      <w:r w:rsidR="00127EE7" w:rsidRPr="007A0FE8">
        <w:rPr>
          <w:rFonts w:ascii="Times New Roman" w:hAnsi="Times New Roman" w:cs="Times New Roman"/>
          <w:sz w:val="24"/>
          <w:szCs w:val="24"/>
        </w:rPr>
        <w:t>,</w:t>
      </w:r>
      <w:r w:rsidR="00300249" w:rsidRPr="007A0FE8">
        <w:rPr>
          <w:rFonts w:ascii="Times New Roman" w:hAnsi="Times New Roman" w:cs="Times New Roman"/>
          <w:sz w:val="24"/>
          <w:szCs w:val="24"/>
        </w:rPr>
        <w:t xml:space="preserve"> líquidos do seguro de depósitos</w:t>
      </w:r>
      <w:r w:rsidR="00A950EF" w:rsidRPr="007A0FE8">
        <w:rPr>
          <w:rFonts w:ascii="Times New Roman" w:hAnsi="Times New Roman" w:cs="Times New Roman"/>
          <w:sz w:val="24"/>
          <w:szCs w:val="24"/>
        </w:rPr>
        <w:t>:</w:t>
      </w:r>
    </w:p>
    <w:p w:rsidR="00300249" w:rsidRPr="007A0FE8" w:rsidRDefault="00445FF9" w:rsidP="00FF5024">
      <w:pPr>
        <w:spacing w:after="120" w:line="240" w:lineRule="auto"/>
        <w:jc w:val="right"/>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w:rPr>
                    <w:rFonts w:ascii="Cambria Math" w:eastAsiaTheme="minorEastAsia" w:hAnsi="Cambria Math" w:cs="Times New Roman"/>
                    <w:sz w:val="24"/>
                    <w:szCs w:val="24"/>
                  </w:rPr>
                  <m:t>b</m:t>
                </m:r>
              </m:lim>
            </m:limLow>
          </m:fName>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+D-I</m:t>
                </m:r>
              </m:e>
            </m:d>
          </m:e>
        </m:func>
      </m:oMath>
      <w:r w:rsidR="00300249" w:rsidRPr="007A0FE8">
        <w:rPr>
          <w:rFonts w:ascii="Times New Roman" w:eastAsiaTheme="minorEastAsia" w:hAnsi="Times New Roman" w:cs="Times New Roman"/>
          <w:sz w:val="24"/>
          <w:szCs w:val="24"/>
        </w:rPr>
        <w:t xml:space="preserve">                                                         (13)</w:t>
      </w:r>
    </w:p>
    <w:p w:rsidR="00300249" w:rsidRPr="007A0FE8" w:rsidRDefault="009B58C4" w:rsidP="00FF5024">
      <w:pPr>
        <w:spacing w:after="120" w:line="240" w:lineRule="auto"/>
        <w:jc w:val="both"/>
        <w:rPr>
          <w:rFonts w:ascii="Times New Roman" w:hAnsi="Times New Roman" w:cs="Times New Roman"/>
          <w:sz w:val="24"/>
          <w:szCs w:val="24"/>
        </w:rPr>
      </w:pPr>
      <w:r w:rsidRPr="007A0FE8">
        <w:rPr>
          <w:rFonts w:ascii="Times New Roman" w:hAnsi="Times New Roman" w:cs="Times New Roman"/>
          <w:sz w:val="24"/>
          <w:szCs w:val="24"/>
        </w:rPr>
        <w:lastRenderedPageBreak/>
        <w:t xml:space="preserve">Assim, dado que o valor do banco </w:t>
      </w:r>
      <w:r w:rsidR="00C46FF4" w:rsidRPr="007A0FE8">
        <w:rPr>
          <w:rFonts w:ascii="Times New Roman" w:hAnsi="Times New Roman" w:cs="Times New Roman"/>
          <w:sz w:val="24"/>
          <w:szCs w:val="24"/>
        </w:rPr>
        <w:t>é:</w:t>
      </w:r>
    </w:p>
    <w:p w:rsidR="00A950EF" w:rsidRPr="007A0FE8" w:rsidRDefault="00445FF9" w:rsidP="00FF5024">
      <w:pPr>
        <w:spacing w:after="120" w:line="240" w:lineRule="auto"/>
        <w:jc w:val="right"/>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00A950EF" w:rsidRPr="007A0FE8">
        <w:rPr>
          <w:rFonts w:ascii="Times New Roman" w:eastAsiaTheme="minorEastAsia" w:hAnsi="Times New Roman" w:cs="Times New Roman"/>
          <w:sz w:val="24"/>
          <w:szCs w:val="24"/>
        </w:rPr>
        <w:t xml:space="preserve">                                                                 (1</w:t>
      </w:r>
      <w:r w:rsidR="00300249" w:rsidRPr="007A0FE8">
        <w:rPr>
          <w:rFonts w:ascii="Times New Roman" w:eastAsiaTheme="minorEastAsia" w:hAnsi="Times New Roman" w:cs="Times New Roman"/>
          <w:sz w:val="24"/>
          <w:szCs w:val="24"/>
        </w:rPr>
        <w:t>4</w:t>
      </w:r>
      <w:r w:rsidR="00A950EF" w:rsidRPr="007A0FE8">
        <w:rPr>
          <w:rFonts w:ascii="Times New Roman" w:eastAsiaTheme="minorEastAsia" w:hAnsi="Times New Roman" w:cs="Times New Roman"/>
          <w:sz w:val="24"/>
          <w:szCs w:val="24"/>
        </w:rPr>
        <w:t>)</w:t>
      </w:r>
    </w:p>
    <w:p w:rsidR="00C46FF4" w:rsidRPr="007A0FE8" w:rsidRDefault="00514186" w:rsidP="00FF5024">
      <w:pPr>
        <w:spacing w:after="120" w:line="240" w:lineRule="auto"/>
        <w:jc w:val="both"/>
        <w:rPr>
          <w:rFonts w:ascii="Times New Roman" w:eastAsiaTheme="minorEastAsia" w:hAnsi="Times New Roman" w:cs="Times New Roman"/>
          <w:sz w:val="24"/>
          <w:szCs w:val="24"/>
        </w:rPr>
      </w:pPr>
      <w:r w:rsidRPr="007A0FE8">
        <w:rPr>
          <w:rFonts w:ascii="Times New Roman" w:hAnsi="Times New Roman" w:cs="Times New Roman"/>
          <w:sz w:val="24"/>
          <w:szCs w:val="24"/>
        </w:rPr>
        <w:t xml:space="preserve">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oMath>
      <w:r w:rsidRPr="007A0FE8">
        <w:rPr>
          <w:rFonts w:ascii="Times New Roman" w:eastAsiaTheme="minorEastAsia" w:hAnsi="Times New Roman" w:cs="Times New Roman"/>
          <w:sz w:val="24"/>
          <w:szCs w:val="24"/>
        </w:rPr>
        <w:t xml:space="preserve"> é o montante em dívidas subordinadas e D é o montante em depósitos. </w:t>
      </w:r>
      <w:r w:rsidRPr="007A0FE8">
        <w:rPr>
          <w:rFonts w:ascii="Times New Roman" w:hAnsi="Times New Roman" w:cs="Times New Roman"/>
          <w:sz w:val="24"/>
          <w:szCs w:val="24"/>
        </w:rPr>
        <w:t>C</w:t>
      </w:r>
      <w:r w:rsidR="00C46FF4" w:rsidRPr="007A0FE8">
        <w:rPr>
          <w:rFonts w:ascii="Times New Roman" w:hAnsi="Times New Roman" w:cs="Times New Roman"/>
          <w:sz w:val="24"/>
          <w:szCs w:val="24"/>
        </w:rPr>
        <w:t xml:space="preserve">om a restrição geral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ξ</m:t>
            </m:r>
          </m:e>
          <m:sub>
            <m:r>
              <m:rPr>
                <m:sty m:val="p"/>
              </m:rPr>
              <w:rPr>
                <w:rFonts w:ascii="Cambria Math" w:hAnsi="Cambria Math" w:cs="Times New Roman"/>
                <w:sz w:val="24"/>
                <w:szCs w:val="24"/>
              </w:rPr>
              <m:t>b</m:t>
            </m:r>
          </m:sub>
        </m:sSub>
        <m:r>
          <m:rPr>
            <m:sty m:val="p"/>
          </m:rPr>
          <w:rPr>
            <w:rFonts w:ascii="Cambria Math" w:hAnsi="Cambria Math" w:cs="Times New Roman"/>
            <w:sz w:val="24"/>
            <w:szCs w:val="24"/>
          </w:rPr>
          <m:t>=ϕ</m:t>
        </m:r>
        <m:d>
          <m:dPr>
            <m:ctrlPr>
              <w:rPr>
                <w:rFonts w:ascii="Cambria Math" w:hAnsi="Cambria Math" w:cs="Times New Roman"/>
                <w:sz w:val="24"/>
                <w:szCs w:val="24"/>
              </w:rPr>
            </m:ctrlPr>
          </m:dPr>
          <m:e>
            <m:r>
              <m:rPr>
                <m:sty m:val="p"/>
              </m:rPr>
              <w:rPr>
                <w:rFonts w:ascii="Cambria Math" w:hAnsi="Cambria Math" w:cs="Times New Roman"/>
                <w:sz w:val="24"/>
                <w:szCs w:val="24"/>
              </w:rPr>
              <m:t>d+b</m:t>
            </m:r>
          </m:e>
        </m:d>
      </m:oMath>
      <w:r w:rsidRPr="007A0FE8">
        <w:rPr>
          <w:rFonts w:ascii="Times New Roman" w:eastAsiaTheme="minorEastAsia" w:hAnsi="Times New Roman" w:cs="Times New Roman"/>
          <w:sz w:val="24"/>
          <w:szCs w:val="24"/>
        </w:rPr>
        <w:t>,</w:t>
      </w:r>
      <w:r w:rsidR="00C46FF4" w:rsidRPr="007A0FE8">
        <w:rPr>
          <w:rFonts w:ascii="Times New Roman" w:eastAsiaTheme="minorEastAsia" w:hAnsi="Times New Roman" w:cs="Times New Roman"/>
          <w:sz w:val="24"/>
          <w:szCs w:val="24"/>
        </w:rPr>
        <w:t xml:space="preserve"> a primeira derivada de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oMath>
      <w:r w:rsidR="00C46FF4" w:rsidRPr="007A0FE8">
        <w:rPr>
          <w:rFonts w:ascii="Times New Roman" w:eastAsiaTheme="minorEastAsia" w:hAnsi="Times New Roman" w:cs="Times New Roman"/>
          <w:sz w:val="24"/>
          <w:szCs w:val="24"/>
        </w:rPr>
        <w:t xml:space="preserve"> com relação </w:t>
      </w:r>
      <w:proofErr w:type="gramStart"/>
      <w:r w:rsidRPr="007A0FE8">
        <w:rPr>
          <w:rFonts w:ascii="Times New Roman" w:eastAsiaTheme="minorEastAsia" w:hAnsi="Times New Roman" w:cs="Times New Roman"/>
          <w:sz w:val="24"/>
          <w:szCs w:val="24"/>
        </w:rPr>
        <w:t>a</w:t>
      </w:r>
      <w:proofErr w:type="gramEnd"/>
      <w:r w:rsidR="00C46FF4" w:rsidRPr="007A0FE8">
        <w:rPr>
          <w:rFonts w:ascii="Times New Roman" w:eastAsiaTheme="minorEastAsia" w:hAnsi="Times New Roman" w:cs="Times New Roman"/>
          <w:sz w:val="24"/>
          <w:szCs w:val="24"/>
        </w:rPr>
        <w:t xml:space="preserve"> b é:</w:t>
      </w:r>
    </w:p>
    <w:p w:rsidR="00C46FF4" w:rsidRPr="007A0FE8" w:rsidRDefault="00445FF9" w:rsidP="00FF5024">
      <w:pPr>
        <w:spacing w:after="120" w:line="24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ζ</m:t>
            </m:r>
          </m:num>
          <m:den>
            <m:r>
              <w:rPr>
                <w:rFonts w:ascii="Cambria Math" w:eastAsiaTheme="minorEastAsia" w:hAnsi="Cambria Math" w:cs="Times New Roman"/>
                <w:sz w:val="24"/>
                <w:szCs w:val="24"/>
              </w:rPr>
              <m:t>r</m:t>
            </m:r>
          </m:den>
        </m:f>
        <m:r>
          <m:rPr>
            <m:scr m:val="script"/>
          </m:rP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b</m:t>
                </m:r>
              </m:sub>
            </m:sSub>
          </m:e>
        </m:d>
      </m:oMath>
      <w:r w:rsidR="005B5D00" w:rsidRPr="007A0FE8">
        <w:rPr>
          <w:rFonts w:ascii="Times New Roman" w:eastAsiaTheme="minorEastAsia" w:hAnsi="Times New Roman" w:cs="Times New Roman"/>
          <w:sz w:val="24"/>
          <w:szCs w:val="24"/>
        </w:rPr>
        <w:t xml:space="preserve">                                                                 (15)</w:t>
      </w:r>
    </w:p>
    <w:p w:rsidR="001D2BC7" w:rsidRPr="007A0FE8" w:rsidRDefault="001D2BC7" w:rsidP="00FF5024">
      <w:pPr>
        <w:spacing w:after="120" w:line="240" w:lineRule="auto"/>
        <w:jc w:val="both"/>
        <w:rPr>
          <w:rFonts w:ascii="Times New Roman" w:hAnsi="Times New Roman" w:cs="Times New Roman"/>
          <w:sz w:val="24"/>
          <w:szCs w:val="24"/>
        </w:rPr>
      </w:pPr>
      <w:proofErr w:type="gramStart"/>
      <w:r w:rsidRPr="007A0FE8">
        <w:rPr>
          <w:rFonts w:ascii="Times New Roman" w:hAnsi="Times New Roman" w:cs="Times New Roman"/>
          <w:sz w:val="24"/>
          <w:szCs w:val="24"/>
        </w:rPr>
        <w:t>onde</w:t>
      </w:r>
      <w:proofErr w:type="gramEnd"/>
      <w:r w:rsidRPr="007A0FE8">
        <w:rPr>
          <w:rFonts w:ascii="Times New Roman" w:hAnsi="Times New Roman" w:cs="Times New Roman"/>
          <w:sz w:val="24"/>
          <w:szCs w:val="24"/>
        </w:rPr>
        <w:t>,</w:t>
      </w:r>
    </w:p>
    <w:p w:rsidR="00A950EF" w:rsidRPr="007A0FE8" w:rsidRDefault="001D2BC7" w:rsidP="00FF5024">
      <w:pPr>
        <w:spacing w:after="120" w:line="240" w:lineRule="auto"/>
        <w:jc w:val="right"/>
        <w:rPr>
          <w:rFonts w:ascii="Times New Roman" w:hAnsi="Times New Roman" w:cs="Times New Roman"/>
          <w:sz w:val="24"/>
          <w:szCs w:val="24"/>
        </w:rPr>
      </w:pPr>
      <w:r w:rsidRPr="007A0FE8">
        <w:rPr>
          <w:rFonts w:ascii="Times New Roman" w:hAnsi="Times New Roman" w:cs="Times New Roman"/>
          <w:sz w:val="24"/>
          <w:szCs w:val="24"/>
        </w:rPr>
        <w:t xml:space="preserve"> </w:t>
      </w:r>
      <m:oMath>
        <m:r>
          <w:rPr>
            <w:rFonts w:ascii="Cambria Math" w:hAnsi="Cambria Math" w:cs="Times New Roman"/>
            <w:sz w:val="24"/>
            <w:szCs w:val="24"/>
          </w:rPr>
          <m:t>ζ=</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1-β</m:t>
                </m:r>
              </m:e>
            </m:d>
            <m:d>
              <m:dPr>
                <m:ctrlPr>
                  <w:rPr>
                    <w:rFonts w:ascii="Cambria Math" w:hAnsi="Cambria Math" w:cs="Times New Roman"/>
                    <w:i/>
                    <w:sz w:val="24"/>
                    <w:szCs w:val="24"/>
                  </w:rPr>
                </m:ctrlPr>
              </m:dPr>
              <m:e>
                <m:r>
                  <w:rPr>
                    <w:rFonts w:ascii="Cambria Math" w:hAnsi="Cambria Math" w:cs="Times New Roman"/>
                    <w:sz w:val="24"/>
                    <w:szCs w:val="24"/>
                  </w:rPr>
                  <m:t>r-μ</m:t>
                </m:r>
              </m:e>
            </m:d>
            <m:r>
              <w:rPr>
                <w:rFonts w:ascii="Cambria Math" w:hAnsi="Cambria Math" w:cs="Times New Roman"/>
                <w:sz w:val="24"/>
                <w:szCs w:val="24"/>
              </w:rPr>
              <m:t>τ+ϕr(</m:t>
            </m:r>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-λ)</m:t>
            </m:r>
          </m:num>
          <m:den>
            <m:r>
              <w:rPr>
                <w:rFonts w:ascii="Cambria Math" w:hAnsi="Cambria Math" w:cs="Times New Roman"/>
                <w:sz w:val="24"/>
                <w:szCs w:val="24"/>
              </w:rPr>
              <m:t>r-μ</m:t>
            </m:r>
          </m:den>
        </m:f>
      </m:oMath>
      <w:r w:rsidRPr="007A0FE8">
        <w:rPr>
          <w:rFonts w:ascii="Times New Roman" w:eastAsiaTheme="minorEastAsia" w:hAnsi="Times New Roman" w:cs="Times New Roman"/>
          <w:sz w:val="24"/>
          <w:szCs w:val="24"/>
        </w:rPr>
        <w:t xml:space="preserve">                                                 (16)</w:t>
      </w:r>
    </w:p>
    <w:p w:rsidR="00A34F12" w:rsidRPr="007A0FE8" w:rsidRDefault="00A34F12"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Resolvendo a condição de primeira ordem temos a dívida ótima:</w:t>
      </w:r>
    </w:p>
    <w:p w:rsidR="00A34F12" w:rsidRPr="007A0FE8" w:rsidRDefault="00445FF9" w:rsidP="00FF5024">
      <w:pPr>
        <w:spacing w:after="120" w:line="240" w:lineRule="auto"/>
        <w:jc w:val="right"/>
        <w:rPr>
          <w:rFonts w:ascii="Times New Roman" w:eastAsiaTheme="minorEastAsia" w:hAnsi="Times New Roman" w:cs="Times New Roman"/>
          <w:sz w:val="24"/>
          <w:szCs w:val="24"/>
          <w:lang w:eastAsia="pt-BR"/>
        </w:rPr>
      </w:pPr>
      <m:oMath>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b</m:t>
            </m:r>
          </m:e>
          <m:sup>
            <m:r>
              <w:rPr>
                <w:rFonts w:ascii="Cambria Math" w:eastAsiaTheme="minorEastAsia" w:hAnsi="Cambria Math" w:cs="Times New Roman"/>
                <w:sz w:val="24"/>
                <w:szCs w:val="24"/>
                <w:lang w:eastAsia="pt-BR"/>
              </w:rPr>
              <m:t>*</m:t>
            </m:r>
          </m:sup>
        </m:sSup>
        <m:r>
          <w:rPr>
            <w:rFonts w:ascii="Cambria Math" w:eastAsiaTheme="minorEastAsia" w:hAnsi="Cambria Math" w:cs="Times New Roman"/>
            <w:sz w:val="24"/>
            <w:szCs w:val="24"/>
            <w:lang w:eastAsia="pt-BR"/>
          </w:rPr>
          <m:t>=</m:t>
        </m:r>
        <m:f>
          <m:fPr>
            <m:ctrlPr>
              <w:rPr>
                <w:rFonts w:ascii="Cambria Math" w:eastAsiaTheme="minorEastAsia" w:hAnsi="Cambria Math" w:cs="Times New Roman"/>
                <w:i/>
                <w:sz w:val="24"/>
                <w:szCs w:val="24"/>
                <w:lang w:eastAsia="pt-BR"/>
              </w:rPr>
            </m:ctrlPr>
          </m:fPr>
          <m:num>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t</m:t>
                </m:r>
              </m:sub>
            </m:sSub>
          </m:num>
          <m:den>
            <m:r>
              <w:rPr>
                <w:rFonts w:ascii="Cambria Math" w:eastAsiaTheme="minorEastAsia" w:hAnsi="Cambria Math" w:cs="Times New Roman"/>
                <w:sz w:val="24"/>
                <w:szCs w:val="24"/>
                <w:lang w:eastAsia="pt-BR"/>
              </w:rPr>
              <m:t>ϕ</m:t>
            </m:r>
          </m:den>
        </m:f>
        <m:sSup>
          <m:sSupPr>
            <m:ctrlPr>
              <w:rPr>
                <w:rFonts w:ascii="Cambria Math" w:eastAsiaTheme="minorEastAsia" w:hAnsi="Cambria Math" w:cs="Times New Roman"/>
                <w:i/>
                <w:sz w:val="24"/>
                <w:szCs w:val="24"/>
                <w:lang w:eastAsia="pt-BR"/>
              </w:rPr>
            </m:ctrlPr>
          </m:sSupPr>
          <m:e>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τ</m:t>
                    </m:r>
                  </m:num>
                  <m:den>
                    <m:r>
                      <w:rPr>
                        <w:rFonts w:ascii="Cambria Math" w:eastAsiaTheme="minorEastAsia" w:hAnsi="Cambria Math" w:cs="Times New Roman"/>
                        <w:sz w:val="24"/>
                        <w:szCs w:val="24"/>
                        <w:lang w:eastAsia="pt-BR"/>
                      </w:rPr>
                      <m:t>ζ</m:t>
                    </m:r>
                  </m:den>
                </m:f>
              </m:e>
            </m:d>
          </m:e>
          <m:sup>
            <m:r>
              <w:rPr>
                <w:rFonts w:ascii="Cambria Math" w:eastAsiaTheme="minorEastAsia" w:hAnsi="Cambria Math" w:cs="Times New Roman"/>
                <w:sz w:val="24"/>
                <w:szCs w:val="24"/>
                <w:lang w:eastAsia="pt-BR"/>
              </w:rPr>
              <m:t>β</m:t>
            </m:r>
          </m:sup>
        </m:sSup>
        <m:r>
          <w:rPr>
            <w:rFonts w:ascii="Cambria Math" w:eastAsiaTheme="minorEastAsia" w:hAnsi="Cambria Math" w:cs="Times New Roman"/>
            <w:sz w:val="24"/>
            <w:szCs w:val="24"/>
            <w:lang w:eastAsia="pt-BR"/>
          </w:rPr>
          <m:t>-d</m:t>
        </m:r>
      </m:oMath>
      <w:r w:rsidR="00A34F12" w:rsidRPr="007A0FE8">
        <w:rPr>
          <w:rFonts w:ascii="Times New Roman" w:eastAsiaTheme="minorEastAsia" w:hAnsi="Times New Roman" w:cs="Times New Roman"/>
          <w:sz w:val="24"/>
          <w:szCs w:val="24"/>
          <w:lang w:eastAsia="pt-BR"/>
        </w:rPr>
        <w:t xml:space="preserve">                                                        (17)</w:t>
      </w:r>
    </w:p>
    <w:p w:rsidR="00A37739" w:rsidRPr="007A0FE8" w:rsidRDefault="00A34F12"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Para o Banco do Brasil</w:t>
      </w:r>
      <w:r w:rsidR="00514186" w:rsidRPr="007A0FE8">
        <w:rPr>
          <w:rFonts w:ascii="Times New Roman" w:eastAsiaTheme="minorEastAsia" w:hAnsi="Times New Roman" w:cs="Times New Roman"/>
          <w:sz w:val="24"/>
          <w:szCs w:val="24"/>
          <w:lang w:eastAsia="pt-BR"/>
        </w:rPr>
        <w:t xml:space="preserve">, consideramos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=B+C</m:t>
        </m:r>
      </m:oMath>
      <w:r w:rsidR="00514186" w:rsidRPr="007A0FE8">
        <w:rPr>
          <w:rFonts w:ascii="Times New Roman" w:eastAsiaTheme="minorEastAsia" w:hAnsi="Times New Roman" w:cs="Times New Roman"/>
          <w:sz w:val="24"/>
          <w:szCs w:val="24"/>
        </w:rPr>
        <w:t xml:space="preserve">, onde </w:t>
      </w:r>
      <m:oMath>
        <m:r>
          <w:rPr>
            <w:rFonts w:ascii="Cambria Math" w:eastAsiaTheme="minorEastAsia" w:hAnsi="Cambria Math" w:cs="Times New Roman"/>
            <w:sz w:val="24"/>
            <w:szCs w:val="24"/>
          </w:rPr>
          <m:t>C</m:t>
        </m:r>
      </m:oMath>
      <w:r w:rsidR="00514186" w:rsidRPr="007A0FE8">
        <w:rPr>
          <w:rFonts w:ascii="Times New Roman" w:eastAsiaTheme="minorEastAsia" w:hAnsi="Times New Roman" w:cs="Times New Roman"/>
          <w:sz w:val="24"/>
          <w:szCs w:val="24"/>
        </w:rPr>
        <w:t xml:space="preserve"> é o montante em </w:t>
      </w:r>
      <w:proofErr w:type="spellStart"/>
      <w:proofErr w:type="gramStart"/>
      <w:r w:rsidR="0099005E">
        <w:rPr>
          <w:rFonts w:ascii="Times New Roman" w:eastAsiaTheme="minorEastAsia" w:hAnsi="Times New Roman" w:cs="Times New Roman"/>
          <w:sz w:val="24"/>
          <w:szCs w:val="24"/>
        </w:rPr>
        <w:t>CoCos</w:t>
      </w:r>
      <w:proofErr w:type="spellEnd"/>
      <w:proofErr w:type="gramEnd"/>
      <w:r w:rsidR="00514186" w:rsidRPr="007A0FE8">
        <w:rPr>
          <w:rFonts w:ascii="Times New Roman" w:eastAsiaTheme="minorEastAsia" w:hAnsi="Times New Roman" w:cs="Times New Roman"/>
          <w:sz w:val="24"/>
          <w:szCs w:val="24"/>
        </w:rPr>
        <w:t xml:space="preserve">. Com isso, </w:t>
      </w:r>
      <w:r w:rsidRPr="007A0FE8">
        <w:rPr>
          <w:rFonts w:ascii="Times New Roman" w:eastAsiaTheme="minorEastAsia" w:hAnsi="Times New Roman" w:cs="Times New Roman"/>
          <w:sz w:val="24"/>
          <w:szCs w:val="24"/>
          <w:lang w:eastAsia="pt-BR"/>
        </w:rPr>
        <w:t>temos os seguintes valores:</w:t>
      </w:r>
      <w:r w:rsidR="007A21B7">
        <w:rPr>
          <w:rFonts w:ascii="Times New Roman" w:eastAsiaTheme="minorEastAsia" w:hAnsi="Times New Roman" w:cs="Times New Roman"/>
          <w:sz w:val="24"/>
          <w:szCs w:val="24"/>
          <w:lang w:eastAsia="pt-BR"/>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oMath>
      <w:r w:rsidR="00514186" w:rsidRPr="007A0FE8">
        <w:rPr>
          <w:rFonts w:ascii="Times New Roman" w:eastAsiaTheme="minorEastAsia" w:hAnsi="Times New Roman" w:cs="Times New Roman"/>
          <w:sz w:val="24"/>
          <w:szCs w:val="24"/>
        </w:rPr>
        <w:t xml:space="preserve"> R$ 225.788 </w:t>
      </w:r>
      <w:r w:rsidR="00E66A0E" w:rsidRPr="007A0FE8">
        <w:rPr>
          <w:rFonts w:ascii="Times New Roman" w:eastAsiaTheme="minorEastAsia" w:hAnsi="Times New Roman" w:cs="Times New Roman"/>
          <w:sz w:val="24"/>
          <w:szCs w:val="24"/>
        </w:rPr>
        <w:t>bilhões</w:t>
      </w:r>
      <w:r w:rsidR="007A21B7">
        <w:rPr>
          <w:rFonts w:ascii="Times New Roman" w:eastAsiaTheme="minorEastAsia" w:hAnsi="Times New Roman" w:cs="Times New Roman"/>
          <w:sz w:val="24"/>
          <w:szCs w:val="24"/>
        </w:rPr>
        <w:t xml:space="preserve">, </w:t>
      </w:r>
      <m:oMath>
        <m:r>
          <w:rPr>
            <w:rFonts w:ascii="Cambria Math" w:hAnsi="Cambria Math" w:cs="Times New Roman"/>
            <w:sz w:val="24"/>
            <w:szCs w:val="24"/>
          </w:rPr>
          <m:t>ζ=</m:t>
        </m:r>
      </m:oMath>
      <w:r w:rsidR="00514186" w:rsidRPr="007A0FE8">
        <w:rPr>
          <w:rFonts w:ascii="Times New Roman" w:eastAsiaTheme="minorEastAsia" w:hAnsi="Times New Roman" w:cs="Times New Roman"/>
          <w:i/>
          <w:sz w:val="24"/>
          <w:szCs w:val="24"/>
        </w:rPr>
        <w:t>2,3561</w:t>
      </w:r>
      <w:r w:rsidR="007A21B7">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m:t>
        </m:r>
      </m:oMath>
      <w:r w:rsidR="008777BD" w:rsidRPr="007A0FE8">
        <w:rPr>
          <w:rFonts w:ascii="Times New Roman" w:eastAsiaTheme="minorEastAsia" w:hAnsi="Times New Roman" w:cs="Times New Roman"/>
          <w:sz w:val="24"/>
          <w:szCs w:val="24"/>
        </w:rPr>
        <w:t xml:space="preserve"> 1,2130</w:t>
      </w:r>
      <w:r w:rsidR="007A21B7">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b</m:t>
            </m:r>
          </m:e>
          <m:sup>
            <m:r>
              <w:rPr>
                <w:rFonts w:ascii="Cambria Math" w:eastAsiaTheme="minorEastAsia" w:hAnsi="Cambria Math" w:cs="Times New Roman"/>
                <w:sz w:val="24"/>
                <w:szCs w:val="24"/>
                <w:lang w:eastAsia="pt-BR"/>
              </w:rPr>
              <m:t>*</m:t>
            </m:r>
          </m:sup>
        </m:sSup>
        <m:r>
          <w:rPr>
            <w:rFonts w:ascii="Cambria Math" w:eastAsiaTheme="minorEastAsia" w:hAnsi="Cambria Math" w:cs="Times New Roman"/>
            <w:sz w:val="24"/>
            <w:szCs w:val="24"/>
            <w:lang w:eastAsia="pt-BR"/>
          </w:rPr>
          <m:t>=</m:t>
        </m:r>
      </m:oMath>
      <w:r w:rsidR="008777BD" w:rsidRPr="007A0FE8">
        <w:rPr>
          <w:rFonts w:ascii="Times New Roman" w:eastAsiaTheme="minorEastAsia" w:hAnsi="Times New Roman" w:cs="Times New Roman"/>
          <w:sz w:val="24"/>
          <w:szCs w:val="24"/>
          <w:lang w:eastAsia="pt-BR"/>
        </w:rPr>
        <w:t xml:space="preserve"> R$5.524</w:t>
      </w:r>
      <w:r w:rsidR="00E66A0E" w:rsidRPr="007A0FE8">
        <w:rPr>
          <w:rFonts w:ascii="Times New Roman" w:eastAsiaTheme="minorEastAsia" w:hAnsi="Times New Roman" w:cs="Times New Roman"/>
          <w:sz w:val="24"/>
          <w:szCs w:val="24"/>
          <w:lang w:eastAsia="pt-BR"/>
        </w:rPr>
        <w:t xml:space="preserve"> bilhões</w:t>
      </w:r>
      <w:r w:rsidR="007A21B7">
        <w:rPr>
          <w:rFonts w:ascii="Times New Roman" w:eastAsiaTheme="minorEastAsia" w:hAnsi="Times New Roman" w:cs="Times New Roman"/>
          <w:sz w:val="24"/>
          <w:szCs w:val="24"/>
          <w:lang w:eastAsia="pt-BR"/>
        </w:rPr>
        <w:t>.</w:t>
      </w:r>
      <w:r w:rsidR="0037373A">
        <w:rPr>
          <w:rFonts w:ascii="Times New Roman" w:eastAsiaTheme="minorEastAsia" w:hAnsi="Times New Roman" w:cs="Times New Roman"/>
          <w:sz w:val="24"/>
          <w:szCs w:val="24"/>
          <w:lang w:eastAsia="pt-BR"/>
        </w:rPr>
        <w:t xml:space="preserve"> </w:t>
      </w:r>
      <w:r w:rsidR="008777BD" w:rsidRPr="007A0FE8">
        <w:rPr>
          <w:rFonts w:ascii="Times New Roman" w:eastAsiaTheme="minorEastAsia" w:hAnsi="Times New Roman" w:cs="Times New Roman"/>
          <w:sz w:val="24"/>
          <w:szCs w:val="24"/>
          <w:lang w:eastAsia="pt-BR"/>
        </w:rPr>
        <w:t>Para calcular</w:t>
      </w:r>
      <w:r w:rsidR="00653310" w:rsidRPr="007A0FE8">
        <w:rPr>
          <w:rFonts w:ascii="Times New Roman" w:eastAsiaTheme="minorEastAsia" w:hAnsi="Times New Roman" w:cs="Times New Roman"/>
          <w:sz w:val="24"/>
          <w:szCs w:val="24"/>
          <w:lang w:eastAsia="pt-BR"/>
        </w:rPr>
        <w:t xml:space="preserve"> </w:t>
      </w:r>
      <w:r w:rsidR="007C4EE9" w:rsidRPr="007A0FE8">
        <w:rPr>
          <w:rFonts w:ascii="Times New Roman" w:eastAsiaTheme="minorEastAsia" w:hAnsi="Times New Roman" w:cs="Times New Roman"/>
          <w:sz w:val="24"/>
          <w:szCs w:val="24"/>
          <w:lang w:eastAsia="pt-BR"/>
        </w:rPr>
        <w:t xml:space="preserve">o novo </w:t>
      </w:r>
      <w:r w:rsidR="008777BD" w:rsidRPr="007A0FE8">
        <w:rPr>
          <w:rFonts w:ascii="Times New Roman" w:eastAsiaTheme="minorEastAsia" w:hAnsi="Times New Roman" w:cs="Times New Roman"/>
          <w:sz w:val="24"/>
          <w:szCs w:val="24"/>
          <w:lang w:eastAsia="pt-BR"/>
        </w:rPr>
        <w:t xml:space="preserve">montante de dívidas subordinadas </w:t>
      </w:r>
      <m:oMath>
        <m:sSub>
          <m:sSubPr>
            <m:ctrlPr>
              <w:rPr>
                <w:rFonts w:ascii="Cambria Math" w:hAnsi="Cambria Math" w:cs="Times New Roman"/>
                <w:i/>
                <w:sz w:val="24"/>
                <w:szCs w:val="24"/>
              </w:rPr>
            </m:ctrlPr>
          </m:sSubPr>
          <m:e>
            <w:proofErr w:type="gramStart"/>
            <m:r>
              <w:rPr>
                <w:rFonts w:ascii="Cambria Math" w:hAnsi="Cambria Math" w:cs="Times New Roman"/>
                <w:sz w:val="24"/>
                <w:szCs w:val="24"/>
              </w:rPr>
              <m:t>(</m:t>
            </m:r>
            <w:proofErr w:type="gramEnd"/>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m:t>
        </m:r>
      </m:oMath>
      <w:r w:rsidR="008777BD" w:rsidRPr="007A0FE8">
        <w:rPr>
          <w:rFonts w:ascii="Times New Roman" w:eastAsiaTheme="minorEastAsia" w:hAnsi="Times New Roman" w:cs="Times New Roman"/>
          <w:sz w:val="24"/>
          <w:szCs w:val="24"/>
        </w:rPr>
        <w:t xml:space="preserve">, </w:t>
      </w:r>
    </w:p>
    <w:p w:rsidR="00D85771" w:rsidRPr="007A0FE8" w:rsidRDefault="00445FF9" w:rsidP="00FF5024">
      <w:pPr>
        <w:spacing w:after="12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r</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θλ</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r</m:t>
                </m:r>
              </m:den>
            </m:f>
          </m:e>
        </m:d>
        <m:r>
          <m:rPr>
            <m:scr m:val="script"/>
          </m:rP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b</m:t>
                </m:r>
              </m:sub>
            </m:sSub>
          </m:e>
        </m:d>
      </m:oMath>
      <w:r w:rsidR="00D85771" w:rsidRPr="007A0FE8">
        <w:rPr>
          <w:rFonts w:ascii="Times New Roman" w:eastAsiaTheme="minorEastAsia" w:hAnsi="Times New Roman" w:cs="Times New Roman"/>
          <w:sz w:val="24"/>
          <w:szCs w:val="24"/>
        </w:rPr>
        <w:t xml:space="preserve">                                                  (18)</w:t>
      </w:r>
    </w:p>
    <w:p w:rsidR="00653310" w:rsidRPr="007A0FE8" w:rsidRDefault="008777BD" w:rsidP="007A21B7">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Correspondente aos cupons de dívida ótima b*, </w:t>
      </w:r>
      <w:r w:rsidR="00466344">
        <w:rPr>
          <w:rFonts w:ascii="Times New Roman" w:eastAsiaTheme="minorEastAsia" w:hAnsi="Times New Roman" w:cs="Times New Roman"/>
          <w:sz w:val="24"/>
          <w:szCs w:val="24"/>
          <w:lang w:eastAsia="pt-BR"/>
        </w:rPr>
        <w:t>vamos</w:t>
      </w:r>
      <w:r w:rsidRPr="007A0FE8">
        <w:rPr>
          <w:rFonts w:ascii="Times New Roman" w:eastAsiaTheme="minorEastAsia" w:hAnsi="Times New Roman" w:cs="Times New Roman"/>
          <w:sz w:val="24"/>
          <w:szCs w:val="24"/>
          <w:lang w:eastAsia="pt-BR"/>
        </w:rPr>
        <w:t xml:space="preserve"> definir </w:t>
      </w:r>
      <m:oMath>
        <m:r>
          <m:rPr>
            <m:sty m:val="p"/>
          </m:rPr>
          <w:rPr>
            <w:rFonts w:ascii="Cambria Math" w:eastAsiaTheme="minorEastAsia" w:hAnsi="Cambria Math" w:cs="Times New Roman"/>
            <w:sz w:val="24"/>
            <w:szCs w:val="24"/>
            <w:lang w:eastAsia="pt-BR"/>
          </w:rPr>
          <m:t>θ</m:t>
        </m:r>
      </m:oMath>
      <w:r w:rsidRPr="007A0FE8">
        <w:rPr>
          <w:rFonts w:ascii="Times New Roman" w:eastAsiaTheme="minorEastAsia" w:hAnsi="Times New Roman" w:cs="Times New Roman"/>
          <w:sz w:val="24"/>
          <w:szCs w:val="24"/>
          <w:lang w:eastAsia="pt-BR"/>
        </w:rPr>
        <w:t xml:space="preserve">, que </w:t>
      </w:r>
      <w:r w:rsidR="00DA6F7C" w:rsidRPr="007A0FE8">
        <w:rPr>
          <w:rFonts w:ascii="Times New Roman" w:eastAsiaTheme="minorEastAsia" w:hAnsi="Times New Roman" w:cs="Times New Roman"/>
          <w:sz w:val="24"/>
          <w:szCs w:val="24"/>
          <w:lang w:eastAsia="pt-BR"/>
        </w:rPr>
        <w:t>é a fração do valor de l</w:t>
      </w:r>
      <w:r w:rsidR="009F3B37" w:rsidRPr="007A0FE8">
        <w:rPr>
          <w:rFonts w:ascii="Times New Roman" w:eastAsiaTheme="minorEastAsia" w:hAnsi="Times New Roman" w:cs="Times New Roman"/>
          <w:sz w:val="24"/>
          <w:szCs w:val="24"/>
          <w:lang w:eastAsia="pt-BR"/>
        </w:rPr>
        <w:t>iquidação do banco</w:t>
      </w:r>
      <w:r w:rsidR="00DA6F7C" w:rsidRPr="007A0FE8">
        <w:rPr>
          <w:rFonts w:ascii="Times New Roman" w:eastAsiaTheme="minorEastAsia" w:hAnsi="Times New Roman" w:cs="Times New Roman"/>
          <w:sz w:val="24"/>
          <w:szCs w:val="24"/>
          <w:lang w:eastAsia="pt-BR"/>
        </w:rPr>
        <w:t xml:space="preserve"> que vai para os acionistas.</w:t>
      </w:r>
      <w:r w:rsidR="007C4EE9" w:rsidRPr="007A0FE8">
        <w:rPr>
          <w:rFonts w:ascii="Times New Roman" w:eastAsiaTheme="minorEastAsia" w:hAnsi="Times New Roman" w:cs="Times New Roman"/>
          <w:sz w:val="24"/>
          <w:szCs w:val="24"/>
          <w:lang w:eastAsia="pt-BR"/>
        </w:rPr>
        <w:t xml:space="preserve"> </w:t>
      </w:r>
      <w:r w:rsidR="00DA6F7C" w:rsidRPr="007A0FE8">
        <w:rPr>
          <w:rFonts w:ascii="Times New Roman" w:eastAsiaTheme="minorEastAsia" w:hAnsi="Times New Roman" w:cs="Times New Roman"/>
          <w:sz w:val="24"/>
          <w:szCs w:val="24"/>
          <w:lang w:eastAsia="pt-BR"/>
        </w:rPr>
        <w:t>C</w:t>
      </w:r>
      <w:r w:rsidR="009B0CF9" w:rsidRPr="007A0FE8">
        <w:rPr>
          <w:rFonts w:ascii="Times New Roman" w:eastAsiaTheme="minorEastAsia" w:hAnsi="Times New Roman" w:cs="Times New Roman"/>
          <w:sz w:val="24"/>
          <w:szCs w:val="24"/>
          <w:lang w:eastAsia="pt-BR"/>
        </w:rPr>
        <w:t>onsideramos</w:t>
      </w:r>
      <w:r w:rsidR="00DA6F7C" w:rsidRPr="007A0FE8">
        <w:rPr>
          <w:rFonts w:ascii="Times New Roman" w:eastAsiaTheme="minorEastAsia" w:hAnsi="Times New Roman" w:cs="Times New Roman"/>
          <w:sz w:val="24"/>
          <w:szCs w:val="24"/>
          <w:lang w:eastAsia="pt-BR"/>
        </w:rPr>
        <w:t xml:space="preserve"> essa fração </w:t>
      </w:r>
      <w:r w:rsidR="009F3B37" w:rsidRPr="007A0FE8">
        <w:rPr>
          <w:rFonts w:ascii="Times New Roman" w:eastAsiaTheme="minorEastAsia" w:hAnsi="Times New Roman" w:cs="Times New Roman"/>
          <w:sz w:val="24"/>
          <w:szCs w:val="24"/>
          <w:lang w:eastAsia="pt-BR"/>
        </w:rPr>
        <w:t>constante</w:t>
      </w:r>
      <w:r w:rsidR="00DA6F7C" w:rsidRPr="007A0FE8">
        <w:rPr>
          <w:rFonts w:ascii="Times New Roman" w:eastAsiaTheme="minorEastAsia" w:hAnsi="Times New Roman" w:cs="Times New Roman"/>
          <w:sz w:val="24"/>
          <w:szCs w:val="24"/>
          <w:lang w:eastAsia="pt-BR"/>
        </w:rPr>
        <w:t xml:space="preserve"> e segundo </w:t>
      </w:r>
      <w:proofErr w:type="spellStart"/>
      <w:r w:rsidR="00DA6F7C" w:rsidRPr="007A0FE8">
        <w:rPr>
          <w:rFonts w:ascii="Times New Roman" w:eastAsiaTheme="minorEastAsia" w:hAnsi="Times New Roman" w:cs="Times New Roman"/>
          <w:sz w:val="24"/>
          <w:szCs w:val="24"/>
          <w:lang w:eastAsia="pt-BR"/>
        </w:rPr>
        <w:t>Bulow</w:t>
      </w:r>
      <w:proofErr w:type="spellEnd"/>
      <w:r w:rsidR="00DA6F7C" w:rsidRPr="007A0FE8">
        <w:rPr>
          <w:rFonts w:ascii="Times New Roman" w:eastAsiaTheme="minorEastAsia" w:hAnsi="Times New Roman" w:cs="Times New Roman"/>
          <w:sz w:val="24"/>
          <w:szCs w:val="24"/>
          <w:lang w:eastAsia="pt-BR"/>
        </w:rPr>
        <w:t xml:space="preserve"> e </w:t>
      </w:r>
      <w:proofErr w:type="spellStart"/>
      <w:r w:rsidR="00DA6F7C" w:rsidRPr="007A0FE8">
        <w:rPr>
          <w:rFonts w:ascii="Times New Roman" w:eastAsiaTheme="minorEastAsia" w:hAnsi="Times New Roman" w:cs="Times New Roman"/>
          <w:sz w:val="24"/>
          <w:szCs w:val="24"/>
          <w:lang w:eastAsia="pt-BR"/>
        </w:rPr>
        <w:t>Shoven</w:t>
      </w:r>
      <w:proofErr w:type="spellEnd"/>
      <w:r w:rsidR="00DA6F7C" w:rsidRPr="007A0FE8">
        <w:rPr>
          <w:rFonts w:ascii="Times New Roman" w:eastAsiaTheme="minorEastAsia" w:hAnsi="Times New Roman" w:cs="Times New Roman"/>
          <w:sz w:val="24"/>
          <w:szCs w:val="24"/>
          <w:lang w:eastAsia="pt-BR"/>
        </w:rPr>
        <w:t xml:space="preserve"> (1978), ela é igual a 4/5 do total de ativos do banco, ou seja, </w:t>
      </w:r>
      <m:oMath>
        <m:r>
          <m:rPr>
            <m:sty m:val="p"/>
          </m:rPr>
          <w:rPr>
            <w:rFonts w:ascii="Cambria Math" w:eastAsiaTheme="minorEastAsia" w:hAnsi="Cambria Math" w:cs="Times New Roman"/>
            <w:sz w:val="24"/>
            <w:szCs w:val="24"/>
            <w:lang w:eastAsia="pt-BR"/>
          </w:rPr>
          <m:t>θ=</m:t>
        </m:r>
      </m:oMath>
      <w:r w:rsidR="008662A1" w:rsidRPr="007A0FE8">
        <w:rPr>
          <w:rFonts w:ascii="Times New Roman" w:eastAsiaTheme="minorEastAsia" w:hAnsi="Times New Roman" w:cs="Times New Roman"/>
          <w:sz w:val="24"/>
          <w:szCs w:val="24"/>
          <w:lang w:eastAsia="pt-BR"/>
        </w:rPr>
        <w:t xml:space="preserve"> </w:t>
      </w:r>
      <w:r w:rsidR="00DA6F7C" w:rsidRPr="007A0FE8">
        <w:rPr>
          <w:rFonts w:ascii="Times New Roman" w:eastAsiaTheme="minorEastAsia" w:hAnsi="Times New Roman" w:cs="Times New Roman"/>
          <w:sz w:val="24"/>
          <w:szCs w:val="24"/>
          <w:lang w:eastAsia="pt-BR"/>
        </w:rPr>
        <w:t>0,8</w:t>
      </w:r>
      <w:r w:rsidRPr="007A0FE8">
        <w:rPr>
          <w:rFonts w:ascii="Times New Roman" w:eastAsiaTheme="minorEastAsia" w:hAnsi="Times New Roman" w:cs="Times New Roman"/>
          <w:sz w:val="24"/>
          <w:szCs w:val="24"/>
          <w:lang w:eastAsia="pt-BR"/>
        </w:rPr>
        <w:t>%</w:t>
      </w:r>
      <w:r w:rsidR="00DA6F7C" w:rsidRPr="007A0FE8">
        <w:rPr>
          <w:rFonts w:ascii="Times New Roman" w:eastAsiaTheme="minorEastAsia" w:hAnsi="Times New Roman" w:cs="Times New Roman"/>
          <w:sz w:val="24"/>
          <w:szCs w:val="24"/>
          <w:lang w:eastAsia="pt-BR"/>
        </w:rPr>
        <w:t>.</w:t>
      </w:r>
      <w:r w:rsidR="002575E4">
        <w:rPr>
          <w:rFonts w:ascii="Times New Roman" w:eastAsiaTheme="minorEastAsia" w:hAnsi="Times New Roman" w:cs="Times New Roman"/>
          <w:sz w:val="24"/>
          <w:szCs w:val="24"/>
          <w:lang w:eastAsia="pt-BR"/>
        </w:rPr>
        <w:t xml:space="preserve"> </w:t>
      </w:r>
      <w:r w:rsidR="00334D7C" w:rsidRPr="007A0FE8">
        <w:rPr>
          <w:rFonts w:ascii="Times New Roman" w:eastAsiaTheme="minorEastAsia" w:hAnsi="Times New Roman" w:cs="Times New Roman"/>
          <w:sz w:val="24"/>
          <w:szCs w:val="24"/>
          <w:lang w:eastAsia="pt-BR"/>
        </w:rPr>
        <w:t>Assim,</w:t>
      </w:r>
      <w:r w:rsidR="00D85771" w:rsidRPr="007A0FE8">
        <w:rPr>
          <w:rFonts w:ascii="Times New Roman" w:eastAsiaTheme="minorEastAsia" w:hAnsi="Times New Roman" w:cs="Times New Roman"/>
          <w:sz w:val="24"/>
          <w:szCs w:val="24"/>
          <w:lang w:eastAsia="pt-BR"/>
        </w:rPr>
        <w:t xml:space="preserve"> </w:t>
      </w:r>
      <w:r w:rsidR="007C4EE9" w:rsidRPr="007A0FE8">
        <w:rPr>
          <w:rFonts w:ascii="Times New Roman" w:eastAsiaTheme="minorEastAsia" w:hAnsi="Times New Roman" w:cs="Times New Roman"/>
          <w:sz w:val="24"/>
          <w:szCs w:val="24"/>
          <w:lang w:eastAsia="pt-BR"/>
        </w:rPr>
        <w:t xml:space="preserve">para o Banco do Brasil </w:t>
      </w:r>
      <w:r w:rsidR="00F85196">
        <w:rPr>
          <w:rFonts w:ascii="Times New Roman" w:eastAsiaTheme="minorEastAsia" w:hAnsi="Times New Roman" w:cs="Times New Roman"/>
          <w:sz w:val="24"/>
          <w:szCs w:val="24"/>
          <w:lang w:eastAsia="pt-BR"/>
        </w:rPr>
        <w:t>temos</w:t>
      </w:r>
      <w:r w:rsidR="007C4EE9" w:rsidRPr="007A0FE8">
        <w:rPr>
          <w:rFonts w:ascii="Times New Roman" w:eastAsiaTheme="minorEastAsia" w:hAnsi="Times New Roman" w:cs="Times New Roman"/>
          <w:sz w:val="24"/>
          <w:szCs w:val="24"/>
          <w:lang w:eastAsia="pt-BR"/>
        </w:rPr>
        <w:t xml:space="preserve">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B</m:t>
            </m:r>
          </m:e>
          <m:sub>
            <m:r>
              <m:rPr>
                <m:sty m:val="p"/>
              </m:rPr>
              <w:rPr>
                <w:rFonts w:ascii="Cambria Math" w:eastAsiaTheme="minorEastAsia" w:hAnsi="Cambria Math" w:cs="Times New Roman"/>
                <w:sz w:val="24"/>
                <w:szCs w:val="24"/>
                <w:lang w:eastAsia="pt-BR"/>
              </w:rPr>
              <m:t>t</m:t>
            </m:r>
          </m:sub>
        </m:sSub>
        <m:r>
          <m:rPr>
            <m:sty m:val="p"/>
          </m:rPr>
          <w:rPr>
            <w:rFonts w:ascii="Cambria Math" w:eastAsiaTheme="minorEastAsia" w:hAnsi="Cambria Math" w:cs="Times New Roman"/>
            <w:sz w:val="24"/>
            <w:szCs w:val="24"/>
            <w:lang w:eastAsia="pt-BR"/>
          </w:rPr>
          <m:t>=</m:t>
        </m:r>
      </m:oMath>
      <w:r w:rsidR="007C4EE9" w:rsidRPr="007A0FE8">
        <w:rPr>
          <w:rFonts w:ascii="Times New Roman" w:eastAsiaTheme="minorEastAsia" w:hAnsi="Times New Roman" w:cs="Times New Roman"/>
          <w:sz w:val="24"/>
          <w:szCs w:val="24"/>
          <w:lang w:eastAsia="pt-BR"/>
        </w:rPr>
        <w:t xml:space="preserve"> R$</w:t>
      </w:r>
      <w:r w:rsidR="00BF7C5A" w:rsidRPr="007A0FE8">
        <w:rPr>
          <w:rFonts w:ascii="Times New Roman" w:eastAsiaTheme="minorEastAsia" w:hAnsi="Times New Roman" w:cs="Times New Roman"/>
          <w:sz w:val="24"/>
          <w:szCs w:val="24"/>
          <w:lang w:eastAsia="pt-BR"/>
        </w:rPr>
        <w:t xml:space="preserve"> </w:t>
      </w:r>
      <w:r w:rsidR="00A849DA" w:rsidRPr="007A0FE8">
        <w:rPr>
          <w:rFonts w:ascii="Times New Roman" w:eastAsiaTheme="minorEastAsia" w:hAnsi="Times New Roman" w:cs="Times New Roman"/>
          <w:sz w:val="24"/>
          <w:szCs w:val="24"/>
          <w:lang w:eastAsia="pt-BR"/>
        </w:rPr>
        <w:t>45.244</w:t>
      </w:r>
      <w:r w:rsidR="007C4EE9" w:rsidRPr="007A0FE8">
        <w:rPr>
          <w:rFonts w:ascii="Times New Roman" w:eastAsiaTheme="minorEastAsia" w:hAnsi="Times New Roman" w:cs="Times New Roman"/>
          <w:sz w:val="24"/>
          <w:szCs w:val="24"/>
          <w:lang w:eastAsia="pt-BR"/>
        </w:rPr>
        <w:t xml:space="preserve"> bilhões</w:t>
      </w:r>
      <w:r w:rsidR="003F1581" w:rsidRPr="007A0FE8">
        <w:rPr>
          <w:rFonts w:ascii="Times New Roman" w:eastAsiaTheme="minorEastAsia" w:hAnsi="Times New Roman" w:cs="Times New Roman"/>
          <w:sz w:val="24"/>
          <w:szCs w:val="24"/>
          <w:lang w:eastAsia="pt-BR"/>
        </w:rPr>
        <w:t xml:space="preserve"> </w:t>
      </w:r>
      <w:r w:rsidR="009B0CF9" w:rsidRPr="007A0FE8">
        <w:rPr>
          <w:rFonts w:ascii="Times New Roman" w:eastAsiaTheme="minorEastAsia" w:hAnsi="Times New Roman" w:cs="Times New Roman"/>
          <w:sz w:val="24"/>
          <w:szCs w:val="24"/>
          <w:lang w:eastAsia="pt-BR"/>
        </w:rPr>
        <w:t xml:space="preserve">e </w:t>
      </w:r>
      <w:r w:rsidR="00334D7C" w:rsidRPr="007A0FE8">
        <w:rPr>
          <w:rFonts w:ascii="Times New Roman" w:eastAsiaTheme="minorEastAsia" w:hAnsi="Times New Roman" w:cs="Times New Roman"/>
          <w:sz w:val="24"/>
          <w:szCs w:val="24"/>
          <w:lang w:eastAsia="pt-BR"/>
        </w:rPr>
        <w:t xml:space="preserve">o </w:t>
      </w:r>
      <w:r w:rsidR="00AB01F3" w:rsidRPr="007A0FE8">
        <w:rPr>
          <w:rFonts w:ascii="Times New Roman" w:eastAsiaTheme="minorEastAsia" w:hAnsi="Times New Roman" w:cs="Times New Roman"/>
          <w:sz w:val="24"/>
          <w:szCs w:val="24"/>
          <w:lang w:eastAsia="pt-BR"/>
        </w:rPr>
        <w:t>endividamento total</w:t>
      </w:r>
      <w:r w:rsidR="003F1581" w:rsidRPr="007A0FE8">
        <w:rPr>
          <w:rFonts w:ascii="Times New Roman" w:eastAsiaTheme="minorEastAsia" w:hAnsi="Times New Roman" w:cs="Times New Roman"/>
          <w:sz w:val="24"/>
          <w:szCs w:val="24"/>
          <w:lang w:eastAsia="pt-BR"/>
        </w:rPr>
        <w:t xml:space="preserve"> (</w:t>
      </w:r>
      <m:oMath>
        <m:r>
          <w:rPr>
            <w:rFonts w:ascii="Cambria Math" w:eastAsiaTheme="minorEastAsia" w:hAnsi="Cambria Math" w:cs="Times New Roman"/>
            <w:sz w:val="24"/>
            <w:szCs w:val="24"/>
            <w:lang w:eastAsia="pt-BR"/>
          </w:rPr>
          <m:t>π ótimo</m:t>
        </m:r>
      </m:oMath>
      <w:r w:rsidR="003F1581" w:rsidRPr="007A0FE8">
        <w:rPr>
          <w:rFonts w:ascii="Times New Roman" w:eastAsiaTheme="minorEastAsia" w:hAnsi="Times New Roman" w:cs="Times New Roman"/>
          <w:sz w:val="24"/>
          <w:szCs w:val="24"/>
          <w:lang w:eastAsia="pt-BR"/>
        </w:rPr>
        <w:t>)</w:t>
      </w:r>
      <w:r w:rsidR="00141309" w:rsidRPr="007A0FE8">
        <w:rPr>
          <w:rFonts w:ascii="Times New Roman" w:eastAsiaTheme="minorEastAsia" w:hAnsi="Times New Roman" w:cs="Times New Roman"/>
          <w:sz w:val="24"/>
          <w:szCs w:val="24"/>
          <w:lang w:eastAsia="pt-BR"/>
        </w:rPr>
        <w:t xml:space="preserve">, a </w:t>
      </w:r>
      <w:r w:rsidR="00334D7C" w:rsidRPr="007A0FE8">
        <w:rPr>
          <w:rFonts w:ascii="Times New Roman" w:eastAsiaTheme="minorEastAsia" w:hAnsi="Times New Roman" w:cs="Times New Roman"/>
          <w:sz w:val="24"/>
          <w:szCs w:val="24"/>
          <w:lang w:eastAsia="pt-BR"/>
        </w:rPr>
        <w:t xml:space="preserve">nova </w:t>
      </w:r>
      <w:r w:rsidR="004F5D56" w:rsidRPr="007A0FE8">
        <w:rPr>
          <w:rFonts w:ascii="Times New Roman" w:eastAsiaTheme="minorEastAsia" w:hAnsi="Times New Roman" w:cs="Times New Roman"/>
          <w:sz w:val="24"/>
          <w:szCs w:val="24"/>
          <w:lang w:eastAsia="pt-BR"/>
        </w:rPr>
        <w:t>fronteira</w:t>
      </w:r>
      <w:r w:rsidR="003F1581" w:rsidRPr="007A0FE8">
        <w:rPr>
          <w:rFonts w:ascii="Times New Roman" w:eastAsiaTheme="minorEastAsia" w:hAnsi="Times New Roman" w:cs="Times New Roman"/>
          <w:sz w:val="24"/>
          <w:szCs w:val="24"/>
          <w:lang w:eastAsia="pt-BR"/>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b</m:t>
            </m:r>
          </m:sub>
        </m:sSub>
      </m:oMath>
      <w:r w:rsidR="003F1581" w:rsidRPr="007A0FE8">
        <w:rPr>
          <w:rFonts w:ascii="Times New Roman" w:eastAsiaTheme="minorEastAsia" w:hAnsi="Times New Roman" w:cs="Times New Roman"/>
          <w:sz w:val="24"/>
          <w:szCs w:val="24"/>
          <w:lang w:eastAsia="pt-BR"/>
        </w:rPr>
        <w:t>)</w:t>
      </w:r>
      <w:r w:rsidR="004F5D56" w:rsidRPr="007A0FE8">
        <w:rPr>
          <w:rFonts w:ascii="Times New Roman" w:eastAsiaTheme="minorEastAsia" w:hAnsi="Times New Roman" w:cs="Times New Roman"/>
          <w:sz w:val="24"/>
          <w:szCs w:val="24"/>
          <w:lang w:eastAsia="pt-BR"/>
        </w:rPr>
        <w:t xml:space="preserve">, </w:t>
      </w:r>
      <w:r w:rsidR="009B0CF9" w:rsidRPr="007A0FE8">
        <w:rPr>
          <w:rFonts w:ascii="Times New Roman" w:eastAsiaTheme="minorEastAsia" w:hAnsi="Times New Roman" w:cs="Times New Roman"/>
          <w:sz w:val="24"/>
          <w:szCs w:val="24"/>
          <w:lang w:eastAsia="pt-BR"/>
        </w:rPr>
        <w:t xml:space="preserve">o </w:t>
      </w:r>
      <w:r w:rsidR="00D64C34" w:rsidRPr="007A0FE8">
        <w:rPr>
          <w:rFonts w:ascii="Times New Roman" w:eastAsiaTheme="minorEastAsia" w:hAnsi="Times New Roman" w:cs="Times New Roman"/>
          <w:sz w:val="24"/>
          <w:szCs w:val="24"/>
          <w:lang w:eastAsia="pt-BR"/>
        </w:rPr>
        <w:t>patrimônio líquido</w:t>
      </w:r>
      <w:r w:rsidR="003F1581" w:rsidRPr="007A0FE8">
        <w:rPr>
          <w:rFonts w:ascii="Times New Roman" w:eastAsiaTheme="minorEastAsia" w:hAnsi="Times New Roman" w:cs="Times New Roman"/>
          <w:sz w:val="24"/>
          <w:szCs w:val="24"/>
          <w:lang w:eastAsia="pt-BR"/>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b</m:t>
            </m:r>
          </m:sup>
        </m:sSubSup>
      </m:oMath>
      <w:r w:rsidR="003F1581" w:rsidRPr="007A0FE8">
        <w:rPr>
          <w:rFonts w:ascii="Times New Roman" w:eastAsiaTheme="minorEastAsia" w:hAnsi="Times New Roman" w:cs="Times New Roman"/>
          <w:sz w:val="24"/>
          <w:szCs w:val="24"/>
          <w:lang w:eastAsia="pt-BR"/>
        </w:rPr>
        <w:t>)</w:t>
      </w:r>
      <w:r w:rsidR="00466344">
        <w:rPr>
          <w:rFonts w:ascii="Times New Roman" w:eastAsiaTheme="minorEastAsia" w:hAnsi="Times New Roman" w:cs="Times New Roman"/>
          <w:sz w:val="24"/>
          <w:szCs w:val="24"/>
          <w:lang w:eastAsia="pt-BR"/>
        </w:rPr>
        <w:t>,</w:t>
      </w:r>
      <w:r w:rsidR="00D64C34" w:rsidRPr="007A0FE8">
        <w:rPr>
          <w:rFonts w:ascii="Times New Roman" w:eastAsiaTheme="minorEastAsia" w:hAnsi="Times New Roman" w:cs="Times New Roman"/>
          <w:sz w:val="24"/>
          <w:szCs w:val="24"/>
          <w:lang w:eastAsia="pt-BR"/>
        </w:rPr>
        <w:t xml:space="preserve"> o v</w:t>
      </w:r>
      <w:r w:rsidR="009B0CF9" w:rsidRPr="007A0FE8">
        <w:rPr>
          <w:rFonts w:ascii="Times New Roman" w:eastAsiaTheme="minorEastAsia" w:hAnsi="Times New Roman" w:cs="Times New Roman"/>
          <w:sz w:val="24"/>
          <w:szCs w:val="24"/>
          <w:lang w:eastAsia="pt-BR"/>
        </w:rPr>
        <w:t>al</w:t>
      </w:r>
      <w:r w:rsidR="00D64C34" w:rsidRPr="007A0FE8">
        <w:rPr>
          <w:rFonts w:ascii="Times New Roman" w:eastAsiaTheme="minorEastAsia" w:hAnsi="Times New Roman" w:cs="Times New Roman"/>
          <w:sz w:val="24"/>
          <w:szCs w:val="24"/>
          <w:lang w:eastAsia="pt-BR"/>
        </w:rPr>
        <w:t>or do b</w:t>
      </w:r>
      <w:r w:rsidR="009B0CF9" w:rsidRPr="007A0FE8">
        <w:rPr>
          <w:rFonts w:ascii="Times New Roman" w:eastAsiaTheme="minorEastAsia" w:hAnsi="Times New Roman" w:cs="Times New Roman"/>
          <w:sz w:val="24"/>
          <w:szCs w:val="24"/>
          <w:lang w:eastAsia="pt-BR"/>
        </w:rPr>
        <w:t>anco</w:t>
      </w:r>
      <w:r w:rsidR="003F1581" w:rsidRPr="007A0FE8">
        <w:rPr>
          <w:rFonts w:ascii="Times New Roman" w:eastAsiaTheme="minorEastAsia" w:hAnsi="Times New Roman" w:cs="Times New Roman"/>
          <w:sz w:val="24"/>
          <w:szCs w:val="24"/>
          <w:lang w:eastAsia="pt-BR"/>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oMath>
      <w:r w:rsidR="003F1581" w:rsidRPr="007A0FE8">
        <w:rPr>
          <w:rFonts w:ascii="Times New Roman" w:eastAsiaTheme="minorEastAsia" w:hAnsi="Times New Roman" w:cs="Times New Roman"/>
          <w:sz w:val="24"/>
          <w:szCs w:val="24"/>
          <w:lang w:eastAsia="pt-BR"/>
        </w:rPr>
        <w:t xml:space="preserve">) </w:t>
      </w:r>
      <w:r w:rsidR="00A849DA" w:rsidRPr="007A0FE8">
        <w:rPr>
          <w:rFonts w:ascii="Times New Roman" w:eastAsiaTheme="minorEastAsia" w:hAnsi="Times New Roman" w:cs="Times New Roman"/>
          <w:sz w:val="24"/>
          <w:szCs w:val="24"/>
          <w:lang w:eastAsia="pt-BR"/>
        </w:rPr>
        <w:t xml:space="preserve">e a </w:t>
      </w:r>
      <w:r w:rsidR="00A849DA" w:rsidRPr="007A0FE8">
        <w:rPr>
          <w:rFonts w:ascii="Times New Roman" w:eastAsiaTheme="minorEastAsia" w:hAnsi="Times New Roman" w:cs="Times New Roman"/>
          <w:sz w:val="24"/>
          <w:szCs w:val="24"/>
        </w:rPr>
        <w:t xml:space="preserve">primeira derivada de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oMath>
      <w:r w:rsidR="00A849DA" w:rsidRPr="007A0FE8">
        <w:rPr>
          <w:rFonts w:ascii="Times New Roman" w:eastAsiaTheme="minorEastAsia" w:hAnsi="Times New Roman" w:cs="Times New Roman"/>
          <w:sz w:val="24"/>
          <w:szCs w:val="24"/>
        </w:rPr>
        <w:t xml:space="preserve"> com relação </w:t>
      </w:r>
      <w:proofErr w:type="gramStart"/>
      <w:r w:rsidR="00A849DA" w:rsidRPr="007A0FE8">
        <w:rPr>
          <w:rFonts w:ascii="Times New Roman" w:eastAsiaTheme="minorEastAsia" w:hAnsi="Times New Roman" w:cs="Times New Roman"/>
          <w:sz w:val="24"/>
          <w:szCs w:val="24"/>
        </w:rPr>
        <w:t>a</w:t>
      </w:r>
      <w:proofErr w:type="gramEnd"/>
      <w:r w:rsidR="00A849DA" w:rsidRPr="007A0FE8">
        <w:rPr>
          <w:rFonts w:ascii="Times New Roman" w:eastAsiaTheme="minorEastAsia" w:hAnsi="Times New Roman" w:cs="Times New Roman"/>
          <w:sz w:val="24"/>
          <w:szCs w:val="24"/>
        </w:rPr>
        <w:t xml:space="preserve"> b*</w:t>
      </w:r>
      <w:r w:rsidR="009B0CF9" w:rsidRPr="007A0FE8">
        <w:rPr>
          <w:rFonts w:ascii="Times New Roman" w:eastAsiaTheme="minorEastAsia" w:hAnsi="Times New Roman" w:cs="Times New Roman"/>
          <w:sz w:val="24"/>
          <w:szCs w:val="24"/>
          <w:lang w:eastAsia="pt-BR"/>
        </w:rPr>
        <w:t xml:space="preserve"> serão:</w:t>
      </w:r>
      <w:r w:rsidR="00F85196">
        <w:rPr>
          <w:rFonts w:ascii="Times New Roman" w:eastAsiaTheme="minorEastAsia" w:hAnsi="Times New Roman" w:cs="Times New Roman"/>
          <w:sz w:val="24"/>
          <w:szCs w:val="24"/>
          <w:lang w:eastAsia="pt-BR"/>
        </w:rPr>
        <w:t xml:space="preserve"> </w:t>
      </w:r>
      <m:oMath>
        <m:r>
          <w:rPr>
            <w:rFonts w:ascii="Cambria Math" w:eastAsiaTheme="minorEastAsia" w:hAnsi="Cambria Math" w:cs="Times New Roman"/>
            <w:sz w:val="24"/>
            <w:szCs w:val="24"/>
            <w:lang w:eastAsia="pt-BR"/>
          </w:rPr>
          <m:t>π ótimo=</m:t>
        </m:r>
      </m:oMath>
      <w:r w:rsidR="00A849DA" w:rsidRPr="007A0FE8">
        <w:rPr>
          <w:rFonts w:ascii="Times New Roman" w:eastAsiaTheme="minorEastAsia" w:hAnsi="Times New Roman" w:cs="Times New Roman"/>
          <w:sz w:val="24"/>
          <w:szCs w:val="24"/>
          <w:lang w:eastAsia="pt-BR"/>
        </w:rPr>
        <w:t>R$21.760</w:t>
      </w:r>
      <w:r w:rsidR="005B5D25" w:rsidRPr="007A0FE8">
        <w:rPr>
          <w:rFonts w:ascii="Times New Roman" w:eastAsiaTheme="minorEastAsia" w:hAnsi="Times New Roman" w:cs="Times New Roman"/>
          <w:sz w:val="24"/>
          <w:szCs w:val="24"/>
          <w:lang w:eastAsia="pt-BR"/>
        </w:rPr>
        <w:t xml:space="preserve"> bilhões</w:t>
      </w:r>
      <w:r w:rsidR="007A21B7">
        <w:rPr>
          <w:rFonts w:ascii="Times New Roman" w:eastAsiaTheme="minorEastAsia" w:hAnsi="Times New Roman" w:cs="Times New Roman"/>
          <w:sz w:val="24"/>
          <w:szCs w:val="24"/>
          <w:lang w:eastAsia="pt-BR"/>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 xml:space="preserve">= </m:t>
        </m:r>
      </m:oMath>
      <w:r w:rsidR="00A849DA" w:rsidRPr="007A0FE8">
        <w:rPr>
          <w:rFonts w:ascii="Times New Roman" w:eastAsiaTheme="minorEastAsia" w:hAnsi="Times New Roman" w:cs="Times New Roman"/>
          <w:sz w:val="24"/>
          <w:szCs w:val="24"/>
        </w:rPr>
        <w:t>R$16</w:t>
      </w:r>
      <w:r w:rsidR="003F1581" w:rsidRPr="007A0FE8">
        <w:rPr>
          <w:rFonts w:ascii="Times New Roman" w:eastAsiaTheme="minorEastAsia" w:hAnsi="Times New Roman" w:cs="Times New Roman"/>
          <w:sz w:val="24"/>
          <w:szCs w:val="24"/>
        </w:rPr>
        <w:t>.</w:t>
      </w:r>
      <w:r w:rsidR="00A849DA" w:rsidRPr="007A0FE8">
        <w:rPr>
          <w:rFonts w:ascii="Times New Roman" w:eastAsiaTheme="minorEastAsia" w:hAnsi="Times New Roman" w:cs="Times New Roman"/>
          <w:sz w:val="24"/>
          <w:szCs w:val="24"/>
        </w:rPr>
        <w:t>471</w:t>
      </w:r>
      <w:r w:rsidR="00D15772" w:rsidRPr="007A0FE8">
        <w:rPr>
          <w:rFonts w:ascii="Times New Roman" w:eastAsiaTheme="minorEastAsia" w:hAnsi="Times New Roman" w:cs="Times New Roman"/>
          <w:sz w:val="24"/>
          <w:szCs w:val="24"/>
        </w:rPr>
        <w:t xml:space="preserve"> b</w:t>
      </w:r>
      <w:r w:rsidR="005B5D25" w:rsidRPr="007A0FE8">
        <w:rPr>
          <w:rFonts w:ascii="Times New Roman" w:eastAsiaTheme="minorEastAsia" w:hAnsi="Times New Roman" w:cs="Times New Roman"/>
          <w:sz w:val="24"/>
          <w:szCs w:val="24"/>
          <w:lang w:eastAsia="pt-BR"/>
        </w:rPr>
        <w:t>ilhões</w:t>
      </w:r>
      <w:r w:rsidR="007A21B7">
        <w:rPr>
          <w:rFonts w:ascii="Times New Roman" w:eastAsiaTheme="minorEastAsia" w:hAnsi="Times New Roman" w:cs="Times New Roman"/>
          <w:sz w:val="24"/>
          <w:szCs w:val="24"/>
          <w:lang w:eastAsia="pt-BR"/>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b</m:t>
            </m:r>
          </m:sup>
        </m:sSubSup>
        <m:r>
          <w:rPr>
            <w:rFonts w:ascii="Cambria Math" w:hAnsi="Cambria Math" w:cs="Times New Roman"/>
            <w:sz w:val="24"/>
            <w:szCs w:val="24"/>
          </w:rPr>
          <m:t>=</m:t>
        </m:r>
      </m:oMath>
      <w:r w:rsidR="00A849DA" w:rsidRPr="007A0FE8">
        <w:rPr>
          <w:rFonts w:ascii="Times New Roman" w:eastAsiaTheme="minorEastAsia" w:hAnsi="Times New Roman" w:cs="Times New Roman"/>
          <w:sz w:val="24"/>
          <w:szCs w:val="24"/>
        </w:rPr>
        <w:t xml:space="preserve"> R$36.630</w:t>
      </w:r>
      <w:r w:rsidR="005B5D25" w:rsidRPr="007A0FE8">
        <w:rPr>
          <w:rFonts w:ascii="Times New Roman" w:eastAsiaTheme="minorEastAsia" w:hAnsi="Times New Roman" w:cs="Times New Roman"/>
          <w:sz w:val="24"/>
          <w:szCs w:val="24"/>
        </w:rPr>
        <w:t xml:space="preserve"> </w:t>
      </w:r>
      <w:r w:rsidR="005B5D25" w:rsidRPr="007A0FE8">
        <w:rPr>
          <w:rFonts w:ascii="Times New Roman" w:eastAsiaTheme="minorEastAsia" w:hAnsi="Times New Roman" w:cs="Times New Roman"/>
          <w:sz w:val="24"/>
          <w:szCs w:val="24"/>
          <w:lang w:eastAsia="pt-BR"/>
        </w:rPr>
        <w:t>bilhões</w:t>
      </w:r>
      <w:r w:rsidR="007A21B7">
        <w:rPr>
          <w:rFonts w:ascii="Times New Roman" w:eastAsiaTheme="minorEastAsia" w:hAnsi="Times New Roman" w:cs="Times New Roman"/>
          <w:sz w:val="24"/>
          <w:szCs w:val="24"/>
          <w:lang w:eastAsia="pt-BR"/>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oMath>
      <w:r w:rsidR="00A849DA" w:rsidRPr="007A0FE8">
        <w:rPr>
          <w:rFonts w:ascii="Times New Roman" w:eastAsiaTheme="minorEastAsia" w:hAnsi="Times New Roman" w:cs="Times New Roman"/>
          <w:sz w:val="24"/>
          <w:szCs w:val="24"/>
        </w:rPr>
        <w:t xml:space="preserve"> R$ 229.801 </w:t>
      </w:r>
      <w:r w:rsidR="005B5D25" w:rsidRPr="007A0FE8">
        <w:rPr>
          <w:rFonts w:ascii="Times New Roman" w:eastAsiaTheme="minorEastAsia" w:hAnsi="Times New Roman" w:cs="Times New Roman"/>
          <w:sz w:val="24"/>
          <w:szCs w:val="24"/>
          <w:lang w:eastAsia="pt-BR"/>
        </w:rPr>
        <w:t>bilhões</w:t>
      </w:r>
      <w:r w:rsidR="007A21B7">
        <w:rPr>
          <w:rFonts w:ascii="Times New Roman" w:eastAsiaTheme="minorEastAsia" w:hAnsi="Times New Roman" w:cs="Times New Roman"/>
          <w:sz w:val="24"/>
          <w:szCs w:val="24"/>
          <w:lang w:eastAsia="pt-BR"/>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m:t>
        </m:r>
      </m:oMath>
      <w:r w:rsidR="00A849DA" w:rsidRPr="007A0FE8">
        <w:rPr>
          <w:rFonts w:ascii="Times New Roman" w:eastAsiaTheme="minorEastAsia" w:hAnsi="Times New Roman" w:cs="Times New Roman"/>
          <w:sz w:val="24"/>
          <w:szCs w:val="24"/>
        </w:rPr>
        <w:t xml:space="preserve"> </w:t>
      </w:r>
      <w:r w:rsidR="003C0DD1" w:rsidRPr="007A0FE8">
        <w:rPr>
          <w:rFonts w:ascii="Times New Roman" w:eastAsiaTheme="minorEastAsia" w:hAnsi="Times New Roman" w:cs="Times New Roman"/>
          <w:sz w:val="24"/>
          <w:szCs w:val="24"/>
        </w:rPr>
        <w:t>-3.86</w:t>
      </w:r>
      <w:r w:rsidR="007A21B7">
        <w:rPr>
          <w:rFonts w:ascii="Times New Roman" w:eastAsiaTheme="minorEastAsia" w:hAnsi="Times New Roman" w:cs="Times New Roman"/>
          <w:sz w:val="24"/>
          <w:szCs w:val="24"/>
        </w:rPr>
        <w:t>.</w:t>
      </w:r>
    </w:p>
    <w:p w:rsidR="00FE6C2E" w:rsidRPr="007A0FE8" w:rsidRDefault="00653310"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Uma vez </w:t>
      </w:r>
      <w:r w:rsidR="005B5D25" w:rsidRPr="007A0FE8">
        <w:rPr>
          <w:rFonts w:ascii="Times New Roman" w:eastAsiaTheme="minorEastAsia" w:hAnsi="Times New Roman" w:cs="Times New Roman"/>
          <w:sz w:val="24"/>
          <w:szCs w:val="24"/>
          <w:lang w:eastAsia="pt-BR"/>
        </w:rPr>
        <w:t>estimada</w:t>
      </w:r>
      <w:r w:rsidRPr="007A0FE8">
        <w:rPr>
          <w:rFonts w:ascii="Times New Roman" w:eastAsiaTheme="minorEastAsia" w:hAnsi="Times New Roman" w:cs="Times New Roman"/>
          <w:sz w:val="24"/>
          <w:szCs w:val="24"/>
          <w:lang w:eastAsia="pt-BR"/>
        </w:rPr>
        <w:t xml:space="preserve"> </w:t>
      </w:r>
      <w:r w:rsidR="005B5D25" w:rsidRPr="007A0FE8">
        <w:rPr>
          <w:rFonts w:ascii="Times New Roman" w:eastAsiaTheme="minorEastAsia" w:hAnsi="Times New Roman" w:cs="Times New Roman"/>
          <w:sz w:val="24"/>
          <w:szCs w:val="24"/>
          <w:lang w:eastAsia="pt-BR"/>
        </w:rPr>
        <w:t>a</w:t>
      </w:r>
      <w:r w:rsidRPr="007A0FE8">
        <w:rPr>
          <w:rFonts w:ascii="Times New Roman" w:eastAsiaTheme="minorEastAsia" w:hAnsi="Times New Roman" w:cs="Times New Roman"/>
          <w:sz w:val="24"/>
          <w:szCs w:val="24"/>
          <w:lang w:eastAsia="pt-BR"/>
        </w:rPr>
        <w:t xml:space="preserve"> estrutura ótima de capital</w:t>
      </w:r>
      <w:r w:rsidR="00EB7567" w:rsidRPr="007A0FE8">
        <w:rPr>
          <w:rFonts w:ascii="Times New Roman" w:eastAsiaTheme="minorEastAsia" w:hAnsi="Times New Roman" w:cs="Times New Roman"/>
          <w:sz w:val="24"/>
          <w:szCs w:val="24"/>
          <w:lang w:eastAsia="pt-BR"/>
        </w:rPr>
        <w:t>,</w:t>
      </w:r>
      <w:r w:rsidRPr="007A0FE8">
        <w:rPr>
          <w:rFonts w:ascii="Times New Roman" w:eastAsiaTheme="minorEastAsia" w:hAnsi="Times New Roman" w:cs="Times New Roman"/>
          <w:sz w:val="24"/>
          <w:szCs w:val="24"/>
          <w:lang w:eastAsia="pt-BR"/>
        </w:rPr>
        <w:t xml:space="preserve"> proposta pelo modelo, vamos </w:t>
      </w:r>
      <w:r w:rsidR="005B5D25" w:rsidRPr="007A0FE8">
        <w:rPr>
          <w:rFonts w:ascii="Times New Roman" w:eastAsiaTheme="minorEastAsia" w:hAnsi="Times New Roman" w:cs="Times New Roman"/>
          <w:sz w:val="24"/>
          <w:szCs w:val="24"/>
          <w:lang w:eastAsia="pt-BR"/>
        </w:rPr>
        <w:t xml:space="preserve">assumir que todo o cupom de </w:t>
      </w:r>
      <w:r w:rsidRPr="007A0FE8">
        <w:rPr>
          <w:rFonts w:ascii="Times New Roman" w:eastAsiaTheme="minorEastAsia" w:hAnsi="Times New Roman" w:cs="Times New Roman"/>
          <w:sz w:val="24"/>
          <w:szCs w:val="24"/>
          <w:lang w:eastAsia="pt-BR"/>
        </w:rPr>
        <w:t>dívida subordinada ótima (b*)</w:t>
      </w:r>
      <w:r w:rsidR="005B5D25" w:rsidRPr="007A0FE8">
        <w:rPr>
          <w:rFonts w:ascii="Times New Roman" w:eastAsiaTheme="minorEastAsia" w:hAnsi="Times New Roman" w:cs="Times New Roman"/>
          <w:sz w:val="24"/>
          <w:szCs w:val="24"/>
          <w:lang w:eastAsia="pt-BR"/>
        </w:rPr>
        <w:t xml:space="preserve"> é transformado</w:t>
      </w:r>
      <w:r w:rsidR="00141309" w:rsidRPr="007A0FE8">
        <w:rPr>
          <w:rFonts w:ascii="Times New Roman" w:eastAsiaTheme="minorEastAsia" w:hAnsi="Times New Roman" w:cs="Times New Roman"/>
          <w:sz w:val="24"/>
          <w:szCs w:val="24"/>
          <w:lang w:eastAsia="pt-BR"/>
        </w:rPr>
        <w:t xml:space="preserve"> em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5B5D25" w:rsidRPr="007A0FE8">
        <w:rPr>
          <w:rFonts w:ascii="Times New Roman" w:eastAsiaTheme="minorEastAsia" w:hAnsi="Times New Roman" w:cs="Times New Roman"/>
          <w:sz w:val="24"/>
          <w:szCs w:val="24"/>
          <w:lang w:eastAsia="pt-BR"/>
        </w:rPr>
        <w:t>, o</w:t>
      </w:r>
      <w:r w:rsidR="00134FA8" w:rsidRPr="007A0FE8">
        <w:rPr>
          <w:rFonts w:ascii="Times New Roman" w:eastAsiaTheme="minorEastAsia" w:hAnsi="Times New Roman" w:cs="Times New Roman"/>
          <w:sz w:val="24"/>
          <w:szCs w:val="24"/>
          <w:lang w:eastAsia="pt-BR"/>
        </w:rPr>
        <w:t>u</w:t>
      </w:r>
      <w:r w:rsidR="005C03CE" w:rsidRPr="007A0FE8">
        <w:rPr>
          <w:rFonts w:ascii="Times New Roman" w:eastAsiaTheme="minorEastAsia" w:hAnsi="Times New Roman" w:cs="Times New Roman"/>
          <w:sz w:val="24"/>
          <w:szCs w:val="24"/>
          <w:lang w:eastAsia="pt-BR"/>
        </w:rPr>
        <w:t xml:space="preserve"> seja, b*=c, onde c é o cupom de dívidas em </w:t>
      </w:r>
      <w:proofErr w:type="spellStart"/>
      <w:r w:rsidR="0099005E">
        <w:rPr>
          <w:rFonts w:ascii="Times New Roman" w:eastAsiaTheme="minorEastAsia" w:hAnsi="Times New Roman" w:cs="Times New Roman"/>
          <w:sz w:val="24"/>
          <w:szCs w:val="24"/>
          <w:lang w:eastAsia="pt-BR"/>
        </w:rPr>
        <w:t>CoCos</w:t>
      </w:r>
      <w:proofErr w:type="spellEnd"/>
      <w:r w:rsidR="005C03CE" w:rsidRPr="007A0FE8">
        <w:rPr>
          <w:rFonts w:ascii="Times New Roman" w:eastAsiaTheme="minorEastAsia" w:hAnsi="Times New Roman" w:cs="Times New Roman"/>
          <w:sz w:val="24"/>
          <w:szCs w:val="24"/>
          <w:lang w:eastAsia="pt-BR"/>
        </w:rPr>
        <w:t>.</w:t>
      </w:r>
      <w:r w:rsidR="002575E4">
        <w:rPr>
          <w:rFonts w:ascii="Times New Roman" w:eastAsiaTheme="minorEastAsia" w:hAnsi="Times New Roman" w:cs="Times New Roman"/>
          <w:sz w:val="24"/>
          <w:szCs w:val="24"/>
          <w:lang w:eastAsia="pt-BR"/>
        </w:rPr>
        <w:t xml:space="preserve"> </w:t>
      </w:r>
      <w:r w:rsidR="005C03CE" w:rsidRPr="007A0FE8">
        <w:rPr>
          <w:rFonts w:ascii="Times New Roman" w:eastAsiaTheme="minorEastAsia" w:hAnsi="Times New Roman" w:cs="Times New Roman"/>
          <w:sz w:val="24"/>
          <w:szCs w:val="24"/>
          <w:lang w:eastAsia="pt-BR"/>
        </w:rPr>
        <w:t xml:space="preserve">Com isso, </w:t>
      </w:r>
      <w:r w:rsidR="00FE6C2E" w:rsidRPr="007A0FE8">
        <w:rPr>
          <w:rFonts w:ascii="Times New Roman" w:eastAsiaTheme="minorEastAsia" w:hAnsi="Times New Roman" w:cs="Times New Roman"/>
          <w:sz w:val="24"/>
          <w:szCs w:val="24"/>
          <w:lang w:eastAsia="pt-BR"/>
        </w:rPr>
        <w:t>calculamos o montante</w:t>
      </w:r>
      <w:r w:rsidR="001F508C" w:rsidRPr="007A0FE8">
        <w:rPr>
          <w:rFonts w:ascii="Times New Roman" w:eastAsiaTheme="minorEastAsia" w:hAnsi="Times New Roman" w:cs="Times New Roman"/>
          <w:sz w:val="24"/>
          <w:szCs w:val="24"/>
          <w:lang w:eastAsia="pt-BR"/>
        </w:rPr>
        <w:t xml:space="preserve"> total </w:t>
      </w:r>
      <w:r w:rsidR="005B5D25" w:rsidRPr="007A0FE8">
        <w:rPr>
          <w:rFonts w:ascii="Times New Roman" w:eastAsiaTheme="minorEastAsia" w:hAnsi="Times New Roman" w:cs="Times New Roman"/>
          <w:sz w:val="24"/>
          <w:szCs w:val="24"/>
          <w:lang w:eastAsia="pt-BR"/>
        </w:rPr>
        <w:t xml:space="preserve">de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AA09AD" w:rsidRPr="007A0FE8">
        <w:rPr>
          <w:rFonts w:ascii="Times New Roman" w:eastAsiaTheme="minorEastAsia" w:hAnsi="Times New Roman" w:cs="Times New Roman"/>
          <w:sz w:val="24"/>
          <w:szCs w:val="24"/>
          <w:lang w:eastAsia="pt-BR"/>
        </w:rPr>
        <w:t>,</w:t>
      </w:r>
      <w:r w:rsidR="005C03CE" w:rsidRPr="007A0FE8">
        <w:rPr>
          <w:rFonts w:ascii="Times New Roman" w:eastAsiaTheme="minorEastAsia" w:hAnsi="Times New Roman" w:cs="Times New Roman"/>
          <w:sz w:val="24"/>
          <w:szCs w:val="24"/>
          <w:lang w:eastAsia="pt-BR"/>
        </w:rPr>
        <w:t xml:space="preserve"> </w:t>
      </w:r>
      <w:r w:rsidR="00794C22" w:rsidRPr="007A0FE8">
        <w:rPr>
          <w:rFonts w:ascii="Times New Roman" w:eastAsiaTheme="minorEastAsia" w:hAnsi="Times New Roman" w:cs="Times New Roman"/>
          <w:sz w:val="24"/>
          <w:szCs w:val="24"/>
          <w:lang w:eastAsia="pt-BR"/>
        </w:rPr>
        <w:t>pela</w:t>
      </w:r>
      <w:r w:rsidR="005C03CE" w:rsidRPr="007A0FE8">
        <w:rPr>
          <w:rFonts w:ascii="Times New Roman" w:eastAsiaTheme="minorEastAsia" w:hAnsi="Times New Roman" w:cs="Times New Roman"/>
          <w:sz w:val="24"/>
          <w:szCs w:val="24"/>
          <w:lang w:eastAsia="pt-BR"/>
        </w:rPr>
        <w:t xml:space="preserve"> equação</w:t>
      </w:r>
      <w:r w:rsidR="00FE6C2E" w:rsidRPr="007A0FE8">
        <w:rPr>
          <w:rFonts w:ascii="Times New Roman" w:eastAsiaTheme="minorEastAsia" w:hAnsi="Times New Roman" w:cs="Times New Roman"/>
          <w:sz w:val="24"/>
          <w:szCs w:val="24"/>
          <w:lang w:eastAsia="pt-BR"/>
        </w:rPr>
        <w:t>:</w:t>
      </w:r>
    </w:p>
    <w:p w:rsidR="00FE6C2E" w:rsidRPr="007A0FE8" w:rsidRDefault="00FE6C2E" w:rsidP="00FF5024">
      <w:pPr>
        <w:spacing w:after="120" w:line="240" w:lineRule="auto"/>
        <w:jc w:val="right"/>
        <w:rPr>
          <w:rFonts w:ascii="Times New Roman" w:eastAsiaTheme="minorEastAsia" w:hAnsi="Times New Roman" w:cs="Times New Roman"/>
          <w:sz w:val="24"/>
          <w:szCs w:val="24"/>
        </w:rPr>
      </w:pPr>
      <w:r w:rsidRPr="007A0FE8">
        <w:rPr>
          <w:rFonts w:ascii="Times New Roman" w:eastAsiaTheme="minorEastAsia" w:hAnsi="Times New Roman" w:cs="Times New Roman"/>
          <w:sz w:val="24"/>
          <w:szCs w:val="24"/>
          <w:lang w:eastAsia="pt-B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1-</m:t>
            </m:r>
            <m:r>
              <m:rPr>
                <m:scr m:val="script"/>
              </m:rP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m:rPr>
                    <m:scr m:val="script"/>
                  </m:rPr>
                  <w:rPr>
                    <w:rFonts w:ascii="Cambria Math" w:hAnsi="Cambria Math" w:cs="Times New Roman"/>
                    <w:sz w:val="24"/>
                    <w:szCs w:val="24"/>
                  </w:rPr>
                  <m:t>,X</m:t>
                </m:r>
              </m:e>
            </m:d>
          </m:e>
        </m:d>
        <m:r>
          <w:rPr>
            <w:rFonts w:ascii="Cambria Math" w:eastAsiaTheme="minorEastAsia" w:hAnsi="Cambria Math" w:cs="Times New Roman"/>
            <w:sz w:val="24"/>
            <w:szCs w:val="24"/>
          </w:rPr>
          <m:t xml:space="preserve">+γ </m:t>
        </m:r>
        <m:r>
          <m:rPr>
            <m:scr m:val="script"/>
          </m:rP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m:rPr>
                <m:scr m:val="script"/>
              </m:rPr>
              <w:rPr>
                <w:rFonts w:ascii="Cambria Math" w:hAnsi="Cambria Math" w:cs="Times New Roman"/>
                <w:sz w:val="24"/>
                <w:szCs w:val="24"/>
              </w:rPr>
              <m:t>,X</m:t>
            </m:r>
          </m:e>
        </m:d>
        <m:d>
          <m:dPr>
            <m:ctrlPr>
              <w:rPr>
                <w:rFonts w:ascii="Cambria Math" w:hAnsi="Cambria Math" w:cs="Times New Roman"/>
                <w:i/>
                <w:sz w:val="24"/>
                <w:szCs w:val="24"/>
              </w:rPr>
            </m:ctrlPr>
          </m:dPr>
          <m:e>
            <m:r>
              <m:rPr>
                <m:scr m:val="script"/>
              </m:rPr>
              <w:rPr>
                <w:rFonts w:ascii="Cambria Math" w:hAnsi="Cambria Math" w:cs="Times New Roman"/>
                <w:sz w:val="24"/>
                <w:szCs w:val="24"/>
              </w:rPr>
              <m:t>V</m:t>
            </m:r>
            <m:d>
              <m:dPr>
                <m:ctrlPr>
                  <w:rPr>
                    <w:rFonts w:ascii="Cambria Math" w:hAnsi="Cambria Math" w:cs="Times New Roman"/>
                    <w:i/>
                    <w:sz w:val="24"/>
                    <w:szCs w:val="24"/>
                  </w:rPr>
                </m:ctrlPr>
              </m:dPr>
              <m:e>
                <m:r>
                  <m:rPr>
                    <m:scr m:val="script"/>
                  </m:rPr>
                  <w:rPr>
                    <w:rFonts w:ascii="Cambria Math" w:hAnsi="Cambria Math" w:cs="Times New Roman"/>
                    <w:sz w:val="24"/>
                    <w:szCs w:val="24"/>
                  </w:rPr>
                  <m:t>X,</m:t>
                </m:r>
                <m:r>
                  <w:rPr>
                    <w:rFonts w:ascii="Cambria Math" w:hAnsi="Cambria Math" w:cs="Times New Roman"/>
                    <w:sz w:val="24"/>
                    <w:szCs w:val="24"/>
                  </w:rPr>
                  <m:t>d</m:t>
                </m:r>
              </m:e>
            </m:d>
            <m:r>
              <m:rPr>
                <m:scr m:val="script"/>
              </m:rP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c</m:t>
                    </m:r>
                  </m:sub>
                </m:sSub>
                <m:r>
                  <w:rPr>
                    <w:rFonts w:ascii="Cambria Math" w:hAnsi="Cambria Math" w:cs="Times New Roman"/>
                    <w:sz w:val="24"/>
                    <w:szCs w:val="24"/>
                  </w:rPr>
                  <m:t>,d</m:t>
                </m:r>
              </m:e>
            </m:d>
            <m:r>
              <m:rPr>
                <m:scr m:val="script"/>
              </m:rP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c</m:t>
                    </m:r>
                  </m:sub>
                </m:sSub>
              </m:e>
            </m:d>
          </m:e>
        </m:d>
      </m:oMath>
      <w:r w:rsidRPr="007A0FE8">
        <w:rPr>
          <w:rFonts w:ascii="Times New Roman" w:eastAsiaTheme="minorEastAsia" w:hAnsi="Times New Roman" w:cs="Times New Roman"/>
          <w:sz w:val="24"/>
          <w:szCs w:val="24"/>
        </w:rPr>
        <w:t xml:space="preserve">                 (</w:t>
      </w:r>
      <w:r w:rsidR="00EA673A" w:rsidRPr="007A0FE8">
        <w:rPr>
          <w:rFonts w:ascii="Times New Roman" w:eastAsiaTheme="minorEastAsia" w:hAnsi="Times New Roman" w:cs="Times New Roman"/>
          <w:sz w:val="24"/>
          <w:szCs w:val="24"/>
        </w:rPr>
        <w:t>19</w:t>
      </w:r>
      <w:r w:rsidRPr="007A0FE8">
        <w:rPr>
          <w:rFonts w:ascii="Times New Roman" w:eastAsiaTheme="minorEastAsia" w:hAnsi="Times New Roman" w:cs="Times New Roman"/>
          <w:sz w:val="24"/>
          <w:szCs w:val="24"/>
        </w:rPr>
        <w:t>)</w:t>
      </w:r>
    </w:p>
    <w:p w:rsidR="00141309" w:rsidRPr="007A0FE8" w:rsidRDefault="00FE6C2E"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Onde, </w:t>
      </w:r>
      <m:oMath>
        <m:r>
          <w:rPr>
            <w:rFonts w:ascii="Cambria Math" w:eastAsiaTheme="minorEastAsia" w:hAnsi="Cambria Math" w:cs="Times New Roman"/>
            <w:sz w:val="24"/>
            <w:szCs w:val="24"/>
            <w:lang w:eastAsia="pt-BR"/>
          </w:rPr>
          <m:t>γ</m:t>
        </m:r>
      </m:oMath>
      <w:r w:rsidR="005C03CE" w:rsidRPr="007A0FE8">
        <w:rPr>
          <w:rFonts w:ascii="Times New Roman" w:eastAsiaTheme="minorEastAsia" w:hAnsi="Times New Roman" w:cs="Times New Roman"/>
          <w:sz w:val="24"/>
          <w:szCs w:val="24"/>
          <w:lang w:eastAsia="pt-BR"/>
        </w:rPr>
        <w:t xml:space="preserve"> é a taxa de conversão </w:t>
      </w:r>
      <w:r w:rsidR="00141309" w:rsidRPr="007A0FE8">
        <w:rPr>
          <w:rFonts w:ascii="Times New Roman" w:eastAsiaTheme="minorEastAsia" w:hAnsi="Times New Roman" w:cs="Times New Roman"/>
          <w:sz w:val="24"/>
          <w:szCs w:val="24"/>
          <w:lang w:eastAsia="pt-BR"/>
        </w:rPr>
        <w:t xml:space="preserve">dos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5C03CE" w:rsidRPr="007A0FE8">
        <w:rPr>
          <w:rFonts w:ascii="Times New Roman" w:eastAsiaTheme="minorEastAsia" w:hAnsi="Times New Roman" w:cs="Times New Roman"/>
          <w:sz w:val="24"/>
          <w:szCs w:val="24"/>
          <w:lang w:eastAsia="pt-BR"/>
        </w:rPr>
        <w:t xml:space="preserve"> e</w:t>
      </w:r>
      <w:r w:rsidR="005B5D25" w:rsidRPr="007A0FE8">
        <w:rPr>
          <w:rFonts w:ascii="Times New Roman" w:eastAsiaTheme="minorEastAsia" w:hAnsi="Times New Roman" w:cs="Times New Roman"/>
          <w:sz w:val="24"/>
          <w:szCs w:val="24"/>
          <w:lang w:eastAsia="pt-BR"/>
        </w:rPr>
        <w:t>,</w:t>
      </w:r>
      <w:r w:rsidR="005C03CE" w:rsidRPr="007A0FE8">
        <w:rPr>
          <w:rFonts w:ascii="Times New Roman" w:eastAsiaTheme="minorEastAsia" w:hAnsi="Times New Roman" w:cs="Times New Roman"/>
          <w:sz w:val="24"/>
          <w:szCs w:val="24"/>
          <w:lang w:eastAsia="pt-BR"/>
        </w:rPr>
        <w:t xml:space="preserve"> para estimá-la,</w:t>
      </w:r>
      <w:r w:rsidR="00141309" w:rsidRPr="007A0FE8">
        <w:rPr>
          <w:rFonts w:ascii="Times New Roman" w:eastAsiaTheme="minorEastAsia" w:hAnsi="Times New Roman" w:cs="Times New Roman"/>
          <w:sz w:val="24"/>
          <w:szCs w:val="24"/>
          <w:lang w:eastAsia="pt-BR"/>
        </w:rPr>
        <w:t xml:space="preserve"> utilizamos a abordagem </w:t>
      </w:r>
      <w:r w:rsidR="00B01535" w:rsidRPr="007A0FE8">
        <w:rPr>
          <w:rFonts w:ascii="Times New Roman" w:eastAsiaTheme="minorEastAsia" w:hAnsi="Times New Roman" w:cs="Times New Roman"/>
          <w:sz w:val="24"/>
          <w:szCs w:val="24"/>
          <w:lang w:eastAsia="pt-BR"/>
        </w:rPr>
        <w:t xml:space="preserve">de </w:t>
      </w:r>
      <w:proofErr w:type="spellStart"/>
      <w:r w:rsidR="00B01535" w:rsidRPr="007A0FE8">
        <w:rPr>
          <w:rFonts w:ascii="Times New Roman" w:eastAsiaTheme="minorEastAsia" w:hAnsi="Times New Roman" w:cs="Times New Roman"/>
          <w:sz w:val="24"/>
          <w:szCs w:val="24"/>
          <w:lang w:eastAsia="pt-BR"/>
        </w:rPr>
        <w:t>Pennacchi</w:t>
      </w:r>
      <w:proofErr w:type="spellEnd"/>
      <w:r w:rsidR="00B01535" w:rsidRPr="007A0FE8">
        <w:rPr>
          <w:rFonts w:ascii="Times New Roman" w:hAnsi="Times New Roman" w:cs="Times New Roman"/>
          <w:sz w:val="24"/>
          <w:szCs w:val="24"/>
        </w:rPr>
        <w:t xml:space="preserve"> (2010)</w:t>
      </w:r>
      <w:r w:rsidR="00EB7567" w:rsidRPr="007A0FE8">
        <w:rPr>
          <w:rFonts w:ascii="Times New Roman" w:hAnsi="Times New Roman" w:cs="Times New Roman"/>
          <w:sz w:val="24"/>
          <w:szCs w:val="24"/>
        </w:rPr>
        <w:t xml:space="preserve"> e </w:t>
      </w:r>
      <w:proofErr w:type="spellStart"/>
      <w:r w:rsidR="00EB7567" w:rsidRPr="007A0FE8">
        <w:rPr>
          <w:rFonts w:ascii="Times New Roman" w:eastAsiaTheme="minorEastAsia" w:hAnsi="Times New Roman" w:cs="Times New Roman"/>
          <w:sz w:val="24"/>
          <w:szCs w:val="24"/>
          <w:lang w:eastAsia="pt-BR"/>
        </w:rPr>
        <w:t>Calomiris</w:t>
      </w:r>
      <w:proofErr w:type="spellEnd"/>
      <w:r w:rsidR="00EB7567" w:rsidRPr="007A0FE8">
        <w:rPr>
          <w:rFonts w:ascii="Times New Roman" w:eastAsiaTheme="minorEastAsia" w:hAnsi="Times New Roman" w:cs="Times New Roman"/>
          <w:sz w:val="24"/>
          <w:szCs w:val="24"/>
          <w:lang w:eastAsia="pt-BR"/>
        </w:rPr>
        <w:t>, Charles e Richard (2011)</w:t>
      </w:r>
      <w:r w:rsidR="001F508C" w:rsidRPr="007A0FE8">
        <w:rPr>
          <w:rFonts w:ascii="Times New Roman" w:hAnsi="Times New Roman" w:cs="Times New Roman"/>
          <w:sz w:val="24"/>
          <w:szCs w:val="24"/>
        </w:rPr>
        <w:t>, que</w:t>
      </w:r>
      <w:r w:rsidR="00B01535" w:rsidRPr="007A0FE8">
        <w:rPr>
          <w:rFonts w:ascii="Times New Roman" w:hAnsi="Times New Roman" w:cs="Times New Roman"/>
          <w:sz w:val="24"/>
          <w:szCs w:val="24"/>
        </w:rPr>
        <w:t xml:space="preserve"> </w:t>
      </w:r>
      <w:r w:rsidRPr="007A0FE8">
        <w:rPr>
          <w:rFonts w:ascii="Times New Roman" w:eastAsiaTheme="minorEastAsia" w:hAnsi="Times New Roman" w:cs="Times New Roman"/>
          <w:sz w:val="24"/>
          <w:szCs w:val="24"/>
          <w:lang w:eastAsia="pt-BR"/>
        </w:rPr>
        <w:t xml:space="preserve">a </w:t>
      </w:r>
      <w:r w:rsidR="00141309" w:rsidRPr="007A0FE8">
        <w:rPr>
          <w:rFonts w:ascii="Times New Roman" w:eastAsiaTheme="minorEastAsia" w:hAnsi="Times New Roman" w:cs="Times New Roman"/>
          <w:sz w:val="24"/>
          <w:szCs w:val="24"/>
          <w:lang w:eastAsia="pt-BR"/>
        </w:rPr>
        <w:t>define</w:t>
      </w:r>
      <w:r w:rsidR="00EB7567" w:rsidRPr="007A0FE8">
        <w:rPr>
          <w:rFonts w:ascii="Times New Roman" w:eastAsiaTheme="minorEastAsia" w:hAnsi="Times New Roman" w:cs="Times New Roman"/>
          <w:sz w:val="24"/>
          <w:szCs w:val="24"/>
          <w:lang w:eastAsia="pt-BR"/>
        </w:rPr>
        <w:t>m</w:t>
      </w:r>
      <w:r w:rsidR="00141309" w:rsidRPr="007A0FE8">
        <w:rPr>
          <w:rFonts w:ascii="Times New Roman" w:eastAsiaTheme="minorEastAsia" w:hAnsi="Times New Roman" w:cs="Times New Roman"/>
          <w:sz w:val="24"/>
          <w:szCs w:val="24"/>
          <w:lang w:eastAsia="pt-BR"/>
        </w:rPr>
        <w:t xml:space="preserve"> </w:t>
      </w:r>
      <w:r w:rsidR="001F508C" w:rsidRPr="007A0FE8">
        <w:rPr>
          <w:rFonts w:ascii="Times New Roman" w:eastAsiaTheme="minorEastAsia" w:hAnsi="Times New Roman" w:cs="Times New Roman"/>
          <w:sz w:val="24"/>
          <w:szCs w:val="24"/>
          <w:lang w:eastAsia="pt-BR"/>
        </w:rPr>
        <w:t xml:space="preserve">como </w:t>
      </w:r>
      <w:r w:rsidRPr="007A0FE8">
        <w:rPr>
          <w:rFonts w:ascii="Times New Roman" w:eastAsiaTheme="minorEastAsia" w:hAnsi="Times New Roman" w:cs="Times New Roman"/>
          <w:sz w:val="24"/>
          <w:szCs w:val="24"/>
          <w:lang w:eastAsia="pt-BR"/>
        </w:rPr>
        <w:t xml:space="preserve">sendo a razão entre </w:t>
      </w:r>
      <w:r w:rsidR="00794C22" w:rsidRPr="007A0FE8">
        <w:rPr>
          <w:rFonts w:ascii="Times New Roman" w:eastAsiaTheme="minorEastAsia" w:hAnsi="Times New Roman" w:cs="Times New Roman"/>
          <w:sz w:val="24"/>
          <w:szCs w:val="24"/>
          <w:lang w:eastAsia="pt-BR"/>
        </w:rPr>
        <w:t>o montante de</w:t>
      </w:r>
      <w:r w:rsidRPr="007A0FE8">
        <w:rPr>
          <w:rFonts w:ascii="Times New Roman" w:eastAsiaTheme="minorEastAsia" w:hAnsi="Times New Roman" w:cs="Times New Roman"/>
          <w:sz w:val="24"/>
          <w:szCs w:val="24"/>
          <w:lang w:eastAsia="pt-BR"/>
        </w:rPr>
        <w:t xml:space="preserve"> dívida ótima e o total de ativos</w:t>
      </w:r>
      <w:r w:rsidR="00141309" w:rsidRPr="007A0FE8">
        <w:rPr>
          <w:rFonts w:ascii="Times New Roman" w:eastAsiaTheme="minorEastAsia" w:hAnsi="Times New Roman" w:cs="Times New Roman"/>
          <w:sz w:val="24"/>
          <w:szCs w:val="24"/>
          <w:lang w:eastAsia="pt-BR"/>
        </w:rPr>
        <w:t>:</w:t>
      </w:r>
    </w:p>
    <w:p w:rsidR="00141309" w:rsidRPr="007A0FE8" w:rsidRDefault="00141309" w:rsidP="00FF5024">
      <w:pPr>
        <w:spacing w:after="120" w:line="240" w:lineRule="auto"/>
        <w:jc w:val="right"/>
        <w:rPr>
          <w:rFonts w:ascii="Times New Roman" w:eastAsiaTheme="minorEastAsia" w:hAnsi="Times New Roman" w:cs="Times New Roman"/>
          <w:sz w:val="24"/>
          <w:szCs w:val="24"/>
          <w:lang w:eastAsia="pt-BR"/>
        </w:rPr>
      </w:pPr>
      <m:oMath>
        <m:r>
          <m:rPr>
            <m:sty m:val="p"/>
          </m:rPr>
          <w:rPr>
            <w:rFonts w:ascii="Cambria Math" w:eastAsiaTheme="minorEastAsia" w:hAnsi="Cambria Math" w:cs="Times New Roman"/>
            <w:sz w:val="24"/>
            <w:szCs w:val="24"/>
            <w:lang w:eastAsia="pt-BR"/>
          </w:rPr>
          <m:t>γ=</m:t>
        </m:r>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B ótima</m:t>
            </m:r>
          </m:num>
          <m:den>
            <m:r>
              <m:rPr>
                <m:sty m:val="p"/>
              </m:rPr>
              <w:rPr>
                <w:rFonts w:ascii="Cambria Math" w:eastAsiaTheme="minorEastAsia" w:hAnsi="Cambria Math" w:cs="Times New Roman"/>
                <w:sz w:val="24"/>
                <w:szCs w:val="24"/>
                <w:lang w:eastAsia="pt-BR"/>
              </w:rPr>
              <m:t>Total de Ativos</m:t>
            </m:r>
          </m:den>
        </m:f>
      </m:oMath>
      <w:r w:rsidRPr="007A0FE8">
        <w:rPr>
          <w:rFonts w:ascii="Times New Roman" w:eastAsiaTheme="minorEastAsia" w:hAnsi="Times New Roman" w:cs="Times New Roman"/>
          <w:sz w:val="24"/>
          <w:szCs w:val="24"/>
          <w:lang w:eastAsia="pt-BR"/>
        </w:rPr>
        <w:t xml:space="preserve">                                </w:t>
      </w:r>
      <w:r w:rsidR="00EA673A" w:rsidRPr="007A0FE8">
        <w:rPr>
          <w:rFonts w:ascii="Times New Roman" w:eastAsiaTheme="minorEastAsia" w:hAnsi="Times New Roman" w:cs="Times New Roman"/>
          <w:sz w:val="24"/>
          <w:szCs w:val="24"/>
          <w:lang w:eastAsia="pt-BR"/>
        </w:rPr>
        <w:t xml:space="preserve">                             (20</w:t>
      </w:r>
      <w:r w:rsidRPr="007A0FE8">
        <w:rPr>
          <w:rFonts w:ascii="Times New Roman" w:eastAsiaTheme="minorEastAsia" w:hAnsi="Times New Roman" w:cs="Times New Roman"/>
          <w:sz w:val="24"/>
          <w:szCs w:val="24"/>
          <w:lang w:eastAsia="pt-BR"/>
        </w:rPr>
        <w:t>)</w:t>
      </w:r>
    </w:p>
    <w:p w:rsidR="001F508C" w:rsidRPr="007A0FE8" w:rsidRDefault="008D15C9"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O</w:t>
      </w:r>
      <w:r w:rsidR="001F508C" w:rsidRPr="007A0FE8">
        <w:rPr>
          <w:rFonts w:ascii="Times New Roman" w:eastAsiaTheme="minorEastAsia" w:hAnsi="Times New Roman" w:cs="Times New Roman"/>
          <w:sz w:val="24"/>
          <w:szCs w:val="24"/>
          <w:lang w:eastAsia="pt-BR"/>
        </w:rPr>
        <w:t xml:space="preserve"> parâmetro </w:t>
      </w:r>
      <m:oMath>
        <m:r>
          <m:rPr>
            <m:scr m:val="script"/>
            <m:sty m:val="p"/>
          </m:rPr>
          <w:rPr>
            <w:rFonts w:ascii="Cambria Math" w:eastAsiaTheme="minorEastAsia" w:hAnsi="Cambria Math" w:cs="Times New Roman"/>
            <w:sz w:val="24"/>
            <w:szCs w:val="24"/>
            <w:lang w:eastAsia="pt-BR"/>
          </w:rPr>
          <m:t>X</m:t>
        </m:r>
      </m:oMath>
      <w:r w:rsidRPr="007A0FE8">
        <w:rPr>
          <w:rFonts w:ascii="Times New Roman" w:eastAsiaTheme="minorEastAsia" w:hAnsi="Times New Roman" w:cs="Times New Roman"/>
          <w:sz w:val="24"/>
          <w:szCs w:val="24"/>
          <w:lang w:eastAsia="pt-BR"/>
        </w:rPr>
        <w:t xml:space="preserve"> </w:t>
      </w:r>
      <w:r w:rsidR="00AA09AD" w:rsidRPr="007A0FE8">
        <w:rPr>
          <w:rFonts w:ascii="Times New Roman" w:eastAsiaTheme="minorEastAsia" w:hAnsi="Times New Roman" w:cs="Times New Roman"/>
          <w:sz w:val="24"/>
          <w:szCs w:val="24"/>
          <w:lang w:eastAsia="pt-BR"/>
        </w:rPr>
        <w:t xml:space="preserve">é a fronteira de conversão dos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A153C9" w:rsidRPr="007A0FE8">
        <w:rPr>
          <w:rFonts w:ascii="Times New Roman" w:eastAsiaTheme="minorEastAsia" w:hAnsi="Times New Roman" w:cs="Times New Roman"/>
          <w:sz w:val="24"/>
          <w:szCs w:val="24"/>
          <w:lang w:eastAsia="pt-BR"/>
        </w:rPr>
        <w:t>,</w:t>
      </w:r>
      <w:r w:rsidR="00AA09AD" w:rsidRPr="007A0FE8">
        <w:rPr>
          <w:rFonts w:ascii="Times New Roman" w:eastAsiaTheme="minorEastAsia" w:hAnsi="Times New Roman" w:cs="Times New Roman"/>
          <w:sz w:val="24"/>
          <w:szCs w:val="24"/>
          <w:lang w:eastAsia="pt-BR"/>
        </w:rPr>
        <w:t xml:space="preserve"> que é dada por:</w:t>
      </w:r>
      <w:r w:rsidR="00AF1EE8">
        <w:rPr>
          <w:rFonts w:ascii="Times New Roman" w:eastAsiaTheme="minorEastAsia" w:hAnsi="Times New Roman" w:cs="Times New Roman"/>
          <w:sz w:val="24"/>
          <w:szCs w:val="24"/>
          <w:lang w:eastAsia="pt-BR"/>
        </w:rPr>
        <w:t xml:space="preserve"> </w:t>
      </w:r>
    </w:p>
    <w:p w:rsidR="00AA09AD" w:rsidRPr="007A0FE8" w:rsidRDefault="00AA09AD" w:rsidP="00FF5024">
      <w:pPr>
        <w:spacing w:after="120" w:line="240" w:lineRule="auto"/>
        <w:jc w:val="right"/>
        <w:rPr>
          <w:rFonts w:ascii="Times New Roman" w:eastAsiaTheme="minorEastAsia" w:hAnsi="Times New Roman" w:cs="Times New Roman"/>
          <w:sz w:val="24"/>
          <w:szCs w:val="24"/>
          <w:lang w:eastAsia="pt-BR"/>
        </w:rPr>
      </w:pPr>
      <m:oMath>
        <m:r>
          <m:rPr>
            <m:scr m:val="script"/>
            <m:sty m:val="p"/>
          </m:rPr>
          <w:rPr>
            <w:rFonts w:ascii="Cambria Math" w:eastAsiaTheme="minorEastAsia" w:hAnsi="Cambria Math" w:cs="Times New Roman"/>
            <w:sz w:val="24"/>
            <w:szCs w:val="24"/>
            <w:lang w:eastAsia="pt-BR"/>
          </w:rPr>
          <m:t xml:space="preserve">X= </m:t>
        </m:r>
        <m:r>
          <m:rPr>
            <m:sty m:val="p"/>
          </m:rPr>
          <w:rPr>
            <w:rFonts w:ascii="Cambria Math" w:eastAsiaTheme="minorEastAsia" w:hAnsi="Cambria Math" w:cs="Times New Roman"/>
            <w:sz w:val="24"/>
            <w:szCs w:val="24"/>
            <w:lang w:eastAsia="pt-BR"/>
          </w:rPr>
          <m:t>ϕ(d+c)</m:t>
        </m:r>
      </m:oMath>
      <w:r w:rsidR="00EA673A" w:rsidRPr="007A0FE8">
        <w:rPr>
          <w:rFonts w:ascii="Times New Roman" w:eastAsiaTheme="minorEastAsia" w:hAnsi="Times New Roman" w:cs="Times New Roman"/>
          <w:sz w:val="24"/>
          <w:szCs w:val="24"/>
          <w:lang w:eastAsia="pt-BR"/>
        </w:rPr>
        <w:t xml:space="preserve">                                                             </w:t>
      </w:r>
      <w:r w:rsidRPr="007A0FE8">
        <w:rPr>
          <w:rFonts w:ascii="Times New Roman" w:eastAsiaTheme="minorEastAsia" w:hAnsi="Times New Roman" w:cs="Times New Roman"/>
          <w:sz w:val="24"/>
          <w:szCs w:val="24"/>
          <w:lang w:eastAsia="pt-BR"/>
        </w:rPr>
        <w:t>(2</w:t>
      </w:r>
      <w:r w:rsidR="00824709" w:rsidRPr="007A0FE8">
        <w:rPr>
          <w:rFonts w:ascii="Times New Roman" w:eastAsiaTheme="minorEastAsia" w:hAnsi="Times New Roman" w:cs="Times New Roman"/>
          <w:sz w:val="24"/>
          <w:szCs w:val="24"/>
          <w:lang w:eastAsia="pt-BR"/>
        </w:rPr>
        <w:t>1</w:t>
      </w:r>
      <w:r w:rsidRPr="007A0FE8">
        <w:rPr>
          <w:rFonts w:ascii="Times New Roman" w:eastAsiaTheme="minorEastAsia" w:hAnsi="Times New Roman" w:cs="Times New Roman"/>
          <w:sz w:val="24"/>
          <w:szCs w:val="24"/>
          <w:lang w:eastAsia="pt-BR"/>
        </w:rPr>
        <w:t>)</w:t>
      </w:r>
    </w:p>
    <w:p w:rsidR="008D15C9" w:rsidRPr="007A0FE8" w:rsidRDefault="003576D0"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Como b*=c, então </w:t>
      </w:r>
      <m:oMath>
        <m:r>
          <m:rPr>
            <m:scr m:val="script"/>
            <m:sty m:val="p"/>
          </m:rPr>
          <w:rPr>
            <w:rFonts w:ascii="Cambria Math" w:eastAsiaTheme="minorEastAsia" w:hAnsi="Cambria Math" w:cs="Times New Roman"/>
            <w:sz w:val="24"/>
            <w:szCs w:val="24"/>
            <w:lang w:eastAsia="pt-BR"/>
          </w:rPr>
          <m:t>X</m:t>
        </m:r>
        <m:r>
          <m:rPr>
            <m:sty m:val="p"/>
          </m:rPr>
          <w:rPr>
            <w:rFonts w:ascii="Cambria Math" w:eastAsiaTheme="minorEastAsia" w:hAnsi="Cambria Math" w:cs="Times New Roman"/>
            <w:sz w:val="24"/>
            <w:szCs w:val="24"/>
            <w:lang w:eastAsia="pt-BR"/>
          </w:rPr>
          <m:t>=π ótimo=</m:t>
        </m:r>
      </m:oMath>
      <w:r w:rsidR="00A153C9" w:rsidRPr="007A0FE8">
        <w:rPr>
          <w:rFonts w:ascii="Times New Roman" w:eastAsiaTheme="minorEastAsia" w:hAnsi="Times New Roman" w:cs="Times New Roman"/>
          <w:sz w:val="24"/>
          <w:szCs w:val="24"/>
          <w:lang w:eastAsia="pt-BR"/>
        </w:rPr>
        <w:t xml:space="preserve"> R$21.760 bilhões</w:t>
      </w:r>
      <w:r w:rsidR="00D15772" w:rsidRPr="007A0FE8">
        <w:rPr>
          <w:rFonts w:ascii="Times New Roman" w:eastAsiaTheme="minorEastAsia" w:hAnsi="Times New Roman" w:cs="Times New Roman"/>
          <w:sz w:val="24"/>
          <w:szCs w:val="24"/>
          <w:lang w:eastAsia="pt-BR"/>
        </w:rPr>
        <w:t xml:space="preserve">. </w:t>
      </w:r>
      <w:r w:rsidR="008D15C9" w:rsidRPr="007A0FE8">
        <w:rPr>
          <w:rFonts w:ascii="Times New Roman" w:eastAsiaTheme="minorEastAsia" w:hAnsi="Times New Roman" w:cs="Times New Roman"/>
          <w:sz w:val="24"/>
          <w:szCs w:val="24"/>
          <w:lang w:eastAsia="pt-BR"/>
        </w:rPr>
        <w:t xml:space="preserve">E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ξ</m:t>
            </m:r>
          </m:e>
          <m:sub>
            <m:r>
              <m:rPr>
                <m:sty m:val="p"/>
              </m:rPr>
              <w:rPr>
                <w:rFonts w:ascii="Cambria Math" w:eastAsiaTheme="minorEastAsia" w:hAnsi="Cambria Math" w:cs="Times New Roman"/>
                <w:sz w:val="24"/>
                <w:szCs w:val="24"/>
                <w:lang w:eastAsia="pt-BR"/>
              </w:rPr>
              <m:t>c</m:t>
            </m:r>
          </m:sub>
        </m:sSub>
      </m:oMath>
      <w:r w:rsidR="003F1581" w:rsidRPr="007A0FE8">
        <w:rPr>
          <w:rFonts w:ascii="Times New Roman" w:eastAsiaTheme="minorEastAsia" w:hAnsi="Times New Roman" w:cs="Times New Roman"/>
          <w:sz w:val="24"/>
          <w:szCs w:val="24"/>
          <w:lang w:eastAsia="pt-BR"/>
        </w:rPr>
        <w:t xml:space="preserve"> </w:t>
      </w:r>
      <w:r w:rsidR="008D15C9" w:rsidRPr="007A0FE8">
        <w:rPr>
          <w:rFonts w:ascii="Times New Roman" w:eastAsiaTheme="minorEastAsia" w:hAnsi="Times New Roman" w:cs="Times New Roman"/>
          <w:sz w:val="24"/>
          <w:szCs w:val="24"/>
          <w:lang w:eastAsia="pt-BR"/>
        </w:rPr>
        <w:t xml:space="preserve">é a fronteira </w:t>
      </w:r>
      <w:proofErr w:type="gramStart"/>
      <w:r w:rsidR="00AF1EE8">
        <w:rPr>
          <w:rFonts w:ascii="Times New Roman" w:eastAsiaTheme="minorEastAsia" w:hAnsi="Times New Roman" w:cs="Times New Roman"/>
          <w:sz w:val="24"/>
          <w:szCs w:val="24"/>
          <w:lang w:eastAsia="pt-BR"/>
        </w:rPr>
        <w:t>pós</w:t>
      </w:r>
      <w:r w:rsidR="008D15C9" w:rsidRPr="007A0FE8">
        <w:rPr>
          <w:rFonts w:ascii="Times New Roman" w:eastAsiaTheme="minorEastAsia" w:hAnsi="Times New Roman" w:cs="Times New Roman"/>
          <w:sz w:val="24"/>
          <w:szCs w:val="24"/>
          <w:lang w:eastAsia="pt-BR"/>
        </w:rPr>
        <w:t xml:space="preserve"> conversão</w:t>
      </w:r>
      <w:proofErr w:type="gramEnd"/>
      <w:r w:rsidR="003F1581" w:rsidRPr="007A0FE8">
        <w:rPr>
          <w:rFonts w:ascii="Times New Roman" w:eastAsiaTheme="minorEastAsia" w:hAnsi="Times New Roman" w:cs="Times New Roman"/>
          <w:sz w:val="24"/>
          <w:szCs w:val="24"/>
          <w:lang w:eastAsia="pt-BR"/>
        </w:rPr>
        <w:t>, dada por:</w:t>
      </w:r>
    </w:p>
    <w:p w:rsidR="003F1581" w:rsidRPr="007A0FE8" w:rsidRDefault="00445FF9" w:rsidP="00FF5024">
      <w:pPr>
        <w:spacing w:after="120" w:line="240" w:lineRule="auto"/>
        <w:jc w:val="right"/>
        <w:rPr>
          <w:rFonts w:ascii="Times New Roman" w:eastAsiaTheme="minorEastAsia" w:hAnsi="Times New Roman" w:cs="Times New Roman"/>
          <w:sz w:val="24"/>
          <w:szCs w:val="24"/>
          <w:lang w:eastAsia="pt-BR"/>
        </w:rPr>
      </w:pP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ξ</m:t>
            </m:r>
          </m:e>
          <m:sub>
            <m:r>
              <m:rPr>
                <m:sty m:val="p"/>
              </m:rPr>
              <w:rPr>
                <w:rFonts w:ascii="Cambria Math" w:eastAsiaTheme="minorEastAsia" w:hAnsi="Cambria Math" w:cs="Times New Roman"/>
                <w:sz w:val="24"/>
                <w:szCs w:val="24"/>
                <w:lang w:eastAsia="pt-BR"/>
              </w:rPr>
              <m:t>c</m:t>
            </m:r>
          </m:sub>
        </m:sSub>
        <m:r>
          <w:rPr>
            <w:rFonts w:ascii="Cambria Math" w:eastAsiaTheme="minorEastAsia" w:hAnsi="Cambria Math" w:cs="Times New Roman"/>
            <w:sz w:val="24"/>
            <w:szCs w:val="24"/>
            <w:lang w:eastAsia="pt-BR"/>
          </w:rPr>
          <m:t>=</m:t>
        </m:r>
        <m:r>
          <m:rPr>
            <m:sty m:val="p"/>
          </m:rPr>
          <w:rPr>
            <w:rFonts w:ascii="Cambria Math" w:eastAsiaTheme="minorEastAsia" w:hAnsi="Cambria Math" w:cs="Times New Roman"/>
            <w:sz w:val="24"/>
            <w:szCs w:val="24"/>
            <w:lang w:eastAsia="pt-BR"/>
          </w:rPr>
          <m:t>ϕ(d)</m:t>
        </m:r>
      </m:oMath>
      <w:r w:rsidR="003F1581" w:rsidRPr="007A0FE8">
        <w:rPr>
          <w:rFonts w:ascii="Times New Roman" w:eastAsiaTheme="minorEastAsia" w:hAnsi="Times New Roman" w:cs="Times New Roman"/>
          <w:sz w:val="24"/>
          <w:szCs w:val="24"/>
          <w:lang w:eastAsia="pt-BR"/>
        </w:rPr>
        <w:t xml:space="preserve">                                                                (22)</w:t>
      </w:r>
    </w:p>
    <w:p w:rsidR="0007301E" w:rsidRPr="007A0FE8" w:rsidRDefault="00FE6C2E"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Para o Banco do Brasil</w:t>
      </w:r>
      <w:r w:rsidR="00C109FA" w:rsidRPr="007A0FE8">
        <w:rPr>
          <w:rFonts w:ascii="Times New Roman" w:eastAsiaTheme="minorEastAsia" w:hAnsi="Times New Roman" w:cs="Times New Roman"/>
          <w:sz w:val="24"/>
          <w:szCs w:val="24"/>
          <w:lang w:eastAsia="pt-BR"/>
        </w:rPr>
        <w:t xml:space="preserve"> </w:t>
      </w:r>
      <m:oMath>
        <m:r>
          <m:rPr>
            <m:sty m:val="p"/>
          </m:rPr>
          <w:rPr>
            <w:rFonts w:ascii="Cambria Math" w:eastAsiaTheme="minorEastAsia" w:hAnsi="Cambria Math" w:cs="Times New Roman"/>
            <w:sz w:val="24"/>
            <w:szCs w:val="24"/>
            <w:lang w:eastAsia="pt-BR"/>
          </w:rPr>
          <m:t>γ=</m:t>
        </m:r>
      </m:oMath>
      <w:r w:rsidR="00EA673A" w:rsidRPr="007A0FE8">
        <w:rPr>
          <w:rFonts w:ascii="Times New Roman" w:eastAsiaTheme="minorEastAsia" w:hAnsi="Times New Roman" w:cs="Times New Roman"/>
          <w:sz w:val="24"/>
          <w:szCs w:val="24"/>
          <w:lang w:eastAsia="pt-BR"/>
        </w:rPr>
        <w:t xml:space="preserve"> </w:t>
      </w:r>
      <w:proofErr w:type="gramStart"/>
      <w:r w:rsidR="00794C22" w:rsidRPr="007A0FE8">
        <w:rPr>
          <w:rFonts w:ascii="Times New Roman" w:eastAsiaTheme="minorEastAsia" w:hAnsi="Times New Roman" w:cs="Times New Roman"/>
          <w:sz w:val="24"/>
          <w:szCs w:val="24"/>
          <w:lang w:eastAsia="pt-BR"/>
        </w:rPr>
        <w:t>0,035</w:t>
      </w:r>
      <w:r w:rsidR="00C109FA" w:rsidRPr="007A0FE8">
        <w:rPr>
          <w:rFonts w:ascii="Times New Roman" w:eastAsiaTheme="minorEastAsia" w:hAnsi="Times New Roman" w:cs="Times New Roman"/>
          <w:sz w:val="24"/>
          <w:szCs w:val="24"/>
          <w:lang w:eastAsia="pt-BR"/>
        </w:rPr>
        <w:t xml:space="preserve"> </w:t>
      </w:r>
      <w:r w:rsidR="00EA673A" w:rsidRPr="007A0FE8">
        <w:rPr>
          <w:rFonts w:ascii="Times New Roman" w:eastAsiaTheme="minorEastAsia" w:hAnsi="Times New Roman" w:cs="Times New Roman"/>
          <w:sz w:val="24"/>
          <w:szCs w:val="24"/>
          <w:lang w:eastAsia="pt-BR"/>
        </w:rPr>
        <w:t>,</w:t>
      </w:r>
      <w:proofErr w:type="gramEnd"/>
      <w:r w:rsidR="00EA673A" w:rsidRPr="007A0FE8">
        <w:rPr>
          <w:rFonts w:ascii="Times New Roman" w:eastAsiaTheme="minorEastAsia" w:hAnsi="Times New Roman" w:cs="Times New Roman"/>
          <w:sz w:val="24"/>
          <w:szCs w:val="24"/>
          <w:lang w:eastAsia="pt-BR"/>
        </w:rPr>
        <w:t xml:space="preserve"> </w:t>
      </w:r>
      <w:r w:rsidR="008D15C9" w:rsidRPr="007A0FE8">
        <w:rPr>
          <w:rFonts w:ascii="Times New Roman" w:eastAsiaTheme="minorEastAsia" w:hAnsi="Times New Roman" w:cs="Times New Roman"/>
          <w:sz w:val="24"/>
          <w:szCs w:val="24"/>
          <w:lang w:eastAsia="pt-BR"/>
        </w:rPr>
        <w:t xml:space="preserve">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ξ</m:t>
            </m:r>
          </m:e>
          <m:sub>
            <m:r>
              <m:rPr>
                <m:sty m:val="p"/>
              </m:rPr>
              <w:rPr>
                <w:rFonts w:ascii="Cambria Math" w:eastAsiaTheme="minorEastAsia" w:hAnsi="Cambria Math" w:cs="Times New Roman"/>
                <w:sz w:val="24"/>
                <w:szCs w:val="24"/>
                <w:lang w:eastAsia="pt-BR"/>
              </w:rPr>
              <m:t>c</m:t>
            </m:r>
          </m:sub>
        </m:sSub>
      </m:oMath>
      <w:r w:rsidR="008D15C9" w:rsidRPr="007A0FE8">
        <w:rPr>
          <w:rFonts w:ascii="Times New Roman" w:eastAsiaTheme="minorEastAsia" w:hAnsi="Times New Roman" w:cs="Times New Roman"/>
          <w:sz w:val="24"/>
          <w:szCs w:val="24"/>
          <w:lang w:eastAsia="pt-BR"/>
        </w:rPr>
        <w:t>=</w:t>
      </w:r>
      <w:r w:rsidR="005C56A0" w:rsidRPr="007A0FE8">
        <w:rPr>
          <w:rFonts w:ascii="Times New Roman" w:eastAsiaTheme="minorEastAsia" w:hAnsi="Times New Roman" w:cs="Times New Roman"/>
          <w:sz w:val="24"/>
          <w:szCs w:val="24"/>
          <w:lang w:eastAsia="pt-BR"/>
        </w:rPr>
        <w:t>12.289</w:t>
      </w:r>
      <w:r w:rsidR="00D15772" w:rsidRPr="007A0FE8">
        <w:rPr>
          <w:rFonts w:ascii="Times New Roman" w:eastAsiaTheme="minorEastAsia" w:hAnsi="Times New Roman" w:cs="Times New Roman"/>
          <w:sz w:val="24"/>
          <w:szCs w:val="24"/>
          <w:lang w:eastAsia="pt-BR"/>
        </w:rPr>
        <w:t xml:space="preserve"> bilhões e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C</m:t>
            </m:r>
          </m:e>
          <m:sub>
            <m:r>
              <m:rPr>
                <m:sty m:val="p"/>
              </m:rPr>
              <w:rPr>
                <w:rFonts w:ascii="Cambria Math" w:eastAsiaTheme="minorEastAsia" w:hAnsi="Cambria Math" w:cs="Times New Roman"/>
                <w:sz w:val="24"/>
                <w:szCs w:val="24"/>
                <w:lang w:eastAsia="pt-BR"/>
              </w:rPr>
              <m:t>t</m:t>
            </m:r>
          </m:sub>
        </m:sSub>
        <m:r>
          <m:rPr>
            <m:sty m:val="p"/>
          </m:rPr>
          <w:rPr>
            <w:rFonts w:ascii="Cambria Math" w:eastAsiaTheme="minorEastAsia" w:hAnsi="Cambria Math" w:cs="Times New Roman"/>
            <w:sz w:val="24"/>
            <w:szCs w:val="24"/>
            <w:lang w:eastAsia="pt-BR"/>
          </w:rPr>
          <m:t>=</m:t>
        </m:r>
      </m:oMath>
      <w:r w:rsidR="00D15772" w:rsidRPr="007A0FE8">
        <w:rPr>
          <w:rFonts w:ascii="Times New Roman" w:eastAsiaTheme="minorEastAsia" w:hAnsi="Times New Roman" w:cs="Times New Roman"/>
          <w:sz w:val="24"/>
          <w:szCs w:val="24"/>
          <w:lang w:eastAsia="pt-BR"/>
        </w:rPr>
        <w:t xml:space="preserve"> </w:t>
      </w:r>
      <w:r w:rsidR="00794C22" w:rsidRPr="007A0FE8">
        <w:rPr>
          <w:rFonts w:ascii="Times New Roman" w:eastAsiaTheme="minorEastAsia" w:hAnsi="Times New Roman" w:cs="Times New Roman"/>
          <w:sz w:val="24"/>
          <w:szCs w:val="24"/>
          <w:lang w:eastAsia="pt-BR"/>
        </w:rPr>
        <w:t>47.260</w:t>
      </w:r>
      <w:r w:rsidR="005C56A0" w:rsidRPr="007A0FE8">
        <w:rPr>
          <w:rFonts w:ascii="Times New Roman" w:eastAsiaTheme="minorEastAsia" w:hAnsi="Times New Roman" w:cs="Times New Roman"/>
          <w:sz w:val="24"/>
          <w:szCs w:val="24"/>
          <w:lang w:eastAsia="pt-BR"/>
        </w:rPr>
        <w:t xml:space="preserve"> </w:t>
      </w:r>
      <w:r w:rsidR="00285E6B" w:rsidRPr="007A0FE8">
        <w:rPr>
          <w:rFonts w:ascii="Times New Roman" w:eastAsiaTheme="minorEastAsia" w:hAnsi="Times New Roman" w:cs="Times New Roman"/>
          <w:sz w:val="24"/>
          <w:szCs w:val="24"/>
          <w:lang w:eastAsia="pt-BR"/>
        </w:rPr>
        <w:t>bilhões</w:t>
      </w:r>
      <w:r w:rsidR="00AF1EE8">
        <w:rPr>
          <w:rFonts w:ascii="Times New Roman" w:eastAsiaTheme="minorEastAsia" w:hAnsi="Times New Roman" w:cs="Times New Roman"/>
          <w:sz w:val="24"/>
          <w:szCs w:val="24"/>
          <w:lang w:eastAsia="pt-BR"/>
        </w:rPr>
        <w:t xml:space="preserve">. </w:t>
      </w:r>
      <w:r w:rsidR="001F508C" w:rsidRPr="007A0FE8">
        <w:rPr>
          <w:rFonts w:ascii="Times New Roman" w:eastAsiaTheme="minorEastAsia" w:hAnsi="Times New Roman" w:cs="Times New Roman"/>
          <w:sz w:val="24"/>
          <w:szCs w:val="24"/>
          <w:lang w:eastAsia="pt-BR"/>
        </w:rPr>
        <w:t xml:space="preserve">O </w:t>
      </w:r>
      <w:r w:rsidR="00D64C34" w:rsidRPr="007A0FE8">
        <w:rPr>
          <w:rFonts w:ascii="Times New Roman" w:eastAsiaTheme="minorEastAsia" w:hAnsi="Times New Roman" w:cs="Times New Roman"/>
          <w:sz w:val="24"/>
          <w:szCs w:val="24"/>
          <w:lang w:eastAsia="pt-BR"/>
        </w:rPr>
        <w:t>patrimônio líquido e o v</w:t>
      </w:r>
      <w:r w:rsidR="00FA1659" w:rsidRPr="007A0FE8">
        <w:rPr>
          <w:rFonts w:ascii="Times New Roman" w:eastAsiaTheme="minorEastAsia" w:hAnsi="Times New Roman" w:cs="Times New Roman"/>
          <w:sz w:val="24"/>
          <w:szCs w:val="24"/>
          <w:lang w:eastAsia="pt-BR"/>
        </w:rPr>
        <w:t xml:space="preserve">alor do banco, com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FA1659" w:rsidRPr="007A0FE8">
        <w:rPr>
          <w:rFonts w:ascii="Times New Roman" w:eastAsiaTheme="minorEastAsia" w:hAnsi="Times New Roman" w:cs="Times New Roman"/>
          <w:sz w:val="24"/>
          <w:szCs w:val="24"/>
          <w:lang w:eastAsia="pt-BR"/>
        </w:rPr>
        <w:t>,</w:t>
      </w:r>
      <w:r w:rsidR="00824709" w:rsidRPr="007A0FE8">
        <w:rPr>
          <w:rFonts w:ascii="Times New Roman" w:eastAsiaTheme="minorEastAsia" w:hAnsi="Times New Roman" w:cs="Times New Roman"/>
          <w:sz w:val="24"/>
          <w:szCs w:val="24"/>
          <w:lang w:eastAsia="pt-BR"/>
        </w:rPr>
        <w:t xml:space="preserve"> são dados, respectivamente, por </w:t>
      </w:r>
      <w:r w:rsidR="001F508C" w:rsidRPr="007A0FE8">
        <w:rPr>
          <w:rFonts w:ascii="Times New Roman" w:eastAsiaTheme="minorEastAsia" w:hAnsi="Times New Roman" w:cs="Times New Roman"/>
          <w:sz w:val="24"/>
          <w:szCs w:val="24"/>
          <w:lang w:eastAsia="pt-BR"/>
        </w:rPr>
        <w:t>:</w:t>
      </w:r>
    </w:p>
    <w:p w:rsidR="0007301E" w:rsidRPr="007A0FE8" w:rsidRDefault="00445FF9" w:rsidP="00FF5024">
      <w:pPr>
        <w:spacing w:after="120" w:line="240" w:lineRule="auto"/>
        <w:jc w:val="right"/>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c</m:t>
            </m:r>
          </m:sup>
        </m:sSubSup>
        <m:r>
          <w:rPr>
            <w:rFonts w:ascii="Cambria Math" w:eastAsiaTheme="minorEastAsia" w:hAnsi="Cambria Math" w:cs="Times New Roman"/>
            <w:sz w:val="24"/>
            <w:szCs w:val="24"/>
          </w:rPr>
          <m:t>=</m:t>
        </m:r>
        <m:r>
          <m:rPr>
            <m:scr m:val="script"/>
          </m:rP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,d+c</m:t>
            </m:r>
          </m:e>
        </m:d>
        <m:r>
          <m:rPr>
            <m:scr m:val="script"/>
          </m:rPr>
          <w:rPr>
            <w:rFonts w:ascii="Cambria Math" w:hAnsi="Cambria Math" w:cs="Times New Roman"/>
            <w:sz w:val="24"/>
            <w:szCs w:val="24"/>
          </w:rPr>
          <m:t>-V</m:t>
        </m:r>
        <m:d>
          <m:dPr>
            <m:ctrlPr>
              <w:rPr>
                <w:rFonts w:ascii="Cambria Math" w:hAnsi="Cambria Math" w:cs="Times New Roman"/>
                <w:i/>
                <w:sz w:val="24"/>
                <w:szCs w:val="24"/>
              </w:rPr>
            </m:ctrlPr>
          </m:dPr>
          <m:e>
            <m:r>
              <m:rPr>
                <m:scr m:val="script"/>
              </m:rPr>
              <w:rPr>
                <w:rFonts w:ascii="Cambria Math" w:hAnsi="Cambria Math" w:cs="Times New Roman"/>
                <w:sz w:val="24"/>
                <w:szCs w:val="24"/>
              </w:rPr>
              <m:t>X,</m:t>
            </m:r>
            <m:r>
              <w:rPr>
                <w:rFonts w:ascii="Cambria Math" w:hAnsi="Cambria Math" w:cs="Times New Roman"/>
                <w:sz w:val="24"/>
                <w:szCs w:val="24"/>
              </w:rPr>
              <m:t>d+c</m:t>
            </m:r>
          </m:e>
        </m:d>
        <m:r>
          <m:rPr>
            <m:scr m:val="script"/>
          </m:rP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m:rPr>
                <m:scr m:val="script"/>
              </m:rP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1-γ</m:t>
            </m:r>
          </m:e>
        </m:d>
        <m:r>
          <m:rPr>
            <m:scr m:val="script"/>
          </m:rP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m:rPr>
                <m:scr m:val="script"/>
              </m:rPr>
              <w:rPr>
                <w:rFonts w:ascii="Cambria Math" w:hAnsi="Cambria Math" w:cs="Times New Roman"/>
                <w:sz w:val="24"/>
                <w:szCs w:val="24"/>
              </w:rPr>
              <m:t>,X</m:t>
            </m:r>
          </m:e>
        </m:d>
        <m:r>
          <m:rPr>
            <m:scr m:val="script"/>
          </m:rPr>
          <w:rPr>
            <w:rFonts w:ascii="Cambria Math" w:hAnsi="Cambria Math" w:cs="Times New Roman"/>
            <w:sz w:val="24"/>
            <w:szCs w:val="24"/>
          </w:rPr>
          <m:t>V</m:t>
        </m:r>
        <m:d>
          <m:dPr>
            <m:ctrlPr>
              <w:rPr>
                <w:rFonts w:ascii="Cambria Math" w:hAnsi="Cambria Math" w:cs="Times New Roman"/>
                <w:i/>
                <w:sz w:val="24"/>
                <w:szCs w:val="24"/>
              </w:rPr>
            </m:ctrlPr>
          </m:dPr>
          <m:e>
            <m:r>
              <m:rPr>
                <m:scr m:val="script"/>
              </m:rPr>
              <w:rPr>
                <w:rFonts w:ascii="Cambria Math" w:hAnsi="Cambria Math" w:cs="Times New Roman"/>
                <w:sz w:val="24"/>
                <w:szCs w:val="24"/>
              </w:rPr>
              <m:t>X,</m:t>
            </m:r>
            <m:r>
              <w:rPr>
                <w:rFonts w:ascii="Cambria Math" w:hAnsi="Cambria Math" w:cs="Times New Roman"/>
                <w:sz w:val="24"/>
                <w:szCs w:val="24"/>
              </w:rPr>
              <m:t>d</m:t>
            </m:r>
          </m:e>
        </m:d>
        <m:r>
          <m:rPr>
            <m:scr m:val="script"/>
          </m:rP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c</m:t>
                </m:r>
              </m:sub>
            </m:sSub>
            <m:r>
              <w:rPr>
                <w:rFonts w:ascii="Cambria Math" w:hAnsi="Cambria Math" w:cs="Times New Roman"/>
                <w:sz w:val="24"/>
                <w:szCs w:val="24"/>
              </w:rPr>
              <m:t>,d</m:t>
            </m:r>
          </m:e>
        </m:d>
        <m:r>
          <m:rPr>
            <m:scr m:val="script"/>
          </m:rPr>
          <w:rPr>
            <w:rFonts w:ascii="Cambria Math" w:hAnsi="Cambria Math" w:cs="Times New Roman"/>
            <w:sz w:val="24"/>
            <w:szCs w:val="24"/>
          </w:rPr>
          <m:t>D</m:t>
        </m:r>
        <m:d>
          <m:dPr>
            <m:ctrlPr>
              <w:rPr>
                <w:rFonts w:ascii="Cambria Math" w:hAnsi="Cambria Math" w:cs="Times New Roman"/>
                <w:i/>
                <w:sz w:val="24"/>
                <w:szCs w:val="24"/>
              </w:rPr>
            </m:ctrlPr>
          </m:dPr>
          <m:e>
            <m:r>
              <m:rPr>
                <m:scr m:val="script"/>
              </m:rP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c</m:t>
                </m:r>
              </m:sub>
            </m:sSub>
          </m:e>
        </m:d>
      </m:oMath>
      <w:r w:rsidR="0007301E" w:rsidRPr="007A0FE8">
        <w:rPr>
          <w:rFonts w:ascii="Times New Roman" w:eastAsiaTheme="minorEastAsia" w:hAnsi="Times New Roman" w:cs="Times New Roman"/>
          <w:sz w:val="24"/>
          <w:szCs w:val="24"/>
        </w:rPr>
        <w:t xml:space="preserve">    (2</w:t>
      </w:r>
      <w:r w:rsidR="003F1581" w:rsidRPr="007A0FE8">
        <w:rPr>
          <w:rFonts w:ascii="Times New Roman" w:eastAsiaTheme="minorEastAsia" w:hAnsi="Times New Roman" w:cs="Times New Roman"/>
          <w:sz w:val="24"/>
          <w:szCs w:val="24"/>
        </w:rPr>
        <w:t>3</w:t>
      </w:r>
      <w:r w:rsidR="0007301E" w:rsidRPr="007A0FE8">
        <w:rPr>
          <w:rFonts w:ascii="Times New Roman" w:eastAsiaTheme="minorEastAsia" w:hAnsi="Times New Roman" w:cs="Times New Roman"/>
          <w:sz w:val="24"/>
          <w:szCs w:val="24"/>
        </w:rPr>
        <w:t>)</w:t>
      </w:r>
    </w:p>
    <w:p w:rsidR="0007301E" w:rsidRPr="007A0FE8" w:rsidRDefault="00445FF9" w:rsidP="00FF5024">
      <w:pPr>
        <w:spacing w:after="120" w:line="240" w:lineRule="auto"/>
        <w:jc w:val="right"/>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c</m:t>
            </m:r>
          </m:sup>
        </m:sSub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c</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07301E" w:rsidRPr="007A0FE8">
        <w:rPr>
          <w:rFonts w:ascii="Times New Roman" w:eastAsiaTheme="minorEastAsia" w:hAnsi="Times New Roman" w:cs="Times New Roman"/>
          <w:sz w:val="24"/>
          <w:szCs w:val="24"/>
        </w:rPr>
        <w:t xml:space="preserve">                                                           (2</w:t>
      </w:r>
      <w:r w:rsidR="003F1581" w:rsidRPr="007A0FE8">
        <w:rPr>
          <w:rFonts w:ascii="Times New Roman" w:eastAsiaTheme="minorEastAsia" w:hAnsi="Times New Roman" w:cs="Times New Roman"/>
          <w:sz w:val="24"/>
          <w:szCs w:val="24"/>
        </w:rPr>
        <w:t>4</w:t>
      </w:r>
      <w:r w:rsidR="0007301E" w:rsidRPr="007A0FE8">
        <w:rPr>
          <w:rFonts w:ascii="Times New Roman" w:eastAsiaTheme="minorEastAsia" w:hAnsi="Times New Roman" w:cs="Times New Roman"/>
          <w:sz w:val="24"/>
          <w:szCs w:val="24"/>
        </w:rPr>
        <w:t>)</w:t>
      </w:r>
    </w:p>
    <w:p w:rsidR="00847DF0" w:rsidRPr="007A0FE8" w:rsidRDefault="00285E6B"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Para o Banco do Brasil </w:t>
      </w:r>
      <m:oMath>
        <m:sSubSup>
          <m:sSubSupPr>
            <m:ctrlPr>
              <w:rPr>
                <w:rFonts w:ascii="Cambria Math" w:eastAsiaTheme="minorEastAsia" w:hAnsi="Cambria Math" w:cs="Times New Roman"/>
                <w:sz w:val="24"/>
                <w:szCs w:val="24"/>
                <w:lang w:eastAsia="pt-BR"/>
              </w:rPr>
            </m:ctrlPr>
          </m:sSubSupPr>
          <m:e>
            <m:r>
              <m:rPr>
                <m:sty m:val="p"/>
              </m:rPr>
              <w:rPr>
                <w:rFonts w:ascii="Cambria Math" w:eastAsiaTheme="minorEastAsia" w:hAnsi="Cambria Math" w:cs="Times New Roman"/>
                <w:sz w:val="24"/>
                <w:szCs w:val="24"/>
                <w:lang w:eastAsia="pt-BR"/>
              </w:rPr>
              <m:t>S</m:t>
            </m:r>
          </m:e>
          <m:sub>
            <m:r>
              <m:rPr>
                <m:sty m:val="p"/>
              </m:rPr>
              <w:rPr>
                <w:rFonts w:ascii="Cambria Math" w:eastAsiaTheme="minorEastAsia" w:hAnsi="Cambria Math" w:cs="Times New Roman"/>
                <w:sz w:val="24"/>
                <w:szCs w:val="24"/>
                <w:lang w:eastAsia="pt-BR"/>
              </w:rPr>
              <m:t>t</m:t>
            </m:r>
          </m:sub>
          <m:sup>
            <m:r>
              <m:rPr>
                <m:sty m:val="p"/>
              </m:rPr>
              <w:rPr>
                <w:rFonts w:ascii="Cambria Math" w:eastAsiaTheme="minorEastAsia" w:hAnsi="Cambria Math" w:cs="Times New Roman"/>
                <w:sz w:val="24"/>
                <w:szCs w:val="24"/>
                <w:lang w:eastAsia="pt-BR"/>
              </w:rPr>
              <m:t>c</m:t>
            </m:r>
          </m:sup>
        </m:sSubSup>
        <m:r>
          <m:rPr>
            <m:sty m:val="p"/>
          </m:rPr>
          <w:rPr>
            <w:rFonts w:ascii="Cambria Math" w:eastAsiaTheme="minorEastAsia" w:hAnsi="Cambria Math" w:cs="Times New Roman"/>
            <w:sz w:val="24"/>
            <w:szCs w:val="24"/>
            <w:lang w:eastAsia="pt-BR"/>
          </w:rPr>
          <m:t>=</m:t>
        </m:r>
      </m:oMath>
      <w:r w:rsidR="00BF7C5A" w:rsidRPr="007A0FE8">
        <w:rPr>
          <w:rFonts w:ascii="Times New Roman" w:eastAsiaTheme="minorEastAsia" w:hAnsi="Times New Roman" w:cs="Times New Roman"/>
          <w:sz w:val="24"/>
          <w:szCs w:val="24"/>
          <w:lang w:eastAsia="pt-BR"/>
        </w:rPr>
        <w:t xml:space="preserve"> </w:t>
      </w:r>
      <w:r w:rsidR="00FA1659" w:rsidRPr="007A0FE8">
        <w:rPr>
          <w:rFonts w:ascii="Times New Roman" w:eastAsiaTheme="minorEastAsia" w:hAnsi="Times New Roman" w:cs="Times New Roman"/>
          <w:sz w:val="24"/>
          <w:szCs w:val="24"/>
          <w:lang w:eastAsia="pt-BR"/>
        </w:rPr>
        <w:t>36.134</w:t>
      </w:r>
      <w:r w:rsidRPr="007A0FE8">
        <w:rPr>
          <w:rFonts w:ascii="Times New Roman" w:eastAsiaTheme="minorEastAsia" w:hAnsi="Times New Roman" w:cs="Times New Roman"/>
          <w:sz w:val="24"/>
          <w:szCs w:val="24"/>
          <w:lang w:eastAsia="pt-BR"/>
        </w:rPr>
        <w:t xml:space="preserve"> bilhões e </w:t>
      </w:r>
      <m:oMath>
        <m:sSubSup>
          <m:sSubSupPr>
            <m:ctrlPr>
              <w:rPr>
                <w:rFonts w:ascii="Cambria Math" w:eastAsiaTheme="minorEastAsia" w:hAnsi="Cambria Math" w:cs="Times New Roman"/>
                <w:sz w:val="24"/>
                <w:szCs w:val="24"/>
                <w:lang w:eastAsia="pt-BR"/>
              </w:rPr>
            </m:ctrlPr>
          </m:sSubSupPr>
          <m:e>
            <m:r>
              <m:rPr>
                <m:sty m:val="p"/>
              </m:rPr>
              <w:rPr>
                <w:rFonts w:ascii="Cambria Math" w:eastAsiaTheme="minorEastAsia" w:hAnsi="Cambria Math" w:cs="Times New Roman"/>
                <w:sz w:val="24"/>
                <w:szCs w:val="24"/>
                <w:lang w:eastAsia="pt-BR"/>
              </w:rPr>
              <m:t>V</m:t>
            </m:r>
          </m:e>
          <m:sub>
            <m:r>
              <m:rPr>
                <m:sty m:val="p"/>
              </m:rPr>
              <w:rPr>
                <w:rFonts w:ascii="Cambria Math" w:eastAsiaTheme="minorEastAsia" w:hAnsi="Cambria Math" w:cs="Times New Roman"/>
                <w:sz w:val="24"/>
                <w:szCs w:val="24"/>
                <w:lang w:eastAsia="pt-BR"/>
              </w:rPr>
              <m:t>t</m:t>
            </m:r>
          </m:sub>
          <m:sup>
            <m:r>
              <m:rPr>
                <m:sty m:val="p"/>
              </m:rPr>
              <w:rPr>
                <w:rFonts w:ascii="Cambria Math" w:eastAsiaTheme="minorEastAsia" w:hAnsi="Cambria Math" w:cs="Times New Roman"/>
                <w:sz w:val="24"/>
                <w:szCs w:val="24"/>
                <w:lang w:eastAsia="pt-BR"/>
              </w:rPr>
              <m:t>c</m:t>
            </m:r>
          </m:sup>
        </m:sSubSup>
        <m:r>
          <m:rPr>
            <m:sty m:val="p"/>
          </m:rPr>
          <w:rPr>
            <w:rFonts w:ascii="Cambria Math" w:eastAsiaTheme="minorEastAsia" w:hAnsi="Cambria Math" w:cs="Times New Roman"/>
            <w:sz w:val="24"/>
            <w:szCs w:val="24"/>
            <w:lang w:eastAsia="pt-BR"/>
          </w:rPr>
          <m:t>=</m:t>
        </m:r>
      </m:oMath>
      <w:r w:rsidR="00292CCB" w:rsidRPr="007A0FE8">
        <w:rPr>
          <w:rFonts w:ascii="Times New Roman" w:eastAsiaTheme="minorEastAsia" w:hAnsi="Times New Roman" w:cs="Times New Roman"/>
          <w:sz w:val="24"/>
          <w:szCs w:val="24"/>
          <w:lang w:eastAsia="pt-BR"/>
        </w:rPr>
        <w:t xml:space="preserve"> </w:t>
      </w:r>
      <w:r w:rsidR="00FA1659" w:rsidRPr="007A0FE8">
        <w:rPr>
          <w:rFonts w:ascii="Times New Roman" w:eastAsiaTheme="minorEastAsia" w:hAnsi="Times New Roman" w:cs="Times New Roman"/>
          <w:sz w:val="24"/>
          <w:szCs w:val="24"/>
          <w:lang w:eastAsia="pt-BR"/>
        </w:rPr>
        <w:t>231.311</w:t>
      </w:r>
      <w:r w:rsidRPr="007A0FE8">
        <w:rPr>
          <w:rFonts w:ascii="Times New Roman" w:eastAsiaTheme="minorEastAsia" w:hAnsi="Times New Roman" w:cs="Times New Roman"/>
          <w:sz w:val="24"/>
          <w:szCs w:val="24"/>
          <w:lang w:eastAsia="pt-BR"/>
        </w:rPr>
        <w:t xml:space="preserve"> bilhões. </w:t>
      </w:r>
      <w:r w:rsidR="00F91A80" w:rsidRPr="007A0FE8">
        <w:rPr>
          <w:rFonts w:ascii="Times New Roman" w:eastAsiaTheme="minorEastAsia" w:hAnsi="Times New Roman" w:cs="Times New Roman"/>
          <w:sz w:val="24"/>
          <w:szCs w:val="24"/>
          <w:lang w:eastAsia="pt-BR"/>
        </w:rPr>
        <w:t>Comparando os</w:t>
      </w:r>
      <w:r w:rsidR="00D64C34" w:rsidRPr="007A0FE8">
        <w:rPr>
          <w:rFonts w:ascii="Times New Roman" w:eastAsiaTheme="minorEastAsia" w:hAnsi="Times New Roman" w:cs="Times New Roman"/>
          <w:sz w:val="24"/>
          <w:szCs w:val="24"/>
          <w:lang w:eastAsia="pt-BR"/>
        </w:rPr>
        <w:t xml:space="preserve"> p</w:t>
      </w:r>
      <w:r w:rsidR="00F91A80" w:rsidRPr="007A0FE8">
        <w:rPr>
          <w:rFonts w:ascii="Times New Roman" w:eastAsiaTheme="minorEastAsia" w:hAnsi="Times New Roman" w:cs="Times New Roman"/>
          <w:sz w:val="24"/>
          <w:szCs w:val="24"/>
          <w:lang w:eastAsia="pt-BR"/>
        </w:rPr>
        <w:t xml:space="preserve">atrimônios </w:t>
      </w:r>
      <w:r w:rsidR="00D64C34" w:rsidRPr="007A0FE8">
        <w:rPr>
          <w:rFonts w:ascii="Times New Roman" w:eastAsiaTheme="minorEastAsia" w:hAnsi="Times New Roman" w:cs="Times New Roman"/>
          <w:sz w:val="24"/>
          <w:szCs w:val="24"/>
          <w:lang w:eastAsia="pt-BR"/>
        </w:rPr>
        <w:t>l</w:t>
      </w:r>
      <w:r w:rsidR="00F91A80" w:rsidRPr="007A0FE8">
        <w:rPr>
          <w:rFonts w:ascii="Times New Roman" w:eastAsiaTheme="minorEastAsia" w:hAnsi="Times New Roman" w:cs="Times New Roman"/>
          <w:sz w:val="24"/>
          <w:szCs w:val="24"/>
          <w:lang w:eastAsia="pt-BR"/>
        </w:rPr>
        <w:t xml:space="preserve">íquidos </w:t>
      </w:r>
      <w:r w:rsidRPr="007A0FE8">
        <w:rPr>
          <w:rFonts w:ascii="Times New Roman" w:eastAsiaTheme="minorEastAsia" w:hAnsi="Times New Roman" w:cs="Times New Roman"/>
          <w:sz w:val="24"/>
          <w:szCs w:val="24"/>
          <w:lang w:eastAsia="pt-BR"/>
        </w:rPr>
        <w:t>estimados</w:t>
      </w:r>
      <w:r w:rsidR="005C6613" w:rsidRPr="007A0FE8">
        <w:rPr>
          <w:rFonts w:ascii="Times New Roman" w:eastAsiaTheme="minorEastAsia" w:hAnsi="Times New Roman" w:cs="Times New Roman"/>
          <w:sz w:val="24"/>
          <w:szCs w:val="24"/>
          <w:lang w:eastAsia="pt-BR"/>
        </w:rPr>
        <w:t xml:space="preserve"> pelo modelo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S</m:t>
            </m:r>
          </m:e>
          <m:sub>
            <m:r>
              <m:rPr>
                <m:sty m:val="p"/>
              </m:rPr>
              <w:rPr>
                <w:rFonts w:ascii="Cambria Math" w:eastAsiaTheme="minorEastAsia" w:hAnsi="Cambria Math" w:cs="Times New Roman"/>
                <w:sz w:val="24"/>
                <w:szCs w:val="24"/>
                <w:lang w:eastAsia="pt-BR"/>
              </w:rPr>
              <m:t>t</m:t>
            </m:r>
          </m:sub>
        </m:sSub>
        <m:r>
          <m:rPr>
            <m:sty m:val="p"/>
          </m:rPr>
          <w:rPr>
            <w:rFonts w:ascii="Cambria Math" w:eastAsiaTheme="minorEastAsia" w:hAnsi="Cambria Math" w:cs="Times New Roman"/>
            <w:sz w:val="24"/>
            <w:szCs w:val="24"/>
            <w:lang w:eastAsia="pt-BR"/>
          </w:rPr>
          <m:t>=</m:t>
        </m:r>
      </m:oMath>
      <w:r w:rsidR="005C6613" w:rsidRPr="007A0FE8">
        <w:rPr>
          <w:rFonts w:ascii="Times New Roman" w:eastAsiaTheme="minorEastAsia" w:hAnsi="Times New Roman" w:cs="Times New Roman"/>
          <w:sz w:val="24"/>
          <w:szCs w:val="24"/>
          <w:lang w:eastAsia="pt-BR"/>
        </w:rPr>
        <w:t xml:space="preserve"> R$ </w:t>
      </w:r>
      <w:r w:rsidR="00FA1659" w:rsidRPr="007A0FE8">
        <w:rPr>
          <w:rFonts w:ascii="Times New Roman" w:eastAsiaTheme="minorEastAsia" w:hAnsi="Times New Roman" w:cs="Times New Roman"/>
          <w:sz w:val="24"/>
          <w:szCs w:val="24"/>
          <w:lang w:eastAsia="pt-BR"/>
        </w:rPr>
        <w:t>45.342</w:t>
      </w:r>
      <w:r w:rsidR="005C6613" w:rsidRPr="007A0FE8">
        <w:rPr>
          <w:rFonts w:ascii="Times New Roman" w:eastAsiaTheme="minorEastAsia" w:hAnsi="Times New Roman" w:cs="Times New Roman"/>
          <w:sz w:val="24"/>
          <w:szCs w:val="24"/>
          <w:lang w:eastAsia="pt-BR"/>
        </w:rPr>
        <w:t xml:space="preserve"> bilhões, </w:t>
      </w:r>
      <m:oMath>
        <m:sSubSup>
          <m:sSubSupPr>
            <m:ctrlPr>
              <w:rPr>
                <w:rFonts w:ascii="Cambria Math" w:eastAsiaTheme="minorEastAsia" w:hAnsi="Cambria Math" w:cs="Times New Roman"/>
                <w:sz w:val="24"/>
                <w:szCs w:val="24"/>
                <w:lang w:eastAsia="pt-BR"/>
              </w:rPr>
            </m:ctrlPr>
          </m:sSubSupPr>
          <m:e>
            <m:r>
              <m:rPr>
                <m:sty m:val="p"/>
              </m:rPr>
              <w:rPr>
                <w:rFonts w:ascii="Cambria Math" w:eastAsiaTheme="minorEastAsia" w:hAnsi="Cambria Math" w:cs="Times New Roman"/>
                <w:sz w:val="24"/>
                <w:szCs w:val="24"/>
                <w:lang w:eastAsia="pt-BR"/>
              </w:rPr>
              <m:t>S</m:t>
            </m:r>
          </m:e>
          <m:sub>
            <m:r>
              <m:rPr>
                <m:sty m:val="p"/>
              </m:rPr>
              <w:rPr>
                <w:rFonts w:ascii="Cambria Math" w:eastAsiaTheme="minorEastAsia" w:hAnsi="Cambria Math" w:cs="Times New Roman"/>
                <w:sz w:val="24"/>
                <w:szCs w:val="24"/>
                <w:lang w:eastAsia="pt-BR"/>
              </w:rPr>
              <m:t>t</m:t>
            </m:r>
          </m:sub>
          <m:sup>
            <m:r>
              <m:rPr>
                <m:sty m:val="p"/>
              </m:rPr>
              <w:rPr>
                <w:rFonts w:ascii="Cambria Math" w:eastAsiaTheme="minorEastAsia" w:hAnsi="Cambria Math" w:cs="Times New Roman"/>
                <w:sz w:val="24"/>
                <w:szCs w:val="24"/>
                <w:lang w:eastAsia="pt-BR"/>
              </w:rPr>
              <m:t>b</m:t>
            </m:r>
          </m:sup>
        </m:sSubSup>
        <m:r>
          <m:rPr>
            <m:sty m:val="p"/>
          </m:rPr>
          <w:rPr>
            <w:rFonts w:ascii="Cambria Math" w:eastAsiaTheme="minorEastAsia" w:hAnsi="Cambria Math" w:cs="Times New Roman"/>
            <w:sz w:val="24"/>
            <w:szCs w:val="24"/>
            <w:lang w:eastAsia="pt-BR"/>
          </w:rPr>
          <m:t>=</m:t>
        </m:r>
      </m:oMath>
      <w:r w:rsidR="00FA1659" w:rsidRPr="007A0FE8">
        <w:rPr>
          <w:rFonts w:ascii="Times New Roman" w:eastAsiaTheme="minorEastAsia" w:hAnsi="Times New Roman" w:cs="Times New Roman"/>
          <w:sz w:val="24"/>
          <w:szCs w:val="24"/>
          <w:lang w:eastAsia="pt-BR"/>
        </w:rPr>
        <w:t>36.630</w:t>
      </w:r>
      <w:r w:rsidR="005C6613" w:rsidRPr="007A0FE8">
        <w:rPr>
          <w:rFonts w:ascii="Times New Roman" w:eastAsiaTheme="minorEastAsia" w:hAnsi="Times New Roman" w:cs="Times New Roman"/>
          <w:sz w:val="24"/>
          <w:szCs w:val="24"/>
          <w:lang w:eastAsia="pt-BR"/>
        </w:rPr>
        <w:t xml:space="preserve"> bilhões, </w:t>
      </w:r>
      <m:oMath>
        <m:sSubSup>
          <m:sSubSupPr>
            <m:ctrlPr>
              <w:rPr>
                <w:rFonts w:ascii="Cambria Math" w:eastAsiaTheme="minorEastAsia" w:hAnsi="Cambria Math" w:cs="Times New Roman"/>
                <w:sz w:val="24"/>
                <w:szCs w:val="24"/>
                <w:lang w:eastAsia="pt-BR"/>
              </w:rPr>
            </m:ctrlPr>
          </m:sSubSupPr>
          <m:e>
            <m:r>
              <m:rPr>
                <m:sty m:val="p"/>
              </m:rPr>
              <w:rPr>
                <w:rFonts w:ascii="Cambria Math" w:eastAsiaTheme="minorEastAsia" w:hAnsi="Cambria Math" w:cs="Times New Roman"/>
                <w:sz w:val="24"/>
                <w:szCs w:val="24"/>
                <w:lang w:eastAsia="pt-BR"/>
              </w:rPr>
              <m:t>S</m:t>
            </m:r>
          </m:e>
          <m:sub>
            <m:r>
              <m:rPr>
                <m:sty m:val="p"/>
              </m:rPr>
              <w:rPr>
                <w:rFonts w:ascii="Cambria Math" w:eastAsiaTheme="minorEastAsia" w:hAnsi="Cambria Math" w:cs="Times New Roman"/>
                <w:sz w:val="24"/>
                <w:szCs w:val="24"/>
                <w:lang w:eastAsia="pt-BR"/>
              </w:rPr>
              <m:t>t</m:t>
            </m:r>
          </m:sub>
          <m:sup>
            <m:r>
              <m:rPr>
                <m:sty m:val="p"/>
              </m:rPr>
              <w:rPr>
                <w:rFonts w:ascii="Cambria Math" w:eastAsiaTheme="minorEastAsia" w:hAnsi="Cambria Math" w:cs="Times New Roman"/>
                <w:sz w:val="24"/>
                <w:szCs w:val="24"/>
                <w:lang w:eastAsia="pt-BR"/>
              </w:rPr>
              <m:t>c</m:t>
            </m:r>
          </m:sup>
        </m:sSubSup>
        <m:r>
          <w:rPr>
            <w:rFonts w:ascii="Cambria Math" w:eastAsiaTheme="minorEastAsia" w:hAnsi="Cambria Math" w:cs="Times New Roman"/>
            <w:sz w:val="24"/>
            <w:szCs w:val="24"/>
            <w:lang w:eastAsia="pt-BR"/>
          </w:rPr>
          <m:t>=</m:t>
        </m:r>
      </m:oMath>
      <w:r w:rsidR="00292CCB" w:rsidRPr="007A0FE8">
        <w:rPr>
          <w:rFonts w:ascii="Times New Roman" w:eastAsiaTheme="minorEastAsia" w:hAnsi="Times New Roman" w:cs="Times New Roman"/>
          <w:sz w:val="24"/>
          <w:szCs w:val="24"/>
          <w:lang w:eastAsia="pt-BR"/>
        </w:rPr>
        <w:t xml:space="preserve"> </w:t>
      </w:r>
      <w:r w:rsidR="00FA1659" w:rsidRPr="007A0FE8">
        <w:rPr>
          <w:rFonts w:ascii="Times New Roman" w:eastAsiaTheme="minorEastAsia" w:hAnsi="Times New Roman" w:cs="Times New Roman"/>
          <w:sz w:val="24"/>
          <w:szCs w:val="24"/>
          <w:lang w:eastAsia="pt-BR"/>
        </w:rPr>
        <w:t>36.134</w:t>
      </w:r>
      <w:r w:rsidR="00292CCB" w:rsidRPr="007A0FE8">
        <w:rPr>
          <w:rFonts w:ascii="Times New Roman" w:eastAsiaTheme="minorEastAsia" w:hAnsi="Times New Roman" w:cs="Times New Roman"/>
          <w:sz w:val="24"/>
          <w:szCs w:val="24"/>
          <w:lang w:eastAsia="pt-BR"/>
        </w:rPr>
        <w:t xml:space="preserve"> </w:t>
      </w:r>
      <w:r w:rsidR="005C6613" w:rsidRPr="007A0FE8">
        <w:rPr>
          <w:rFonts w:ascii="Times New Roman" w:eastAsiaTheme="minorEastAsia" w:hAnsi="Times New Roman" w:cs="Times New Roman"/>
          <w:sz w:val="24"/>
          <w:szCs w:val="24"/>
          <w:lang w:eastAsia="pt-BR"/>
        </w:rPr>
        <w:t>bilhões)</w:t>
      </w:r>
      <w:r w:rsidR="00F91A80" w:rsidRPr="007A0FE8">
        <w:rPr>
          <w:rFonts w:ascii="Times New Roman" w:eastAsiaTheme="minorEastAsia" w:hAnsi="Times New Roman" w:cs="Times New Roman"/>
          <w:sz w:val="24"/>
          <w:szCs w:val="24"/>
          <w:lang w:eastAsia="pt-BR"/>
        </w:rPr>
        <w:t>,</w:t>
      </w:r>
      <w:r w:rsidR="00FA1659" w:rsidRPr="007A0FE8">
        <w:rPr>
          <w:rFonts w:ascii="Times New Roman" w:eastAsiaTheme="minorEastAsia" w:hAnsi="Times New Roman" w:cs="Times New Roman"/>
          <w:sz w:val="24"/>
          <w:szCs w:val="24"/>
          <w:lang w:eastAsia="pt-BR"/>
        </w:rPr>
        <w:t xml:space="preserve"> observamos </w:t>
      </w:r>
      <w:r w:rsidR="00FA1659" w:rsidRPr="007A0FE8">
        <w:rPr>
          <w:rFonts w:ascii="Times New Roman" w:eastAsiaTheme="minorEastAsia" w:hAnsi="Times New Roman" w:cs="Times New Roman"/>
          <w:sz w:val="24"/>
          <w:szCs w:val="24"/>
          <w:lang w:eastAsia="pt-BR"/>
        </w:rPr>
        <w:lastRenderedPageBreak/>
        <w:t xml:space="preserve">que o aumento proposto no montante de dívidas subordinadas, </w:t>
      </w:r>
      <w:r w:rsidR="009B2DDF" w:rsidRPr="007A0FE8">
        <w:rPr>
          <w:rFonts w:ascii="Times New Roman" w:eastAsiaTheme="minorEastAsia" w:hAnsi="Times New Roman" w:cs="Times New Roman"/>
          <w:sz w:val="24"/>
          <w:szCs w:val="24"/>
          <w:lang w:eastAsia="pt-BR"/>
        </w:rPr>
        <w:t>permite redução d</w:t>
      </w:r>
      <w:r w:rsidR="00FA1659" w:rsidRPr="007A0FE8">
        <w:rPr>
          <w:rFonts w:ascii="Times New Roman" w:eastAsiaTheme="minorEastAsia" w:hAnsi="Times New Roman" w:cs="Times New Roman"/>
          <w:sz w:val="24"/>
          <w:szCs w:val="24"/>
          <w:lang w:eastAsia="pt-BR"/>
        </w:rPr>
        <w:t xml:space="preserve">o patrimônio líquido. Isto porque, </w:t>
      </w:r>
      <w:r w:rsidR="009B2DDF" w:rsidRPr="007A0FE8">
        <w:rPr>
          <w:rFonts w:ascii="Times New Roman" w:eastAsiaTheme="minorEastAsia" w:hAnsi="Times New Roman" w:cs="Times New Roman"/>
          <w:sz w:val="24"/>
          <w:szCs w:val="24"/>
          <w:lang w:eastAsia="pt-BR"/>
        </w:rPr>
        <w:t>o</w:t>
      </w:r>
      <w:r w:rsidR="00FA1659" w:rsidRPr="007A0FE8">
        <w:rPr>
          <w:rFonts w:ascii="Times New Roman" w:eastAsiaTheme="minorEastAsia" w:hAnsi="Times New Roman" w:cs="Times New Roman"/>
          <w:sz w:val="24"/>
          <w:szCs w:val="24"/>
          <w:lang w:eastAsia="pt-BR"/>
        </w:rPr>
        <w:t xml:space="preserve"> </w:t>
      </w:r>
      <w:r w:rsidR="009B2DDF" w:rsidRPr="007A0FE8">
        <w:rPr>
          <w:rFonts w:ascii="Times New Roman" w:eastAsiaTheme="minorEastAsia" w:hAnsi="Times New Roman" w:cs="Times New Roman"/>
          <w:sz w:val="24"/>
          <w:szCs w:val="24"/>
          <w:lang w:eastAsia="pt-BR"/>
        </w:rPr>
        <w:t xml:space="preserve">maior financiamento traz </w:t>
      </w:r>
      <w:r w:rsidR="004B033F" w:rsidRPr="007A0FE8">
        <w:rPr>
          <w:rFonts w:ascii="Times New Roman" w:eastAsiaTheme="minorEastAsia" w:hAnsi="Times New Roman" w:cs="Times New Roman"/>
          <w:sz w:val="24"/>
          <w:szCs w:val="24"/>
          <w:lang w:eastAsia="pt-BR"/>
        </w:rPr>
        <w:t xml:space="preserve">benefícios </w:t>
      </w:r>
      <w:proofErr w:type="gramStart"/>
      <w:r w:rsidR="004B033F" w:rsidRPr="007A0FE8">
        <w:rPr>
          <w:rFonts w:ascii="Times New Roman" w:eastAsiaTheme="minorEastAsia" w:hAnsi="Times New Roman" w:cs="Times New Roman"/>
          <w:sz w:val="24"/>
          <w:szCs w:val="24"/>
          <w:lang w:eastAsia="pt-BR"/>
        </w:rPr>
        <w:t>fiscais</w:t>
      </w:r>
      <w:proofErr w:type="gramEnd"/>
      <w:r w:rsidR="009B2DDF" w:rsidRPr="007A0FE8">
        <w:rPr>
          <w:rFonts w:ascii="Times New Roman" w:eastAsiaTheme="minorEastAsia" w:hAnsi="Times New Roman" w:cs="Times New Roman"/>
          <w:sz w:val="24"/>
          <w:szCs w:val="24"/>
          <w:lang w:eastAsia="pt-BR"/>
        </w:rPr>
        <w:t xml:space="preserve"> maiores. </w:t>
      </w:r>
      <w:r w:rsidR="004B033F" w:rsidRPr="007A0FE8">
        <w:rPr>
          <w:rFonts w:ascii="Times New Roman" w:eastAsiaTheme="minorEastAsia" w:hAnsi="Times New Roman" w:cs="Times New Roman"/>
          <w:sz w:val="24"/>
          <w:szCs w:val="24"/>
          <w:lang w:eastAsia="pt-BR"/>
        </w:rPr>
        <w:t xml:space="preserve">No caso dos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4B033F" w:rsidRPr="007A0FE8">
        <w:rPr>
          <w:rFonts w:ascii="Times New Roman" w:eastAsiaTheme="minorEastAsia" w:hAnsi="Times New Roman" w:cs="Times New Roman"/>
          <w:sz w:val="24"/>
          <w:szCs w:val="24"/>
          <w:lang w:eastAsia="pt-BR"/>
        </w:rPr>
        <w:t>, a redução no patrimônio</w:t>
      </w:r>
      <w:r w:rsidR="009B2DDF" w:rsidRPr="007A0FE8">
        <w:rPr>
          <w:rFonts w:ascii="Times New Roman" w:eastAsiaTheme="minorEastAsia" w:hAnsi="Times New Roman" w:cs="Times New Roman"/>
          <w:sz w:val="24"/>
          <w:szCs w:val="24"/>
          <w:lang w:eastAsia="pt-BR"/>
        </w:rPr>
        <w:t xml:space="preserve"> líquido é um pouco maior, pois toda ou parte dessa dívida, acaba sendo considerada como patrimônio, pelo beneficio da conversão, além de possui</w:t>
      </w:r>
      <w:r w:rsidR="00A8263D">
        <w:rPr>
          <w:rFonts w:ascii="Times New Roman" w:eastAsiaTheme="minorEastAsia" w:hAnsi="Times New Roman" w:cs="Times New Roman"/>
          <w:sz w:val="24"/>
          <w:szCs w:val="24"/>
          <w:lang w:eastAsia="pt-BR"/>
        </w:rPr>
        <w:t>r</w:t>
      </w:r>
      <w:r w:rsidR="009B2DDF" w:rsidRPr="007A0FE8">
        <w:rPr>
          <w:rFonts w:ascii="Times New Roman" w:eastAsiaTheme="minorEastAsia" w:hAnsi="Times New Roman" w:cs="Times New Roman"/>
          <w:sz w:val="24"/>
          <w:szCs w:val="24"/>
          <w:lang w:eastAsia="pt-BR"/>
        </w:rPr>
        <w:t xml:space="preserve"> um benefício fiscal maior também, dado que em geral elas pagam um cupom maior.</w:t>
      </w:r>
      <w:r w:rsidR="002575E4">
        <w:rPr>
          <w:rFonts w:ascii="Times New Roman" w:eastAsiaTheme="minorEastAsia" w:hAnsi="Times New Roman" w:cs="Times New Roman"/>
          <w:sz w:val="24"/>
          <w:szCs w:val="24"/>
          <w:lang w:eastAsia="pt-BR"/>
        </w:rPr>
        <w:t xml:space="preserve"> </w:t>
      </w:r>
      <w:r w:rsidR="00847DF0" w:rsidRPr="007A0FE8">
        <w:rPr>
          <w:rFonts w:ascii="Times New Roman" w:eastAsiaTheme="minorEastAsia" w:hAnsi="Times New Roman" w:cs="Times New Roman"/>
          <w:sz w:val="24"/>
          <w:szCs w:val="24"/>
          <w:lang w:eastAsia="pt-BR"/>
        </w:rPr>
        <w:t>No entanto, esta a</w:t>
      </w:r>
      <w:r w:rsidR="00BF4674" w:rsidRPr="007A0FE8">
        <w:rPr>
          <w:rFonts w:ascii="Times New Roman" w:eastAsiaTheme="minorEastAsia" w:hAnsi="Times New Roman" w:cs="Times New Roman"/>
          <w:sz w:val="24"/>
          <w:szCs w:val="24"/>
          <w:lang w:eastAsia="pt-BR"/>
        </w:rPr>
        <w:t>bordagem de comparar os patrimônios líquidos ignora o fato de que</w:t>
      </w:r>
      <w:r w:rsidR="004B033F" w:rsidRPr="007A0FE8">
        <w:rPr>
          <w:rFonts w:ascii="Times New Roman" w:eastAsiaTheme="minorEastAsia" w:hAnsi="Times New Roman" w:cs="Times New Roman"/>
          <w:sz w:val="24"/>
          <w:szCs w:val="24"/>
          <w:lang w:eastAsia="pt-BR"/>
        </w:rPr>
        <w:t>,</w:t>
      </w:r>
      <w:r w:rsidR="00BF4674" w:rsidRPr="007A0FE8">
        <w:rPr>
          <w:rFonts w:ascii="Times New Roman" w:eastAsiaTheme="minorEastAsia" w:hAnsi="Times New Roman" w:cs="Times New Roman"/>
          <w:sz w:val="24"/>
          <w:szCs w:val="24"/>
          <w:lang w:eastAsia="pt-BR"/>
        </w:rPr>
        <w:t xml:space="preserve"> a emissão de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BF4674" w:rsidRPr="007A0FE8">
        <w:rPr>
          <w:rFonts w:ascii="Times New Roman" w:eastAsiaTheme="minorEastAsia" w:hAnsi="Times New Roman" w:cs="Times New Roman"/>
          <w:sz w:val="24"/>
          <w:szCs w:val="24"/>
          <w:lang w:eastAsia="pt-BR"/>
        </w:rPr>
        <w:t xml:space="preserve"> altera a capacidade total de endividamento do banco, por isso </w:t>
      </w:r>
      <w:r w:rsidR="009B2DDF" w:rsidRPr="007A0FE8">
        <w:rPr>
          <w:rFonts w:ascii="Times New Roman" w:eastAsiaTheme="minorEastAsia" w:hAnsi="Times New Roman" w:cs="Times New Roman"/>
          <w:sz w:val="24"/>
          <w:szCs w:val="24"/>
          <w:lang w:eastAsia="pt-BR"/>
        </w:rPr>
        <w:t xml:space="preserve">é </w:t>
      </w:r>
      <w:r w:rsidR="00640F0B" w:rsidRPr="007A0FE8">
        <w:rPr>
          <w:rFonts w:ascii="Times New Roman" w:eastAsiaTheme="minorEastAsia" w:hAnsi="Times New Roman" w:cs="Times New Roman"/>
          <w:sz w:val="24"/>
          <w:szCs w:val="24"/>
          <w:lang w:eastAsia="pt-BR"/>
        </w:rPr>
        <w:t>necessário</w:t>
      </w:r>
      <w:r w:rsidR="00BF4674" w:rsidRPr="007A0FE8">
        <w:rPr>
          <w:rFonts w:ascii="Times New Roman" w:eastAsiaTheme="minorEastAsia" w:hAnsi="Times New Roman" w:cs="Times New Roman"/>
          <w:sz w:val="24"/>
          <w:szCs w:val="24"/>
          <w:lang w:eastAsia="pt-BR"/>
        </w:rPr>
        <w:t xml:space="preserve"> resolver o problema da maximização do valor </w:t>
      </w:r>
      <w:r w:rsidR="00227438" w:rsidRPr="007A0FE8">
        <w:rPr>
          <w:rFonts w:ascii="Times New Roman" w:eastAsiaTheme="minorEastAsia" w:hAnsi="Times New Roman" w:cs="Times New Roman"/>
          <w:sz w:val="24"/>
          <w:szCs w:val="24"/>
          <w:lang w:eastAsia="pt-BR"/>
        </w:rPr>
        <w:t xml:space="preserve">do banco, ou seja, o cupom ótimo de </w:t>
      </w:r>
      <w:proofErr w:type="spellStart"/>
      <w:r w:rsidR="0099005E">
        <w:rPr>
          <w:rFonts w:ascii="Times New Roman" w:eastAsiaTheme="minorEastAsia" w:hAnsi="Times New Roman" w:cs="Times New Roman"/>
          <w:sz w:val="24"/>
          <w:szCs w:val="24"/>
          <w:lang w:eastAsia="pt-BR"/>
        </w:rPr>
        <w:t>CoCos</w:t>
      </w:r>
      <w:proofErr w:type="spellEnd"/>
      <w:r w:rsidR="00227438" w:rsidRPr="007A0FE8">
        <w:rPr>
          <w:rFonts w:ascii="Times New Roman" w:eastAsiaTheme="minorEastAsia" w:hAnsi="Times New Roman" w:cs="Times New Roman"/>
          <w:sz w:val="24"/>
          <w:szCs w:val="24"/>
          <w:lang w:eastAsia="pt-BR"/>
        </w:rPr>
        <w:t xml:space="preserve"> (c*)</w:t>
      </w:r>
      <w:r w:rsidR="00BF4674" w:rsidRPr="007A0FE8">
        <w:rPr>
          <w:rFonts w:ascii="Times New Roman" w:eastAsiaTheme="minorEastAsia" w:hAnsi="Times New Roman" w:cs="Times New Roman"/>
          <w:sz w:val="24"/>
          <w:szCs w:val="24"/>
          <w:lang w:eastAsia="pt-BR"/>
        </w:rPr>
        <w:t xml:space="preserve"> </w:t>
      </w:r>
      <w:r w:rsidR="00227438" w:rsidRPr="007A0FE8">
        <w:rPr>
          <w:rFonts w:ascii="Times New Roman" w:eastAsiaTheme="minorEastAsia" w:hAnsi="Times New Roman" w:cs="Times New Roman"/>
          <w:sz w:val="24"/>
          <w:szCs w:val="24"/>
          <w:lang w:eastAsia="pt-BR"/>
        </w:rPr>
        <w:t>deve resolver a maximização do valor do banco da seguinte forma:</w:t>
      </w:r>
    </w:p>
    <w:p w:rsidR="0007301E" w:rsidRPr="007A0FE8" w:rsidRDefault="00445FF9" w:rsidP="00FF5024">
      <w:pPr>
        <w:spacing w:after="120" w:line="24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m:t>
                </m:r>
              </m:sup>
            </m:sSubSup>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ζ</m:t>
                </m:r>
              </m:e>
              <m:sup>
                <m:r>
                  <w:rPr>
                    <w:rFonts w:ascii="Cambria Math" w:eastAsiaTheme="minorEastAsia" w:hAnsi="Cambria Math" w:cs="Times New Roman"/>
                    <w:sz w:val="24"/>
                    <w:szCs w:val="24"/>
                  </w:rPr>
                  <m:t>c</m:t>
                </m:r>
              </m:sup>
            </m:sSup>
          </m:num>
          <m:den>
            <m:r>
              <w:rPr>
                <w:rFonts w:ascii="Cambria Math" w:eastAsiaTheme="minorEastAsia" w:hAnsi="Cambria Math" w:cs="Times New Roman"/>
                <w:sz w:val="24"/>
                <w:szCs w:val="24"/>
              </w:rPr>
              <m:t>r</m:t>
            </m:r>
          </m:den>
        </m:f>
        <m:r>
          <m:rPr>
            <m:scr m:val="script"/>
          </m:rP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m:rPr>
                <m:scr m:val="script"/>
              </m:rPr>
              <w:rPr>
                <w:rFonts w:ascii="Cambria Math" w:eastAsiaTheme="minorEastAsia" w:hAnsi="Cambria Math" w:cs="Times New Roman"/>
                <w:sz w:val="24"/>
                <w:szCs w:val="24"/>
              </w:rPr>
              <m:t>,X</m:t>
            </m:r>
          </m:e>
        </m:d>
      </m:oMath>
      <w:r w:rsidR="0007301E" w:rsidRPr="007A0FE8">
        <w:rPr>
          <w:rFonts w:ascii="Times New Roman" w:eastAsiaTheme="minorEastAsia" w:hAnsi="Times New Roman" w:cs="Times New Roman"/>
          <w:sz w:val="24"/>
          <w:szCs w:val="24"/>
        </w:rPr>
        <w:t xml:space="preserve">                                                      (2</w:t>
      </w:r>
      <w:r w:rsidR="003F1581" w:rsidRPr="007A0FE8">
        <w:rPr>
          <w:rFonts w:ascii="Times New Roman" w:eastAsiaTheme="minorEastAsia" w:hAnsi="Times New Roman" w:cs="Times New Roman"/>
          <w:sz w:val="24"/>
          <w:szCs w:val="24"/>
        </w:rPr>
        <w:t>5</w:t>
      </w:r>
      <w:r w:rsidR="0007301E" w:rsidRPr="007A0FE8">
        <w:rPr>
          <w:rFonts w:ascii="Times New Roman" w:eastAsiaTheme="minorEastAsia" w:hAnsi="Times New Roman" w:cs="Times New Roman"/>
          <w:sz w:val="24"/>
          <w:szCs w:val="24"/>
        </w:rPr>
        <w:t>)</w:t>
      </w:r>
    </w:p>
    <w:p w:rsidR="0007301E" w:rsidRPr="007A0FE8" w:rsidRDefault="00227438"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Onde,</w:t>
      </w:r>
    </w:p>
    <w:p w:rsidR="0007301E" w:rsidRPr="007A0FE8" w:rsidRDefault="00445FF9" w:rsidP="00FF5024">
      <w:pPr>
        <w:spacing w:after="120" w:line="240" w:lineRule="auto"/>
        <w:jc w:val="right"/>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ζ</m:t>
            </m:r>
          </m:e>
          <m:sup>
            <m:r>
              <w:rPr>
                <w:rFonts w:ascii="Cambria Math" w:eastAsiaTheme="minorEastAsia" w:hAnsi="Cambria Math" w:cs="Times New Roman"/>
                <w:sz w:val="24"/>
                <w:szCs w:val="24"/>
              </w:rPr>
              <m:t>c</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τ(π-c  β)</m:t>
            </m:r>
          </m:num>
          <m:den>
            <m:r>
              <w:rPr>
                <w:rFonts w:ascii="Cambria Math" w:eastAsiaTheme="minorEastAsia" w:hAnsi="Cambria Math" w:cs="Times New Roman"/>
                <w:sz w:val="24"/>
                <w:szCs w:val="24"/>
              </w:rPr>
              <m:t>π</m:t>
            </m:r>
          </m:den>
        </m:f>
      </m:oMath>
      <w:r w:rsidR="0007301E" w:rsidRPr="007A0FE8">
        <w:rPr>
          <w:rFonts w:ascii="Times New Roman" w:eastAsiaTheme="minorEastAsia" w:hAnsi="Times New Roman" w:cs="Times New Roman"/>
          <w:sz w:val="24"/>
          <w:szCs w:val="24"/>
        </w:rPr>
        <w:t xml:space="preserve">                                                           (2</w:t>
      </w:r>
      <w:r w:rsidR="003F1581" w:rsidRPr="007A0FE8">
        <w:rPr>
          <w:rFonts w:ascii="Times New Roman" w:eastAsiaTheme="minorEastAsia" w:hAnsi="Times New Roman" w:cs="Times New Roman"/>
          <w:sz w:val="24"/>
          <w:szCs w:val="24"/>
        </w:rPr>
        <w:t>6</w:t>
      </w:r>
      <w:r w:rsidR="0007301E" w:rsidRPr="007A0FE8">
        <w:rPr>
          <w:rFonts w:ascii="Times New Roman" w:eastAsiaTheme="minorEastAsia" w:hAnsi="Times New Roman" w:cs="Times New Roman"/>
          <w:sz w:val="24"/>
          <w:szCs w:val="24"/>
        </w:rPr>
        <w:t>)</w:t>
      </w:r>
    </w:p>
    <w:p w:rsidR="004C51B7" w:rsidRPr="007A0FE8" w:rsidRDefault="00D3247B"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Para o Banco do Brasil,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m:t>
                </m:r>
              </m:sup>
            </m:sSubSup>
          </m:num>
          <m:den>
            <m:r>
              <w:rPr>
                <w:rFonts w:ascii="Cambria Math" w:eastAsiaTheme="minorEastAsia" w:hAnsi="Cambria Math" w:cs="Times New Roman"/>
                <w:sz w:val="24"/>
                <w:szCs w:val="24"/>
              </w:rPr>
              <m:t>∂c</m:t>
            </m:r>
          </m:den>
        </m:f>
      </m:oMath>
      <w:r w:rsidRPr="007A0FE8">
        <w:rPr>
          <w:rFonts w:ascii="Times New Roman" w:eastAsiaTheme="minorEastAsia" w:hAnsi="Times New Roman" w:cs="Times New Roman"/>
          <w:sz w:val="24"/>
          <w:szCs w:val="24"/>
        </w:rPr>
        <w:t>=</w:t>
      </w:r>
      <w:r w:rsidR="006C3CBE" w:rsidRPr="007A0FE8">
        <w:rPr>
          <w:rFonts w:ascii="Times New Roman" w:eastAsiaTheme="minorEastAsia" w:hAnsi="Times New Roman" w:cs="Times New Roman"/>
          <w:sz w:val="24"/>
          <w:szCs w:val="24"/>
        </w:rPr>
        <w:t xml:space="preserve"> </w:t>
      </w:r>
      <w:r w:rsidR="003C0DD1" w:rsidRPr="007A0FE8">
        <w:rPr>
          <w:rFonts w:ascii="Times New Roman" w:eastAsiaTheme="minorEastAsia" w:hAnsi="Times New Roman" w:cs="Times New Roman"/>
          <w:sz w:val="24"/>
          <w:szCs w:val="24"/>
        </w:rPr>
        <w:t>5,12</w:t>
      </w:r>
      <w:r w:rsidR="004C51B7" w:rsidRPr="007A0FE8">
        <w:rPr>
          <w:rFonts w:ascii="Times New Roman" w:eastAsiaTheme="minorEastAsia" w:hAnsi="Times New Roman" w:cs="Times New Roman"/>
          <w:sz w:val="24"/>
          <w:szCs w:val="24"/>
        </w:rPr>
        <w:t xml:space="preserve"> com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ζ</m:t>
            </m:r>
          </m:e>
          <m:sup>
            <m:r>
              <w:rPr>
                <w:rFonts w:ascii="Cambria Math" w:eastAsiaTheme="minorEastAsia" w:hAnsi="Cambria Math" w:cs="Times New Roman"/>
                <w:sz w:val="24"/>
                <w:szCs w:val="24"/>
              </w:rPr>
              <m:t>c</m:t>
            </m:r>
          </m:sup>
        </m:sSup>
        <m:r>
          <w:rPr>
            <w:rFonts w:ascii="Cambria Math" w:eastAsiaTheme="minorEastAsia" w:hAnsi="Cambria Math" w:cs="Times New Roman"/>
            <w:sz w:val="24"/>
            <w:szCs w:val="24"/>
          </w:rPr>
          <m:t>=</m:t>
        </m:r>
      </m:oMath>
      <w:r w:rsidR="004C51B7" w:rsidRPr="007A0FE8">
        <w:rPr>
          <w:rFonts w:ascii="Times New Roman" w:eastAsiaTheme="minorEastAsia" w:hAnsi="Times New Roman" w:cs="Times New Roman"/>
          <w:sz w:val="24"/>
          <w:szCs w:val="24"/>
        </w:rPr>
        <w:t xml:space="preserve"> - </w:t>
      </w:r>
      <w:r w:rsidR="003C0DD1" w:rsidRPr="007A0FE8">
        <w:rPr>
          <w:rFonts w:ascii="Times New Roman" w:eastAsiaTheme="minorEastAsia" w:hAnsi="Times New Roman" w:cs="Times New Roman"/>
          <w:sz w:val="24"/>
          <w:szCs w:val="24"/>
        </w:rPr>
        <w:t>14,017</w:t>
      </w:r>
      <w:r w:rsidR="00682BEB">
        <w:rPr>
          <w:rFonts w:ascii="Times New Roman" w:eastAsiaTheme="minorEastAsia" w:hAnsi="Times New Roman" w:cs="Times New Roman"/>
          <w:sz w:val="24"/>
          <w:szCs w:val="24"/>
        </w:rPr>
        <w:t xml:space="preserve">. </w:t>
      </w:r>
      <w:r w:rsidRPr="007A0FE8">
        <w:rPr>
          <w:rFonts w:ascii="Times New Roman" w:eastAsiaTheme="minorEastAsia" w:hAnsi="Times New Roman" w:cs="Times New Roman"/>
          <w:sz w:val="24"/>
          <w:szCs w:val="24"/>
          <w:lang w:eastAsia="pt-BR"/>
        </w:rPr>
        <w:t xml:space="preserve">Com estes resultados, vamos analisar se 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Pr="007A0FE8">
        <w:rPr>
          <w:rFonts w:ascii="Times New Roman" w:eastAsiaTheme="minorEastAsia" w:hAnsi="Times New Roman" w:cs="Times New Roman"/>
          <w:sz w:val="24"/>
          <w:szCs w:val="24"/>
          <w:lang w:eastAsia="pt-BR"/>
        </w:rPr>
        <w:t xml:space="preserve"> são uma </w:t>
      </w:r>
      <w:r w:rsidR="00F3221B" w:rsidRPr="007A0FE8">
        <w:rPr>
          <w:rFonts w:ascii="Times New Roman" w:eastAsiaTheme="minorEastAsia" w:hAnsi="Times New Roman" w:cs="Times New Roman"/>
          <w:sz w:val="24"/>
          <w:szCs w:val="24"/>
          <w:lang w:eastAsia="pt-BR"/>
        </w:rPr>
        <w:t xml:space="preserve">boa </w:t>
      </w:r>
      <w:r w:rsidRPr="007A0FE8">
        <w:rPr>
          <w:rFonts w:ascii="Times New Roman" w:eastAsiaTheme="minorEastAsia" w:hAnsi="Times New Roman" w:cs="Times New Roman"/>
          <w:sz w:val="24"/>
          <w:szCs w:val="24"/>
          <w:lang w:eastAsia="pt-BR"/>
        </w:rPr>
        <w:t xml:space="preserve">alternativa </w:t>
      </w:r>
      <w:r w:rsidR="00F3221B" w:rsidRPr="007A0FE8">
        <w:rPr>
          <w:rFonts w:ascii="Times New Roman" w:eastAsiaTheme="minorEastAsia" w:hAnsi="Times New Roman" w:cs="Times New Roman"/>
          <w:sz w:val="24"/>
          <w:szCs w:val="24"/>
          <w:lang w:eastAsia="pt-BR"/>
        </w:rPr>
        <w:t>para os bancos</w:t>
      </w:r>
      <w:r w:rsidR="004C51B7" w:rsidRPr="007A0FE8">
        <w:rPr>
          <w:rFonts w:ascii="Times New Roman" w:eastAsiaTheme="minorEastAsia" w:hAnsi="Times New Roman" w:cs="Times New Roman"/>
          <w:sz w:val="24"/>
          <w:szCs w:val="24"/>
          <w:lang w:eastAsia="pt-BR"/>
        </w:rPr>
        <w:t>.</w:t>
      </w:r>
      <w:r w:rsidR="00BA1A85" w:rsidRPr="007A0FE8">
        <w:rPr>
          <w:rFonts w:ascii="Times New Roman" w:eastAsiaTheme="minorEastAsia" w:hAnsi="Times New Roman" w:cs="Times New Roman"/>
          <w:sz w:val="24"/>
          <w:szCs w:val="24"/>
          <w:lang w:eastAsia="pt-BR"/>
        </w:rPr>
        <w:t xml:space="preserve"> </w:t>
      </w:r>
    </w:p>
    <w:p w:rsidR="00141309" w:rsidRPr="007A0FE8" w:rsidRDefault="004C51B7"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b/>
          <w:sz w:val="24"/>
          <w:szCs w:val="24"/>
          <w:lang w:eastAsia="pt-BR"/>
        </w:rPr>
        <w:t xml:space="preserve">Lema </w:t>
      </w:r>
      <w:proofErr w:type="gramStart"/>
      <w:r w:rsidRPr="007A0FE8">
        <w:rPr>
          <w:rFonts w:ascii="Times New Roman" w:eastAsiaTheme="minorEastAsia" w:hAnsi="Times New Roman" w:cs="Times New Roman"/>
          <w:b/>
          <w:sz w:val="24"/>
          <w:szCs w:val="24"/>
          <w:lang w:eastAsia="pt-BR"/>
        </w:rPr>
        <w:t>1</w:t>
      </w:r>
      <w:proofErr w:type="gramEnd"/>
      <w:r w:rsidRPr="007A0FE8">
        <w:rPr>
          <w:rFonts w:ascii="Times New Roman" w:eastAsiaTheme="minorEastAsia" w:hAnsi="Times New Roman" w:cs="Times New Roman"/>
          <w:sz w:val="24"/>
          <w:szCs w:val="24"/>
          <w:lang w:eastAsia="pt-BR"/>
        </w:rPr>
        <w:t xml:space="preserve">: Para um dado fluxo de caixa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0</m:t>
            </m:r>
          </m:sub>
        </m:sSub>
      </m:oMath>
      <w:r w:rsidRPr="007A0FE8">
        <w:rPr>
          <w:rFonts w:ascii="Times New Roman" w:eastAsiaTheme="minorEastAsia" w:hAnsi="Times New Roman" w:cs="Times New Roman"/>
          <w:sz w:val="24"/>
          <w:szCs w:val="24"/>
          <w:lang w:eastAsia="pt-BR"/>
        </w:rPr>
        <w:t>, um volume de depósitos d</w:t>
      </w:r>
      <w:r w:rsidR="00655F24" w:rsidRPr="007A0FE8">
        <w:rPr>
          <w:rFonts w:ascii="Times New Roman" w:eastAsiaTheme="minorEastAsia" w:hAnsi="Times New Roman" w:cs="Times New Roman"/>
          <w:sz w:val="24"/>
          <w:szCs w:val="24"/>
          <w:lang w:eastAsia="pt-BR"/>
        </w:rPr>
        <w:t>,</w:t>
      </w:r>
      <w:r w:rsidRPr="007A0FE8">
        <w:rPr>
          <w:rFonts w:ascii="Times New Roman" w:eastAsiaTheme="minorEastAsia" w:hAnsi="Times New Roman" w:cs="Times New Roman"/>
          <w:sz w:val="24"/>
          <w:szCs w:val="24"/>
          <w:lang w:eastAsia="pt-BR"/>
        </w:rPr>
        <w:t xml:space="preserve"> todos os valores de parâmetros admissíveis (</w:t>
      </w:r>
      <m:oMath>
        <m:r>
          <w:rPr>
            <w:rFonts w:ascii="Cambria Math" w:eastAsiaTheme="minorEastAsia" w:hAnsi="Cambria Math" w:cs="Times New Roman"/>
            <w:sz w:val="24"/>
            <w:szCs w:val="24"/>
            <w:lang w:eastAsia="pt-BR"/>
          </w:rPr>
          <m:t>0&lt;μ&lt;r</m:t>
        </m:r>
      </m:oMath>
      <w:r w:rsidR="00655F24" w:rsidRPr="007A0FE8">
        <w:rPr>
          <w:rFonts w:ascii="Times New Roman" w:eastAsiaTheme="minorEastAsia" w:hAnsi="Times New Roman" w:cs="Times New Roman"/>
          <w:sz w:val="24"/>
          <w:szCs w:val="24"/>
          <w:lang w:eastAsia="pt-BR"/>
        </w:rPr>
        <w:t xml:space="preserve">, </w:t>
      </w:r>
      <m:oMath>
        <m:r>
          <w:rPr>
            <w:rFonts w:ascii="Cambria Math" w:eastAsiaTheme="minorEastAsia" w:hAnsi="Cambria Math" w:cs="Times New Roman"/>
            <w:sz w:val="24"/>
            <w:szCs w:val="24"/>
            <w:lang w:eastAsia="pt-BR"/>
          </w:rPr>
          <m:t>β&lt;0</m:t>
        </m:r>
      </m:oMath>
      <w:r w:rsidR="00655F24" w:rsidRPr="007A0FE8">
        <w:rPr>
          <w:rFonts w:ascii="Times New Roman" w:eastAsiaTheme="minorEastAsia" w:hAnsi="Times New Roman" w:cs="Times New Roman"/>
          <w:sz w:val="24"/>
          <w:szCs w:val="24"/>
          <w:lang w:eastAsia="pt-BR"/>
        </w:rPr>
        <w:t xml:space="preserve">, </w:t>
      </w:r>
      <w:r w:rsidR="00F3221B" w:rsidRPr="007A0FE8">
        <w:rPr>
          <w:rFonts w:ascii="Times New Roman" w:eastAsiaTheme="minorEastAsia" w:hAnsi="Times New Roman" w:cs="Times New Roman"/>
          <w:sz w:val="24"/>
          <w:szCs w:val="24"/>
          <w:lang w:eastAsia="pt-BR"/>
        </w:rPr>
        <w:t xml:space="preserve"> </w:t>
      </w:r>
      <m:oMath>
        <m:r>
          <w:rPr>
            <w:rFonts w:ascii="Cambria Math" w:eastAsiaTheme="minorEastAsia" w:hAnsi="Cambria Math" w:cs="Times New Roman"/>
            <w:sz w:val="24"/>
            <w:szCs w:val="24"/>
            <w:lang w:eastAsia="pt-BR"/>
          </w:rPr>
          <m:t>0&lt;ϕ</m:t>
        </m:r>
      </m:oMath>
      <w:r w:rsidR="00655F24" w:rsidRPr="007A0FE8">
        <w:rPr>
          <w:rFonts w:ascii="Times New Roman" w:eastAsiaTheme="minorEastAsia" w:hAnsi="Times New Roman" w:cs="Times New Roman"/>
          <w:sz w:val="24"/>
          <w:szCs w:val="24"/>
          <w:lang w:eastAsia="pt-BR"/>
        </w:rPr>
        <w:t xml:space="preserve">, </w:t>
      </w:r>
      <m:oMath>
        <m:r>
          <w:rPr>
            <w:rFonts w:ascii="Cambria Math" w:eastAsiaTheme="minorEastAsia" w:hAnsi="Cambria Math" w:cs="Times New Roman"/>
            <w:sz w:val="24"/>
            <w:szCs w:val="24"/>
            <w:lang w:eastAsia="pt-BR"/>
          </w:rPr>
          <m:t>0&lt;τ&lt;1</m:t>
        </m:r>
      </m:oMath>
      <w:r w:rsidR="00655F24" w:rsidRPr="007A0FE8">
        <w:rPr>
          <w:rFonts w:ascii="Times New Roman" w:eastAsiaTheme="minorEastAsia" w:hAnsi="Times New Roman" w:cs="Times New Roman"/>
          <w:sz w:val="24"/>
          <w:szCs w:val="24"/>
          <w:lang w:eastAsia="pt-BR"/>
        </w:rPr>
        <w:t xml:space="preserve"> e </w:t>
      </w:r>
      <m:oMath>
        <m:r>
          <w:rPr>
            <w:rFonts w:ascii="Cambria Math" w:eastAsiaTheme="minorEastAsia" w:hAnsi="Cambria Math" w:cs="Times New Roman"/>
            <w:sz w:val="24"/>
            <w:szCs w:val="24"/>
            <w:lang w:eastAsia="pt-BR"/>
          </w:rPr>
          <m:t>λ&lt;(1-τ)</m:t>
        </m:r>
      </m:oMath>
      <w:r w:rsidR="00655F24" w:rsidRPr="007A0FE8">
        <w:rPr>
          <w:rFonts w:ascii="Times New Roman" w:eastAsiaTheme="minorEastAsia" w:hAnsi="Times New Roman" w:cs="Times New Roman"/>
          <w:sz w:val="24"/>
          <w:szCs w:val="24"/>
          <w:lang w:eastAsia="pt-BR"/>
        </w:rPr>
        <w:t xml:space="preserve">) e para qualquer nível de cupom k tal que </w:t>
      </w:r>
      <m:oMath>
        <m:r>
          <w:rPr>
            <w:rFonts w:ascii="Cambria Math" w:eastAsiaTheme="minorEastAsia" w:hAnsi="Cambria Math" w:cs="Times New Roman"/>
            <w:sz w:val="24"/>
            <w:szCs w:val="24"/>
            <w:lang w:eastAsia="pt-BR"/>
          </w:rPr>
          <m:t xml:space="preserve">ξ=ϕπ&lt;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t</m:t>
            </m:r>
          </m:sub>
        </m:sSub>
      </m:oMath>
      <w:r w:rsidR="00655F24" w:rsidRPr="007A0FE8">
        <w:rPr>
          <w:rFonts w:ascii="Times New Roman" w:eastAsiaTheme="minorEastAsia" w:hAnsi="Times New Roman" w:cs="Times New Roman"/>
          <w:sz w:val="24"/>
          <w:szCs w:val="24"/>
          <w:lang w:eastAsia="pt-BR"/>
        </w:rPr>
        <w:t xml:space="preserve"> vale a seguinte desigualdade</w:t>
      </w:r>
      <w:r w:rsidR="006C3CBE" w:rsidRPr="007A0FE8">
        <w:rPr>
          <w:rFonts w:ascii="Times New Roman" w:eastAsiaTheme="minorEastAsia" w:hAnsi="Times New Roman" w:cs="Times New Roman"/>
          <w:sz w:val="24"/>
          <w:szCs w:val="24"/>
          <w:lang w:eastAsia="pt-BR"/>
        </w:rPr>
        <w:t xml:space="preserve"> </w:t>
      </w:r>
      <w:r w:rsidR="00BA1A85" w:rsidRPr="007A0FE8">
        <w:rPr>
          <w:rFonts w:ascii="Times New Roman" w:eastAsiaTheme="minorEastAsia" w:hAnsi="Times New Roman" w:cs="Times New Roman"/>
          <w:sz w:val="24"/>
          <w:szCs w:val="24"/>
          <w:lang w:eastAsia="pt-BR"/>
        </w:rPr>
        <w:t>(</w:t>
      </w:r>
      <w:proofErr w:type="spellStart"/>
      <w:r w:rsidR="00BA1A85" w:rsidRPr="007A0FE8">
        <w:rPr>
          <w:rFonts w:ascii="Times New Roman" w:eastAsiaTheme="minorEastAsia" w:hAnsi="Times New Roman" w:cs="Times New Roman"/>
          <w:sz w:val="24"/>
          <w:szCs w:val="24"/>
          <w:lang w:eastAsia="pt-BR"/>
        </w:rPr>
        <w:t>Koziol</w:t>
      </w:r>
      <w:proofErr w:type="spellEnd"/>
      <w:r w:rsidR="00BA1A85" w:rsidRPr="007A0FE8">
        <w:rPr>
          <w:rFonts w:ascii="Times New Roman" w:eastAsiaTheme="minorEastAsia" w:hAnsi="Times New Roman" w:cs="Times New Roman"/>
          <w:sz w:val="24"/>
          <w:szCs w:val="24"/>
          <w:lang w:eastAsia="pt-BR"/>
        </w:rPr>
        <w:t xml:space="preserve"> e </w:t>
      </w:r>
      <w:proofErr w:type="spellStart"/>
      <w:r w:rsidR="00BA1A85" w:rsidRPr="007A0FE8">
        <w:rPr>
          <w:rFonts w:ascii="Times New Roman" w:eastAsiaTheme="minorEastAsia" w:hAnsi="Times New Roman" w:cs="Times New Roman"/>
          <w:sz w:val="24"/>
          <w:szCs w:val="24"/>
          <w:lang w:eastAsia="pt-BR"/>
        </w:rPr>
        <w:t>Lawrenz</w:t>
      </w:r>
      <w:proofErr w:type="spellEnd"/>
      <w:r w:rsidR="00BA1A85" w:rsidRPr="007A0FE8">
        <w:rPr>
          <w:rFonts w:ascii="Times New Roman" w:eastAsiaTheme="minorEastAsia" w:hAnsi="Times New Roman" w:cs="Times New Roman"/>
          <w:sz w:val="24"/>
          <w:szCs w:val="24"/>
          <w:lang w:eastAsia="pt-BR"/>
        </w:rPr>
        <w:t xml:space="preserve"> (2012), tradução nossa)</w:t>
      </w:r>
      <w:r w:rsidR="00655F24" w:rsidRPr="007A0FE8">
        <w:rPr>
          <w:rFonts w:ascii="Times New Roman" w:eastAsiaTheme="minorEastAsia" w:hAnsi="Times New Roman" w:cs="Times New Roman"/>
          <w:sz w:val="24"/>
          <w:szCs w:val="24"/>
          <w:lang w:eastAsia="pt-BR"/>
        </w:rPr>
        <w:t>:</w:t>
      </w:r>
    </w:p>
    <w:p w:rsidR="006926A3" w:rsidRPr="007A0FE8" w:rsidRDefault="00445FF9" w:rsidP="00FF5024">
      <w:pPr>
        <w:spacing w:after="120" w:line="240" w:lineRule="auto"/>
        <w:jc w:val="right"/>
        <w:rPr>
          <w:rFonts w:ascii="Times New Roman" w:eastAsiaTheme="minorEastAsia" w:hAnsi="Times New Roman" w:cs="Times New Roman"/>
          <w:sz w:val="24"/>
          <w:szCs w:val="24"/>
          <w:lang w:eastAsia="pt-BR"/>
        </w:rPr>
      </w:pPr>
      <m:oMath>
        <m:sSub>
          <m:sSubPr>
            <m:ctrlPr>
              <w:rPr>
                <w:rFonts w:ascii="Cambria Math" w:eastAsiaTheme="minorEastAsia" w:hAnsi="Cambria Math" w:cs="Times New Roman"/>
                <w:i/>
                <w:sz w:val="24"/>
                <w:szCs w:val="24"/>
                <w:lang w:val="en-US" w:eastAsia="pt-BR"/>
              </w:rPr>
            </m:ctrlPr>
          </m:sSubPr>
          <m:e>
            <m:d>
              <m:dPr>
                <m:begChr m:val=""/>
                <m:endChr m:val="|"/>
                <m:ctrlPr>
                  <w:rPr>
                    <w:rFonts w:ascii="Cambria Math" w:eastAsiaTheme="minorEastAsia" w:hAnsi="Cambria Math" w:cs="Times New Roman"/>
                    <w:i/>
                    <w:sz w:val="24"/>
                    <w:szCs w:val="24"/>
                    <w:lang w:val="en-US" w:eastAsia="pt-BR"/>
                  </w:rPr>
                </m:ctrlPr>
              </m:dPr>
              <m:e>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∂b</m:t>
                    </m:r>
                  </m:den>
                </m:f>
              </m:e>
            </m:d>
          </m:e>
          <m:sub>
            <m:r>
              <w:rPr>
                <w:rFonts w:ascii="Cambria Math" w:eastAsiaTheme="minorEastAsia" w:hAnsi="Cambria Math" w:cs="Times New Roman"/>
                <w:sz w:val="24"/>
                <w:szCs w:val="24"/>
                <w:lang w:val="en-US" w:eastAsia="pt-BR"/>
              </w:rPr>
              <m:t>b</m:t>
            </m:r>
            <m:r>
              <w:rPr>
                <w:rFonts w:ascii="Cambria Math" w:eastAsiaTheme="minorEastAsia" w:hAnsi="Cambria Math" w:cs="Times New Roman"/>
                <w:sz w:val="24"/>
                <w:szCs w:val="24"/>
                <w:lang w:eastAsia="pt-BR"/>
              </w:rPr>
              <m:t>=</m:t>
            </m:r>
            <m:r>
              <w:rPr>
                <w:rFonts w:ascii="Cambria Math" w:eastAsiaTheme="minorEastAsia" w:hAnsi="Cambria Math" w:cs="Times New Roman"/>
                <w:sz w:val="24"/>
                <w:szCs w:val="24"/>
                <w:lang w:val="en-US" w:eastAsia="pt-BR"/>
              </w:rPr>
              <m:t>k</m:t>
            </m:r>
          </m:sub>
        </m:sSub>
        <m:r>
          <w:rPr>
            <w:rFonts w:ascii="Cambria Math" w:eastAsiaTheme="minorEastAsia" w:hAnsi="Cambria Math" w:cs="Times New Roman"/>
            <w:sz w:val="24"/>
            <w:szCs w:val="24"/>
            <w:lang w:eastAsia="pt-BR"/>
          </w:rPr>
          <m:t>&lt;</m:t>
        </m:r>
        <m:sSub>
          <m:sSubPr>
            <m:ctrlPr>
              <w:rPr>
                <w:rFonts w:ascii="Cambria Math" w:eastAsiaTheme="minorEastAsia" w:hAnsi="Cambria Math" w:cs="Times New Roman"/>
                <w:i/>
                <w:sz w:val="24"/>
                <w:szCs w:val="24"/>
                <w:lang w:val="en-US" w:eastAsia="pt-BR"/>
              </w:rPr>
            </m:ctrlPr>
          </m:sSubPr>
          <m:e>
            <m:d>
              <m:dPr>
                <m:begChr m:val=""/>
                <m:endChr m:val="|"/>
                <m:ctrlPr>
                  <w:rPr>
                    <w:rFonts w:ascii="Cambria Math" w:eastAsiaTheme="minorEastAsia" w:hAnsi="Cambria Math" w:cs="Times New Roman"/>
                    <w:i/>
                    <w:sz w:val="24"/>
                    <w:szCs w:val="24"/>
                    <w:lang w:val="en-US" w:eastAsia="pt-BR"/>
                  </w:rPr>
                </m:ctrlPr>
              </m:dPr>
              <m:e>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c</m:t>
                        </m:r>
                      </m:sup>
                    </m:sSubSup>
                  </m:num>
                  <m:den>
                    <m:r>
                      <w:rPr>
                        <w:rFonts w:ascii="Cambria Math" w:hAnsi="Cambria Math" w:cs="Times New Roman"/>
                        <w:sz w:val="24"/>
                        <w:szCs w:val="24"/>
                      </w:rPr>
                      <m:t>∂c</m:t>
                    </m:r>
                  </m:den>
                </m:f>
              </m:e>
            </m:d>
          </m:e>
          <m:sub>
            <m:r>
              <w:rPr>
                <w:rFonts w:ascii="Cambria Math" w:eastAsiaTheme="minorEastAsia" w:hAnsi="Cambria Math" w:cs="Times New Roman"/>
                <w:sz w:val="24"/>
                <w:szCs w:val="24"/>
                <w:lang w:val="en-US" w:eastAsia="pt-BR"/>
              </w:rPr>
              <m:t>c</m:t>
            </m:r>
            <m:r>
              <w:rPr>
                <w:rFonts w:ascii="Cambria Math" w:eastAsiaTheme="minorEastAsia" w:hAnsi="Cambria Math" w:cs="Times New Roman"/>
                <w:sz w:val="24"/>
                <w:szCs w:val="24"/>
                <w:lang w:eastAsia="pt-BR"/>
              </w:rPr>
              <m:t>=</m:t>
            </m:r>
            <m:r>
              <w:rPr>
                <w:rFonts w:ascii="Cambria Math" w:eastAsiaTheme="minorEastAsia" w:hAnsi="Cambria Math" w:cs="Times New Roman"/>
                <w:sz w:val="24"/>
                <w:szCs w:val="24"/>
                <w:lang w:val="en-US" w:eastAsia="pt-BR"/>
              </w:rPr>
              <m:t>k</m:t>
            </m:r>
          </m:sub>
        </m:sSub>
      </m:oMath>
      <w:r w:rsidR="00655F24" w:rsidRPr="007A0FE8">
        <w:rPr>
          <w:rFonts w:ascii="Times New Roman" w:eastAsiaTheme="minorEastAsia" w:hAnsi="Times New Roman" w:cs="Times New Roman"/>
          <w:sz w:val="24"/>
          <w:szCs w:val="24"/>
          <w:lang w:eastAsia="pt-BR"/>
        </w:rPr>
        <w:t xml:space="preserve">                                                 (2</w:t>
      </w:r>
      <w:r w:rsidR="003F1581" w:rsidRPr="007A0FE8">
        <w:rPr>
          <w:rFonts w:ascii="Times New Roman" w:eastAsiaTheme="minorEastAsia" w:hAnsi="Times New Roman" w:cs="Times New Roman"/>
          <w:sz w:val="24"/>
          <w:szCs w:val="24"/>
          <w:lang w:eastAsia="pt-BR"/>
        </w:rPr>
        <w:t>7</w:t>
      </w:r>
      <w:r w:rsidR="00655F24" w:rsidRPr="007A0FE8">
        <w:rPr>
          <w:rFonts w:ascii="Times New Roman" w:eastAsiaTheme="minorEastAsia" w:hAnsi="Times New Roman" w:cs="Times New Roman"/>
          <w:sz w:val="24"/>
          <w:szCs w:val="24"/>
          <w:lang w:eastAsia="pt-BR"/>
        </w:rPr>
        <w:t>)</w:t>
      </w:r>
    </w:p>
    <w:p w:rsidR="00655F24" w:rsidRPr="007A0FE8" w:rsidRDefault="006C3CBE" w:rsidP="00FF5024">
      <w:pPr>
        <w:spacing w:after="120" w:line="240" w:lineRule="auto"/>
        <w:jc w:val="both"/>
        <w:rPr>
          <w:rFonts w:ascii="Times New Roman" w:eastAsiaTheme="minorEastAsia" w:hAnsi="Times New Roman" w:cs="Times New Roman"/>
          <w:sz w:val="24"/>
          <w:szCs w:val="24"/>
        </w:rPr>
      </w:pPr>
      <w:r w:rsidRPr="007A0FE8">
        <w:rPr>
          <w:rFonts w:ascii="Times New Roman" w:eastAsiaTheme="minorEastAsia" w:hAnsi="Times New Roman" w:cs="Times New Roman"/>
          <w:sz w:val="24"/>
          <w:szCs w:val="24"/>
          <w:lang w:eastAsia="pt-BR"/>
        </w:rPr>
        <w:t xml:space="preserve">De fato,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up>
                <m:r>
                  <m:rPr>
                    <m:sty m:val="p"/>
                  </m:rPr>
                  <w:rPr>
                    <w:rFonts w:ascii="Cambria Math" w:eastAsiaTheme="minorEastAsia" w:hAnsi="Cambria Math" w:cs="Times New Roman"/>
                    <w:sz w:val="24"/>
                    <w:szCs w:val="24"/>
                  </w:rPr>
                  <m:t>b</m:t>
                </m:r>
              </m:sup>
            </m:sSubSup>
          </m:num>
          <m:den>
            <m:r>
              <m:rPr>
                <m:sty m:val="p"/>
              </m:rPr>
              <w:rPr>
                <w:rFonts w:ascii="Cambria Math" w:eastAsiaTheme="minorEastAsia" w:hAnsi="Cambria Math" w:cs="Times New Roman"/>
                <w:sz w:val="24"/>
                <w:szCs w:val="24"/>
              </w:rPr>
              <m:t>∂b</m:t>
            </m:r>
          </m:den>
        </m:f>
        <m:r>
          <m:rPr>
            <m:sty m:val="p"/>
          </m:rPr>
          <w:rPr>
            <w:rFonts w:ascii="Cambria Math" w:eastAsiaTheme="minorEastAsia" w:hAnsi="Cambria Math" w:cs="Times New Roman"/>
            <w:sz w:val="24"/>
            <w:szCs w:val="24"/>
          </w:rPr>
          <m:t>=</m:t>
        </m:r>
      </m:oMath>
      <w:r w:rsidR="00640F0B" w:rsidRPr="007A0FE8">
        <w:rPr>
          <w:rFonts w:ascii="Times New Roman" w:eastAsiaTheme="minorEastAsia" w:hAnsi="Times New Roman" w:cs="Times New Roman"/>
          <w:sz w:val="24"/>
          <w:szCs w:val="24"/>
        </w:rPr>
        <w:t xml:space="preserve"> </w:t>
      </w:r>
      <w:r w:rsidR="003C0DD1" w:rsidRPr="007A0FE8">
        <w:rPr>
          <w:rFonts w:ascii="Times New Roman" w:eastAsiaTheme="minorEastAsia" w:hAnsi="Times New Roman" w:cs="Times New Roman"/>
          <w:sz w:val="24"/>
          <w:szCs w:val="24"/>
        </w:rPr>
        <w:t>-3,86</w:t>
      </w:r>
      <w:r w:rsidRPr="007A0FE8">
        <w:rPr>
          <w:rFonts w:ascii="Times New Roman" w:eastAsiaTheme="minorEastAsia" w:hAnsi="Times New Roman" w:cs="Times New Roman"/>
          <w:sz w:val="24"/>
          <w:szCs w:val="24"/>
        </w:rPr>
        <w:t xml:space="preserve"> &lt;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c</m:t>
                </m:r>
              </m:sup>
            </m:sSubSup>
          </m:num>
          <m:den>
            <m:r>
              <w:rPr>
                <w:rFonts w:ascii="Cambria Math" w:hAnsi="Cambria Math" w:cs="Times New Roman"/>
                <w:sz w:val="24"/>
                <w:szCs w:val="24"/>
              </w:rPr>
              <m:t>∂c</m:t>
            </m:r>
          </m:den>
        </m:f>
        <m:r>
          <w:rPr>
            <w:rFonts w:ascii="Cambria Math" w:hAnsi="Cambria Math" w:cs="Times New Roman"/>
            <w:sz w:val="24"/>
            <w:szCs w:val="24"/>
          </w:rPr>
          <m:t>=</m:t>
        </m:r>
      </m:oMath>
      <w:r w:rsidR="003C0DD1" w:rsidRPr="007A0FE8">
        <w:rPr>
          <w:rFonts w:ascii="Times New Roman" w:eastAsiaTheme="minorEastAsia" w:hAnsi="Times New Roman" w:cs="Times New Roman"/>
          <w:sz w:val="24"/>
          <w:szCs w:val="24"/>
        </w:rPr>
        <w:t>5,12</w:t>
      </w:r>
      <w:r w:rsidR="00AF1EE8">
        <w:rPr>
          <w:rFonts w:ascii="Times New Roman" w:eastAsiaTheme="minorEastAsia" w:hAnsi="Times New Roman" w:cs="Times New Roman"/>
          <w:sz w:val="24"/>
          <w:szCs w:val="24"/>
        </w:rPr>
        <w:t xml:space="preserve"> e </w:t>
      </w:r>
      <w:r w:rsidR="00640F0B" w:rsidRPr="007A0FE8">
        <w:rPr>
          <w:rFonts w:ascii="Times New Roman" w:eastAsiaTheme="minorEastAsia" w:hAnsi="Times New Roman" w:cs="Times New Roman"/>
          <w:sz w:val="24"/>
          <w:szCs w:val="24"/>
        </w:rPr>
        <w:t xml:space="preserve">esse resultado </w:t>
      </w:r>
      <w:proofErr w:type="gramStart"/>
      <w:r w:rsidR="00640F0B" w:rsidRPr="007A0FE8">
        <w:rPr>
          <w:rFonts w:ascii="Times New Roman" w:eastAsiaTheme="minorEastAsia" w:hAnsi="Times New Roman" w:cs="Times New Roman"/>
          <w:sz w:val="24"/>
          <w:szCs w:val="24"/>
        </w:rPr>
        <w:t>evidencia</w:t>
      </w:r>
      <w:proofErr w:type="gramEnd"/>
      <w:r w:rsidR="00640F0B" w:rsidRPr="007A0FE8">
        <w:rPr>
          <w:rFonts w:ascii="Times New Roman" w:eastAsiaTheme="minorEastAsia" w:hAnsi="Times New Roman" w:cs="Times New Roman"/>
          <w:sz w:val="24"/>
          <w:szCs w:val="24"/>
        </w:rPr>
        <w:t xml:space="preserve"> duas </w:t>
      </w:r>
      <w:r w:rsidR="00BA2DAF" w:rsidRPr="007A0FE8">
        <w:rPr>
          <w:rFonts w:ascii="Times New Roman" w:eastAsiaTheme="minorEastAsia" w:hAnsi="Times New Roman" w:cs="Times New Roman"/>
          <w:sz w:val="24"/>
          <w:szCs w:val="24"/>
        </w:rPr>
        <w:t>conclusões:</w:t>
      </w:r>
    </w:p>
    <w:p w:rsidR="00F23FD5" w:rsidRPr="007A0FE8" w:rsidRDefault="006A0A44"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Uma vez que, dado um cupom k,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c</m:t>
                </m:r>
              </m:sup>
            </m:sSubSup>
          </m:num>
          <m:den>
            <m:r>
              <w:rPr>
                <w:rFonts w:ascii="Cambria Math" w:hAnsi="Cambria Math" w:cs="Times New Roman"/>
                <w:sz w:val="24"/>
                <w:szCs w:val="24"/>
              </w:rPr>
              <m:t>∂c</m:t>
            </m:r>
          </m:den>
        </m:f>
      </m:oMath>
      <w:r w:rsidRPr="007A0FE8">
        <w:rPr>
          <w:rFonts w:ascii="Times New Roman" w:eastAsiaTheme="minorEastAsia" w:hAnsi="Times New Roman" w:cs="Times New Roman"/>
          <w:sz w:val="24"/>
          <w:szCs w:val="24"/>
          <w:lang w:eastAsia="pt-BR"/>
        </w:rPr>
        <w:t xml:space="preserve"> &gt; 0 para o banco com </w:t>
      </w:r>
      <w:proofErr w:type="spellStart"/>
      <w:proofErr w:type="gramStart"/>
      <w:r w:rsidR="0099005E">
        <w:rPr>
          <w:rFonts w:ascii="Times New Roman" w:eastAsiaTheme="minorEastAsia" w:hAnsi="Times New Roman" w:cs="Times New Roman"/>
          <w:sz w:val="24"/>
          <w:szCs w:val="24"/>
          <w:lang w:eastAsia="pt-BR"/>
        </w:rPr>
        <w:t>CoCo</w:t>
      </w:r>
      <w:proofErr w:type="spellEnd"/>
      <w:proofErr w:type="gramEnd"/>
      <w:r w:rsidRPr="007A0FE8">
        <w:rPr>
          <w:rFonts w:ascii="Times New Roman" w:eastAsiaTheme="minorEastAsia" w:hAnsi="Times New Roman" w:cs="Times New Roman"/>
          <w:sz w:val="24"/>
          <w:szCs w:val="24"/>
          <w:lang w:eastAsia="pt-BR"/>
        </w:rPr>
        <w:t>, e</w:t>
      </w:r>
      <w:r w:rsidR="00BA2DAF">
        <w:rPr>
          <w:rFonts w:ascii="Times New Roman" w:eastAsiaTheme="minorEastAsia" w:hAnsi="Times New Roman" w:cs="Times New Roman"/>
          <w:sz w:val="24"/>
          <w:szCs w:val="24"/>
          <w:lang w:eastAsia="pt-BR"/>
        </w:rPr>
        <w:t xml:space="preserve"> </w:t>
      </w:r>
      <w:r w:rsidRPr="007A0FE8">
        <w:rPr>
          <w:rFonts w:ascii="Times New Roman" w:eastAsiaTheme="minorEastAsia" w:hAnsi="Times New Roman" w:cs="Times New Roman"/>
          <w:sz w:val="24"/>
          <w:szCs w:val="24"/>
          <w:lang w:eastAsia="pt-BR"/>
        </w:rPr>
        <w:t xml:space="preserve">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∂b</m:t>
            </m:r>
          </m:den>
        </m:f>
      </m:oMath>
      <w:r w:rsidRPr="007A0FE8">
        <w:rPr>
          <w:rFonts w:ascii="Times New Roman" w:eastAsiaTheme="minorEastAsia" w:hAnsi="Times New Roman" w:cs="Times New Roman"/>
          <w:sz w:val="24"/>
          <w:szCs w:val="24"/>
          <w:lang w:eastAsia="pt-BR"/>
        </w:rPr>
        <w:t xml:space="preserve"> = 0 para seu correspondente com dívidas subordinadas, conclui-se que o cupom ótimo c*</w:t>
      </w:r>
      <w:r w:rsidR="003C6BE8" w:rsidRPr="007A0FE8">
        <w:rPr>
          <w:rFonts w:ascii="Times New Roman" w:eastAsiaTheme="minorEastAsia" w:hAnsi="Times New Roman" w:cs="Times New Roman"/>
          <w:sz w:val="24"/>
          <w:szCs w:val="24"/>
          <w:lang w:eastAsia="pt-BR"/>
        </w:rPr>
        <w:t xml:space="preserve"> deve ser maior que o cupom b* de dívidas subordinadas. E, com dívida ótima, o valor do banco em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3C6BE8" w:rsidRPr="007A0FE8">
        <w:rPr>
          <w:rFonts w:ascii="Times New Roman" w:eastAsiaTheme="minorEastAsia" w:hAnsi="Times New Roman" w:cs="Times New Roman"/>
          <w:sz w:val="24"/>
          <w:szCs w:val="24"/>
          <w:lang w:eastAsia="pt-BR"/>
        </w:rPr>
        <w:t xml:space="preserve"> é maior que o valor do banco com dívidas subordinadas, ou seja, </w:t>
      </w:r>
      <m:oMath>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V</m:t>
            </m:r>
          </m:e>
          <m:sup>
            <m:r>
              <w:rPr>
                <w:rFonts w:ascii="Cambria Math" w:eastAsiaTheme="minorEastAsia" w:hAnsi="Cambria Math" w:cs="Times New Roman"/>
                <w:sz w:val="24"/>
                <w:szCs w:val="24"/>
                <w:lang w:eastAsia="pt-BR"/>
              </w:rPr>
              <m:t>b</m:t>
            </m:r>
          </m:sup>
        </m:sSup>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b*</m:t>
            </m:r>
          </m:e>
        </m:d>
        <m:r>
          <w:rPr>
            <w:rFonts w:ascii="Cambria Math" w:eastAsiaTheme="minorEastAsia" w:hAnsi="Cambria Math" w:cs="Times New Roman"/>
            <w:sz w:val="24"/>
            <w:szCs w:val="24"/>
            <w:lang w:eastAsia="pt-BR"/>
          </w:rPr>
          <m:t>&lt;</m:t>
        </m:r>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V</m:t>
            </m:r>
          </m:e>
          <m:sup>
            <m:r>
              <w:rPr>
                <w:rFonts w:ascii="Cambria Math" w:eastAsiaTheme="minorEastAsia" w:hAnsi="Cambria Math" w:cs="Times New Roman"/>
                <w:sz w:val="24"/>
                <w:szCs w:val="24"/>
                <w:lang w:eastAsia="pt-BR"/>
              </w:rPr>
              <m:t>c</m:t>
            </m:r>
          </m:sup>
        </m:sSup>
        <m:r>
          <w:rPr>
            <w:rFonts w:ascii="Cambria Math" w:eastAsiaTheme="minorEastAsia" w:hAnsi="Cambria Math" w:cs="Times New Roman"/>
            <w:sz w:val="24"/>
            <w:szCs w:val="24"/>
            <w:lang w:eastAsia="pt-BR"/>
          </w:rPr>
          <m:t>(c*)</m:t>
        </m:r>
      </m:oMath>
      <w:r w:rsidR="003C6BE8" w:rsidRPr="007A0FE8">
        <w:rPr>
          <w:rFonts w:ascii="Times New Roman" w:eastAsiaTheme="minorEastAsia" w:hAnsi="Times New Roman" w:cs="Times New Roman"/>
          <w:sz w:val="24"/>
          <w:szCs w:val="24"/>
          <w:lang w:eastAsia="pt-BR"/>
        </w:rPr>
        <w:t xml:space="preserve">. </w:t>
      </w:r>
      <w:r w:rsidR="005F6E96" w:rsidRPr="007A0FE8">
        <w:rPr>
          <w:rFonts w:ascii="Times New Roman" w:eastAsiaTheme="minorEastAsia" w:hAnsi="Times New Roman" w:cs="Times New Roman"/>
          <w:sz w:val="24"/>
          <w:szCs w:val="24"/>
          <w:lang w:eastAsia="pt-BR"/>
        </w:rPr>
        <w:t xml:space="preserve">Isto porque, </w:t>
      </w:r>
      <w:r w:rsidR="00A765D9" w:rsidRPr="007A0FE8">
        <w:rPr>
          <w:rFonts w:ascii="Times New Roman" w:eastAsiaTheme="minorEastAsia" w:hAnsi="Times New Roman" w:cs="Times New Roman"/>
          <w:sz w:val="24"/>
          <w:szCs w:val="24"/>
          <w:lang w:eastAsia="pt-BR"/>
        </w:rPr>
        <w:t xml:space="preserve">cupons mais altos permitem </w:t>
      </w:r>
      <w:proofErr w:type="gramStart"/>
      <w:r w:rsidR="00A765D9" w:rsidRPr="007A0FE8">
        <w:rPr>
          <w:rFonts w:ascii="Times New Roman" w:eastAsiaTheme="minorEastAsia" w:hAnsi="Times New Roman" w:cs="Times New Roman"/>
          <w:sz w:val="24"/>
          <w:szCs w:val="24"/>
          <w:lang w:eastAsia="pt-BR"/>
        </w:rPr>
        <w:t>maior</w:t>
      </w:r>
      <w:proofErr w:type="gramEnd"/>
      <w:r w:rsidR="00A765D9" w:rsidRPr="007A0FE8">
        <w:rPr>
          <w:rFonts w:ascii="Times New Roman" w:eastAsiaTheme="minorEastAsia" w:hAnsi="Times New Roman" w:cs="Times New Roman"/>
          <w:sz w:val="24"/>
          <w:szCs w:val="24"/>
          <w:lang w:eastAsia="pt-BR"/>
        </w:rPr>
        <w:t xml:space="preserve"> beneficio fiscal, sem crescimento do risco de </w:t>
      </w:r>
      <w:r w:rsidR="00CB4D33" w:rsidRPr="007A0FE8">
        <w:rPr>
          <w:rFonts w:ascii="Times New Roman" w:eastAsiaTheme="minorEastAsia" w:hAnsi="Times New Roman" w:cs="Times New Roman"/>
          <w:sz w:val="24"/>
          <w:szCs w:val="24"/>
          <w:lang w:eastAsia="pt-BR"/>
        </w:rPr>
        <w:t>inadimplência</w:t>
      </w:r>
      <w:r w:rsidR="00A765D9" w:rsidRPr="007A0FE8">
        <w:rPr>
          <w:rFonts w:ascii="Times New Roman" w:eastAsiaTheme="minorEastAsia" w:hAnsi="Times New Roman" w:cs="Times New Roman"/>
          <w:sz w:val="24"/>
          <w:szCs w:val="24"/>
          <w:lang w:eastAsia="pt-BR"/>
        </w:rPr>
        <w:t>, dado o beneficio da conversão.</w:t>
      </w:r>
      <w:r w:rsidR="00682BEB">
        <w:rPr>
          <w:rFonts w:ascii="Times New Roman" w:eastAsiaTheme="minorEastAsia" w:hAnsi="Times New Roman" w:cs="Times New Roman"/>
          <w:sz w:val="24"/>
          <w:szCs w:val="24"/>
          <w:lang w:eastAsia="pt-BR"/>
        </w:rPr>
        <w:t xml:space="preserve"> </w:t>
      </w:r>
      <w:r w:rsidR="00F23FD5" w:rsidRPr="007A0FE8">
        <w:rPr>
          <w:rFonts w:ascii="Times New Roman" w:eastAsiaTheme="minorEastAsia" w:hAnsi="Times New Roman" w:cs="Times New Roman"/>
          <w:sz w:val="24"/>
          <w:szCs w:val="24"/>
          <w:lang w:eastAsia="pt-BR"/>
        </w:rPr>
        <w:t>No Banco do Brasil</w:t>
      </w:r>
      <w:r w:rsidR="005F6E96" w:rsidRPr="007A0FE8">
        <w:rPr>
          <w:rFonts w:ascii="Times New Roman" w:eastAsiaTheme="minorEastAsia" w:hAnsi="Times New Roman" w:cs="Times New Roman"/>
          <w:sz w:val="24"/>
          <w:szCs w:val="24"/>
          <w:lang w:eastAsia="pt-BR"/>
        </w:rPr>
        <w:t>:</w:t>
      </w:r>
      <w:r w:rsidR="00F85196">
        <w:rPr>
          <w:rFonts w:ascii="Times New Roman" w:eastAsiaTheme="minorEastAsia" w:hAnsi="Times New Roman" w:cs="Times New Roman"/>
          <w:sz w:val="24"/>
          <w:szCs w:val="24"/>
          <w:lang w:eastAsia="pt-BR"/>
        </w:rPr>
        <w:t xml:space="preserve"> </w:t>
      </w:r>
      <m:oMath>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V</m:t>
            </m:r>
          </m:e>
          <m:sup>
            <m:r>
              <w:rPr>
                <w:rFonts w:ascii="Cambria Math" w:eastAsiaTheme="minorEastAsia" w:hAnsi="Cambria Math" w:cs="Times New Roman"/>
                <w:sz w:val="24"/>
                <w:szCs w:val="24"/>
                <w:lang w:eastAsia="pt-BR"/>
              </w:rPr>
              <m:t>b</m:t>
            </m:r>
          </m:sup>
        </m:sSup>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b*</m:t>
            </m:r>
          </m:e>
        </m:d>
        <m:r>
          <w:rPr>
            <w:rFonts w:ascii="Cambria Math" w:eastAsiaTheme="minorEastAsia" w:hAnsi="Cambria Math" w:cs="Times New Roman"/>
            <w:sz w:val="24"/>
            <w:szCs w:val="24"/>
            <w:lang w:eastAsia="pt-BR"/>
          </w:rPr>
          <m:t>=</m:t>
        </m:r>
      </m:oMath>
      <w:r w:rsidR="005F6E96" w:rsidRPr="007A0FE8">
        <w:rPr>
          <w:rFonts w:ascii="Times New Roman" w:eastAsiaTheme="minorEastAsia" w:hAnsi="Times New Roman" w:cs="Times New Roman"/>
          <w:sz w:val="24"/>
          <w:szCs w:val="24"/>
          <w:lang w:eastAsia="pt-BR"/>
        </w:rPr>
        <w:t xml:space="preserve"> R$ 229.802 bilhões </w:t>
      </w:r>
      <w:r w:rsidR="00F23FD5" w:rsidRPr="007A0FE8">
        <w:rPr>
          <w:rFonts w:ascii="Times New Roman" w:eastAsiaTheme="minorEastAsia" w:hAnsi="Times New Roman" w:cs="Times New Roman"/>
          <w:sz w:val="24"/>
          <w:szCs w:val="24"/>
          <w:lang w:eastAsia="pt-BR"/>
        </w:rPr>
        <w:t>&lt;</w:t>
      </w:r>
      <w:proofErr w:type="gramStart"/>
      <w:r w:rsidR="00F23FD5" w:rsidRPr="007A0FE8">
        <w:rPr>
          <w:rFonts w:ascii="Times New Roman" w:eastAsiaTheme="minorEastAsia" w:hAnsi="Times New Roman" w:cs="Times New Roman"/>
          <w:sz w:val="24"/>
          <w:szCs w:val="24"/>
          <w:lang w:eastAsia="pt-BR"/>
        </w:rPr>
        <w:t xml:space="preserve"> </w:t>
      </w:r>
      <w:r w:rsidR="005F6E96" w:rsidRPr="007A0FE8">
        <w:rPr>
          <w:rFonts w:ascii="Times New Roman" w:eastAsiaTheme="minorEastAsia" w:hAnsi="Times New Roman" w:cs="Times New Roman"/>
          <w:sz w:val="24"/>
          <w:szCs w:val="24"/>
          <w:lang w:eastAsia="pt-BR"/>
        </w:rPr>
        <w:t xml:space="preserve"> </w:t>
      </w:r>
      <w:proofErr w:type="gramEnd"/>
      <m:oMath>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V</m:t>
            </m:r>
          </m:e>
          <m:sup>
            <m:r>
              <w:rPr>
                <w:rFonts w:ascii="Cambria Math" w:eastAsiaTheme="minorEastAsia" w:hAnsi="Cambria Math" w:cs="Times New Roman"/>
                <w:sz w:val="24"/>
                <w:szCs w:val="24"/>
                <w:lang w:eastAsia="pt-BR"/>
              </w:rPr>
              <m:t>c</m:t>
            </m:r>
          </m:sup>
        </m:sSup>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c*</m:t>
            </m:r>
          </m:e>
        </m:d>
        <m:r>
          <w:rPr>
            <w:rFonts w:ascii="Cambria Math" w:eastAsiaTheme="minorEastAsia" w:hAnsi="Cambria Math" w:cs="Times New Roman"/>
            <w:sz w:val="24"/>
            <w:szCs w:val="24"/>
            <w:lang w:eastAsia="pt-BR"/>
          </w:rPr>
          <m:t>=</m:t>
        </m:r>
      </m:oMath>
      <w:r w:rsidR="005F6E96" w:rsidRPr="007A0FE8">
        <w:rPr>
          <w:rFonts w:ascii="Times New Roman" w:eastAsiaTheme="minorEastAsia" w:hAnsi="Times New Roman" w:cs="Times New Roman"/>
          <w:sz w:val="24"/>
          <w:szCs w:val="24"/>
          <w:lang w:eastAsia="pt-BR"/>
        </w:rPr>
        <w:t xml:space="preserve"> R$ 231.312</w:t>
      </w:r>
      <w:r w:rsidR="00F23FD5" w:rsidRPr="007A0FE8">
        <w:rPr>
          <w:rFonts w:ascii="Times New Roman" w:eastAsiaTheme="minorEastAsia" w:hAnsi="Times New Roman" w:cs="Times New Roman"/>
          <w:sz w:val="24"/>
          <w:szCs w:val="24"/>
          <w:lang w:eastAsia="pt-BR"/>
        </w:rPr>
        <w:t xml:space="preserve"> </w:t>
      </w:r>
      <w:r w:rsidR="005F6E96" w:rsidRPr="007A0FE8">
        <w:rPr>
          <w:rFonts w:ascii="Times New Roman" w:eastAsiaTheme="minorEastAsia" w:hAnsi="Times New Roman" w:cs="Times New Roman"/>
          <w:sz w:val="24"/>
          <w:szCs w:val="24"/>
          <w:lang w:eastAsia="pt-BR"/>
        </w:rPr>
        <w:t>bilhões</w:t>
      </w:r>
      <w:r w:rsidR="00AF1EE8">
        <w:rPr>
          <w:rFonts w:ascii="Times New Roman" w:eastAsiaTheme="minorEastAsia" w:hAnsi="Times New Roman" w:cs="Times New Roman"/>
          <w:sz w:val="24"/>
          <w:szCs w:val="24"/>
          <w:lang w:eastAsia="pt-BR"/>
        </w:rPr>
        <w:t>.</w:t>
      </w:r>
    </w:p>
    <w:p w:rsidR="008207F1" w:rsidRPr="007A0FE8" w:rsidRDefault="005F6E96"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Pelo modelo, o banco entra</w:t>
      </w:r>
      <w:r w:rsidR="008207F1" w:rsidRPr="007A0FE8">
        <w:rPr>
          <w:rFonts w:ascii="Times New Roman" w:eastAsiaTheme="minorEastAsia" w:hAnsi="Times New Roman" w:cs="Times New Roman"/>
          <w:sz w:val="24"/>
          <w:szCs w:val="24"/>
          <w:lang w:eastAsia="pt-BR"/>
        </w:rPr>
        <w:t xml:space="preserve"> em dificuldades financeiras quando o fluxo de caixa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t</m:t>
            </m:r>
          </m:sub>
        </m:sSub>
      </m:oMath>
      <w:r w:rsidR="008207F1" w:rsidRPr="007A0FE8">
        <w:rPr>
          <w:rFonts w:ascii="Times New Roman" w:eastAsiaTheme="minorEastAsia" w:hAnsi="Times New Roman" w:cs="Times New Roman"/>
          <w:sz w:val="24"/>
          <w:szCs w:val="24"/>
          <w:lang w:eastAsia="pt-BR"/>
        </w:rPr>
        <w:t xml:space="preserve"> toca a fronteira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b</m:t>
            </m:r>
          </m:sub>
        </m:sSub>
      </m:oMath>
      <w:r w:rsidRPr="007A0FE8">
        <w:rPr>
          <w:rFonts w:ascii="Times New Roman" w:eastAsiaTheme="minorEastAsia" w:hAnsi="Times New Roman" w:cs="Times New Roman"/>
          <w:sz w:val="24"/>
          <w:szCs w:val="24"/>
          <w:lang w:eastAsia="pt-BR"/>
        </w:rPr>
        <w:t xml:space="preserve">, </w:t>
      </w:r>
      <w:r w:rsidR="008207F1" w:rsidRPr="007A0FE8">
        <w:rPr>
          <w:rFonts w:ascii="Times New Roman" w:eastAsiaTheme="minorEastAsia" w:hAnsi="Times New Roman" w:cs="Times New Roman"/>
          <w:sz w:val="24"/>
          <w:szCs w:val="24"/>
          <w:lang w:eastAsia="pt-BR"/>
        </w:rPr>
        <w:t xml:space="preserve">no caso de financiamento com dívidas subordinadas 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c</m:t>
            </m:r>
          </m:sub>
        </m:sSub>
      </m:oMath>
      <w:r w:rsidRPr="007A0FE8">
        <w:rPr>
          <w:rFonts w:ascii="Times New Roman" w:eastAsiaTheme="minorEastAsia" w:hAnsi="Times New Roman" w:cs="Times New Roman"/>
          <w:sz w:val="24"/>
          <w:szCs w:val="24"/>
          <w:lang w:eastAsia="pt-BR"/>
        </w:rPr>
        <w:t>,</w:t>
      </w:r>
      <w:r w:rsidR="008207F1" w:rsidRPr="007A0FE8">
        <w:rPr>
          <w:rFonts w:ascii="Times New Roman" w:eastAsiaTheme="minorEastAsia" w:hAnsi="Times New Roman" w:cs="Times New Roman"/>
          <w:sz w:val="24"/>
          <w:szCs w:val="24"/>
          <w:lang w:eastAsia="pt-BR"/>
        </w:rPr>
        <w:t xml:space="preserve"> no caso dos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8207F1" w:rsidRPr="007A0FE8">
        <w:rPr>
          <w:rFonts w:ascii="Times New Roman" w:eastAsiaTheme="minorEastAsia" w:hAnsi="Times New Roman" w:cs="Times New Roman"/>
          <w:sz w:val="24"/>
          <w:szCs w:val="24"/>
          <w:lang w:eastAsia="pt-BR"/>
        </w:rPr>
        <w:t xml:space="preserve">. A probabilidade </w:t>
      </w:r>
      <w:r w:rsidRPr="007A0FE8">
        <w:rPr>
          <w:rFonts w:ascii="Times New Roman" w:eastAsiaTheme="minorEastAsia" w:hAnsi="Times New Roman" w:cs="Times New Roman"/>
          <w:sz w:val="24"/>
          <w:szCs w:val="24"/>
          <w:lang w:eastAsia="pt-BR"/>
        </w:rPr>
        <w:t>de o banco entrar</w:t>
      </w:r>
      <w:r w:rsidR="008207F1" w:rsidRPr="007A0FE8">
        <w:rPr>
          <w:rFonts w:ascii="Times New Roman" w:eastAsiaTheme="minorEastAsia" w:hAnsi="Times New Roman" w:cs="Times New Roman"/>
          <w:sz w:val="24"/>
          <w:szCs w:val="24"/>
          <w:lang w:eastAsia="pt-BR"/>
        </w:rPr>
        <w:t xml:space="preserve"> em dificuldades financeiras é dada por:</w:t>
      </w:r>
    </w:p>
    <w:p w:rsidR="008207F1" w:rsidRPr="007A0FE8" w:rsidRDefault="00445FF9" w:rsidP="00FF5024">
      <w:pPr>
        <w:spacing w:after="120" w:line="240" w:lineRule="auto"/>
        <w:jc w:val="right"/>
        <w:rPr>
          <w:rFonts w:ascii="Times New Roman" w:eastAsiaTheme="minorEastAsia" w:hAnsi="Times New Roman" w:cs="Times New Roman"/>
          <w:sz w:val="24"/>
          <w:szCs w:val="24"/>
          <w:lang w:eastAsia="pt-BR"/>
        </w:rPr>
      </w:pP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P</m:t>
            </m:r>
          </m:e>
          <m:sub>
            <m:r>
              <m:rPr>
                <m:sty m:val="p"/>
              </m:rPr>
              <w:rPr>
                <w:rFonts w:ascii="Cambria Math" w:eastAsiaTheme="minorEastAsia" w:hAnsi="Cambria Math" w:cs="Times New Roman"/>
                <w:sz w:val="24"/>
                <w:szCs w:val="24"/>
                <w:lang w:eastAsia="pt-BR"/>
              </w:rPr>
              <m:t>ξ,</m:t>
            </m:r>
            <m:r>
              <m:rPr>
                <m:scr m:val="script"/>
                <m:sty m:val="p"/>
              </m:rPr>
              <w:rPr>
                <w:rFonts w:ascii="Cambria Math" w:eastAsiaTheme="minorEastAsia" w:hAnsi="Cambria Math" w:cs="Times New Roman"/>
                <w:sz w:val="24"/>
                <w:szCs w:val="24"/>
                <w:lang w:eastAsia="pt-BR"/>
              </w:rPr>
              <m:t>T</m:t>
            </m:r>
          </m:sub>
        </m:sSub>
        <m:r>
          <m:rPr>
            <m:sty m:val="p"/>
          </m:rPr>
          <w:rPr>
            <w:rFonts w:ascii="Cambria Math" w:eastAsiaTheme="minorEastAsia" w:hAnsi="Cambria Math" w:cs="Times New Roman"/>
            <w:sz w:val="24"/>
            <w:szCs w:val="24"/>
            <w:lang w:eastAsia="pt-BR"/>
          </w:rPr>
          <m:t>=N</m:t>
        </m:r>
        <m:d>
          <m:dPr>
            <m:ctrlPr>
              <w:rPr>
                <w:rFonts w:ascii="Cambria Math" w:eastAsiaTheme="minorEastAsia" w:hAnsi="Cambria Math" w:cs="Times New Roman"/>
                <w:sz w:val="24"/>
                <w:szCs w:val="24"/>
                <w:lang w:eastAsia="pt-BR"/>
              </w:rPr>
            </m:ctrlPr>
          </m:dPr>
          <m:e>
            <m:f>
              <m:fPr>
                <m:ctrlPr>
                  <w:rPr>
                    <w:rFonts w:ascii="Cambria Math" w:eastAsiaTheme="minorEastAsia" w:hAnsi="Cambria Math" w:cs="Times New Roman"/>
                    <w:sz w:val="24"/>
                    <w:szCs w:val="24"/>
                    <w:lang w:eastAsia="pt-BR"/>
                  </w:rPr>
                </m:ctrlPr>
              </m:fPr>
              <m:num>
                <m:acc>
                  <m:accPr>
                    <m:chr m:val="̅"/>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Z</m:t>
                    </m:r>
                  </m:e>
                </m:acc>
                <m:r>
                  <m:rPr>
                    <m:sty m:val="p"/>
                  </m:rPr>
                  <w:rPr>
                    <w:rFonts w:ascii="Cambria Math" w:eastAsiaTheme="minorEastAsia" w:hAnsi="Cambria Math" w:cs="Times New Roman"/>
                    <w:sz w:val="24"/>
                    <w:szCs w:val="24"/>
                    <w:lang w:eastAsia="pt-BR"/>
                  </w:rPr>
                  <m:t>-</m:t>
                </m:r>
                <m:acc>
                  <m:accPr>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μ</m:t>
                    </m:r>
                  </m:e>
                </m:acc>
                <m:r>
                  <m:rPr>
                    <m:sty m:val="p"/>
                  </m:rPr>
                  <w:rPr>
                    <w:rFonts w:ascii="Cambria Math" w:eastAsiaTheme="minorEastAsia" w:hAnsi="Cambria Math" w:cs="Times New Roman"/>
                    <w:sz w:val="24"/>
                    <w:szCs w:val="24"/>
                    <w:lang w:eastAsia="pt-BR"/>
                  </w:rPr>
                  <m:t>T</m:t>
                </m:r>
              </m:num>
              <m:den>
                <m:r>
                  <m:rPr>
                    <m:sty m:val="p"/>
                  </m:rPr>
                  <w:rPr>
                    <w:rFonts w:ascii="Cambria Math" w:eastAsiaTheme="minorEastAsia" w:hAnsi="Cambria Math" w:cs="Times New Roman"/>
                    <w:sz w:val="24"/>
                    <w:szCs w:val="24"/>
                    <w:lang w:eastAsia="pt-BR"/>
                  </w:rPr>
                  <m:t>σ</m:t>
                </m:r>
                <m:rad>
                  <m:radPr>
                    <m:degHide m:val="1"/>
                    <m:ctrlPr>
                      <w:rPr>
                        <w:rFonts w:ascii="Cambria Math" w:eastAsiaTheme="minorEastAsia" w:hAnsi="Cambria Math" w:cs="Times New Roman"/>
                        <w:sz w:val="24"/>
                        <w:szCs w:val="24"/>
                        <w:lang w:eastAsia="pt-BR"/>
                      </w:rPr>
                    </m:ctrlPr>
                  </m:radPr>
                  <m:deg/>
                  <m:e>
                    <m:r>
                      <m:rPr>
                        <m:sty m:val="p"/>
                      </m:rPr>
                      <w:rPr>
                        <w:rFonts w:ascii="Cambria Math" w:eastAsiaTheme="minorEastAsia" w:hAnsi="Cambria Math" w:cs="Times New Roman"/>
                        <w:sz w:val="24"/>
                        <w:szCs w:val="24"/>
                        <w:lang w:eastAsia="pt-BR"/>
                      </w:rPr>
                      <m:t>T</m:t>
                    </m:r>
                  </m:e>
                </m:rad>
              </m:den>
            </m:f>
          </m:e>
        </m:d>
        <m:r>
          <m:rPr>
            <m:sty m:val="p"/>
          </m:rPr>
          <w:rPr>
            <w:rFonts w:ascii="Cambria Math" w:eastAsiaTheme="minorEastAsia" w:hAnsi="Cambria Math" w:cs="Times New Roman"/>
            <w:sz w:val="24"/>
            <w:szCs w:val="24"/>
            <w:lang w:eastAsia="pt-BR"/>
          </w:rPr>
          <m:t>+exp</m:t>
        </m:r>
        <m:d>
          <m:dPr>
            <m:begChr m:val="{"/>
            <m:endChr m:val="}"/>
            <m:ctrlPr>
              <w:rPr>
                <w:rFonts w:ascii="Cambria Math" w:eastAsiaTheme="minorEastAsia" w:hAnsi="Cambria Math" w:cs="Times New Roman"/>
                <w:sz w:val="24"/>
                <w:szCs w:val="24"/>
                <w:lang w:eastAsia="pt-BR"/>
              </w:rPr>
            </m:ctrlPr>
          </m:dPr>
          <m:e>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2</m:t>
                </m:r>
                <m:acc>
                  <m:accPr>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μ</m:t>
                    </m:r>
                  </m:e>
                </m:acc>
                <m:acc>
                  <m:accPr>
                    <m:chr m:val="̅"/>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z</m:t>
                    </m:r>
                  </m:e>
                </m:acc>
              </m:num>
              <m:den>
                <m:sSup>
                  <m:sSupPr>
                    <m:ctrlPr>
                      <w:rPr>
                        <w:rFonts w:ascii="Cambria Math" w:eastAsiaTheme="minorEastAsia" w:hAnsi="Cambria Math" w:cs="Times New Roman"/>
                        <w:sz w:val="24"/>
                        <w:szCs w:val="24"/>
                        <w:lang w:eastAsia="pt-BR"/>
                      </w:rPr>
                    </m:ctrlPr>
                  </m:sSupPr>
                  <m:e>
                    <m:r>
                      <m:rPr>
                        <m:sty m:val="p"/>
                      </m:rPr>
                      <w:rPr>
                        <w:rFonts w:ascii="Cambria Math" w:eastAsiaTheme="minorEastAsia" w:hAnsi="Cambria Math" w:cs="Times New Roman"/>
                        <w:sz w:val="24"/>
                        <w:szCs w:val="24"/>
                        <w:lang w:eastAsia="pt-BR"/>
                      </w:rPr>
                      <m:t>σ</m:t>
                    </m:r>
                  </m:e>
                  <m:sup>
                    <m:r>
                      <m:rPr>
                        <m:sty m:val="p"/>
                      </m:rPr>
                      <w:rPr>
                        <w:rFonts w:ascii="Cambria Math" w:eastAsiaTheme="minorEastAsia" w:hAnsi="Cambria Math" w:cs="Times New Roman"/>
                        <w:sz w:val="24"/>
                        <w:szCs w:val="24"/>
                        <w:lang w:eastAsia="pt-BR"/>
                      </w:rPr>
                      <m:t>2</m:t>
                    </m:r>
                  </m:sup>
                </m:sSup>
              </m:den>
            </m:f>
          </m:e>
        </m:d>
        <m:r>
          <m:rPr>
            <m:sty m:val="p"/>
          </m:rPr>
          <w:rPr>
            <w:rFonts w:ascii="Cambria Math" w:eastAsiaTheme="minorEastAsia" w:hAnsi="Cambria Math" w:cs="Times New Roman"/>
            <w:sz w:val="24"/>
            <w:szCs w:val="24"/>
            <w:lang w:eastAsia="pt-BR"/>
          </w:rPr>
          <m:t>N</m:t>
        </m:r>
        <m:d>
          <m:dPr>
            <m:ctrlPr>
              <w:rPr>
                <w:rFonts w:ascii="Cambria Math" w:eastAsiaTheme="minorEastAsia" w:hAnsi="Cambria Math" w:cs="Times New Roman"/>
                <w:sz w:val="24"/>
                <w:szCs w:val="24"/>
                <w:lang w:eastAsia="pt-BR"/>
              </w:rPr>
            </m:ctrlPr>
          </m:dPr>
          <m:e>
            <m:f>
              <m:fPr>
                <m:ctrlPr>
                  <w:rPr>
                    <w:rFonts w:ascii="Cambria Math" w:eastAsiaTheme="minorEastAsia" w:hAnsi="Cambria Math" w:cs="Times New Roman"/>
                    <w:sz w:val="24"/>
                    <w:szCs w:val="24"/>
                    <w:lang w:eastAsia="pt-BR"/>
                  </w:rPr>
                </m:ctrlPr>
              </m:fPr>
              <m:num>
                <m:acc>
                  <m:accPr>
                    <m:chr m:val="̅"/>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Z</m:t>
                    </m:r>
                  </m:e>
                </m:acc>
                <m:r>
                  <m:rPr>
                    <m:sty m:val="p"/>
                  </m:rPr>
                  <w:rPr>
                    <w:rFonts w:ascii="Cambria Math" w:eastAsiaTheme="minorEastAsia" w:hAnsi="Cambria Math" w:cs="Times New Roman"/>
                    <w:sz w:val="24"/>
                    <w:szCs w:val="24"/>
                    <w:lang w:eastAsia="pt-BR"/>
                  </w:rPr>
                  <m:t>+</m:t>
                </m:r>
                <m:acc>
                  <m:accPr>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μ</m:t>
                    </m:r>
                  </m:e>
                </m:acc>
                <m:r>
                  <m:rPr>
                    <m:sty m:val="p"/>
                  </m:rPr>
                  <w:rPr>
                    <w:rFonts w:ascii="Cambria Math" w:eastAsiaTheme="minorEastAsia" w:hAnsi="Cambria Math" w:cs="Times New Roman"/>
                    <w:sz w:val="24"/>
                    <w:szCs w:val="24"/>
                    <w:lang w:eastAsia="pt-BR"/>
                  </w:rPr>
                  <m:t>T</m:t>
                </m:r>
              </m:num>
              <m:den>
                <m:r>
                  <m:rPr>
                    <m:sty m:val="p"/>
                  </m:rPr>
                  <w:rPr>
                    <w:rFonts w:ascii="Cambria Math" w:eastAsiaTheme="minorEastAsia" w:hAnsi="Cambria Math" w:cs="Times New Roman"/>
                    <w:sz w:val="24"/>
                    <w:szCs w:val="24"/>
                    <w:lang w:eastAsia="pt-BR"/>
                  </w:rPr>
                  <m:t>σ</m:t>
                </m:r>
                <m:rad>
                  <m:radPr>
                    <m:degHide m:val="1"/>
                    <m:ctrlPr>
                      <w:rPr>
                        <w:rFonts w:ascii="Cambria Math" w:eastAsiaTheme="minorEastAsia" w:hAnsi="Cambria Math" w:cs="Times New Roman"/>
                        <w:sz w:val="24"/>
                        <w:szCs w:val="24"/>
                        <w:lang w:eastAsia="pt-BR"/>
                      </w:rPr>
                    </m:ctrlPr>
                  </m:radPr>
                  <m:deg/>
                  <m:e>
                    <m:r>
                      <m:rPr>
                        <m:sty m:val="p"/>
                      </m:rPr>
                      <w:rPr>
                        <w:rFonts w:ascii="Cambria Math" w:eastAsiaTheme="minorEastAsia" w:hAnsi="Cambria Math" w:cs="Times New Roman"/>
                        <w:sz w:val="24"/>
                        <w:szCs w:val="24"/>
                        <w:lang w:eastAsia="pt-BR"/>
                      </w:rPr>
                      <m:t>T</m:t>
                    </m:r>
                  </m:e>
                </m:rad>
              </m:den>
            </m:f>
          </m:e>
        </m:d>
      </m:oMath>
      <w:r w:rsidR="006E4A3D" w:rsidRPr="007A0FE8">
        <w:rPr>
          <w:rFonts w:ascii="Times New Roman" w:eastAsiaTheme="minorEastAsia" w:hAnsi="Times New Roman" w:cs="Times New Roman"/>
          <w:sz w:val="24"/>
          <w:szCs w:val="24"/>
          <w:lang w:eastAsia="pt-BR"/>
        </w:rPr>
        <w:t xml:space="preserve">          </w:t>
      </w:r>
      <w:r w:rsidR="00FC72CF" w:rsidRPr="007A0FE8">
        <w:rPr>
          <w:rFonts w:ascii="Times New Roman" w:eastAsiaTheme="minorEastAsia" w:hAnsi="Times New Roman" w:cs="Times New Roman"/>
          <w:sz w:val="24"/>
          <w:szCs w:val="24"/>
          <w:lang w:eastAsia="pt-BR"/>
        </w:rPr>
        <w:t xml:space="preserve">             </w:t>
      </w:r>
      <w:r w:rsidR="006E4A3D" w:rsidRPr="007A0FE8">
        <w:rPr>
          <w:rFonts w:ascii="Times New Roman" w:eastAsiaTheme="minorEastAsia" w:hAnsi="Times New Roman" w:cs="Times New Roman"/>
          <w:sz w:val="24"/>
          <w:szCs w:val="24"/>
          <w:lang w:eastAsia="pt-BR"/>
        </w:rPr>
        <w:t xml:space="preserve">                         (2</w:t>
      </w:r>
      <w:r w:rsidR="003F1581" w:rsidRPr="007A0FE8">
        <w:rPr>
          <w:rFonts w:ascii="Times New Roman" w:eastAsiaTheme="minorEastAsia" w:hAnsi="Times New Roman" w:cs="Times New Roman"/>
          <w:sz w:val="24"/>
          <w:szCs w:val="24"/>
          <w:lang w:eastAsia="pt-BR"/>
        </w:rPr>
        <w:t>8</w:t>
      </w:r>
      <w:r w:rsidR="006E4A3D" w:rsidRPr="007A0FE8">
        <w:rPr>
          <w:rFonts w:ascii="Times New Roman" w:eastAsiaTheme="minorEastAsia" w:hAnsi="Times New Roman" w:cs="Times New Roman"/>
          <w:sz w:val="24"/>
          <w:szCs w:val="24"/>
          <w:lang w:eastAsia="pt-BR"/>
        </w:rPr>
        <w:t>)</w:t>
      </w:r>
    </w:p>
    <w:p w:rsidR="006E4A3D" w:rsidRPr="007A0FE8" w:rsidRDefault="006E4A3D"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sz w:val="24"/>
          <w:szCs w:val="24"/>
          <w:lang w:eastAsia="pt-BR"/>
        </w:rPr>
        <w:t xml:space="preserve">Onde, </w:t>
      </w:r>
      <m:oMath>
        <m:acc>
          <m:accPr>
            <m:chr m:val="̅"/>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Z</m:t>
            </m:r>
          </m:e>
        </m:acc>
        <m:r>
          <w:rPr>
            <w:rFonts w:ascii="Cambria Math" w:eastAsiaTheme="minorEastAsia" w:hAnsi="Cambria Math" w:cs="Times New Roman"/>
            <w:sz w:val="24"/>
            <w:szCs w:val="24"/>
            <w:lang w:eastAsia="pt-BR"/>
          </w:rPr>
          <m:t>=log</m:t>
        </m:r>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ξ</m:t>
                </m:r>
              </m:num>
              <m:den>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0</m:t>
                    </m:r>
                  </m:sub>
                </m:sSub>
              </m:den>
            </m:f>
          </m:e>
        </m:d>
      </m:oMath>
      <w:r w:rsidRPr="007A0FE8">
        <w:rPr>
          <w:rFonts w:ascii="Times New Roman" w:eastAsiaTheme="minorEastAsia" w:hAnsi="Times New Roman" w:cs="Times New Roman"/>
          <w:sz w:val="24"/>
          <w:szCs w:val="24"/>
          <w:lang w:eastAsia="pt-BR"/>
        </w:rPr>
        <w:t xml:space="preserve">, </w:t>
      </w:r>
      <m:oMath>
        <m:acc>
          <m:accPr>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μ</m:t>
            </m:r>
          </m:e>
        </m:acc>
        <m:r>
          <w:rPr>
            <w:rFonts w:ascii="Cambria Math" w:eastAsiaTheme="minorEastAsia" w:hAnsi="Cambria Math" w:cs="Times New Roman"/>
            <w:sz w:val="24"/>
            <w:szCs w:val="24"/>
            <w:lang w:eastAsia="pt-BR"/>
          </w:rPr>
          <m:t>=μ-</m:t>
        </m:r>
        <m:f>
          <m:fPr>
            <m:ctrlPr>
              <w:rPr>
                <w:rFonts w:ascii="Cambria Math" w:eastAsiaTheme="minorEastAsia" w:hAnsi="Cambria Math" w:cs="Times New Roman"/>
                <w:i/>
                <w:sz w:val="24"/>
                <w:szCs w:val="24"/>
                <w:lang w:eastAsia="pt-BR"/>
              </w:rPr>
            </m:ctrlPr>
          </m:fPr>
          <m:num>
            <m:sSup>
              <m:sSupPr>
                <m:ctrlPr>
                  <w:rPr>
                    <w:rFonts w:ascii="Cambria Math" w:eastAsiaTheme="minorEastAsia" w:hAnsi="Cambria Math" w:cs="Times New Roman"/>
                    <w:sz w:val="24"/>
                    <w:szCs w:val="24"/>
                    <w:lang w:eastAsia="pt-BR"/>
                  </w:rPr>
                </m:ctrlPr>
              </m:sSupPr>
              <m:e>
                <m:r>
                  <m:rPr>
                    <m:sty m:val="p"/>
                  </m:rPr>
                  <w:rPr>
                    <w:rFonts w:ascii="Cambria Math" w:eastAsiaTheme="minorEastAsia" w:hAnsi="Cambria Math" w:cs="Times New Roman"/>
                    <w:sz w:val="24"/>
                    <w:szCs w:val="24"/>
                    <w:lang w:eastAsia="pt-BR"/>
                  </w:rPr>
                  <m:t>σ</m:t>
                </m:r>
              </m:e>
              <m:sup>
                <m:r>
                  <m:rPr>
                    <m:sty m:val="p"/>
                  </m:rPr>
                  <w:rPr>
                    <w:rFonts w:ascii="Cambria Math" w:eastAsiaTheme="minorEastAsia" w:hAnsi="Cambria Math" w:cs="Times New Roman"/>
                    <w:sz w:val="24"/>
                    <w:szCs w:val="24"/>
                    <w:lang w:eastAsia="pt-BR"/>
                  </w:rPr>
                  <m:t>2</m:t>
                </m:r>
              </m:sup>
            </m:sSup>
          </m:num>
          <m:den>
            <m:r>
              <w:rPr>
                <w:rFonts w:ascii="Cambria Math" w:eastAsiaTheme="minorEastAsia" w:hAnsi="Cambria Math" w:cs="Times New Roman"/>
                <w:sz w:val="24"/>
                <w:szCs w:val="24"/>
                <w:lang w:eastAsia="pt-BR"/>
              </w:rPr>
              <m:t>2</m:t>
            </m:r>
          </m:den>
        </m:f>
      </m:oMath>
      <w:r w:rsidRPr="007A0FE8">
        <w:rPr>
          <w:rFonts w:ascii="Times New Roman" w:eastAsiaTheme="minorEastAsia" w:hAnsi="Times New Roman" w:cs="Times New Roman"/>
          <w:sz w:val="24"/>
          <w:szCs w:val="24"/>
          <w:lang w:eastAsia="pt-BR"/>
        </w:rPr>
        <w:t xml:space="preserve"> e N(.) é a função de distribuição cumulativa normal padrão. </w:t>
      </w:r>
      <w:r w:rsidR="005F6E96" w:rsidRPr="007A0FE8">
        <w:rPr>
          <w:rFonts w:ascii="Times New Roman" w:eastAsiaTheme="minorEastAsia" w:hAnsi="Times New Roman" w:cs="Times New Roman"/>
          <w:sz w:val="24"/>
          <w:szCs w:val="24"/>
          <w:lang w:eastAsia="pt-BR"/>
        </w:rPr>
        <w:t xml:space="preserve">Assim, temos que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P</m:t>
            </m:r>
          </m:e>
          <m:sub>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c</m:t>
                </m:r>
              </m:sub>
            </m:sSub>
            <w:proofErr w:type="gramStart"/>
            <m:r>
              <m:rPr>
                <m:sty m:val="p"/>
              </m:rPr>
              <w:rPr>
                <w:rFonts w:ascii="Cambria Math" w:eastAsiaTheme="minorEastAsia" w:hAnsi="Cambria Math" w:cs="Times New Roman"/>
                <w:sz w:val="24"/>
                <w:szCs w:val="24"/>
                <w:lang w:eastAsia="pt-BR"/>
              </w:rPr>
              <m:t>,</m:t>
            </m:r>
            <w:proofErr w:type="gramEnd"/>
            <m:r>
              <m:rPr>
                <m:scr m:val="script"/>
                <m:sty m:val="p"/>
              </m:rP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&lt;</m:t>
        </m:r>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P</m:t>
            </m:r>
          </m:e>
          <m:sub>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b</m:t>
                </m:r>
              </m:sub>
            </m:sSub>
            <m:r>
              <m:rPr>
                <m:scr m:val="script"/>
                <m:sty m:val="p"/>
              </m:rPr>
              <w:rPr>
                <w:rFonts w:ascii="Cambria Math" w:eastAsiaTheme="minorEastAsia" w:hAnsi="Cambria Math" w:cs="Times New Roman"/>
                <w:sz w:val="24"/>
                <w:szCs w:val="24"/>
                <w:lang w:eastAsia="pt-BR"/>
              </w:rPr>
              <m:t>,T</m:t>
            </m:r>
          </m:sub>
        </m:sSub>
      </m:oMath>
      <w:r w:rsidR="00F85196">
        <w:rPr>
          <w:rFonts w:ascii="Times New Roman" w:eastAsiaTheme="minorEastAsia" w:hAnsi="Times New Roman" w:cs="Times New Roman"/>
          <w:sz w:val="24"/>
          <w:szCs w:val="24"/>
          <w:lang w:eastAsia="pt-BR"/>
        </w:rPr>
        <w:t xml:space="preserve"> e d</w:t>
      </w:r>
      <w:r w:rsidR="004655B1" w:rsidRPr="007A0FE8">
        <w:rPr>
          <w:rFonts w:ascii="Times New Roman" w:eastAsiaTheme="minorEastAsia" w:hAnsi="Times New Roman" w:cs="Times New Roman"/>
          <w:sz w:val="24"/>
          <w:szCs w:val="24"/>
          <w:lang w:eastAsia="pt-BR"/>
        </w:rPr>
        <w:t>e fato para o Banco do Brasil, a desigualdade é verificada:</w:t>
      </w:r>
    </w:p>
    <w:p w:rsidR="00CC46FA" w:rsidRPr="007A0FE8" w:rsidRDefault="00CC46FA" w:rsidP="00FF5024">
      <w:pPr>
        <w:keepNext/>
        <w:keepLines/>
        <w:numPr>
          <w:ilvl w:val="0"/>
          <w:numId w:val="4"/>
        </w:numPr>
        <w:spacing w:after="120" w:line="240" w:lineRule="auto"/>
        <w:ind w:left="0" w:firstLine="0"/>
        <w:outlineLvl w:val="1"/>
        <w:rPr>
          <w:rFonts w:ascii="Times New Roman" w:eastAsia="Times New Roman" w:hAnsi="Times New Roman" w:cs="Times New Roman"/>
          <w:bCs/>
          <w:vanish/>
          <w:color w:val="FF0000"/>
          <w:sz w:val="24"/>
          <w:szCs w:val="24"/>
          <w:lang w:eastAsia="pt-BR"/>
        </w:rPr>
      </w:pPr>
      <w:bookmarkStart w:id="6" w:name="_Toc386325042"/>
      <w:bookmarkStart w:id="7" w:name="_Toc386325396"/>
      <w:bookmarkStart w:id="8" w:name="_Toc386325481"/>
      <w:bookmarkStart w:id="9" w:name="_Toc386325513"/>
      <w:bookmarkStart w:id="10" w:name="_Toc386325554"/>
      <w:bookmarkStart w:id="11" w:name="_Toc386325571"/>
      <w:bookmarkStart w:id="12" w:name="_Toc386325610"/>
      <w:bookmarkStart w:id="13" w:name="_Toc386325621"/>
      <w:bookmarkStart w:id="14" w:name="_Toc386340886"/>
      <w:bookmarkStart w:id="15" w:name="_Toc386410450"/>
      <w:bookmarkStart w:id="16" w:name="_Toc386414523"/>
      <w:bookmarkStart w:id="17" w:name="_Toc389345712"/>
      <w:bookmarkStart w:id="18" w:name="_Toc389346851"/>
      <w:bookmarkStart w:id="19" w:name="_Toc389433713"/>
      <w:bookmarkStart w:id="20" w:name="_Toc389439264"/>
      <w:bookmarkStart w:id="21" w:name="_Toc389440881"/>
      <w:bookmarkStart w:id="22" w:name="_Toc389667508"/>
      <w:bookmarkStart w:id="23" w:name="_Toc389686134"/>
      <w:bookmarkStart w:id="24" w:name="_Toc390075551"/>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5F6E96" w:rsidRPr="007A0FE8" w:rsidRDefault="00445FF9" w:rsidP="00BA2DAF">
      <w:pPr>
        <w:spacing w:after="120" w:line="240" w:lineRule="auto"/>
        <w:jc w:val="center"/>
        <w:rPr>
          <w:rFonts w:ascii="Times New Roman" w:eastAsiaTheme="minorEastAsia" w:hAnsi="Times New Roman" w:cs="Times New Roman"/>
          <w:sz w:val="24"/>
          <w:szCs w:val="24"/>
          <w:lang w:eastAsia="pt-BR"/>
        </w:rPr>
      </w:pP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P</m:t>
            </m:r>
          </m:e>
          <m:sub>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c</m:t>
                </m:r>
              </m:sub>
            </m:sSub>
            <m:r>
              <m:rPr>
                <m:scr m:val="script"/>
                <m:sty m:val="p"/>
              </m:rP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m:t>
        </m:r>
      </m:oMath>
      <w:r w:rsidR="005F6E96" w:rsidRPr="007A0FE8">
        <w:rPr>
          <w:rFonts w:ascii="Times New Roman" w:eastAsiaTheme="minorEastAsia" w:hAnsi="Times New Roman" w:cs="Times New Roman"/>
          <w:sz w:val="24"/>
          <w:szCs w:val="24"/>
          <w:lang w:eastAsia="pt-BR"/>
        </w:rPr>
        <w:t xml:space="preserve">0.00000010357864% </w:t>
      </w:r>
      <m:oMath>
        <m:r>
          <w:rPr>
            <w:rFonts w:ascii="Cambria Math" w:eastAsiaTheme="minorEastAsia" w:hAnsi="Cambria Math" w:cs="Times New Roman"/>
            <w:sz w:val="24"/>
            <w:szCs w:val="24"/>
            <w:lang w:eastAsia="pt-BR"/>
          </w:rPr>
          <m:t xml:space="preserve">&lt; </m:t>
        </m:r>
        <m:sSub>
          <m:sSubPr>
            <m:ctrlPr>
              <w:rPr>
                <w:rFonts w:ascii="Cambria Math" w:eastAsiaTheme="minorEastAsia" w:hAnsi="Cambria Math" w:cs="Times New Roman"/>
                <w:sz w:val="24"/>
                <w:szCs w:val="24"/>
                <w:lang w:eastAsia="pt-BR"/>
              </w:rPr>
            </m:ctrlPr>
          </m:sSubPr>
          <m:e>
            <m:r>
              <w:rPr>
                <w:rFonts w:ascii="Cambria Math" w:eastAsiaTheme="minorEastAsia" w:hAnsi="Cambria Math" w:cs="Times New Roman"/>
                <w:sz w:val="24"/>
                <w:szCs w:val="24"/>
                <w:lang w:eastAsia="pt-BR"/>
              </w:rPr>
              <m:t>P</m:t>
            </m:r>
          </m:e>
          <m:sub>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b</m:t>
                </m:r>
              </m:sub>
            </m:sSub>
            <w:proofErr w:type="gramStart"/>
            <m:r>
              <m:rPr>
                <m:sty m:val="p"/>
              </m:rPr>
              <w:rPr>
                <w:rFonts w:ascii="Cambria Math" w:eastAsiaTheme="minorEastAsia" w:hAnsi="Cambria Math" w:cs="Times New Roman"/>
                <w:sz w:val="24"/>
                <w:szCs w:val="24"/>
                <w:lang w:eastAsia="pt-BR"/>
              </w:rPr>
              <m:t>,</m:t>
            </m:r>
            <w:proofErr w:type="gramEnd"/>
            <m:r>
              <m:rPr>
                <m:scr m:val="script"/>
                <m:sty m:val="p"/>
              </m:rP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m:t>
        </m:r>
      </m:oMath>
      <w:r w:rsidR="005F6E96" w:rsidRPr="007A0FE8">
        <w:rPr>
          <w:rFonts w:ascii="Times New Roman" w:eastAsiaTheme="minorEastAsia" w:hAnsi="Times New Roman" w:cs="Times New Roman"/>
          <w:sz w:val="24"/>
          <w:szCs w:val="24"/>
          <w:lang w:eastAsia="pt-BR"/>
        </w:rPr>
        <w:t>0.048315833%</w:t>
      </w:r>
    </w:p>
    <w:p w:rsidR="00BA1A85" w:rsidRPr="007A0FE8" w:rsidRDefault="00BA1A85" w:rsidP="00FF5024">
      <w:pPr>
        <w:spacing w:after="120" w:line="240" w:lineRule="auto"/>
        <w:jc w:val="both"/>
        <w:rPr>
          <w:rFonts w:ascii="Times New Roman" w:eastAsiaTheme="minorEastAsia" w:hAnsi="Times New Roman" w:cs="Times New Roman"/>
          <w:sz w:val="24"/>
          <w:szCs w:val="24"/>
          <w:lang w:eastAsia="pt-BR"/>
        </w:rPr>
      </w:pPr>
      <w:r w:rsidRPr="007A0FE8">
        <w:rPr>
          <w:rFonts w:ascii="Times New Roman" w:eastAsiaTheme="minorEastAsia" w:hAnsi="Times New Roman" w:cs="Times New Roman"/>
          <w:b/>
          <w:sz w:val="24"/>
          <w:szCs w:val="24"/>
          <w:lang w:eastAsia="pt-BR"/>
        </w:rPr>
        <w:t xml:space="preserve">Proposição </w:t>
      </w:r>
      <w:proofErr w:type="gramStart"/>
      <w:r w:rsidRPr="007A0FE8">
        <w:rPr>
          <w:rFonts w:ascii="Times New Roman" w:eastAsiaTheme="minorEastAsia" w:hAnsi="Times New Roman" w:cs="Times New Roman"/>
          <w:b/>
          <w:sz w:val="24"/>
          <w:szCs w:val="24"/>
          <w:lang w:eastAsia="pt-BR"/>
        </w:rPr>
        <w:t>1</w:t>
      </w:r>
      <w:proofErr w:type="gramEnd"/>
      <w:r w:rsidRPr="007A0FE8">
        <w:rPr>
          <w:rFonts w:ascii="Times New Roman" w:eastAsiaTheme="minorEastAsia" w:hAnsi="Times New Roman" w:cs="Times New Roman"/>
          <w:sz w:val="24"/>
          <w:szCs w:val="24"/>
          <w:lang w:eastAsia="pt-BR"/>
        </w:rPr>
        <w:t>: (</w:t>
      </w:r>
      <w:proofErr w:type="spellStart"/>
      <w:r w:rsidR="0099005E">
        <w:rPr>
          <w:rFonts w:ascii="Times New Roman" w:eastAsiaTheme="minorEastAsia" w:hAnsi="Times New Roman" w:cs="Times New Roman"/>
          <w:sz w:val="24"/>
          <w:szCs w:val="24"/>
          <w:lang w:eastAsia="pt-BR"/>
        </w:rPr>
        <w:t>CoCos</w:t>
      </w:r>
      <w:proofErr w:type="spellEnd"/>
      <w:r w:rsidRPr="007A0FE8">
        <w:rPr>
          <w:rFonts w:ascii="Times New Roman" w:eastAsiaTheme="minorEastAsia" w:hAnsi="Times New Roman" w:cs="Times New Roman"/>
          <w:sz w:val="24"/>
          <w:szCs w:val="24"/>
          <w:lang w:eastAsia="pt-BR"/>
        </w:rPr>
        <w:t xml:space="preserve"> </w:t>
      </w:r>
      <w:r w:rsidR="005F6E96" w:rsidRPr="007A0FE8">
        <w:rPr>
          <w:rFonts w:ascii="Times New Roman" w:eastAsiaTheme="minorEastAsia" w:hAnsi="Times New Roman" w:cs="Times New Roman"/>
          <w:sz w:val="24"/>
          <w:szCs w:val="24"/>
          <w:lang w:eastAsia="pt-BR"/>
        </w:rPr>
        <w:t>na</w:t>
      </w:r>
      <w:r w:rsidRPr="007A0FE8">
        <w:rPr>
          <w:rFonts w:ascii="Times New Roman" w:eastAsiaTheme="minorEastAsia" w:hAnsi="Times New Roman" w:cs="Times New Roman"/>
          <w:sz w:val="24"/>
          <w:szCs w:val="24"/>
          <w:lang w:eastAsia="pt-BR"/>
        </w:rPr>
        <w:t xml:space="preserve"> configuração de contratos completos)  Sob a possibilidade de escrever contratos completos, os </w:t>
      </w:r>
      <w:proofErr w:type="spellStart"/>
      <w:r w:rsidR="0099005E">
        <w:rPr>
          <w:rFonts w:ascii="Times New Roman" w:eastAsiaTheme="minorEastAsia" w:hAnsi="Times New Roman" w:cs="Times New Roman"/>
          <w:sz w:val="24"/>
          <w:szCs w:val="24"/>
          <w:lang w:eastAsia="pt-BR"/>
        </w:rPr>
        <w:t>CoCos</w:t>
      </w:r>
      <w:proofErr w:type="spellEnd"/>
      <w:r w:rsidRPr="007A0FE8">
        <w:rPr>
          <w:rFonts w:ascii="Times New Roman" w:eastAsiaTheme="minorEastAsia" w:hAnsi="Times New Roman" w:cs="Times New Roman"/>
          <w:sz w:val="24"/>
          <w:szCs w:val="24"/>
          <w:lang w:eastAsia="pt-BR"/>
        </w:rPr>
        <w:t xml:space="preserve"> são incentivo-compatível</w:t>
      </w:r>
      <w:r w:rsidR="005F6E96" w:rsidRPr="007A0FE8">
        <w:rPr>
          <w:rFonts w:ascii="Times New Roman" w:eastAsiaTheme="minorEastAsia" w:hAnsi="Times New Roman" w:cs="Times New Roman"/>
          <w:sz w:val="24"/>
          <w:szCs w:val="24"/>
          <w:lang w:eastAsia="pt-BR"/>
        </w:rPr>
        <w:t>,</w:t>
      </w:r>
      <w:r w:rsidRPr="007A0FE8">
        <w:rPr>
          <w:rFonts w:ascii="Times New Roman" w:eastAsiaTheme="minorEastAsia" w:hAnsi="Times New Roman" w:cs="Times New Roman"/>
          <w:sz w:val="24"/>
          <w:szCs w:val="24"/>
          <w:lang w:eastAsia="pt-BR"/>
        </w:rPr>
        <w:t xml:space="preserve"> no sentido de que um título desenvolvido em condições ótimas, aumenta o valor do banco e atenua a gravidade de uma crise financeira, dada a baixa probabilidade de dificuldades financeiras, bem como o menor valor presente dos custos de dificuldades financeiras (</w:t>
      </w:r>
      <w:proofErr w:type="spellStart"/>
      <w:r w:rsidRPr="007A0FE8">
        <w:rPr>
          <w:rFonts w:ascii="Times New Roman" w:eastAsiaTheme="minorEastAsia" w:hAnsi="Times New Roman" w:cs="Times New Roman"/>
          <w:sz w:val="24"/>
          <w:szCs w:val="24"/>
          <w:lang w:eastAsia="pt-BR"/>
        </w:rPr>
        <w:t>Koziol</w:t>
      </w:r>
      <w:proofErr w:type="spellEnd"/>
      <w:r w:rsidRPr="007A0FE8">
        <w:rPr>
          <w:rFonts w:ascii="Times New Roman" w:eastAsiaTheme="minorEastAsia" w:hAnsi="Times New Roman" w:cs="Times New Roman"/>
          <w:sz w:val="24"/>
          <w:szCs w:val="24"/>
          <w:lang w:eastAsia="pt-BR"/>
        </w:rPr>
        <w:t xml:space="preserve"> e </w:t>
      </w:r>
      <w:proofErr w:type="spellStart"/>
      <w:r w:rsidRPr="007A0FE8">
        <w:rPr>
          <w:rFonts w:ascii="Times New Roman" w:eastAsiaTheme="minorEastAsia" w:hAnsi="Times New Roman" w:cs="Times New Roman"/>
          <w:sz w:val="24"/>
          <w:szCs w:val="24"/>
          <w:lang w:eastAsia="pt-BR"/>
        </w:rPr>
        <w:t>Lawrenz</w:t>
      </w:r>
      <w:proofErr w:type="spellEnd"/>
      <w:r w:rsidRPr="007A0FE8">
        <w:rPr>
          <w:rFonts w:ascii="Times New Roman" w:eastAsiaTheme="minorEastAsia" w:hAnsi="Times New Roman" w:cs="Times New Roman"/>
          <w:sz w:val="24"/>
          <w:szCs w:val="24"/>
          <w:lang w:eastAsia="pt-BR"/>
        </w:rPr>
        <w:t xml:space="preserve"> (2012), tradução nossa).</w:t>
      </w:r>
    </w:p>
    <w:p w:rsidR="004655B1" w:rsidRPr="007A0FE8" w:rsidRDefault="00551117" w:rsidP="00FF5024">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C</w:t>
      </w:r>
      <w:r w:rsidR="004655B1" w:rsidRPr="007A0FE8">
        <w:rPr>
          <w:rFonts w:ascii="Times New Roman" w:eastAsiaTheme="minorEastAsia" w:hAnsi="Times New Roman" w:cs="Times New Roman"/>
          <w:sz w:val="24"/>
          <w:szCs w:val="24"/>
          <w:lang w:eastAsia="pt-BR"/>
        </w:rPr>
        <w:t>om os resultados obtidos, temos evidências sugestivas de que a Proposiçã</w:t>
      </w:r>
      <w:r w:rsidR="00210CAB" w:rsidRPr="007A0FE8">
        <w:rPr>
          <w:rFonts w:ascii="Times New Roman" w:eastAsiaTheme="minorEastAsia" w:hAnsi="Times New Roman" w:cs="Times New Roman"/>
          <w:sz w:val="24"/>
          <w:szCs w:val="24"/>
          <w:lang w:eastAsia="pt-BR"/>
        </w:rPr>
        <w:t xml:space="preserve">o </w:t>
      </w:r>
      <w:proofErr w:type="gramStart"/>
      <w:r w:rsidR="00210CAB" w:rsidRPr="007A0FE8">
        <w:rPr>
          <w:rFonts w:ascii="Times New Roman" w:eastAsiaTheme="minorEastAsia" w:hAnsi="Times New Roman" w:cs="Times New Roman"/>
          <w:sz w:val="24"/>
          <w:szCs w:val="24"/>
          <w:lang w:eastAsia="pt-BR"/>
        </w:rPr>
        <w:t>1</w:t>
      </w:r>
      <w:proofErr w:type="gramEnd"/>
      <w:r w:rsidR="00210CAB" w:rsidRPr="007A0FE8">
        <w:rPr>
          <w:rFonts w:ascii="Times New Roman" w:eastAsiaTheme="minorEastAsia" w:hAnsi="Times New Roman" w:cs="Times New Roman"/>
          <w:sz w:val="24"/>
          <w:szCs w:val="24"/>
          <w:lang w:eastAsia="pt-BR"/>
        </w:rPr>
        <w:t xml:space="preserve"> vale para o Banco do Brasil e portanto, este estaria mais bem capitalizado com </w:t>
      </w:r>
      <w:proofErr w:type="spellStart"/>
      <w:r w:rsidR="0099005E">
        <w:rPr>
          <w:rFonts w:ascii="Times New Roman" w:eastAsiaTheme="minorEastAsia" w:hAnsi="Times New Roman" w:cs="Times New Roman"/>
          <w:sz w:val="24"/>
          <w:szCs w:val="24"/>
          <w:lang w:eastAsia="pt-BR"/>
        </w:rPr>
        <w:t>CoCos</w:t>
      </w:r>
      <w:proofErr w:type="spellEnd"/>
      <w:r w:rsidR="00210CAB" w:rsidRPr="007A0FE8">
        <w:rPr>
          <w:rFonts w:ascii="Times New Roman" w:eastAsiaTheme="minorEastAsia" w:hAnsi="Times New Roman" w:cs="Times New Roman"/>
          <w:sz w:val="24"/>
          <w:szCs w:val="24"/>
          <w:lang w:eastAsia="pt-BR"/>
        </w:rPr>
        <w:t xml:space="preserve"> do que com dívidas subordinadas.</w:t>
      </w:r>
    </w:p>
    <w:p w:rsidR="00210CAB" w:rsidRPr="001373E5" w:rsidRDefault="00210CAB" w:rsidP="007A21B7">
      <w:pPr>
        <w:pStyle w:val="PargrafodaLista"/>
        <w:keepNext/>
        <w:keepLines/>
        <w:numPr>
          <w:ilvl w:val="1"/>
          <w:numId w:val="20"/>
        </w:numPr>
        <w:spacing w:after="120" w:line="240" w:lineRule="auto"/>
        <w:outlineLvl w:val="0"/>
        <w:rPr>
          <w:rFonts w:ascii="Times New Roman" w:eastAsiaTheme="majorEastAsia" w:hAnsi="Times New Roman" w:cs="Times New Roman"/>
          <w:b/>
          <w:bCs/>
          <w:sz w:val="24"/>
          <w:szCs w:val="28"/>
        </w:rPr>
      </w:pPr>
      <w:bookmarkStart w:id="25" w:name="_Toc390075552"/>
      <w:r w:rsidRPr="007A21B7">
        <w:rPr>
          <w:rFonts w:ascii="Times New Roman" w:eastAsiaTheme="majorEastAsia" w:hAnsi="Times New Roman" w:cs="Times New Roman"/>
          <w:b/>
          <w:bCs/>
          <w:sz w:val="24"/>
          <w:szCs w:val="28"/>
        </w:rPr>
        <w:lastRenderedPageBreak/>
        <w:t>Determinação do capital ótimo com incentivo a tomada de riscos</w:t>
      </w:r>
      <w:bookmarkEnd w:id="25"/>
    </w:p>
    <w:p w:rsidR="00FC72CF" w:rsidRPr="006114D7" w:rsidRDefault="009D5AAD"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A partir de agora, vamos assumir que não existe regulamentação ou que esta é frágil com relação à tomada de riscos e</w:t>
      </w:r>
      <w:r w:rsidR="00FC72CF" w:rsidRPr="006114D7">
        <w:rPr>
          <w:rFonts w:ascii="Times New Roman" w:eastAsiaTheme="minorEastAsia" w:hAnsi="Times New Roman" w:cs="Times New Roman"/>
          <w:sz w:val="24"/>
          <w:szCs w:val="24"/>
          <w:lang w:eastAsia="pt-BR"/>
        </w:rPr>
        <w:t>, portanto</w:t>
      </w:r>
      <w:r w:rsidRPr="006114D7">
        <w:rPr>
          <w:rFonts w:ascii="Times New Roman" w:eastAsiaTheme="minorEastAsia" w:hAnsi="Times New Roman" w:cs="Times New Roman"/>
          <w:sz w:val="24"/>
          <w:szCs w:val="24"/>
          <w:lang w:eastAsia="pt-BR"/>
        </w:rPr>
        <w:t xml:space="preserve"> </w:t>
      </w:r>
      <w:r w:rsidR="00FC72CF" w:rsidRPr="006114D7">
        <w:rPr>
          <w:rFonts w:ascii="Times New Roman" w:eastAsiaTheme="minorEastAsia" w:hAnsi="Times New Roman" w:cs="Times New Roman"/>
          <w:sz w:val="24"/>
          <w:szCs w:val="24"/>
          <w:lang w:eastAsia="pt-BR"/>
        </w:rPr>
        <w:t xml:space="preserve">o banco tem mais liberdade para escolher entre tomar mais risco na tentativa de obter mais retorno ou ser mais conservador, mantendo ativos de menor risco na carteira. Neste cenário </w:t>
      </w:r>
      <w:r w:rsidR="00BA2DAF">
        <w:rPr>
          <w:rFonts w:ascii="Times New Roman" w:eastAsiaTheme="minorEastAsia" w:hAnsi="Times New Roman" w:cs="Times New Roman"/>
          <w:sz w:val="24"/>
          <w:szCs w:val="24"/>
          <w:lang w:eastAsia="pt-BR"/>
        </w:rPr>
        <w:t xml:space="preserve">vamos testar a segunda hipótese, onde </w:t>
      </w:r>
      <w:r w:rsidR="000C7843" w:rsidRPr="006114D7">
        <w:rPr>
          <w:rFonts w:ascii="Times New Roman" w:eastAsiaTheme="minorEastAsia" w:hAnsi="Times New Roman" w:cs="Times New Roman"/>
          <w:sz w:val="24"/>
          <w:szCs w:val="24"/>
          <w:lang w:eastAsia="pt-BR"/>
        </w:rPr>
        <w:t>o banco te</w:t>
      </w:r>
      <w:r w:rsidR="00BA2DAF">
        <w:rPr>
          <w:rFonts w:ascii="Times New Roman" w:eastAsiaTheme="minorEastAsia" w:hAnsi="Times New Roman" w:cs="Times New Roman"/>
          <w:sz w:val="24"/>
          <w:szCs w:val="24"/>
          <w:lang w:eastAsia="pt-BR"/>
        </w:rPr>
        <w:t>m</w:t>
      </w:r>
      <w:r w:rsidR="000C7843" w:rsidRPr="006114D7">
        <w:rPr>
          <w:rFonts w:ascii="Times New Roman" w:eastAsiaTheme="minorEastAsia" w:hAnsi="Times New Roman" w:cs="Times New Roman"/>
          <w:sz w:val="24"/>
          <w:szCs w:val="24"/>
          <w:lang w:eastAsia="pt-BR"/>
        </w:rPr>
        <w:t xml:space="preserve"> </w:t>
      </w:r>
      <w:r w:rsidR="00CC46FA" w:rsidRPr="006114D7">
        <w:rPr>
          <w:rFonts w:ascii="Times New Roman" w:eastAsiaTheme="minorEastAsia" w:hAnsi="Times New Roman" w:cs="Times New Roman"/>
          <w:sz w:val="24"/>
          <w:szCs w:val="24"/>
          <w:lang w:eastAsia="pt-BR"/>
        </w:rPr>
        <w:t xml:space="preserve">a opção de </w:t>
      </w:r>
      <w:r w:rsidR="00BA2DAF">
        <w:rPr>
          <w:rFonts w:ascii="Times New Roman" w:eastAsiaTheme="minorEastAsia" w:hAnsi="Times New Roman" w:cs="Times New Roman"/>
          <w:sz w:val="24"/>
          <w:szCs w:val="24"/>
          <w:lang w:eastAsia="pt-BR"/>
        </w:rPr>
        <w:t>relaxar o monitoramento do</w:t>
      </w:r>
      <w:r w:rsidR="00FC72CF" w:rsidRPr="006114D7">
        <w:rPr>
          <w:rFonts w:ascii="Times New Roman" w:eastAsiaTheme="minorEastAsia" w:hAnsi="Times New Roman" w:cs="Times New Roman"/>
          <w:sz w:val="24"/>
          <w:szCs w:val="24"/>
          <w:lang w:eastAsia="pt-BR"/>
        </w:rPr>
        <w:t>s</w:t>
      </w:r>
      <w:r w:rsidR="000C5012" w:rsidRPr="006114D7">
        <w:rPr>
          <w:rFonts w:ascii="Times New Roman" w:eastAsiaTheme="minorEastAsia" w:hAnsi="Times New Roman" w:cs="Times New Roman"/>
          <w:sz w:val="24"/>
          <w:szCs w:val="24"/>
          <w:lang w:eastAsia="pt-BR"/>
        </w:rPr>
        <w:t xml:space="preserve"> riscos</w:t>
      </w:r>
      <w:r w:rsidR="00FC72CF" w:rsidRPr="006114D7">
        <w:rPr>
          <w:rFonts w:ascii="Times New Roman" w:eastAsiaTheme="minorEastAsia" w:hAnsi="Times New Roman" w:cs="Times New Roman"/>
          <w:sz w:val="24"/>
          <w:szCs w:val="24"/>
          <w:lang w:eastAsia="pt-BR"/>
        </w:rPr>
        <w:t>,</w:t>
      </w:r>
      <w:r w:rsidR="000C5012" w:rsidRPr="006114D7">
        <w:rPr>
          <w:rFonts w:ascii="Times New Roman" w:eastAsiaTheme="minorEastAsia" w:hAnsi="Times New Roman" w:cs="Times New Roman"/>
          <w:sz w:val="24"/>
          <w:szCs w:val="24"/>
          <w:lang w:eastAsia="pt-BR"/>
        </w:rPr>
        <w:t xml:space="preserve"> evitando custos de monitoração e aumentando o lucro esperado. </w:t>
      </w:r>
      <w:r w:rsidR="00724032" w:rsidRPr="006114D7">
        <w:rPr>
          <w:rFonts w:ascii="Times New Roman" w:eastAsiaTheme="minorEastAsia" w:hAnsi="Times New Roman" w:cs="Times New Roman"/>
          <w:sz w:val="24"/>
          <w:szCs w:val="24"/>
          <w:lang w:eastAsia="pt-BR"/>
        </w:rPr>
        <w:t xml:space="preserve">O aumento do risco se </w:t>
      </w:r>
      <w:proofErr w:type="gramStart"/>
      <w:r w:rsidR="00724032" w:rsidRPr="006114D7">
        <w:rPr>
          <w:rFonts w:ascii="Times New Roman" w:eastAsiaTheme="minorEastAsia" w:hAnsi="Times New Roman" w:cs="Times New Roman"/>
          <w:sz w:val="24"/>
          <w:szCs w:val="24"/>
          <w:lang w:eastAsia="pt-BR"/>
        </w:rPr>
        <w:t>dá</w:t>
      </w:r>
      <w:r w:rsidR="001A35AA" w:rsidRPr="006114D7">
        <w:rPr>
          <w:rFonts w:ascii="Times New Roman" w:eastAsiaTheme="minorEastAsia" w:hAnsi="Times New Roman" w:cs="Times New Roman"/>
          <w:sz w:val="24"/>
          <w:szCs w:val="24"/>
          <w:lang w:eastAsia="pt-BR"/>
        </w:rPr>
        <w:t>,</w:t>
      </w:r>
      <w:proofErr w:type="gramEnd"/>
      <w:r w:rsidR="00724032" w:rsidRPr="006114D7">
        <w:rPr>
          <w:rFonts w:ascii="Times New Roman" w:eastAsiaTheme="minorEastAsia" w:hAnsi="Times New Roman" w:cs="Times New Roman"/>
          <w:sz w:val="24"/>
          <w:szCs w:val="24"/>
          <w:lang w:eastAsia="pt-BR"/>
        </w:rPr>
        <w:t xml:space="preserve"> através </w:t>
      </w:r>
      <w:r w:rsidR="000E16D2" w:rsidRPr="006114D7">
        <w:rPr>
          <w:rFonts w:ascii="Times New Roman" w:eastAsiaTheme="minorEastAsia" w:hAnsi="Times New Roman" w:cs="Times New Roman"/>
          <w:sz w:val="24"/>
          <w:szCs w:val="24"/>
          <w:lang w:eastAsia="pt-BR"/>
        </w:rPr>
        <w:t>do deslocamento dos investimentos para ativos mais arriscados e consequentemente com maior retorno esp</w:t>
      </w:r>
      <w:r w:rsidR="00507430" w:rsidRPr="006114D7">
        <w:rPr>
          <w:rFonts w:ascii="Times New Roman" w:eastAsiaTheme="minorEastAsia" w:hAnsi="Times New Roman" w:cs="Times New Roman"/>
          <w:sz w:val="24"/>
          <w:szCs w:val="24"/>
          <w:lang w:eastAsia="pt-BR"/>
        </w:rPr>
        <w:t xml:space="preserve">erado, ou seja, o banco com uma </w:t>
      </w:r>
      <w:r w:rsidR="000E16D2" w:rsidRPr="006114D7">
        <w:rPr>
          <w:rFonts w:ascii="Times New Roman" w:eastAsiaTheme="minorEastAsia" w:hAnsi="Times New Roman" w:cs="Times New Roman"/>
          <w:sz w:val="24"/>
          <w:szCs w:val="24"/>
          <w:lang w:eastAsia="pt-BR"/>
        </w:rPr>
        <w:t xml:space="preserve">volatilidade </w:t>
      </w:r>
      <w:r w:rsidR="00507430" w:rsidRPr="006114D7">
        <w:rPr>
          <w:rFonts w:ascii="Times New Roman" w:eastAsiaTheme="minorEastAsia" w:hAnsi="Times New Roman" w:cs="Times New Roman"/>
          <w:sz w:val="24"/>
          <w:szCs w:val="24"/>
          <w:lang w:eastAsia="pt-BR"/>
        </w:rPr>
        <w:t>de fluxo</w:t>
      </w:r>
      <w:r w:rsidR="000E16D2" w:rsidRPr="006114D7">
        <w:rPr>
          <w:rFonts w:ascii="Times New Roman" w:eastAsiaTheme="minorEastAsia" w:hAnsi="Times New Roman" w:cs="Times New Roman"/>
          <w:sz w:val="24"/>
          <w:szCs w:val="24"/>
          <w:lang w:eastAsia="pt-BR"/>
        </w:rPr>
        <w:t xml:space="preserve"> de caixa </w:t>
      </w:r>
      <w:r w:rsidR="00507430" w:rsidRPr="006114D7">
        <w:rPr>
          <w:rFonts w:ascii="Times New Roman" w:eastAsiaTheme="minorEastAsia" w:hAnsi="Times New Roman" w:cs="Times New Roman"/>
          <w:sz w:val="24"/>
          <w:szCs w:val="24"/>
          <w:lang w:eastAsia="pt-BR"/>
        </w:rPr>
        <w:t xml:space="preserve">atual,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oMath>
      <w:r w:rsidR="00101C54" w:rsidRPr="006114D7">
        <w:rPr>
          <w:rFonts w:ascii="Times New Roman" w:eastAsiaTheme="minorEastAsia" w:hAnsi="Times New Roman" w:cs="Times New Roman"/>
          <w:sz w:val="24"/>
          <w:szCs w:val="24"/>
          <w:lang w:eastAsia="pt-BR"/>
        </w:rPr>
        <w:t xml:space="preserve"> </w:t>
      </w:r>
      <w:r w:rsidR="00507430" w:rsidRPr="006114D7">
        <w:rPr>
          <w:rFonts w:ascii="Times New Roman" w:eastAsiaTheme="minorEastAsia" w:hAnsi="Times New Roman" w:cs="Times New Roman"/>
          <w:sz w:val="24"/>
          <w:szCs w:val="24"/>
          <w:lang w:eastAsia="pt-BR"/>
        </w:rPr>
        <w:t xml:space="preserve">tem a opção irreversível de aumentar seu risco para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oMath>
      <w:r w:rsidR="00507430" w:rsidRPr="006114D7">
        <w:rPr>
          <w:rFonts w:ascii="Times New Roman" w:eastAsiaTheme="minorEastAsia" w:hAnsi="Times New Roman" w:cs="Times New Roman"/>
          <w:sz w:val="24"/>
          <w:szCs w:val="24"/>
          <w:lang w:eastAsia="pt-BR"/>
        </w:rPr>
        <w:t xml:space="preserve">, enquanto </w:t>
      </w:r>
      <w:r w:rsidR="000E16D2" w:rsidRPr="006114D7">
        <w:rPr>
          <w:rFonts w:ascii="Times New Roman" w:eastAsiaTheme="minorEastAsia" w:hAnsi="Times New Roman" w:cs="Times New Roman"/>
          <w:sz w:val="24"/>
          <w:szCs w:val="24"/>
          <w:lang w:eastAsia="pt-BR"/>
        </w:rPr>
        <w:t xml:space="preserve">o retorno sobre </w:t>
      </w:r>
      <w:r w:rsidR="00FC72CF" w:rsidRPr="006114D7">
        <w:rPr>
          <w:rFonts w:ascii="Times New Roman" w:eastAsiaTheme="minorEastAsia" w:hAnsi="Times New Roman" w:cs="Times New Roman"/>
          <w:sz w:val="24"/>
          <w:szCs w:val="24"/>
          <w:lang w:eastAsia="pt-BR"/>
        </w:rPr>
        <w:t xml:space="preserve">estes </w:t>
      </w:r>
      <w:r w:rsidR="000E16D2" w:rsidRPr="006114D7">
        <w:rPr>
          <w:rFonts w:ascii="Times New Roman" w:eastAsiaTheme="minorEastAsia" w:hAnsi="Times New Roman" w:cs="Times New Roman"/>
          <w:sz w:val="24"/>
          <w:szCs w:val="24"/>
          <w:lang w:eastAsia="pt-BR"/>
        </w:rPr>
        <w:t>fluxos (</w:t>
      </w:r>
      <m:oMath>
        <m:r>
          <w:rPr>
            <w:rFonts w:ascii="Cambria Math" w:eastAsiaTheme="minorEastAsia" w:hAnsi="Cambria Math" w:cs="Times New Roman"/>
            <w:sz w:val="24"/>
            <w:szCs w:val="24"/>
            <w:lang w:eastAsia="pt-BR"/>
          </w:rPr>
          <m:t>μ</m:t>
        </m:r>
      </m:oMath>
      <w:r w:rsidR="000E16D2" w:rsidRPr="006114D7">
        <w:rPr>
          <w:rFonts w:ascii="Times New Roman" w:eastAsiaTheme="minorEastAsia" w:hAnsi="Times New Roman" w:cs="Times New Roman"/>
          <w:sz w:val="24"/>
          <w:szCs w:val="24"/>
          <w:lang w:eastAsia="pt-BR"/>
        </w:rPr>
        <w:t xml:space="preserve">) permanece inalterado, com relação ao preço. </w:t>
      </w:r>
      <w:r w:rsidR="00AE3AE2" w:rsidRPr="006114D7">
        <w:rPr>
          <w:rFonts w:ascii="Times New Roman" w:eastAsiaTheme="minorEastAsia" w:hAnsi="Times New Roman" w:cs="Times New Roman"/>
          <w:sz w:val="24"/>
          <w:szCs w:val="24"/>
          <w:lang w:eastAsia="pt-BR"/>
        </w:rPr>
        <w:t>Assim, para medir a nova probabilidade de inadimplência embutida no retorno sobre estes fluxos (</w:t>
      </w:r>
      <m:oMath>
        <m:r>
          <w:rPr>
            <w:rFonts w:ascii="Cambria Math" w:eastAsiaTheme="minorEastAsia" w:hAnsi="Cambria Math" w:cs="Times New Roman"/>
            <w:sz w:val="24"/>
            <w:szCs w:val="24"/>
            <w:lang w:eastAsia="pt-BR"/>
          </w:rPr>
          <m:t>μ</m:t>
        </m:r>
      </m:oMath>
      <w:r w:rsidR="00AE3AE2" w:rsidRPr="006114D7">
        <w:rPr>
          <w:rFonts w:ascii="Times New Roman" w:eastAsiaTheme="minorEastAsia" w:hAnsi="Times New Roman" w:cs="Times New Roman"/>
          <w:sz w:val="24"/>
          <w:szCs w:val="24"/>
          <w:lang w:eastAsia="pt-BR"/>
        </w:rPr>
        <w:t>), precisamos da taxa</w:t>
      </w:r>
      <w:r w:rsidR="00E05A23" w:rsidRPr="006114D7">
        <w:rPr>
          <w:rFonts w:ascii="Times New Roman" w:eastAsiaTheme="minorEastAsia" w:hAnsi="Times New Roman" w:cs="Times New Roman"/>
          <w:sz w:val="24"/>
          <w:szCs w:val="24"/>
          <w:lang w:eastAsia="pt-BR"/>
        </w:rPr>
        <w:t xml:space="preserve"> de desvio </w:t>
      </w:r>
      <w:r w:rsidR="00AE3AE2" w:rsidRPr="006114D7">
        <w:rPr>
          <w:rFonts w:ascii="Times New Roman" w:eastAsiaTheme="minorEastAsia" w:hAnsi="Times New Roman" w:cs="Times New Roman"/>
          <w:sz w:val="24"/>
          <w:szCs w:val="24"/>
          <w:lang w:eastAsia="pt-BR"/>
        </w:rPr>
        <w:t>físic</w:t>
      </w:r>
      <w:r w:rsidR="00E05A23" w:rsidRPr="006114D7">
        <w:rPr>
          <w:rFonts w:ascii="Times New Roman" w:eastAsiaTheme="minorEastAsia" w:hAnsi="Times New Roman" w:cs="Times New Roman"/>
          <w:sz w:val="24"/>
          <w:szCs w:val="24"/>
          <w:lang w:eastAsia="pt-BR"/>
        </w:rPr>
        <w:t>o</w:t>
      </w:r>
      <w:r w:rsidR="00AE3AE2" w:rsidRPr="006114D7">
        <w:rPr>
          <w:rFonts w:ascii="Times New Roman" w:eastAsiaTheme="minorEastAsia" w:hAnsi="Times New Roman" w:cs="Times New Roman"/>
          <w:sz w:val="24"/>
          <w:szCs w:val="24"/>
          <w:lang w:eastAsia="pt-BR"/>
        </w:rPr>
        <w:t xml:space="preserve"> (real) </w:t>
      </w:r>
      <m:oMath>
        <m:sSup>
          <m:sSupPr>
            <m:ctrlPr>
              <w:rPr>
                <w:rFonts w:ascii="Cambria Math" w:eastAsiaTheme="minorEastAsia" w:hAnsi="Cambria Math" w:cs="Times New Roman"/>
                <w:sz w:val="24"/>
                <w:szCs w:val="24"/>
                <w:lang w:eastAsia="pt-BR"/>
              </w:rPr>
            </m:ctrlPr>
          </m:sSupPr>
          <m:e>
            <m:r>
              <m:rPr>
                <m:sty m:val="p"/>
              </m:rPr>
              <w:rPr>
                <w:rFonts w:ascii="Cambria Math" w:eastAsiaTheme="minorEastAsia" w:hAnsi="Cambria Math" w:cs="Times New Roman"/>
                <w:sz w:val="24"/>
                <w:szCs w:val="24"/>
                <w:lang w:eastAsia="pt-BR"/>
              </w:rPr>
              <m:t>μ</m:t>
            </m:r>
          </m:e>
          <m:sup>
            <m:r>
              <m:rPr>
                <m:sty m:val="p"/>
              </m:rPr>
              <w:rPr>
                <w:rFonts w:ascii="Cambria Math" w:eastAsiaTheme="minorEastAsia" w:hAnsi="Cambria Math" w:cs="Times New Roman"/>
                <w:sz w:val="24"/>
                <w:szCs w:val="24"/>
                <w:lang w:eastAsia="pt-BR"/>
              </w:rPr>
              <m:t>P</m:t>
            </m:r>
          </m:sup>
        </m:sSup>
      </m:oMath>
      <w:r w:rsidR="00AE3AE2" w:rsidRPr="006114D7">
        <w:rPr>
          <w:rFonts w:ascii="Times New Roman" w:eastAsiaTheme="minorEastAsia" w:hAnsi="Times New Roman" w:cs="Times New Roman"/>
          <w:sz w:val="24"/>
          <w:szCs w:val="24"/>
          <w:lang w:eastAsia="pt-BR"/>
        </w:rPr>
        <w:t xml:space="preserve">. Segundo Decamps </w:t>
      </w:r>
      <w:proofErr w:type="gramStart"/>
      <w:r w:rsidR="00AE3AE2" w:rsidRPr="006114D7">
        <w:rPr>
          <w:rFonts w:ascii="Times New Roman" w:eastAsiaTheme="minorEastAsia" w:hAnsi="Times New Roman" w:cs="Times New Roman"/>
          <w:sz w:val="24"/>
          <w:szCs w:val="24"/>
          <w:lang w:eastAsia="pt-BR"/>
        </w:rPr>
        <w:t>et</w:t>
      </w:r>
      <w:proofErr w:type="gramEnd"/>
      <w:r w:rsidR="00AE3AE2" w:rsidRPr="006114D7">
        <w:rPr>
          <w:rFonts w:ascii="Times New Roman" w:eastAsiaTheme="minorEastAsia" w:hAnsi="Times New Roman" w:cs="Times New Roman"/>
          <w:sz w:val="24"/>
          <w:szCs w:val="24"/>
          <w:lang w:eastAsia="pt-BR"/>
        </w:rPr>
        <w:t xml:space="preserve"> al. (2004) e Koziol e Lawrenz (2012), o</w:t>
      </w:r>
      <w:r w:rsidR="00166DBA" w:rsidRPr="006114D7">
        <w:rPr>
          <w:rFonts w:ascii="Times New Roman" w:eastAsiaTheme="minorEastAsia" w:hAnsi="Times New Roman" w:cs="Times New Roman"/>
          <w:sz w:val="24"/>
          <w:szCs w:val="24"/>
          <w:lang w:eastAsia="pt-BR"/>
        </w:rPr>
        <w:t xml:space="preserve"> aumento no risco</w:t>
      </w:r>
      <m:oMath>
        <m:r>
          <w:rPr>
            <w:rFonts w:ascii="Cambria Math" w:eastAsiaTheme="minorEastAsia" w:hAnsi="Cambria Math" w:cs="Times New Roman"/>
            <w:sz w:val="24"/>
            <w:szCs w:val="24"/>
            <w:lang w:eastAsia="pt-BR"/>
          </w:rPr>
          <m:t xml:space="preserve"> σ</m:t>
        </m:r>
      </m:oMath>
      <w:r w:rsidR="00166DBA" w:rsidRPr="006114D7">
        <w:rPr>
          <w:rFonts w:ascii="Times New Roman" w:eastAsiaTheme="minorEastAsia" w:hAnsi="Times New Roman" w:cs="Times New Roman"/>
          <w:sz w:val="24"/>
          <w:szCs w:val="24"/>
          <w:lang w:eastAsia="pt-BR"/>
        </w:rPr>
        <w:t xml:space="preserve">, é compensado por um aumento correspondente </w:t>
      </w:r>
      <w:r w:rsidR="001A35AA" w:rsidRPr="006114D7">
        <w:rPr>
          <w:rFonts w:ascii="Times New Roman" w:eastAsiaTheme="minorEastAsia" w:hAnsi="Times New Roman" w:cs="Times New Roman"/>
          <w:sz w:val="24"/>
          <w:szCs w:val="24"/>
          <w:lang w:eastAsia="pt-BR"/>
        </w:rPr>
        <w:t xml:space="preserve">na </w:t>
      </w:r>
      <w:r w:rsidR="00E05A23" w:rsidRPr="006114D7">
        <w:rPr>
          <w:rFonts w:ascii="Times New Roman" w:eastAsiaTheme="minorEastAsia" w:hAnsi="Times New Roman" w:cs="Times New Roman"/>
          <w:sz w:val="24"/>
          <w:szCs w:val="24"/>
          <w:lang w:eastAsia="pt-BR"/>
        </w:rPr>
        <w:t>taxa de desvio físico (</w:t>
      </w:r>
      <m:oMath>
        <m:sSup>
          <m:sSupPr>
            <m:ctrlPr>
              <w:rPr>
                <w:rFonts w:ascii="Cambria Math" w:eastAsiaTheme="minorEastAsia" w:hAnsi="Cambria Math" w:cs="Times New Roman"/>
                <w:sz w:val="24"/>
                <w:szCs w:val="24"/>
                <w:lang w:eastAsia="pt-BR"/>
              </w:rPr>
            </m:ctrlPr>
          </m:sSupPr>
          <m:e>
            <m:r>
              <m:rPr>
                <m:sty m:val="p"/>
              </m:rPr>
              <w:rPr>
                <w:rFonts w:ascii="Cambria Math" w:eastAsiaTheme="minorEastAsia" w:hAnsi="Cambria Math" w:cs="Times New Roman"/>
                <w:sz w:val="24"/>
                <w:szCs w:val="24"/>
                <w:lang w:eastAsia="pt-BR"/>
              </w:rPr>
              <m:t>μ</m:t>
            </m:r>
          </m:e>
          <m:sup>
            <m:r>
              <m:rPr>
                <m:sty m:val="p"/>
              </m:rPr>
              <w:rPr>
                <w:rFonts w:ascii="Cambria Math" w:eastAsiaTheme="minorEastAsia" w:hAnsi="Cambria Math" w:cs="Times New Roman"/>
                <w:sz w:val="24"/>
                <w:szCs w:val="24"/>
                <w:lang w:eastAsia="pt-BR"/>
              </w:rPr>
              <m:t>P</m:t>
            </m:r>
          </m:sup>
        </m:sSup>
      </m:oMath>
      <w:r w:rsidR="00E05A23" w:rsidRPr="006114D7">
        <w:rPr>
          <w:rFonts w:ascii="Times New Roman" w:eastAsiaTheme="minorEastAsia" w:hAnsi="Times New Roman" w:cs="Times New Roman"/>
          <w:sz w:val="24"/>
          <w:szCs w:val="24"/>
          <w:lang w:eastAsia="pt-BR"/>
        </w:rPr>
        <w:t>)</w:t>
      </w:r>
      <w:r w:rsidR="00601EF3" w:rsidRPr="006114D7">
        <w:rPr>
          <w:rFonts w:ascii="Times New Roman" w:eastAsiaTheme="minorEastAsia" w:hAnsi="Times New Roman" w:cs="Times New Roman"/>
          <w:sz w:val="24"/>
          <w:szCs w:val="24"/>
          <w:lang w:eastAsia="pt-BR"/>
        </w:rPr>
        <w:t>, para um dado preço do risco de mercado (</w:t>
      </w:r>
      <m:oMath>
        <m:r>
          <m:rPr>
            <m:sty m:val="p"/>
          </m:rPr>
          <w:rPr>
            <w:rFonts w:ascii="Cambria Math" w:eastAsiaTheme="minorEastAsia" w:hAnsi="Cambria Math" w:cs="Times New Roman"/>
            <w:sz w:val="24"/>
            <w:szCs w:val="24"/>
            <w:lang w:eastAsia="pt-BR"/>
          </w:rPr>
          <m:t>ψ&gt;0)</m:t>
        </m:r>
      </m:oMath>
      <w:r w:rsidR="00166DBA" w:rsidRPr="006114D7">
        <w:rPr>
          <w:rFonts w:ascii="Times New Roman" w:eastAsiaTheme="minorEastAsia" w:hAnsi="Times New Roman" w:cs="Times New Roman"/>
          <w:sz w:val="24"/>
          <w:szCs w:val="24"/>
          <w:lang w:eastAsia="pt-BR"/>
        </w:rPr>
        <w:t>, de forma que o retorno sobre o fluxo de caixa (</w:t>
      </w:r>
      <m:oMath>
        <m:r>
          <w:rPr>
            <w:rFonts w:ascii="Cambria Math" w:eastAsiaTheme="minorEastAsia" w:hAnsi="Cambria Math" w:cs="Times New Roman"/>
            <w:sz w:val="24"/>
            <w:szCs w:val="24"/>
            <w:lang w:eastAsia="pt-BR"/>
          </w:rPr>
          <m:t>μ</m:t>
        </m:r>
      </m:oMath>
      <w:r w:rsidR="00166DBA" w:rsidRPr="006114D7">
        <w:rPr>
          <w:rFonts w:ascii="Times New Roman" w:eastAsiaTheme="minorEastAsia" w:hAnsi="Times New Roman" w:cs="Times New Roman"/>
          <w:sz w:val="24"/>
          <w:szCs w:val="24"/>
          <w:lang w:eastAsia="pt-BR"/>
        </w:rPr>
        <w:t>)</w:t>
      </w:r>
      <w:r w:rsidR="00AE3AE2" w:rsidRPr="006114D7">
        <w:rPr>
          <w:rFonts w:ascii="Times New Roman" w:eastAsiaTheme="minorEastAsia" w:hAnsi="Times New Roman" w:cs="Times New Roman"/>
          <w:sz w:val="24"/>
          <w:szCs w:val="24"/>
          <w:lang w:eastAsia="pt-BR"/>
        </w:rPr>
        <w:t xml:space="preserve"> permaneça constante, ou seja:</w:t>
      </w:r>
    </w:p>
    <w:p w:rsidR="00A5435F" w:rsidRPr="006114D7" w:rsidRDefault="00A5435F" w:rsidP="00FF5024">
      <w:pPr>
        <w:spacing w:after="120" w:line="240" w:lineRule="auto"/>
        <w:jc w:val="right"/>
        <w:rPr>
          <w:rFonts w:ascii="Times New Roman" w:eastAsiaTheme="minorEastAsia" w:hAnsi="Times New Roman" w:cs="Times New Roman"/>
          <w:sz w:val="24"/>
          <w:szCs w:val="24"/>
          <w:lang w:eastAsia="pt-BR"/>
        </w:rPr>
      </w:pPr>
      <m:oMath>
        <m:r>
          <m:rPr>
            <m:sty m:val="p"/>
          </m:rPr>
          <w:rPr>
            <w:rFonts w:ascii="Cambria Math" w:eastAsiaTheme="minorEastAsia" w:hAnsi="Cambria Math" w:cs="Times New Roman"/>
            <w:sz w:val="24"/>
            <w:szCs w:val="24"/>
            <w:lang w:eastAsia="pt-BR"/>
          </w:rPr>
          <m:t>μ=</m:t>
        </m:r>
        <m:sSup>
          <m:sSupPr>
            <m:ctrlPr>
              <w:rPr>
                <w:rFonts w:ascii="Cambria Math" w:eastAsiaTheme="minorEastAsia" w:hAnsi="Cambria Math" w:cs="Times New Roman"/>
                <w:sz w:val="24"/>
                <w:szCs w:val="24"/>
                <w:lang w:eastAsia="pt-BR"/>
              </w:rPr>
            </m:ctrlPr>
          </m:sSupPr>
          <m:e>
            <m:r>
              <m:rPr>
                <m:sty m:val="p"/>
              </m:rPr>
              <w:rPr>
                <w:rFonts w:ascii="Cambria Math" w:eastAsiaTheme="minorEastAsia" w:hAnsi="Cambria Math" w:cs="Times New Roman"/>
                <w:sz w:val="24"/>
                <w:szCs w:val="24"/>
                <w:lang w:eastAsia="pt-BR"/>
              </w:rPr>
              <m:t>μ</m:t>
            </m:r>
          </m:e>
          <m:sup>
            <m:r>
              <m:rPr>
                <m:sty m:val="p"/>
              </m:rPr>
              <w:rPr>
                <w:rFonts w:ascii="Cambria Math" w:eastAsiaTheme="minorEastAsia" w:hAnsi="Cambria Math" w:cs="Times New Roman"/>
                <w:sz w:val="24"/>
                <w:szCs w:val="24"/>
                <w:lang w:eastAsia="pt-BR"/>
              </w:rPr>
              <m:t>P</m:t>
            </m:r>
          </m:sup>
        </m:sSup>
        <m:r>
          <m:rPr>
            <m:sty m:val="p"/>
          </m:rPr>
          <w:rPr>
            <w:rFonts w:ascii="Cambria Math" w:eastAsiaTheme="minorEastAsia" w:hAnsi="Cambria Math" w:cs="Times New Roman"/>
            <w:sz w:val="24"/>
            <w:szCs w:val="24"/>
            <w:lang w:eastAsia="pt-BR"/>
          </w:rPr>
          <m:t>-ψσ</m:t>
        </m:r>
      </m:oMath>
      <w:r w:rsidRPr="006114D7">
        <w:rPr>
          <w:rFonts w:ascii="Times New Roman" w:eastAsiaTheme="minorEastAsia" w:hAnsi="Times New Roman" w:cs="Times New Roman"/>
          <w:sz w:val="24"/>
          <w:szCs w:val="24"/>
          <w:lang w:eastAsia="pt-BR"/>
        </w:rPr>
        <w:t xml:space="preserve">                                                             (2</w:t>
      </w:r>
      <w:r w:rsidR="003F1581" w:rsidRPr="006114D7">
        <w:rPr>
          <w:rFonts w:ascii="Times New Roman" w:eastAsiaTheme="minorEastAsia" w:hAnsi="Times New Roman" w:cs="Times New Roman"/>
          <w:sz w:val="24"/>
          <w:szCs w:val="24"/>
          <w:lang w:eastAsia="pt-BR"/>
        </w:rPr>
        <w:t>9</w:t>
      </w:r>
      <w:r w:rsidRPr="006114D7">
        <w:rPr>
          <w:rFonts w:ascii="Times New Roman" w:eastAsiaTheme="minorEastAsia" w:hAnsi="Times New Roman" w:cs="Times New Roman"/>
          <w:sz w:val="24"/>
          <w:szCs w:val="24"/>
          <w:lang w:eastAsia="pt-BR"/>
        </w:rPr>
        <w:t>)</w:t>
      </w:r>
    </w:p>
    <w:p w:rsidR="00F606CF" w:rsidRPr="006114D7" w:rsidRDefault="00F606CF"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Para</w:t>
      </w:r>
      <w:r w:rsidR="00AE3AE2" w:rsidRPr="006114D7">
        <w:rPr>
          <w:rFonts w:ascii="Times New Roman" w:eastAsiaTheme="minorEastAsia" w:hAnsi="Times New Roman" w:cs="Times New Roman"/>
          <w:sz w:val="24"/>
          <w:szCs w:val="24"/>
          <w:lang w:eastAsia="pt-BR"/>
        </w:rPr>
        <w:t xml:space="preserve"> </w:t>
      </w:r>
      <m:oMath>
        <m:r>
          <m:rPr>
            <m:sty m:val="p"/>
          </m:rPr>
          <w:rPr>
            <w:rFonts w:ascii="Cambria Math" w:eastAsiaTheme="minorEastAsia" w:hAnsi="Cambria Math" w:cs="Times New Roman"/>
            <w:sz w:val="24"/>
            <w:szCs w:val="24"/>
            <w:lang w:eastAsia="pt-BR"/>
          </w:rPr>
          <m:t>ψ&gt;0</m:t>
        </m:r>
      </m:oMath>
      <w:r w:rsidR="00AE3AE2" w:rsidRPr="006114D7">
        <w:rPr>
          <w:rFonts w:ascii="Times New Roman" w:eastAsiaTheme="minorEastAsia" w:hAnsi="Times New Roman" w:cs="Times New Roman"/>
          <w:sz w:val="24"/>
          <w:szCs w:val="24"/>
          <w:lang w:eastAsia="pt-BR"/>
        </w:rPr>
        <w:t xml:space="preserve">, </w:t>
      </w:r>
      <w:r w:rsidRPr="006114D7">
        <w:rPr>
          <w:rFonts w:ascii="Times New Roman" w:eastAsiaTheme="minorEastAsia" w:hAnsi="Times New Roman" w:cs="Times New Roman"/>
          <w:sz w:val="24"/>
          <w:szCs w:val="24"/>
          <w:lang w:eastAsia="pt-BR"/>
        </w:rPr>
        <w:t xml:space="preserve">conforme </w:t>
      </w:r>
      <w:proofErr w:type="spellStart"/>
      <w:r w:rsidRPr="006114D7">
        <w:rPr>
          <w:rFonts w:ascii="Times New Roman" w:eastAsiaTheme="minorEastAsia" w:hAnsi="Times New Roman" w:cs="Times New Roman"/>
          <w:sz w:val="24"/>
          <w:szCs w:val="24"/>
          <w:lang w:eastAsia="pt-BR"/>
        </w:rPr>
        <w:t>Bollen</w:t>
      </w:r>
      <w:proofErr w:type="spellEnd"/>
      <w:r w:rsidRPr="006114D7">
        <w:rPr>
          <w:rFonts w:ascii="Times New Roman" w:eastAsiaTheme="minorEastAsia" w:hAnsi="Times New Roman" w:cs="Times New Roman"/>
          <w:sz w:val="24"/>
          <w:szCs w:val="24"/>
          <w:lang w:eastAsia="pt-BR"/>
        </w:rPr>
        <w:t xml:space="preserve"> (1997), consideramos:</w:t>
      </w:r>
    </w:p>
    <w:p w:rsidR="005A1FE9" w:rsidRPr="006114D7" w:rsidRDefault="00F606CF" w:rsidP="00FF5024">
      <w:pPr>
        <w:spacing w:after="120" w:line="240" w:lineRule="auto"/>
        <w:jc w:val="right"/>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 xml:space="preserve"> </w:t>
      </w:r>
      <m:oMath>
        <m:r>
          <m:rPr>
            <m:sty m:val="p"/>
          </m:rPr>
          <w:rPr>
            <w:rFonts w:ascii="Cambria Math" w:eastAsiaTheme="minorEastAsia" w:hAnsi="Cambria Math" w:cs="Times New Roman"/>
            <w:sz w:val="24"/>
            <w:szCs w:val="24"/>
            <w:lang w:eastAsia="pt-BR"/>
          </w:rPr>
          <m:t>ψ=</m:t>
        </m:r>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r-μ</m:t>
            </m:r>
          </m:num>
          <m:den>
            <m:r>
              <w:rPr>
                <w:rFonts w:ascii="Cambria Math" w:eastAsiaTheme="minorEastAsia" w:hAnsi="Cambria Math" w:cs="Times New Roman"/>
                <w:sz w:val="24"/>
                <w:szCs w:val="24"/>
                <w:lang w:eastAsia="pt-BR"/>
              </w:rPr>
              <m:t>σ</m:t>
            </m:r>
          </m:den>
        </m:f>
      </m:oMath>
      <w:r w:rsidRPr="006114D7">
        <w:rPr>
          <w:rFonts w:ascii="Times New Roman" w:eastAsiaTheme="minorEastAsia" w:hAnsi="Times New Roman" w:cs="Times New Roman"/>
          <w:sz w:val="24"/>
          <w:szCs w:val="24"/>
          <w:lang w:eastAsia="pt-BR"/>
        </w:rPr>
        <w:t xml:space="preserve">                                                                 </w:t>
      </w:r>
      <w:r w:rsidR="003F1581" w:rsidRPr="006114D7">
        <w:rPr>
          <w:rFonts w:ascii="Times New Roman" w:eastAsiaTheme="minorEastAsia" w:hAnsi="Times New Roman" w:cs="Times New Roman"/>
          <w:sz w:val="24"/>
          <w:szCs w:val="24"/>
          <w:lang w:eastAsia="pt-BR"/>
        </w:rPr>
        <w:t>(30</w:t>
      </w:r>
      <w:r w:rsidRPr="006114D7">
        <w:rPr>
          <w:rFonts w:ascii="Times New Roman" w:eastAsiaTheme="minorEastAsia" w:hAnsi="Times New Roman" w:cs="Times New Roman"/>
          <w:sz w:val="24"/>
          <w:szCs w:val="24"/>
          <w:lang w:eastAsia="pt-BR"/>
        </w:rPr>
        <w:t>)</w:t>
      </w:r>
    </w:p>
    <w:p w:rsidR="00F606CF" w:rsidRPr="006114D7" w:rsidRDefault="00F606CF"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 xml:space="preserve">E para o Banco do Brasil </w:t>
      </w:r>
      <m:oMath>
        <m:r>
          <m:rPr>
            <m:sty m:val="p"/>
          </m:rPr>
          <w:rPr>
            <w:rFonts w:ascii="Cambria Math" w:eastAsiaTheme="minorEastAsia" w:hAnsi="Cambria Math" w:cs="Times New Roman"/>
            <w:sz w:val="24"/>
            <w:szCs w:val="24"/>
            <w:lang w:eastAsia="pt-BR"/>
          </w:rPr>
          <m:t>ψ=</m:t>
        </m:r>
      </m:oMath>
      <w:r w:rsidRPr="006114D7">
        <w:rPr>
          <w:rFonts w:ascii="Times New Roman" w:eastAsiaTheme="minorEastAsia" w:hAnsi="Times New Roman" w:cs="Times New Roman"/>
          <w:sz w:val="24"/>
          <w:szCs w:val="24"/>
          <w:lang w:eastAsia="pt-BR"/>
        </w:rPr>
        <w:t>0,0</w:t>
      </w:r>
      <w:r w:rsidR="003C0DD1" w:rsidRPr="006114D7">
        <w:rPr>
          <w:rFonts w:ascii="Times New Roman" w:eastAsiaTheme="minorEastAsia" w:hAnsi="Times New Roman" w:cs="Times New Roman"/>
          <w:sz w:val="24"/>
          <w:szCs w:val="24"/>
          <w:lang w:eastAsia="pt-BR"/>
        </w:rPr>
        <w:t>36884</w:t>
      </w:r>
      <w:r w:rsidR="00682BEB">
        <w:rPr>
          <w:rFonts w:ascii="Times New Roman" w:eastAsiaTheme="minorEastAsia" w:hAnsi="Times New Roman" w:cs="Times New Roman"/>
          <w:sz w:val="24"/>
          <w:szCs w:val="24"/>
          <w:lang w:eastAsia="pt-BR"/>
        </w:rPr>
        <w:t xml:space="preserve">. </w:t>
      </w:r>
      <w:r w:rsidR="00496A1F" w:rsidRPr="006114D7">
        <w:rPr>
          <w:rFonts w:ascii="Times New Roman" w:eastAsiaTheme="minorEastAsia" w:hAnsi="Times New Roman" w:cs="Times New Roman"/>
          <w:sz w:val="24"/>
          <w:szCs w:val="24"/>
          <w:lang w:eastAsia="pt-BR"/>
        </w:rPr>
        <w:t xml:space="preserve">Segundo </w:t>
      </w:r>
      <w:proofErr w:type="spellStart"/>
      <w:r w:rsidR="00496A1F" w:rsidRPr="006114D7">
        <w:rPr>
          <w:rFonts w:ascii="Times New Roman" w:eastAsiaTheme="minorEastAsia" w:hAnsi="Times New Roman" w:cs="Times New Roman"/>
          <w:sz w:val="24"/>
          <w:szCs w:val="24"/>
          <w:lang w:eastAsia="pt-BR"/>
        </w:rPr>
        <w:t>Koz</w:t>
      </w:r>
      <w:r w:rsidR="001A35AA" w:rsidRPr="006114D7">
        <w:rPr>
          <w:rFonts w:ascii="Times New Roman" w:eastAsiaTheme="minorEastAsia" w:hAnsi="Times New Roman" w:cs="Times New Roman"/>
          <w:sz w:val="24"/>
          <w:szCs w:val="24"/>
          <w:lang w:eastAsia="pt-BR"/>
        </w:rPr>
        <w:t>iol</w:t>
      </w:r>
      <w:proofErr w:type="spellEnd"/>
      <w:r w:rsidR="001A35AA" w:rsidRPr="006114D7">
        <w:rPr>
          <w:rFonts w:ascii="Times New Roman" w:eastAsiaTheme="minorEastAsia" w:hAnsi="Times New Roman" w:cs="Times New Roman"/>
          <w:sz w:val="24"/>
          <w:szCs w:val="24"/>
          <w:lang w:eastAsia="pt-BR"/>
        </w:rPr>
        <w:t xml:space="preserve"> e </w:t>
      </w:r>
      <w:proofErr w:type="spellStart"/>
      <w:r w:rsidR="001A35AA" w:rsidRPr="006114D7">
        <w:rPr>
          <w:rFonts w:ascii="Times New Roman" w:eastAsiaTheme="minorEastAsia" w:hAnsi="Times New Roman" w:cs="Times New Roman"/>
          <w:sz w:val="24"/>
          <w:szCs w:val="24"/>
          <w:lang w:eastAsia="pt-BR"/>
        </w:rPr>
        <w:t>Lawrenz</w:t>
      </w:r>
      <w:proofErr w:type="spellEnd"/>
      <w:r w:rsidR="001A35AA" w:rsidRPr="006114D7">
        <w:rPr>
          <w:rFonts w:ascii="Times New Roman" w:eastAsiaTheme="minorEastAsia" w:hAnsi="Times New Roman" w:cs="Times New Roman"/>
          <w:sz w:val="24"/>
          <w:szCs w:val="24"/>
          <w:lang w:eastAsia="pt-BR"/>
        </w:rPr>
        <w:t xml:space="preserve"> (2012), as preferê</w:t>
      </w:r>
      <w:r w:rsidR="00496A1F" w:rsidRPr="006114D7">
        <w:rPr>
          <w:rFonts w:ascii="Times New Roman" w:eastAsiaTheme="minorEastAsia" w:hAnsi="Times New Roman" w:cs="Times New Roman"/>
          <w:sz w:val="24"/>
          <w:szCs w:val="24"/>
          <w:lang w:eastAsia="pt-BR"/>
        </w:rPr>
        <w:t>ncias de risco podem ser avaliadas</w:t>
      </w:r>
      <w:r w:rsidR="001A35AA" w:rsidRPr="006114D7">
        <w:rPr>
          <w:rFonts w:ascii="Times New Roman" w:eastAsiaTheme="minorEastAsia" w:hAnsi="Times New Roman" w:cs="Times New Roman"/>
          <w:sz w:val="24"/>
          <w:szCs w:val="24"/>
          <w:lang w:eastAsia="pt-BR"/>
        </w:rPr>
        <w:t>,</w:t>
      </w:r>
      <w:r w:rsidR="00496A1F" w:rsidRPr="006114D7">
        <w:rPr>
          <w:rFonts w:ascii="Times New Roman" w:eastAsiaTheme="minorEastAsia" w:hAnsi="Times New Roman" w:cs="Times New Roman"/>
          <w:sz w:val="24"/>
          <w:szCs w:val="24"/>
          <w:lang w:eastAsia="pt-BR"/>
        </w:rPr>
        <w:t xml:space="preserve"> determinando o sinal da primeira derivada do patrimônio líquido em relação ao parâmetro de risco</w:t>
      </w:r>
      <w:r w:rsidR="00643CC8" w:rsidRPr="006114D7">
        <w:rPr>
          <w:rFonts w:ascii="Times New Roman" w:eastAsiaTheme="minorEastAsia" w:hAnsi="Times New Roman" w:cs="Times New Roman"/>
          <w:sz w:val="24"/>
          <w:szCs w:val="24"/>
          <w:lang w:eastAsia="pt-BR"/>
        </w:rPr>
        <w:t xml:space="preserve"> (</w:t>
      </w:r>
      <m:oMath>
        <m:r>
          <m:rPr>
            <m:sty m:val="p"/>
          </m:rPr>
          <w:rPr>
            <w:rFonts w:ascii="Cambria Math" w:eastAsiaTheme="minorEastAsia" w:hAnsi="Cambria Math" w:cs="Times New Roman"/>
            <w:sz w:val="24"/>
            <w:szCs w:val="24"/>
            <w:lang w:eastAsia="pt-BR"/>
          </w:rPr>
          <m:t>σ)</m:t>
        </m:r>
      </m:oMath>
      <w:r w:rsidR="00643CC8" w:rsidRPr="006114D7">
        <w:rPr>
          <w:rFonts w:ascii="Times New Roman" w:eastAsiaTheme="minorEastAsia" w:hAnsi="Times New Roman" w:cs="Times New Roman"/>
          <w:sz w:val="24"/>
          <w:szCs w:val="24"/>
          <w:lang w:eastAsia="pt-BR"/>
        </w:rPr>
        <w:t>. Tomando a derivada do banco com dívidas subordinadas, temos:</w:t>
      </w:r>
    </w:p>
    <w:p w:rsidR="00964BEA" w:rsidRPr="006114D7" w:rsidRDefault="00445FF9" w:rsidP="00FF5024">
      <w:pPr>
        <w:spacing w:after="120" w:line="240" w:lineRule="auto"/>
        <w:jc w:val="right"/>
        <w:rPr>
          <w:rFonts w:ascii="Times New Roman" w:eastAsiaTheme="minorEastAsia" w:hAnsi="Times New Roman" w:cs="Times New Roman"/>
          <w:sz w:val="24"/>
          <w:szCs w:val="24"/>
          <w:lang w:eastAsia="pt-BR"/>
        </w:rPr>
      </w:pPr>
      <m:oMath>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S</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b</m:t>
                </m:r>
              </m:sup>
            </m:sSubSup>
          </m:num>
          <m:den>
            <m:r>
              <w:rPr>
                <w:rFonts w:ascii="Cambria Math" w:eastAsiaTheme="minorEastAsia" w:hAnsi="Cambria Math" w:cs="Times New Roman"/>
                <w:sz w:val="24"/>
                <w:szCs w:val="24"/>
                <w:lang w:eastAsia="pt-BR"/>
              </w:rPr>
              <m:t>∂σ</m:t>
            </m:r>
          </m:den>
        </m:f>
        <m:r>
          <m:rPr>
            <m:scr m:val="script"/>
          </m:rPr>
          <w:rPr>
            <w:rFonts w:ascii="Cambria Math" w:eastAsiaTheme="minorEastAsia" w:hAnsi="Cambria Math" w:cs="Times New Roman"/>
            <w:sz w:val="24"/>
            <w:szCs w:val="24"/>
            <w:lang w:eastAsia="pt-BR"/>
          </w:rPr>
          <m:t>=-V</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ξ,π</m:t>
            </m:r>
          </m:e>
        </m:d>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num>
          <m:den>
            <m:r>
              <w:rPr>
                <w:rFonts w:ascii="Cambria Math" w:eastAsiaTheme="minorEastAsia" w:hAnsi="Cambria Math" w:cs="Times New Roman"/>
                <w:sz w:val="24"/>
                <w:szCs w:val="24"/>
                <w:lang w:eastAsia="pt-BR"/>
              </w:rPr>
              <m:t>∂σ</m:t>
            </m:r>
          </m:den>
        </m:f>
        <m:r>
          <m:rPr>
            <m:scr m:val="script"/>
          </m:rPr>
          <w:rPr>
            <w:rFonts w:ascii="Cambria Math" w:eastAsiaTheme="minorEastAsia" w:hAnsi="Cambria Math" w:cs="Times New Roman"/>
            <w:sz w:val="24"/>
            <w:szCs w:val="24"/>
            <w:lang w:eastAsia="pt-BR"/>
          </w:rPr>
          <m:t xml:space="preserve"> D </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,ξ,σ</m:t>
            </m:r>
          </m:e>
        </m:d>
        <m:r>
          <m:rPr>
            <m:scr m:val="script"/>
          </m:rPr>
          <w:rPr>
            <w:rFonts w:ascii="Cambria Math" w:eastAsiaTheme="minorEastAsia" w:hAnsi="Cambria Math" w:cs="Times New Roman"/>
            <w:sz w:val="24"/>
            <w:szCs w:val="24"/>
            <w:lang w:eastAsia="pt-BR"/>
          </w:rPr>
          <m:t>= -V</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ξ,π</m:t>
            </m:r>
          </m:e>
        </m:d>
        <m:r>
          <m:rPr>
            <m:scr m:val="script"/>
          </m:rPr>
          <w:rPr>
            <w:rFonts w:ascii="Cambria Math" w:eastAsiaTheme="minorEastAsia" w:hAnsi="Cambria Math" w:cs="Times New Roman"/>
            <w:sz w:val="24"/>
            <w:szCs w:val="24"/>
            <w:lang w:eastAsia="pt-BR"/>
          </w:rPr>
          <m:t xml:space="preserve"> D </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,ξ,σ</m:t>
            </m:r>
          </m:e>
        </m:d>
        <m:func>
          <m:funcPr>
            <m:ctrlPr>
              <w:rPr>
                <w:rFonts w:ascii="Cambria Math" w:eastAsiaTheme="minorEastAsia" w:hAnsi="Cambria Math" w:cs="Times New Roman"/>
                <w:i/>
                <w:sz w:val="24"/>
                <w:szCs w:val="24"/>
                <w:lang w:eastAsia="pt-BR"/>
              </w:rPr>
            </m:ctrlPr>
          </m:funcPr>
          <m:fName>
            <m:r>
              <m:rPr>
                <m:sty m:val="p"/>
              </m:rPr>
              <w:rPr>
                <w:rFonts w:ascii="Cambria Math" w:eastAsiaTheme="minorEastAsia" w:hAnsi="Cambria Math" w:cs="Times New Roman"/>
                <w:sz w:val="24"/>
                <w:szCs w:val="24"/>
                <w:lang w:eastAsia="pt-BR"/>
              </w:rPr>
              <m:t>log</m:t>
            </m:r>
          </m:fName>
          <m:e>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t</m:t>
                        </m:r>
                      </m:sub>
                    </m:sSub>
                  </m:num>
                  <m:den>
                    <m:r>
                      <w:rPr>
                        <w:rFonts w:ascii="Cambria Math" w:eastAsiaTheme="minorEastAsia" w:hAnsi="Cambria Math" w:cs="Times New Roman"/>
                        <w:sz w:val="24"/>
                        <w:szCs w:val="24"/>
                        <w:lang w:eastAsia="pt-BR"/>
                      </w:rPr>
                      <m:t>ξ</m:t>
                    </m:r>
                  </m:den>
                </m:f>
              </m:e>
            </m:d>
          </m:e>
        </m:func>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∂β(σ)</m:t>
            </m:r>
          </m:num>
          <m:den>
            <m:r>
              <w:rPr>
                <w:rFonts w:ascii="Cambria Math" w:eastAsiaTheme="minorEastAsia" w:hAnsi="Cambria Math" w:cs="Times New Roman"/>
                <w:sz w:val="24"/>
                <w:szCs w:val="24"/>
                <w:lang w:eastAsia="pt-BR"/>
              </w:rPr>
              <m:t>∂σ</m:t>
            </m:r>
          </m:den>
        </m:f>
      </m:oMath>
      <w:r w:rsidR="00643CC8" w:rsidRPr="006114D7">
        <w:rPr>
          <w:rFonts w:ascii="Times New Roman" w:eastAsiaTheme="minorEastAsia" w:hAnsi="Times New Roman" w:cs="Times New Roman"/>
          <w:sz w:val="24"/>
          <w:szCs w:val="24"/>
          <w:lang w:eastAsia="pt-BR"/>
        </w:rPr>
        <w:t xml:space="preserve">       (3</w:t>
      </w:r>
      <w:r w:rsidR="003F1581" w:rsidRPr="006114D7">
        <w:rPr>
          <w:rFonts w:ascii="Times New Roman" w:eastAsiaTheme="minorEastAsia" w:hAnsi="Times New Roman" w:cs="Times New Roman"/>
          <w:sz w:val="24"/>
          <w:szCs w:val="24"/>
          <w:lang w:eastAsia="pt-BR"/>
        </w:rPr>
        <w:t>1</w:t>
      </w:r>
      <w:r w:rsidR="00643CC8" w:rsidRPr="006114D7">
        <w:rPr>
          <w:rFonts w:ascii="Times New Roman" w:eastAsiaTheme="minorEastAsia" w:hAnsi="Times New Roman" w:cs="Times New Roman"/>
          <w:sz w:val="24"/>
          <w:szCs w:val="24"/>
          <w:lang w:eastAsia="pt-BR"/>
        </w:rPr>
        <w:t>)</w:t>
      </w:r>
      <w:r w:rsidR="00964BEA" w:rsidRPr="006114D7">
        <w:rPr>
          <w:rFonts w:ascii="Times New Roman" w:eastAsiaTheme="minorEastAsia" w:hAnsi="Times New Roman" w:cs="Times New Roman"/>
          <w:sz w:val="24"/>
          <w:szCs w:val="24"/>
          <w:lang w:eastAsia="pt-BR"/>
        </w:rPr>
        <w:t xml:space="preserve"> </w:t>
      </w:r>
    </w:p>
    <w:p w:rsidR="00D63E49" w:rsidRDefault="00643CC8"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 xml:space="preserve">Sendo que </w:t>
      </w:r>
      <m:oMath>
        <m:r>
          <m:rPr>
            <m:scr m:val="script"/>
          </m:rPr>
          <w:rPr>
            <w:rFonts w:ascii="Cambria Math" w:eastAsiaTheme="minorEastAsia" w:hAnsi="Cambria Math" w:cs="Times New Roman"/>
            <w:sz w:val="24"/>
            <w:szCs w:val="24"/>
            <w:lang w:eastAsia="pt-BR"/>
          </w:rPr>
          <m:t>V</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ξ</m:t>
            </m:r>
            <w:proofErr w:type="gramStart"/>
            <m:r>
              <w:rPr>
                <w:rFonts w:ascii="Cambria Math" w:eastAsiaTheme="minorEastAsia" w:hAnsi="Cambria Math" w:cs="Times New Roman"/>
                <w:sz w:val="24"/>
                <w:szCs w:val="24"/>
                <w:lang w:eastAsia="pt-BR"/>
              </w:rPr>
              <m:t>,</m:t>
            </m:r>
            <w:proofErr w:type="gramEnd"/>
            <m:r>
              <w:rPr>
                <w:rFonts w:ascii="Cambria Math" w:eastAsiaTheme="minorEastAsia" w:hAnsi="Cambria Math" w:cs="Times New Roman"/>
                <w:sz w:val="24"/>
                <w:szCs w:val="24"/>
                <w:lang w:eastAsia="pt-BR"/>
              </w:rPr>
              <m:t>π</m:t>
            </m:r>
          </m:e>
        </m:d>
        <m:r>
          <w:rPr>
            <w:rFonts w:ascii="Cambria Math" w:eastAsiaTheme="minorEastAsia" w:hAnsi="Cambria Math" w:cs="Times New Roman"/>
            <w:sz w:val="24"/>
            <w:szCs w:val="24"/>
            <w:lang w:eastAsia="pt-BR"/>
          </w:rPr>
          <m:t>=</m:t>
        </m:r>
        <m:r>
          <w:rPr>
            <w:rFonts w:ascii="Cambria Math" w:hAnsi="Cambria Math" w:cs="Times New Roman"/>
            <w:sz w:val="24"/>
            <w:szCs w:val="24"/>
          </w:rPr>
          <m:t>(1-τ)</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ξ</m:t>
                </m:r>
              </m:num>
              <m:den>
                <m:r>
                  <w:rPr>
                    <w:rFonts w:ascii="Cambria Math" w:hAnsi="Cambria Math" w:cs="Times New Roman"/>
                    <w:sz w:val="24"/>
                    <w:szCs w:val="24"/>
                  </w:rPr>
                  <m:t>r-μ</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r</m:t>
                </m:r>
              </m:den>
            </m:f>
          </m:e>
        </m:d>
      </m:oMath>
      <w:r w:rsidRPr="006114D7">
        <w:rPr>
          <w:rFonts w:ascii="Times New Roman" w:eastAsiaTheme="minorEastAsia" w:hAnsi="Times New Roman" w:cs="Times New Roman"/>
          <w:sz w:val="24"/>
          <w:szCs w:val="24"/>
        </w:rPr>
        <w:t>, pode ser interpretado como</w:t>
      </w:r>
      <w:r w:rsidR="001A35AA" w:rsidRPr="006114D7">
        <w:rPr>
          <w:rFonts w:ascii="Times New Roman" w:eastAsiaTheme="minorEastAsia" w:hAnsi="Times New Roman" w:cs="Times New Roman"/>
          <w:sz w:val="24"/>
          <w:szCs w:val="24"/>
        </w:rPr>
        <w:t>,</w:t>
      </w:r>
      <w:r w:rsidRPr="006114D7">
        <w:rPr>
          <w:rFonts w:ascii="Times New Roman" w:eastAsiaTheme="minorEastAsia" w:hAnsi="Times New Roman" w:cs="Times New Roman"/>
          <w:sz w:val="24"/>
          <w:szCs w:val="24"/>
        </w:rPr>
        <w:t xml:space="preserve"> o valor presente do fluxo de renda perpétuo, livre de riscos e impostos, dado um nível de lucro. Onde, dado um nível de endividamento, </w:t>
      </w:r>
      <m:oMath>
        <m:r>
          <m:rPr>
            <m:scr m:val="script"/>
          </m:rPr>
          <w:rPr>
            <w:rFonts w:ascii="Cambria Math" w:eastAsiaTheme="minorEastAsia" w:hAnsi="Cambria Math" w:cs="Times New Roman"/>
            <w:sz w:val="24"/>
            <w:szCs w:val="24"/>
            <w:lang w:eastAsia="pt-BR"/>
          </w:rPr>
          <m:t>V</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ξ</m:t>
            </m:r>
            <w:proofErr w:type="gramStart"/>
            <m:r>
              <w:rPr>
                <w:rFonts w:ascii="Cambria Math" w:eastAsiaTheme="minorEastAsia" w:hAnsi="Cambria Math" w:cs="Times New Roman"/>
                <w:sz w:val="24"/>
                <w:szCs w:val="24"/>
                <w:lang w:eastAsia="pt-BR"/>
              </w:rPr>
              <m:t>,</m:t>
            </m:r>
            <w:proofErr w:type="gramEnd"/>
            <m:r>
              <w:rPr>
                <w:rFonts w:ascii="Cambria Math" w:eastAsiaTheme="minorEastAsia" w:hAnsi="Cambria Math" w:cs="Times New Roman"/>
                <w:sz w:val="24"/>
                <w:szCs w:val="24"/>
                <w:lang w:eastAsia="pt-BR"/>
              </w:rPr>
              <m:t>π</m:t>
            </m:r>
          </m:e>
        </m:d>
      </m:oMath>
      <w:r w:rsidRPr="006114D7">
        <w:rPr>
          <w:rFonts w:ascii="Times New Roman" w:eastAsiaTheme="minorEastAsia" w:hAnsi="Times New Roman" w:cs="Times New Roman"/>
          <w:sz w:val="24"/>
          <w:szCs w:val="24"/>
          <w:lang w:eastAsia="pt-BR"/>
        </w:rPr>
        <w:t xml:space="preserve"> é negativo</w:t>
      </w:r>
      <w:r w:rsidR="00AC5F34" w:rsidRPr="006114D7">
        <w:rPr>
          <w:rFonts w:ascii="Times New Roman" w:eastAsiaTheme="minorEastAsia" w:hAnsi="Times New Roman" w:cs="Times New Roman"/>
          <w:sz w:val="24"/>
          <w:szCs w:val="24"/>
          <w:lang w:eastAsia="pt-BR"/>
        </w:rPr>
        <w:t xml:space="preserve"> quando a fronteira de conversão </w:t>
      </w:r>
      <m:oMath>
        <m:r>
          <w:rPr>
            <w:rFonts w:ascii="Cambria Math" w:hAnsi="Cambria Math" w:cs="Times New Roman"/>
            <w:sz w:val="24"/>
            <w:szCs w:val="24"/>
          </w:rPr>
          <m:t>ξ</m:t>
        </m:r>
      </m:oMath>
      <w:r w:rsidR="00AC5F34" w:rsidRPr="006114D7">
        <w:rPr>
          <w:rFonts w:ascii="Times New Roman" w:eastAsiaTheme="minorEastAsia" w:hAnsi="Times New Roman" w:cs="Times New Roman"/>
          <w:sz w:val="24"/>
          <w:szCs w:val="24"/>
        </w:rPr>
        <w:t xml:space="preserve"> é suficientemente pequena e positivo para uma fronteira mais alta.</w:t>
      </w:r>
      <w:r w:rsidR="00675360">
        <w:rPr>
          <w:rFonts w:ascii="Times New Roman" w:eastAsiaTheme="minorEastAsia" w:hAnsi="Times New Roman" w:cs="Times New Roman"/>
          <w:sz w:val="24"/>
          <w:szCs w:val="24"/>
        </w:rPr>
        <w:t xml:space="preserve"> </w:t>
      </w:r>
      <w:r w:rsidR="00C36DCB" w:rsidRPr="006114D7">
        <w:rPr>
          <w:rFonts w:ascii="Times New Roman" w:eastAsiaTheme="minorEastAsia" w:hAnsi="Times New Roman" w:cs="Times New Roman"/>
          <w:sz w:val="24"/>
          <w:szCs w:val="24"/>
          <w:lang w:eastAsia="pt-BR"/>
        </w:rPr>
        <w:t>Ou seja, c</w:t>
      </w:r>
      <w:r w:rsidR="00964BEA" w:rsidRPr="006114D7">
        <w:rPr>
          <w:rFonts w:ascii="Times New Roman" w:eastAsiaTheme="minorEastAsia" w:hAnsi="Times New Roman" w:cs="Times New Roman"/>
          <w:sz w:val="24"/>
          <w:szCs w:val="24"/>
          <w:lang w:eastAsia="pt-BR"/>
        </w:rPr>
        <w:t xml:space="preserve">om restrições financeiras mais rígidas (fronteira  </w:t>
      </w:r>
      <m:oMath>
        <m:r>
          <w:rPr>
            <w:rFonts w:ascii="Cambria Math" w:eastAsiaTheme="minorEastAsia" w:hAnsi="Cambria Math" w:cs="Times New Roman"/>
            <w:sz w:val="24"/>
            <w:szCs w:val="24"/>
            <w:lang w:eastAsia="pt-BR"/>
          </w:rPr>
          <m:t>ξ</m:t>
        </m:r>
      </m:oMath>
      <w:r w:rsidR="00C36DCB" w:rsidRPr="006114D7">
        <w:rPr>
          <w:rFonts w:ascii="Times New Roman" w:eastAsiaTheme="minorEastAsia" w:hAnsi="Times New Roman" w:cs="Times New Roman"/>
          <w:sz w:val="24"/>
          <w:szCs w:val="24"/>
          <w:lang w:eastAsia="pt-BR"/>
        </w:rPr>
        <w:t xml:space="preserve"> maior), os detentores </w:t>
      </w:r>
      <w:r w:rsidR="00FA0720" w:rsidRPr="006114D7">
        <w:rPr>
          <w:rFonts w:ascii="Times New Roman" w:eastAsiaTheme="minorEastAsia" w:hAnsi="Times New Roman" w:cs="Times New Roman"/>
          <w:sz w:val="24"/>
          <w:szCs w:val="24"/>
          <w:lang w:eastAsia="pt-BR"/>
        </w:rPr>
        <w:t xml:space="preserve">de </w:t>
      </w:r>
      <w:r w:rsidR="00190EFF" w:rsidRPr="006114D7">
        <w:rPr>
          <w:rFonts w:ascii="Times New Roman" w:eastAsiaTheme="minorEastAsia" w:hAnsi="Times New Roman" w:cs="Times New Roman"/>
          <w:sz w:val="24"/>
          <w:szCs w:val="24"/>
          <w:lang w:eastAsia="pt-BR"/>
        </w:rPr>
        <w:t>dívida</w:t>
      </w:r>
      <w:r w:rsidR="00C36DCB" w:rsidRPr="006114D7">
        <w:rPr>
          <w:rFonts w:ascii="Times New Roman" w:eastAsiaTheme="minorEastAsia" w:hAnsi="Times New Roman" w:cs="Times New Roman"/>
          <w:sz w:val="24"/>
          <w:szCs w:val="24"/>
          <w:lang w:eastAsia="pt-BR"/>
        </w:rPr>
        <w:t xml:space="preserve"> </w:t>
      </w:r>
      <w:r w:rsidR="00FA0720" w:rsidRPr="006114D7">
        <w:rPr>
          <w:rFonts w:ascii="Times New Roman" w:eastAsiaTheme="minorEastAsia" w:hAnsi="Times New Roman" w:cs="Times New Roman"/>
          <w:sz w:val="24"/>
          <w:szCs w:val="24"/>
          <w:lang w:eastAsia="pt-BR"/>
        </w:rPr>
        <w:t>abrem mão de um fluxo de caixa com maior valor em relação aos débitos</w:t>
      </w:r>
      <w:r w:rsidR="003B15A7" w:rsidRPr="006114D7">
        <w:rPr>
          <w:rFonts w:ascii="Times New Roman" w:eastAsiaTheme="minorEastAsia" w:hAnsi="Times New Roman" w:cs="Times New Roman"/>
          <w:sz w:val="24"/>
          <w:szCs w:val="24"/>
          <w:lang w:eastAsia="pt-BR"/>
        </w:rPr>
        <w:t>,</w:t>
      </w:r>
      <w:r w:rsidR="00FA0720" w:rsidRPr="006114D7">
        <w:rPr>
          <w:rFonts w:ascii="Times New Roman" w:eastAsiaTheme="minorEastAsia" w:hAnsi="Times New Roman" w:cs="Times New Roman"/>
          <w:sz w:val="24"/>
          <w:szCs w:val="24"/>
          <w:lang w:eastAsia="pt-BR"/>
        </w:rPr>
        <w:t xml:space="preserve"> </w:t>
      </w:r>
      <w:r w:rsidR="00AC5F34" w:rsidRPr="006114D7">
        <w:rPr>
          <w:rFonts w:ascii="Times New Roman" w:eastAsiaTheme="minorEastAsia" w:hAnsi="Times New Roman" w:cs="Times New Roman"/>
          <w:sz w:val="24"/>
          <w:szCs w:val="24"/>
          <w:lang w:eastAsia="pt-BR"/>
        </w:rPr>
        <w:t xml:space="preserve">no caso de </w:t>
      </w:r>
      <w:r w:rsidR="00FA0720" w:rsidRPr="006114D7">
        <w:rPr>
          <w:rFonts w:ascii="Times New Roman" w:eastAsiaTheme="minorEastAsia" w:hAnsi="Times New Roman" w:cs="Times New Roman"/>
          <w:sz w:val="24"/>
          <w:szCs w:val="24"/>
          <w:lang w:eastAsia="pt-BR"/>
        </w:rPr>
        <w:t>inadimplênci</w:t>
      </w:r>
      <w:r w:rsidR="00AC5F34" w:rsidRPr="006114D7">
        <w:rPr>
          <w:rFonts w:ascii="Times New Roman" w:eastAsiaTheme="minorEastAsia" w:hAnsi="Times New Roman" w:cs="Times New Roman"/>
          <w:sz w:val="24"/>
          <w:szCs w:val="24"/>
          <w:lang w:eastAsia="pt-BR"/>
        </w:rPr>
        <w:t>a</w:t>
      </w:r>
      <w:r w:rsidR="00FA0720" w:rsidRPr="006114D7">
        <w:rPr>
          <w:rFonts w:ascii="Times New Roman" w:eastAsiaTheme="minorEastAsia" w:hAnsi="Times New Roman" w:cs="Times New Roman"/>
          <w:sz w:val="24"/>
          <w:szCs w:val="24"/>
          <w:lang w:eastAsia="pt-BR"/>
        </w:rPr>
        <w:t>, o que os torna apreensivos ao risco de um estresse financeiro. Assi</w:t>
      </w:r>
      <w:r w:rsidR="00685D74" w:rsidRPr="006114D7">
        <w:rPr>
          <w:rFonts w:ascii="Times New Roman" w:eastAsiaTheme="minorEastAsia" w:hAnsi="Times New Roman" w:cs="Times New Roman"/>
          <w:sz w:val="24"/>
          <w:szCs w:val="24"/>
          <w:lang w:eastAsia="pt-BR"/>
        </w:rPr>
        <w:t>m, quanto antes o banco for forç</w:t>
      </w:r>
      <w:r w:rsidR="00FA0720" w:rsidRPr="006114D7">
        <w:rPr>
          <w:rFonts w:ascii="Times New Roman" w:eastAsiaTheme="minorEastAsia" w:hAnsi="Times New Roman" w:cs="Times New Roman"/>
          <w:sz w:val="24"/>
          <w:szCs w:val="24"/>
          <w:lang w:eastAsia="pt-BR"/>
        </w:rPr>
        <w:t>ado a se reorganizar, mais sever</w:t>
      </w:r>
      <w:r w:rsidR="00AC5F34" w:rsidRPr="006114D7">
        <w:rPr>
          <w:rFonts w:ascii="Times New Roman" w:eastAsiaTheme="minorEastAsia" w:hAnsi="Times New Roman" w:cs="Times New Roman"/>
          <w:sz w:val="24"/>
          <w:szCs w:val="24"/>
          <w:lang w:eastAsia="pt-BR"/>
        </w:rPr>
        <w:t>o</w:t>
      </w:r>
      <w:r w:rsidR="00FA0720" w:rsidRPr="006114D7">
        <w:rPr>
          <w:rFonts w:ascii="Times New Roman" w:eastAsiaTheme="minorEastAsia" w:hAnsi="Times New Roman" w:cs="Times New Roman"/>
          <w:sz w:val="24"/>
          <w:szCs w:val="24"/>
          <w:lang w:eastAsia="pt-BR"/>
        </w:rPr>
        <w:t xml:space="preserve">s serão os efeitos negativos no valor do </w:t>
      </w:r>
      <w:r w:rsidR="00685D74" w:rsidRPr="006114D7">
        <w:rPr>
          <w:rFonts w:ascii="Times New Roman" w:eastAsiaTheme="minorEastAsia" w:hAnsi="Times New Roman" w:cs="Times New Roman"/>
          <w:sz w:val="24"/>
          <w:szCs w:val="24"/>
          <w:lang w:eastAsia="pt-BR"/>
        </w:rPr>
        <w:t>p</w:t>
      </w:r>
      <w:r w:rsidR="00D64C34" w:rsidRPr="006114D7">
        <w:rPr>
          <w:rFonts w:ascii="Times New Roman" w:eastAsiaTheme="minorEastAsia" w:hAnsi="Times New Roman" w:cs="Times New Roman"/>
          <w:sz w:val="24"/>
          <w:szCs w:val="24"/>
          <w:lang w:eastAsia="pt-BR"/>
        </w:rPr>
        <w:t xml:space="preserve">atrimônio de </w:t>
      </w:r>
      <w:r w:rsidR="007C4EE9" w:rsidRPr="006114D7">
        <w:rPr>
          <w:rFonts w:ascii="Times New Roman" w:eastAsiaTheme="minorEastAsia" w:hAnsi="Times New Roman" w:cs="Times New Roman"/>
          <w:sz w:val="24"/>
          <w:szCs w:val="24"/>
          <w:lang w:eastAsia="pt-BR"/>
        </w:rPr>
        <w:t>referência</w:t>
      </w:r>
      <w:r w:rsidR="00FA0720" w:rsidRPr="006114D7">
        <w:rPr>
          <w:rFonts w:ascii="Times New Roman" w:eastAsiaTheme="minorEastAsia" w:hAnsi="Times New Roman" w:cs="Times New Roman"/>
          <w:sz w:val="24"/>
          <w:szCs w:val="24"/>
          <w:lang w:eastAsia="pt-BR"/>
        </w:rPr>
        <w:t xml:space="preserve">. </w:t>
      </w:r>
    </w:p>
    <w:p w:rsidR="00685D74" w:rsidRPr="006114D7" w:rsidRDefault="00685D74"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b/>
          <w:sz w:val="24"/>
          <w:szCs w:val="24"/>
          <w:lang w:eastAsia="pt-BR"/>
        </w:rPr>
        <w:t xml:space="preserve">Lema </w:t>
      </w:r>
      <w:proofErr w:type="gramStart"/>
      <w:r w:rsidRPr="006114D7">
        <w:rPr>
          <w:rFonts w:ascii="Times New Roman" w:eastAsiaTheme="minorEastAsia" w:hAnsi="Times New Roman" w:cs="Times New Roman"/>
          <w:b/>
          <w:sz w:val="24"/>
          <w:szCs w:val="24"/>
          <w:lang w:eastAsia="pt-BR"/>
        </w:rPr>
        <w:t>2</w:t>
      </w:r>
      <w:proofErr w:type="gramEnd"/>
      <w:r w:rsidRPr="006114D7">
        <w:rPr>
          <w:rFonts w:ascii="Times New Roman" w:eastAsiaTheme="minorEastAsia" w:hAnsi="Times New Roman" w:cs="Times New Roman"/>
          <w:sz w:val="24"/>
          <w:szCs w:val="24"/>
          <w:lang w:eastAsia="pt-BR"/>
        </w:rPr>
        <w:t xml:space="preserve">: No caso de um banco com financiamento em dívidas subordinadas, as </w:t>
      </w:r>
      <w:r w:rsidR="003B15A7" w:rsidRPr="006114D7">
        <w:rPr>
          <w:rFonts w:ascii="Times New Roman" w:eastAsiaTheme="minorEastAsia" w:hAnsi="Times New Roman" w:cs="Times New Roman"/>
          <w:sz w:val="24"/>
          <w:szCs w:val="24"/>
          <w:lang w:eastAsia="pt-BR"/>
        </w:rPr>
        <w:t>preferê</w:t>
      </w:r>
      <w:r w:rsidRPr="006114D7">
        <w:rPr>
          <w:rFonts w:ascii="Times New Roman" w:eastAsiaTheme="minorEastAsia" w:hAnsi="Times New Roman" w:cs="Times New Roman"/>
          <w:sz w:val="24"/>
          <w:szCs w:val="24"/>
          <w:lang w:eastAsia="pt-BR"/>
        </w:rPr>
        <w:t xml:space="preserve">ncias de risco dependem da restrição exógena </w:t>
      </w:r>
      <m:oMath>
        <m:r>
          <w:rPr>
            <w:rFonts w:ascii="Cambria Math" w:eastAsiaTheme="minorEastAsia" w:hAnsi="Cambria Math" w:cs="Times New Roman"/>
            <w:sz w:val="24"/>
            <w:szCs w:val="24"/>
            <w:lang w:eastAsia="pt-BR"/>
          </w:rPr>
          <m:t>ξ</m:t>
        </m:r>
      </m:oMath>
      <w:r w:rsidRPr="006114D7">
        <w:rPr>
          <w:rFonts w:ascii="Times New Roman" w:eastAsiaTheme="minorEastAsia" w:hAnsi="Times New Roman" w:cs="Times New Roman"/>
          <w:sz w:val="24"/>
          <w:szCs w:val="24"/>
          <w:lang w:eastAsia="pt-BR"/>
        </w:rPr>
        <w:t xml:space="preserve">. Se a restrição for suficientemente fraca, de forma que a fronteira </w:t>
      </w:r>
      <m:oMath>
        <m:r>
          <w:rPr>
            <w:rFonts w:ascii="Cambria Math" w:eastAsiaTheme="minorEastAsia" w:hAnsi="Cambria Math" w:cs="Times New Roman"/>
            <w:sz w:val="24"/>
            <w:szCs w:val="24"/>
            <w:lang w:eastAsia="pt-BR"/>
          </w:rPr>
          <m:t>ξ</m:t>
        </m:r>
      </m:oMath>
      <w:r w:rsidRPr="006114D7">
        <w:rPr>
          <w:rFonts w:ascii="Times New Roman" w:eastAsiaTheme="minorEastAsia" w:hAnsi="Times New Roman" w:cs="Times New Roman"/>
          <w:sz w:val="24"/>
          <w:szCs w:val="24"/>
          <w:lang w:eastAsia="pt-BR"/>
        </w:rPr>
        <w:t xml:space="preserve"> é baixa, os acionistas têm incentivos para aumentar risco, isto é </w:t>
      </w:r>
      <m:oMath>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S</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b</m:t>
                </m:r>
              </m:sup>
            </m:sSubSup>
          </m:num>
          <m:den>
            <m:r>
              <w:rPr>
                <w:rFonts w:ascii="Cambria Math" w:eastAsiaTheme="minorEastAsia" w:hAnsi="Cambria Math" w:cs="Times New Roman"/>
                <w:sz w:val="24"/>
                <w:szCs w:val="24"/>
                <w:lang w:eastAsia="pt-BR"/>
              </w:rPr>
              <m:t>∂σ</m:t>
            </m:r>
          </m:den>
        </m:f>
        <m:r>
          <w:rPr>
            <w:rFonts w:ascii="Cambria Math" w:eastAsiaTheme="minorEastAsia" w:hAnsi="Cambria Math" w:cs="Times New Roman"/>
            <w:sz w:val="24"/>
            <w:szCs w:val="24"/>
            <w:lang w:eastAsia="pt-BR"/>
          </w:rPr>
          <m:t>&gt;0</m:t>
        </m:r>
      </m:oMath>
      <w:r w:rsidR="003B15A7" w:rsidRPr="006114D7">
        <w:rPr>
          <w:rFonts w:ascii="Times New Roman" w:eastAsiaTheme="minorEastAsia" w:hAnsi="Times New Roman" w:cs="Times New Roman"/>
          <w:sz w:val="24"/>
          <w:szCs w:val="24"/>
          <w:lang w:eastAsia="pt-BR"/>
        </w:rPr>
        <w:t>. Se a</w:t>
      </w:r>
      <w:r w:rsidRPr="006114D7">
        <w:rPr>
          <w:rFonts w:ascii="Times New Roman" w:eastAsiaTheme="minorEastAsia" w:hAnsi="Times New Roman" w:cs="Times New Roman"/>
          <w:sz w:val="24"/>
          <w:szCs w:val="24"/>
          <w:lang w:eastAsia="pt-BR"/>
        </w:rPr>
        <w:t xml:space="preserve"> restriç</w:t>
      </w:r>
      <w:r w:rsidR="003B15A7" w:rsidRPr="006114D7">
        <w:rPr>
          <w:rFonts w:ascii="Times New Roman" w:eastAsiaTheme="minorEastAsia" w:hAnsi="Times New Roman" w:cs="Times New Roman"/>
          <w:sz w:val="24"/>
          <w:szCs w:val="24"/>
          <w:lang w:eastAsia="pt-BR"/>
        </w:rPr>
        <w:t>ão</w:t>
      </w:r>
      <w:r w:rsidRPr="006114D7">
        <w:rPr>
          <w:rFonts w:ascii="Times New Roman" w:eastAsiaTheme="minorEastAsia" w:hAnsi="Times New Roman" w:cs="Times New Roman"/>
          <w:sz w:val="24"/>
          <w:szCs w:val="24"/>
          <w:lang w:eastAsia="pt-BR"/>
        </w:rPr>
        <w:t xml:space="preserve"> </w:t>
      </w:r>
      <w:r w:rsidR="003B15A7" w:rsidRPr="006114D7">
        <w:rPr>
          <w:rFonts w:ascii="Times New Roman" w:eastAsiaTheme="minorEastAsia" w:hAnsi="Times New Roman" w:cs="Times New Roman"/>
          <w:sz w:val="24"/>
          <w:szCs w:val="24"/>
          <w:lang w:eastAsia="pt-BR"/>
        </w:rPr>
        <w:t>é</w:t>
      </w:r>
      <w:r w:rsidRPr="006114D7">
        <w:rPr>
          <w:rFonts w:ascii="Times New Roman" w:eastAsiaTheme="minorEastAsia" w:hAnsi="Times New Roman" w:cs="Times New Roman"/>
          <w:sz w:val="24"/>
          <w:szCs w:val="24"/>
          <w:lang w:eastAsia="pt-BR"/>
        </w:rPr>
        <w:t xml:space="preserve"> rígida, ou seja, </w:t>
      </w:r>
      <m:oMath>
        <m:r>
          <w:rPr>
            <w:rFonts w:ascii="Cambria Math" w:eastAsiaTheme="minorEastAsia" w:hAnsi="Cambria Math" w:cs="Times New Roman"/>
            <w:sz w:val="24"/>
            <w:szCs w:val="24"/>
            <w:lang w:eastAsia="pt-BR"/>
          </w:rPr>
          <m:t>ξ</m:t>
        </m:r>
      </m:oMath>
      <w:r w:rsidRPr="006114D7">
        <w:rPr>
          <w:rFonts w:ascii="Times New Roman" w:eastAsiaTheme="minorEastAsia" w:hAnsi="Times New Roman" w:cs="Times New Roman"/>
          <w:sz w:val="24"/>
          <w:szCs w:val="24"/>
          <w:lang w:eastAsia="pt-BR"/>
        </w:rPr>
        <w:t xml:space="preserve"> </w:t>
      </w:r>
      <w:proofErr w:type="gramStart"/>
      <w:r w:rsidRPr="006114D7">
        <w:rPr>
          <w:rFonts w:ascii="Times New Roman" w:eastAsiaTheme="minorEastAsia" w:hAnsi="Times New Roman" w:cs="Times New Roman"/>
          <w:sz w:val="24"/>
          <w:szCs w:val="24"/>
          <w:lang w:eastAsia="pt-BR"/>
        </w:rPr>
        <w:t>é</w:t>
      </w:r>
      <w:proofErr w:type="gramEnd"/>
      <w:r w:rsidRPr="006114D7">
        <w:rPr>
          <w:rFonts w:ascii="Times New Roman" w:eastAsiaTheme="minorEastAsia" w:hAnsi="Times New Roman" w:cs="Times New Roman"/>
          <w:sz w:val="24"/>
          <w:szCs w:val="24"/>
          <w:lang w:eastAsia="pt-BR"/>
        </w:rPr>
        <w:t xml:space="preserve"> suficientemente alto, então os detentores de dívidas tem incentivos para evitar riscos,</w:t>
      </w:r>
      <w:r w:rsidR="000F643F" w:rsidRPr="006114D7">
        <w:rPr>
          <w:rFonts w:ascii="Times New Roman" w:eastAsiaTheme="minorEastAsia" w:hAnsi="Times New Roman" w:cs="Times New Roman"/>
          <w:sz w:val="24"/>
          <w:szCs w:val="24"/>
          <w:lang w:eastAsia="pt-BR"/>
        </w:rPr>
        <w:t xml:space="preserve"> e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∂σ</m:t>
            </m:r>
          </m:den>
        </m:f>
        <m:r>
          <w:rPr>
            <w:rFonts w:ascii="Cambria Math" w:eastAsiaTheme="minorEastAsia" w:hAnsi="Cambria Math" w:cs="Times New Roman"/>
            <w:sz w:val="24"/>
            <w:szCs w:val="24"/>
            <w:lang w:eastAsia="pt-BR"/>
          </w:rPr>
          <m:t>&lt;0</m:t>
        </m:r>
      </m:oMath>
      <w:r w:rsidRPr="006114D7">
        <w:rPr>
          <w:rFonts w:ascii="Times New Roman" w:eastAsiaTheme="minorEastAsia" w:hAnsi="Times New Roman" w:cs="Times New Roman"/>
          <w:sz w:val="24"/>
          <w:szCs w:val="24"/>
          <w:lang w:eastAsia="pt-BR"/>
        </w:rPr>
        <w:t>.</w:t>
      </w:r>
    </w:p>
    <w:p w:rsidR="000F643F" w:rsidRPr="006114D7" w:rsidRDefault="00685D74"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Para o Banco do Brasil</w:t>
      </w:r>
      <w:r w:rsidR="00951FEE" w:rsidRPr="006114D7">
        <w:rPr>
          <w:rFonts w:ascii="Times New Roman" w:eastAsiaTheme="minorEastAsia" w:hAnsi="Times New Roman" w:cs="Times New Roman"/>
          <w:sz w:val="24"/>
          <w:szCs w:val="24"/>
          <w:lang w:eastAsia="pt-BR"/>
        </w:rPr>
        <w:t xml:space="preserve"> temos,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∂σ</m:t>
            </m:r>
          </m:den>
        </m:f>
        <m:r>
          <w:rPr>
            <w:rFonts w:ascii="Cambria Math" w:eastAsiaTheme="minorEastAsia" w:hAnsi="Cambria Math" w:cs="Times New Roman"/>
            <w:sz w:val="24"/>
            <w:szCs w:val="24"/>
            <w:lang w:eastAsia="pt-BR"/>
          </w:rPr>
          <m:t>=</m:t>
        </m:r>
      </m:oMath>
      <w:r w:rsidR="003B15A7" w:rsidRPr="006114D7">
        <w:rPr>
          <w:rFonts w:ascii="Times New Roman" w:eastAsiaTheme="minorEastAsia" w:hAnsi="Times New Roman" w:cs="Times New Roman"/>
          <w:sz w:val="24"/>
          <w:szCs w:val="24"/>
          <w:lang w:eastAsia="pt-BR"/>
        </w:rPr>
        <w:t xml:space="preserve"> 60.525 &gt; 0,</w:t>
      </w:r>
      <w:r w:rsidR="00951FEE" w:rsidRPr="006114D7">
        <w:rPr>
          <w:rFonts w:ascii="Times New Roman" w:eastAsiaTheme="minorEastAsia" w:hAnsi="Times New Roman" w:cs="Times New Roman"/>
          <w:sz w:val="24"/>
          <w:szCs w:val="24"/>
          <w:lang w:eastAsia="pt-BR"/>
        </w:rPr>
        <w:t xml:space="preserve"> ou seja, </w:t>
      </w:r>
      <w:r w:rsidR="000F643F" w:rsidRPr="006114D7">
        <w:rPr>
          <w:rFonts w:ascii="Times New Roman" w:eastAsiaTheme="minorEastAsia" w:hAnsi="Times New Roman" w:cs="Times New Roman"/>
          <w:sz w:val="24"/>
          <w:szCs w:val="24"/>
          <w:lang w:eastAsia="pt-BR"/>
        </w:rPr>
        <w:t xml:space="preserve">as evidências sugerem que o Banco do Brasil tem uma fronteira </w:t>
      </w:r>
      <m:oMath>
        <m:r>
          <w:rPr>
            <w:rFonts w:ascii="Cambria Math" w:eastAsiaTheme="minorEastAsia" w:hAnsi="Cambria Math" w:cs="Times New Roman"/>
            <w:sz w:val="24"/>
            <w:szCs w:val="24"/>
            <w:lang w:eastAsia="pt-BR"/>
          </w:rPr>
          <m:t>ξ</m:t>
        </m:r>
      </m:oMath>
      <w:r w:rsidR="000F643F" w:rsidRPr="006114D7">
        <w:rPr>
          <w:rFonts w:ascii="Times New Roman" w:eastAsiaTheme="minorEastAsia" w:hAnsi="Times New Roman" w:cs="Times New Roman"/>
          <w:sz w:val="24"/>
          <w:szCs w:val="24"/>
          <w:lang w:eastAsia="pt-BR"/>
        </w:rPr>
        <w:t xml:space="preserve"> baixa e, portanto os acionistas têm incentivos para aumentar os riscos. De fato, possuir incentivos para aumentar os riscos não significa que o banco irá aumentá-lo. Ao contrário, isto pode m</w:t>
      </w:r>
      <w:proofErr w:type="spellStart"/>
      <w:r w:rsidR="000F643F" w:rsidRPr="006114D7">
        <w:rPr>
          <w:rFonts w:ascii="Times New Roman" w:eastAsiaTheme="minorEastAsia" w:hAnsi="Times New Roman" w:cs="Times New Roman"/>
          <w:sz w:val="24"/>
          <w:szCs w:val="24"/>
          <w:lang w:eastAsia="pt-BR"/>
        </w:rPr>
        <w:t>ostrar</w:t>
      </w:r>
      <w:proofErr w:type="spellEnd"/>
      <w:r w:rsidR="000F643F" w:rsidRPr="006114D7">
        <w:rPr>
          <w:rFonts w:ascii="Times New Roman" w:eastAsiaTheme="minorEastAsia" w:hAnsi="Times New Roman" w:cs="Times New Roman"/>
          <w:sz w:val="24"/>
          <w:szCs w:val="24"/>
          <w:lang w:eastAsia="pt-BR"/>
        </w:rPr>
        <w:t xml:space="preserve"> que, apesar do banco ter a oportunidade de aumentar seu risco, ele prefere evitá-lo.</w:t>
      </w:r>
      <w:r w:rsidR="00B312F0">
        <w:rPr>
          <w:rFonts w:ascii="Times New Roman" w:eastAsiaTheme="minorEastAsia" w:hAnsi="Times New Roman" w:cs="Times New Roman"/>
          <w:sz w:val="24"/>
          <w:szCs w:val="24"/>
          <w:lang w:eastAsia="pt-BR"/>
        </w:rPr>
        <w:t xml:space="preserve"> </w:t>
      </w:r>
      <w:r w:rsidR="00DE2502" w:rsidRPr="006114D7">
        <w:rPr>
          <w:rFonts w:ascii="Times New Roman" w:eastAsiaTheme="minorEastAsia" w:hAnsi="Times New Roman" w:cs="Times New Roman"/>
          <w:sz w:val="24"/>
          <w:szCs w:val="24"/>
          <w:lang w:eastAsia="pt-BR"/>
        </w:rPr>
        <w:t>O limiar onde as p</w:t>
      </w:r>
      <w:r w:rsidR="007C4EE9" w:rsidRPr="006114D7">
        <w:rPr>
          <w:rFonts w:ascii="Times New Roman" w:eastAsiaTheme="minorEastAsia" w:hAnsi="Times New Roman" w:cs="Times New Roman"/>
          <w:sz w:val="24"/>
          <w:szCs w:val="24"/>
          <w:lang w:eastAsia="pt-BR"/>
        </w:rPr>
        <w:t>referência</w:t>
      </w:r>
      <w:r w:rsidR="00DE2502" w:rsidRPr="006114D7">
        <w:rPr>
          <w:rFonts w:ascii="Times New Roman" w:eastAsiaTheme="minorEastAsia" w:hAnsi="Times New Roman" w:cs="Times New Roman"/>
          <w:sz w:val="24"/>
          <w:szCs w:val="24"/>
          <w:lang w:eastAsia="pt-BR"/>
        </w:rPr>
        <w:t>s de risco mudam</w:t>
      </w:r>
      <w:r w:rsidR="003B15A7" w:rsidRPr="006114D7">
        <w:rPr>
          <w:rFonts w:ascii="Times New Roman" w:eastAsiaTheme="minorEastAsia" w:hAnsi="Times New Roman" w:cs="Times New Roman"/>
          <w:sz w:val="24"/>
          <w:szCs w:val="24"/>
          <w:lang w:eastAsia="pt-BR"/>
        </w:rPr>
        <w:t>,</w:t>
      </w:r>
      <w:r w:rsidR="00DE2502" w:rsidRPr="006114D7">
        <w:rPr>
          <w:rFonts w:ascii="Times New Roman" w:eastAsiaTheme="minorEastAsia" w:hAnsi="Times New Roman" w:cs="Times New Roman"/>
          <w:sz w:val="24"/>
          <w:szCs w:val="24"/>
          <w:lang w:eastAsia="pt-BR"/>
        </w:rPr>
        <w:t xml:space="preserve"> é exatamente o ponto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∂σ</m:t>
            </m:r>
          </m:den>
        </m:f>
        <m:r>
          <w:rPr>
            <w:rFonts w:ascii="Cambria Math" w:eastAsiaTheme="minorEastAsia" w:hAnsi="Cambria Math" w:cs="Times New Roman"/>
            <w:sz w:val="24"/>
            <w:szCs w:val="24"/>
            <w:lang w:eastAsia="pt-BR"/>
          </w:rPr>
          <m:t>=0</m:t>
        </m:r>
      </m:oMath>
      <w:r w:rsidR="000F643F" w:rsidRPr="006114D7">
        <w:rPr>
          <w:rFonts w:ascii="Times New Roman" w:eastAsiaTheme="minorEastAsia" w:hAnsi="Times New Roman" w:cs="Times New Roman"/>
          <w:sz w:val="24"/>
          <w:szCs w:val="24"/>
          <w:lang w:eastAsia="pt-BR"/>
        </w:rPr>
        <w:t xml:space="preserve">, </w:t>
      </w:r>
      <w:r w:rsidR="00DE2502" w:rsidRPr="006114D7">
        <w:rPr>
          <w:rFonts w:ascii="Times New Roman" w:eastAsiaTheme="minorEastAsia" w:hAnsi="Times New Roman" w:cs="Times New Roman"/>
          <w:sz w:val="24"/>
          <w:szCs w:val="24"/>
          <w:lang w:eastAsia="pt-BR"/>
        </w:rPr>
        <w:t xml:space="preserve">e </w:t>
      </w:r>
      <w:r w:rsidR="003B15A7" w:rsidRPr="006114D7">
        <w:rPr>
          <w:rFonts w:ascii="Times New Roman" w:eastAsiaTheme="minorEastAsia" w:hAnsi="Times New Roman" w:cs="Times New Roman"/>
          <w:sz w:val="24"/>
          <w:szCs w:val="24"/>
          <w:lang w:eastAsia="pt-BR"/>
        </w:rPr>
        <w:t>um</w:t>
      </w:r>
      <w:r w:rsidR="00DE2502" w:rsidRPr="006114D7">
        <w:rPr>
          <w:rFonts w:ascii="Times New Roman" w:eastAsiaTheme="minorEastAsia" w:hAnsi="Times New Roman" w:cs="Times New Roman"/>
          <w:sz w:val="24"/>
          <w:szCs w:val="24"/>
          <w:lang w:eastAsia="pt-BR"/>
        </w:rPr>
        <w:t>a fronteira c</w:t>
      </w:r>
      <w:r w:rsidR="000F643F" w:rsidRPr="006114D7">
        <w:rPr>
          <w:rFonts w:ascii="Times New Roman" w:eastAsiaTheme="minorEastAsia" w:hAnsi="Times New Roman" w:cs="Times New Roman"/>
          <w:sz w:val="24"/>
          <w:szCs w:val="24"/>
          <w:lang w:eastAsia="pt-BR"/>
        </w:rPr>
        <w:t>rí</w:t>
      </w:r>
      <w:r w:rsidR="00DE2502" w:rsidRPr="006114D7">
        <w:rPr>
          <w:rFonts w:ascii="Times New Roman" w:eastAsiaTheme="minorEastAsia" w:hAnsi="Times New Roman" w:cs="Times New Roman"/>
          <w:sz w:val="24"/>
          <w:szCs w:val="24"/>
          <w:lang w:eastAsia="pt-BR"/>
        </w:rPr>
        <w:t xml:space="preserve">tica é dada por: </w:t>
      </w:r>
    </w:p>
    <w:p w:rsidR="004E1AED" w:rsidRPr="006114D7" w:rsidRDefault="00445FF9" w:rsidP="00FF5024">
      <w:pPr>
        <w:spacing w:after="120" w:line="240" w:lineRule="auto"/>
        <w:jc w:val="right"/>
        <w:rPr>
          <w:rFonts w:ascii="Times New Roman" w:eastAsiaTheme="minorEastAsia" w:hAnsi="Times New Roman" w:cs="Times New Roman"/>
          <w:sz w:val="24"/>
          <w:szCs w:val="24"/>
          <w:lang w:eastAsia="pt-BR"/>
        </w:rPr>
      </w:pPr>
      <m:oMath>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π</m:t>
            </m:r>
          </m:e>
        </m:d>
        <m:r>
          <w:rPr>
            <w:rFonts w:ascii="Cambria Math" w:eastAsiaTheme="minorEastAsia" w:hAnsi="Cambria Math" w:cs="Times New Roman"/>
            <w:sz w:val="24"/>
            <w:szCs w:val="24"/>
            <w:lang w:eastAsia="pt-BR"/>
          </w:rPr>
          <m:t>=π</m:t>
        </m:r>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r-μ</m:t>
            </m:r>
          </m:num>
          <m:den>
            <m:r>
              <w:rPr>
                <w:rFonts w:ascii="Cambria Math" w:eastAsiaTheme="minorEastAsia" w:hAnsi="Cambria Math" w:cs="Times New Roman"/>
                <w:sz w:val="24"/>
                <w:szCs w:val="24"/>
                <w:lang w:eastAsia="pt-BR"/>
              </w:rPr>
              <m:t>r</m:t>
            </m:r>
          </m:den>
        </m:f>
      </m:oMath>
      <w:r w:rsidR="000F643F" w:rsidRPr="006114D7">
        <w:rPr>
          <w:rFonts w:ascii="Times New Roman" w:eastAsiaTheme="minorEastAsia" w:hAnsi="Times New Roman" w:cs="Times New Roman"/>
          <w:sz w:val="24"/>
          <w:szCs w:val="24"/>
          <w:lang w:eastAsia="pt-BR"/>
        </w:rPr>
        <w:t xml:space="preserve">                                                              </w:t>
      </w:r>
      <w:r w:rsidR="003F1581" w:rsidRPr="006114D7">
        <w:rPr>
          <w:rFonts w:ascii="Times New Roman" w:eastAsiaTheme="minorEastAsia" w:hAnsi="Times New Roman" w:cs="Times New Roman"/>
          <w:sz w:val="24"/>
          <w:szCs w:val="24"/>
          <w:lang w:eastAsia="pt-BR"/>
        </w:rPr>
        <w:t>(32</w:t>
      </w:r>
      <w:r w:rsidR="000F643F" w:rsidRPr="006114D7">
        <w:rPr>
          <w:rFonts w:ascii="Times New Roman" w:eastAsiaTheme="minorEastAsia" w:hAnsi="Times New Roman" w:cs="Times New Roman"/>
          <w:sz w:val="24"/>
          <w:szCs w:val="24"/>
          <w:lang w:eastAsia="pt-BR"/>
        </w:rPr>
        <w:t>)</w:t>
      </w:r>
    </w:p>
    <w:p w:rsidR="00602C95" w:rsidRPr="006114D7" w:rsidRDefault="00010D0A"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Onde,</w:t>
      </w:r>
      <w:r w:rsidR="00EF29D6" w:rsidRPr="006114D7">
        <w:rPr>
          <w:rFonts w:ascii="Times New Roman" w:eastAsiaTheme="minorEastAsia" w:hAnsi="Times New Roman" w:cs="Times New Roman"/>
          <w:sz w:val="24"/>
          <w:szCs w:val="24"/>
          <w:lang w:eastAsia="pt-BR"/>
        </w:rPr>
        <w:t xml:space="preserve"> se </w:t>
      </w:r>
      <m:oMath>
        <m:r>
          <w:rPr>
            <w:rFonts w:ascii="Cambria Math" w:eastAsiaTheme="minorEastAsia" w:hAnsi="Cambria Math" w:cs="Times New Roman"/>
            <w:sz w:val="24"/>
            <w:szCs w:val="24"/>
            <w:lang w:eastAsia="pt-BR"/>
          </w:rPr>
          <m:t xml:space="preserve">ξ&gt; </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oMath>
      <w:r w:rsidRPr="006114D7">
        <w:rPr>
          <w:rFonts w:ascii="Times New Roman" w:eastAsiaTheme="minorEastAsia" w:hAnsi="Times New Roman" w:cs="Times New Roman"/>
          <w:sz w:val="24"/>
          <w:szCs w:val="24"/>
          <w:lang w:eastAsia="pt-BR"/>
        </w:rPr>
        <w:t>,</w:t>
      </w:r>
      <w:r w:rsidR="004E1AED" w:rsidRPr="006114D7">
        <w:rPr>
          <w:rFonts w:ascii="Times New Roman" w:eastAsiaTheme="minorEastAsia" w:hAnsi="Times New Roman" w:cs="Times New Roman"/>
          <w:sz w:val="24"/>
          <w:szCs w:val="24"/>
          <w:lang w:eastAsia="pt-BR"/>
        </w:rPr>
        <w:t xml:space="preserve"> o banco </w:t>
      </w:r>
      <w:r w:rsidR="00583155" w:rsidRPr="006114D7">
        <w:rPr>
          <w:rFonts w:ascii="Times New Roman" w:eastAsiaTheme="minorEastAsia" w:hAnsi="Times New Roman" w:cs="Times New Roman"/>
          <w:sz w:val="24"/>
          <w:szCs w:val="24"/>
          <w:lang w:eastAsia="pt-BR"/>
        </w:rPr>
        <w:t xml:space="preserve">não </w:t>
      </w:r>
      <w:r w:rsidR="00602C95" w:rsidRPr="006114D7">
        <w:rPr>
          <w:rFonts w:ascii="Times New Roman" w:eastAsiaTheme="minorEastAsia" w:hAnsi="Times New Roman" w:cs="Times New Roman"/>
          <w:sz w:val="24"/>
          <w:szCs w:val="24"/>
          <w:lang w:eastAsia="pt-BR"/>
        </w:rPr>
        <w:t>tem preferê</w:t>
      </w:r>
      <w:r w:rsidR="00EF29D6" w:rsidRPr="006114D7">
        <w:rPr>
          <w:rFonts w:ascii="Times New Roman" w:eastAsiaTheme="minorEastAsia" w:hAnsi="Times New Roman" w:cs="Times New Roman"/>
          <w:sz w:val="24"/>
          <w:szCs w:val="24"/>
          <w:lang w:eastAsia="pt-BR"/>
        </w:rPr>
        <w:t xml:space="preserve">ncia por </w:t>
      </w:r>
      <w:r w:rsidR="004E1AED" w:rsidRPr="006114D7">
        <w:rPr>
          <w:rFonts w:ascii="Times New Roman" w:eastAsiaTheme="minorEastAsia" w:hAnsi="Times New Roman" w:cs="Times New Roman"/>
          <w:sz w:val="24"/>
          <w:szCs w:val="24"/>
          <w:lang w:eastAsia="pt-BR"/>
        </w:rPr>
        <w:t>alto risco</w:t>
      </w:r>
      <w:r w:rsidR="00602C95" w:rsidRPr="006114D7">
        <w:rPr>
          <w:rFonts w:ascii="Times New Roman" w:eastAsiaTheme="minorEastAsia" w:hAnsi="Times New Roman" w:cs="Times New Roman"/>
          <w:sz w:val="24"/>
          <w:szCs w:val="24"/>
          <w:lang w:eastAsia="pt-BR"/>
        </w:rPr>
        <w:t>,</w:t>
      </w:r>
      <w:r w:rsidR="00EF29D6" w:rsidRPr="006114D7">
        <w:rPr>
          <w:rFonts w:ascii="Times New Roman" w:eastAsiaTheme="minorEastAsia" w:hAnsi="Times New Roman" w:cs="Times New Roman"/>
          <w:sz w:val="24"/>
          <w:szCs w:val="24"/>
          <w:lang w:eastAsia="pt-BR"/>
        </w:rPr>
        <w:t xml:space="preserve"> se </w:t>
      </w:r>
      <m:oMath>
        <m:r>
          <w:rPr>
            <w:rFonts w:ascii="Cambria Math" w:eastAsiaTheme="minorEastAsia" w:hAnsi="Cambria Math" w:cs="Times New Roman"/>
            <w:sz w:val="24"/>
            <w:szCs w:val="24"/>
            <w:lang w:eastAsia="pt-BR"/>
          </w:rPr>
          <m:t xml:space="preserve">ξ&lt; </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oMath>
      <w:r w:rsidR="00EF29D6" w:rsidRPr="006114D7">
        <w:rPr>
          <w:rFonts w:ascii="Times New Roman" w:eastAsiaTheme="minorEastAsia" w:hAnsi="Times New Roman" w:cs="Times New Roman"/>
          <w:sz w:val="24"/>
          <w:szCs w:val="24"/>
          <w:lang w:eastAsia="pt-BR"/>
        </w:rPr>
        <w:t>,</w:t>
      </w:r>
      <w:r w:rsidR="004E1AED" w:rsidRPr="006114D7">
        <w:rPr>
          <w:rFonts w:ascii="Times New Roman" w:eastAsiaTheme="minorEastAsia" w:hAnsi="Times New Roman" w:cs="Times New Roman"/>
          <w:sz w:val="24"/>
          <w:szCs w:val="24"/>
          <w:lang w:eastAsia="pt-BR"/>
        </w:rPr>
        <w:t xml:space="preserve"> </w:t>
      </w:r>
      <w:r w:rsidR="00EF29D6" w:rsidRPr="006114D7">
        <w:rPr>
          <w:rFonts w:ascii="Times New Roman" w:eastAsiaTheme="minorEastAsia" w:hAnsi="Times New Roman" w:cs="Times New Roman"/>
          <w:sz w:val="24"/>
          <w:szCs w:val="24"/>
          <w:lang w:eastAsia="pt-BR"/>
        </w:rPr>
        <w:t xml:space="preserve">o banco tem </w:t>
      </w:r>
      <w:r w:rsidR="004E1AED" w:rsidRPr="006114D7">
        <w:rPr>
          <w:rFonts w:ascii="Times New Roman" w:eastAsiaTheme="minorEastAsia" w:hAnsi="Times New Roman" w:cs="Times New Roman"/>
          <w:sz w:val="24"/>
          <w:szCs w:val="24"/>
          <w:lang w:eastAsia="pt-BR"/>
        </w:rPr>
        <w:t>incentivos para aumentar os riscos</w:t>
      </w:r>
      <w:r w:rsidR="00602C95" w:rsidRPr="006114D7">
        <w:rPr>
          <w:rFonts w:ascii="Times New Roman" w:eastAsiaTheme="minorEastAsia" w:hAnsi="Times New Roman" w:cs="Times New Roman"/>
          <w:sz w:val="24"/>
          <w:szCs w:val="24"/>
          <w:lang w:eastAsia="pt-BR"/>
        </w:rPr>
        <w:t xml:space="preserve"> e </w:t>
      </w:r>
      <w:r w:rsidRPr="006114D7">
        <w:rPr>
          <w:rFonts w:ascii="Times New Roman" w:eastAsiaTheme="minorEastAsia" w:hAnsi="Times New Roman" w:cs="Times New Roman"/>
          <w:sz w:val="24"/>
          <w:szCs w:val="24"/>
          <w:lang w:eastAsia="pt-BR"/>
        </w:rPr>
        <w:t>se</w:t>
      </w:r>
      <w:r w:rsidR="004E1AED" w:rsidRPr="006114D7">
        <w:rPr>
          <w:rFonts w:ascii="Times New Roman" w:eastAsiaTheme="minorEastAsia" w:hAnsi="Times New Roman" w:cs="Times New Roman"/>
          <w:sz w:val="24"/>
          <w:szCs w:val="24"/>
          <w:lang w:eastAsia="pt-BR"/>
        </w:rPr>
        <w:t xml:space="preserve"> </w:t>
      </w:r>
      <m:oMath>
        <m:r>
          <w:rPr>
            <w:rFonts w:ascii="Cambria Math" w:eastAsiaTheme="minorEastAsia" w:hAnsi="Cambria Math" w:cs="Times New Roman"/>
            <w:sz w:val="24"/>
            <w:szCs w:val="24"/>
            <w:lang w:eastAsia="pt-BR"/>
          </w:rPr>
          <m:t xml:space="preserve">ξ= </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oMath>
      <w:r w:rsidRPr="006114D7">
        <w:rPr>
          <w:rFonts w:ascii="Times New Roman" w:eastAsiaTheme="minorEastAsia" w:hAnsi="Times New Roman" w:cs="Times New Roman"/>
          <w:sz w:val="24"/>
          <w:szCs w:val="24"/>
          <w:lang w:eastAsia="pt-BR"/>
        </w:rPr>
        <w:t>,</w:t>
      </w:r>
      <w:r w:rsidR="004E1AED" w:rsidRPr="006114D7">
        <w:rPr>
          <w:rFonts w:ascii="Times New Roman" w:eastAsiaTheme="minorEastAsia" w:hAnsi="Times New Roman" w:cs="Times New Roman"/>
          <w:sz w:val="24"/>
          <w:szCs w:val="24"/>
          <w:lang w:eastAsia="pt-BR"/>
        </w:rPr>
        <w:t xml:space="preserve"> </w:t>
      </w:r>
      <w:r w:rsidR="00EF29D6" w:rsidRPr="006114D7">
        <w:rPr>
          <w:rFonts w:ascii="Times New Roman" w:eastAsiaTheme="minorEastAsia" w:hAnsi="Times New Roman" w:cs="Times New Roman"/>
          <w:sz w:val="24"/>
          <w:szCs w:val="24"/>
          <w:lang w:eastAsia="pt-BR"/>
        </w:rPr>
        <w:t xml:space="preserve">o banco é </w:t>
      </w:r>
      <w:r w:rsidR="004E1AED" w:rsidRPr="006114D7">
        <w:rPr>
          <w:rFonts w:ascii="Times New Roman" w:eastAsiaTheme="minorEastAsia" w:hAnsi="Times New Roman" w:cs="Times New Roman"/>
          <w:sz w:val="24"/>
          <w:szCs w:val="24"/>
          <w:lang w:eastAsia="pt-BR"/>
        </w:rPr>
        <w:t xml:space="preserve">indiferente </w:t>
      </w:r>
      <w:r w:rsidR="00EF29D6" w:rsidRPr="006114D7">
        <w:rPr>
          <w:rFonts w:ascii="Times New Roman" w:eastAsiaTheme="minorEastAsia" w:hAnsi="Times New Roman" w:cs="Times New Roman"/>
          <w:sz w:val="24"/>
          <w:szCs w:val="24"/>
          <w:lang w:eastAsia="pt-BR"/>
        </w:rPr>
        <w:t>à</w:t>
      </w:r>
      <w:r w:rsidR="004E1AED" w:rsidRPr="006114D7">
        <w:rPr>
          <w:rFonts w:ascii="Times New Roman" w:eastAsiaTheme="minorEastAsia" w:hAnsi="Times New Roman" w:cs="Times New Roman"/>
          <w:sz w:val="24"/>
          <w:szCs w:val="24"/>
          <w:lang w:eastAsia="pt-BR"/>
        </w:rPr>
        <w:t xml:space="preserve"> estratégia de </w:t>
      </w:r>
      <w:r w:rsidR="00D64C34" w:rsidRPr="006114D7">
        <w:rPr>
          <w:rFonts w:ascii="Times New Roman" w:eastAsiaTheme="minorEastAsia" w:hAnsi="Times New Roman" w:cs="Times New Roman"/>
          <w:sz w:val="24"/>
          <w:szCs w:val="24"/>
          <w:lang w:eastAsia="pt-BR"/>
        </w:rPr>
        <w:t>nível</w:t>
      </w:r>
      <w:r w:rsidR="005D58A0" w:rsidRPr="006114D7">
        <w:rPr>
          <w:rFonts w:ascii="Times New Roman" w:eastAsiaTheme="minorEastAsia" w:hAnsi="Times New Roman" w:cs="Times New Roman"/>
          <w:sz w:val="24"/>
          <w:szCs w:val="24"/>
          <w:lang w:eastAsia="pt-BR"/>
        </w:rPr>
        <w:t xml:space="preserve"> </w:t>
      </w:r>
      <w:r w:rsidR="004E1AED" w:rsidRPr="006114D7">
        <w:rPr>
          <w:rFonts w:ascii="Times New Roman" w:eastAsiaTheme="minorEastAsia" w:hAnsi="Times New Roman" w:cs="Times New Roman"/>
          <w:sz w:val="24"/>
          <w:szCs w:val="24"/>
          <w:lang w:eastAsia="pt-BR"/>
        </w:rPr>
        <w:t>de risco.</w:t>
      </w:r>
      <w:r w:rsidR="00583155" w:rsidRPr="006114D7">
        <w:rPr>
          <w:rFonts w:ascii="Times New Roman" w:eastAsiaTheme="minorEastAsia" w:hAnsi="Times New Roman" w:cs="Times New Roman"/>
          <w:sz w:val="24"/>
          <w:szCs w:val="24"/>
          <w:lang w:eastAsia="pt-BR"/>
        </w:rPr>
        <w:t xml:space="preserve"> A fronteira </w:t>
      </w:r>
      <m:oMath>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oMath>
      <w:r w:rsidR="00583155" w:rsidRPr="006114D7">
        <w:rPr>
          <w:rFonts w:ascii="Times New Roman" w:eastAsiaTheme="minorEastAsia" w:hAnsi="Times New Roman" w:cs="Times New Roman"/>
          <w:sz w:val="24"/>
          <w:szCs w:val="24"/>
          <w:lang w:eastAsia="pt-BR"/>
        </w:rPr>
        <w:t xml:space="preserve"> </w:t>
      </w:r>
      <w:r w:rsidR="00DD0DAA" w:rsidRPr="006114D7">
        <w:rPr>
          <w:rFonts w:ascii="Times New Roman" w:eastAsiaTheme="minorEastAsia" w:hAnsi="Times New Roman" w:cs="Times New Roman"/>
          <w:sz w:val="24"/>
          <w:szCs w:val="24"/>
          <w:lang w:eastAsia="pt-BR"/>
        </w:rPr>
        <w:t>sugere</w:t>
      </w:r>
      <w:r w:rsidR="00583155" w:rsidRPr="006114D7">
        <w:rPr>
          <w:rFonts w:ascii="Times New Roman" w:eastAsiaTheme="minorEastAsia" w:hAnsi="Times New Roman" w:cs="Times New Roman"/>
          <w:sz w:val="24"/>
          <w:szCs w:val="24"/>
          <w:lang w:eastAsia="pt-BR"/>
        </w:rPr>
        <w:t xml:space="preserve"> duas características intuitivas</w:t>
      </w:r>
      <w:r w:rsidR="00602C95" w:rsidRPr="006114D7">
        <w:rPr>
          <w:rFonts w:ascii="Times New Roman" w:eastAsiaTheme="minorEastAsia" w:hAnsi="Times New Roman" w:cs="Times New Roman"/>
          <w:sz w:val="24"/>
          <w:szCs w:val="24"/>
          <w:lang w:eastAsia="pt-BR"/>
        </w:rPr>
        <w:t>:</w:t>
      </w:r>
      <w:r w:rsidR="00583155" w:rsidRPr="006114D7">
        <w:rPr>
          <w:rFonts w:ascii="Times New Roman" w:eastAsiaTheme="minorEastAsia" w:hAnsi="Times New Roman" w:cs="Times New Roman"/>
          <w:sz w:val="24"/>
          <w:szCs w:val="24"/>
          <w:lang w:eastAsia="pt-BR"/>
        </w:rPr>
        <w:t xml:space="preserve"> Primeiro</w:t>
      </w:r>
      <w:r w:rsidR="00DD0DAA" w:rsidRPr="006114D7">
        <w:rPr>
          <w:rFonts w:ascii="Times New Roman" w:eastAsiaTheme="minorEastAsia" w:hAnsi="Times New Roman" w:cs="Times New Roman"/>
          <w:sz w:val="24"/>
          <w:szCs w:val="24"/>
          <w:lang w:eastAsia="pt-BR"/>
        </w:rPr>
        <w:t xml:space="preserve"> que a fronteira depende diretamente do potencial de crescimento </w:t>
      </w:r>
      <w:r w:rsidR="00DD0DAA" w:rsidRPr="006114D7">
        <w:rPr>
          <w:rFonts w:ascii="Times New Roman" w:eastAsiaTheme="minorEastAsia" w:hAnsi="Times New Roman" w:cs="Times New Roman"/>
          <w:sz w:val="24"/>
          <w:szCs w:val="24"/>
          <w:lang w:eastAsia="pt-BR"/>
        </w:rPr>
        <w:lastRenderedPageBreak/>
        <w:t xml:space="preserve">do banco, ou seja, para um </w:t>
      </w:r>
      <m:oMath>
        <m:r>
          <w:rPr>
            <w:rFonts w:ascii="Cambria Math" w:eastAsiaTheme="minorEastAsia" w:hAnsi="Cambria Math" w:cs="Times New Roman"/>
            <w:sz w:val="24"/>
            <w:szCs w:val="24"/>
            <w:lang w:eastAsia="pt-BR"/>
          </w:rPr>
          <m:t>μ</m:t>
        </m:r>
      </m:oMath>
      <w:r w:rsidR="00583155" w:rsidRPr="006114D7">
        <w:rPr>
          <w:rFonts w:ascii="Times New Roman" w:eastAsiaTheme="minorEastAsia" w:hAnsi="Times New Roman" w:cs="Times New Roman"/>
          <w:sz w:val="24"/>
          <w:szCs w:val="24"/>
          <w:lang w:eastAsia="pt-BR"/>
        </w:rPr>
        <w:t xml:space="preserve"> </w:t>
      </w:r>
      <w:r w:rsidR="00DD0DAA" w:rsidRPr="006114D7">
        <w:rPr>
          <w:rFonts w:ascii="Times New Roman" w:eastAsiaTheme="minorEastAsia" w:hAnsi="Times New Roman" w:cs="Times New Roman"/>
          <w:sz w:val="24"/>
          <w:szCs w:val="24"/>
          <w:lang w:eastAsia="pt-BR"/>
        </w:rPr>
        <w:t xml:space="preserve">alto, o </w:t>
      </w:r>
      <m:oMath>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oMath>
      <w:r w:rsidR="00DD0DAA" w:rsidRPr="006114D7">
        <w:rPr>
          <w:rFonts w:ascii="Times New Roman" w:eastAsiaTheme="minorEastAsia" w:hAnsi="Times New Roman" w:cs="Times New Roman"/>
          <w:sz w:val="24"/>
          <w:szCs w:val="24"/>
          <w:lang w:eastAsia="pt-BR"/>
        </w:rPr>
        <w:t xml:space="preserve"> </w:t>
      </w:r>
      <w:r w:rsidR="00602C95" w:rsidRPr="006114D7">
        <w:rPr>
          <w:rFonts w:ascii="Times New Roman" w:eastAsiaTheme="minorEastAsia" w:hAnsi="Times New Roman" w:cs="Times New Roman"/>
          <w:sz w:val="24"/>
          <w:szCs w:val="24"/>
          <w:lang w:eastAsia="pt-BR"/>
        </w:rPr>
        <w:t>será</w:t>
      </w:r>
      <w:r w:rsidR="00DD0DAA" w:rsidRPr="006114D7">
        <w:rPr>
          <w:rFonts w:ascii="Times New Roman" w:eastAsiaTheme="minorEastAsia" w:hAnsi="Times New Roman" w:cs="Times New Roman"/>
          <w:sz w:val="24"/>
          <w:szCs w:val="24"/>
          <w:lang w:eastAsia="pt-BR"/>
        </w:rPr>
        <w:t xml:space="preserve"> baixo e o banco é capaz de levantar capital</w:t>
      </w:r>
      <w:r w:rsidRPr="006114D7">
        <w:rPr>
          <w:rFonts w:ascii="Times New Roman" w:eastAsiaTheme="minorEastAsia" w:hAnsi="Times New Roman" w:cs="Times New Roman"/>
          <w:sz w:val="24"/>
          <w:szCs w:val="24"/>
          <w:lang w:eastAsia="pt-BR"/>
        </w:rPr>
        <w:t>,</w:t>
      </w:r>
      <w:r w:rsidR="00DD0DAA" w:rsidRPr="006114D7">
        <w:rPr>
          <w:rFonts w:ascii="Times New Roman" w:eastAsiaTheme="minorEastAsia" w:hAnsi="Times New Roman" w:cs="Times New Roman"/>
          <w:sz w:val="24"/>
          <w:szCs w:val="24"/>
          <w:lang w:eastAsia="pt-BR"/>
        </w:rPr>
        <w:t xml:space="preserve"> em níveis de fluxo de caixa </w:t>
      </w:r>
      <w:r w:rsidRPr="006114D7">
        <w:rPr>
          <w:rFonts w:ascii="Times New Roman" w:eastAsiaTheme="minorEastAsia" w:hAnsi="Times New Roman" w:cs="Times New Roman"/>
          <w:sz w:val="24"/>
          <w:szCs w:val="24"/>
          <w:lang w:eastAsia="pt-BR"/>
        </w:rPr>
        <w:t>que</w:t>
      </w:r>
      <w:r w:rsidR="00DD0DAA" w:rsidRPr="006114D7">
        <w:rPr>
          <w:rFonts w:ascii="Times New Roman" w:eastAsiaTheme="minorEastAsia" w:hAnsi="Times New Roman" w:cs="Times New Roman"/>
          <w:sz w:val="24"/>
          <w:szCs w:val="24"/>
          <w:lang w:eastAsia="pt-BR"/>
        </w:rPr>
        <w:t xml:space="preserve"> um banco com crescimento menor já estaria sofrendo dificuldades financeiras. E segundo, a fronteira depende do pagamento dos juros </w:t>
      </w:r>
      <m:oMath>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π</m:t>
            </m:r>
          </m:e>
        </m:d>
      </m:oMath>
      <w:r w:rsidR="00DD0DAA" w:rsidRPr="006114D7">
        <w:rPr>
          <w:rFonts w:ascii="Times New Roman" w:eastAsiaTheme="minorEastAsia" w:hAnsi="Times New Roman" w:cs="Times New Roman"/>
          <w:sz w:val="24"/>
          <w:szCs w:val="24"/>
          <w:lang w:eastAsia="pt-BR"/>
        </w:rPr>
        <w:t xml:space="preserve">, ou seja, se o </w:t>
      </w:r>
      <w:r w:rsidR="00D64C34" w:rsidRPr="006114D7">
        <w:rPr>
          <w:rFonts w:ascii="Times New Roman" w:eastAsiaTheme="minorEastAsia" w:hAnsi="Times New Roman" w:cs="Times New Roman"/>
          <w:sz w:val="24"/>
          <w:szCs w:val="24"/>
          <w:lang w:eastAsia="pt-BR"/>
        </w:rPr>
        <w:t>nível</w:t>
      </w:r>
      <w:r w:rsidR="00602C95" w:rsidRPr="006114D7">
        <w:rPr>
          <w:rFonts w:ascii="Times New Roman" w:eastAsiaTheme="minorEastAsia" w:hAnsi="Times New Roman" w:cs="Times New Roman"/>
          <w:sz w:val="24"/>
          <w:szCs w:val="24"/>
          <w:lang w:eastAsia="pt-BR"/>
        </w:rPr>
        <w:t xml:space="preserve"> </w:t>
      </w:r>
      <w:r w:rsidR="00DD0DAA" w:rsidRPr="006114D7">
        <w:rPr>
          <w:rFonts w:ascii="Times New Roman" w:eastAsiaTheme="minorEastAsia" w:hAnsi="Times New Roman" w:cs="Times New Roman"/>
          <w:sz w:val="24"/>
          <w:szCs w:val="24"/>
          <w:lang w:eastAsia="pt-BR"/>
        </w:rPr>
        <w:t xml:space="preserve">de </w:t>
      </w:r>
      <w:r w:rsidR="00190EFF" w:rsidRPr="006114D7">
        <w:rPr>
          <w:rFonts w:ascii="Times New Roman" w:eastAsiaTheme="minorEastAsia" w:hAnsi="Times New Roman" w:cs="Times New Roman"/>
          <w:sz w:val="24"/>
          <w:szCs w:val="24"/>
          <w:lang w:eastAsia="pt-BR"/>
        </w:rPr>
        <w:t>dívida</w:t>
      </w:r>
      <w:r w:rsidR="00DD0DAA" w:rsidRPr="006114D7">
        <w:rPr>
          <w:rFonts w:ascii="Times New Roman" w:eastAsiaTheme="minorEastAsia" w:hAnsi="Times New Roman" w:cs="Times New Roman"/>
          <w:sz w:val="24"/>
          <w:szCs w:val="24"/>
          <w:lang w:eastAsia="pt-BR"/>
        </w:rPr>
        <w:t xml:space="preserve"> é alto</w:t>
      </w:r>
      <w:r w:rsidR="00602C95" w:rsidRPr="006114D7">
        <w:rPr>
          <w:rFonts w:ascii="Times New Roman" w:eastAsiaTheme="minorEastAsia" w:hAnsi="Times New Roman" w:cs="Times New Roman"/>
          <w:sz w:val="24"/>
          <w:szCs w:val="24"/>
          <w:lang w:eastAsia="pt-BR"/>
        </w:rPr>
        <w:t>,</w:t>
      </w:r>
      <w:r w:rsidR="00DD0DAA" w:rsidRPr="006114D7">
        <w:rPr>
          <w:rFonts w:ascii="Times New Roman" w:eastAsiaTheme="minorEastAsia" w:hAnsi="Times New Roman" w:cs="Times New Roman"/>
          <w:sz w:val="24"/>
          <w:szCs w:val="24"/>
          <w:lang w:eastAsia="pt-BR"/>
        </w:rPr>
        <w:t xml:space="preserve"> é provável que o banco sofra dificuldades financeiras mais rapidamente.</w:t>
      </w:r>
      <w:r w:rsidR="002E5ED3">
        <w:rPr>
          <w:rFonts w:ascii="Times New Roman" w:eastAsiaTheme="minorEastAsia" w:hAnsi="Times New Roman" w:cs="Times New Roman"/>
          <w:sz w:val="24"/>
          <w:szCs w:val="24"/>
          <w:lang w:eastAsia="pt-BR"/>
        </w:rPr>
        <w:t xml:space="preserve"> </w:t>
      </w:r>
      <w:r w:rsidR="004E1AED" w:rsidRPr="006114D7">
        <w:rPr>
          <w:rFonts w:ascii="Times New Roman" w:eastAsiaTheme="minorEastAsia" w:hAnsi="Times New Roman" w:cs="Times New Roman"/>
          <w:sz w:val="24"/>
          <w:szCs w:val="24"/>
          <w:lang w:eastAsia="pt-BR"/>
        </w:rPr>
        <w:t>Se o banco não sofresse nenhuma res</w:t>
      </w:r>
      <w:r w:rsidR="00583155" w:rsidRPr="006114D7">
        <w:rPr>
          <w:rFonts w:ascii="Times New Roman" w:eastAsiaTheme="minorEastAsia" w:hAnsi="Times New Roman" w:cs="Times New Roman"/>
          <w:sz w:val="24"/>
          <w:szCs w:val="24"/>
          <w:lang w:eastAsia="pt-BR"/>
        </w:rPr>
        <w:t>trição</w:t>
      </w:r>
      <w:r w:rsidR="00602C95" w:rsidRPr="006114D7">
        <w:rPr>
          <w:rFonts w:ascii="Times New Roman" w:eastAsiaTheme="minorEastAsia" w:hAnsi="Times New Roman" w:cs="Times New Roman"/>
          <w:sz w:val="24"/>
          <w:szCs w:val="24"/>
          <w:lang w:eastAsia="pt-BR"/>
        </w:rPr>
        <w:t xml:space="preserve"> exógena</w:t>
      </w:r>
      <w:r w:rsidR="00583155" w:rsidRPr="006114D7">
        <w:rPr>
          <w:rFonts w:ascii="Times New Roman" w:eastAsiaTheme="minorEastAsia" w:hAnsi="Times New Roman" w:cs="Times New Roman"/>
          <w:sz w:val="24"/>
          <w:szCs w:val="24"/>
          <w:lang w:eastAsia="pt-BR"/>
        </w:rPr>
        <w:t>, a fronteira</w:t>
      </w:r>
      <w:r w:rsidR="00602C95" w:rsidRPr="006114D7">
        <w:rPr>
          <w:rFonts w:ascii="Times New Roman" w:eastAsiaTheme="minorEastAsia" w:hAnsi="Times New Roman" w:cs="Times New Roman"/>
          <w:sz w:val="24"/>
          <w:szCs w:val="24"/>
          <w:lang w:eastAsia="pt-BR"/>
        </w:rPr>
        <w:t xml:space="preserve"> endógena</w:t>
      </w:r>
      <w:r w:rsidRPr="006114D7">
        <w:rPr>
          <w:rFonts w:ascii="Times New Roman" w:eastAsiaTheme="minorEastAsia" w:hAnsi="Times New Roman" w:cs="Times New Roman"/>
          <w:sz w:val="24"/>
          <w:szCs w:val="24"/>
          <w:lang w:eastAsia="pt-BR"/>
        </w:rPr>
        <w:t xml:space="preserve">, chamada de fronteira </w:t>
      </w:r>
      <w:r w:rsidR="00583155" w:rsidRPr="006114D7">
        <w:rPr>
          <w:rFonts w:ascii="Times New Roman" w:eastAsiaTheme="minorEastAsia" w:hAnsi="Times New Roman" w:cs="Times New Roman"/>
          <w:sz w:val="24"/>
          <w:szCs w:val="24"/>
          <w:lang w:eastAsia="pt-BR"/>
        </w:rPr>
        <w:t>ótima</w:t>
      </w:r>
      <w:r w:rsidRPr="006114D7">
        <w:rPr>
          <w:rFonts w:ascii="Times New Roman" w:eastAsiaTheme="minorEastAsia" w:hAnsi="Times New Roman" w:cs="Times New Roman"/>
          <w:sz w:val="24"/>
          <w:szCs w:val="24"/>
          <w:lang w:eastAsia="pt-BR"/>
        </w:rPr>
        <w:t>,</w:t>
      </w:r>
      <w:r w:rsidR="00583155" w:rsidRPr="006114D7">
        <w:rPr>
          <w:rFonts w:ascii="Times New Roman" w:eastAsiaTheme="minorEastAsia" w:hAnsi="Times New Roman" w:cs="Times New Roman"/>
          <w:sz w:val="24"/>
          <w:szCs w:val="24"/>
          <w:lang w:eastAsia="pt-BR"/>
        </w:rPr>
        <w:t xml:space="preserve"> </w:t>
      </w:r>
      <w:r w:rsidR="00602C95" w:rsidRPr="006114D7">
        <w:rPr>
          <w:rFonts w:ascii="Times New Roman" w:eastAsiaTheme="minorEastAsia" w:hAnsi="Times New Roman" w:cs="Times New Roman"/>
          <w:sz w:val="24"/>
          <w:szCs w:val="24"/>
          <w:lang w:eastAsia="pt-BR"/>
        </w:rPr>
        <w:t>poderia ser dada por:</w:t>
      </w:r>
    </w:p>
    <w:p w:rsidR="00602C95" w:rsidRPr="006114D7" w:rsidRDefault="00583155" w:rsidP="00FF5024">
      <w:pPr>
        <w:spacing w:after="120" w:line="240" w:lineRule="auto"/>
        <w:jc w:val="right"/>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 xml:space="preserve"> </w:t>
      </w:r>
      <m:oMath>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ξ</m:t>
            </m:r>
          </m:e>
          <m:sup>
            <m:r>
              <w:rPr>
                <w:rFonts w:ascii="Cambria Math" w:eastAsiaTheme="minorEastAsia" w:hAnsi="Cambria Math" w:cs="Times New Roman"/>
                <w:sz w:val="24"/>
                <w:szCs w:val="24"/>
                <w:lang w:eastAsia="pt-BR"/>
              </w:rPr>
              <m:t>*</m:t>
            </m:r>
          </m:sup>
        </m:sSup>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π</m:t>
            </m:r>
          </m:e>
        </m:d>
        <m:r>
          <w:rPr>
            <w:rFonts w:ascii="Cambria Math" w:eastAsiaTheme="minorEastAsia" w:hAnsi="Cambria Math" w:cs="Times New Roman"/>
            <w:sz w:val="24"/>
            <w:szCs w:val="24"/>
            <w:lang w:eastAsia="pt-BR"/>
          </w:rPr>
          <m:t>=π</m:t>
        </m:r>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r-μ</m:t>
            </m:r>
          </m:num>
          <m:den>
            <m:r>
              <w:rPr>
                <w:rFonts w:ascii="Cambria Math" w:eastAsiaTheme="minorEastAsia" w:hAnsi="Cambria Math" w:cs="Times New Roman"/>
                <w:sz w:val="24"/>
                <w:szCs w:val="24"/>
                <w:lang w:eastAsia="pt-BR"/>
              </w:rPr>
              <m:t>r</m:t>
            </m:r>
          </m:den>
        </m:f>
        <m:r>
          <w:rPr>
            <w:rFonts w:ascii="Cambria Math" w:eastAsiaTheme="minorEastAsia" w:hAnsi="Cambria Math" w:cs="Times New Roman"/>
            <w:sz w:val="24"/>
            <w:szCs w:val="24"/>
            <w:lang w:eastAsia="pt-BR"/>
          </w:rPr>
          <m:t xml:space="preserve"> </m:t>
        </m:r>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β</m:t>
            </m:r>
          </m:num>
          <m:den>
            <m:r>
              <w:rPr>
                <w:rFonts w:ascii="Cambria Math" w:eastAsiaTheme="minorEastAsia" w:hAnsi="Cambria Math" w:cs="Times New Roman"/>
                <w:sz w:val="24"/>
                <w:szCs w:val="24"/>
                <w:lang w:eastAsia="pt-BR"/>
              </w:rPr>
              <m:t>β-1</m:t>
            </m:r>
          </m:den>
        </m:f>
      </m:oMath>
      <w:r w:rsidR="00602C95" w:rsidRPr="006114D7">
        <w:rPr>
          <w:rFonts w:ascii="Times New Roman" w:eastAsiaTheme="minorEastAsia" w:hAnsi="Times New Roman" w:cs="Times New Roman"/>
          <w:sz w:val="24"/>
          <w:szCs w:val="24"/>
          <w:lang w:eastAsia="pt-BR"/>
        </w:rPr>
        <w:t xml:space="preserve">                                                      (3</w:t>
      </w:r>
      <w:r w:rsidR="003F1581" w:rsidRPr="006114D7">
        <w:rPr>
          <w:rFonts w:ascii="Times New Roman" w:eastAsiaTheme="minorEastAsia" w:hAnsi="Times New Roman" w:cs="Times New Roman"/>
          <w:sz w:val="24"/>
          <w:szCs w:val="24"/>
          <w:lang w:eastAsia="pt-BR"/>
        </w:rPr>
        <w:t>3</w:t>
      </w:r>
      <w:r w:rsidR="00602C95" w:rsidRPr="006114D7">
        <w:rPr>
          <w:rFonts w:ascii="Times New Roman" w:eastAsiaTheme="minorEastAsia" w:hAnsi="Times New Roman" w:cs="Times New Roman"/>
          <w:sz w:val="24"/>
          <w:szCs w:val="24"/>
          <w:lang w:eastAsia="pt-BR"/>
        </w:rPr>
        <w:t>)</w:t>
      </w:r>
      <w:r w:rsidR="004E1AED" w:rsidRPr="006114D7">
        <w:rPr>
          <w:rFonts w:ascii="Times New Roman" w:eastAsiaTheme="minorEastAsia" w:hAnsi="Times New Roman" w:cs="Times New Roman"/>
          <w:sz w:val="24"/>
          <w:szCs w:val="24"/>
          <w:lang w:eastAsia="pt-BR"/>
        </w:rPr>
        <w:t xml:space="preserve"> </w:t>
      </w:r>
    </w:p>
    <w:p w:rsidR="00A70E1A" w:rsidRPr="006114D7" w:rsidRDefault="00602C95" w:rsidP="00FF5024">
      <w:pPr>
        <w:spacing w:after="120" w:line="240" w:lineRule="auto"/>
        <w:jc w:val="both"/>
        <w:rPr>
          <w:rFonts w:ascii="Times New Roman" w:eastAsiaTheme="minorEastAsia" w:hAnsi="Times New Roman" w:cs="Times New Roman"/>
          <w:color w:val="FF0000"/>
          <w:sz w:val="24"/>
          <w:szCs w:val="24"/>
          <w:lang w:eastAsia="pt-BR"/>
        </w:rPr>
      </w:pPr>
      <w:r w:rsidRPr="006114D7">
        <w:rPr>
          <w:rFonts w:ascii="Times New Roman" w:eastAsiaTheme="minorEastAsia" w:hAnsi="Times New Roman" w:cs="Times New Roman"/>
          <w:sz w:val="24"/>
          <w:szCs w:val="24"/>
          <w:lang w:eastAsia="pt-BR"/>
        </w:rPr>
        <w:t xml:space="preserve">Dado que </w:t>
      </w:r>
      <m:oMath>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β</m:t>
            </m:r>
          </m:num>
          <m:den>
            <m:r>
              <w:rPr>
                <w:rFonts w:ascii="Cambria Math" w:eastAsiaTheme="minorEastAsia" w:hAnsi="Cambria Math" w:cs="Times New Roman"/>
                <w:sz w:val="24"/>
                <w:szCs w:val="24"/>
                <w:lang w:eastAsia="pt-BR"/>
              </w:rPr>
              <m:t>β-1</m:t>
            </m:r>
          </m:den>
        </m:f>
      </m:oMath>
      <w:r w:rsidRPr="006114D7">
        <w:rPr>
          <w:rFonts w:ascii="Times New Roman" w:eastAsiaTheme="minorEastAsia" w:hAnsi="Times New Roman" w:cs="Times New Roman"/>
          <w:sz w:val="24"/>
          <w:szCs w:val="24"/>
          <w:lang w:eastAsia="pt-BR"/>
        </w:rPr>
        <w:t xml:space="preserve"> &lt;1, a fronteira endógena ótima será sempre menor que a fronteira crítica </w:t>
      </w:r>
      <m:oMath>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oMath>
      <w:r w:rsidRPr="006114D7">
        <w:rPr>
          <w:rFonts w:ascii="Times New Roman" w:eastAsiaTheme="minorEastAsia" w:hAnsi="Times New Roman" w:cs="Times New Roman"/>
          <w:sz w:val="24"/>
          <w:szCs w:val="24"/>
          <w:lang w:eastAsia="pt-BR"/>
        </w:rPr>
        <w:t xml:space="preserve"> (</w:t>
      </w:r>
      <m:oMath>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ξ</m:t>
            </m:r>
          </m:e>
          <m:sup>
            <m:r>
              <w:rPr>
                <w:rFonts w:ascii="Cambria Math" w:eastAsiaTheme="minorEastAsia" w:hAnsi="Cambria Math" w:cs="Times New Roman"/>
                <w:sz w:val="24"/>
                <w:szCs w:val="24"/>
                <w:lang w:eastAsia="pt-BR"/>
              </w:rPr>
              <m:t>*</m:t>
            </m:r>
          </m:sup>
        </m:sSup>
        <m:r>
          <w:rPr>
            <w:rFonts w:ascii="Cambria Math" w:eastAsiaTheme="minorEastAsia" w:hAnsi="Cambria Math" w:cs="Times New Roman"/>
            <w:sz w:val="24"/>
            <w:szCs w:val="24"/>
            <w:lang w:eastAsia="pt-BR"/>
          </w:rPr>
          <m:t>&lt;</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oMath>
      <w:r w:rsidRPr="006114D7">
        <w:rPr>
          <w:rFonts w:ascii="Times New Roman" w:eastAsiaTheme="minorEastAsia" w:hAnsi="Times New Roman" w:cs="Times New Roman"/>
          <w:sz w:val="24"/>
          <w:szCs w:val="24"/>
          <w:lang w:eastAsia="pt-BR"/>
        </w:rPr>
        <w:t xml:space="preserve">), </w:t>
      </w:r>
      <w:r w:rsidR="00F71017" w:rsidRPr="006114D7">
        <w:rPr>
          <w:rFonts w:ascii="Times New Roman" w:eastAsiaTheme="minorEastAsia" w:hAnsi="Times New Roman" w:cs="Times New Roman"/>
          <w:sz w:val="24"/>
          <w:szCs w:val="24"/>
          <w:lang w:eastAsia="pt-BR"/>
        </w:rPr>
        <w:t>o que mostra que</w:t>
      </w:r>
      <w:r w:rsidRPr="006114D7">
        <w:rPr>
          <w:rFonts w:ascii="Times New Roman" w:eastAsiaTheme="minorEastAsia" w:hAnsi="Times New Roman" w:cs="Times New Roman"/>
          <w:sz w:val="24"/>
          <w:szCs w:val="24"/>
          <w:lang w:eastAsia="pt-BR"/>
        </w:rPr>
        <w:t>, livre de restrições financeiras,</w:t>
      </w:r>
      <w:r w:rsidR="00F71017" w:rsidRPr="006114D7">
        <w:rPr>
          <w:rFonts w:ascii="Times New Roman" w:eastAsiaTheme="minorEastAsia" w:hAnsi="Times New Roman" w:cs="Times New Roman"/>
          <w:sz w:val="24"/>
          <w:szCs w:val="24"/>
          <w:lang w:eastAsia="pt-BR"/>
        </w:rPr>
        <w:t xml:space="preserve"> o banco sempre terá incentivo </w:t>
      </w:r>
      <w:r w:rsidRPr="006114D7">
        <w:rPr>
          <w:rFonts w:ascii="Times New Roman" w:eastAsiaTheme="minorEastAsia" w:hAnsi="Times New Roman" w:cs="Times New Roman"/>
          <w:sz w:val="24"/>
          <w:szCs w:val="24"/>
          <w:lang w:eastAsia="pt-BR"/>
        </w:rPr>
        <w:t>para</w:t>
      </w:r>
      <w:r w:rsidR="00F71017" w:rsidRPr="006114D7">
        <w:rPr>
          <w:rFonts w:ascii="Times New Roman" w:eastAsiaTheme="minorEastAsia" w:hAnsi="Times New Roman" w:cs="Times New Roman"/>
          <w:sz w:val="24"/>
          <w:szCs w:val="24"/>
          <w:lang w:eastAsia="pt-BR"/>
        </w:rPr>
        <w:t xml:space="preserve"> aumentar os riscos.</w:t>
      </w:r>
      <w:r w:rsidR="002E5ED3">
        <w:rPr>
          <w:rFonts w:ascii="Times New Roman" w:eastAsiaTheme="minorEastAsia" w:hAnsi="Times New Roman" w:cs="Times New Roman"/>
          <w:sz w:val="24"/>
          <w:szCs w:val="24"/>
          <w:lang w:eastAsia="pt-BR"/>
        </w:rPr>
        <w:t xml:space="preserve"> </w:t>
      </w:r>
      <w:r w:rsidR="009356C7" w:rsidRPr="006114D7">
        <w:rPr>
          <w:rFonts w:ascii="Times New Roman" w:eastAsiaTheme="minorEastAsia" w:hAnsi="Times New Roman" w:cs="Times New Roman"/>
          <w:sz w:val="24"/>
          <w:szCs w:val="24"/>
          <w:lang w:eastAsia="pt-BR"/>
        </w:rPr>
        <w:t>Olhando para o Banco do Brasil temos:</w:t>
      </w:r>
      <w:r w:rsidR="00A0576C">
        <w:rPr>
          <w:rFonts w:ascii="Times New Roman" w:eastAsiaTheme="minorEastAsia" w:hAnsi="Times New Roman" w:cs="Times New Roman"/>
          <w:sz w:val="24"/>
          <w:szCs w:val="24"/>
          <w:lang w:eastAsia="pt-BR"/>
        </w:rPr>
        <w:t xml:space="preserve"> </w:t>
      </w:r>
      <m:oMath>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r>
          <w:rPr>
            <w:rFonts w:ascii="Cambria Math" w:eastAsiaTheme="minorEastAsia" w:hAnsi="Cambria Math" w:cs="Times New Roman"/>
            <w:sz w:val="24"/>
            <w:szCs w:val="24"/>
            <w:lang w:eastAsia="pt-BR"/>
          </w:rPr>
          <m:t>crítica=R$ 18.922 bilhões</m:t>
        </m:r>
      </m:oMath>
      <w:r w:rsidR="00A0576C">
        <w:rPr>
          <w:rFonts w:ascii="Times New Roman" w:eastAsiaTheme="minorEastAsia" w:hAnsi="Times New Roman" w:cs="Times New Roman"/>
          <w:sz w:val="24"/>
          <w:szCs w:val="24"/>
          <w:lang w:eastAsia="pt-BR"/>
        </w:rPr>
        <w:t xml:space="preserve">, </w:t>
      </w:r>
      <m:oMath>
        <m:r>
          <w:rPr>
            <w:rFonts w:ascii="Cambria Math" w:eastAsiaTheme="minorEastAsia" w:hAnsi="Cambria Math" w:cs="Times New Roman"/>
            <w:sz w:val="24"/>
            <w:szCs w:val="24"/>
            <w:lang w:eastAsia="pt-BR"/>
          </w:rPr>
          <m:t>ξ=R$ 16.472 bilhões</m:t>
        </m:r>
      </m:oMath>
      <w:r w:rsidR="00A0576C">
        <w:rPr>
          <w:rFonts w:ascii="Times New Roman" w:eastAsiaTheme="minorEastAsia" w:hAnsi="Times New Roman" w:cs="Times New Roman"/>
          <w:sz w:val="24"/>
          <w:szCs w:val="24"/>
          <w:lang w:eastAsia="pt-BR"/>
        </w:rPr>
        <w:t xml:space="preserve">, </w:t>
      </w:r>
      <m:oMath>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ξ</m:t>
            </m:r>
          </m:e>
          <m:sup>
            <m:r>
              <w:rPr>
                <w:rFonts w:ascii="Cambria Math" w:eastAsiaTheme="minorEastAsia" w:hAnsi="Cambria Math" w:cs="Times New Roman"/>
                <w:sz w:val="24"/>
                <w:szCs w:val="24"/>
                <w:lang w:eastAsia="pt-BR"/>
              </w:rPr>
              <m:t>*</m:t>
            </m:r>
          </m:sup>
        </m:sSup>
        <m:r>
          <w:rPr>
            <w:rFonts w:ascii="Cambria Math" w:eastAsiaTheme="minorEastAsia" w:hAnsi="Cambria Math" w:cs="Times New Roman"/>
            <w:sz w:val="24"/>
            <w:szCs w:val="24"/>
            <w:lang w:eastAsia="pt-BR"/>
          </w:rPr>
          <m:t>ótima=R$ 15.601 bilhões</m:t>
        </m:r>
      </m:oMath>
      <w:r w:rsidR="00A0576C">
        <w:rPr>
          <w:rFonts w:ascii="Times New Roman" w:eastAsiaTheme="minorEastAsia" w:hAnsi="Times New Roman" w:cs="Times New Roman"/>
          <w:sz w:val="24"/>
          <w:szCs w:val="24"/>
          <w:lang w:eastAsia="pt-BR"/>
        </w:rPr>
        <w:t>.</w:t>
      </w:r>
      <w:r w:rsidR="002E5ED3">
        <w:rPr>
          <w:rFonts w:ascii="Times New Roman" w:eastAsiaTheme="minorEastAsia" w:hAnsi="Times New Roman" w:cs="Times New Roman"/>
          <w:sz w:val="24"/>
          <w:szCs w:val="24"/>
          <w:lang w:eastAsia="pt-BR"/>
        </w:rPr>
        <w:t xml:space="preserve"> </w:t>
      </w:r>
      <w:r w:rsidR="00010D0A" w:rsidRPr="006114D7">
        <w:rPr>
          <w:rFonts w:ascii="Times New Roman" w:eastAsiaTheme="minorEastAsia" w:hAnsi="Times New Roman" w:cs="Times New Roman"/>
          <w:sz w:val="24"/>
          <w:szCs w:val="24"/>
          <w:lang w:eastAsia="pt-BR"/>
        </w:rPr>
        <w:t xml:space="preserve">Com sua </w:t>
      </w:r>
      <w:r w:rsidR="006078D2" w:rsidRPr="006114D7">
        <w:rPr>
          <w:rFonts w:ascii="Times New Roman" w:eastAsiaTheme="minorEastAsia" w:hAnsi="Times New Roman" w:cs="Times New Roman"/>
          <w:sz w:val="24"/>
          <w:szCs w:val="24"/>
          <w:lang w:eastAsia="pt-BR"/>
        </w:rPr>
        <w:t xml:space="preserve">fronteira </w:t>
      </w:r>
      <m:oMath>
        <m:r>
          <w:rPr>
            <w:rFonts w:ascii="Cambria Math" w:eastAsiaTheme="minorEastAsia" w:hAnsi="Cambria Math" w:cs="Times New Roman"/>
            <w:sz w:val="24"/>
            <w:szCs w:val="24"/>
            <w:lang w:eastAsia="pt-BR"/>
          </w:rPr>
          <m:t>ξ</m:t>
        </m:r>
      </m:oMath>
      <w:r w:rsidR="00010D0A" w:rsidRPr="006114D7">
        <w:rPr>
          <w:rFonts w:ascii="Times New Roman" w:eastAsiaTheme="minorEastAsia" w:hAnsi="Times New Roman" w:cs="Times New Roman"/>
          <w:sz w:val="24"/>
          <w:szCs w:val="24"/>
          <w:lang w:eastAsia="pt-BR"/>
        </w:rPr>
        <w:t xml:space="preserve"> </w:t>
      </w:r>
      <w:r w:rsidR="006078D2" w:rsidRPr="006114D7">
        <w:rPr>
          <w:rFonts w:ascii="Times New Roman" w:eastAsiaTheme="minorEastAsia" w:hAnsi="Times New Roman" w:cs="Times New Roman"/>
          <w:sz w:val="24"/>
          <w:szCs w:val="24"/>
          <w:lang w:eastAsia="pt-BR"/>
        </w:rPr>
        <w:t xml:space="preserve">abaixo da fronteira crítica </w:t>
      </w:r>
      <m:oMath>
        <m:r>
          <w:rPr>
            <w:rFonts w:ascii="Cambria Math" w:eastAsiaTheme="minorEastAsia" w:hAnsi="Cambria Math" w:cs="Times New Roman"/>
            <w:sz w:val="24"/>
            <w:szCs w:val="24"/>
            <w:lang w:eastAsia="pt-BR"/>
          </w:rPr>
          <m:t xml:space="preserve">(ξ&lt; </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r>
          <w:rPr>
            <w:rFonts w:ascii="Cambria Math" w:eastAsiaTheme="minorEastAsia" w:hAnsi="Cambria Math" w:cs="Times New Roman"/>
            <w:sz w:val="24"/>
            <w:szCs w:val="24"/>
            <w:lang w:eastAsia="pt-BR"/>
          </w:rPr>
          <m:t>)</m:t>
        </m:r>
      </m:oMath>
      <w:r w:rsidR="00A452B0" w:rsidRPr="006114D7">
        <w:rPr>
          <w:rFonts w:ascii="Times New Roman" w:eastAsiaTheme="minorEastAsia" w:hAnsi="Times New Roman" w:cs="Times New Roman"/>
          <w:sz w:val="24"/>
          <w:szCs w:val="24"/>
          <w:lang w:eastAsia="pt-BR"/>
        </w:rPr>
        <w:t xml:space="preserve">, </w:t>
      </w:r>
      <w:r w:rsidR="006078D2" w:rsidRPr="006114D7">
        <w:rPr>
          <w:rFonts w:ascii="Times New Roman" w:eastAsiaTheme="minorEastAsia" w:hAnsi="Times New Roman" w:cs="Times New Roman"/>
          <w:sz w:val="24"/>
          <w:szCs w:val="24"/>
          <w:lang w:eastAsia="pt-BR"/>
        </w:rPr>
        <w:t xml:space="preserve">temos evidências sugestivas de </w:t>
      </w:r>
      <w:r w:rsidR="00010D0A" w:rsidRPr="006114D7">
        <w:rPr>
          <w:rFonts w:ascii="Times New Roman" w:eastAsiaTheme="minorEastAsia" w:hAnsi="Times New Roman" w:cs="Times New Roman"/>
          <w:sz w:val="24"/>
          <w:szCs w:val="24"/>
          <w:lang w:eastAsia="pt-BR"/>
        </w:rPr>
        <w:t>o Banco do Brasil</w:t>
      </w:r>
      <w:r w:rsidR="006078D2" w:rsidRPr="006114D7">
        <w:rPr>
          <w:rFonts w:ascii="Times New Roman" w:eastAsiaTheme="minorEastAsia" w:hAnsi="Times New Roman" w:cs="Times New Roman"/>
          <w:sz w:val="24"/>
          <w:szCs w:val="24"/>
          <w:lang w:eastAsia="pt-BR"/>
        </w:rPr>
        <w:t xml:space="preserve"> tem incentivos para aumentar os riscos, consistente com o resultado do sinal da derivada do patrimônio líquido em relação ao risco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∂σ</m:t>
            </m:r>
          </m:den>
        </m:f>
        <m:r>
          <w:rPr>
            <w:rFonts w:ascii="Cambria Math" w:eastAsiaTheme="minorEastAsia" w:hAnsi="Cambria Math" w:cs="Times New Roman"/>
            <w:sz w:val="24"/>
            <w:szCs w:val="24"/>
            <w:lang w:eastAsia="pt-BR"/>
          </w:rPr>
          <m:t>&gt;0</m:t>
        </m:r>
      </m:oMath>
      <w:r w:rsidR="006078D2" w:rsidRPr="006114D7">
        <w:rPr>
          <w:rFonts w:ascii="Times New Roman" w:eastAsiaTheme="minorEastAsia" w:hAnsi="Times New Roman" w:cs="Times New Roman"/>
          <w:sz w:val="24"/>
          <w:szCs w:val="24"/>
          <w:lang w:eastAsia="pt-BR"/>
        </w:rPr>
        <w:t>.</w:t>
      </w:r>
      <w:r w:rsidR="00010D0A" w:rsidRPr="006114D7">
        <w:rPr>
          <w:rFonts w:ascii="Times New Roman" w:eastAsiaTheme="minorEastAsia" w:hAnsi="Times New Roman" w:cs="Times New Roman"/>
          <w:sz w:val="24"/>
          <w:szCs w:val="24"/>
          <w:lang w:eastAsia="pt-BR"/>
        </w:rPr>
        <w:t xml:space="preserve"> Note também que a fronteira crítica esta acima da fronteira ótima </w:t>
      </w:r>
      <m:oMath>
        <m:r>
          <w:rPr>
            <w:rFonts w:ascii="Cambria Math" w:eastAsiaTheme="minorEastAsia" w:hAnsi="Cambria Math" w:cs="Times New Roman"/>
            <w:sz w:val="24"/>
            <w:szCs w:val="24"/>
            <w:lang w:eastAsia="pt-BR"/>
          </w:rPr>
          <m:t>(</m:t>
        </m:r>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ξ</m:t>
            </m:r>
          </m:e>
          <m:sup>
            <m:r>
              <w:rPr>
                <w:rFonts w:ascii="Cambria Math" w:eastAsiaTheme="minorEastAsia" w:hAnsi="Cambria Math" w:cs="Times New Roman"/>
                <w:sz w:val="24"/>
                <w:szCs w:val="24"/>
                <w:lang w:eastAsia="pt-BR"/>
              </w:rPr>
              <m:t>*</m:t>
            </m:r>
          </m:sup>
        </m:sSup>
        <m:r>
          <w:rPr>
            <w:rFonts w:ascii="Cambria Math" w:eastAsiaTheme="minorEastAsia" w:hAnsi="Cambria Math" w:cs="Times New Roman"/>
            <w:sz w:val="24"/>
            <w:szCs w:val="24"/>
            <w:lang w:eastAsia="pt-BR"/>
          </w:rPr>
          <m:t>&lt;</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r>
          <w:rPr>
            <w:rFonts w:ascii="Cambria Math" w:eastAsiaTheme="minorEastAsia" w:hAnsi="Cambria Math" w:cs="Times New Roman"/>
            <w:sz w:val="24"/>
            <w:szCs w:val="24"/>
            <w:lang w:eastAsia="pt-BR"/>
          </w:rPr>
          <m:t>)</m:t>
        </m:r>
      </m:oMath>
      <w:r w:rsidR="00010D0A" w:rsidRPr="006114D7">
        <w:rPr>
          <w:rFonts w:ascii="Times New Roman" w:eastAsiaTheme="minorEastAsia" w:hAnsi="Times New Roman" w:cs="Times New Roman"/>
          <w:sz w:val="24"/>
          <w:szCs w:val="24"/>
          <w:lang w:eastAsia="pt-BR"/>
        </w:rPr>
        <w:t>, conforme esperado.</w:t>
      </w:r>
      <w:r w:rsidR="00B312F0">
        <w:rPr>
          <w:rFonts w:ascii="Times New Roman" w:eastAsiaTheme="minorEastAsia" w:hAnsi="Times New Roman" w:cs="Times New Roman"/>
          <w:sz w:val="24"/>
          <w:szCs w:val="24"/>
          <w:lang w:eastAsia="pt-BR"/>
        </w:rPr>
        <w:t xml:space="preserve"> </w:t>
      </w:r>
      <w:r w:rsidR="00B00948" w:rsidRPr="006114D7">
        <w:rPr>
          <w:rFonts w:ascii="Times New Roman" w:eastAsiaTheme="minorEastAsia" w:hAnsi="Times New Roman" w:cs="Times New Roman"/>
          <w:sz w:val="24"/>
          <w:szCs w:val="24"/>
          <w:lang w:eastAsia="pt-BR"/>
        </w:rPr>
        <w:t>Agora, vamos analisar como as preferências de risco mudam quando um banco, e</w:t>
      </w:r>
      <w:r w:rsidR="00F71017" w:rsidRPr="006114D7">
        <w:rPr>
          <w:rFonts w:ascii="Times New Roman" w:eastAsiaTheme="minorEastAsia" w:hAnsi="Times New Roman" w:cs="Times New Roman"/>
          <w:sz w:val="24"/>
          <w:szCs w:val="24"/>
          <w:lang w:eastAsia="pt-BR"/>
        </w:rPr>
        <w:t xml:space="preserve">m </w:t>
      </w:r>
      <w:r w:rsidR="00D64C34" w:rsidRPr="006114D7">
        <w:rPr>
          <w:rFonts w:ascii="Times New Roman" w:eastAsiaTheme="minorEastAsia" w:hAnsi="Times New Roman" w:cs="Times New Roman"/>
          <w:sz w:val="24"/>
          <w:szCs w:val="24"/>
          <w:lang w:eastAsia="pt-BR"/>
        </w:rPr>
        <w:t>nível</w:t>
      </w:r>
      <w:r w:rsidR="00B00948" w:rsidRPr="006114D7">
        <w:rPr>
          <w:rFonts w:ascii="Times New Roman" w:eastAsiaTheme="minorEastAsia" w:hAnsi="Times New Roman" w:cs="Times New Roman"/>
          <w:sz w:val="24"/>
          <w:szCs w:val="24"/>
          <w:lang w:eastAsia="pt-BR"/>
        </w:rPr>
        <w:t xml:space="preserve"> </w:t>
      </w:r>
      <w:r w:rsidR="00F71017" w:rsidRPr="006114D7">
        <w:rPr>
          <w:rFonts w:ascii="Times New Roman" w:eastAsiaTheme="minorEastAsia" w:hAnsi="Times New Roman" w:cs="Times New Roman"/>
          <w:sz w:val="24"/>
          <w:szCs w:val="24"/>
          <w:lang w:eastAsia="pt-BR"/>
        </w:rPr>
        <w:t xml:space="preserve">ótimo de </w:t>
      </w:r>
      <w:r w:rsidR="00B00948" w:rsidRPr="006114D7">
        <w:rPr>
          <w:rFonts w:ascii="Times New Roman" w:eastAsiaTheme="minorEastAsia" w:hAnsi="Times New Roman" w:cs="Times New Roman"/>
          <w:sz w:val="24"/>
          <w:szCs w:val="24"/>
          <w:lang w:eastAsia="pt-BR"/>
        </w:rPr>
        <w:t>dívida</w:t>
      </w:r>
      <w:r w:rsidR="00F71017" w:rsidRPr="006114D7">
        <w:rPr>
          <w:rFonts w:ascii="Times New Roman" w:eastAsiaTheme="minorEastAsia" w:hAnsi="Times New Roman" w:cs="Times New Roman"/>
          <w:sz w:val="24"/>
          <w:szCs w:val="24"/>
          <w:lang w:eastAsia="pt-BR"/>
        </w:rPr>
        <w:t>,</w:t>
      </w:r>
      <w:r w:rsidR="00B00948" w:rsidRPr="006114D7">
        <w:rPr>
          <w:rFonts w:ascii="Times New Roman" w:eastAsiaTheme="minorEastAsia" w:hAnsi="Times New Roman" w:cs="Times New Roman"/>
          <w:sz w:val="24"/>
          <w:szCs w:val="24"/>
          <w:lang w:eastAsia="pt-BR"/>
        </w:rPr>
        <w:t xml:space="preserve"> troca essas dívidas subordinadas por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B00948" w:rsidRPr="006114D7">
        <w:rPr>
          <w:rFonts w:ascii="Times New Roman" w:eastAsiaTheme="minorEastAsia" w:hAnsi="Times New Roman" w:cs="Times New Roman"/>
          <w:sz w:val="24"/>
          <w:szCs w:val="24"/>
          <w:lang w:eastAsia="pt-BR"/>
        </w:rPr>
        <w:t>.</w:t>
      </w:r>
      <w:r w:rsidR="00CB58FB" w:rsidRPr="006114D7">
        <w:rPr>
          <w:rFonts w:ascii="Times New Roman" w:eastAsiaTheme="minorEastAsia" w:hAnsi="Times New Roman" w:cs="Times New Roman"/>
          <w:sz w:val="24"/>
          <w:szCs w:val="24"/>
          <w:lang w:eastAsia="pt-BR"/>
        </w:rPr>
        <w:t xml:space="preserve"> Isto significa assumir que </w:t>
      </w:r>
      <m:oMath>
        <m:r>
          <w:rPr>
            <w:rFonts w:ascii="Cambria Math" w:eastAsiaTheme="minorEastAsia" w:hAnsi="Cambria Math" w:cs="Times New Roman"/>
            <w:sz w:val="24"/>
            <w:szCs w:val="24"/>
            <w:lang w:eastAsia="pt-BR"/>
          </w:rPr>
          <m:t>ξ</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π</m:t>
            </m:r>
          </m:e>
        </m:d>
        <m:r>
          <w:rPr>
            <w:rFonts w:ascii="Cambria Math" w:eastAsiaTheme="minorEastAsia" w:hAnsi="Cambria Math" w:cs="Times New Roman"/>
            <w:sz w:val="24"/>
            <w:szCs w:val="24"/>
            <w:lang w:eastAsia="pt-BR"/>
          </w:rPr>
          <m:t xml:space="preserve">= </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π</m:t>
            </m:r>
          </m:e>
        </m:d>
      </m:oMath>
      <w:r w:rsidR="00CB58FB" w:rsidRPr="006114D7">
        <w:rPr>
          <w:rFonts w:ascii="Times New Roman" w:eastAsiaTheme="minorEastAsia" w:hAnsi="Times New Roman" w:cs="Times New Roman"/>
          <w:sz w:val="24"/>
          <w:szCs w:val="24"/>
          <w:lang w:eastAsia="pt-BR"/>
        </w:rPr>
        <w:t>.</w:t>
      </w:r>
      <w:r w:rsidR="00B00948" w:rsidRPr="006114D7">
        <w:rPr>
          <w:rFonts w:ascii="Times New Roman" w:eastAsiaTheme="minorEastAsia" w:hAnsi="Times New Roman" w:cs="Times New Roman"/>
          <w:sz w:val="24"/>
          <w:szCs w:val="24"/>
          <w:lang w:eastAsia="pt-BR"/>
        </w:rPr>
        <w:t xml:space="preserve"> </w:t>
      </w:r>
      <w:r w:rsidR="00A70E1A" w:rsidRPr="006114D7">
        <w:rPr>
          <w:rFonts w:ascii="Times New Roman" w:eastAsiaTheme="minorEastAsia" w:hAnsi="Times New Roman" w:cs="Times New Roman"/>
          <w:sz w:val="24"/>
          <w:szCs w:val="24"/>
          <w:lang w:eastAsia="pt-BR"/>
        </w:rPr>
        <w:t>Novamente</w:t>
      </w:r>
      <w:r w:rsidR="00B00948" w:rsidRPr="006114D7">
        <w:rPr>
          <w:rFonts w:ascii="Times New Roman" w:eastAsiaTheme="minorEastAsia" w:hAnsi="Times New Roman" w:cs="Times New Roman"/>
          <w:sz w:val="24"/>
          <w:szCs w:val="24"/>
          <w:lang w:eastAsia="pt-BR"/>
        </w:rPr>
        <w:t>,</w:t>
      </w:r>
      <w:r w:rsidR="00A70E1A" w:rsidRPr="006114D7">
        <w:rPr>
          <w:rFonts w:ascii="Times New Roman" w:eastAsiaTheme="minorEastAsia" w:hAnsi="Times New Roman" w:cs="Times New Roman"/>
          <w:sz w:val="24"/>
          <w:szCs w:val="24"/>
          <w:lang w:eastAsia="pt-BR"/>
        </w:rPr>
        <w:t xml:space="preserve"> </w:t>
      </w:r>
      <w:r w:rsidR="00B00948" w:rsidRPr="006114D7">
        <w:rPr>
          <w:rFonts w:ascii="Times New Roman" w:eastAsiaTheme="minorEastAsia" w:hAnsi="Times New Roman" w:cs="Times New Roman"/>
          <w:sz w:val="24"/>
          <w:szCs w:val="24"/>
          <w:lang w:eastAsia="pt-BR"/>
        </w:rPr>
        <w:t xml:space="preserve">temos que </w:t>
      </w:r>
      <w:r w:rsidR="00A70E1A" w:rsidRPr="006114D7">
        <w:rPr>
          <w:rFonts w:ascii="Times New Roman" w:eastAsiaTheme="minorEastAsia" w:hAnsi="Times New Roman" w:cs="Times New Roman"/>
          <w:sz w:val="24"/>
          <w:szCs w:val="24"/>
          <w:lang w:eastAsia="pt-BR"/>
        </w:rPr>
        <w:t xml:space="preserve">analisar o sinal da derivada do </w:t>
      </w:r>
      <w:r w:rsidR="00B00948" w:rsidRPr="006114D7">
        <w:rPr>
          <w:rFonts w:ascii="Times New Roman" w:eastAsiaTheme="minorEastAsia" w:hAnsi="Times New Roman" w:cs="Times New Roman"/>
          <w:sz w:val="24"/>
          <w:szCs w:val="24"/>
          <w:lang w:eastAsia="pt-BR"/>
        </w:rPr>
        <w:t>p</w:t>
      </w:r>
      <w:r w:rsidR="00D64C34" w:rsidRPr="006114D7">
        <w:rPr>
          <w:rFonts w:ascii="Times New Roman" w:eastAsiaTheme="minorEastAsia" w:hAnsi="Times New Roman" w:cs="Times New Roman"/>
          <w:sz w:val="24"/>
          <w:szCs w:val="24"/>
          <w:lang w:eastAsia="pt-BR"/>
        </w:rPr>
        <w:t xml:space="preserve">atrimônio líquido </w:t>
      </w:r>
      <w:r w:rsidR="00B00948" w:rsidRPr="006114D7">
        <w:rPr>
          <w:rFonts w:ascii="Times New Roman" w:eastAsiaTheme="minorEastAsia" w:hAnsi="Times New Roman" w:cs="Times New Roman"/>
          <w:sz w:val="24"/>
          <w:szCs w:val="24"/>
          <w:lang w:eastAsia="pt-BR"/>
        </w:rPr>
        <w:t>com relação ao risco:</w:t>
      </w:r>
    </w:p>
    <w:p w:rsidR="00A70E1A" w:rsidRPr="006114D7" w:rsidRDefault="00445FF9" w:rsidP="00FF5024">
      <w:pPr>
        <w:pStyle w:val="PargrafodaLista"/>
        <w:spacing w:after="120" w:line="240" w:lineRule="auto"/>
        <w:ind w:left="0"/>
        <w:jc w:val="right"/>
        <w:rPr>
          <w:rFonts w:ascii="Times New Roman" w:eastAsiaTheme="minorEastAsia" w:hAnsi="Times New Roman" w:cs="Times New Roman"/>
          <w:sz w:val="24"/>
          <w:szCs w:val="24"/>
          <w:lang w:eastAsia="pt-BR"/>
        </w:rPr>
      </w:pPr>
      <m:oMath>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S</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c</m:t>
                </m:r>
              </m:sup>
            </m:sSubSup>
          </m:num>
          <m:den>
            <m:r>
              <w:rPr>
                <w:rFonts w:ascii="Cambria Math" w:eastAsiaTheme="minorEastAsia" w:hAnsi="Cambria Math" w:cs="Times New Roman"/>
                <w:sz w:val="24"/>
                <w:szCs w:val="24"/>
                <w:lang w:eastAsia="pt-BR"/>
              </w:rPr>
              <m:t>∂σ</m:t>
            </m:r>
          </m:den>
        </m:f>
        <m:r>
          <w:rPr>
            <w:rFonts w:ascii="Cambria Math" w:eastAsiaTheme="minorEastAsia" w:hAnsi="Cambria Math" w:cs="Times New Roman"/>
            <w:sz w:val="24"/>
            <w:szCs w:val="24"/>
            <w:lang w:eastAsia="pt-BR"/>
          </w:rPr>
          <m:t>=</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1-γ</m:t>
            </m:r>
          </m:e>
        </m:d>
        <m:r>
          <m:rPr>
            <m:scr m:val="script"/>
          </m:rPr>
          <w:rPr>
            <w:rFonts w:ascii="Cambria Math" w:eastAsiaTheme="minorEastAsia" w:hAnsi="Cambria Math" w:cs="Times New Roman"/>
            <w:sz w:val="24"/>
            <w:szCs w:val="24"/>
            <w:lang w:eastAsia="pt-BR"/>
          </w:rPr>
          <m:t>V</m:t>
        </m:r>
        <m:d>
          <m:dPr>
            <m:ctrlPr>
              <w:rPr>
                <w:rFonts w:ascii="Cambria Math" w:eastAsiaTheme="minorEastAsia" w:hAnsi="Cambria Math" w:cs="Times New Roman"/>
                <w:i/>
                <w:sz w:val="24"/>
                <w:szCs w:val="24"/>
                <w:lang w:eastAsia="pt-BR"/>
              </w:rPr>
            </m:ctrlPr>
          </m:dPr>
          <m:e>
            <m:r>
              <m:rPr>
                <m:scr m:val="script"/>
              </m:rPr>
              <w:rPr>
                <w:rFonts w:ascii="Cambria Math" w:eastAsiaTheme="minorEastAsia" w:hAnsi="Cambria Math" w:cs="Times New Roman"/>
                <w:sz w:val="24"/>
                <w:szCs w:val="24"/>
                <w:lang w:eastAsia="pt-BR"/>
              </w:rPr>
              <m:t>X,</m:t>
            </m:r>
            <m:r>
              <w:rPr>
                <w:rFonts w:ascii="Cambria Math" w:eastAsiaTheme="minorEastAsia" w:hAnsi="Cambria Math" w:cs="Times New Roman"/>
                <w:sz w:val="24"/>
                <w:szCs w:val="24"/>
                <w:lang w:eastAsia="pt-BR"/>
              </w:rPr>
              <m:t>d</m:t>
            </m:r>
          </m:e>
        </m:d>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num>
          <m:den>
            <m:r>
              <w:rPr>
                <w:rFonts w:ascii="Cambria Math" w:eastAsiaTheme="minorEastAsia" w:hAnsi="Cambria Math" w:cs="Times New Roman"/>
                <w:sz w:val="24"/>
                <w:szCs w:val="24"/>
                <w:lang w:eastAsia="pt-BR"/>
              </w:rPr>
              <m:t>∂σ</m:t>
            </m:r>
          </m:den>
        </m:f>
        <m:r>
          <m:rPr>
            <m:scr m:val="script"/>
          </m:rPr>
          <w:rPr>
            <w:rFonts w:ascii="Cambria Math" w:eastAsiaTheme="minorEastAsia" w:hAnsi="Cambria Math" w:cs="Times New Roman"/>
            <w:sz w:val="24"/>
            <w:szCs w:val="24"/>
            <w:lang w:eastAsia="pt-BR"/>
          </w:rPr>
          <m:t xml:space="preserve"> D </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t</m:t>
                </m:r>
              </m:sub>
            </m:sSub>
            <m:r>
              <m:rPr>
                <m:scr m:val="script"/>
              </m:rPr>
              <w:rPr>
                <w:rFonts w:ascii="Cambria Math" w:eastAsiaTheme="minorEastAsia" w:hAnsi="Cambria Math" w:cs="Times New Roman"/>
                <w:sz w:val="24"/>
                <w:szCs w:val="24"/>
                <w:lang w:eastAsia="pt-BR"/>
              </w:rPr>
              <m:t>,X</m:t>
            </m:r>
          </m:e>
        </m:d>
        <m:r>
          <w:rPr>
            <w:rFonts w:ascii="Cambria Math" w:eastAsiaTheme="minorEastAsia" w:hAnsi="Cambria Math" w:cs="Times New Roman"/>
            <w:sz w:val="24"/>
            <w:szCs w:val="24"/>
            <w:lang w:eastAsia="pt-BR"/>
          </w:rPr>
          <m:t>=</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1-γ</m:t>
            </m:r>
          </m:e>
        </m:d>
        <m:r>
          <m:rPr>
            <m:scr m:val="script"/>
          </m:rPr>
          <w:rPr>
            <w:rFonts w:ascii="Cambria Math" w:eastAsiaTheme="minorEastAsia" w:hAnsi="Cambria Math" w:cs="Times New Roman"/>
            <w:sz w:val="24"/>
            <w:szCs w:val="24"/>
            <w:lang w:eastAsia="pt-BR"/>
          </w:rPr>
          <m:t>V</m:t>
        </m:r>
        <m:d>
          <m:dPr>
            <m:ctrlPr>
              <w:rPr>
                <w:rFonts w:ascii="Cambria Math" w:eastAsiaTheme="minorEastAsia" w:hAnsi="Cambria Math" w:cs="Times New Roman"/>
                <w:i/>
                <w:sz w:val="24"/>
                <w:szCs w:val="24"/>
                <w:lang w:eastAsia="pt-BR"/>
              </w:rPr>
            </m:ctrlPr>
          </m:dPr>
          <m:e>
            <m:r>
              <m:rPr>
                <m:scr m:val="script"/>
              </m:rPr>
              <w:rPr>
                <w:rFonts w:ascii="Cambria Math" w:eastAsiaTheme="minorEastAsia" w:hAnsi="Cambria Math" w:cs="Times New Roman"/>
                <w:sz w:val="24"/>
                <w:szCs w:val="24"/>
                <w:lang w:eastAsia="pt-BR"/>
              </w:rPr>
              <m:t>X,</m:t>
            </m:r>
            <m:r>
              <w:rPr>
                <w:rFonts w:ascii="Cambria Math" w:eastAsiaTheme="minorEastAsia" w:hAnsi="Cambria Math" w:cs="Times New Roman"/>
                <w:sz w:val="24"/>
                <w:szCs w:val="24"/>
                <w:lang w:eastAsia="pt-BR"/>
              </w:rPr>
              <m:t>d</m:t>
            </m:r>
          </m:e>
        </m:d>
        <m:r>
          <m:rPr>
            <m:scr m:val="script"/>
          </m:rPr>
          <w:rPr>
            <w:rFonts w:ascii="Cambria Math" w:eastAsiaTheme="minorEastAsia" w:hAnsi="Cambria Math" w:cs="Times New Roman"/>
            <w:sz w:val="24"/>
            <w:szCs w:val="24"/>
            <w:lang w:eastAsia="pt-BR"/>
          </w:rPr>
          <m:t xml:space="preserve"> D </m:t>
        </m:r>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t</m:t>
                </m:r>
              </m:sub>
            </m:sSub>
            <m:r>
              <m:rPr>
                <m:scr m:val="script"/>
              </m:rPr>
              <w:rPr>
                <w:rFonts w:ascii="Cambria Math" w:eastAsiaTheme="minorEastAsia" w:hAnsi="Cambria Math" w:cs="Times New Roman"/>
                <w:sz w:val="24"/>
                <w:szCs w:val="24"/>
                <w:lang w:eastAsia="pt-BR"/>
              </w:rPr>
              <m:t>,X</m:t>
            </m:r>
          </m:e>
        </m:d>
        <m:func>
          <m:funcPr>
            <m:ctrlPr>
              <w:rPr>
                <w:rFonts w:ascii="Cambria Math" w:eastAsiaTheme="minorEastAsia" w:hAnsi="Cambria Math" w:cs="Times New Roman"/>
                <w:i/>
                <w:sz w:val="24"/>
                <w:szCs w:val="24"/>
                <w:lang w:eastAsia="pt-BR"/>
              </w:rPr>
            </m:ctrlPr>
          </m:funcPr>
          <m:fName>
            <m:r>
              <m:rPr>
                <m:sty m:val="p"/>
              </m:rPr>
              <w:rPr>
                <w:rFonts w:ascii="Cambria Math" w:eastAsiaTheme="minorEastAsia" w:hAnsi="Cambria Math" w:cs="Times New Roman"/>
                <w:sz w:val="24"/>
                <w:szCs w:val="24"/>
                <w:lang w:eastAsia="pt-BR"/>
              </w:rPr>
              <m:t>log</m:t>
            </m:r>
          </m:fName>
          <m:e>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x</m:t>
                        </m:r>
                      </m:e>
                      <m:sub>
                        <m:r>
                          <w:rPr>
                            <w:rFonts w:ascii="Cambria Math" w:eastAsiaTheme="minorEastAsia" w:hAnsi="Cambria Math" w:cs="Times New Roman"/>
                            <w:sz w:val="24"/>
                            <w:szCs w:val="24"/>
                            <w:lang w:eastAsia="pt-BR"/>
                          </w:rPr>
                          <m:t>t</m:t>
                        </m:r>
                      </m:sub>
                    </m:sSub>
                  </m:num>
                  <m:den>
                    <m:r>
                      <m:rPr>
                        <m:scr m:val="script"/>
                      </m:rPr>
                      <w:rPr>
                        <w:rFonts w:ascii="Cambria Math" w:eastAsiaTheme="minorEastAsia" w:hAnsi="Cambria Math" w:cs="Times New Roman"/>
                        <w:sz w:val="24"/>
                        <w:szCs w:val="24"/>
                        <w:lang w:eastAsia="pt-BR"/>
                      </w:rPr>
                      <m:t>X</m:t>
                    </m:r>
                  </m:den>
                </m:f>
              </m:e>
            </m:d>
          </m:e>
        </m:func>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∂β</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σ</m:t>
                </m:r>
              </m:e>
            </m:d>
          </m:num>
          <m:den>
            <m:r>
              <w:rPr>
                <w:rFonts w:ascii="Cambria Math" w:eastAsiaTheme="minorEastAsia" w:hAnsi="Cambria Math" w:cs="Times New Roman"/>
                <w:sz w:val="24"/>
                <w:szCs w:val="24"/>
                <w:lang w:eastAsia="pt-BR"/>
              </w:rPr>
              <m:t>∂σ</m:t>
            </m:r>
          </m:den>
        </m:f>
      </m:oMath>
      <w:r w:rsidR="00B00948" w:rsidRPr="006114D7">
        <w:rPr>
          <w:rFonts w:ascii="Times New Roman" w:eastAsiaTheme="minorEastAsia" w:hAnsi="Times New Roman" w:cs="Times New Roman"/>
          <w:sz w:val="24"/>
          <w:szCs w:val="24"/>
          <w:lang w:eastAsia="pt-BR"/>
        </w:rPr>
        <w:t xml:space="preserve">        (3</w:t>
      </w:r>
      <w:r w:rsidR="003F1581" w:rsidRPr="006114D7">
        <w:rPr>
          <w:rFonts w:ascii="Times New Roman" w:eastAsiaTheme="minorEastAsia" w:hAnsi="Times New Roman" w:cs="Times New Roman"/>
          <w:sz w:val="24"/>
          <w:szCs w:val="24"/>
          <w:lang w:eastAsia="pt-BR"/>
        </w:rPr>
        <w:t>4</w:t>
      </w:r>
      <w:r w:rsidR="00B00948" w:rsidRPr="006114D7">
        <w:rPr>
          <w:rFonts w:ascii="Times New Roman" w:eastAsiaTheme="minorEastAsia" w:hAnsi="Times New Roman" w:cs="Times New Roman"/>
          <w:sz w:val="24"/>
          <w:szCs w:val="24"/>
          <w:lang w:eastAsia="pt-BR"/>
        </w:rPr>
        <w:t xml:space="preserve">)                              </w:t>
      </w:r>
    </w:p>
    <w:p w:rsidR="00B00948" w:rsidRPr="006114D7" w:rsidRDefault="00B00948"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 xml:space="preserve">Onde, </w:t>
      </w:r>
      <m:oMath>
        <m:r>
          <m:rPr>
            <m:scr m:val="script"/>
            <m:sty m:val="p"/>
          </m:rPr>
          <w:rPr>
            <w:rFonts w:ascii="Cambria Math" w:eastAsiaTheme="minorEastAsia" w:hAnsi="Cambria Math" w:cs="Times New Roman"/>
            <w:sz w:val="24"/>
            <w:szCs w:val="24"/>
            <w:lang w:eastAsia="pt-BR"/>
          </w:rPr>
          <m:t>X</m:t>
        </m:r>
      </m:oMath>
      <w:r w:rsidRPr="006114D7">
        <w:rPr>
          <w:rFonts w:ascii="Times New Roman" w:eastAsiaTheme="minorEastAsia" w:hAnsi="Times New Roman" w:cs="Times New Roman"/>
          <w:sz w:val="24"/>
          <w:szCs w:val="24"/>
          <w:lang w:eastAsia="pt-BR"/>
        </w:rPr>
        <w:t xml:space="preserve"> é a fronteira de conversão</w:t>
      </w:r>
      <w:r w:rsidR="00510150" w:rsidRPr="006114D7">
        <w:rPr>
          <w:rFonts w:ascii="Times New Roman" w:eastAsiaTheme="minorEastAsia" w:hAnsi="Times New Roman" w:cs="Times New Roman"/>
          <w:sz w:val="24"/>
          <w:szCs w:val="24"/>
          <w:lang w:eastAsia="pt-BR"/>
        </w:rPr>
        <w:t xml:space="preserve"> para 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510150" w:rsidRPr="006114D7">
        <w:rPr>
          <w:rFonts w:ascii="Times New Roman" w:eastAsiaTheme="minorEastAsia" w:hAnsi="Times New Roman" w:cs="Times New Roman"/>
          <w:sz w:val="24"/>
          <w:szCs w:val="24"/>
          <w:lang w:eastAsia="pt-BR"/>
        </w:rPr>
        <w:t>, no momento em que a restrição externa seria obrigatória</w:t>
      </w:r>
      <w:r w:rsidR="00995BFC" w:rsidRPr="006114D7">
        <w:rPr>
          <w:rFonts w:ascii="Times New Roman" w:eastAsiaTheme="minorEastAsia" w:hAnsi="Times New Roman" w:cs="Times New Roman"/>
          <w:sz w:val="24"/>
          <w:szCs w:val="24"/>
          <w:lang w:eastAsia="pt-BR"/>
        </w:rPr>
        <w:t xml:space="preserve">, </w:t>
      </w:r>
      <w:r w:rsidR="00510150" w:rsidRPr="006114D7">
        <w:rPr>
          <w:rFonts w:ascii="Times New Roman" w:eastAsiaTheme="minorEastAsia" w:hAnsi="Times New Roman" w:cs="Times New Roman"/>
          <w:sz w:val="24"/>
          <w:szCs w:val="24"/>
          <w:lang w:eastAsia="pt-BR"/>
        </w:rPr>
        <w:t>se não houvesse a opção de conversibilidade</w:t>
      </w:r>
      <w:r w:rsidRPr="006114D7">
        <w:rPr>
          <w:rFonts w:ascii="Times New Roman" w:eastAsiaTheme="minorEastAsia" w:hAnsi="Times New Roman" w:cs="Times New Roman"/>
          <w:sz w:val="24"/>
          <w:szCs w:val="24"/>
          <w:lang w:eastAsia="pt-BR"/>
        </w:rPr>
        <w:t xml:space="preserve">, e </w:t>
      </w:r>
      <w:r w:rsidR="00510150" w:rsidRPr="006114D7">
        <w:rPr>
          <w:rFonts w:ascii="Times New Roman" w:eastAsiaTheme="minorEastAsia" w:hAnsi="Times New Roman" w:cs="Times New Roman"/>
          <w:sz w:val="24"/>
          <w:szCs w:val="24"/>
          <w:lang w:eastAsia="pt-BR"/>
        </w:rPr>
        <w:t xml:space="preserve">ela </w:t>
      </w:r>
      <w:r w:rsidRPr="006114D7">
        <w:rPr>
          <w:rFonts w:ascii="Times New Roman" w:eastAsiaTheme="minorEastAsia" w:hAnsi="Times New Roman" w:cs="Times New Roman"/>
          <w:sz w:val="24"/>
          <w:szCs w:val="24"/>
          <w:lang w:eastAsia="pt-BR"/>
        </w:rPr>
        <w:t>é dada por:</w:t>
      </w:r>
    </w:p>
    <w:p w:rsidR="00B00948" w:rsidRPr="006114D7" w:rsidRDefault="00B00948" w:rsidP="00FF5024">
      <w:pPr>
        <w:spacing w:after="120" w:line="240" w:lineRule="auto"/>
        <w:jc w:val="right"/>
        <w:rPr>
          <w:rFonts w:ascii="Times New Roman" w:eastAsiaTheme="minorEastAsia" w:hAnsi="Times New Roman" w:cs="Times New Roman"/>
          <w:sz w:val="24"/>
          <w:szCs w:val="24"/>
          <w:lang w:eastAsia="pt-BR"/>
        </w:rPr>
      </w:pPr>
      <m:oMath>
        <m:r>
          <m:rPr>
            <m:scr m:val="script"/>
            <m:sty m:val="p"/>
          </m:rPr>
          <w:rPr>
            <w:rFonts w:ascii="Cambria Math" w:eastAsiaTheme="minorEastAsia" w:hAnsi="Cambria Math" w:cs="Times New Roman"/>
            <w:sz w:val="24"/>
            <w:szCs w:val="24"/>
            <w:lang w:eastAsia="pt-BR"/>
          </w:rPr>
          <m:t>X=</m:t>
        </m:r>
        <m:acc>
          <m:accPr>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ξ</m:t>
            </m:r>
          </m:e>
        </m:acc>
        <m:d>
          <m:dPr>
            <m:ctrlPr>
              <w:rPr>
                <w:rFonts w:ascii="Cambria Math" w:eastAsiaTheme="minorEastAsia" w:hAnsi="Cambria Math" w:cs="Times New Roman"/>
                <w:sz w:val="24"/>
                <w:szCs w:val="24"/>
                <w:lang w:eastAsia="pt-BR"/>
              </w:rPr>
            </m:ctrlPr>
          </m:dPr>
          <m:e>
            <m:r>
              <m:rPr>
                <m:sty m:val="p"/>
              </m:rPr>
              <w:rPr>
                <w:rFonts w:ascii="Cambria Math" w:eastAsiaTheme="minorEastAsia" w:hAnsi="Cambria Math" w:cs="Times New Roman"/>
                <w:sz w:val="24"/>
                <w:szCs w:val="24"/>
                <w:lang w:eastAsia="pt-BR"/>
              </w:rPr>
              <m:t>d+c</m:t>
            </m:r>
          </m:e>
        </m:d>
      </m:oMath>
      <w:r w:rsidRPr="006114D7">
        <w:rPr>
          <w:rFonts w:ascii="Times New Roman" w:eastAsiaTheme="minorEastAsia" w:hAnsi="Times New Roman" w:cs="Times New Roman"/>
          <w:sz w:val="24"/>
          <w:szCs w:val="24"/>
          <w:lang w:eastAsia="pt-BR"/>
        </w:rPr>
        <w:t xml:space="preserve">                                                       </w:t>
      </w:r>
      <w:r w:rsidR="003F1581" w:rsidRPr="006114D7">
        <w:rPr>
          <w:rFonts w:ascii="Times New Roman" w:eastAsiaTheme="minorEastAsia" w:hAnsi="Times New Roman" w:cs="Times New Roman"/>
          <w:sz w:val="24"/>
          <w:szCs w:val="24"/>
          <w:lang w:eastAsia="pt-BR"/>
        </w:rPr>
        <w:t>(35</w:t>
      </w:r>
      <w:r w:rsidRPr="006114D7">
        <w:rPr>
          <w:rFonts w:ascii="Times New Roman" w:eastAsiaTheme="minorEastAsia" w:hAnsi="Times New Roman" w:cs="Times New Roman"/>
          <w:sz w:val="24"/>
          <w:szCs w:val="24"/>
          <w:lang w:eastAsia="pt-BR"/>
        </w:rPr>
        <w:t xml:space="preserve">) </w:t>
      </w:r>
    </w:p>
    <w:p w:rsidR="00142ADC" w:rsidRPr="006114D7" w:rsidRDefault="00785BE4" w:rsidP="00FF5024">
      <w:pPr>
        <w:spacing w:after="120" w:line="240" w:lineRule="auto"/>
        <w:jc w:val="both"/>
        <w:rPr>
          <w:rFonts w:ascii="Times New Roman" w:eastAsiaTheme="minorEastAsia" w:hAnsi="Times New Roman" w:cs="Times New Roman"/>
          <w:sz w:val="24"/>
          <w:szCs w:val="24"/>
          <w:lang w:eastAsia="pt-BR"/>
        </w:rPr>
      </w:pPr>
      <w:proofErr w:type="gramStart"/>
      <w:r>
        <w:rPr>
          <w:rFonts w:ascii="Times New Roman" w:eastAsiaTheme="minorEastAsia" w:hAnsi="Times New Roman" w:cs="Times New Roman"/>
          <w:sz w:val="24"/>
          <w:szCs w:val="24"/>
          <w:lang w:eastAsia="pt-BR"/>
        </w:rPr>
        <w:t xml:space="preserve">Pós </w:t>
      </w:r>
      <w:r w:rsidR="00142ADC" w:rsidRPr="006114D7">
        <w:rPr>
          <w:rFonts w:ascii="Times New Roman" w:eastAsiaTheme="minorEastAsia" w:hAnsi="Times New Roman" w:cs="Times New Roman"/>
          <w:sz w:val="24"/>
          <w:szCs w:val="24"/>
          <w:lang w:eastAsia="pt-BR"/>
        </w:rPr>
        <w:t>conversão</w:t>
      </w:r>
      <w:proofErr w:type="gramEnd"/>
      <w:r w:rsidR="00142ADC" w:rsidRPr="006114D7">
        <w:rPr>
          <w:rFonts w:ascii="Times New Roman" w:eastAsiaTheme="minorEastAsia" w:hAnsi="Times New Roman" w:cs="Times New Roman"/>
          <w:sz w:val="24"/>
          <w:szCs w:val="24"/>
          <w:lang w:eastAsia="pt-BR"/>
        </w:rPr>
        <w:t>, se os lucros continuam a cai</w:t>
      </w:r>
      <w:r w:rsidR="00995BFC" w:rsidRPr="006114D7">
        <w:rPr>
          <w:rFonts w:ascii="Times New Roman" w:eastAsiaTheme="minorEastAsia" w:hAnsi="Times New Roman" w:cs="Times New Roman"/>
          <w:sz w:val="24"/>
          <w:szCs w:val="24"/>
          <w:lang w:eastAsia="pt-BR"/>
        </w:rPr>
        <w:t>r</w:t>
      </w:r>
      <w:r w:rsidR="00142ADC" w:rsidRPr="006114D7">
        <w:rPr>
          <w:rFonts w:ascii="Times New Roman" w:eastAsiaTheme="minorEastAsia" w:hAnsi="Times New Roman" w:cs="Times New Roman"/>
          <w:sz w:val="24"/>
          <w:szCs w:val="24"/>
          <w:lang w:eastAsia="pt-BR"/>
        </w:rPr>
        <w:t xml:space="preserve">, a nova fronteira </w:t>
      </w:r>
      <w:r w:rsidR="00995BFC" w:rsidRPr="006114D7">
        <w:rPr>
          <w:rFonts w:ascii="Times New Roman" w:eastAsiaTheme="minorEastAsia" w:hAnsi="Times New Roman" w:cs="Times New Roman"/>
          <w:sz w:val="24"/>
          <w:szCs w:val="24"/>
          <w:lang w:eastAsia="pt-BR"/>
        </w:rPr>
        <w:t>de</w:t>
      </w:r>
      <w:r w:rsidR="00142ADC" w:rsidRPr="006114D7">
        <w:rPr>
          <w:rFonts w:ascii="Times New Roman" w:eastAsiaTheme="minorEastAsia" w:hAnsi="Times New Roman" w:cs="Times New Roman"/>
          <w:sz w:val="24"/>
          <w:szCs w:val="24"/>
          <w:lang w:eastAsia="pt-BR"/>
        </w:rPr>
        <w:t xml:space="preserve"> dificuldades financeiras é dada por</w:t>
      </w:r>
      <m:oMath>
        <m:r>
          <m:rPr>
            <m:sty m:val="p"/>
          </m:rPr>
          <w:rPr>
            <w:rFonts w:ascii="Cambria Math" w:eastAsiaTheme="minorEastAsia" w:hAnsi="Cambria Math" w:cs="Times New Roman"/>
            <w:sz w:val="24"/>
            <w:szCs w:val="24"/>
            <w:lang w:eastAsia="pt-BR"/>
          </w:rPr>
          <m:t xml:space="preserve"> </m:t>
        </m:r>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ξ</m:t>
            </m:r>
          </m:e>
          <m:sub>
            <m:r>
              <m:rPr>
                <m:sty m:val="p"/>
              </m:rPr>
              <w:rPr>
                <w:rFonts w:ascii="Cambria Math" w:eastAsiaTheme="minorEastAsia" w:hAnsi="Cambria Math" w:cs="Times New Roman"/>
                <w:sz w:val="24"/>
                <w:szCs w:val="24"/>
                <w:lang w:eastAsia="pt-BR"/>
              </w:rPr>
              <m:t>c</m:t>
            </m:r>
          </m:sub>
        </m:sSub>
        <m:r>
          <w:rPr>
            <w:rFonts w:ascii="Cambria Math" w:eastAsiaTheme="minorEastAsia" w:hAnsi="Cambria Math" w:cs="Times New Roman"/>
            <w:sz w:val="24"/>
            <w:szCs w:val="24"/>
            <w:lang w:eastAsia="pt-BR"/>
          </w:rPr>
          <m:t>=</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d</m:t>
            </m:r>
          </m:e>
        </m:d>
      </m:oMath>
      <w:r w:rsidR="00142ADC" w:rsidRPr="006114D7">
        <w:rPr>
          <w:rFonts w:ascii="Times New Roman" w:eastAsiaTheme="minorEastAsia" w:hAnsi="Times New Roman" w:cs="Times New Roman"/>
          <w:sz w:val="24"/>
          <w:szCs w:val="24"/>
          <w:lang w:eastAsia="pt-BR"/>
        </w:rPr>
        <w:t xml:space="preserve">. </w:t>
      </w:r>
      <w:r w:rsidR="00EA3BDB" w:rsidRPr="006114D7">
        <w:rPr>
          <w:rFonts w:ascii="Times New Roman" w:eastAsiaTheme="minorEastAsia" w:hAnsi="Times New Roman" w:cs="Times New Roman"/>
          <w:sz w:val="24"/>
          <w:szCs w:val="24"/>
          <w:lang w:eastAsia="pt-BR"/>
        </w:rPr>
        <w:t xml:space="preserve">Pela </w:t>
      </w:r>
      <w:r w:rsidR="00142ADC" w:rsidRPr="006114D7">
        <w:rPr>
          <w:rFonts w:ascii="Times New Roman" w:eastAsiaTheme="minorEastAsia" w:hAnsi="Times New Roman" w:cs="Times New Roman"/>
          <w:sz w:val="24"/>
          <w:szCs w:val="24"/>
          <w:lang w:eastAsia="pt-BR"/>
        </w:rPr>
        <w:t>definiç</w:t>
      </w:r>
      <w:r w:rsidR="00EA3BDB" w:rsidRPr="006114D7">
        <w:rPr>
          <w:rFonts w:ascii="Times New Roman" w:eastAsiaTheme="minorEastAsia" w:hAnsi="Times New Roman" w:cs="Times New Roman"/>
          <w:sz w:val="24"/>
          <w:szCs w:val="24"/>
          <w:lang w:eastAsia="pt-BR"/>
        </w:rPr>
        <w:t>ão</w:t>
      </w:r>
      <w:r w:rsidR="00142ADC" w:rsidRPr="006114D7">
        <w:rPr>
          <w:rFonts w:ascii="Times New Roman" w:eastAsiaTheme="minorEastAsia" w:hAnsi="Times New Roman" w:cs="Times New Roman"/>
          <w:sz w:val="24"/>
          <w:szCs w:val="24"/>
          <w:lang w:eastAsia="pt-BR"/>
        </w:rPr>
        <w:t xml:space="preserve"> de </w:t>
      </w:r>
      <m:oMath>
        <m:r>
          <m:rPr>
            <m:scr m:val="script"/>
            <m:sty m:val="p"/>
          </m:rPr>
          <w:rPr>
            <w:rFonts w:ascii="Cambria Math" w:eastAsiaTheme="minorEastAsia" w:hAnsi="Cambria Math" w:cs="Times New Roman"/>
            <w:sz w:val="24"/>
            <w:szCs w:val="24"/>
            <w:lang w:eastAsia="pt-BR"/>
          </w:rPr>
          <m:t>X</m:t>
        </m:r>
      </m:oMath>
      <w:r w:rsidR="00142ADC" w:rsidRPr="006114D7">
        <w:rPr>
          <w:rFonts w:ascii="Times New Roman" w:eastAsiaTheme="minorEastAsia" w:hAnsi="Times New Roman" w:cs="Times New Roman"/>
          <w:sz w:val="24"/>
          <w:szCs w:val="24"/>
          <w:lang w:eastAsia="pt-BR"/>
        </w:rPr>
        <w:t xml:space="preserve"> e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ξ</m:t>
            </m:r>
          </m:e>
          <m:sub>
            <m:r>
              <m:rPr>
                <m:sty m:val="p"/>
              </m:rPr>
              <w:rPr>
                <w:rFonts w:ascii="Cambria Math" w:eastAsiaTheme="minorEastAsia" w:hAnsi="Cambria Math" w:cs="Times New Roman"/>
                <w:sz w:val="24"/>
                <w:szCs w:val="24"/>
                <w:lang w:eastAsia="pt-BR"/>
              </w:rPr>
              <m:t>c</m:t>
            </m:r>
          </m:sub>
        </m:sSub>
      </m:oMath>
      <w:r w:rsidR="00EA3BDB" w:rsidRPr="006114D7">
        <w:rPr>
          <w:rFonts w:ascii="Times New Roman" w:eastAsiaTheme="minorEastAsia" w:hAnsi="Times New Roman" w:cs="Times New Roman"/>
          <w:sz w:val="24"/>
          <w:szCs w:val="24"/>
          <w:lang w:eastAsia="pt-BR"/>
        </w:rPr>
        <w:t xml:space="preserve">, os termos </w:t>
      </w:r>
      <m:oMath>
        <m:r>
          <m:rPr>
            <m:scr m:val="script"/>
          </m:rPr>
          <w:rPr>
            <w:rFonts w:ascii="Cambria Math" w:hAnsi="Cambria Math" w:cs="Times New Roman"/>
            <w:sz w:val="24"/>
            <w:szCs w:val="24"/>
          </w:rPr>
          <m:t>V</m:t>
        </m:r>
        <m:d>
          <m:dPr>
            <m:ctrlPr>
              <w:rPr>
                <w:rFonts w:ascii="Cambria Math" w:hAnsi="Cambria Math" w:cs="Times New Roman"/>
                <w:i/>
                <w:sz w:val="24"/>
                <w:szCs w:val="24"/>
              </w:rPr>
            </m:ctrlPr>
          </m:dPr>
          <m:e>
            <m:r>
              <m:rPr>
                <m:scr m:val="script"/>
              </m:rPr>
              <w:rPr>
                <w:rFonts w:ascii="Cambria Math" w:hAnsi="Cambria Math" w:cs="Times New Roman"/>
                <w:sz w:val="24"/>
                <w:szCs w:val="24"/>
              </w:rPr>
              <m:t>X</m:t>
            </m:r>
            <w:proofErr w:type="gramStart"/>
            <m:r>
              <w:rPr>
                <w:rFonts w:ascii="Cambria Math" w:hAnsi="Cambria Math" w:cs="Times New Roman"/>
                <w:sz w:val="24"/>
                <w:szCs w:val="24"/>
              </w:rPr>
              <m:t>,</m:t>
            </m:r>
            <w:proofErr w:type="gramEnd"/>
            <m:r>
              <w:rPr>
                <w:rFonts w:ascii="Cambria Math" w:hAnsi="Cambria Math" w:cs="Times New Roman"/>
                <w:sz w:val="24"/>
                <w:szCs w:val="24"/>
              </w:rPr>
              <m:t>d+c</m:t>
            </m:r>
          </m:e>
        </m:d>
      </m:oMath>
      <w:r w:rsidR="00EA3BDB" w:rsidRPr="006114D7">
        <w:rPr>
          <w:rFonts w:ascii="Times New Roman" w:eastAsiaTheme="minorEastAsia" w:hAnsi="Times New Roman" w:cs="Times New Roman"/>
          <w:sz w:val="24"/>
          <w:szCs w:val="24"/>
        </w:rPr>
        <w:t xml:space="preserve"> e </w:t>
      </w:r>
      <m:oMath>
        <m:r>
          <m:rPr>
            <m:scr m:val="script"/>
          </m:rP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c</m:t>
                </m:r>
              </m:sub>
            </m:sSub>
            <m:r>
              <w:rPr>
                <w:rFonts w:ascii="Cambria Math" w:hAnsi="Cambria Math" w:cs="Times New Roman"/>
                <w:sz w:val="24"/>
                <w:szCs w:val="24"/>
              </w:rPr>
              <m:t>,d</m:t>
            </m:r>
          </m:e>
        </m:d>
      </m:oMath>
      <w:r w:rsidR="00EA3BDB" w:rsidRPr="006114D7">
        <w:rPr>
          <w:rFonts w:ascii="Times New Roman" w:eastAsiaTheme="minorEastAsia" w:hAnsi="Times New Roman" w:cs="Times New Roman"/>
          <w:sz w:val="24"/>
          <w:szCs w:val="24"/>
        </w:rPr>
        <w:t xml:space="preserve"> da equação (</w:t>
      </w:r>
      <w:r w:rsidR="00995BFC" w:rsidRPr="006114D7">
        <w:rPr>
          <w:rFonts w:ascii="Times New Roman" w:eastAsiaTheme="minorEastAsia" w:hAnsi="Times New Roman" w:cs="Times New Roman"/>
          <w:sz w:val="24"/>
          <w:szCs w:val="24"/>
        </w:rPr>
        <w:t>19</w:t>
      </w:r>
      <w:r w:rsidR="00EA3BDB" w:rsidRPr="006114D7">
        <w:rPr>
          <w:rFonts w:ascii="Times New Roman" w:eastAsiaTheme="minorEastAsia" w:hAnsi="Times New Roman" w:cs="Times New Roman"/>
          <w:sz w:val="24"/>
          <w:szCs w:val="24"/>
        </w:rPr>
        <w:t>) são iguais a zero.</w:t>
      </w:r>
    </w:p>
    <w:p w:rsidR="000B0AF5" w:rsidRPr="006114D7" w:rsidRDefault="000B0AF5"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Novamente</w:t>
      </w:r>
      <w:r w:rsidR="005C5901" w:rsidRPr="006114D7">
        <w:rPr>
          <w:rFonts w:ascii="Times New Roman" w:eastAsiaTheme="minorEastAsia" w:hAnsi="Times New Roman" w:cs="Times New Roman"/>
          <w:sz w:val="24"/>
          <w:szCs w:val="24"/>
          <w:lang w:eastAsia="pt-BR"/>
        </w:rPr>
        <w:t>,</w:t>
      </w:r>
      <w:r w:rsidRPr="006114D7">
        <w:rPr>
          <w:rFonts w:ascii="Times New Roman" w:eastAsiaTheme="minorEastAsia" w:hAnsi="Times New Roman" w:cs="Times New Roman"/>
          <w:sz w:val="24"/>
          <w:szCs w:val="24"/>
          <w:lang w:eastAsia="pt-BR"/>
        </w:rPr>
        <w:t xml:space="preserve"> o sinal</w:t>
      </w:r>
      <w:r w:rsidR="005C5901" w:rsidRPr="006114D7">
        <w:rPr>
          <w:rFonts w:ascii="Times New Roman" w:eastAsiaTheme="minorEastAsia" w:hAnsi="Times New Roman" w:cs="Times New Roman"/>
          <w:sz w:val="24"/>
          <w:szCs w:val="24"/>
          <w:lang w:eastAsia="pt-BR"/>
        </w:rPr>
        <w:t xml:space="preserve"> da derivada</w:t>
      </w:r>
      <w:r w:rsidRPr="006114D7">
        <w:rPr>
          <w:rFonts w:ascii="Times New Roman" w:eastAsiaTheme="minorEastAsia" w:hAnsi="Times New Roman" w:cs="Times New Roman"/>
          <w:sz w:val="24"/>
          <w:szCs w:val="24"/>
          <w:lang w:eastAsia="pt-BR"/>
        </w:rPr>
        <w:t xml:space="preserve"> é definido por </w:t>
      </w:r>
      <m:oMath>
        <m:r>
          <m:rPr>
            <m:scr m:val="script"/>
            <m:sty m:val="p"/>
          </m:rPr>
          <w:rPr>
            <w:rFonts w:ascii="Cambria Math" w:eastAsiaTheme="minorEastAsia" w:hAnsi="Cambria Math" w:cs="Times New Roman"/>
            <w:sz w:val="24"/>
            <w:szCs w:val="24"/>
            <w:lang w:eastAsia="pt-BR"/>
          </w:rPr>
          <m:t>V</m:t>
        </m:r>
        <m:d>
          <m:dPr>
            <m:ctrlPr>
              <w:rPr>
                <w:rFonts w:ascii="Cambria Math" w:eastAsiaTheme="minorEastAsia" w:hAnsi="Cambria Math" w:cs="Times New Roman"/>
                <w:sz w:val="24"/>
                <w:szCs w:val="24"/>
                <w:lang w:eastAsia="pt-BR"/>
              </w:rPr>
            </m:ctrlPr>
          </m:dPr>
          <m:e>
            <m:r>
              <m:rPr>
                <m:scr m:val="script"/>
                <m:sty m:val="p"/>
              </m:rPr>
              <w:rPr>
                <w:rFonts w:ascii="Cambria Math" w:eastAsiaTheme="minorEastAsia" w:hAnsi="Cambria Math" w:cs="Times New Roman"/>
                <w:sz w:val="24"/>
                <w:szCs w:val="24"/>
                <w:lang w:eastAsia="pt-BR"/>
              </w:rPr>
              <m:t>X</m:t>
            </m:r>
            <w:proofErr w:type="gramStart"/>
            <m:r>
              <m:rPr>
                <m:sty m:val="p"/>
              </m:rPr>
              <w:rPr>
                <w:rFonts w:ascii="Cambria Math" w:eastAsiaTheme="minorEastAsia" w:hAnsi="Cambria Math" w:cs="Times New Roman"/>
                <w:sz w:val="24"/>
                <w:szCs w:val="24"/>
                <w:lang w:eastAsia="pt-BR"/>
              </w:rPr>
              <m:t>,</m:t>
            </m:r>
            <w:proofErr w:type="gramEnd"/>
            <m:r>
              <m:rPr>
                <m:sty m:val="p"/>
              </m:rPr>
              <w:rPr>
                <w:rFonts w:ascii="Cambria Math" w:eastAsiaTheme="minorEastAsia" w:hAnsi="Cambria Math" w:cs="Times New Roman"/>
                <w:sz w:val="24"/>
                <w:szCs w:val="24"/>
                <w:lang w:eastAsia="pt-BR"/>
              </w:rPr>
              <m:t>d</m:t>
            </m:r>
          </m:e>
        </m:d>
      </m:oMath>
      <w:r w:rsidRPr="006114D7">
        <w:rPr>
          <w:rFonts w:ascii="Times New Roman" w:eastAsiaTheme="minorEastAsia" w:hAnsi="Times New Roman" w:cs="Times New Roman"/>
          <w:sz w:val="24"/>
          <w:szCs w:val="24"/>
          <w:lang w:eastAsia="pt-BR"/>
        </w:rPr>
        <w:t xml:space="preserve"> e pela definição de </w:t>
      </w:r>
      <m:oMath>
        <m:r>
          <m:rPr>
            <m:scr m:val="script"/>
            <m:sty m:val="p"/>
          </m:rPr>
          <w:rPr>
            <w:rFonts w:ascii="Cambria Math" w:eastAsiaTheme="minorEastAsia" w:hAnsi="Cambria Math" w:cs="Times New Roman"/>
            <w:sz w:val="24"/>
            <w:szCs w:val="24"/>
            <w:lang w:eastAsia="pt-BR"/>
          </w:rPr>
          <m:t>V</m:t>
        </m:r>
      </m:oMath>
      <w:r w:rsidRPr="006114D7">
        <w:rPr>
          <w:rFonts w:ascii="Times New Roman" w:eastAsiaTheme="minorEastAsia" w:hAnsi="Times New Roman" w:cs="Times New Roman"/>
          <w:sz w:val="24"/>
          <w:szCs w:val="24"/>
          <w:lang w:eastAsia="pt-BR"/>
        </w:rPr>
        <w:t xml:space="preserve"> e </w:t>
      </w:r>
      <m:oMath>
        <m:r>
          <m:rPr>
            <m:scr m:val="script"/>
            <m:sty m:val="p"/>
          </m:rPr>
          <w:rPr>
            <w:rFonts w:ascii="Cambria Math" w:eastAsiaTheme="minorEastAsia" w:hAnsi="Cambria Math" w:cs="Times New Roman"/>
            <w:sz w:val="24"/>
            <w:szCs w:val="24"/>
            <w:lang w:eastAsia="pt-BR"/>
          </w:rPr>
          <m:t>X</m:t>
        </m:r>
      </m:oMath>
      <w:r w:rsidR="005354EE" w:rsidRPr="006114D7">
        <w:rPr>
          <w:rFonts w:ascii="Times New Roman" w:eastAsiaTheme="minorEastAsia" w:hAnsi="Times New Roman" w:cs="Times New Roman"/>
          <w:sz w:val="24"/>
          <w:szCs w:val="24"/>
          <w:lang w:eastAsia="pt-BR"/>
        </w:rPr>
        <w:t xml:space="preserve"> eles s</w:t>
      </w:r>
      <w:proofErr w:type="spellStart"/>
      <w:r w:rsidR="00995BFC" w:rsidRPr="006114D7">
        <w:rPr>
          <w:rFonts w:ascii="Times New Roman" w:eastAsiaTheme="minorEastAsia" w:hAnsi="Times New Roman" w:cs="Times New Roman"/>
          <w:sz w:val="24"/>
          <w:szCs w:val="24"/>
          <w:lang w:eastAsia="pt-BR"/>
        </w:rPr>
        <w:t>ão</w:t>
      </w:r>
      <w:proofErr w:type="spellEnd"/>
      <w:r w:rsidR="005354EE" w:rsidRPr="006114D7">
        <w:rPr>
          <w:rFonts w:ascii="Times New Roman" w:eastAsiaTheme="minorEastAsia" w:hAnsi="Times New Roman" w:cs="Times New Roman"/>
          <w:sz w:val="24"/>
          <w:szCs w:val="24"/>
          <w:lang w:eastAsia="pt-BR"/>
        </w:rPr>
        <w:t xml:space="preserve"> igua</w:t>
      </w:r>
      <w:r w:rsidR="00995BFC" w:rsidRPr="006114D7">
        <w:rPr>
          <w:rFonts w:ascii="Times New Roman" w:eastAsiaTheme="minorEastAsia" w:hAnsi="Times New Roman" w:cs="Times New Roman"/>
          <w:sz w:val="24"/>
          <w:szCs w:val="24"/>
          <w:lang w:eastAsia="pt-BR"/>
        </w:rPr>
        <w:t>is</w:t>
      </w:r>
      <w:r w:rsidR="005E1294" w:rsidRPr="006114D7">
        <w:rPr>
          <w:rFonts w:ascii="Times New Roman" w:eastAsiaTheme="minorEastAsia" w:hAnsi="Times New Roman" w:cs="Times New Roman"/>
          <w:sz w:val="24"/>
          <w:szCs w:val="24"/>
          <w:lang w:eastAsia="pt-BR"/>
        </w:rPr>
        <w:t xml:space="preserve">, </w:t>
      </w:r>
      <m:oMath>
        <m:r>
          <m:rPr>
            <m:scr m:val="script"/>
            <m:sty m:val="p"/>
          </m:rPr>
          <w:rPr>
            <w:rFonts w:ascii="Cambria Math" w:eastAsiaTheme="minorEastAsia" w:hAnsi="Cambria Math" w:cs="Times New Roman"/>
            <w:sz w:val="24"/>
            <w:szCs w:val="24"/>
            <w:lang w:eastAsia="pt-BR"/>
          </w:rPr>
          <m:t>V</m:t>
        </m:r>
        <m:d>
          <m:dPr>
            <m:ctrlPr>
              <w:rPr>
                <w:rFonts w:ascii="Cambria Math" w:eastAsiaTheme="minorEastAsia" w:hAnsi="Cambria Math" w:cs="Times New Roman"/>
                <w:sz w:val="24"/>
                <w:szCs w:val="24"/>
                <w:lang w:eastAsia="pt-BR"/>
              </w:rPr>
            </m:ctrlPr>
          </m:dPr>
          <m:e>
            <m:r>
              <m:rPr>
                <m:scr m:val="script"/>
                <m:sty m:val="p"/>
              </m:rPr>
              <w:rPr>
                <w:rFonts w:ascii="Cambria Math" w:eastAsiaTheme="minorEastAsia" w:hAnsi="Cambria Math" w:cs="Times New Roman"/>
                <w:sz w:val="24"/>
                <w:szCs w:val="24"/>
                <w:lang w:eastAsia="pt-BR"/>
              </w:rPr>
              <m:t>X</m:t>
            </m:r>
            <m:r>
              <m:rPr>
                <m:sty m:val="p"/>
              </m:rPr>
              <w:rPr>
                <w:rFonts w:ascii="Cambria Math" w:eastAsiaTheme="minorEastAsia" w:hAnsi="Cambria Math" w:cs="Times New Roman"/>
                <w:sz w:val="24"/>
                <w:szCs w:val="24"/>
                <w:lang w:eastAsia="pt-BR"/>
              </w:rPr>
              <m:t>,d</m:t>
            </m:r>
          </m:e>
        </m:d>
        <m:r>
          <m:rPr>
            <m:sty m:val="p"/>
          </m:rPr>
          <w:rPr>
            <w:rFonts w:ascii="Cambria Math" w:eastAsiaTheme="minorEastAsia" w:hAnsi="Cambria Math" w:cs="Times New Roman"/>
            <w:sz w:val="24"/>
            <w:szCs w:val="24"/>
            <w:lang w:eastAsia="pt-BR"/>
          </w:rPr>
          <m:t>=</m:t>
        </m:r>
        <m:d>
          <m:dPr>
            <m:ctrlPr>
              <w:rPr>
                <w:rFonts w:ascii="Cambria Math" w:eastAsiaTheme="minorEastAsia" w:hAnsi="Cambria Math" w:cs="Times New Roman"/>
                <w:sz w:val="24"/>
                <w:szCs w:val="24"/>
                <w:lang w:eastAsia="pt-BR"/>
              </w:rPr>
            </m:ctrlPr>
          </m:dPr>
          <m:e>
            <m:r>
              <m:rPr>
                <m:sty m:val="p"/>
              </m:rPr>
              <w:rPr>
                <w:rFonts w:ascii="Cambria Math" w:eastAsiaTheme="minorEastAsia" w:hAnsi="Cambria Math" w:cs="Times New Roman"/>
                <w:sz w:val="24"/>
                <w:szCs w:val="24"/>
                <w:lang w:eastAsia="pt-BR"/>
              </w:rPr>
              <m:t>1-τ</m:t>
            </m:r>
          </m:e>
        </m:d>
        <m:d>
          <m:dPr>
            <m:ctrlPr>
              <w:rPr>
                <w:rFonts w:ascii="Cambria Math" w:eastAsiaTheme="minorEastAsia" w:hAnsi="Cambria Math" w:cs="Times New Roman"/>
                <w:sz w:val="24"/>
                <w:szCs w:val="24"/>
                <w:lang w:eastAsia="pt-BR"/>
              </w:rPr>
            </m:ctrlPr>
          </m:dPr>
          <m:e>
            <m:f>
              <m:fPr>
                <m:ctrlPr>
                  <w:rPr>
                    <w:rFonts w:ascii="Cambria Math" w:eastAsiaTheme="minorEastAsia" w:hAnsi="Cambria Math" w:cs="Times New Roman"/>
                    <w:sz w:val="24"/>
                    <w:szCs w:val="24"/>
                    <w:lang w:eastAsia="pt-BR"/>
                  </w:rPr>
                </m:ctrlPr>
              </m:fPr>
              <m:num>
                <m:r>
                  <m:rPr>
                    <m:scr m:val="script"/>
                    <m:sty m:val="p"/>
                  </m:rPr>
                  <w:rPr>
                    <w:rFonts w:ascii="Cambria Math" w:eastAsiaTheme="minorEastAsia" w:hAnsi="Cambria Math" w:cs="Times New Roman"/>
                    <w:sz w:val="24"/>
                    <w:szCs w:val="24"/>
                    <w:lang w:eastAsia="pt-BR"/>
                  </w:rPr>
                  <m:t>X</m:t>
                </m:r>
              </m:num>
              <m:den>
                <m:r>
                  <m:rPr>
                    <m:sty m:val="p"/>
                  </m:rPr>
                  <w:rPr>
                    <w:rFonts w:ascii="Cambria Math" w:eastAsiaTheme="minorEastAsia" w:hAnsi="Cambria Math" w:cs="Times New Roman"/>
                    <w:sz w:val="24"/>
                    <w:szCs w:val="24"/>
                    <w:lang w:eastAsia="pt-BR"/>
                  </w:rPr>
                  <m:t>r-μ</m:t>
                </m:r>
              </m:den>
            </m:f>
            <m:r>
              <m:rPr>
                <m:sty m:val="p"/>
              </m:rPr>
              <w:rPr>
                <w:rFonts w:ascii="Cambria Math" w:eastAsiaTheme="minorEastAsia" w:hAnsi="Cambria Math" w:cs="Times New Roman"/>
                <w:sz w:val="24"/>
                <w:szCs w:val="24"/>
                <w:lang w:eastAsia="pt-BR"/>
              </w:rPr>
              <m:t>-</m:t>
            </m:r>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d</m:t>
                </m:r>
              </m:num>
              <m:den>
                <m:r>
                  <m:rPr>
                    <m:sty m:val="p"/>
                  </m:rPr>
                  <w:rPr>
                    <w:rFonts w:ascii="Cambria Math" w:eastAsiaTheme="minorEastAsia" w:hAnsi="Cambria Math" w:cs="Times New Roman"/>
                    <w:sz w:val="24"/>
                    <w:szCs w:val="24"/>
                    <w:lang w:eastAsia="pt-BR"/>
                  </w:rPr>
                  <m:t>r</m:t>
                </m:r>
              </m:den>
            </m:f>
          </m:e>
        </m:d>
        <m:r>
          <m:rPr>
            <m:sty m:val="p"/>
          </m:rPr>
          <w:rPr>
            <w:rFonts w:ascii="Cambria Math" w:eastAsiaTheme="minorEastAsia" w:hAnsi="Cambria Math" w:cs="Times New Roman"/>
            <w:sz w:val="24"/>
            <w:szCs w:val="24"/>
            <w:lang w:eastAsia="pt-BR"/>
          </w:rPr>
          <m:t>=</m:t>
        </m:r>
        <m:d>
          <m:dPr>
            <m:ctrlPr>
              <w:rPr>
                <w:rFonts w:ascii="Cambria Math" w:eastAsiaTheme="minorEastAsia" w:hAnsi="Cambria Math" w:cs="Times New Roman"/>
                <w:sz w:val="24"/>
                <w:szCs w:val="24"/>
                <w:lang w:eastAsia="pt-BR"/>
              </w:rPr>
            </m:ctrlPr>
          </m:dPr>
          <m:e>
            <m:r>
              <m:rPr>
                <m:sty m:val="p"/>
              </m:rPr>
              <w:rPr>
                <w:rFonts w:ascii="Cambria Math" w:eastAsiaTheme="minorEastAsia" w:hAnsi="Cambria Math" w:cs="Times New Roman"/>
                <w:sz w:val="24"/>
                <w:szCs w:val="24"/>
                <w:lang w:eastAsia="pt-BR"/>
              </w:rPr>
              <m:t>1-τ</m:t>
            </m:r>
          </m:e>
        </m:d>
        <m:d>
          <m:dPr>
            <m:ctrlPr>
              <w:rPr>
                <w:rFonts w:ascii="Cambria Math" w:eastAsiaTheme="minorEastAsia" w:hAnsi="Cambria Math" w:cs="Times New Roman"/>
                <w:sz w:val="24"/>
                <w:szCs w:val="24"/>
                <w:lang w:eastAsia="pt-BR"/>
              </w:rPr>
            </m:ctrlPr>
          </m:dPr>
          <m:e>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c</m:t>
                </m:r>
              </m:num>
              <m:den>
                <m:r>
                  <m:rPr>
                    <m:sty m:val="p"/>
                  </m:rPr>
                  <w:rPr>
                    <w:rFonts w:ascii="Cambria Math" w:eastAsiaTheme="minorEastAsia" w:hAnsi="Cambria Math" w:cs="Times New Roman"/>
                    <w:sz w:val="24"/>
                    <w:szCs w:val="24"/>
                    <w:lang w:eastAsia="pt-BR"/>
                  </w:rPr>
                  <m:t>r</m:t>
                </m:r>
              </m:den>
            </m:f>
          </m:e>
        </m:d>
        <m:r>
          <m:rPr>
            <m:sty m:val="p"/>
          </m:rPr>
          <w:rPr>
            <w:rFonts w:ascii="Cambria Math" w:eastAsiaTheme="minorEastAsia" w:hAnsi="Cambria Math" w:cs="Times New Roman"/>
            <w:sz w:val="24"/>
            <w:szCs w:val="24"/>
            <w:lang w:eastAsia="pt-BR"/>
          </w:rPr>
          <m:t>&gt;0</m:t>
        </m:r>
      </m:oMath>
      <w:r w:rsidR="00995BFC" w:rsidRPr="006114D7">
        <w:rPr>
          <w:rFonts w:ascii="Times New Roman" w:eastAsiaTheme="minorEastAsia" w:hAnsi="Times New Roman" w:cs="Times New Roman"/>
          <w:sz w:val="24"/>
          <w:szCs w:val="24"/>
          <w:lang w:eastAsia="pt-BR"/>
        </w:rPr>
        <w:t xml:space="preserve">, e a igualdade será sempre </w:t>
      </w:r>
      <w:r w:rsidR="005E1294" w:rsidRPr="006114D7">
        <w:rPr>
          <w:rFonts w:ascii="Times New Roman" w:eastAsiaTheme="minorEastAsia" w:hAnsi="Times New Roman" w:cs="Times New Roman"/>
          <w:sz w:val="24"/>
          <w:szCs w:val="24"/>
          <w:lang w:eastAsia="pt-BR"/>
        </w:rPr>
        <w:t xml:space="preserve"> positiv</w:t>
      </w:r>
      <w:r w:rsidR="00995BFC" w:rsidRPr="006114D7">
        <w:rPr>
          <w:rFonts w:ascii="Times New Roman" w:eastAsiaTheme="minorEastAsia" w:hAnsi="Times New Roman" w:cs="Times New Roman"/>
          <w:sz w:val="24"/>
          <w:szCs w:val="24"/>
          <w:lang w:eastAsia="pt-BR"/>
        </w:rPr>
        <w:t>a</w:t>
      </w:r>
      <w:r w:rsidR="005E1294" w:rsidRPr="006114D7">
        <w:rPr>
          <w:rFonts w:ascii="Times New Roman" w:eastAsiaTheme="minorEastAsia" w:hAnsi="Times New Roman" w:cs="Times New Roman"/>
          <w:sz w:val="24"/>
          <w:szCs w:val="24"/>
          <w:lang w:eastAsia="pt-BR"/>
        </w:rPr>
        <w:t xml:space="preserve"> para </w:t>
      </w:r>
      <m:oMath>
        <m:r>
          <m:rPr>
            <m:sty m:val="p"/>
          </m:rPr>
          <w:rPr>
            <w:rFonts w:ascii="Cambria Math" w:eastAsiaTheme="minorEastAsia" w:hAnsi="Cambria Math" w:cs="Times New Roman"/>
            <w:sz w:val="24"/>
            <w:szCs w:val="24"/>
            <w:lang w:eastAsia="pt-BR"/>
          </w:rPr>
          <m:t>γ&lt;1</m:t>
        </m:r>
      </m:oMath>
      <w:r w:rsidR="005E1294" w:rsidRPr="006114D7">
        <w:rPr>
          <w:rFonts w:ascii="Times New Roman" w:eastAsiaTheme="minorEastAsia" w:hAnsi="Times New Roman" w:cs="Times New Roman"/>
          <w:sz w:val="24"/>
          <w:szCs w:val="24"/>
          <w:lang w:eastAsia="pt-BR"/>
        </w:rPr>
        <w:t xml:space="preserve">. Assim, temos como resultado que, </w:t>
      </w:r>
      <w:r w:rsidR="008F5D25" w:rsidRPr="006114D7">
        <w:rPr>
          <w:rFonts w:ascii="Times New Roman" w:eastAsiaTheme="minorEastAsia" w:hAnsi="Times New Roman" w:cs="Times New Roman"/>
          <w:sz w:val="24"/>
          <w:szCs w:val="24"/>
          <w:lang w:eastAsia="pt-BR"/>
        </w:rPr>
        <w:t xml:space="preserve">enquanto os acionistas </w:t>
      </w:r>
      <w:r w:rsidR="00785BE4">
        <w:rPr>
          <w:rFonts w:ascii="Times New Roman" w:eastAsiaTheme="minorEastAsia" w:hAnsi="Times New Roman" w:cs="Times New Roman"/>
          <w:sz w:val="24"/>
          <w:szCs w:val="24"/>
          <w:lang w:eastAsia="pt-BR"/>
        </w:rPr>
        <w:t xml:space="preserve">iniciais </w:t>
      </w:r>
      <w:r w:rsidR="008F5D25" w:rsidRPr="006114D7">
        <w:rPr>
          <w:rFonts w:ascii="Times New Roman" w:eastAsiaTheme="minorEastAsia" w:hAnsi="Times New Roman" w:cs="Times New Roman"/>
          <w:sz w:val="24"/>
          <w:szCs w:val="24"/>
          <w:lang w:eastAsia="pt-BR"/>
        </w:rPr>
        <w:t xml:space="preserve">retiverem uma fração positiva dos direitos dos fluxos de caixa </w:t>
      </w:r>
      <m:oMath>
        <m:r>
          <m:rPr>
            <m:sty m:val="p"/>
          </m:rPr>
          <w:rPr>
            <w:rFonts w:ascii="Cambria Math" w:eastAsiaTheme="minorEastAsia" w:hAnsi="Cambria Math" w:cs="Times New Roman"/>
            <w:sz w:val="24"/>
            <w:szCs w:val="24"/>
            <w:lang w:eastAsia="pt-BR"/>
          </w:rPr>
          <m:t>(γ&lt;1)</m:t>
        </m:r>
      </m:oMath>
      <w:r w:rsidR="008F5D25" w:rsidRPr="006114D7">
        <w:rPr>
          <w:rFonts w:ascii="Times New Roman" w:eastAsiaTheme="minorEastAsia" w:hAnsi="Times New Roman" w:cs="Times New Roman"/>
          <w:sz w:val="24"/>
          <w:szCs w:val="24"/>
          <w:lang w:eastAsia="pt-BR"/>
        </w:rPr>
        <w:t xml:space="preserve">, </w:t>
      </w:r>
      <m:oMath>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sz w:val="24"/>
                    <w:szCs w:val="24"/>
                    <w:lang w:eastAsia="pt-BR"/>
                  </w:rPr>
                </m:ctrlPr>
              </m:sSubSupPr>
              <m:e>
                <m:r>
                  <m:rPr>
                    <m:sty m:val="p"/>
                  </m:rPr>
                  <w:rPr>
                    <w:rFonts w:ascii="Cambria Math" w:eastAsiaTheme="minorEastAsia" w:hAnsi="Cambria Math" w:cs="Times New Roman"/>
                    <w:sz w:val="24"/>
                    <w:szCs w:val="24"/>
                    <w:lang w:eastAsia="pt-BR"/>
                  </w:rPr>
                  <m:t>S</m:t>
                </m:r>
              </m:e>
              <m:sub>
                <m:r>
                  <m:rPr>
                    <m:sty m:val="p"/>
                  </m:rPr>
                  <w:rPr>
                    <w:rFonts w:ascii="Cambria Math" w:eastAsiaTheme="minorEastAsia" w:hAnsi="Cambria Math" w:cs="Times New Roman"/>
                    <w:sz w:val="24"/>
                    <w:szCs w:val="24"/>
                    <w:lang w:eastAsia="pt-BR"/>
                  </w:rPr>
                  <m:t>t</m:t>
                </m:r>
              </m:sub>
              <m:sup>
                <m:r>
                  <m:rPr>
                    <m:sty m:val="p"/>
                  </m:rPr>
                  <w:rPr>
                    <w:rFonts w:ascii="Cambria Math" w:eastAsiaTheme="minorEastAsia" w:hAnsi="Cambria Math" w:cs="Times New Roman"/>
                    <w:sz w:val="24"/>
                    <w:szCs w:val="24"/>
                    <w:lang w:eastAsia="pt-BR"/>
                  </w:rPr>
                  <m:t>c</m:t>
                </m:r>
              </m:sup>
            </m:sSubSup>
          </m:num>
          <m:den>
            <m:r>
              <m:rPr>
                <m:sty m:val="p"/>
              </m:rPr>
              <w:rPr>
                <w:rFonts w:ascii="Cambria Math" w:eastAsiaTheme="minorEastAsia" w:hAnsi="Cambria Math" w:cs="Times New Roman"/>
                <w:sz w:val="24"/>
                <w:szCs w:val="24"/>
                <w:lang w:eastAsia="pt-BR"/>
              </w:rPr>
              <m:t>∂σ</m:t>
            </m:r>
          </m:den>
        </m:f>
      </m:oMath>
      <w:r w:rsidR="008F5D25" w:rsidRPr="006114D7">
        <w:rPr>
          <w:rFonts w:ascii="Times New Roman" w:eastAsiaTheme="minorEastAsia" w:hAnsi="Times New Roman" w:cs="Times New Roman"/>
          <w:sz w:val="24"/>
          <w:szCs w:val="24"/>
          <w:lang w:eastAsia="pt-BR"/>
        </w:rPr>
        <w:t xml:space="preserve"> será sem</w:t>
      </w:r>
      <w:proofErr w:type="spellStart"/>
      <w:r w:rsidR="00995BFC" w:rsidRPr="006114D7">
        <w:rPr>
          <w:rFonts w:ascii="Times New Roman" w:eastAsiaTheme="minorEastAsia" w:hAnsi="Times New Roman" w:cs="Times New Roman"/>
          <w:sz w:val="24"/>
          <w:szCs w:val="24"/>
          <w:lang w:eastAsia="pt-BR"/>
        </w:rPr>
        <w:t>pre</w:t>
      </w:r>
      <w:proofErr w:type="spellEnd"/>
      <w:r w:rsidR="00995BFC" w:rsidRPr="006114D7">
        <w:rPr>
          <w:rFonts w:ascii="Times New Roman" w:eastAsiaTheme="minorEastAsia" w:hAnsi="Times New Roman" w:cs="Times New Roman"/>
          <w:sz w:val="24"/>
          <w:szCs w:val="24"/>
          <w:lang w:eastAsia="pt-BR"/>
        </w:rPr>
        <w:t xml:space="preserve"> positiva, e os </w:t>
      </w:r>
      <w:r w:rsidR="00785BE4">
        <w:rPr>
          <w:rFonts w:ascii="Times New Roman" w:eastAsiaTheme="minorEastAsia" w:hAnsi="Times New Roman" w:cs="Times New Roman"/>
          <w:sz w:val="24"/>
          <w:szCs w:val="24"/>
          <w:lang w:eastAsia="pt-BR"/>
        </w:rPr>
        <w:t>eles</w:t>
      </w:r>
      <w:r w:rsidR="00995BFC" w:rsidRPr="006114D7">
        <w:rPr>
          <w:rFonts w:ascii="Times New Roman" w:eastAsiaTheme="minorEastAsia" w:hAnsi="Times New Roman" w:cs="Times New Roman"/>
          <w:sz w:val="24"/>
          <w:szCs w:val="24"/>
          <w:lang w:eastAsia="pt-BR"/>
        </w:rPr>
        <w:t xml:space="preserve"> tê</w:t>
      </w:r>
      <w:r w:rsidR="008F5D25" w:rsidRPr="006114D7">
        <w:rPr>
          <w:rFonts w:ascii="Times New Roman" w:eastAsiaTheme="minorEastAsia" w:hAnsi="Times New Roman" w:cs="Times New Roman"/>
          <w:sz w:val="24"/>
          <w:szCs w:val="24"/>
          <w:lang w:eastAsia="pt-BR"/>
        </w:rPr>
        <w:t>m sempre um incentivo de aumentar o risco.</w:t>
      </w:r>
    </w:p>
    <w:p w:rsidR="00EA454B" w:rsidRPr="006114D7" w:rsidRDefault="008F5D25" w:rsidP="00A0576C">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b/>
          <w:sz w:val="24"/>
          <w:szCs w:val="24"/>
          <w:lang w:eastAsia="pt-BR"/>
        </w:rPr>
        <w:t xml:space="preserve">Proposição </w:t>
      </w:r>
      <w:proofErr w:type="gramStart"/>
      <w:r w:rsidRPr="006114D7">
        <w:rPr>
          <w:rFonts w:ascii="Times New Roman" w:eastAsiaTheme="minorEastAsia" w:hAnsi="Times New Roman" w:cs="Times New Roman"/>
          <w:b/>
          <w:sz w:val="24"/>
          <w:szCs w:val="24"/>
          <w:lang w:eastAsia="pt-BR"/>
        </w:rPr>
        <w:t>2</w:t>
      </w:r>
      <w:proofErr w:type="gramEnd"/>
      <w:r w:rsidRPr="006114D7">
        <w:rPr>
          <w:rFonts w:ascii="Times New Roman" w:eastAsiaTheme="minorEastAsia" w:hAnsi="Times New Roman" w:cs="Times New Roman"/>
          <w:sz w:val="24"/>
          <w:szCs w:val="24"/>
          <w:lang w:eastAsia="pt-BR"/>
        </w:rPr>
        <w:t>: (Tomando riscos num cenário de contratos incompletos). Suponha que um banco</w:t>
      </w:r>
      <w:r w:rsidR="00C44A25" w:rsidRPr="006114D7">
        <w:rPr>
          <w:rFonts w:ascii="Times New Roman" w:eastAsiaTheme="minorEastAsia" w:hAnsi="Times New Roman" w:cs="Times New Roman"/>
          <w:sz w:val="24"/>
          <w:szCs w:val="24"/>
          <w:lang w:eastAsia="pt-BR"/>
        </w:rPr>
        <w:t xml:space="preserve"> que</w:t>
      </w:r>
      <w:r w:rsidRPr="006114D7">
        <w:rPr>
          <w:rFonts w:ascii="Times New Roman" w:eastAsiaTheme="minorEastAsia" w:hAnsi="Times New Roman" w:cs="Times New Roman"/>
          <w:sz w:val="24"/>
          <w:szCs w:val="24"/>
          <w:lang w:eastAsia="pt-BR"/>
        </w:rPr>
        <w:t xml:space="preserve"> emitiu títulos de dívidas subordinadas</w:t>
      </w:r>
      <w:r w:rsidR="00C44A25" w:rsidRPr="006114D7">
        <w:rPr>
          <w:rFonts w:ascii="Times New Roman" w:eastAsiaTheme="minorEastAsia" w:hAnsi="Times New Roman" w:cs="Times New Roman"/>
          <w:sz w:val="24"/>
          <w:szCs w:val="24"/>
          <w:lang w:eastAsia="pt-BR"/>
        </w:rPr>
        <w:t xml:space="preserve"> começa</w:t>
      </w:r>
      <w:r w:rsidRPr="006114D7">
        <w:rPr>
          <w:rFonts w:ascii="Times New Roman" w:eastAsiaTheme="minorEastAsia" w:hAnsi="Times New Roman" w:cs="Times New Roman"/>
          <w:sz w:val="24"/>
          <w:szCs w:val="24"/>
          <w:lang w:eastAsia="pt-BR"/>
        </w:rPr>
        <w:t xml:space="preserve"> a passar por dificuldades financeiras</w:t>
      </w:r>
      <w:r w:rsidR="00211D3E" w:rsidRPr="006114D7">
        <w:rPr>
          <w:rFonts w:ascii="Times New Roman" w:eastAsiaTheme="minorEastAsia" w:hAnsi="Times New Roman" w:cs="Times New Roman"/>
          <w:sz w:val="24"/>
          <w:szCs w:val="24"/>
          <w:lang w:eastAsia="pt-BR"/>
        </w:rPr>
        <w:t xml:space="preserve"> </w:t>
      </w:r>
      <m:oMath>
        <m:r>
          <m:rPr>
            <m:scr m:val="script"/>
            <m:sty m:val="p"/>
          </m:rPr>
          <w:rPr>
            <w:rFonts w:ascii="Cambria Math" w:eastAsiaTheme="minorEastAsia" w:hAnsi="Cambria Math" w:cs="Times New Roman"/>
            <w:sz w:val="24"/>
            <w:szCs w:val="24"/>
            <w:lang w:eastAsia="pt-BR"/>
          </w:rPr>
          <m:t>(X=</m:t>
        </m:r>
        <m:acc>
          <m:accPr>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ξ</m:t>
            </m:r>
          </m:e>
        </m:acc>
        <m:d>
          <m:dPr>
            <m:ctrlPr>
              <w:rPr>
                <w:rFonts w:ascii="Cambria Math" w:eastAsiaTheme="minorEastAsia" w:hAnsi="Cambria Math" w:cs="Times New Roman"/>
                <w:sz w:val="24"/>
                <w:szCs w:val="24"/>
                <w:lang w:eastAsia="pt-BR"/>
              </w:rPr>
            </m:ctrlPr>
          </m:dPr>
          <m:e>
            <m:r>
              <m:rPr>
                <m:sty m:val="p"/>
              </m:rPr>
              <w:rPr>
                <w:rFonts w:ascii="Cambria Math" w:eastAsiaTheme="minorEastAsia" w:hAnsi="Cambria Math" w:cs="Times New Roman"/>
                <w:sz w:val="24"/>
                <w:szCs w:val="24"/>
                <w:lang w:eastAsia="pt-BR"/>
              </w:rPr>
              <m:t>d+c</m:t>
            </m:r>
          </m:e>
        </m:d>
        <m:r>
          <m:rPr>
            <m:sty m:val="p"/>
          </m:rPr>
          <w:rPr>
            <w:rFonts w:ascii="Cambria Math" w:eastAsiaTheme="minorEastAsia" w:hAnsi="Cambria Math" w:cs="Times New Roman"/>
            <w:sz w:val="24"/>
            <w:szCs w:val="24"/>
            <w:lang w:eastAsia="pt-BR"/>
          </w:rPr>
          <m:t xml:space="preserve"> e </m:t>
        </m:r>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ξ</m:t>
            </m:r>
          </m:e>
          <m:sub>
            <m:r>
              <m:rPr>
                <m:sty m:val="p"/>
              </m:rPr>
              <w:rPr>
                <w:rFonts w:ascii="Cambria Math" w:eastAsiaTheme="minorEastAsia" w:hAnsi="Cambria Math" w:cs="Times New Roman"/>
                <w:sz w:val="24"/>
                <w:szCs w:val="24"/>
                <w:lang w:eastAsia="pt-BR"/>
              </w:rPr>
              <m:t>c</m:t>
            </m:r>
          </m:sub>
        </m:sSub>
        <m:r>
          <m:rPr>
            <m:sty m:val="p"/>
          </m:rPr>
          <w:rPr>
            <w:rFonts w:ascii="Cambria Math" w:eastAsiaTheme="minorEastAsia" w:hAnsi="Cambria Math" w:cs="Times New Roman"/>
            <w:sz w:val="24"/>
            <w:szCs w:val="24"/>
            <w:lang w:eastAsia="pt-BR"/>
          </w:rPr>
          <m:t xml:space="preserve">= </m:t>
        </m:r>
        <m:acc>
          <m:accPr>
            <m:ctrlPr>
              <w:rPr>
                <w:rFonts w:ascii="Cambria Math" w:eastAsiaTheme="minorEastAsia" w:hAnsi="Cambria Math" w:cs="Times New Roman"/>
                <w:sz w:val="24"/>
                <w:szCs w:val="24"/>
                <w:lang w:eastAsia="pt-BR"/>
              </w:rPr>
            </m:ctrlPr>
          </m:accPr>
          <m:e>
            <m:r>
              <m:rPr>
                <m:sty m:val="p"/>
              </m:rPr>
              <w:rPr>
                <w:rFonts w:ascii="Cambria Math" w:eastAsiaTheme="minorEastAsia" w:hAnsi="Cambria Math" w:cs="Times New Roman"/>
                <w:sz w:val="24"/>
                <w:szCs w:val="24"/>
                <w:lang w:eastAsia="pt-BR"/>
              </w:rPr>
              <m:t>ξ</m:t>
            </m:r>
          </m:e>
        </m:acc>
        <m:d>
          <m:dPr>
            <m:ctrlPr>
              <w:rPr>
                <w:rFonts w:ascii="Cambria Math" w:eastAsiaTheme="minorEastAsia" w:hAnsi="Cambria Math" w:cs="Times New Roman"/>
                <w:sz w:val="24"/>
                <w:szCs w:val="24"/>
                <w:lang w:eastAsia="pt-BR"/>
              </w:rPr>
            </m:ctrlPr>
          </m:dPr>
          <m:e>
            <m:r>
              <m:rPr>
                <m:sty m:val="p"/>
              </m:rPr>
              <w:rPr>
                <w:rFonts w:ascii="Cambria Math" w:eastAsiaTheme="minorEastAsia" w:hAnsi="Cambria Math" w:cs="Times New Roman"/>
                <w:sz w:val="24"/>
                <w:szCs w:val="24"/>
                <w:lang w:eastAsia="pt-BR"/>
              </w:rPr>
              <m:t>d</m:t>
            </m:r>
          </m:e>
        </m:d>
        <m:r>
          <m:rPr>
            <m:sty m:val="p"/>
          </m:rPr>
          <w:rPr>
            <w:rFonts w:ascii="Cambria Math" w:eastAsiaTheme="minorEastAsia" w:hAnsi="Cambria Math" w:cs="Times New Roman"/>
            <w:sz w:val="24"/>
            <w:szCs w:val="24"/>
            <w:lang w:eastAsia="pt-BR"/>
          </w:rPr>
          <m:t>)</m:t>
        </m:r>
      </m:oMath>
      <w:r w:rsidR="00211D3E" w:rsidRPr="006114D7">
        <w:rPr>
          <w:rFonts w:ascii="Times New Roman" w:eastAsiaTheme="minorEastAsia" w:hAnsi="Times New Roman" w:cs="Times New Roman"/>
          <w:sz w:val="24"/>
          <w:szCs w:val="24"/>
          <w:lang w:eastAsia="pt-BR"/>
        </w:rPr>
        <w:t xml:space="preserve">, o que o faz indiferente às preferências de risco </w:t>
      </w:r>
      <m:oMath>
        <m:r>
          <m:rPr>
            <m:sty m:val="p"/>
          </m:rPr>
          <w:rPr>
            <w:rFonts w:ascii="Cambria Math" w:eastAsiaTheme="minorEastAsia" w:hAnsi="Cambria Math" w:cs="Times New Roman"/>
            <w:sz w:val="24"/>
            <w:szCs w:val="24"/>
            <w:lang w:eastAsia="pt-BR"/>
          </w:rPr>
          <m:t>(</m:t>
        </m:r>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sz w:val="24"/>
                    <w:szCs w:val="24"/>
                    <w:lang w:eastAsia="pt-BR"/>
                  </w:rPr>
                </m:ctrlPr>
              </m:sSubSupPr>
              <m:e>
                <m:r>
                  <m:rPr>
                    <m:sty m:val="p"/>
                  </m:rPr>
                  <w:rPr>
                    <w:rFonts w:ascii="Cambria Math" w:eastAsiaTheme="minorEastAsia" w:hAnsi="Cambria Math" w:cs="Times New Roman"/>
                    <w:sz w:val="24"/>
                    <w:szCs w:val="24"/>
                    <w:lang w:eastAsia="pt-BR"/>
                  </w:rPr>
                  <m:t>S</m:t>
                </m:r>
              </m:e>
              <m:sub>
                <m:r>
                  <m:rPr>
                    <m:sty m:val="p"/>
                  </m:rPr>
                  <w:rPr>
                    <w:rFonts w:ascii="Cambria Math" w:eastAsiaTheme="minorEastAsia" w:hAnsi="Cambria Math" w:cs="Times New Roman"/>
                    <w:sz w:val="24"/>
                    <w:szCs w:val="24"/>
                    <w:lang w:eastAsia="pt-BR"/>
                  </w:rPr>
                  <m:t>t</m:t>
                </m:r>
              </m:sub>
              <m:sup>
                <m:r>
                  <m:rPr>
                    <m:sty m:val="p"/>
                  </m:rPr>
                  <w:rPr>
                    <w:rFonts w:ascii="Cambria Math" w:eastAsiaTheme="minorEastAsia" w:hAnsi="Cambria Math" w:cs="Times New Roman"/>
                    <w:sz w:val="24"/>
                    <w:szCs w:val="24"/>
                    <w:lang w:eastAsia="pt-BR"/>
                  </w:rPr>
                  <m:t>b</m:t>
                </m:r>
              </m:sup>
            </m:sSubSup>
          </m:num>
          <m:den>
            <m:r>
              <m:rPr>
                <m:sty m:val="p"/>
              </m:rPr>
              <w:rPr>
                <w:rFonts w:ascii="Cambria Math" w:eastAsiaTheme="minorEastAsia" w:hAnsi="Cambria Math" w:cs="Times New Roman"/>
                <w:sz w:val="24"/>
                <w:szCs w:val="24"/>
                <w:lang w:eastAsia="pt-BR"/>
              </w:rPr>
              <m:t>∂σ</m:t>
            </m:r>
          </m:den>
        </m:f>
        <m:r>
          <m:rPr>
            <m:sty m:val="p"/>
          </m:rPr>
          <w:rPr>
            <w:rFonts w:ascii="Cambria Math" w:eastAsiaTheme="minorEastAsia" w:hAnsi="Cambria Math" w:cs="Times New Roman"/>
            <w:sz w:val="24"/>
            <w:szCs w:val="24"/>
            <w:lang w:eastAsia="pt-BR"/>
          </w:rPr>
          <m:t>=0)</m:t>
        </m:r>
      </m:oMath>
      <w:r w:rsidR="00C44A25" w:rsidRPr="006114D7">
        <w:rPr>
          <w:rFonts w:ascii="Times New Roman" w:eastAsiaTheme="minorEastAsia" w:hAnsi="Times New Roman" w:cs="Times New Roman"/>
          <w:sz w:val="24"/>
          <w:szCs w:val="24"/>
          <w:lang w:eastAsia="pt-BR"/>
        </w:rPr>
        <w:t>,</w:t>
      </w:r>
      <w:r w:rsidR="00211D3E" w:rsidRPr="006114D7">
        <w:rPr>
          <w:rFonts w:ascii="Times New Roman" w:eastAsiaTheme="minorEastAsia" w:hAnsi="Times New Roman" w:cs="Times New Roman"/>
          <w:sz w:val="24"/>
          <w:szCs w:val="24"/>
          <w:lang w:eastAsia="pt-BR"/>
        </w:rPr>
        <w:t xml:space="preserve"> e então suas dívidas subordinadas são trocadas por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211D3E" w:rsidRPr="006114D7">
        <w:rPr>
          <w:rFonts w:ascii="Times New Roman" w:eastAsiaTheme="minorEastAsia" w:hAnsi="Times New Roman" w:cs="Times New Roman"/>
          <w:sz w:val="24"/>
          <w:szCs w:val="24"/>
          <w:lang w:eastAsia="pt-BR"/>
        </w:rPr>
        <w:t xml:space="preserve"> onde</w:t>
      </w:r>
      <w:r w:rsidR="00C44A25" w:rsidRPr="006114D7">
        <w:rPr>
          <w:rFonts w:ascii="Times New Roman" w:eastAsiaTheme="minorEastAsia" w:hAnsi="Times New Roman" w:cs="Times New Roman"/>
          <w:sz w:val="24"/>
          <w:szCs w:val="24"/>
          <w:lang w:eastAsia="pt-BR"/>
        </w:rPr>
        <w:t>,</w:t>
      </w:r>
      <w:r w:rsidR="00211D3E" w:rsidRPr="006114D7">
        <w:rPr>
          <w:rFonts w:ascii="Times New Roman" w:eastAsiaTheme="minorEastAsia" w:hAnsi="Times New Roman" w:cs="Times New Roman"/>
          <w:sz w:val="24"/>
          <w:szCs w:val="24"/>
          <w:lang w:eastAsia="pt-BR"/>
        </w:rPr>
        <w:t xml:space="preserve"> os detentores de dívida retém uma fração positiva dos direitos do fluxo de caixa </w:t>
      </w:r>
      <m:oMath>
        <m:d>
          <m:dPr>
            <m:ctrlPr>
              <w:rPr>
                <w:rFonts w:ascii="Cambria Math" w:eastAsiaTheme="minorEastAsia" w:hAnsi="Cambria Math" w:cs="Times New Roman"/>
                <w:sz w:val="24"/>
                <w:szCs w:val="24"/>
                <w:lang w:eastAsia="pt-BR"/>
              </w:rPr>
            </m:ctrlPr>
          </m:dPr>
          <m:e>
            <m:r>
              <m:rPr>
                <m:sty m:val="p"/>
              </m:rPr>
              <w:rPr>
                <w:rFonts w:ascii="Cambria Math" w:eastAsiaTheme="minorEastAsia" w:hAnsi="Cambria Math" w:cs="Times New Roman"/>
                <w:sz w:val="24"/>
                <w:szCs w:val="24"/>
                <w:lang w:eastAsia="pt-BR"/>
              </w:rPr>
              <m:t>γ&lt;1</m:t>
            </m:r>
          </m:e>
        </m:d>
        <m:r>
          <m:rPr>
            <m:sty m:val="p"/>
          </m:rPr>
          <w:rPr>
            <w:rFonts w:ascii="Cambria Math" w:eastAsiaTheme="minorEastAsia" w:hAnsi="Cambria Math" w:cs="Times New Roman"/>
            <w:sz w:val="24"/>
            <w:szCs w:val="24"/>
            <w:lang w:eastAsia="pt-BR"/>
          </w:rPr>
          <m:t xml:space="preserve">, </m:t>
        </m:r>
      </m:oMath>
      <w:r w:rsidR="00211D3E" w:rsidRPr="006114D7">
        <w:rPr>
          <w:rFonts w:ascii="Times New Roman" w:eastAsiaTheme="minorEastAsia" w:hAnsi="Times New Roman" w:cs="Times New Roman"/>
          <w:sz w:val="24"/>
          <w:szCs w:val="24"/>
          <w:lang w:eastAsia="pt-BR"/>
        </w:rPr>
        <w:t>da</w:t>
      </w:r>
      <w:r w:rsidR="00C44A25" w:rsidRPr="006114D7">
        <w:rPr>
          <w:rFonts w:ascii="Times New Roman" w:eastAsiaTheme="minorEastAsia" w:hAnsi="Times New Roman" w:cs="Times New Roman"/>
          <w:sz w:val="24"/>
          <w:szCs w:val="24"/>
          <w:lang w:eastAsia="pt-BR"/>
        </w:rPr>
        <w:t>da a</w:t>
      </w:r>
      <w:r w:rsidR="00211D3E" w:rsidRPr="006114D7">
        <w:rPr>
          <w:rFonts w:ascii="Times New Roman" w:eastAsiaTheme="minorEastAsia" w:hAnsi="Times New Roman" w:cs="Times New Roman"/>
          <w:sz w:val="24"/>
          <w:szCs w:val="24"/>
          <w:lang w:eastAsia="pt-BR"/>
        </w:rPr>
        <w:t xml:space="preserve"> conversão dos </w:t>
      </w:r>
      <w:proofErr w:type="spellStart"/>
      <w:r w:rsidR="0099005E">
        <w:rPr>
          <w:rFonts w:ascii="Times New Roman" w:eastAsiaTheme="minorEastAsia" w:hAnsi="Times New Roman" w:cs="Times New Roman"/>
          <w:sz w:val="24"/>
          <w:szCs w:val="24"/>
          <w:lang w:eastAsia="pt-BR"/>
        </w:rPr>
        <w:t>CoCos</w:t>
      </w:r>
      <w:proofErr w:type="spellEnd"/>
      <w:r w:rsidR="00211D3E" w:rsidRPr="006114D7">
        <w:rPr>
          <w:rFonts w:ascii="Times New Roman" w:eastAsiaTheme="minorEastAsia" w:hAnsi="Times New Roman" w:cs="Times New Roman"/>
          <w:sz w:val="24"/>
          <w:szCs w:val="24"/>
          <w:lang w:eastAsia="pt-BR"/>
        </w:rPr>
        <w:t>. Assim, da mesma forma que no caso das dívidas subordinadas, os bancos sempre terão um incentivo de aumentar o risco</w:t>
      </w:r>
      <w:r w:rsidR="007821E0" w:rsidRPr="006114D7">
        <w:rPr>
          <w:rFonts w:ascii="Times New Roman" w:eastAsiaTheme="minorEastAsia" w:hAnsi="Times New Roman" w:cs="Times New Roman"/>
          <w:sz w:val="24"/>
          <w:szCs w:val="24"/>
          <w:lang w:eastAsia="pt-BR"/>
        </w:rPr>
        <w:t>,</w:t>
      </w:r>
      <w:r w:rsidR="00211D3E" w:rsidRPr="006114D7">
        <w:rPr>
          <w:rFonts w:ascii="Times New Roman" w:eastAsiaTheme="minorEastAsia" w:hAnsi="Times New Roman" w:cs="Times New Roman"/>
          <w:sz w:val="24"/>
          <w:szCs w:val="24"/>
          <w:lang w:eastAsia="pt-BR"/>
        </w:rPr>
        <w:t xml:space="preserve"> já que </w:t>
      </w:r>
      <m:oMath>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sz w:val="24"/>
                    <w:szCs w:val="24"/>
                    <w:lang w:eastAsia="pt-BR"/>
                  </w:rPr>
                </m:ctrlPr>
              </m:sSubSupPr>
              <m:e>
                <m:r>
                  <m:rPr>
                    <m:sty m:val="p"/>
                  </m:rPr>
                  <w:rPr>
                    <w:rFonts w:ascii="Cambria Math" w:eastAsiaTheme="minorEastAsia" w:hAnsi="Cambria Math" w:cs="Times New Roman"/>
                    <w:sz w:val="24"/>
                    <w:szCs w:val="24"/>
                    <w:lang w:eastAsia="pt-BR"/>
                  </w:rPr>
                  <m:t>S</m:t>
                </m:r>
              </m:e>
              <m:sub>
                <m:r>
                  <m:rPr>
                    <m:sty m:val="p"/>
                  </m:rPr>
                  <w:rPr>
                    <w:rFonts w:ascii="Cambria Math" w:eastAsiaTheme="minorEastAsia" w:hAnsi="Cambria Math" w:cs="Times New Roman"/>
                    <w:sz w:val="24"/>
                    <w:szCs w:val="24"/>
                    <w:lang w:eastAsia="pt-BR"/>
                  </w:rPr>
                  <m:t>t</m:t>
                </m:r>
              </m:sub>
              <m:sup>
                <m:r>
                  <m:rPr>
                    <m:sty m:val="p"/>
                  </m:rPr>
                  <w:rPr>
                    <w:rFonts w:ascii="Cambria Math" w:eastAsiaTheme="minorEastAsia" w:hAnsi="Cambria Math" w:cs="Times New Roman"/>
                    <w:sz w:val="24"/>
                    <w:szCs w:val="24"/>
                    <w:lang w:eastAsia="pt-BR"/>
                  </w:rPr>
                  <m:t>c</m:t>
                </m:r>
              </m:sup>
            </m:sSubSup>
          </m:num>
          <m:den>
            <m:r>
              <m:rPr>
                <m:sty m:val="p"/>
              </m:rPr>
              <w:rPr>
                <w:rFonts w:ascii="Cambria Math" w:eastAsiaTheme="minorEastAsia" w:hAnsi="Cambria Math" w:cs="Times New Roman"/>
                <w:sz w:val="24"/>
                <w:szCs w:val="24"/>
                <w:lang w:eastAsia="pt-BR"/>
              </w:rPr>
              <m:t>∂σ</m:t>
            </m:r>
          </m:den>
        </m:f>
        <m:r>
          <m:rPr>
            <m:sty m:val="p"/>
          </m:rPr>
          <w:rPr>
            <w:rFonts w:ascii="Cambria Math" w:eastAsiaTheme="minorEastAsia" w:hAnsi="Cambria Math" w:cs="Times New Roman"/>
            <w:sz w:val="24"/>
            <w:szCs w:val="24"/>
            <w:lang w:eastAsia="pt-BR"/>
          </w:rPr>
          <m:t>&gt;0</m:t>
        </m:r>
      </m:oMath>
      <w:r w:rsidR="00211D3E" w:rsidRPr="006114D7">
        <w:rPr>
          <w:rFonts w:ascii="Times New Roman" w:eastAsiaTheme="minorEastAsia" w:hAnsi="Times New Roman" w:cs="Times New Roman"/>
          <w:sz w:val="24"/>
          <w:szCs w:val="24"/>
          <w:lang w:eastAsia="pt-BR"/>
        </w:rPr>
        <w:t>. Para o Banco do Brasil os números são:</w:t>
      </w:r>
      <w:r w:rsidR="007821E0" w:rsidRPr="006114D7">
        <w:rPr>
          <w:rFonts w:ascii="Times New Roman" w:eastAsiaTheme="minorEastAsia" w:hAnsi="Times New Roman" w:cs="Times New Roman"/>
          <w:sz w:val="24"/>
          <w:szCs w:val="24"/>
          <w:lang w:eastAsia="pt-BR"/>
        </w:rPr>
        <w:t xml:space="preserve">  </w:t>
      </w:r>
      <m:oMath>
        <m:r>
          <m:rPr>
            <m:scr m:val="script"/>
            <m:sty m:val="p"/>
          </m:rPr>
          <w:rPr>
            <w:rFonts w:ascii="Cambria Math" w:eastAsiaTheme="minorEastAsia" w:hAnsi="Cambria Math" w:cs="Times New Roman"/>
            <w:sz w:val="24"/>
            <w:szCs w:val="24"/>
            <w:lang w:eastAsia="pt-BR"/>
          </w:rPr>
          <m:t>X=</m:t>
        </m:r>
      </m:oMath>
      <w:r w:rsidR="007821E0" w:rsidRPr="006114D7">
        <w:rPr>
          <w:rFonts w:ascii="Times New Roman" w:eastAsiaTheme="minorEastAsia" w:hAnsi="Times New Roman" w:cs="Times New Roman"/>
          <w:sz w:val="24"/>
          <w:szCs w:val="24"/>
          <w:lang w:eastAsia="pt-BR"/>
        </w:rPr>
        <w:t xml:space="preserve"> R$18.922 bilhões</w:t>
      </w:r>
      <w:r w:rsidR="00A0576C">
        <w:rPr>
          <w:rFonts w:ascii="Times New Roman" w:eastAsiaTheme="minorEastAsia" w:hAnsi="Times New Roman" w:cs="Times New Roman"/>
          <w:sz w:val="24"/>
          <w:szCs w:val="24"/>
          <w:lang w:eastAsia="pt-BR"/>
        </w:rPr>
        <w:t xml:space="preserve">, </w:t>
      </w:r>
      <m:oMath>
        <m:r>
          <m:rPr>
            <m:sty m:val="p"/>
          </m:rPr>
          <w:rPr>
            <w:rFonts w:ascii="Cambria Math" w:eastAsiaTheme="minorEastAsia" w:hAnsi="Cambria Math" w:cs="Times New Roman"/>
            <w:sz w:val="24"/>
            <w:szCs w:val="24"/>
            <w:lang w:eastAsia="pt-BR"/>
          </w:rPr>
          <m:t>γ=</m:t>
        </m:r>
      </m:oMath>
      <w:r w:rsidR="007821E0" w:rsidRPr="006114D7">
        <w:rPr>
          <w:rFonts w:ascii="Times New Roman" w:eastAsiaTheme="minorEastAsia" w:hAnsi="Times New Roman" w:cs="Times New Roman"/>
          <w:sz w:val="24"/>
          <w:szCs w:val="24"/>
          <w:lang w:eastAsia="pt-BR"/>
        </w:rPr>
        <w:t xml:space="preserve"> 0,</w:t>
      </w:r>
      <w:r w:rsidR="003C0DD1" w:rsidRPr="006114D7">
        <w:rPr>
          <w:rFonts w:ascii="Times New Roman" w:eastAsiaTheme="minorEastAsia" w:hAnsi="Times New Roman" w:cs="Times New Roman"/>
          <w:sz w:val="24"/>
          <w:szCs w:val="24"/>
          <w:lang w:eastAsia="pt-BR"/>
        </w:rPr>
        <w:t>3135</w:t>
      </w:r>
      <w:r w:rsidR="00A0576C">
        <w:rPr>
          <w:rFonts w:ascii="Times New Roman" w:eastAsiaTheme="minorEastAsia" w:hAnsi="Times New Roman" w:cs="Times New Roman"/>
          <w:sz w:val="24"/>
          <w:szCs w:val="24"/>
          <w:lang w:eastAsia="pt-BR"/>
        </w:rPr>
        <w:t xml:space="preserve">, </w:t>
      </w:r>
      <m:oMath>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S</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c</m:t>
                </m:r>
              </m:sup>
            </m:sSubSup>
          </m:num>
          <m:den>
            <m:r>
              <w:rPr>
                <w:rFonts w:ascii="Cambria Math" w:eastAsiaTheme="minorEastAsia" w:hAnsi="Cambria Math" w:cs="Times New Roman"/>
                <w:sz w:val="24"/>
                <w:szCs w:val="24"/>
                <w:lang w:eastAsia="pt-BR"/>
              </w:rPr>
              <m:t>∂σ</m:t>
            </m:r>
          </m:den>
        </m:f>
        <m:r>
          <w:rPr>
            <w:rFonts w:ascii="Cambria Math" w:eastAsiaTheme="minorEastAsia" w:hAnsi="Cambria Math" w:cs="Times New Roman"/>
            <w:sz w:val="24"/>
            <w:szCs w:val="24"/>
            <w:lang w:eastAsia="pt-BR"/>
          </w:rPr>
          <m:t>=</m:t>
        </m:r>
      </m:oMath>
      <w:r w:rsidR="007821E0" w:rsidRPr="006114D7">
        <w:rPr>
          <w:rFonts w:ascii="Times New Roman" w:eastAsiaTheme="minorEastAsia" w:hAnsi="Times New Roman" w:cs="Times New Roman"/>
          <w:sz w:val="24"/>
          <w:szCs w:val="24"/>
          <w:lang w:eastAsia="pt-BR"/>
        </w:rPr>
        <w:t xml:space="preserve"> </w:t>
      </w:r>
      <w:proofErr w:type="gramStart"/>
      <w:r w:rsidR="007821E0" w:rsidRPr="006114D7">
        <w:rPr>
          <w:rFonts w:ascii="Times New Roman" w:eastAsiaTheme="minorEastAsia" w:hAnsi="Times New Roman" w:cs="Times New Roman"/>
          <w:sz w:val="24"/>
          <w:szCs w:val="24"/>
          <w:lang w:eastAsia="pt-BR"/>
        </w:rPr>
        <w:t>139,003</w:t>
      </w:r>
      <w:proofErr w:type="gramEnd"/>
    </w:p>
    <w:p w:rsidR="00A70E1A" w:rsidRPr="006114D7" w:rsidRDefault="00510150"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Note que</w:t>
      </w:r>
      <w:r w:rsidR="007821E0" w:rsidRPr="006114D7">
        <w:rPr>
          <w:rFonts w:ascii="Times New Roman" w:eastAsiaTheme="minorEastAsia" w:hAnsi="Times New Roman" w:cs="Times New Roman"/>
          <w:sz w:val="24"/>
          <w:szCs w:val="24"/>
          <w:lang w:eastAsia="pt-BR"/>
        </w:rPr>
        <w:t>,</w:t>
      </w:r>
      <w:r w:rsidRPr="006114D7">
        <w:rPr>
          <w:rFonts w:ascii="Times New Roman" w:eastAsiaTheme="minorEastAsia" w:hAnsi="Times New Roman" w:cs="Times New Roman"/>
          <w:sz w:val="24"/>
          <w:szCs w:val="24"/>
          <w:lang w:eastAsia="pt-BR"/>
        </w:rPr>
        <w:t xml:space="preserve"> a</w:t>
      </w:r>
      <w:r w:rsidR="003D5D2F" w:rsidRPr="006114D7">
        <w:rPr>
          <w:rFonts w:ascii="Times New Roman" w:eastAsiaTheme="minorEastAsia" w:hAnsi="Times New Roman" w:cs="Times New Roman"/>
          <w:sz w:val="24"/>
          <w:szCs w:val="24"/>
          <w:lang w:eastAsia="pt-BR"/>
        </w:rPr>
        <w:t xml:space="preserve"> fronteira </w:t>
      </w:r>
      <w:r w:rsidRPr="006114D7">
        <w:rPr>
          <w:rFonts w:ascii="Times New Roman" w:eastAsiaTheme="minorEastAsia" w:hAnsi="Times New Roman" w:cs="Times New Roman"/>
          <w:sz w:val="24"/>
          <w:szCs w:val="24"/>
          <w:lang w:eastAsia="pt-BR"/>
        </w:rPr>
        <w:t xml:space="preserve">de conversão obrigatória dos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Pr="006114D7">
        <w:rPr>
          <w:rFonts w:ascii="Times New Roman" w:eastAsiaTheme="minorEastAsia" w:hAnsi="Times New Roman" w:cs="Times New Roman"/>
          <w:sz w:val="24"/>
          <w:szCs w:val="24"/>
          <w:lang w:eastAsia="pt-BR"/>
        </w:rPr>
        <w:t xml:space="preserve"> (</w:t>
      </w:r>
      <m:oMath>
        <m:r>
          <m:rPr>
            <m:scr m:val="script"/>
            <m:sty m:val="p"/>
          </m:rPr>
          <w:rPr>
            <w:rFonts w:ascii="Cambria Math" w:eastAsiaTheme="minorEastAsia" w:hAnsi="Cambria Math" w:cs="Times New Roman"/>
            <w:sz w:val="24"/>
            <w:szCs w:val="24"/>
            <w:lang w:eastAsia="pt-BR"/>
          </w:rPr>
          <m:t>X)</m:t>
        </m:r>
      </m:oMath>
      <w:r w:rsidRPr="006114D7">
        <w:rPr>
          <w:rFonts w:ascii="Times New Roman" w:eastAsiaTheme="minorEastAsia" w:hAnsi="Times New Roman" w:cs="Times New Roman"/>
          <w:sz w:val="24"/>
          <w:szCs w:val="24"/>
          <w:lang w:eastAsia="pt-BR"/>
        </w:rPr>
        <w:t xml:space="preserve"> é </w:t>
      </w:r>
      <w:r w:rsidR="007821E0" w:rsidRPr="006114D7">
        <w:rPr>
          <w:rFonts w:ascii="Times New Roman" w:eastAsiaTheme="minorEastAsia" w:hAnsi="Times New Roman" w:cs="Times New Roman"/>
          <w:sz w:val="24"/>
          <w:szCs w:val="24"/>
          <w:lang w:eastAsia="pt-BR"/>
        </w:rPr>
        <w:t xml:space="preserve">exatamente a </w:t>
      </w:r>
      <w:r w:rsidRPr="006114D7">
        <w:rPr>
          <w:rFonts w:ascii="Times New Roman" w:eastAsiaTheme="minorEastAsia" w:hAnsi="Times New Roman" w:cs="Times New Roman"/>
          <w:sz w:val="24"/>
          <w:szCs w:val="24"/>
          <w:lang w:eastAsia="pt-BR"/>
        </w:rPr>
        <w:t>fronteira crítica</w:t>
      </w:r>
      <w:r w:rsidR="00516A30" w:rsidRPr="006114D7">
        <w:rPr>
          <w:rFonts w:ascii="Times New Roman" w:eastAsiaTheme="minorEastAsia" w:hAnsi="Times New Roman" w:cs="Times New Roman"/>
          <w:sz w:val="24"/>
          <w:szCs w:val="24"/>
          <w:lang w:eastAsia="pt-BR"/>
        </w:rPr>
        <w:t>.</w:t>
      </w:r>
      <w:r w:rsidR="00384325">
        <w:rPr>
          <w:rFonts w:ascii="Times New Roman" w:eastAsiaTheme="minorEastAsia" w:hAnsi="Times New Roman" w:cs="Times New Roman"/>
          <w:sz w:val="24"/>
          <w:szCs w:val="24"/>
          <w:lang w:eastAsia="pt-BR"/>
        </w:rPr>
        <w:t xml:space="preserve"> </w:t>
      </w:r>
      <w:r w:rsidR="00516A30" w:rsidRPr="006114D7">
        <w:rPr>
          <w:rFonts w:ascii="Times New Roman" w:eastAsiaTheme="minorEastAsia" w:hAnsi="Times New Roman" w:cs="Times New Roman"/>
          <w:sz w:val="24"/>
          <w:szCs w:val="24"/>
          <w:lang w:eastAsia="pt-BR"/>
        </w:rPr>
        <w:t xml:space="preserve">Com uma fração de conversão </w:t>
      </w:r>
      <m:oMath>
        <m:r>
          <m:rPr>
            <m:sty m:val="p"/>
          </m:rPr>
          <w:rPr>
            <w:rFonts w:ascii="Cambria Math" w:eastAsiaTheme="minorEastAsia" w:hAnsi="Cambria Math" w:cs="Times New Roman"/>
            <w:sz w:val="24"/>
            <w:szCs w:val="24"/>
            <w:lang w:eastAsia="pt-BR"/>
          </w:rPr>
          <m:t>γ&lt;1</m:t>
        </m:r>
      </m:oMath>
      <w:r w:rsidR="00516A30" w:rsidRPr="006114D7">
        <w:rPr>
          <w:rFonts w:ascii="Times New Roman" w:eastAsiaTheme="minorEastAsia" w:hAnsi="Times New Roman" w:cs="Times New Roman"/>
          <w:sz w:val="24"/>
          <w:szCs w:val="24"/>
          <w:lang w:eastAsia="pt-BR"/>
        </w:rPr>
        <w:t>, de fato a derivada do patrimônio líquido em relação ao risco é positiva, sugerindo que os acionistas sempre terão um incentivo a aumentar o risco, segundo o modelo.</w:t>
      </w:r>
      <w:r w:rsidR="00384325">
        <w:rPr>
          <w:rFonts w:ascii="Times New Roman" w:eastAsiaTheme="minorEastAsia" w:hAnsi="Times New Roman" w:cs="Times New Roman"/>
          <w:sz w:val="24"/>
          <w:szCs w:val="24"/>
          <w:lang w:eastAsia="pt-BR"/>
        </w:rPr>
        <w:t xml:space="preserve"> </w:t>
      </w:r>
      <w:r w:rsidR="00167A88" w:rsidRPr="006114D7">
        <w:rPr>
          <w:rFonts w:ascii="Times New Roman" w:eastAsiaTheme="minorEastAsia" w:hAnsi="Times New Roman" w:cs="Times New Roman"/>
          <w:sz w:val="24"/>
          <w:szCs w:val="24"/>
          <w:lang w:eastAsia="pt-BR"/>
        </w:rPr>
        <w:t>O</w:t>
      </w:r>
      <w:r w:rsidR="00B92138" w:rsidRPr="006114D7">
        <w:rPr>
          <w:rFonts w:ascii="Times New Roman" w:eastAsiaTheme="minorEastAsia" w:hAnsi="Times New Roman" w:cs="Times New Roman"/>
          <w:sz w:val="24"/>
          <w:szCs w:val="24"/>
          <w:lang w:eastAsia="pt-BR"/>
        </w:rPr>
        <w:t xml:space="preserve"> incentivo ao aumento de risco esta presente não somente em ambientes não regulamentados, mas também quando as restrições regulamentares são fracas.</w:t>
      </w:r>
      <w:r w:rsidR="008B5A7A" w:rsidRPr="006114D7">
        <w:rPr>
          <w:rFonts w:ascii="Times New Roman" w:eastAsiaTheme="minorEastAsia" w:hAnsi="Times New Roman" w:cs="Times New Roman"/>
          <w:sz w:val="24"/>
          <w:szCs w:val="24"/>
          <w:lang w:eastAsia="pt-BR"/>
        </w:rPr>
        <w:t xml:space="preserve"> Desta forma, q</w:t>
      </w:r>
      <w:r w:rsidR="008B5A7A" w:rsidRPr="006114D7">
        <w:rPr>
          <w:rFonts w:ascii="Times New Roman" w:eastAsiaTheme="minorEastAsia" w:hAnsi="Times New Roman" w:cs="Times New Roman"/>
          <w:color w:val="000000" w:themeColor="text1"/>
          <w:sz w:val="24"/>
          <w:szCs w:val="24"/>
          <w:lang w:eastAsia="pt-BR"/>
        </w:rPr>
        <w:t xml:space="preserve">uando uma dívida subordinada é trocada por um </w:t>
      </w:r>
      <w:proofErr w:type="spellStart"/>
      <w:proofErr w:type="gramStart"/>
      <w:r w:rsidR="0099005E">
        <w:rPr>
          <w:rFonts w:ascii="Times New Roman" w:eastAsiaTheme="minorEastAsia" w:hAnsi="Times New Roman" w:cs="Times New Roman"/>
          <w:color w:val="000000" w:themeColor="text1"/>
          <w:sz w:val="24"/>
          <w:szCs w:val="24"/>
          <w:lang w:eastAsia="pt-BR"/>
        </w:rPr>
        <w:t>CoCo</w:t>
      </w:r>
      <w:proofErr w:type="spellEnd"/>
      <w:proofErr w:type="gramEnd"/>
      <w:r w:rsidR="008B5A7A" w:rsidRPr="006114D7">
        <w:rPr>
          <w:rFonts w:ascii="Times New Roman" w:eastAsiaTheme="minorEastAsia" w:hAnsi="Times New Roman" w:cs="Times New Roman"/>
          <w:color w:val="000000" w:themeColor="text1"/>
          <w:sz w:val="24"/>
          <w:szCs w:val="24"/>
          <w:lang w:eastAsia="pt-BR"/>
        </w:rPr>
        <w:t xml:space="preserve">, e é estruturada de tal forma que o cupom é mantido, ou seja, b=c, o deslocamento de risco faz o patrimônio líquido aumentar mais nas dívidas em </w:t>
      </w:r>
      <w:proofErr w:type="spellStart"/>
      <w:r w:rsidR="0099005E">
        <w:rPr>
          <w:rFonts w:ascii="Times New Roman" w:eastAsiaTheme="minorEastAsia" w:hAnsi="Times New Roman" w:cs="Times New Roman"/>
          <w:color w:val="000000" w:themeColor="text1"/>
          <w:sz w:val="24"/>
          <w:szCs w:val="24"/>
          <w:lang w:eastAsia="pt-BR"/>
        </w:rPr>
        <w:t>CoCos</w:t>
      </w:r>
      <w:proofErr w:type="spellEnd"/>
      <w:r w:rsidR="008B5A7A" w:rsidRPr="006114D7">
        <w:rPr>
          <w:rFonts w:ascii="Times New Roman" w:eastAsiaTheme="minorEastAsia" w:hAnsi="Times New Roman" w:cs="Times New Roman"/>
          <w:color w:val="000000" w:themeColor="text1"/>
          <w:sz w:val="24"/>
          <w:szCs w:val="24"/>
          <w:lang w:eastAsia="pt-BR"/>
        </w:rPr>
        <w:t xml:space="preserve"> do que nas dívidas subordinadas. </w:t>
      </w:r>
    </w:p>
    <w:p w:rsidR="008516EC" w:rsidRPr="006114D7" w:rsidRDefault="006E3DDA"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b/>
          <w:sz w:val="24"/>
          <w:szCs w:val="24"/>
          <w:lang w:eastAsia="pt-BR"/>
        </w:rPr>
        <w:lastRenderedPageBreak/>
        <w:t xml:space="preserve">Lema </w:t>
      </w:r>
      <w:proofErr w:type="gramStart"/>
      <w:r w:rsidR="008516EC" w:rsidRPr="006114D7">
        <w:rPr>
          <w:rFonts w:ascii="Times New Roman" w:eastAsiaTheme="minorEastAsia" w:hAnsi="Times New Roman" w:cs="Times New Roman"/>
          <w:b/>
          <w:sz w:val="24"/>
          <w:szCs w:val="24"/>
          <w:lang w:eastAsia="pt-BR"/>
        </w:rPr>
        <w:t>3</w:t>
      </w:r>
      <w:proofErr w:type="gramEnd"/>
      <w:r w:rsidRPr="006114D7">
        <w:rPr>
          <w:rFonts w:ascii="Times New Roman" w:eastAsiaTheme="minorEastAsia" w:hAnsi="Times New Roman" w:cs="Times New Roman"/>
          <w:sz w:val="24"/>
          <w:szCs w:val="24"/>
          <w:lang w:eastAsia="pt-BR"/>
        </w:rPr>
        <w:t xml:space="preserve">: </w:t>
      </w:r>
      <w:r w:rsidR="00960895" w:rsidRPr="006114D7">
        <w:rPr>
          <w:rFonts w:ascii="Times New Roman" w:eastAsiaTheme="minorEastAsia" w:hAnsi="Times New Roman" w:cs="Times New Roman"/>
          <w:color w:val="000000" w:themeColor="text1"/>
          <w:sz w:val="24"/>
          <w:szCs w:val="24"/>
          <w:lang w:eastAsia="pt-BR"/>
        </w:rPr>
        <w:t>Para quaisquer fronteiras arbitrárias</w:t>
      </w:r>
      <m:oMath>
        <m:r>
          <m:rPr>
            <m:scr m:val="script"/>
            <m:sty m:val="p"/>
          </m:rPr>
          <w:rPr>
            <w:rFonts w:ascii="Cambria Math" w:eastAsiaTheme="minorEastAsia" w:hAnsi="Cambria Math" w:cs="Times New Roman"/>
            <w:sz w:val="24"/>
            <w:szCs w:val="24"/>
            <w:lang w:eastAsia="pt-BR"/>
          </w:rPr>
          <m:t xml:space="preserve"> X=</m:t>
        </m:r>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ξ</m:t>
            </m:r>
          </m:e>
          <m:sub>
            <m:r>
              <m:rPr>
                <m:sty m:val="p"/>
              </m:rPr>
              <w:rPr>
                <w:rFonts w:ascii="Cambria Math" w:eastAsiaTheme="minorEastAsia" w:hAnsi="Cambria Math" w:cs="Times New Roman"/>
                <w:sz w:val="24"/>
                <w:szCs w:val="24"/>
                <w:lang w:eastAsia="pt-BR"/>
              </w:rPr>
              <m:t>b</m:t>
            </m:r>
          </m:sub>
        </m:sSub>
      </m:oMath>
      <w:r w:rsidR="00960895" w:rsidRPr="006114D7">
        <w:rPr>
          <w:rFonts w:ascii="Times New Roman" w:eastAsiaTheme="minorEastAsia" w:hAnsi="Times New Roman" w:cs="Times New Roman"/>
          <w:sz w:val="24"/>
          <w:szCs w:val="24"/>
          <w:lang w:eastAsia="pt-BR"/>
        </w:rPr>
        <w:t xml:space="preserve"> e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ξ</m:t>
            </m:r>
          </m:e>
          <m:sub>
            <m:r>
              <m:rPr>
                <m:sty m:val="p"/>
              </m:rPr>
              <w:rPr>
                <w:rFonts w:ascii="Cambria Math" w:eastAsiaTheme="minorEastAsia" w:hAnsi="Cambria Math" w:cs="Times New Roman"/>
                <w:sz w:val="24"/>
                <w:szCs w:val="24"/>
                <w:lang w:eastAsia="pt-BR"/>
              </w:rPr>
              <m:t>c</m:t>
            </m:r>
          </m:sub>
        </m:sSub>
      </m:oMath>
      <w:r w:rsidR="00960895" w:rsidRPr="006114D7">
        <w:rPr>
          <w:rFonts w:ascii="Times New Roman" w:eastAsiaTheme="minorEastAsia" w:hAnsi="Times New Roman" w:cs="Times New Roman"/>
          <w:sz w:val="24"/>
          <w:szCs w:val="24"/>
          <w:lang w:eastAsia="pt-BR"/>
        </w:rPr>
        <w:t xml:space="preserve">, com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ξ</m:t>
            </m:r>
          </m:e>
          <m:sub>
            <m:r>
              <m:rPr>
                <m:sty m:val="p"/>
              </m:rPr>
              <w:rPr>
                <w:rFonts w:ascii="Cambria Math" w:eastAsiaTheme="minorEastAsia" w:hAnsi="Cambria Math" w:cs="Times New Roman"/>
                <w:sz w:val="24"/>
                <w:szCs w:val="24"/>
                <w:lang w:eastAsia="pt-BR"/>
              </w:rPr>
              <m:t>c</m:t>
            </m:r>
          </m:sub>
        </m:sSub>
        <m:r>
          <w:rPr>
            <w:rFonts w:ascii="Cambria Math" w:eastAsiaTheme="minorEastAsia" w:hAnsi="Cambria Math" w:cs="Times New Roman"/>
            <w:sz w:val="24"/>
            <w:szCs w:val="24"/>
            <w:lang w:eastAsia="pt-BR"/>
          </w:rPr>
          <m:t>&lt;</m:t>
        </m:r>
        <m:r>
          <m:rPr>
            <m:scr m:val="script"/>
            <m:sty m:val="p"/>
          </m:rPr>
          <w:rPr>
            <w:rFonts w:ascii="Cambria Math" w:eastAsiaTheme="minorEastAsia" w:hAnsi="Cambria Math" w:cs="Times New Roman"/>
            <w:sz w:val="24"/>
            <w:szCs w:val="24"/>
            <w:lang w:eastAsia="pt-BR"/>
          </w:rPr>
          <m:t>X</m:t>
        </m:r>
      </m:oMath>
      <w:r w:rsidR="00960895" w:rsidRPr="006114D7">
        <w:rPr>
          <w:rFonts w:ascii="Times New Roman" w:eastAsiaTheme="minorEastAsia" w:hAnsi="Times New Roman" w:cs="Times New Roman"/>
          <w:sz w:val="24"/>
          <w:szCs w:val="24"/>
          <w:lang w:eastAsia="pt-BR"/>
        </w:rPr>
        <w:t xml:space="preserve"> e para </w:t>
      </w:r>
      <w:proofErr w:type="spellStart"/>
      <w:r w:rsidR="0099005E">
        <w:rPr>
          <w:rFonts w:ascii="Times New Roman" w:eastAsiaTheme="minorEastAsia" w:hAnsi="Times New Roman" w:cs="Times New Roman"/>
          <w:sz w:val="24"/>
          <w:szCs w:val="24"/>
          <w:lang w:eastAsia="pt-BR"/>
        </w:rPr>
        <w:t>CoCos</w:t>
      </w:r>
      <w:proofErr w:type="spellEnd"/>
      <w:r w:rsidR="00960895" w:rsidRPr="006114D7">
        <w:rPr>
          <w:rFonts w:ascii="Times New Roman" w:eastAsiaTheme="minorEastAsia" w:hAnsi="Times New Roman" w:cs="Times New Roman"/>
          <w:sz w:val="24"/>
          <w:szCs w:val="24"/>
          <w:lang w:eastAsia="pt-BR"/>
        </w:rPr>
        <w:t xml:space="preserve"> que substituem dívidas subordinadas com o mesmo cupom, ou seja, b=c, um </w:t>
      </w:r>
      <w:proofErr w:type="spellStart"/>
      <w:r w:rsidR="0099005E">
        <w:rPr>
          <w:rFonts w:ascii="Times New Roman" w:eastAsiaTheme="minorEastAsia" w:hAnsi="Times New Roman" w:cs="Times New Roman"/>
          <w:sz w:val="24"/>
          <w:szCs w:val="24"/>
          <w:lang w:eastAsia="pt-BR"/>
        </w:rPr>
        <w:t>CoCo</w:t>
      </w:r>
      <w:proofErr w:type="spellEnd"/>
      <w:r w:rsidR="00960895" w:rsidRPr="006114D7">
        <w:rPr>
          <w:rFonts w:ascii="Times New Roman" w:eastAsiaTheme="minorEastAsia" w:hAnsi="Times New Roman" w:cs="Times New Roman"/>
          <w:sz w:val="24"/>
          <w:szCs w:val="24"/>
          <w:lang w:eastAsia="pt-BR"/>
        </w:rPr>
        <w:t xml:space="preserve"> aumenta o incentivo de desloc</w:t>
      </w:r>
      <w:r w:rsidR="007821E0" w:rsidRPr="006114D7">
        <w:rPr>
          <w:rFonts w:ascii="Times New Roman" w:eastAsiaTheme="minorEastAsia" w:hAnsi="Times New Roman" w:cs="Times New Roman"/>
          <w:sz w:val="24"/>
          <w:szCs w:val="24"/>
          <w:lang w:eastAsia="pt-BR"/>
        </w:rPr>
        <w:t xml:space="preserve">amento de riscos do banco </w:t>
      </w:r>
      <w:r w:rsidR="00960895" w:rsidRPr="006114D7">
        <w:rPr>
          <w:rFonts w:ascii="Times New Roman" w:eastAsiaTheme="minorEastAsia" w:hAnsi="Times New Roman" w:cs="Times New Roman"/>
          <w:sz w:val="24"/>
          <w:szCs w:val="24"/>
          <w:lang w:eastAsia="pt-BR"/>
        </w:rPr>
        <w:t xml:space="preserve">no sentido de que: </w:t>
      </w:r>
      <w:r w:rsidR="00646C40" w:rsidRPr="006114D7">
        <w:rPr>
          <w:rFonts w:ascii="Times New Roman" w:eastAsiaTheme="minorEastAsia" w:hAnsi="Times New Roman" w:cs="Times New Roman"/>
          <w:sz w:val="24"/>
          <w:szCs w:val="24"/>
          <w:lang w:eastAsia="pt-BR"/>
        </w:rPr>
        <w:t xml:space="preserve"> </w:t>
      </w:r>
      <m:oMath>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sz w:val="24"/>
                    <w:szCs w:val="24"/>
                    <w:lang w:eastAsia="pt-BR"/>
                  </w:rPr>
                </m:ctrlPr>
              </m:sSubSupPr>
              <m:e>
                <m:r>
                  <m:rPr>
                    <m:sty m:val="p"/>
                  </m:rPr>
                  <w:rPr>
                    <w:rFonts w:ascii="Cambria Math" w:eastAsiaTheme="minorEastAsia" w:hAnsi="Cambria Math" w:cs="Times New Roman"/>
                    <w:sz w:val="24"/>
                    <w:szCs w:val="24"/>
                    <w:lang w:eastAsia="pt-BR"/>
                  </w:rPr>
                  <m:t>S</m:t>
                </m:r>
              </m:e>
              <m:sub>
                <m:r>
                  <m:rPr>
                    <m:sty m:val="p"/>
                  </m:rPr>
                  <w:rPr>
                    <w:rFonts w:ascii="Cambria Math" w:eastAsiaTheme="minorEastAsia" w:hAnsi="Cambria Math" w:cs="Times New Roman"/>
                    <w:sz w:val="24"/>
                    <w:szCs w:val="24"/>
                    <w:lang w:eastAsia="pt-BR"/>
                  </w:rPr>
                  <m:t>t</m:t>
                </m:r>
              </m:sub>
              <m:sup>
                <m:r>
                  <m:rPr>
                    <m:sty m:val="p"/>
                  </m:rPr>
                  <w:rPr>
                    <w:rFonts w:ascii="Cambria Math" w:eastAsiaTheme="minorEastAsia" w:hAnsi="Cambria Math" w:cs="Times New Roman"/>
                    <w:sz w:val="24"/>
                    <w:szCs w:val="24"/>
                    <w:lang w:eastAsia="pt-BR"/>
                  </w:rPr>
                  <m:t>b</m:t>
                </m:r>
              </m:sup>
            </m:sSubSup>
          </m:num>
          <m:den>
            <m:r>
              <m:rPr>
                <m:sty m:val="p"/>
              </m:rPr>
              <w:rPr>
                <w:rFonts w:ascii="Cambria Math" w:eastAsiaTheme="minorEastAsia" w:hAnsi="Cambria Math" w:cs="Times New Roman"/>
                <w:sz w:val="24"/>
                <w:szCs w:val="24"/>
                <w:lang w:eastAsia="pt-BR"/>
              </w:rPr>
              <m:t>∂σ</m:t>
            </m:r>
          </m:den>
        </m:f>
        <m:r>
          <m:rPr>
            <m:sty m:val="p"/>
          </m:rPr>
          <w:rPr>
            <w:rFonts w:ascii="Cambria Math" w:eastAsiaTheme="minorEastAsia" w:hAnsi="Cambria Math" w:cs="Times New Roman"/>
            <w:sz w:val="24"/>
            <w:szCs w:val="24"/>
            <w:lang w:eastAsia="pt-BR"/>
          </w:rPr>
          <m:t>&lt;</m:t>
        </m:r>
        <m:f>
          <m:fPr>
            <m:ctrlPr>
              <w:rPr>
                <w:rFonts w:ascii="Cambria Math" w:eastAsiaTheme="minorEastAsia" w:hAnsi="Cambria Math" w:cs="Times New Roman"/>
                <w:sz w:val="24"/>
                <w:szCs w:val="24"/>
                <w:lang w:eastAsia="pt-BR"/>
              </w:rPr>
            </m:ctrlPr>
          </m:fPr>
          <m:num>
            <m:r>
              <m:rPr>
                <m:sty m:val="p"/>
              </m:rP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sz w:val="24"/>
                    <w:szCs w:val="24"/>
                    <w:lang w:eastAsia="pt-BR"/>
                  </w:rPr>
                </m:ctrlPr>
              </m:sSubSupPr>
              <m:e>
                <m:r>
                  <m:rPr>
                    <m:sty m:val="p"/>
                  </m:rPr>
                  <w:rPr>
                    <w:rFonts w:ascii="Cambria Math" w:eastAsiaTheme="minorEastAsia" w:hAnsi="Cambria Math" w:cs="Times New Roman"/>
                    <w:sz w:val="24"/>
                    <w:szCs w:val="24"/>
                    <w:lang w:eastAsia="pt-BR"/>
                  </w:rPr>
                  <m:t>S</m:t>
                </m:r>
              </m:e>
              <m:sub>
                <m:r>
                  <m:rPr>
                    <m:sty m:val="p"/>
                  </m:rPr>
                  <w:rPr>
                    <w:rFonts w:ascii="Cambria Math" w:eastAsiaTheme="minorEastAsia" w:hAnsi="Cambria Math" w:cs="Times New Roman"/>
                    <w:sz w:val="24"/>
                    <w:szCs w:val="24"/>
                    <w:lang w:eastAsia="pt-BR"/>
                  </w:rPr>
                  <m:t>t</m:t>
                </m:r>
              </m:sub>
              <m:sup>
                <m:r>
                  <m:rPr>
                    <m:sty m:val="p"/>
                  </m:rPr>
                  <w:rPr>
                    <w:rFonts w:ascii="Cambria Math" w:eastAsiaTheme="minorEastAsia" w:hAnsi="Cambria Math" w:cs="Times New Roman"/>
                    <w:sz w:val="24"/>
                    <w:szCs w:val="24"/>
                    <w:lang w:eastAsia="pt-BR"/>
                  </w:rPr>
                  <m:t>c</m:t>
                </m:r>
              </m:sup>
            </m:sSubSup>
          </m:num>
          <m:den>
            <m:r>
              <m:rPr>
                <m:sty m:val="p"/>
              </m:rPr>
              <w:rPr>
                <w:rFonts w:ascii="Cambria Math" w:eastAsiaTheme="minorEastAsia" w:hAnsi="Cambria Math" w:cs="Times New Roman"/>
                <w:sz w:val="24"/>
                <w:szCs w:val="24"/>
                <w:lang w:eastAsia="pt-BR"/>
              </w:rPr>
              <m:t>∂σ</m:t>
            </m:r>
          </m:den>
        </m:f>
      </m:oMath>
      <w:r w:rsidR="00646C40" w:rsidRPr="006114D7">
        <w:rPr>
          <w:rFonts w:ascii="Times New Roman" w:eastAsiaTheme="minorEastAsia" w:hAnsi="Times New Roman" w:cs="Times New Roman"/>
          <w:sz w:val="24"/>
          <w:szCs w:val="24"/>
          <w:lang w:eastAsia="pt-BR"/>
        </w:rPr>
        <w:t xml:space="preserve"> . </w:t>
      </w:r>
    </w:p>
    <w:p w:rsidR="009F4C2F" w:rsidRPr="006114D7" w:rsidRDefault="008516EC" w:rsidP="00FF5024">
      <w:pPr>
        <w:spacing w:after="120" w:line="240" w:lineRule="auto"/>
        <w:jc w:val="both"/>
        <w:rPr>
          <w:rFonts w:ascii="Times New Roman" w:eastAsiaTheme="minorEastAsia" w:hAnsi="Times New Roman" w:cs="Times New Roman"/>
          <w:color w:val="FF0000"/>
          <w:sz w:val="24"/>
          <w:szCs w:val="24"/>
          <w:lang w:eastAsia="pt-BR"/>
        </w:rPr>
      </w:pPr>
      <w:r w:rsidRPr="006114D7">
        <w:rPr>
          <w:rFonts w:ascii="Times New Roman" w:eastAsiaTheme="minorEastAsia" w:hAnsi="Times New Roman" w:cs="Times New Roman"/>
          <w:b/>
          <w:color w:val="000000" w:themeColor="text1"/>
          <w:sz w:val="24"/>
          <w:szCs w:val="24"/>
          <w:lang w:eastAsia="pt-BR"/>
        </w:rPr>
        <w:t xml:space="preserve">Proposição </w:t>
      </w:r>
      <w:proofErr w:type="gramStart"/>
      <w:r w:rsidRPr="006114D7">
        <w:rPr>
          <w:rFonts w:ascii="Times New Roman" w:eastAsiaTheme="minorEastAsia" w:hAnsi="Times New Roman" w:cs="Times New Roman"/>
          <w:b/>
          <w:color w:val="000000" w:themeColor="text1"/>
          <w:sz w:val="24"/>
          <w:szCs w:val="24"/>
          <w:lang w:eastAsia="pt-BR"/>
        </w:rPr>
        <w:t>3</w:t>
      </w:r>
      <w:proofErr w:type="gramEnd"/>
      <w:r w:rsidRPr="006114D7">
        <w:rPr>
          <w:rFonts w:ascii="Times New Roman" w:eastAsiaTheme="minorEastAsia" w:hAnsi="Times New Roman" w:cs="Times New Roman"/>
          <w:color w:val="000000" w:themeColor="text1"/>
          <w:sz w:val="24"/>
          <w:szCs w:val="24"/>
          <w:lang w:eastAsia="pt-BR"/>
        </w:rPr>
        <w:t>: (Generalizando os incentivos de tomada de riscos) C</w:t>
      </w:r>
      <w:r w:rsidR="00B92138" w:rsidRPr="006114D7">
        <w:rPr>
          <w:rFonts w:ascii="Times New Roman" w:eastAsiaTheme="minorEastAsia" w:hAnsi="Times New Roman" w:cs="Times New Roman"/>
          <w:color w:val="000000" w:themeColor="text1"/>
          <w:sz w:val="24"/>
          <w:szCs w:val="24"/>
          <w:lang w:eastAsia="pt-BR"/>
        </w:rPr>
        <w:t xml:space="preserve">om restrições financeiras fracas, os bancos sempre irão preferir tomar mais risco </w:t>
      </w:r>
      <w:r w:rsidR="00DE40A8" w:rsidRPr="006114D7">
        <w:rPr>
          <w:rFonts w:ascii="Times New Roman" w:eastAsiaTheme="minorEastAsia" w:hAnsi="Times New Roman" w:cs="Times New Roman"/>
          <w:color w:val="000000" w:themeColor="text1"/>
          <w:sz w:val="24"/>
          <w:szCs w:val="24"/>
          <w:lang w:eastAsia="pt-BR"/>
        </w:rPr>
        <w:t>a</w:t>
      </w:r>
      <w:r w:rsidR="00B92138" w:rsidRPr="006114D7">
        <w:rPr>
          <w:rFonts w:ascii="Times New Roman" w:eastAsiaTheme="minorEastAsia" w:hAnsi="Times New Roman" w:cs="Times New Roman"/>
          <w:color w:val="000000" w:themeColor="text1"/>
          <w:sz w:val="24"/>
          <w:szCs w:val="24"/>
          <w:lang w:eastAsia="pt-BR"/>
        </w:rPr>
        <w:t xml:space="preserve"> manter o capital em </w:t>
      </w:r>
      <w:r w:rsidR="00D64C34" w:rsidRPr="006114D7">
        <w:rPr>
          <w:rFonts w:ascii="Times New Roman" w:eastAsiaTheme="minorEastAsia" w:hAnsi="Times New Roman" w:cs="Times New Roman"/>
          <w:color w:val="000000" w:themeColor="text1"/>
          <w:sz w:val="24"/>
          <w:szCs w:val="24"/>
          <w:lang w:eastAsia="pt-BR"/>
        </w:rPr>
        <w:t>nível</w:t>
      </w:r>
      <w:r w:rsidRPr="006114D7">
        <w:rPr>
          <w:rFonts w:ascii="Times New Roman" w:eastAsiaTheme="minorEastAsia" w:hAnsi="Times New Roman" w:cs="Times New Roman"/>
          <w:color w:val="000000" w:themeColor="text1"/>
          <w:sz w:val="24"/>
          <w:szCs w:val="24"/>
          <w:lang w:eastAsia="pt-BR"/>
        </w:rPr>
        <w:t xml:space="preserve"> </w:t>
      </w:r>
      <w:r w:rsidR="00B92138" w:rsidRPr="006114D7">
        <w:rPr>
          <w:rFonts w:ascii="Times New Roman" w:eastAsiaTheme="minorEastAsia" w:hAnsi="Times New Roman" w:cs="Times New Roman"/>
          <w:color w:val="000000" w:themeColor="text1"/>
          <w:sz w:val="24"/>
          <w:szCs w:val="24"/>
          <w:lang w:eastAsia="pt-BR"/>
        </w:rPr>
        <w:t xml:space="preserve">ótimo, seja com </w:t>
      </w:r>
      <w:r w:rsidR="00190EFF" w:rsidRPr="006114D7">
        <w:rPr>
          <w:rFonts w:ascii="Times New Roman" w:eastAsiaTheme="minorEastAsia" w:hAnsi="Times New Roman" w:cs="Times New Roman"/>
          <w:color w:val="000000" w:themeColor="text1"/>
          <w:sz w:val="24"/>
          <w:szCs w:val="24"/>
          <w:lang w:eastAsia="pt-BR"/>
        </w:rPr>
        <w:t>dívidas</w:t>
      </w:r>
      <w:r w:rsidR="00B92138" w:rsidRPr="006114D7">
        <w:rPr>
          <w:rFonts w:ascii="Times New Roman" w:eastAsiaTheme="minorEastAsia" w:hAnsi="Times New Roman" w:cs="Times New Roman"/>
          <w:color w:val="000000" w:themeColor="text1"/>
          <w:sz w:val="24"/>
          <w:szCs w:val="24"/>
          <w:lang w:eastAsia="pt-BR"/>
        </w:rPr>
        <w:t xml:space="preserve"> subordinadas, seja com</w:t>
      </w:r>
      <w:r w:rsidR="00D7266C" w:rsidRPr="006114D7">
        <w:rPr>
          <w:rFonts w:ascii="Times New Roman" w:eastAsiaTheme="minorEastAsia" w:hAnsi="Times New Roman" w:cs="Times New Roman"/>
          <w:color w:val="000000" w:themeColor="text1"/>
          <w:sz w:val="24"/>
          <w:szCs w:val="24"/>
          <w:lang w:eastAsia="pt-BR"/>
        </w:rPr>
        <w:t xml:space="preserve"> </w:t>
      </w:r>
      <w:proofErr w:type="spellStart"/>
      <w:r w:rsidR="0099005E">
        <w:rPr>
          <w:rFonts w:ascii="Times New Roman" w:eastAsiaTheme="minorEastAsia" w:hAnsi="Times New Roman" w:cs="Times New Roman"/>
          <w:color w:val="000000" w:themeColor="text1"/>
          <w:sz w:val="24"/>
          <w:szCs w:val="24"/>
          <w:lang w:eastAsia="pt-BR"/>
        </w:rPr>
        <w:t>CoCos</w:t>
      </w:r>
      <w:proofErr w:type="spellEnd"/>
      <w:r w:rsidR="00B92138" w:rsidRPr="006114D7">
        <w:rPr>
          <w:rFonts w:ascii="Times New Roman" w:eastAsiaTheme="minorEastAsia" w:hAnsi="Times New Roman" w:cs="Times New Roman"/>
          <w:color w:val="000000" w:themeColor="text1"/>
          <w:sz w:val="24"/>
          <w:szCs w:val="24"/>
          <w:lang w:eastAsia="pt-BR"/>
        </w:rPr>
        <w:t xml:space="preserve">.  Já no caso de restrições financeiras fortes, o banco vai sempre preferir baixo risco com </w:t>
      </w:r>
      <w:r w:rsidR="00190EFF" w:rsidRPr="006114D7">
        <w:rPr>
          <w:rFonts w:ascii="Times New Roman" w:eastAsiaTheme="minorEastAsia" w:hAnsi="Times New Roman" w:cs="Times New Roman"/>
          <w:color w:val="000000" w:themeColor="text1"/>
          <w:sz w:val="24"/>
          <w:szCs w:val="24"/>
          <w:lang w:eastAsia="pt-BR"/>
        </w:rPr>
        <w:t>dívidas</w:t>
      </w:r>
      <w:r w:rsidR="00B92138" w:rsidRPr="006114D7">
        <w:rPr>
          <w:rFonts w:ascii="Times New Roman" w:eastAsiaTheme="minorEastAsia" w:hAnsi="Times New Roman" w:cs="Times New Roman"/>
          <w:color w:val="000000" w:themeColor="text1"/>
          <w:sz w:val="24"/>
          <w:szCs w:val="24"/>
          <w:lang w:eastAsia="pt-BR"/>
        </w:rPr>
        <w:t xml:space="preserve"> subordinadas</w:t>
      </w:r>
      <w:r w:rsidR="00654CEE" w:rsidRPr="006114D7">
        <w:rPr>
          <w:rFonts w:ascii="Times New Roman" w:eastAsiaTheme="minorEastAsia" w:hAnsi="Times New Roman" w:cs="Times New Roman"/>
          <w:color w:val="000000" w:themeColor="text1"/>
          <w:sz w:val="24"/>
          <w:szCs w:val="24"/>
          <w:lang w:eastAsia="pt-BR"/>
        </w:rPr>
        <w:t xml:space="preserve">, </w:t>
      </w:r>
      <w:r w:rsidR="00B92138" w:rsidRPr="006114D7">
        <w:rPr>
          <w:rFonts w:ascii="Times New Roman" w:eastAsiaTheme="minorEastAsia" w:hAnsi="Times New Roman" w:cs="Times New Roman"/>
          <w:color w:val="000000" w:themeColor="text1"/>
          <w:sz w:val="24"/>
          <w:szCs w:val="24"/>
          <w:lang w:eastAsia="pt-BR"/>
        </w:rPr>
        <w:t>embora possa optar por maior risco com financiamento em</w:t>
      </w:r>
      <w:r w:rsidR="00D7266C" w:rsidRPr="006114D7">
        <w:rPr>
          <w:rFonts w:ascii="Times New Roman" w:eastAsiaTheme="minorEastAsia" w:hAnsi="Times New Roman" w:cs="Times New Roman"/>
          <w:color w:val="000000" w:themeColor="text1"/>
          <w:sz w:val="24"/>
          <w:szCs w:val="24"/>
          <w:lang w:eastAsia="pt-BR"/>
        </w:rPr>
        <w:t xml:space="preserve">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sidR="00D7266C" w:rsidRPr="006114D7">
        <w:rPr>
          <w:rFonts w:ascii="Times New Roman" w:eastAsiaTheme="minorEastAsia" w:hAnsi="Times New Roman" w:cs="Times New Roman"/>
          <w:color w:val="000000" w:themeColor="text1"/>
          <w:sz w:val="24"/>
          <w:szCs w:val="24"/>
          <w:lang w:eastAsia="pt-BR"/>
        </w:rPr>
        <w:t xml:space="preserve"> </w:t>
      </w:r>
      <w:r w:rsidR="00B92138" w:rsidRPr="006114D7">
        <w:rPr>
          <w:rFonts w:ascii="Times New Roman" w:eastAsiaTheme="minorEastAsia" w:hAnsi="Times New Roman" w:cs="Times New Roman"/>
          <w:color w:val="000000" w:themeColor="text1"/>
          <w:sz w:val="24"/>
          <w:szCs w:val="24"/>
          <w:lang w:eastAsia="pt-BR"/>
        </w:rPr>
        <w:t xml:space="preserve">no </w:t>
      </w:r>
      <w:r w:rsidR="00D64C34" w:rsidRPr="006114D7">
        <w:rPr>
          <w:rFonts w:ascii="Times New Roman" w:eastAsiaTheme="minorEastAsia" w:hAnsi="Times New Roman" w:cs="Times New Roman"/>
          <w:color w:val="000000" w:themeColor="text1"/>
          <w:sz w:val="24"/>
          <w:szCs w:val="24"/>
          <w:lang w:eastAsia="pt-BR"/>
        </w:rPr>
        <w:t>nível</w:t>
      </w:r>
      <w:r w:rsidRPr="006114D7">
        <w:rPr>
          <w:rFonts w:ascii="Times New Roman" w:eastAsiaTheme="minorEastAsia" w:hAnsi="Times New Roman" w:cs="Times New Roman"/>
          <w:color w:val="000000" w:themeColor="text1"/>
          <w:sz w:val="24"/>
          <w:szCs w:val="24"/>
          <w:lang w:eastAsia="pt-BR"/>
        </w:rPr>
        <w:t xml:space="preserve"> </w:t>
      </w:r>
      <w:r w:rsidR="00B92138" w:rsidRPr="006114D7">
        <w:rPr>
          <w:rFonts w:ascii="Times New Roman" w:eastAsiaTheme="minorEastAsia" w:hAnsi="Times New Roman" w:cs="Times New Roman"/>
          <w:color w:val="000000" w:themeColor="text1"/>
          <w:sz w:val="24"/>
          <w:szCs w:val="24"/>
          <w:lang w:eastAsia="pt-BR"/>
        </w:rPr>
        <w:t xml:space="preserve">ótimo. Ou seja, para uma fronteira arbitraria </w:t>
      </w:r>
      <m:oMath>
        <m:r>
          <w:rPr>
            <w:rFonts w:ascii="Cambria Math" w:eastAsiaTheme="minorEastAsia" w:hAnsi="Cambria Math" w:cs="Times New Roman"/>
            <w:color w:val="000000" w:themeColor="text1"/>
            <w:sz w:val="24"/>
            <w:szCs w:val="24"/>
            <w:lang w:eastAsia="pt-BR"/>
          </w:rPr>
          <m:t>ξ=ϕπ</m:t>
        </m:r>
      </m:oMath>
      <w:r w:rsidR="00B92138" w:rsidRPr="006114D7">
        <w:rPr>
          <w:rFonts w:ascii="Times New Roman" w:eastAsiaTheme="minorEastAsia" w:hAnsi="Times New Roman" w:cs="Times New Roman"/>
          <w:color w:val="000000" w:themeColor="text1"/>
          <w:sz w:val="24"/>
          <w:szCs w:val="24"/>
          <w:lang w:eastAsia="pt-BR"/>
        </w:rPr>
        <w:t xml:space="preserve"> a escolha ótima do </w:t>
      </w:r>
      <w:r w:rsidR="00D64C34" w:rsidRPr="006114D7">
        <w:rPr>
          <w:rFonts w:ascii="Times New Roman" w:eastAsiaTheme="minorEastAsia" w:hAnsi="Times New Roman" w:cs="Times New Roman"/>
          <w:color w:val="000000" w:themeColor="text1"/>
          <w:sz w:val="24"/>
          <w:szCs w:val="24"/>
          <w:lang w:eastAsia="pt-BR"/>
        </w:rPr>
        <w:t>nível</w:t>
      </w:r>
      <w:r w:rsidRPr="006114D7">
        <w:rPr>
          <w:rFonts w:ascii="Times New Roman" w:eastAsiaTheme="minorEastAsia" w:hAnsi="Times New Roman" w:cs="Times New Roman"/>
          <w:color w:val="000000" w:themeColor="text1"/>
          <w:sz w:val="24"/>
          <w:szCs w:val="24"/>
          <w:lang w:eastAsia="pt-BR"/>
        </w:rPr>
        <w:t xml:space="preserve"> </w:t>
      </w:r>
      <w:r w:rsidR="00B92138" w:rsidRPr="006114D7">
        <w:rPr>
          <w:rFonts w:ascii="Times New Roman" w:eastAsiaTheme="minorEastAsia" w:hAnsi="Times New Roman" w:cs="Times New Roman"/>
          <w:color w:val="000000" w:themeColor="text1"/>
          <w:sz w:val="24"/>
          <w:szCs w:val="24"/>
          <w:lang w:eastAsia="pt-BR"/>
        </w:rPr>
        <w:t xml:space="preserve">de </w:t>
      </w:r>
      <w:r w:rsidR="00190EFF" w:rsidRPr="006114D7">
        <w:rPr>
          <w:rFonts w:ascii="Times New Roman" w:eastAsiaTheme="minorEastAsia" w:hAnsi="Times New Roman" w:cs="Times New Roman"/>
          <w:color w:val="000000" w:themeColor="text1"/>
          <w:sz w:val="24"/>
          <w:szCs w:val="24"/>
          <w:lang w:eastAsia="pt-BR"/>
        </w:rPr>
        <w:t>dívida</w:t>
      </w:r>
      <w:r w:rsidR="00B92138" w:rsidRPr="006114D7">
        <w:rPr>
          <w:rFonts w:ascii="Times New Roman" w:eastAsiaTheme="minorEastAsia" w:hAnsi="Times New Roman" w:cs="Times New Roman"/>
          <w:color w:val="000000" w:themeColor="text1"/>
          <w:sz w:val="24"/>
          <w:szCs w:val="24"/>
          <w:lang w:eastAsia="pt-BR"/>
        </w:rPr>
        <w:t xml:space="preserve"> </w:t>
      </w:r>
      <w:r w:rsidR="000C314A" w:rsidRPr="006114D7">
        <w:rPr>
          <w:rFonts w:ascii="Times New Roman" w:eastAsiaTheme="minorEastAsia" w:hAnsi="Times New Roman" w:cs="Times New Roman"/>
          <w:color w:val="000000" w:themeColor="text1"/>
          <w:sz w:val="24"/>
          <w:szCs w:val="24"/>
          <w:lang w:eastAsia="pt-BR"/>
        </w:rPr>
        <w:t>segue a seguinte regra:</w:t>
      </w:r>
    </w:p>
    <w:p w:rsidR="000C314A" w:rsidRPr="006114D7" w:rsidRDefault="000C314A" w:rsidP="00FF5024">
      <w:pPr>
        <w:pStyle w:val="PargrafodaLista"/>
        <w:spacing w:after="120" w:line="240" w:lineRule="auto"/>
        <w:ind w:left="0"/>
        <w:jc w:val="both"/>
        <w:rPr>
          <w:rFonts w:ascii="Times New Roman" w:eastAsiaTheme="minorEastAsia" w:hAnsi="Times New Roman" w:cs="Times New Roman"/>
          <w:color w:val="000000" w:themeColor="text1"/>
          <w:sz w:val="24"/>
          <w:szCs w:val="24"/>
          <w:lang w:eastAsia="pt-BR"/>
        </w:rPr>
      </w:pPr>
      <w:r w:rsidRPr="006114D7">
        <w:rPr>
          <w:rFonts w:ascii="Times New Roman" w:eastAsiaTheme="minorEastAsia" w:hAnsi="Times New Roman" w:cs="Times New Roman"/>
          <w:color w:val="000000" w:themeColor="text1"/>
          <w:sz w:val="24"/>
          <w:szCs w:val="24"/>
          <w:lang w:eastAsia="pt-BR"/>
        </w:rPr>
        <w:t xml:space="preserve">Se </w:t>
      </w:r>
      <m:oMath>
        <m:r>
          <w:rPr>
            <w:rFonts w:ascii="Cambria Math" w:eastAsiaTheme="minorEastAsia" w:hAnsi="Cambria Math" w:cs="Times New Roman"/>
            <w:color w:val="000000" w:themeColor="text1"/>
            <w:sz w:val="24"/>
            <w:szCs w:val="24"/>
            <w:lang w:eastAsia="pt-BR"/>
          </w:rPr>
          <m:t>ξ&lt;</m:t>
        </m:r>
        <m:acc>
          <m:accPr>
            <m:ctrlPr>
              <w:rPr>
                <w:rFonts w:ascii="Cambria Math" w:eastAsiaTheme="minorEastAsia" w:hAnsi="Cambria Math" w:cs="Times New Roman"/>
                <w:i/>
                <w:color w:val="000000" w:themeColor="text1"/>
                <w:sz w:val="24"/>
                <w:szCs w:val="24"/>
                <w:lang w:eastAsia="pt-BR"/>
              </w:rPr>
            </m:ctrlPr>
          </m:accPr>
          <m:e>
            <m:r>
              <w:rPr>
                <w:rFonts w:ascii="Cambria Math" w:eastAsiaTheme="minorEastAsia" w:hAnsi="Cambria Math" w:cs="Times New Roman"/>
                <w:color w:val="000000" w:themeColor="text1"/>
                <w:sz w:val="24"/>
                <w:szCs w:val="24"/>
                <w:lang w:eastAsia="pt-BR"/>
              </w:rPr>
              <m:t>ξ</m:t>
            </m:r>
          </m:e>
        </m:acc>
      </m:oMath>
      <w:r w:rsidRPr="006114D7">
        <w:rPr>
          <w:rFonts w:ascii="Times New Roman" w:eastAsiaTheme="minorEastAsia" w:hAnsi="Times New Roman" w:cs="Times New Roman"/>
          <w:color w:val="000000" w:themeColor="text1"/>
          <w:sz w:val="24"/>
          <w:szCs w:val="24"/>
          <w:lang w:eastAsia="pt-BR"/>
        </w:rPr>
        <w:t xml:space="preserve"> então </w:t>
      </w:r>
      <m:oMath>
        <m:r>
          <w:rPr>
            <w:rFonts w:ascii="Cambria Math" w:eastAsiaTheme="minorEastAsia" w:hAnsi="Cambria Math" w:cs="Times New Roman"/>
            <w:color w:val="000000" w:themeColor="text1"/>
            <w:sz w:val="24"/>
            <w:szCs w:val="24"/>
            <w:lang w:eastAsia="pt-BR"/>
          </w:rPr>
          <m:t>0&lt;</m:t>
        </m:r>
        <m:sSub>
          <m:sSubPr>
            <m:ctrlPr>
              <w:rPr>
                <w:rFonts w:ascii="Cambria Math" w:eastAsiaTheme="minorEastAsia" w:hAnsi="Cambria Math" w:cs="Times New Roman"/>
                <w:i/>
                <w:color w:val="000000" w:themeColor="text1"/>
                <w:sz w:val="24"/>
                <w:szCs w:val="24"/>
                <w:lang w:val="en-US" w:eastAsia="pt-BR"/>
              </w:rPr>
            </m:ctrlPr>
          </m:sSubPr>
          <m:e>
            <m:d>
              <m:dPr>
                <m:begChr m:val=""/>
                <m:endChr m:val="|"/>
                <m:ctrlPr>
                  <w:rPr>
                    <w:rFonts w:ascii="Cambria Math" w:eastAsiaTheme="minorEastAsia" w:hAnsi="Cambria Math" w:cs="Times New Roman"/>
                    <w:i/>
                    <w:color w:val="000000" w:themeColor="text1"/>
                    <w:sz w:val="24"/>
                    <w:szCs w:val="24"/>
                    <w:lang w:val="en-US" w:eastAsia="pt-BR"/>
                  </w:rPr>
                </m:ctrlPr>
              </m:dPr>
              <m:e>
                <m:f>
                  <m:fPr>
                    <m:ctrlPr>
                      <w:rPr>
                        <w:rFonts w:ascii="Cambria Math" w:eastAsiaTheme="minorEastAsia" w:hAnsi="Cambria Math" w:cs="Times New Roman"/>
                        <w:i/>
                        <w:color w:val="000000" w:themeColor="text1"/>
                        <w:sz w:val="24"/>
                        <w:szCs w:val="24"/>
                        <w:lang w:eastAsia="pt-BR"/>
                      </w:rPr>
                    </m:ctrlPr>
                  </m:fPr>
                  <m:num>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up>
                        <m:r>
                          <w:rPr>
                            <w:rFonts w:ascii="Cambria Math" w:hAnsi="Cambria Math" w:cs="Times New Roman"/>
                            <w:color w:val="000000" w:themeColor="text1"/>
                            <w:sz w:val="24"/>
                            <w:szCs w:val="24"/>
                          </w:rPr>
                          <m:t>b</m:t>
                        </m:r>
                      </m:sup>
                    </m:sSubSup>
                  </m:num>
                  <m:den>
                    <m:r>
                      <w:rPr>
                        <w:rFonts w:ascii="Cambria Math" w:hAnsi="Cambria Math" w:cs="Times New Roman"/>
                        <w:color w:val="000000" w:themeColor="text1"/>
                        <w:sz w:val="24"/>
                        <w:szCs w:val="24"/>
                      </w:rPr>
                      <m:t>∂σ</m:t>
                    </m:r>
                  </m:den>
                </m:f>
              </m:e>
            </m:d>
          </m:e>
          <m:sub>
            <m:r>
              <w:rPr>
                <w:rFonts w:ascii="Cambria Math" w:eastAsiaTheme="minorEastAsia" w:hAnsi="Cambria Math" w:cs="Times New Roman"/>
                <w:color w:val="000000" w:themeColor="text1"/>
                <w:sz w:val="24"/>
                <w:szCs w:val="24"/>
                <w:lang w:val="en-US" w:eastAsia="pt-BR"/>
              </w:rPr>
              <m:t>b</m:t>
            </m:r>
            <m:r>
              <w:rPr>
                <w:rFonts w:ascii="Cambria Math" w:eastAsiaTheme="minorEastAsia" w:hAnsi="Cambria Math" w:cs="Times New Roman"/>
                <w:color w:val="000000" w:themeColor="text1"/>
                <w:sz w:val="24"/>
                <w:szCs w:val="24"/>
                <w:lang w:eastAsia="pt-BR"/>
              </w:rPr>
              <m:t>=</m:t>
            </m:r>
            <m:r>
              <w:rPr>
                <w:rFonts w:ascii="Cambria Math" w:eastAsiaTheme="minorEastAsia" w:hAnsi="Cambria Math" w:cs="Times New Roman"/>
                <w:color w:val="000000" w:themeColor="text1"/>
                <w:sz w:val="24"/>
                <w:szCs w:val="24"/>
                <w:lang w:val="en-US" w:eastAsia="pt-BR"/>
              </w:rPr>
              <m:t>b</m:t>
            </m:r>
            <m:r>
              <w:rPr>
                <w:rFonts w:ascii="Cambria Math" w:eastAsiaTheme="minorEastAsia" w:hAnsi="Cambria Math" w:cs="Times New Roman"/>
                <w:color w:val="000000" w:themeColor="text1"/>
                <w:sz w:val="24"/>
                <w:szCs w:val="24"/>
                <w:lang w:eastAsia="pt-BR"/>
              </w:rPr>
              <m:t>*</m:t>
            </m:r>
          </m:sub>
        </m:sSub>
        <m:r>
          <w:rPr>
            <w:rFonts w:ascii="Cambria Math" w:eastAsiaTheme="minorEastAsia" w:hAnsi="Cambria Math" w:cs="Times New Roman"/>
            <w:color w:val="000000" w:themeColor="text1"/>
            <w:sz w:val="24"/>
            <w:szCs w:val="24"/>
            <w:lang w:eastAsia="pt-BR"/>
          </w:rPr>
          <m:t>&lt;</m:t>
        </m:r>
        <m:sSub>
          <m:sSubPr>
            <m:ctrlPr>
              <w:rPr>
                <w:rFonts w:ascii="Cambria Math" w:eastAsiaTheme="minorEastAsia" w:hAnsi="Cambria Math" w:cs="Times New Roman"/>
                <w:i/>
                <w:color w:val="000000" w:themeColor="text1"/>
                <w:sz w:val="24"/>
                <w:szCs w:val="24"/>
                <w:lang w:val="en-US" w:eastAsia="pt-BR"/>
              </w:rPr>
            </m:ctrlPr>
          </m:sSubPr>
          <m:e>
            <m:d>
              <m:dPr>
                <m:begChr m:val=""/>
                <m:endChr m:val="|"/>
                <m:ctrlPr>
                  <w:rPr>
                    <w:rFonts w:ascii="Cambria Math" w:eastAsiaTheme="minorEastAsia" w:hAnsi="Cambria Math" w:cs="Times New Roman"/>
                    <w:i/>
                    <w:color w:val="000000" w:themeColor="text1"/>
                    <w:sz w:val="24"/>
                    <w:szCs w:val="24"/>
                    <w:lang w:val="en-US" w:eastAsia="pt-BR"/>
                  </w:rPr>
                </m:ctrlPr>
              </m:dPr>
              <m:e>
                <m:f>
                  <m:fPr>
                    <m:ctrlPr>
                      <w:rPr>
                        <w:rFonts w:ascii="Cambria Math" w:eastAsiaTheme="minorEastAsia" w:hAnsi="Cambria Math" w:cs="Times New Roman"/>
                        <w:i/>
                        <w:color w:val="000000" w:themeColor="text1"/>
                        <w:sz w:val="24"/>
                        <w:szCs w:val="24"/>
                        <w:lang w:eastAsia="pt-BR"/>
                      </w:rPr>
                    </m:ctrlPr>
                  </m:fPr>
                  <m:num>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up>
                        <m:r>
                          <w:rPr>
                            <w:rFonts w:ascii="Cambria Math" w:hAnsi="Cambria Math" w:cs="Times New Roman"/>
                            <w:color w:val="000000" w:themeColor="text1"/>
                            <w:sz w:val="24"/>
                            <w:szCs w:val="24"/>
                          </w:rPr>
                          <m:t>c</m:t>
                        </m:r>
                      </m:sup>
                    </m:sSubSup>
                  </m:num>
                  <m:den>
                    <m:r>
                      <w:rPr>
                        <w:rFonts w:ascii="Cambria Math" w:hAnsi="Cambria Math" w:cs="Times New Roman"/>
                        <w:color w:val="000000" w:themeColor="text1"/>
                        <w:sz w:val="24"/>
                        <w:szCs w:val="24"/>
                      </w:rPr>
                      <m:t>∂σ</m:t>
                    </m:r>
                  </m:den>
                </m:f>
              </m:e>
            </m:d>
          </m:e>
          <m:sub>
            <m:r>
              <w:rPr>
                <w:rFonts w:ascii="Cambria Math" w:eastAsiaTheme="minorEastAsia" w:hAnsi="Cambria Math" w:cs="Times New Roman"/>
                <w:color w:val="000000" w:themeColor="text1"/>
                <w:sz w:val="24"/>
                <w:szCs w:val="24"/>
                <w:lang w:val="en-US" w:eastAsia="pt-BR"/>
              </w:rPr>
              <m:t>c</m:t>
            </m:r>
            <m:r>
              <w:rPr>
                <w:rFonts w:ascii="Cambria Math" w:eastAsiaTheme="minorEastAsia" w:hAnsi="Cambria Math" w:cs="Times New Roman"/>
                <w:color w:val="000000" w:themeColor="text1"/>
                <w:sz w:val="24"/>
                <w:szCs w:val="24"/>
                <w:lang w:eastAsia="pt-BR"/>
              </w:rPr>
              <m:t>=</m:t>
            </m:r>
            <m:r>
              <w:rPr>
                <w:rFonts w:ascii="Cambria Math" w:eastAsiaTheme="minorEastAsia" w:hAnsi="Cambria Math" w:cs="Times New Roman"/>
                <w:color w:val="000000" w:themeColor="text1"/>
                <w:sz w:val="24"/>
                <w:szCs w:val="24"/>
                <w:lang w:val="en-US" w:eastAsia="pt-BR"/>
              </w:rPr>
              <m:t>c</m:t>
            </m:r>
            <m:r>
              <w:rPr>
                <w:rFonts w:ascii="Cambria Math" w:eastAsiaTheme="minorEastAsia" w:hAnsi="Cambria Math" w:cs="Times New Roman"/>
                <w:color w:val="000000" w:themeColor="text1"/>
                <w:sz w:val="24"/>
                <w:szCs w:val="24"/>
                <w:lang w:eastAsia="pt-BR"/>
              </w:rPr>
              <m:t>*</m:t>
            </m:r>
          </m:sub>
        </m:sSub>
      </m:oMath>
    </w:p>
    <w:p w:rsidR="00A8263D" w:rsidRDefault="00A8263D" w:rsidP="00FF5024">
      <w:pPr>
        <w:pStyle w:val="PargrafodaLista"/>
        <w:spacing w:after="120" w:line="240" w:lineRule="auto"/>
        <w:ind w:left="0"/>
        <w:jc w:val="both"/>
        <w:rPr>
          <w:rFonts w:ascii="Times New Roman" w:eastAsiaTheme="minorEastAsia" w:hAnsi="Times New Roman" w:cs="Times New Roman"/>
          <w:color w:val="000000" w:themeColor="text1"/>
          <w:sz w:val="24"/>
          <w:szCs w:val="24"/>
          <w:lang w:eastAsia="pt-BR"/>
        </w:rPr>
      </w:pPr>
      <w:r>
        <w:rPr>
          <w:rFonts w:ascii="Times New Roman" w:eastAsiaTheme="minorEastAsia" w:hAnsi="Times New Roman" w:cs="Times New Roman"/>
          <w:color w:val="000000" w:themeColor="text1"/>
          <w:sz w:val="24"/>
          <w:szCs w:val="24"/>
          <w:lang w:eastAsia="pt-BR"/>
        </w:rPr>
        <w:t>Onde os bancos p</w:t>
      </w:r>
      <w:r w:rsidRPr="00A8263D">
        <w:rPr>
          <w:rFonts w:ascii="Times New Roman" w:eastAsiaTheme="minorEastAsia" w:hAnsi="Times New Roman" w:cs="Times New Roman"/>
          <w:color w:val="000000" w:themeColor="text1"/>
          <w:sz w:val="24"/>
          <w:szCs w:val="24"/>
          <w:lang w:eastAsia="pt-BR"/>
        </w:rPr>
        <w:t xml:space="preserve">referem tomar mais risco a manter o capital em nível ótimo, seja com dívidas subordinadas, seja com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Pr>
          <w:rFonts w:ascii="Times New Roman" w:eastAsiaTheme="minorEastAsia" w:hAnsi="Times New Roman" w:cs="Times New Roman"/>
          <w:color w:val="000000" w:themeColor="text1"/>
          <w:sz w:val="24"/>
          <w:szCs w:val="24"/>
          <w:lang w:eastAsia="pt-BR"/>
        </w:rPr>
        <w:t>, e</w:t>
      </w:r>
    </w:p>
    <w:p w:rsidR="000C314A" w:rsidRPr="006114D7" w:rsidRDefault="000C314A" w:rsidP="00FF5024">
      <w:pPr>
        <w:pStyle w:val="PargrafodaLista"/>
        <w:spacing w:after="120" w:line="240" w:lineRule="auto"/>
        <w:ind w:left="0"/>
        <w:jc w:val="both"/>
        <w:rPr>
          <w:rFonts w:ascii="Times New Roman" w:eastAsiaTheme="minorEastAsia" w:hAnsi="Times New Roman" w:cs="Times New Roman"/>
          <w:color w:val="000000" w:themeColor="text1"/>
          <w:sz w:val="24"/>
          <w:szCs w:val="24"/>
          <w:lang w:eastAsia="pt-BR"/>
        </w:rPr>
      </w:pPr>
      <w:r w:rsidRPr="006114D7">
        <w:rPr>
          <w:rFonts w:ascii="Times New Roman" w:eastAsiaTheme="minorEastAsia" w:hAnsi="Times New Roman" w:cs="Times New Roman"/>
          <w:color w:val="000000" w:themeColor="text1"/>
          <w:sz w:val="24"/>
          <w:szCs w:val="24"/>
          <w:lang w:eastAsia="pt-BR"/>
        </w:rPr>
        <w:t xml:space="preserve">Se </w:t>
      </w:r>
      <m:oMath>
        <m:r>
          <w:rPr>
            <w:rFonts w:ascii="Cambria Math" w:eastAsiaTheme="minorEastAsia" w:hAnsi="Cambria Math" w:cs="Times New Roman"/>
            <w:color w:val="000000" w:themeColor="text1"/>
            <w:sz w:val="24"/>
            <w:szCs w:val="24"/>
            <w:lang w:eastAsia="pt-BR"/>
          </w:rPr>
          <m:t>ξ&gt;</m:t>
        </m:r>
        <m:acc>
          <m:accPr>
            <m:ctrlPr>
              <w:rPr>
                <w:rFonts w:ascii="Cambria Math" w:eastAsiaTheme="minorEastAsia" w:hAnsi="Cambria Math" w:cs="Times New Roman"/>
                <w:i/>
                <w:color w:val="000000" w:themeColor="text1"/>
                <w:sz w:val="24"/>
                <w:szCs w:val="24"/>
                <w:lang w:eastAsia="pt-BR"/>
              </w:rPr>
            </m:ctrlPr>
          </m:accPr>
          <m:e>
            <m:r>
              <w:rPr>
                <w:rFonts w:ascii="Cambria Math" w:eastAsiaTheme="minorEastAsia" w:hAnsi="Cambria Math" w:cs="Times New Roman"/>
                <w:color w:val="000000" w:themeColor="text1"/>
                <w:sz w:val="24"/>
                <w:szCs w:val="24"/>
                <w:lang w:eastAsia="pt-BR"/>
              </w:rPr>
              <m:t>ξ</m:t>
            </m:r>
          </m:e>
        </m:acc>
      </m:oMath>
      <w:r w:rsidRPr="006114D7">
        <w:rPr>
          <w:rFonts w:ascii="Times New Roman" w:eastAsiaTheme="minorEastAsia" w:hAnsi="Times New Roman" w:cs="Times New Roman"/>
          <w:color w:val="000000" w:themeColor="text1"/>
          <w:sz w:val="24"/>
          <w:szCs w:val="24"/>
          <w:lang w:eastAsia="pt-BR"/>
        </w:rPr>
        <w:t xml:space="preserve"> então </w:t>
      </w:r>
      <m:oMath>
        <m:sSub>
          <m:sSubPr>
            <m:ctrlPr>
              <w:rPr>
                <w:rFonts w:ascii="Cambria Math" w:eastAsiaTheme="minorEastAsia" w:hAnsi="Cambria Math" w:cs="Times New Roman"/>
                <w:i/>
                <w:color w:val="000000" w:themeColor="text1"/>
                <w:sz w:val="24"/>
                <w:szCs w:val="24"/>
                <w:lang w:val="en-US" w:eastAsia="pt-BR"/>
              </w:rPr>
            </m:ctrlPr>
          </m:sSubPr>
          <m:e>
            <m:d>
              <m:dPr>
                <m:begChr m:val=""/>
                <m:endChr m:val="|"/>
                <m:ctrlPr>
                  <w:rPr>
                    <w:rFonts w:ascii="Cambria Math" w:eastAsiaTheme="minorEastAsia" w:hAnsi="Cambria Math" w:cs="Times New Roman"/>
                    <w:i/>
                    <w:color w:val="000000" w:themeColor="text1"/>
                    <w:sz w:val="24"/>
                    <w:szCs w:val="24"/>
                    <w:lang w:val="en-US" w:eastAsia="pt-BR"/>
                  </w:rPr>
                </m:ctrlPr>
              </m:dPr>
              <m:e>
                <m:f>
                  <m:fPr>
                    <m:ctrlPr>
                      <w:rPr>
                        <w:rFonts w:ascii="Cambria Math" w:eastAsiaTheme="minorEastAsia" w:hAnsi="Cambria Math" w:cs="Times New Roman"/>
                        <w:i/>
                        <w:color w:val="000000" w:themeColor="text1"/>
                        <w:sz w:val="24"/>
                        <w:szCs w:val="24"/>
                        <w:lang w:eastAsia="pt-BR"/>
                      </w:rPr>
                    </m:ctrlPr>
                  </m:fPr>
                  <m:num>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up>
                        <m:r>
                          <w:rPr>
                            <w:rFonts w:ascii="Cambria Math" w:hAnsi="Cambria Math" w:cs="Times New Roman"/>
                            <w:color w:val="000000" w:themeColor="text1"/>
                            <w:sz w:val="24"/>
                            <w:szCs w:val="24"/>
                          </w:rPr>
                          <m:t>b</m:t>
                        </m:r>
                      </m:sup>
                    </m:sSubSup>
                  </m:num>
                  <m:den>
                    <m:r>
                      <w:rPr>
                        <w:rFonts w:ascii="Cambria Math" w:hAnsi="Cambria Math" w:cs="Times New Roman"/>
                        <w:color w:val="000000" w:themeColor="text1"/>
                        <w:sz w:val="24"/>
                        <w:szCs w:val="24"/>
                      </w:rPr>
                      <m:t>∂σ</m:t>
                    </m:r>
                  </m:den>
                </m:f>
              </m:e>
            </m:d>
          </m:e>
          <m:sub>
            <m:r>
              <w:rPr>
                <w:rFonts w:ascii="Cambria Math" w:eastAsiaTheme="minorEastAsia" w:hAnsi="Cambria Math" w:cs="Times New Roman"/>
                <w:color w:val="000000" w:themeColor="text1"/>
                <w:sz w:val="24"/>
                <w:szCs w:val="24"/>
                <w:lang w:val="en-US" w:eastAsia="pt-BR"/>
              </w:rPr>
              <m:t>b</m:t>
            </m:r>
            <m:r>
              <w:rPr>
                <w:rFonts w:ascii="Cambria Math" w:eastAsiaTheme="minorEastAsia" w:hAnsi="Cambria Math" w:cs="Times New Roman"/>
                <w:color w:val="000000" w:themeColor="text1"/>
                <w:sz w:val="24"/>
                <w:szCs w:val="24"/>
                <w:lang w:eastAsia="pt-BR"/>
              </w:rPr>
              <m:t>=</m:t>
            </m:r>
            <m:r>
              <w:rPr>
                <w:rFonts w:ascii="Cambria Math" w:eastAsiaTheme="minorEastAsia" w:hAnsi="Cambria Math" w:cs="Times New Roman"/>
                <w:color w:val="000000" w:themeColor="text1"/>
                <w:sz w:val="24"/>
                <w:szCs w:val="24"/>
                <w:lang w:val="en-US" w:eastAsia="pt-BR"/>
              </w:rPr>
              <m:t>b</m:t>
            </m:r>
            <m:r>
              <w:rPr>
                <w:rFonts w:ascii="Cambria Math" w:eastAsiaTheme="minorEastAsia" w:hAnsi="Cambria Math" w:cs="Times New Roman"/>
                <w:color w:val="000000" w:themeColor="text1"/>
                <w:sz w:val="24"/>
                <w:szCs w:val="24"/>
                <w:lang w:eastAsia="pt-BR"/>
              </w:rPr>
              <m:t>*</m:t>
            </m:r>
          </m:sub>
        </m:sSub>
        <m:r>
          <w:rPr>
            <w:rFonts w:ascii="Cambria Math" w:eastAsiaTheme="minorEastAsia" w:hAnsi="Cambria Math" w:cs="Times New Roman"/>
            <w:color w:val="000000" w:themeColor="text1"/>
            <w:sz w:val="24"/>
            <w:szCs w:val="24"/>
            <w:lang w:eastAsia="pt-BR"/>
          </w:rPr>
          <m:t>&lt;0</m:t>
        </m:r>
      </m:oMath>
      <w:r w:rsidRPr="006114D7">
        <w:rPr>
          <w:rFonts w:ascii="Times New Roman" w:eastAsiaTheme="minorEastAsia" w:hAnsi="Times New Roman" w:cs="Times New Roman"/>
          <w:color w:val="000000" w:themeColor="text1"/>
          <w:sz w:val="24"/>
          <w:szCs w:val="24"/>
          <w:lang w:eastAsia="pt-BR"/>
        </w:rPr>
        <w:t xml:space="preserve"> e</w:t>
      </w:r>
      <w:proofErr w:type="gramStart"/>
      <w:r w:rsidRPr="006114D7">
        <w:rPr>
          <w:rFonts w:ascii="Times New Roman" w:eastAsiaTheme="minorEastAsia" w:hAnsi="Times New Roman" w:cs="Times New Roman"/>
          <w:color w:val="000000" w:themeColor="text1"/>
          <w:sz w:val="24"/>
          <w:szCs w:val="24"/>
          <w:lang w:eastAsia="pt-BR"/>
        </w:rPr>
        <w:t xml:space="preserve">  </w:t>
      </w:r>
      <w:proofErr w:type="gramEnd"/>
      <m:oMath>
        <m:sSub>
          <m:sSubPr>
            <m:ctrlPr>
              <w:rPr>
                <w:rFonts w:ascii="Cambria Math" w:eastAsiaTheme="minorEastAsia" w:hAnsi="Cambria Math" w:cs="Times New Roman"/>
                <w:i/>
                <w:color w:val="000000" w:themeColor="text1"/>
                <w:sz w:val="24"/>
                <w:szCs w:val="24"/>
                <w:lang w:val="en-US" w:eastAsia="pt-BR"/>
              </w:rPr>
            </m:ctrlPr>
          </m:sSubPr>
          <m:e>
            <m:d>
              <m:dPr>
                <m:begChr m:val=""/>
                <m:endChr m:val="|"/>
                <m:ctrlPr>
                  <w:rPr>
                    <w:rFonts w:ascii="Cambria Math" w:eastAsiaTheme="minorEastAsia" w:hAnsi="Cambria Math" w:cs="Times New Roman"/>
                    <w:i/>
                    <w:color w:val="000000" w:themeColor="text1"/>
                    <w:sz w:val="24"/>
                    <w:szCs w:val="24"/>
                    <w:lang w:val="en-US" w:eastAsia="pt-BR"/>
                  </w:rPr>
                </m:ctrlPr>
              </m:dPr>
              <m:e>
                <m:f>
                  <m:fPr>
                    <m:ctrlPr>
                      <w:rPr>
                        <w:rFonts w:ascii="Cambria Math" w:eastAsiaTheme="minorEastAsia" w:hAnsi="Cambria Math" w:cs="Times New Roman"/>
                        <w:i/>
                        <w:color w:val="000000" w:themeColor="text1"/>
                        <w:sz w:val="24"/>
                        <w:szCs w:val="24"/>
                        <w:lang w:eastAsia="pt-BR"/>
                      </w:rPr>
                    </m:ctrlPr>
                  </m:fPr>
                  <m:num>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up>
                        <m:r>
                          <w:rPr>
                            <w:rFonts w:ascii="Cambria Math" w:hAnsi="Cambria Math" w:cs="Times New Roman"/>
                            <w:color w:val="000000" w:themeColor="text1"/>
                            <w:sz w:val="24"/>
                            <w:szCs w:val="24"/>
                          </w:rPr>
                          <m:t>c</m:t>
                        </m:r>
                      </m:sup>
                    </m:sSubSup>
                  </m:num>
                  <m:den>
                    <m:r>
                      <w:rPr>
                        <w:rFonts w:ascii="Cambria Math" w:hAnsi="Cambria Math" w:cs="Times New Roman"/>
                        <w:color w:val="000000" w:themeColor="text1"/>
                        <w:sz w:val="24"/>
                        <w:szCs w:val="24"/>
                      </w:rPr>
                      <m:t>∂σ</m:t>
                    </m:r>
                  </m:den>
                </m:f>
              </m:e>
            </m:d>
          </m:e>
          <m:sub>
            <m:r>
              <w:rPr>
                <w:rFonts w:ascii="Cambria Math" w:eastAsiaTheme="minorEastAsia" w:hAnsi="Cambria Math" w:cs="Times New Roman"/>
                <w:color w:val="000000" w:themeColor="text1"/>
                <w:sz w:val="24"/>
                <w:szCs w:val="24"/>
                <w:lang w:val="en-US" w:eastAsia="pt-BR"/>
              </w:rPr>
              <m:t>c</m:t>
            </m:r>
            <m:r>
              <w:rPr>
                <w:rFonts w:ascii="Cambria Math" w:eastAsiaTheme="minorEastAsia" w:hAnsi="Cambria Math" w:cs="Times New Roman"/>
                <w:color w:val="000000" w:themeColor="text1"/>
                <w:sz w:val="24"/>
                <w:szCs w:val="24"/>
                <w:lang w:eastAsia="pt-BR"/>
              </w:rPr>
              <m:t>=</m:t>
            </m:r>
            <m:r>
              <w:rPr>
                <w:rFonts w:ascii="Cambria Math" w:eastAsiaTheme="minorEastAsia" w:hAnsi="Cambria Math" w:cs="Times New Roman"/>
                <w:color w:val="000000" w:themeColor="text1"/>
                <w:sz w:val="24"/>
                <w:szCs w:val="24"/>
                <w:lang w:val="en-US" w:eastAsia="pt-BR"/>
              </w:rPr>
              <m:t>c</m:t>
            </m:r>
            <m:r>
              <w:rPr>
                <w:rFonts w:ascii="Cambria Math" w:eastAsiaTheme="minorEastAsia" w:hAnsi="Cambria Math" w:cs="Times New Roman"/>
                <w:color w:val="000000" w:themeColor="text1"/>
                <w:sz w:val="24"/>
                <w:szCs w:val="24"/>
                <w:lang w:eastAsia="pt-BR"/>
              </w:rPr>
              <m:t>*</m:t>
            </m:r>
          </m:sub>
        </m:sSub>
        <m:r>
          <w:rPr>
            <w:rFonts w:ascii="Cambria Math" w:eastAsiaTheme="minorEastAsia" w:hAnsi="Cambria Math" w:cs="Times New Roman"/>
            <w:color w:val="000000" w:themeColor="text1"/>
            <w:sz w:val="24"/>
            <w:szCs w:val="24"/>
            <w:lang w:eastAsia="pt-BR"/>
          </w:rPr>
          <m:t>≶ 0</m:t>
        </m:r>
      </m:oMath>
    </w:p>
    <w:p w:rsidR="007B76E0" w:rsidRDefault="00A8263D" w:rsidP="00FF5024">
      <w:pPr>
        <w:pStyle w:val="PargrafodaLista"/>
        <w:spacing w:after="120" w:line="240" w:lineRule="auto"/>
        <w:ind w:left="0"/>
        <w:jc w:val="both"/>
        <w:rPr>
          <w:rFonts w:ascii="Times New Roman" w:eastAsiaTheme="minorEastAsia" w:hAnsi="Times New Roman" w:cs="Times New Roman"/>
          <w:sz w:val="24"/>
          <w:szCs w:val="24"/>
          <w:lang w:eastAsia="pt-BR"/>
        </w:rPr>
      </w:pPr>
      <w:r w:rsidRPr="00A8263D">
        <w:rPr>
          <w:rFonts w:ascii="Times New Roman" w:eastAsiaTheme="minorEastAsia" w:hAnsi="Times New Roman" w:cs="Times New Roman"/>
          <w:sz w:val="24"/>
          <w:szCs w:val="24"/>
          <w:lang w:eastAsia="pt-BR"/>
        </w:rPr>
        <w:t xml:space="preserve">Onde os bancos sempre irão preferir baixo risco com dívidas subordinadas, embora possam optar por maior risco com financiamento em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Pr="00A8263D">
        <w:rPr>
          <w:rFonts w:ascii="Times New Roman" w:eastAsiaTheme="minorEastAsia" w:hAnsi="Times New Roman" w:cs="Times New Roman"/>
          <w:sz w:val="24"/>
          <w:szCs w:val="24"/>
          <w:lang w:eastAsia="pt-BR"/>
        </w:rPr>
        <w:t xml:space="preserve"> no nível ótimo</w:t>
      </w:r>
      <w:r>
        <w:rPr>
          <w:rFonts w:ascii="Times New Roman" w:eastAsiaTheme="minorEastAsia" w:hAnsi="Times New Roman" w:cs="Times New Roman"/>
          <w:sz w:val="24"/>
          <w:szCs w:val="24"/>
          <w:lang w:eastAsia="pt-BR"/>
        </w:rPr>
        <w:t>.</w:t>
      </w:r>
    </w:p>
    <w:p w:rsidR="00EA3BDB" w:rsidRPr="006114D7" w:rsidRDefault="00D2119F" w:rsidP="00FF5024">
      <w:pPr>
        <w:spacing w:after="120" w:line="240" w:lineRule="auto"/>
        <w:jc w:val="both"/>
        <w:rPr>
          <w:rFonts w:ascii="Times New Roman" w:eastAsiaTheme="minorEastAsia" w:hAnsi="Times New Roman" w:cs="Times New Roman"/>
          <w:color w:val="000000" w:themeColor="text1"/>
          <w:sz w:val="24"/>
          <w:szCs w:val="24"/>
          <w:lang w:eastAsia="pt-BR"/>
        </w:rPr>
      </w:pPr>
      <w:r w:rsidRPr="006114D7">
        <w:rPr>
          <w:rFonts w:ascii="Times New Roman" w:eastAsiaTheme="minorEastAsia" w:hAnsi="Times New Roman" w:cs="Times New Roman"/>
          <w:color w:val="000000" w:themeColor="text1"/>
          <w:sz w:val="24"/>
          <w:szCs w:val="24"/>
          <w:lang w:eastAsia="pt-BR"/>
        </w:rPr>
        <w:t>Para o Banco do Brasil temos:</w:t>
      </w:r>
      <w:proofErr w:type="gramStart"/>
      <w:r w:rsidR="00682BEB">
        <w:rPr>
          <w:rFonts w:ascii="Times New Roman" w:eastAsiaTheme="minorEastAsia" w:hAnsi="Times New Roman" w:cs="Times New Roman"/>
          <w:sz w:val="24"/>
          <w:szCs w:val="24"/>
          <w:lang w:eastAsia="pt-BR"/>
        </w:rPr>
        <w:t xml:space="preserve">  </w:t>
      </w:r>
      <w:proofErr w:type="gramEnd"/>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∂σ</m:t>
            </m:r>
          </m:den>
        </m:f>
        <m:r>
          <w:rPr>
            <w:rFonts w:ascii="Cambria Math" w:eastAsiaTheme="minorEastAsia" w:hAnsi="Cambria Math" w:cs="Times New Roman"/>
            <w:sz w:val="24"/>
            <w:szCs w:val="24"/>
            <w:lang w:eastAsia="pt-BR"/>
          </w:rPr>
          <m:t>=</m:t>
        </m:r>
      </m:oMath>
      <w:r w:rsidR="00682BEB" w:rsidRPr="006114D7">
        <w:rPr>
          <w:rFonts w:ascii="Times New Roman" w:eastAsiaTheme="minorEastAsia" w:hAnsi="Times New Roman" w:cs="Times New Roman"/>
          <w:sz w:val="24"/>
          <w:szCs w:val="24"/>
          <w:lang w:eastAsia="pt-BR"/>
        </w:rPr>
        <w:t xml:space="preserve"> 60.525 &lt;</w:t>
      </w:r>
      <w:r w:rsidR="00682BEB" w:rsidRPr="006114D7">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S</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c</m:t>
                </m:r>
              </m:sup>
            </m:sSubSup>
          </m:num>
          <m:den>
            <m:r>
              <w:rPr>
                <w:rFonts w:ascii="Cambria Math" w:eastAsiaTheme="minorEastAsia" w:hAnsi="Cambria Math" w:cs="Times New Roman"/>
                <w:sz w:val="24"/>
                <w:szCs w:val="24"/>
                <w:lang w:eastAsia="pt-BR"/>
              </w:rPr>
              <m:t>∂σ</m:t>
            </m:r>
          </m:den>
        </m:f>
        <m:r>
          <w:rPr>
            <w:rFonts w:ascii="Cambria Math" w:eastAsiaTheme="minorEastAsia" w:hAnsi="Cambria Math" w:cs="Times New Roman"/>
            <w:sz w:val="24"/>
            <w:szCs w:val="24"/>
            <w:lang w:eastAsia="pt-BR"/>
          </w:rPr>
          <m:t>=</m:t>
        </m:r>
      </m:oMath>
      <w:r w:rsidR="00682BEB" w:rsidRPr="006114D7">
        <w:rPr>
          <w:rFonts w:ascii="Times New Roman" w:eastAsiaTheme="minorEastAsia" w:hAnsi="Times New Roman" w:cs="Times New Roman"/>
          <w:sz w:val="24"/>
          <w:szCs w:val="24"/>
          <w:lang w:eastAsia="pt-BR"/>
        </w:rPr>
        <w:t>139.003</w:t>
      </w:r>
      <w:r w:rsidR="00682BEB">
        <w:rPr>
          <w:rFonts w:ascii="Times New Roman" w:eastAsiaTheme="minorEastAsia" w:hAnsi="Times New Roman" w:cs="Times New Roman"/>
          <w:sz w:val="24"/>
          <w:szCs w:val="24"/>
          <w:lang w:eastAsia="pt-BR"/>
        </w:rPr>
        <w:t xml:space="preserve">, </w:t>
      </w:r>
      <m:oMath>
        <m:r>
          <w:rPr>
            <w:rFonts w:ascii="Cambria Math" w:eastAsiaTheme="minorEastAsia" w:hAnsi="Cambria Math" w:cs="Times New Roman"/>
            <w:sz w:val="24"/>
            <w:szCs w:val="24"/>
            <w:lang w:eastAsia="pt-BR"/>
          </w:rPr>
          <m:t>ξ=</m:t>
        </m:r>
      </m:oMath>
      <w:r w:rsidR="00654CEE" w:rsidRPr="006114D7">
        <w:rPr>
          <w:rFonts w:ascii="Times New Roman" w:eastAsiaTheme="minorEastAsia" w:hAnsi="Times New Roman" w:cs="Times New Roman"/>
          <w:sz w:val="24"/>
          <w:szCs w:val="24"/>
          <w:lang w:eastAsia="pt-BR"/>
        </w:rPr>
        <w:t xml:space="preserve"> 16.472 &lt; </w:t>
      </w:r>
      <m:oMath>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r>
          <w:rPr>
            <w:rFonts w:ascii="Cambria Math" w:eastAsiaTheme="minorEastAsia" w:hAnsi="Cambria Math" w:cs="Times New Roman"/>
            <w:sz w:val="24"/>
            <w:szCs w:val="24"/>
            <w:lang w:eastAsia="pt-BR"/>
          </w:rPr>
          <m:t>crítica=</m:t>
        </m:r>
      </m:oMath>
      <w:r w:rsidR="00654CEE" w:rsidRPr="006114D7">
        <w:rPr>
          <w:rFonts w:ascii="Times New Roman" w:eastAsiaTheme="minorEastAsia" w:hAnsi="Times New Roman" w:cs="Times New Roman"/>
          <w:sz w:val="24"/>
          <w:szCs w:val="24"/>
          <w:lang w:eastAsia="pt-BR"/>
        </w:rPr>
        <w:t xml:space="preserve"> 18.922 </w:t>
      </w:r>
      <w:r w:rsidR="00EA3BDB" w:rsidRPr="006114D7">
        <w:rPr>
          <w:rFonts w:ascii="Times New Roman" w:eastAsiaTheme="minorEastAsia" w:hAnsi="Times New Roman" w:cs="Times New Roman"/>
          <w:sz w:val="24"/>
          <w:szCs w:val="24"/>
          <w:lang w:eastAsia="pt-BR"/>
        </w:rPr>
        <w:t xml:space="preserve">e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∂σ</m:t>
            </m:r>
          </m:den>
        </m:f>
        <m:r>
          <w:rPr>
            <w:rFonts w:ascii="Cambria Math" w:eastAsiaTheme="minorEastAsia" w:hAnsi="Cambria Math" w:cs="Times New Roman"/>
            <w:sz w:val="24"/>
            <w:szCs w:val="24"/>
            <w:lang w:eastAsia="pt-BR"/>
          </w:rPr>
          <m:t>=</m:t>
        </m:r>
      </m:oMath>
      <w:r w:rsidR="00654CEE" w:rsidRPr="006114D7">
        <w:rPr>
          <w:rFonts w:ascii="Times New Roman" w:eastAsiaTheme="minorEastAsia" w:hAnsi="Times New Roman" w:cs="Times New Roman"/>
          <w:sz w:val="24"/>
          <w:szCs w:val="24"/>
          <w:lang w:eastAsia="pt-BR"/>
        </w:rPr>
        <w:t xml:space="preserve"> 60.525 &lt; </w:t>
      </w:r>
      <m:oMath>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S</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c</m:t>
                </m:r>
              </m:sup>
            </m:sSubSup>
          </m:num>
          <m:den>
            <m:r>
              <w:rPr>
                <w:rFonts w:ascii="Cambria Math" w:eastAsiaTheme="minorEastAsia" w:hAnsi="Cambria Math" w:cs="Times New Roman"/>
                <w:sz w:val="24"/>
                <w:szCs w:val="24"/>
                <w:lang w:eastAsia="pt-BR"/>
              </w:rPr>
              <m:t>∂σ</m:t>
            </m:r>
          </m:den>
        </m:f>
        <m:r>
          <w:rPr>
            <w:rFonts w:ascii="Cambria Math" w:eastAsiaTheme="minorEastAsia" w:hAnsi="Cambria Math" w:cs="Times New Roman"/>
            <w:sz w:val="24"/>
            <w:szCs w:val="24"/>
            <w:lang w:eastAsia="pt-BR"/>
          </w:rPr>
          <m:t>=</m:t>
        </m:r>
      </m:oMath>
      <w:r w:rsidR="00654CEE" w:rsidRPr="006114D7">
        <w:rPr>
          <w:rFonts w:ascii="Times New Roman" w:eastAsiaTheme="minorEastAsia" w:hAnsi="Times New Roman" w:cs="Times New Roman"/>
          <w:sz w:val="24"/>
          <w:szCs w:val="24"/>
          <w:lang w:eastAsia="pt-BR"/>
        </w:rPr>
        <w:t xml:space="preserve"> 139.003</w:t>
      </w:r>
      <w:r w:rsidR="00682BEB">
        <w:rPr>
          <w:rFonts w:ascii="Times New Roman" w:eastAsiaTheme="minorEastAsia" w:hAnsi="Times New Roman" w:cs="Times New Roman"/>
          <w:sz w:val="24"/>
          <w:szCs w:val="24"/>
          <w:lang w:eastAsia="pt-BR"/>
        </w:rPr>
        <w:t xml:space="preserve">. </w:t>
      </w:r>
      <w:r w:rsidR="00380CF1" w:rsidRPr="006114D7">
        <w:rPr>
          <w:rFonts w:ascii="Times New Roman" w:eastAsiaTheme="minorEastAsia" w:hAnsi="Times New Roman" w:cs="Times New Roman"/>
          <w:color w:val="000000" w:themeColor="text1"/>
          <w:sz w:val="24"/>
          <w:szCs w:val="24"/>
          <w:lang w:eastAsia="pt-BR"/>
        </w:rPr>
        <w:t>Estas evidências sugerem</w:t>
      </w:r>
      <w:r w:rsidR="00EA3BDB" w:rsidRPr="006114D7">
        <w:rPr>
          <w:rFonts w:ascii="Times New Roman" w:eastAsiaTheme="minorEastAsia" w:hAnsi="Times New Roman" w:cs="Times New Roman"/>
          <w:color w:val="000000" w:themeColor="text1"/>
          <w:sz w:val="24"/>
          <w:szCs w:val="24"/>
          <w:lang w:eastAsia="pt-BR"/>
        </w:rPr>
        <w:t xml:space="preserve">, segundo o modelo, que o </w:t>
      </w:r>
      <w:r w:rsidR="00380CF1" w:rsidRPr="006114D7">
        <w:rPr>
          <w:rFonts w:ascii="Times New Roman" w:eastAsiaTheme="minorEastAsia" w:hAnsi="Times New Roman" w:cs="Times New Roman"/>
          <w:color w:val="000000" w:themeColor="text1"/>
          <w:sz w:val="24"/>
          <w:szCs w:val="24"/>
          <w:lang w:eastAsia="pt-BR"/>
        </w:rPr>
        <w:t xml:space="preserve">Banco do Brasil nunca irá </w:t>
      </w:r>
      <w:r w:rsidR="00EA3BDB" w:rsidRPr="006114D7">
        <w:rPr>
          <w:rFonts w:ascii="Times New Roman" w:eastAsiaTheme="minorEastAsia" w:hAnsi="Times New Roman" w:cs="Times New Roman"/>
          <w:color w:val="000000" w:themeColor="text1"/>
          <w:sz w:val="24"/>
          <w:szCs w:val="24"/>
          <w:lang w:eastAsia="pt-BR"/>
        </w:rPr>
        <w:t xml:space="preserve">preferir alto risco com financiamento em dívidas subordinadas, mas prefere risco baixo com financiamento em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sidR="00EA3BDB" w:rsidRPr="006114D7">
        <w:rPr>
          <w:rFonts w:ascii="Times New Roman" w:eastAsiaTheme="minorEastAsia" w:hAnsi="Times New Roman" w:cs="Times New Roman"/>
          <w:color w:val="000000" w:themeColor="text1"/>
          <w:sz w:val="24"/>
          <w:szCs w:val="24"/>
          <w:lang w:eastAsia="pt-BR"/>
        </w:rPr>
        <w:t>.</w:t>
      </w:r>
      <w:r w:rsidR="00380CF1" w:rsidRPr="006114D7">
        <w:rPr>
          <w:rFonts w:ascii="Times New Roman" w:eastAsiaTheme="minorEastAsia" w:hAnsi="Times New Roman" w:cs="Times New Roman"/>
          <w:color w:val="000000" w:themeColor="text1"/>
          <w:sz w:val="24"/>
          <w:szCs w:val="24"/>
          <w:lang w:eastAsia="pt-BR"/>
        </w:rPr>
        <w:t xml:space="preserve"> De fato, o Banco do Brasil já possui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sidR="00380CF1" w:rsidRPr="006114D7">
        <w:rPr>
          <w:rFonts w:ascii="Times New Roman" w:eastAsiaTheme="minorEastAsia" w:hAnsi="Times New Roman" w:cs="Times New Roman"/>
          <w:color w:val="000000" w:themeColor="text1"/>
          <w:sz w:val="24"/>
          <w:szCs w:val="24"/>
          <w:lang w:eastAsia="pt-BR"/>
        </w:rPr>
        <w:t xml:space="preserve"> hoje, em sua estrutura de capital.</w:t>
      </w:r>
    </w:p>
    <w:p w:rsidR="00233112" w:rsidRPr="006114D7" w:rsidRDefault="009F4C2F"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color w:val="000000" w:themeColor="text1"/>
          <w:sz w:val="24"/>
          <w:szCs w:val="24"/>
          <w:lang w:eastAsia="pt-BR"/>
        </w:rPr>
        <w:t xml:space="preserve">As proposições de </w:t>
      </w:r>
      <w:proofErr w:type="spellStart"/>
      <w:r w:rsidRPr="006114D7">
        <w:rPr>
          <w:rFonts w:ascii="Times New Roman" w:eastAsiaTheme="minorEastAsia" w:hAnsi="Times New Roman" w:cs="Times New Roman"/>
          <w:color w:val="000000" w:themeColor="text1"/>
          <w:sz w:val="24"/>
          <w:szCs w:val="24"/>
          <w:lang w:eastAsia="pt-BR"/>
        </w:rPr>
        <w:t>Koziol</w:t>
      </w:r>
      <w:proofErr w:type="spellEnd"/>
      <w:r w:rsidRPr="006114D7">
        <w:rPr>
          <w:rFonts w:ascii="Times New Roman" w:eastAsiaTheme="minorEastAsia" w:hAnsi="Times New Roman" w:cs="Times New Roman"/>
          <w:color w:val="000000" w:themeColor="text1"/>
          <w:sz w:val="24"/>
          <w:szCs w:val="24"/>
          <w:lang w:eastAsia="pt-BR"/>
        </w:rPr>
        <w:t xml:space="preserve"> e </w:t>
      </w:r>
      <w:proofErr w:type="spellStart"/>
      <w:r w:rsidRPr="006114D7">
        <w:rPr>
          <w:rFonts w:ascii="Times New Roman" w:eastAsiaTheme="minorEastAsia" w:hAnsi="Times New Roman" w:cs="Times New Roman"/>
          <w:color w:val="000000" w:themeColor="text1"/>
          <w:sz w:val="24"/>
          <w:szCs w:val="24"/>
          <w:lang w:eastAsia="pt-BR"/>
        </w:rPr>
        <w:t>Lawrenz</w:t>
      </w:r>
      <w:proofErr w:type="spellEnd"/>
      <w:r w:rsidR="00D2119F" w:rsidRPr="006114D7">
        <w:rPr>
          <w:rFonts w:ascii="Times New Roman" w:eastAsiaTheme="minorEastAsia" w:hAnsi="Times New Roman" w:cs="Times New Roman"/>
          <w:color w:val="000000" w:themeColor="text1"/>
          <w:sz w:val="24"/>
          <w:szCs w:val="24"/>
          <w:lang w:eastAsia="pt-BR"/>
        </w:rPr>
        <w:t xml:space="preserve"> (2012)</w:t>
      </w:r>
      <w:r w:rsidR="005C5901" w:rsidRPr="006114D7">
        <w:rPr>
          <w:rFonts w:ascii="Times New Roman" w:eastAsiaTheme="minorEastAsia" w:hAnsi="Times New Roman" w:cs="Times New Roman"/>
          <w:color w:val="000000" w:themeColor="text1"/>
          <w:sz w:val="24"/>
          <w:szCs w:val="24"/>
          <w:lang w:eastAsia="pt-BR"/>
        </w:rPr>
        <w:t xml:space="preserve"> </w:t>
      </w:r>
      <w:r w:rsidRPr="006114D7">
        <w:rPr>
          <w:rFonts w:ascii="Times New Roman" w:eastAsiaTheme="minorEastAsia" w:hAnsi="Times New Roman" w:cs="Times New Roman"/>
          <w:color w:val="000000" w:themeColor="text1"/>
          <w:sz w:val="24"/>
          <w:szCs w:val="24"/>
          <w:lang w:eastAsia="pt-BR"/>
        </w:rPr>
        <w:t>mostram que</w:t>
      </w:r>
      <w:r w:rsidR="00D2119F" w:rsidRPr="006114D7">
        <w:rPr>
          <w:rFonts w:ascii="Times New Roman" w:eastAsiaTheme="minorEastAsia" w:hAnsi="Times New Roman" w:cs="Times New Roman"/>
          <w:color w:val="000000" w:themeColor="text1"/>
          <w:sz w:val="24"/>
          <w:szCs w:val="24"/>
          <w:lang w:eastAsia="pt-BR"/>
        </w:rPr>
        <w:t>,</w:t>
      </w:r>
      <w:r w:rsidR="00380CF1" w:rsidRPr="006114D7">
        <w:rPr>
          <w:rFonts w:ascii="Times New Roman" w:eastAsiaTheme="minorEastAsia" w:hAnsi="Times New Roman" w:cs="Times New Roman"/>
          <w:color w:val="000000" w:themeColor="text1"/>
          <w:sz w:val="24"/>
          <w:szCs w:val="24"/>
          <w:lang w:eastAsia="pt-BR"/>
        </w:rPr>
        <w:t xml:space="preserve"> </w:t>
      </w:r>
      <w:r w:rsidRPr="006114D7">
        <w:rPr>
          <w:rFonts w:ascii="Times New Roman" w:eastAsiaTheme="minorEastAsia" w:hAnsi="Times New Roman" w:cs="Times New Roman"/>
          <w:color w:val="000000" w:themeColor="text1"/>
          <w:sz w:val="24"/>
          <w:szCs w:val="24"/>
          <w:lang w:eastAsia="pt-BR"/>
        </w:rPr>
        <w:t>os</w:t>
      </w:r>
      <w:r w:rsidR="00D7266C" w:rsidRPr="006114D7">
        <w:rPr>
          <w:rFonts w:ascii="Times New Roman" w:eastAsiaTheme="minorEastAsia" w:hAnsi="Times New Roman" w:cs="Times New Roman"/>
          <w:color w:val="000000" w:themeColor="text1"/>
          <w:sz w:val="24"/>
          <w:szCs w:val="24"/>
          <w:lang w:eastAsia="pt-BR"/>
        </w:rPr>
        <w:t xml:space="preserve">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sidR="00376315" w:rsidRPr="006114D7">
        <w:rPr>
          <w:rFonts w:ascii="Times New Roman" w:eastAsiaTheme="minorEastAsia" w:hAnsi="Times New Roman" w:cs="Times New Roman"/>
          <w:color w:val="000000" w:themeColor="text1"/>
          <w:sz w:val="24"/>
          <w:szCs w:val="24"/>
          <w:lang w:eastAsia="pt-BR"/>
        </w:rPr>
        <w:t>,</w:t>
      </w:r>
      <w:r w:rsidR="00D7266C" w:rsidRPr="006114D7">
        <w:rPr>
          <w:rFonts w:ascii="Times New Roman" w:eastAsiaTheme="minorEastAsia" w:hAnsi="Times New Roman" w:cs="Times New Roman"/>
          <w:color w:val="000000" w:themeColor="text1"/>
          <w:sz w:val="24"/>
          <w:szCs w:val="24"/>
          <w:lang w:eastAsia="pt-BR"/>
        </w:rPr>
        <w:t xml:space="preserve"> </w:t>
      </w:r>
      <w:r w:rsidRPr="006114D7">
        <w:rPr>
          <w:rFonts w:ascii="Times New Roman" w:eastAsiaTheme="minorEastAsia" w:hAnsi="Times New Roman" w:cs="Times New Roman"/>
          <w:color w:val="000000" w:themeColor="text1"/>
          <w:sz w:val="24"/>
          <w:szCs w:val="24"/>
          <w:lang w:eastAsia="pt-BR"/>
        </w:rPr>
        <w:t>em ambiente com restrições regulamentares fracas</w:t>
      </w:r>
      <w:r w:rsidR="00376315" w:rsidRPr="006114D7">
        <w:rPr>
          <w:rFonts w:ascii="Times New Roman" w:eastAsiaTheme="minorEastAsia" w:hAnsi="Times New Roman" w:cs="Times New Roman"/>
          <w:color w:val="000000" w:themeColor="text1"/>
          <w:sz w:val="24"/>
          <w:szCs w:val="24"/>
          <w:lang w:eastAsia="pt-BR"/>
        </w:rPr>
        <w:t>,</w:t>
      </w:r>
      <w:r w:rsidRPr="006114D7">
        <w:rPr>
          <w:rFonts w:ascii="Times New Roman" w:eastAsiaTheme="minorEastAsia" w:hAnsi="Times New Roman" w:cs="Times New Roman"/>
          <w:color w:val="000000" w:themeColor="text1"/>
          <w:sz w:val="24"/>
          <w:szCs w:val="24"/>
          <w:lang w:eastAsia="pt-BR"/>
        </w:rPr>
        <w:t xml:space="preserve"> aumentam o incentivo ao risco o que pode levar a crises financeiras, já que os acionistas de bancos detentores de</w:t>
      </w:r>
      <w:r w:rsidR="00D7266C" w:rsidRPr="006114D7">
        <w:rPr>
          <w:rFonts w:ascii="Times New Roman" w:eastAsiaTheme="minorEastAsia" w:hAnsi="Times New Roman" w:cs="Times New Roman"/>
          <w:color w:val="000000" w:themeColor="text1"/>
          <w:sz w:val="24"/>
          <w:szCs w:val="24"/>
          <w:lang w:eastAsia="pt-BR"/>
        </w:rPr>
        <w:t xml:space="preserve"> </w:t>
      </w:r>
      <w:proofErr w:type="spellStart"/>
      <w:r w:rsidR="0099005E">
        <w:rPr>
          <w:rFonts w:ascii="Times New Roman" w:eastAsiaTheme="minorEastAsia" w:hAnsi="Times New Roman" w:cs="Times New Roman"/>
          <w:color w:val="000000" w:themeColor="text1"/>
          <w:sz w:val="24"/>
          <w:szCs w:val="24"/>
          <w:lang w:eastAsia="pt-BR"/>
        </w:rPr>
        <w:t>CoCos</w:t>
      </w:r>
      <w:proofErr w:type="spellEnd"/>
      <w:r w:rsidRPr="006114D7">
        <w:rPr>
          <w:rFonts w:ascii="Times New Roman" w:eastAsiaTheme="minorEastAsia" w:hAnsi="Times New Roman" w:cs="Times New Roman"/>
          <w:color w:val="000000" w:themeColor="text1"/>
          <w:sz w:val="24"/>
          <w:szCs w:val="24"/>
          <w:lang w:eastAsia="pt-BR"/>
        </w:rPr>
        <w:t>, em caso de dificuldades financeiras</w:t>
      </w:r>
      <w:r w:rsidR="00376315" w:rsidRPr="006114D7">
        <w:rPr>
          <w:rFonts w:ascii="Times New Roman" w:eastAsiaTheme="minorEastAsia" w:hAnsi="Times New Roman" w:cs="Times New Roman"/>
          <w:color w:val="000000" w:themeColor="text1"/>
          <w:sz w:val="24"/>
          <w:szCs w:val="24"/>
          <w:lang w:eastAsia="pt-BR"/>
        </w:rPr>
        <w:t>,</w:t>
      </w:r>
      <w:r w:rsidRPr="006114D7">
        <w:rPr>
          <w:rFonts w:ascii="Times New Roman" w:eastAsiaTheme="minorEastAsia" w:hAnsi="Times New Roman" w:cs="Times New Roman"/>
          <w:color w:val="000000" w:themeColor="text1"/>
          <w:sz w:val="24"/>
          <w:szCs w:val="24"/>
          <w:lang w:eastAsia="pt-BR"/>
        </w:rPr>
        <w:t xml:space="preserve"> convertem a</w:t>
      </w:r>
      <w:r w:rsidR="00376315" w:rsidRPr="006114D7">
        <w:rPr>
          <w:rFonts w:ascii="Times New Roman" w:eastAsiaTheme="minorEastAsia" w:hAnsi="Times New Roman" w:cs="Times New Roman"/>
          <w:color w:val="000000" w:themeColor="text1"/>
          <w:sz w:val="24"/>
          <w:szCs w:val="24"/>
          <w:lang w:eastAsia="pt-BR"/>
        </w:rPr>
        <w:t>s</w:t>
      </w:r>
      <w:r w:rsidRPr="006114D7">
        <w:rPr>
          <w:rFonts w:ascii="Times New Roman" w:eastAsiaTheme="minorEastAsia" w:hAnsi="Times New Roman" w:cs="Times New Roman"/>
          <w:color w:val="000000" w:themeColor="text1"/>
          <w:sz w:val="24"/>
          <w:szCs w:val="24"/>
          <w:lang w:eastAsia="pt-BR"/>
        </w:rPr>
        <w:t xml:space="preserve"> </w:t>
      </w:r>
      <w:r w:rsidR="00190EFF" w:rsidRPr="006114D7">
        <w:rPr>
          <w:rFonts w:ascii="Times New Roman" w:eastAsiaTheme="minorEastAsia" w:hAnsi="Times New Roman" w:cs="Times New Roman"/>
          <w:color w:val="000000" w:themeColor="text1"/>
          <w:sz w:val="24"/>
          <w:szCs w:val="24"/>
          <w:lang w:eastAsia="pt-BR"/>
        </w:rPr>
        <w:t>dívida</w:t>
      </w:r>
      <w:r w:rsidR="00376315" w:rsidRPr="006114D7">
        <w:rPr>
          <w:rFonts w:ascii="Times New Roman" w:eastAsiaTheme="minorEastAsia" w:hAnsi="Times New Roman" w:cs="Times New Roman"/>
          <w:color w:val="000000" w:themeColor="text1"/>
          <w:sz w:val="24"/>
          <w:szCs w:val="24"/>
          <w:lang w:eastAsia="pt-BR"/>
        </w:rPr>
        <w:t>s</w:t>
      </w:r>
      <w:r w:rsidRPr="006114D7">
        <w:rPr>
          <w:rFonts w:ascii="Times New Roman" w:eastAsiaTheme="minorEastAsia" w:hAnsi="Times New Roman" w:cs="Times New Roman"/>
          <w:color w:val="000000" w:themeColor="text1"/>
          <w:sz w:val="24"/>
          <w:szCs w:val="24"/>
          <w:lang w:eastAsia="pt-BR"/>
        </w:rPr>
        <w:t xml:space="preserve"> mantendo seu valor patrimonial, o que não acontece no caso das </w:t>
      </w:r>
      <w:r w:rsidR="00190EFF" w:rsidRPr="006114D7">
        <w:rPr>
          <w:rFonts w:ascii="Times New Roman" w:eastAsiaTheme="minorEastAsia" w:hAnsi="Times New Roman" w:cs="Times New Roman"/>
          <w:color w:val="000000" w:themeColor="text1"/>
          <w:sz w:val="24"/>
          <w:szCs w:val="24"/>
          <w:lang w:eastAsia="pt-BR"/>
        </w:rPr>
        <w:t>dívidas</w:t>
      </w:r>
      <w:r w:rsidRPr="006114D7">
        <w:rPr>
          <w:rFonts w:ascii="Times New Roman" w:eastAsiaTheme="minorEastAsia" w:hAnsi="Times New Roman" w:cs="Times New Roman"/>
          <w:color w:val="000000" w:themeColor="text1"/>
          <w:sz w:val="24"/>
          <w:szCs w:val="24"/>
          <w:lang w:eastAsia="pt-BR"/>
        </w:rPr>
        <w:t xml:space="preserve"> subordinadas</w:t>
      </w:r>
      <w:r w:rsidR="00376315" w:rsidRPr="006114D7">
        <w:rPr>
          <w:rFonts w:ascii="Times New Roman" w:eastAsiaTheme="minorEastAsia" w:hAnsi="Times New Roman" w:cs="Times New Roman"/>
          <w:color w:val="000000" w:themeColor="text1"/>
          <w:sz w:val="24"/>
          <w:szCs w:val="24"/>
          <w:lang w:eastAsia="pt-BR"/>
        </w:rPr>
        <w:t>,</w:t>
      </w:r>
      <w:r w:rsidRPr="006114D7">
        <w:rPr>
          <w:rFonts w:ascii="Times New Roman" w:eastAsiaTheme="minorEastAsia" w:hAnsi="Times New Roman" w:cs="Times New Roman"/>
          <w:color w:val="000000" w:themeColor="text1"/>
          <w:sz w:val="24"/>
          <w:szCs w:val="24"/>
          <w:lang w:eastAsia="pt-BR"/>
        </w:rPr>
        <w:t xml:space="preserve"> onde a dificuldade financeira leva a inadimplência, </w:t>
      </w:r>
      <w:r w:rsidR="00D7337C" w:rsidRPr="006114D7">
        <w:rPr>
          <w:rFonts w:ascii="Times New Roman" w:eastAsiaTheme="minorEastAsia" w:hAnsi="Times New Roman" w:cs="Times New Roman"/>
          <w:color w:val="000000" w:themeColor="text1"/>
          <w:sz w:val="24"/>
          <w:szCs w:val="24"/>
          <w:lang w:eastAsia="pt-BR"/>
        </w:rPr>
        <w:t xml:space="preserve">e neste </w:t>
      </w:r>
      <w:r w:rsidRPr="006114D7">
        <w:rPr>
          <w:rFonts w:ascii="Times New Roman" w:eastAsiaTheme="minorEastAsia" w:hAnsi="Times New Roman" w:cs="Times New Roman"/>
          <w:color w:val="000000" w:themeColor="text1"/>
          <w:sz w:val="24"/>
          <w:szCs w:val="24"/>
          <w:lang w:eastAsia="pt-BR"/>
        </w:rPr>
        <w:t xml:space="preserve">caso os acionistas são os últimos a receber suas obrigações, se receberem. </w:t>
      </w:r>
      <w:r w:rsidR="0018636E" w:rsidRPr="006114D7">
        <w:rPr>
          <w:rFonts w:ascii="Times New Roman" w:eastAsiaTheme="minorEastAsia" w:hAnsi="Times New Roman" w:cs="Times New Roman"/>
          <w:color w:val="000000" w:themeColor="text1"/>
          <w:sz w:val="24"/>
          <w:szCs w:val="24"/>
          <w:lang w:eastAsia="pt-BR"/>
        </w:rPr>
        <w:t xml:space="preserve">Assim, em </w:t>
      </w:r>
      <w:r w:rsidRPr="006114D7">
        <w:rPr>
          <w:rFonts w:ascii="Times New Roman" w:eastAsiaTheme="minorEastAsia" w:hAnsi="Times New Roman" w:cs="Times New Roman"/>
          <w:color w:val="000000" w:themeColor="text1"/>
          <w:sz w:val="24"/>
          <w:szCs w:val="24"/>
          <w:lang w:eastAsia="pt-BR"/>
        </w:rPr>
        <w:t xml:space="preserve">ambientes não regulamentados ou com restrições fracas, as </w:t>
      </w:r>
      <w:r w:rsidR="00190EFF" w:rsidRPr="006114D7">
        <w:rPr>
          <w:rFonts w:ascii="Times New Roman" w:eastAsiaTheme="minorEastAsia" w:hAnsi="Times New Roman" w:cs="Times New Roman"/>
          <w:color w:val="000000" w:themeColor="text1"/>
          <w:sz w:val="24"/>
          <w:szCs w:val="24"/>
          <w:lang w:eastAsia="pt-BR"/>
        </w:rPr>
        <w:t>dívidas</w:t>
      </w:r>
      <w:r w:rsidRPr="006114D7">
        <w:rPr>
          <w:rFonts w:ascii="Times New Roman" w:eastAsiaTheme="minorEastAsia" w:hAnsi="Times New Roman" w:cs="Times New Roman"/>
          <w:color w:val="000000" w:themeColor="text1"/>
          <w:sz w:val="24"/>
          <w:szCs w:val="24"/>
          <w:lang w:eastAsia="pt-BR"/>
        </w:rPr>
        <w:t xml:space="preserve"> subordinadas funcionam como uma regulamentação interna, ou um dispositivo disciplinar. Se </w:t>
      </w:r>
      <w:r w:rsidR="00D7337C" w:rsidRPr="006114D7">
        <w:rPr>
          <w:rFonts w:ascii="Times New Roman" w:eastAsiaTheme="minorEastAsia" w:hAnsi="Times New Roman" w:cs="Times New Roman"/>
          <w:color w:val="000000" w:themeColor="text1"/>
          <w:sz w:val="24"/>
          <w:szCs w:val="24"/>
          <w:lang w:eastAsia="pt-BR"/>
        </w:rPr>
        <w:t xml:space="preserve">dívidas subordinadas </w:t>
      </w:r>
      <w:r w:rsidRPr="006114D7">
        <w:rPr>
          <w:rFonts w:ascii="Times New Roman" w:eastAsiaTheme="minorEastAsia" w:hAnsi="Times New Roman" w:cs="Times New Roman"/>
          <w:color w:val="000000" w:themeColor="text1"/>
          <w:sz w:val="24"/>
          <w:szCs w:val="24"/>
          <w:lang w:eastAsia="pt-BR"/>
        </w:rPr>
        <w:t>são substituídas por</w:t>
      </w:r>
      <w:r w:rsidR="00D7266C" w:rsidRPr="006114D7">
        <w:rPr>
          <w:rFonts w:ascii="Times New Roman" w:eastAsiaTheme="minorEastAsia" w:hAnsi="Times New Roman" w:cs="Times New Roman"/>
          <w:color w:val="000000" w:themeColor="text1"/>
          <w:sz w:val="24"/>
          <w:szCs w:val="24"/>
          <w:lang w:eastAsia="pt-BR"/>
        </w:rPr>
        <w:t xml:space="preserve">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sidRPr="006114D7">
        <w:rPr>
          <w:rFonts w:ascii="Times New Roman" w:eastAsiaTheme="minorEastAsia" w:hAnsi="Times New Roman" w:cs="Times New Roman"/>
          <w:color w:val="000000" w:themeColor="text1"/>
          <w:sz w:val="24"/>
          <w:szCs w:val="24"/>
          <w:lang w:eastAsia="pt-BR"/>
        </w:rPr>
        <w:t>, este dispositivo é mitigado e os incentivos a risco podem ser distorcidos.</w:t>
      </w:r>
      <w:r w:rsidR="00682BEB">
        <w:rPr>
          <w:rFonts w:ascii="Times New Roman" w:eastAsiaTheme="minorEastAsia" w:hAnsi="Times New Roman" w:cs="Times New Roman"/>
          <w:color w:val="000000" w:themeColor="text1"/>
          <w:sz w:val="24"/>
          <w:szCs w:val="24"/>
          <w:lang w:eastAsia="pt-BR"/>
        </w:rPr>
        <w:t xml:space="preserve"> </w:t>
      </w:r>
      <w:r w:rsidR="00836D92">
        <w:rPr>
          <w:rFonts w:ascii="Times New Roman" w:eastAsiaTheme="minorEastAsia" w:hAnsi="Times New Roman" w:cs="Times New Roman"/>
          <w:sz w:val="24"/>
          <w:szCs w:val="24"/>
          <w:lang w:eastAsia="pt-BR"/>
        </w:rPr>
        <w:t>Analisando</w:t>
      </w:r>
      <w:r w:rsidR="003B3EDA" w:rsidRPr="006114D7">
        <w:rPr>
          <w:rFonts w:ascii="Times New Roman" w:eastAsiaTheme="minorEastAsia" w:hAnsi="Times New Roman" w:cs="Times New Roman"/>
          <w:sz w:val="24"/>
          <w:szCs w:val="24"/>
          <w:lang w:eastAsia="pt-BR"/>
        </w:rPr>
        <w:t xml:space="preserve"> os impactos do deslocamento do risco no valor líquido do banco</w:t>
      </w:r>
      <w:r w:rsidR="00836D92">
        <w:rPr>
          <w:rFonts w:ascii="Times New Roman" w:eastAsiaTheme="minorEastAsia" w:hAnsi="Times New Roman" w:cs="Times New Roman"/>
          <w:sz w:val="24"/>
          <w:szCs w:val="24"/>
          <w:lang w:eastAsia="pt-BR"/>
        </w:rPr>
        <w:t>, em u</w:t>
      </w:r>
      <w:r w:rsidR="003B3EDA" w:rsidRPr="006114D7">
        <w:rPr>
          <w:rFonts w:ascii="Times New Roman" w:eastAsiaTheme="minorEastAsia" w:hAnsi="Times New Roman" w:cs="Times New Roman"/>
          <w:sz w:val="24"/>
          <w:szCs w:val="24"/>
          <w:lang w:eastAsia="pt-BR"/>
        </w:rPr>
        <w:t xml:space="preserve">m ambiente com informações completas, os investidores podem racionalmente antecipar </w:t>
      </w:r>
      <w:r w:rsidR="001615CE" w:rsidRPr="006114D7">
        <w:rPr>
          <w:rFonts w:ascii="Times New Roman" w:eastAsiaTheme="minorEastAsia" w:hAnsi="Times New Roman" w:cs="Times New Roman"/>
          <w:sz w:val="24"/>
          <w:szCs w:val="24"/>
          <w:lang w:eastAsia="pt-BR"/>
        </w:rPr>
        <w:t>as escolhas de risco dos acionistas</w:t>
      </w:r>
      <w:r w:rsidR="00341ED9" w:rsidRPr="006114D7">
        <w:rPr>
          <w:rFonts w:ascii="Times New Roman" w:eastAsiaTheme="minorEastAsia" w:hAnsi="Times New Roman" w:cs="Times New Roman"/>
          <w:sz w:val="24"/>
          <w:szCs w:val="24"/>
          <w:lang w:eastAsia="pt-BR"/>
        </w:rPr>
        <w:t>,</w:t>
      </w:r>
      <w:r w:rsidR="001615CE" w:rsidRPr="006114D7">
        <w:rPr>
          <w:rFonts w:ascii="Times New Roman" w:eastAsiaTheme="minorEastAsia" w:hAnsi="Times New Roman" w:cs="Times New Roman"/>
          <w:sz w:val="24"/>
          <w:szCs w:val="24"/>
          <w:lang w:eastAsia="pt-BR"/>
        </w:rPr>
        <w:t xml:space="preserve"> e cobrar</w:t>
      </w:r>
      <w:r w:rsidR="00341ED9" w:rsidRPr="006114D7">
        <w:rPr>
          <w:rFonts w:ascii="Times New Roman" w:eastAsiaTheme="minorEastAsia" w:hAnsi="Times New Roman" w:cs="Times New Roman"/>
          <w:sz w:val="24"/>
          <w:szCs w:val="24"/>
          <w:lang w:eastAsia="pt-BR"/>
        </w:rPr>
        <w:t xml:space="preserve"> o</w:t>
      </w:r>
      <w:r w:rsidR="001615CE" w:rsidRPr="006114D7">
        <w:rPr>
          <w:rFonts w:ascii="Times New Roman" w:eastAsiaTheme="minorEastAsia" w:hAnsi="Times New Roman" w:cs="Times New Roman"/>
          <w:sz w:val="24"/>
          <w:szCs w:val="24"/>
          <w:lang w:eastAsia="pt-BR"/>
        </w:rPr>
        <w:t xml:space="preserve"> preço correspondente por isso, ou seja, as dívidas serão precificadas conforme o valor esperado de seu risco </w:t>
      </w:r>
      <m:oMath>
        <m:r>
          <w:rPr>
            <w:rFonts w:ascii="Cambria Math" w:eastAsiaTheme="minorEastAsia" w:hAnsi="Cambria Math" w:cs="Times New Roman"/>
            <w:sz w:val="24"/>
            <w:szCs w:val="24"/>
            <w:lang w:eastAsia="pt-BR"/>
          </w:rPr>
          <m:t>σ</m:t>
        </m:r>
      </m:oMath>
      <w:r w:rsidR="001615CE" w:rsidRPr="006114D7">
        <w:rPr>
          <w:rFonts w:ascii="Times New Roman" w:eastAsiaTheme="minorEastAsia" w:hAnsi="Times New Roman" w:cs="Times New Roman"/>
          <w:sz w:val="24"/>
          <w:szCs w:val="24"/>
          <w:lang w:eastAsia="pt-BR"/>
        </w:rPr>
        <w:t xml:space="preserve">. </w:t>
      </w:r>
      <w:r w:rsidR="00341ED9" w:rsidRPr="006114D7">
        <w:rPr>
          <w:rFonts w:ascii="Times New Roman" w:eastAsiaTheme="minorEastAsia" w:hAnsi="Times New Roman" w:cs="Times New Roman"/>
          <w:sz w:val="24"/>
          <w:szCs w:val="24"/>
          <w:lang w:eastAsia="pt-BR"/>
        </w:rPr>
        <w:t>Desta forma,</w:t>
      </w:r>
      <w:r w:rsidR="001615CE" w:rsidRPr="006114D7">
        <w:rPr>
          <w:rFonts w:ascii="Times New Roman" w:eastAsiaTheme="minorEastAsia" w:hAnsi="Times New Roman" w:cs="Times New Roman"/>
          <w:sz w:val="24"/>
          <w:szCs w:val="24"/>
          <w:lang w:eastAsia="pt-BR"/>
        </w:rPr>
        <w:t xml:space="preserve"> as dívidas subordinadas seriam precificadas assumindo um risco mais baixo </w:t>
      </w:r>
      <m:oMath>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e>
        </m:d>
      </m:oMath>
      <w:r w:rsidR="001615CE" w:rsidRPr="006114D7">
        <w:rPr>
          <w:rFonts w:ascii="Times New Roman" w:eastAsiaTheme="minorEastAsia" w:hAnsi="Times New Roman" w:cs="Times New Roman"/>
          <w:sz w:val="24"/>
          <w:szCs w:val="24"/>
          <w:lang w:eastAsia="pt-BR"/>
        </w:rPr>
        <w:t xml:space="preserve">, enquanto 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1615CE" w:rsidRPr="006114D7">
        <w:rPr>
          <w:rFonts w:ascii="Times New Roman" w:eastAsiaTheme="minorEastAsia" w:hAnsi="Times New Roman" w:cs="Times New Roman"/>
          <w:sz w:val="24"/>
          <w:szCs w:val="24"/>
          <w:lang w:eastAsia="pt-BR"/>
        </w:rPr>
        <w:t xml:space="preserve"> seriam precificados assumindo um risco mais alto </w:t>
      </w:r>
      <m:oMath>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e>
        </m:d>
      </m:oMath>
      <w:r w:rsidR="001615CE" w:rsidRPr="006114D7">
        <w:rPr>
          <w:rFonts w:ascii="Times New Roman" w:eastAsiaTheme="minorEastAsia" w:hAnsi="Times New Roman" w:cs="Times New Roman"/>
          <w:sz w:val="24"/>
          <w:szCs w:val="24"/>
          <w:lang w:eastAsia="pt-BR"/>
        </w:rPr>
        <w:t>.</w:t>
      </w:r>
      <w:r w:rsidR="00CD6128" w:rsidRPr="006114D7">
        <w:rPr>
          <w:rFonts w:ascii="Times New Roman" w:eastAsiaTheme="minorEastAsia" w:hAnsi="Times New Roman" w:cs="Times New Roman"/>
          <w:sz w:val="24"/>
          <w:szCs w:val="24"/>
          <w:lang w:eastAsia="pt-BR"/>
        </w:rPr>
        <w:t xml:space="preserve"> </w:t>
      </w:r>
      <w:r w:rsidRPr="006114D7">
        <w:rPr>
          <w:rFonts w:ascii="Times New Roman" w:eastAsiaTheme="minorEastAsia" w:hAnsi="Times New Roman" w:cs="Times New Roman"/>
          <w:sz w:val="24"/>
          <w:szCs w:val="24"/>
          <w:lang w:eastAsia="pt-BR"/>
        </w:rPr>
        <w:t>Consequentemente</w:t>
      </w:r>
      <w:r w:rsidR="00341ED9" w:rsidRPr="006114D7">
        <w:rPr>
          <w:rFonts w:ascii="Times New Roman" w:eastAsiaTheme="minorEastAsia" w:hAnsi="Times New Roman" w:cs="Times New Roman"/>
          <w:sz w:val="24"/>
          <w:szCs w:val="24"/>
          <w:lang w:eastAsia="pt-BR"/>
        </w:rPr>
        <w:t>,</w:t>
      </w:r>
      <w:r w:rsidRPr="006114D7">
        <w:rPr>
          <w:rFonts w:ascii="Times New Roman" w:eastAsiaTheme="minorEastAsia" w:hAnsi="Times New Roman" w:cs="Times New Roman"/>
          <w:sz w:val="24"/>
          <w:szCs w:val="24"/>
          <w:lang w:eastAsia="pt-BR"/>
        </w:rPr>
        <w:t xml:space="preserve"> o valor dos bancos com </w:t>
      </w:r>
      <w:proofErr w:type="spellStart"/>
      <w:proofErr w:type="gramStart"/>
      <w:r w:rsidR="0099005E">
        <w:rPr>
          <w:rFonts w:ascii="Times New Roman" w:eastAsiaTheme="minorEastAsia" w:hAnsi="Times New Roman" w:cs="Times New Roman"/>
          <w:sz w:val="24"/>
          <w:szCs w:val="24"/>
          <w:lang w:eastAsia="pt-BR"/>
        </w:rPr>
        <w:t>CoCo</w:t>
      </w:r>
      <w:proofErr w:type="spellEnd"/>
      <w:proofErr w:type="gramEnd"/>
      <w:r w:rsidR="00D7266C" w:rsidRPr="006114D7">
        <w:rPr>
          <w:rFonts w:ascii="Times New Roman" w:eastAsiaTheme="minorEastAsia" w:hAnsi="Times New Roman" w:cs="Times New Roman"/>
          <w:sz w:val="24"/>
          <w:szCs w:val="24"/>
          <w:lang w:eastAsia="pt-BR"/>
        </w:rPr>
        <w:t xml:space="preserve"> </w:t>
      </w:r>
      <w:r w:rsidRPr="006114D7">
        <w:rPr>
          <w:rFonts w:ascii="Times New Roman" w:eastAsiaTheme="minorEastAsia" w:hAnsi="Times New Roman" w:cs="Times New Roman"/>
          <w:sz w:val="24"/>
          <w:szCs w:val="24"/>
          <w:lang w:eastAsia="pt-BR"/>
        </w:rPr>
        <w:t xml:space="preserve">tende a ser menor do que os bancos que possuem apenas </w:t>
      </w:r>
      <w:r w:rsidR="00190EFF" w:rsidRPr="006114D7">
        <w:rPr>
          <w:rFonts w:ascii="Times New Roman" w:eastAsiaTheme="minorEastAsia" w:hAnsi="Times New Roman" w:cs="Times New Roman"/>
          <w:sz w:val="24"/>
          <w:szCs w:val="24"/>
          <w:lang w:eastAsia="pt-BR"/>
        </w:rPr>
        <w:t>dívidas</w:t>
      </w:r>
      <w:r w:rsidR="003B3EDA" w:rsidRPr="006114D7">
        <w:rPr>
          <w:rFonts w:ascii="Times New Roman" w:eastAsiaTheme="minorEastAsia" w:hAnsi="Times New Roman" w:cs="Times New Roman"/>
          <w:sz w:val="24"/>
          <w:szCs w:val="24"/>
          <w:lang w:eastAsia="pt-BR"/>
        </w:rPr>
        <w:t xml:space="preserve"> subordinadas, </w:t>
      </w:r>
      <w:r w:rsidR="00CD6128" w:rsidRPr="006114D7">
        <w:rPr>
          <w:rFonts w:ascii="Times New Roman" w:eastAsiaTheme="minorEastAsia" w:hAnsi="Times New Roman" w:cs="Times New Roman"/>
          <w:sz w:val="24"/>
          <w:szCs w:val="24"/>
          <w:lang w:eastAsia="pt-BR"/>
        </w:rPr>
        <w:t xml:space="preserve">isto porque, em geral </w:t>
      </w:r>
      <w:r w:rsidR="00341ED9" w:rsidRPr="006114D7">
        <w:rPr>
          <w:rFonts w:ascii="Times New Roman" w:eastAsiaTheme="minorEastAsia" w:hAnsi="Times New Roman" w:cs="Times New Roman"/>
          <w:sz w:val="24"/>
          <w:szCs w:val="24"/>
          <w:lang w:eastAsia="pt-BR"/>
        </w:rPr>
        <w:t xml:space="preserve">nos </w:t>
      </w:r>
      <w:r w:rsidR="00CD6128" w:rsidRPr="006114D7">
        <w:rPr>
          <w:rFonts w:ascii="Times New Roman" w:eastAsiaTheme="minorEastAsia" w:hAnsi="Times New Roman" w:cs="Times New Roman"/>
          <w:sz w:val="24"/>
          <w:szCs w:val="24"/>
          <w:lang w:eastAsia="pt-BR"/>
        </w:rPr>
        <w:t>modelo</w:t>
      </w:r>
      <w:r w:rsidR="00341ED9" w:rsidRPr="006114D7">
        <w:rPr>
          <w:rFonts w:ascii="Times New Roman" w:eastAsiaTheme="minorEastAsia" w:hAnsi="Times New Roman" w:cs="Times New Roman"/>
          <w:sz w:val="24"/>
          <w:szCs w:val="24"/>
          <w:lang w:eastAsia="pt-BR"/>
        </w:rPr>
        <w:t>s</w:t>
      </w:r>
      <w:r w:rsidR="00CD6128" w:rsidRPr="006114D7">
        <w:rPr>
          <w:rFonts w:ascii="Times New Roman" w:eastAsiaTheme="minorEastAsia" w:hAnsi="Times New Roman" w:cs="Times New Roman"/>
          <w:sz w:val="24"/>
          <w:szCs w:val="24"/>
          <w:lang w:eastAsia="pt-BR"/>
        </w:rPr>
        <w:t xml:space="preserve"> de </w:t>
      </w:r>
      <w:r w:rsidR="00CD6128" w:rsidRPr="006114D7">
        <w:rPr>
          <w:rFonts w:ascii="Times New Roman" w:eastAsiaTheme="minorEastAsia" w:hAnsi="Times New Roman" w:cs="Times New Roman"/>
          <w:i/>
          <w:sz w:val="24"/>
          <w:szCs w:val="24"/>
          <w:lang w:eastAsia="pt-BR"/>
        </w:rPr>
        <w:t>trade-off</w:t>
      </w:r>
      <w:r w:rsidR="00341ED9" w:rsidRPr="006114D7">
        <w:rPr>
          <w:rFonts w:ascii="Times New Roman" w:eastAsiaTheme="minorEastAsia" w:hAnsi="Times New Roman" w:cs="Times New Roman"/>
          <w:sz w:val="24"/>
          <w:szCs w:val="24"/>
          <w:lang w:eastAsia="pt-BR"/>
        </w:rPr>
        <w:t>,</w:t>
      </w:r>
      <w:r w:rsidR="00CD6128" w:rsidRPr="006114D7">
        <w:rPr>
          <w:rFonts w:ascii="Times New Roman" w:eastAsiaTheme="minorEastAsia" w:hAnsi="Times New Roman" w:cs="Times New Roman"/>
          <w:sz w:val="24"/>
          <w:szCs w:val="24"/>
          <w:lang w:eastAsia="pt-BR"/>
        </w:rPr>
        <w:t xml:space="preserve"> os benefícios fiscais da</w:t>
      </w:r>
      <w:r w:rsidR="00F23FD5" w:rsidRPr="006114D7">
        <w:rPr>
          <w:rFonts w:ascii="Times New Roman" w:eastAsiaTheme="minorEastAsia" w:hAnsi="Times New Roman" w:cs="Times New Roman"/>
          <w:sz w:val="24"/>
          <w:szCs w:val="24"/>
          <w:lang w:eastAsia="pt-BR"/>
        </w:rPr>
        <w:t>s</w:t>
      </w:r>
      <w:r w:rsidR="00CD6128" w:rsidRPr="006114D7">
        <w:rPr>
          <w:rFonts w:ascii="Times New Roman" w:eastAsiaTheme="minorEastAsia" w:hAnsi="Times New Roman" w:cs="Times New Roman"/>
          <w:sz w:val="24"/>
          <w:szCs w:val="24"/>
          <w:lang w:eastAsia="pt-BR"/>
        </w:rPr>
        <w:t xml:space="preserve"> dívida</w:t>
      </w:r>
      <w:r w:rsidR="00F23FD5" w:rsidRPr="006114D7">
        <w:rPr>
          <w:rFonts w:ascii="Times New Roman" w:eastAsiaTheme="minorEastAsia" w:hAnsi="Times New Roman" w:cs="Times New Roman"/>
          <w:sz w:val="24"/>
          <w:szCs w:val="24"/>
          <w:lang w:eastAsia="pt-BR"/>
        </w:rPr>
        <w:t>s</w:t>
      </w:r>
      <w:r w:rsidR="00CD6128" w:rsidRPr="006114D7">
        <w:rPr>
          <w:rFonts w:ascii="Times New Roman" w:eastAsiaTheme="minorEastAsia" w:hAnsi="Times New Roman" w:cs="Times New Roman"/>
          <w:sz w:val="24"/>
          <w:szCs w:val="24"/>
          <w:lang w:eastAsia="pt-BR"/>
        </w:rPr>
        <w:t xml:space="preserve">, valem enquanto o banco estiver solvente,  mas incorrem em grandes perdas no caso de </w:t>
      </w:r>
      <w:r w:rsidR="00233112" w:rsidRPr="006114D7">
        <w:rPr>
          <w:rFonts w:ascii="Times New Roman" w:eastAsiaTheme="minorEastAsia" w:hAnsi="Times New Roman" w:cs="Times New Roman"/>
          <w:sz w:val="24"/>
          <w:szCs w:val="24"/>
          <w:lang w:eastAsia="pt-BR"/>
        </w:rPr>
        <w:t>inadimplência</w:t>
      </w:r>
      <w:r w:rsidR="00CD6128" w:rsidRPr="006114D7">
        <w:rPr>
          <w:rFonts w:ascii="Times New Roman" w:eastAsiaTheme="minorEastAsia" w:hAnsi="Times New Roman" w:cs="Times New Roman"/>
          <w:sz w:val="24"/>
          <w:szCs w:val="24"/>
          <w:lang w:eastAsia="pt-BR"/>
        </w:rPr>
        <w:t>. Um maior risco</w:t>
      </w:r>
      <w:r w:rsidR="00233112" w:rsidRPr="006114D7">
        <w:rPr>
          <w:rFonts w:ascii="Times New Roman" w:eastAsiaTheme="minorEastAsia" w:hAnsi="Times New Roman" w:cs="Times New Roman"/>
          <w:sz w:val="24"/>
          <w:szCs w:val="24"/>
          <w:lang w:eastAsia="pt-BR"/>
        </w:rPr>
        <w:t xml:space="preserve"> aumenta</w:t>
      </w:r>
      <w:r w:rsidR="00CD6128" w:rsidRPr="006114D7">
        <w:rPr>
          <w:rFonts w:ascii="Times New Roman" w:eastAsiaTheme="minorEastAsia" w:hAnsi="Times New Roman" w:cs="Times New Roman"/>
          <w:sz w:val="24"/>
          <w:szCs w:val="24"/>
          <w:lang w:eastAsia="pt-BR"/>
        </w:rPr>
        <w:t xml:space="preserve"> a probabilidade de </w:t>
      </w:r>
      <w:r w:rsidR="00233112" w:rsidRPr="006114D7">
        <w:rPr>
          <w:rFonts w:ascii="Times New Roman" w:eastAsiaTheme="minorEastAsia" w:hAnsi="Times New Roman" w:cs="Times New Roman"/>
          <w:sz w:val="24"/>
          <w:szCs w:val="24"/>
          <w:lang w:eastAsia="pt-BR"/>
        </w:rPr>
        <w:t>inadimplência, o que aumenta o valor presente das perdas</w:t>
      </w:r>
      <w:r w:rsidR="00341ED9" w:rsidRPr="006114D7">
        <w:rPr>
          <w:rFonts w:ascii="Times New Roman" w:eastAsiaTheme="minorEastAsia" w:hAnsi="Times New Roman" w:cs="Times New Roman"/>
          <w:sz w:val="24"/>
          <w:szCs w:val="24"/>
          <w:lang w:eastAsia="pt-BR"/>
        </w:rPr>
        <w:t>,</w:t>
      </w:r>
      <w:r w:rsidR="00F84322" w:rsidRPr="006114D7">
        <w:rPr>
          <w:rFonts w:ascii="Times New Roman" w:eastAsiaTheme="minorEastAsia" w:hAnsi="Times New Roman" w:cs="Times New Roman"/>
          <w:sz w:val="24"/>
          <w:szCs w:val="24"/>
          <w:lang w:eastAsia="pt-BR"/>
        </w:rPr>
        <w:t xml:space="preserve"> sem nenhuma vantagem adicional. Desta</w:t>
      </w:r>
      <w:r w:rsidR="00233112" w:rsidRPr="006114D7">
        <w:rPr>
          <w:rFonts w:ascii="Times New Roman" w:eastAsiaTheme="minorEastAsia" w:hAnsi="Times New Roman" w:cs="Times New Roman"/>
          <w:sz w:val="24"/>
          <w:szCs w:val="24"/>
          <w:lang w:eastAsia="pt-BR"/>
        </w:rPr>
        <w:t xml:space="preserve"> forma, segue que o valor do banco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b</m:t>
            </m:r>
          </m:sup>
        </m:sSubSup>
      </m:oMath>
      <w:r w:rsidR="00341ED9" w:rsidRPr="006114D7">
        <w:rPr>
          <w:rFonts w:ascii="Times New Roman" w:eastAsiaTheme="minorEastAsia" w:hAnsi="Times New Roman" w:cs="Times New Roman"/>
          <w:sz w:val="24"/>
          <w:szCs w:val="24"/>
        </w:rPr>
        <w:t xml:space="preserve"> </w:t>
      </w:r>
      <w:r w:rsidR="00233112" w:rsidRPr="006114D7">
        <w:rPr>
          <w:rFonts w:ascii="Times New Roman" w:eastAsiaTheme="minorEastAsia" w:hAnsi="Times New Roman" w:cs="Times New Roman"/>
          <w:sz w:val="24"/>
          <w:szCs w:val="24"/>
        </w:rPr>
        <w:t xml:space="preserve">depende negativamente de </w:t>
      </w:r>
      <m:oMath>
        <m:r>
          <w:rPr>
            <w:rFonts w:ascii="Cambria Math" w:eastAsiaTheme="minorEastAsia" w:hAnsi="Cambria Math" w:cs="Times New Roman"/>
            <w:sz w:val="24"/>
            <w:szCs w:val="24"/>
            <w:lang w:eastAsia="pt-BR"/>
          </w:rPr>
          <m:t>σ</m:t>
        </m:r>
      </m:oMath>
      <w:r w:rsidR="00233112" w:rsidRPr="006114D7">
        <w:rPr>
          <w:rFonts w:ascii="Times New Roman" w:eastAsiaTheme="minorEastAsia" w:hAnsi="Times New Roman" w:cs="Times New Roman"/>
          <w:sz w:val="24"/>
          <w:szCs w:val="24"/>
          <w:lang w:eastAsia="pt-BR"/>
        </w:rPr>
        <w:t xml:space="preserve">, ou seja, </w:t>
      </w:r>
    </w:p>
    <w:p w:rsidR="00233112" w:rsidRPr="006114D7" w:rsidRDefault="00445FF9" w:rsidP="00FF5024">
      <w:pPr>
        <w:spacing w:after="120" w:line="240" w:lineRule="auto"/>
        <w:jc w:val="right"/>
        <w:rPr>
          <w:rFonts w:ascii="Times New Roman" w:eastAsiaTheme="minorEastAsia" w:hAnsi="Times New Roman" w:cs="Times New Roman"/>
          <w:sz w:val="24"/>
          <w:szCs w:val="24"/>
          <w:lang w:eastAsia="pt-BR"/>
        </w:rPr>
      </w:pP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∂β</m:t>
            </m:r>
          </m:den>
        </m:f>
        <m:r>
          <w:rPr>
            <w:rFonts w:ascii="Cambria Math" w:eastAsiaTheme="minorEastAsia" w:hAnsi="Cambria Math" w:cs="Times New Roman"/>
            <w:sz w:val="24"/>
            <w:szCs w:val="24"/>
            <w:lang w:eastAsia="pt-BR"/>
          </w:rPr>
          <m:t>= -π</m:t>
        </m:r>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τ</m:t>
            </m:r>
          </m:num>
          <m:den>
            <m:r>
              <w:rPr>
                <w:rFonts w:ascii="Cambria Math" w:eastAsiaTheme="minorEastAsia" w:hAnsi="Cambria Math" w:cs="Times New Roman"/>
                <w:sz w:val="24"/>
                <w:szCs w:val="24"/>
                <w:lang w:eastAsia="pt-BR"/>
              </w:rPr>
              <m:t>r</m:t>
            </m:r>
          </m:den>
        </m:f>
        <m:sSup>
          <m:sSupPr>
            <m:ctrlPr>
              <w:rPr>
                <w:rFonts w:ascii="Cambria Math" w:eastAsiaTheme="minorEastAsia" w:hAnsi="Cambria Math" w:cs="Times New Roman"/>
                <w:i/>
                <w:sz w:val="24"/>
                <w:szCs w:val="24"/>
                <w:lang w:eastAsia="pt-BR"/>
              </w:rPr>
            </m:ctrlPr>
          </m:sSupPr>
          <m:e>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x</m:t>
                    </m:r>
                  </m:num>
                  <m:den>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b</m:t>
                        </m:r>
                      </m:sub>
                    </m:sSub>
                  </m:den>
                </m:f>
              </m:e>
            </m:d>
          </m:e>
          <m:sup>
            <m:r>
              <w:rPr>
                <w:rFonts w:ascii="Cambria Math" w:eastAsiaTheme="minorEastAsia" w:hAnsi="Cambria Math" w:cs="Times New Roman"/>
                <w:sz w:val="24"/>
                <w:szCs w:val="24"/>
                <w:lang w:eastAsia="pt-BR"/>
              </w:rPr>
              <m:t>β</m:t>
            </m:r>
          </m:sup>
        </m:sSup>
        <m:r>
          <w:rPr>
            <w:rFonts w:ascii="Cambria Math" w:eastAsiaTheme="minorEastAsia" w:hAnsi="Cambria Math" w:cs="Times New Roman"/>
            <w:sz w:val="24"/>
            <w:szCs w:val="24"/>
            <w:lang w:eastAsia="pt-BR"/>
          </w:rPr>
          <m:t>log</m:t>
        </m:r>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x</m:t>
                </m:r>
              </m:num>
              <m:den>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b</m:t>
                    </m:r>
                  </m:sub>
                </m:sSub>
              </m:den>
            </m:f>
          </m:e>
        </m:d>
        <m:r>
          <w:rPr>
            <w:rFonts w:ascii="Cambria Math" w:eastAsiaTheme="minorEastAsia" w:hAnsi="Cambria Math" w:cs="Times New Roman"/>
            <w:sz w:val="24"/>
            <w:szCs w:val="24"/>
            <w:lang w:eastAsia="pt-BR"/>
          </w:rPr>
          <m:t>&lt;0</m:t>
        </m:r>
      </m:oMath>
      <w:r w:rsidR="00233112" w:rsidRPr="006114D7">
        <w:rPr>
          <w:rFonts w:ascii="Times New Roman" w:eastAsiaTheme="minorEastAsia" w:hAnsi="Times New Roman" w:cs="Times New Roman"/>
          <w:sz w:val="24"/>
          <w:szCs w:val="24"/>
          <w:lang w:eastAsia="pt-BR"/>
        </w:rPr>
        <w:t xml:space="preserve">                                         (3</w:t>
      </w:r>
      <w:r w:rsidR="00995BFC" w:rsidRPr="006114D7">
        <w:rPr>
          <w:rFonts w:ascii="Times New Roman" w:eastAsiaTheme="minorEastAsia" w:hAnsi="Times New Roman" w:cs="Times New Roman"/>
          <w:sz w:val="24"/>
          <w:szCs w:val="24"/>
          <w:lang w:eastAsia="pt-BR"/>
        </w:rPr>
        <w:t>6</w:t>
      </w:r>
      <w:r w:rsidR="00233112" w:rsidRPr="006114D7">
        <w:rPr>
          <w:rFonts w:ascii="Times New Roman" w:eastAsiaTheme="minorEastAsia" w:hAnsi="Times New Roman" w:cs="Times New Roman"/>
          <w:sz w:val="24"/>
          <w:szCs w:val="24"/>
          <w:lang w:eastAsia="pt-BR"/>
        </w:rPr>
        <w:t>)</w:t>
      </w:r>
    </w:p>
    <w:p w:rsidR="00233112" w:rsidRPr="006114D7" w:rsidRDefault="00233112" w:rsidP="00FF5024">
      <w:pPr>
        <w:pStyle w:val="PargrafodaLista"/>
        <w:spacing w:after="120" w:line="240" w:lineRule="auto"/>
        <w:ind w:left="0"/>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 xml:space="preserve">E para 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Pr="006114D7">
        <w:rPr>
          <w:rFonts w:ascii="Times New Roman" w:eastAsiaTheme="minorEastAsia" w:hAnsi="Times New Roman" w:cs="Times New Roman"/>
          <w:sz w:val="24"/>
          <w:szCs w:val="24"/>
          <w:lang w:eastAsia="pt-BR"/>
        </w:rPr>
        <w:t>:</w:t>
      </w:r>
    </w:p>
    <w:p w:rsidR="00233112" w:rsidRPr="006114D7" w:rsidRDefault="00445FF9" w:rsidP="00FF5024">
      <w:pPr>
        <w:spacing w:after="120" w:line="240" w:lineRule="auto"/>
        <w:jc w:val="right"/>
        <w:rPr>
          <w:rFonts w:ascii="Times New Roman" w:eastAsiaTheme="minorEastAsia" w:hAnsi="Times New Roman" w:cs="Times New Roman"/>
          <w:sz w:val="24"/>
          <w:szCs w:val="24"/>
          <w:lang w:eastAsia="pt-BR"/>
        </w:rPr>
      </w:pP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c</m:t>
                </m:r>
              </m:sup>
            </m:sSubSup>
          </m:num>
          <m:den>
            <m:r>
              <w:rPr>
                <w:rFonts w:ascii="Cambria Math" w:hAnsi="Cambria Math" w:cs="Times New Roman"/>
                <w:sz w:val="24"/>
                <w:szCs w:val="24"/>
              </w:rPr>
              <m:t>∂β</m:t>
            </m:r>
          </m:den>
        </m:f>
        <m:r>
          <w:rPr>
            <w:rFonts w:ascii="Cambria Math" w:eastAsiaTheme="minorEastAsia" w:hAnsi="Cambria Math" w:cs="Times New Roman"/>
            <w:sz w:val="24"/>
            <w:szCs w:val="24"/>
            <w:lang w:eastAsia="pt-BR"/>
          </w:rPr>
          <m:t xml:space="preserve">= </m:t>
        </m:r>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dτ</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μ-r</m:t>
                </m:r>
              </m:e>
            </m:d>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c</m:t>
                </m:r>
              </m:sub>
            </m:sSub>
            <m:r>
              <w:rPr>
                <w:rFonts w:ascii="Cambria Math" w:eastAsiaTheme="minorEastAsia" w:hAnsi="Cambria Math" w:cs="Times New Roman"/>
                <w:sz w:val="24"/>
                <w:szCs w:val="24"/>
                <w:lang w:eastAsia="pt-BR"/>
              </w:rPr>
              <m:t>r(λ-</m:t>
            </m:r>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1-τ</m:t>
                </m:r>
              </m:e>
            </m:d>
            <m:r>
              <w:rPr>
                <w:rFonts w:ascii="Cambria Math" w:eastAsiaTheme="minorEastAsia" w:hAnsi="Cambria Math" w:cs="Times New Roman"/>
                <w:sz w:val="24"/>
                <w:szCs w:val="24"/>
                <w:lang w:eastAsia="pt-BR"/>
              </w:rPr>
              <m:t>)</m:t>
            </m:r>
          </m:num>
          <m:den>
            <m:r>
              <w:rPr>
                <w:rFonts w:ascii="Cambria Math" w:eastAsiaTheme="minorEastAsia" w:hAnsi="Cambria Math" w:cs="Times New Roman"/>
                <w:sz w:val="24"/>
                <w:szCs w:val="24"/>
                <w:lang w:eastAsia="pt-BR"/>
              </w:rPr>
              <m:t>r(r-μ)</m:t>
            </m:r>
          </m:den>
        </m:f>
        <m:sSup>
          <m:sSupPr>
            <m:ctrlPr>
              <w:rPr>
                <w:rFonts w:ascii="Cambria Math" w:eastAsiaTheme="minorEastAsia" w:hAnsi="Cambria Math" w:cs="Times New Roman"/>
                <w:i/>
                <w:sz w:val="24"/>
                <w:szCs w:val="24"/>
                <w:lang w:eastAsia="pt-BR"/>
              </w:rPr>
            </m:ctrlPr>
          </m:sSupPr>
          <m:e>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x</m:t>
                    </m:r>
                  </m:num>
                  <m:den>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c</m:t>
                        </m:r>
                      </m:sub>
                    </m:sSub>
                  </m:den>
                </m:f>
              </m:e>
            </m:d>
          </m:e>
          <m:sup>
            <m:r>
              <w:rPr>
                <w:rFonts w:ascii="Cambria Math" w:eastAsiaTheme="minorEastAsia" w:hAnsi="Cambria Math" w:cs="Times New Roman"/>
                <w:sz w:val="24"/>
                <w:szCs w:val="24"/>
                <w:lang w:eastAsia="pt-BR"/>
              </w:rPr>
              <m:t>β</m:t>
            </m:r>
          </m:sup>
        </m:sSup>
        <m:r>
          <w:rPr>
            <w:rFonts w:ascii="Cambria Math" w:eastAsiaTheme="minorEastAsia" w:hAnsi="Cambria Math" w:cs="Times New Roman"/>
            <w:sz w:val="24"/>
            <w:szCs w:val="24"/>
            <w:lang w:eastAsia="pt-BR"/>
          </w:rPr>
          <m:t>log</m:t>
        </m:r>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x</m:t>
                </m:r>
              </m:num>
              <m:den>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c</m:t>
                    </m:r>
                  </m:sub>
                </m:sSub>
              </m:den>
            </m:f>
          </m:e>
        </m:d>
        <m:r>
          <w:rPr>
            <w:rFonts w:ascii="Cambria Math" w:eastAsiaTheme="minorEastAsia" w:hAnsi="Cambria Math" w:cs="Times New Roman"/>
            <w:sz w:val="24"/>
            <w:szCs w:val="24"/>
            <w:lang w:eastAsia="pt-BR"/>
          </w:rPr>
          <m:t>-</m:t>
        </m:r>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cτ</m:t>
            </m:r>
          </m:num>
          <m:den>
            <m:r>
              <w:rPr>
                <w:rFonts w:ascii="Cambria Math" w:eastAsiaTheme="minorEastAsia" w:hAnsi="Cambria Math" w:cs="Times New Roman"/>
                <w:sz w:val="24"/>
                <w:szCs w:val="24"/>
                <w:lang w:eastAsia="pt-BR"/>
              </w:rPr>
              <m:t>r</m:t>
            </m:r>
          </m:den>
        </m:f>
        <m:sSup>
          <m:sSupPr>
            <m:ctrlPr>
              <w:rPr>
                <w:rFonts w:ascii="Cambria Math" w:eastAsiaTheme="minorEastAsia" w:hAnsi="Cambria Math" w:cs="Times New Roman"/>
                <w:i/>
                <w:sz w:val="24"/>
                <w:szCs w:val="24"/>
                <w:lang w:eastAsia="pt-BR"/>
              </w:rPr>
            </m:ctrlPr>
          </m:sSupPr>
          <m:e>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x</m:t>
                    </m:r>
                  </m:num>
                  <m:den>
                    <m:r>
                      <m:rPr>
                        <m:scr m:val="script"/>
                      </m:rPr>
                      <w:rPr>
                        <w:rFonts w:ascii="Cambria Math" w:eastAsiaTheme="minorEastAsia" w:hAnsi="Cambria Math" w:cs="Times New Roman"/>
                        <w:sz w:val="24"/>
                        <w:szCs w:val="24"/>
                        <w:lang w:eastAsia="pt-BR"/>
                      </w:rPr>
                      <m:t>X</m:t>
                    </m:r>
                  </m:den>
                </m:f>
              </m:e>
            </m:d>
          </m:e>
          <m:sup>
            <m:r>
              <w:rPr>
                <w:rFonts w:ascii="Cambria Math" w:eastAsiaTheme="minorEastAsia" w:hAnsi="Cambria Math" w:cs="Times New Roman"/>
                <w:sz w:val="24"/>
                <w:szCs w:val="24"/>
                <w:lang w:eastAsia="pt-BR"/>
              </w:rPr>
              <m:t>β</m:t>
            </m:r>
          </m:sup>
        </m:sSup>
        <m:r>
          <w:rPr>
            <w:rFonts w:ascii="Cambria Math" w:eastAsiaTheme="minorEastAsia" w:hAnsi="Cambria Math" w:cs="Times New Roman"/>
            <w:sz w:val="24"/>
            <w:szCs w:val="24"/>
            <w:lang w:eastAsia="pt-BR"/>
          </w:rPr>
          <m:t>log</m:t>
        </m:r>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x</m:t>
                </m:r>
              </m:num>
              <m:den>
                <m:r>
                  <m:rPr>
                    <m:scr m:val="script"/>
                  </m:rPr>
                  <w:rPr>
                    <w:rFonts w:ascii="Cambria Math" w:eastAsiaTheme="minorEastAsia" w:hAnsi="Cambria Math" w:cs="Times New Roman"/>
                    <w:sz w:val="24"/>
                    <w:szCs w:val="24"/>
                    <w:lang w:eastAsia="pt-BR"/>
                  </w:rPr>
                  <m:t>X</m:t>
                </m:r>
              </m:den>
            </m:f>
          </m:e>
        </m:d>
        <m:r>
          <w:rPr>
            <w:rFonts w:ascii="Cambria Math" w:eastAsiaTheme="minorEastAsia" w:hAnsi="Cambria Math" w:cs="Times New Roman"/>
            <w:sz w:val="24"/>
            <w:szCs w:val="24"/>
            <w:lang w:eastAsia="pt-BR"/>
          </w:rPr>
          <m:t>&lt;0</m:t>
        </m:r>
      </m:oMath>
      <w:r w:rsidR="00233112" w:rsidRPr="006114D7">
        <w:rPr>
          <w:rFonts w:ascii="Times New Roman" w:eastAsiaTheme="minorEastAsia" w:hAnsi="Times New Roman" w:cs="Times New Roman"/>
          <w:sz w:val="24"/>
          <w:szCs w:val="24"/>
          <w:lang w:eastAsia="pt-BR"/>
        </w:rPr>
        <w:t xml:space="preserve">                (3</w:t>
      </w:r>
      <w:r w:rsidR="00995BFC" w:rsidRPr="006114D7">
        <w:rPr>
          <w:rFonts w:ascii="Times New Roman" w:eastAsiaTheme="minorEastAsia" w:hAnsi="Times New Roman" w:cs="Times New Roman"/>
          <w:sz w:val="24"/>
          <w:szCs w:val="24"/>
          <w:lang w:eastAsia="pt-BR"/>
        </w:rPr>
        <w:t>7</w:t>
      </w:r>
      <w:r w:rsidR="00233112" w:rsidRPr="006114D7">
        <w:rPr>
          <w:rFonts w:ascii="Times New Roman" w:eastAsiaTheme="minorEastAsia" w:hAnsi="Times New Roman" w:cs="Times New Roman"/>
          <w:sz w:val="24"/>
          <w:szCs w:val="24"/>
          <w:lang w:eastAsia="pt-BR"/>
        </w:rPr>
        <w:t>)</w:t>
      </w:r>
    </w:p>
    <w:p w:rsidR="00893ADF" w:rsidRPr="006114D7" w:rsidRDefault="009F7EC9" w:rsidP="00FF5024">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lastRenderedPageBreak/>
        <w:t>Porém, o</w:t>
      </w:r>
      <w:r w:rsidR="00F23FD5" w:rsidRPr="006114D7">
        <w:rPr>
          <w:rFonts w:ascii="Times New Roman" w:eastAsiaTheme="minorEastAsia" w:hAnsi="Times New Roman" w:cs="Times New Roman"/>
          <w:sz w:val="24"/>
          <w:szCs w:val="24"/>
          <w:lang w:eastAsia="pt-BR"/>
        </w:rPr>
        <w:t xml:space="preserve"> Lema </w:t>
      </w:r>
      <w:proofErr w:type="gramStart"/>
      <w:r w:rsidR="00F23FD5" w:rsidRPr="006114D7">
        <w:rPr>
          <w:rFonts w:ascii="Times New Roman" w:eastAsiaTheme="minorEastAsia" w:hAnsi="Times New Roman" w:cs="Times New Roman"/>
          <w:sz w:val="24"/>
          <w:szCs w:val="24"/>
          <w:lang w:eastAsia="pt-BR"/>
        </w:rPr>
        <w:t>1</w:t>
      </w:r>
      <w:proofErr w:type="gramEnd"/>
      <w:r w:rsidRPr="006114D7">
        <w:rPr>
          <w:rFonts w:ascii="Times New Roman" w:eastAsiaTheme="minorEastAsia" w:hAnsi="Times New Roman" w:cs="Times New Roman"/>
          <w:sz w:val="24"/>
          <w:szCs w:val="24"/>
          <w:lang w:eastAsia="pt-BR"/>
        </w:rPr>
        <w:t xml:space="preserve"> definia que</w:t>
      </w:r>
      <w:r w:rsidR="00341ED9" w:rsidRPr="006114D7">
        <w:rPr>
          <w:rFonts w:ascii="Times New Roman" w:eastAsiaTheme="minorEastAsia" w:hAnsi="Times New Roman" w:cs="Times New Roman"/>
          <w:sz w:val="24"/>
          <w:szCs w:val="24"/>
          <w:lang w:eastAsia="pt-BR"/>
        </w:rPr>
        <w:t>,</w:t>
      </w:r>
      <w:r w:rsidR="00F23FD5" w:rsidRPr="006114D7">
        <w:rPr>
          <w:rFonts w:ascii="Times New Roman" w:eastAsiaTheme="minorEastAsia" w:hAnsi="Times New Roman" w:cs="Times New Roman"/>
          <w:sz w:val="24"/>
          <w:szCs w:val="24"/>
          <w:lang w:eastAsia="pt-BR"/>
        </w:rPr>
        <w:t xml:space="preserve"> </w:t>
      </w:r>
      <m:oMath>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V</m:t>
            </m:r>
          </m:e>
          <m:sup>
            <m:r>
              <w:rPr>
                <w:rFonts w:ascii="Cambria Math" w:eastAsiaTheme="minorEastAsia" w:hAnsi="Cambria Math" w:cs="Times New Roman"/>
                <w:sz w:val="24"/>
                <w:szCs w:val="24"/>
                <w:lang w:eastAsia="pt-BR"/>
              </w:rPr>
              <m:t>b</m:t>
            </m:r>
          </m:sup>
        </m:sSup>
        <m:d>
          <m:dPr>
            <m:ctrlPr>
              <w:rPr>
                <w:rFonts w:ascii="Cambria Math" w:eastAsiaTheme="minorEastAsia" w:hAnsi="Cambria Math" w:cs="Times New Roman"/>
                <w:i/>
                <w:sz w:val="24"/>
                <w:szCs w:val="24"/>
                <w:lang w:eastAsia="pt-BR"/>
              </w:rPr>
            </m:ctrlPr>
          </m:dPr>
          <m:e>
            <m:r>
              <w:rPr>
                <w:rFonts w:ascii="Cambria Math" w:eastAsiaTheme="minorEastAsia" w:hAnsi="Cambria Math" w:cs="Times New Roman"/>
                <w:sz w:val="24"/>
                <w:szCs w:val="24"/>
                <w:lang w:eastAsia="pt-BR"/>
              </w:rPr>
              <m:t>b*</m:t>
            </m:r>
          </m:e>
        </m:d>
        <m:r>
          <w:rPr>
            <w:rFonts w:ascii="Cambria Math" w:eastAsiaTheme="minorEastAsia" w:hAnsi="Cambria Math" w:cs="Times New Roman"/>
            <w:sz w:val="24"/>
            <w:szCs w:val="24"/>
            <w:lang w:eastAsia="pt-BR"/>
          </w:rPr>
          <m:t>&lt;</m:t>
        </m:r>
        <m:sSup>
          <m:sSupPr>
            <m:ctrlPr>
              <w:rPr>
                <w:rFonts w:ascii="Cambria Math" w:eastAsiaTheme="minorEastAsia" w:hAnsi="Cambria Math" w:cs="Times New Roman"/>
                <w:i/>
                <w:sz w:val="24"/>
                <w:szCs w:val="24"/>
                <w:lang w:eastAsia="pt-BR"/>
              </w:rPr>
            </m:ctrlPr>
          </m:sSupPr>
          <m:e>
            <m:r>
              <w:rPr>
                <w:rFonts w:ascii="Cambria Math" w:eastAsiaTheme="minorEastAsia" w:hAnsi="Cambria Math" w:cs="Times New Roman"/>
                <w:sz w:val="24"/>
                <w:szCs w:val="24"/>
                <w:lang w:eastAsia="pt-BR"/>
              </w:rPr>
              <m:t>V</m:t>
            </m:r>
          </m:e>
          <m:sup>
            <m:r>
              <w:rPr>
                <w:rFonts w:ascii="Cambria Math" w:eastAsiaTheme="minorEastAsia" w:hAnsi="Cambria Math" w:cs="Times New Roman"/>
                <w:sz w:val="24"/>
                <w:szCs w:val="24"/>
                <w:lang w:eastAsia="pt-BR"/>
              </w:rPr>
              <m:t>c</m:t>
            </m:r>
          </m:sup>
        </m:sSup>
        <m:r>
          <w:rPr>
            <w:rFonts w:ascii="Cambria Math" w:eastAsiaTheme="minorEastAsia" w:hAnsi="Cambria Math" w:cs="Times New Roman"/>
            <w:sz w:val="24"/>
            <w:szCs w:val="24"/>
            <w:lang w:eastAsia="pt-BR"/>
          </w:rPr>
          <m:t>(c*)</m:t>
        </m:r>
      </m:oMath>
      <w:r w:rsidRPr="006114D7">
        <w:rPr>
          <w:rFonts w:ascii="Times New Roman" w:eastAsiaTheme="minorEastAsia" w:hAnsi="Times New Roman" w:cs="Times New Roman"/>
          <w:sz w:val="24"/>
          <w:szCs w:val="24"/>
          <w:lang w:eastAsia="pt-BR"/>
        </w:rPr>
        <w:t xml:space="preserve"> e, de fato</w:t>
      </w:r>
      <w:r w:rsidR="00F23FD5" w:rsidRPr="006114D7">
        <w:rPr>
          <w:rFonts w:ascii="Times New Roman" w:eastAsiaTheme="minorEastAsia" w:hAnsi="Times New Roman" w:cs="Times New Roman"/>
          <w:sz w:val="24"/>
          <w:szCs w:val="24"/>
          <w:lang w:eastAsia="pt-BR"/>
        </w:rPr>
        <w:t xml:space="preserve"> </w:t>
      </w:r>
      <w:r w:rsidRPr="006114D7">
        <w:rPr>
          <w:rFonts w:ascii="Times New Roman" w:eastAsiaTheme="minorEastAsia" w:hAnsi="Times New Roman" w:cs="Times New Roman"/>
          <w:sz w:val="24"/>
          <w:szCs w:val="24"/>
          <w:lang w:eastAsia="pt-BR"/>
        </w:rPr>
        <w:t xml:space="preserve">essa relação só irá </w:t>
      </w:r>
      <w:r w:rsidR="0004169D" w:rsidRPr="006114D7">
        <w:rPr>
          <w:rFonts w:ascii="Times New Roman" w:eastAsiaTheme="minorEastAsia" w:hAnsi="Times New Roman" w:cs="Times New Roman"/>
          <w:sz w:val="24"/>
          <w:szCs w:val="24"/>
          <w:lang w:eastAsia="pt-BR"/>
        </w:rPr>
        <w:t>inverter</w:t>
      </w:r>
      <w:r w:rsidRPr="006114D7">
        <w:rPr>
          <w:rFonts w:ascii="Times New Roman" w:eastAsiaTheme="minorEastAsia" w:hAnsi="Times New Roman" w:cs="Times New Roman"/>
          <w:sz w:val="24"/>
          <w:szCs w:val="24"/>
          <w:lang w:eastAsia="pt-BR"/>
        </w:rPr>
        <w:t xml:space="preserve"> </w:t>
      </w:r>
      <w:r w:rsidR="00F23FD5" w:rsidRPr="006114D7">
        <w:rPr>
          <w:rFonts w:ascii="Times New Roman" w:eastAsiaTheme="minorEastAsia" w:hAnsi="Times New Roman" w:cs="Times New Roman"/>
          <w:sz w:val="24"/>
          <w:szCs w:val="24"/>
          <w:lang w:eastAsia="pt-BR"/>
        </w:rPr>
        <w:t>no caso de uma mudança muito grande nas preferências de risco</w:t>
      </w:r>
      <w:r w:rsidR="0004169D" w:rsidRPr="006114D7">
        <w:rPr>
          <w:rFonts w:ascii="Times New Roman" w:eastAsiaTheme="minorEastAsia" w:hAnsi="Times New Roman" w:cs="Times New Roman"/>
          <w:sz w:val="24"/>
          <w:szCs w:val="24"/>
          <w:lang w:eastAsia="pt-BR"/>
        </w:rPr>
        <w:t xml:space="preserve"> do banco</w:t>
      </w:r>
      <w:r w:rsidR="00F23FD5" w:rsidRPr="006114D7">
        <w:rPr>
          <w:rFonts w:ascii="Times New Roman" w:eastAsiaTheme="minorEastAsia" w:hAnsi="Times New Roman" w:cs="Times New Roman"/>
          <w:sz w:val="24"/>
          <w:szCs w:val="24"/>
          <w:lang w:eastAsia="pt-BR"/>
        </w:rPr>
        <w:t xml:space="preserve">, </w:t>
      </w:r>
      <w:r w:rsidR="0004169D" w:rsidRPr="006114D7">
        <w:rPr>
          <w:rFonts w:ascii="Times New Roman" w:eastAsiaTheme="minorEastAsia" w:hAnsi="Times New Roman" w:cs="Times New Roman"/>
          <w:sz w:val="24"/>
          <w:szCs w:val="24"/>
          <w:lang w:eastAsia="pt-BR"/>
        </w:rPr>
        <w:t xml:space="preserve">ou seja, com um aumento </w:t>
      </w:r>
      <w:r w:rsidR="00F23FD5" w:rsidRPr="006114D7">
        <w:rPr>
          <w:rFonts w:ascii="Times New Roman" w:eastAsiaTheme="minorEastAsia" w:hAnsi="Times New Roman" w:cs="Times New Roman"/>
          <w:sz w:val="24"/>
          <w:szCs w:val="24"/>
          <w:lang w:eastAsia="pt-BR"/>
        </w:rPr>
        <w:t>muito</w:t>
      </w:r>
      <w:r w:rsidR="0004169D" w:rsidRPr="006114D7">
        <w:rPr>
          <w:rFonts w:ascii="Times New Roman" w:eastAsiaTheme="minorEastAsia" w:hAnsi="Times New Roman" w:cs="Times New Roman"/>
          <w:sz w:val="24"/>
          <w:szCs w:val="24"/>
          <w:lang w:eastAsia="pt-BR"/>
        </w:rPr>
        <w:t xml:space="preserve"> grande da</w:t>
      </w:r>
      <w:r w:rsidR="00F23FD5" w:rsidRPr="006114D7">
        <w:rPr>
          <w:rFonts w:ascii="Times New Roman" w:eastAsiaTheme="minorEastAsia" w:hAnsi="Times New Roman" w:cs="Times New Roman"/>
          <w:sz w:val="24"/>
          <w:szCs w:val="24"/>
          <w:lang w:eastAsia="pt-BR"/>
        </w:rPr>
        <w:t xml:space="preserve"> volatilidade </w:t>
      </w:r>
      <m:oMath>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e>
        </m:d>
      </m:oMath>
      <w:r w:rsidR="00F23FD5" w:rsidRPr="006114D7">
        <w:rPr>
          <w:rFonts w:ascii="Times New Roman" w:eastAsiaTheme="minorEastAsia" w:hAnsi="Times New Roman" w:cs="Times New Roman"/>
          <w:sz w:val="24"/>
          <w:szCs w:val="24"/>
          <w:lang w:eastAsia="pt-BR"/>
        </w:rPr>
        <w:t>,</w:t>
      </w:r>
      <w:r w:rsidR="0004169D" w:rsidRPr="006114D7">
        <w:rPr>
          <w:rFonts w:ascii="Times New Roman" w:eastAsiaTheme="minorEastAsia" w:hAnsi="Times New Roman" w:cs="Times New Roman"/>
          <w:sz w:val="24"/>
          <w:szCs w:val="24"/>
          <w:lang w:eastAsia="pt-BR"/>
        </w:rPr>
        <w:t xml:space="preserve"> chegando em um nível crítico</w:t>
      </w:r>
      <w:r w:rsidR="00F23FD5" w:rsidRPr="006114D7">
        <w:rPr>
          <w:rFonts w:ascii="Times New Roman" w:eastAsiaTheme="minorEastAsia" w:hAnsi="Times New Roman" w:cs="Times New Roman"/>
          <w:sz w:val="24"/>
          <w:szCs w:val="24"/>
          <w:lang w:eastAsia="pt-BR"/>
        </w:rPr>
        <w:t xml:space="preserve"> </w:t>
      </w:r>
      <w:r w:rsidR="0004169D" w:rsidRPr="006114D7">
        <w:rPr>
          <w:rFonts w:ascii="Times New Roman" w:eastAsiaTheme="minorEastAsia" w:hAnsi="Times New Roman" w:cs="Times New Roman"/>
          <w:sz w:val="24"/>
          <w:szCs w:val="24"/>
          <w:lang w:eastAsia="pt-BR"/>
        </w:rPr>
        <w:t xml:space="preserve">definido por </w:t>
      </w:r>
      <m:oMath>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r>
          <w:rPr>
            <w:rFonts w:ascii="Cambria Math" w:eastAsiaTheme="minorEastAsia" w:hAnsi="Cambria Math" w:cs="Times New Roman"/>
            <w:sz w:val="24"/>
            <w:szCs w:val="24"/>
            <w:lang w:eastAsia="pt-BR"/>
          </w:rPr>
          <m:t>=sup</m:t>
        </m:r>
        <m:d>
          <m:dPr>
            <m:begChr m:val="{"/>
            <m:endChr m:val="}"/>
            <m:ctrlPr>
              <w:rPr>
                <w:rFonts w:ascii="Cambria Math" w:eastAsiaTheme="minorEastAsia" w:hAnsi="Cambria Math" w:cs="Times New Roman"/>
                <w:i/>
                <w:sz w:val="24"/>
                <w:szCs w:val="24"/>
                <w:lang w:eastAsia="pt-BR"/>
              </w:rPr>
            </m:ctrlPr>
          </m:dPr>
          <m:e>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e>
            </m:d>
            <m:r>
              <w:rPr>
                <w:rFonts w:ascii="Cambria Math" w:eastAsiaTheme="minorEastAsia" w:hAnsi="Cambria Math" w:cs="Times New Roman"/>
                <w:sz w:val="24"/>
                <w:szCs w:val="24"/>
                <w:lang w:eastAsia="pt-BR"/>
              </w:rPr>
              <m:t xml:space="preserve"> </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c</m:t>
                </m:r>
              </m:sup>
            </m:sSubSup>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b</m:t>
                </m:r>
              </m:sup>
            </m:sSubSup>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e>
        </m:d>
      </m:oMath>
      <w:r w:rsidR="0004169D" w:rsidRPr="006114D7">
        <w:rPr>
          <w:rFonts w:ascii="Times New Roman" w:eastAsiaTheme="minorEastAsia" w:hAnsi="Times New Roman" w:cs="Times New Roman"/>
          <w:sz w:val="24"/>
          <w:szCs w:val="24"/>
          <w:lang w:eastAsia="pt-BR"/>
        </w:rPr>
        <w:t xml:space="preserve">, </w:t>
      </w:r>
      <w:r w:rsidR="00F23FD5" w:rsidRPr="006114D7">
        <w:rPr>
          <w:rFonts w:ascii="Times New Roman" w:eastAsiaTheme="minorEastAsia" w:hAnsi="Times New Roman" w:cs="Times New Roman"/>
          <w:sz w:val="24"/>
          <w:szCs w:val="24"/>
          <w:lang w:eastAsia="pt-BR"/>
        </w:rPr>
        <w:t>senão a relação é mantida</w:t>
      </w:r>
      <w:r w:rsidR="00341ED9" w:rsidRPr="006114D7">
        <w:rPr>
          <w:rFonts w:ascii="Times New Roman" w:eastAsiaTheme="minorEastAsia" w:hAnsi="Times New Roman" w:cs="Times New Roman"/>
          <w:sz w:val="24"/>
          <w:szCs w:val="24"/>
          <w:lang w:eastAsia="pt-BR"/>
        </w:rPr>
        <w:t>,</w:t>
      </w:r>
      <w:r w:rsidR="00F23FD5" w:rsidRPr="006114D7">
        <w:rPr>
          <w:rFonts w:ascii="Times New Roman" w:eastAsiaTheme="minorEastAsia" w:hAnsi="Times New Roman" w:cs="Times New Roman"/>
          <w:sz w:val="24"/>
          <w:szCs w:val="24"/>
          <w:lang w:eastAsia="pt-BR"/>
        </w:rPr>
        <w:t xml:space="preserve"> como no ambiente com regulamentação rígida.</w:t>
      </w:r>
      <w:r w:rsidR="002F1F27" w:rsidRPr="006114D7">
        <w:rPr>
          <w:rFonts w:ascii="Times New Roman" w:eastAsiaTheme="minorEastAsia" w:hAnsi="Times New Roman" w:cs="Times New Roman"/>
          <w:sz w:val="24"/>
          <w:szCs w:val="24"/>
          <w:lang w:eastAsia="pt-BR"/>
        </w:rPr>
        <w:t xml:space="preserve"> Este será nosso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oMath>
      <w:r w:rsidR="002F1F27" w:rsidRPr="006114D7">
        <w:rPr>
          <w:rFonts w:ascii="Times New Roman" w:eastAsiaTheme="minorEastAsia" w:hAnsi="Times New Roman" w:cs="Times New Roman"/>
          <w:sz w:val="24"/>
          <w:szCs w:val="24"/>
          <w:lang w:eastAsia="pt-BR"/>
        </w:rPr>
        <w:t xml:space="preserve">, ou seja,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proofErr w:type="gramStart"/>
      <w:r w:rsidR="002F1F27" w:rsidRPr="006114D7">
        <w:rPr>
          <w:rFonts w:ascii="Times New Roman" w:eastAsiaTheme="minorEastAsia" w:hAnsi="Times New Roman" w:cs="Times New Roman"/>
          <w:sz w:val="24"/>
          <w:szCs w:val="24"/>
          <w:lang w:eastAsia="pt-BR"/>
        </w:rPr>
        <w:t>.</w:t>
      </w:r>
      <w:proofErr w:type="gramEnd"/>
      <w:r w:rsidR="00F84322" w:rsidRPr="006114D7">
        <w:rPr>
          <w:rFonts w:ascii="Times New Roman" w:eastAsiaTheme="minorEastAsia" w:hAnsi="Times New Roman" w:cs="Times New Roman"/>
          <w:sz w:val="24"/>
          <w:szCs w:val="24"/>
          <w:lang w:eastAsia="pt-BR"/>
        </w:rPr>
        <w:t>Para o Banco do Brasil temos:</w:t>
      </w:r>
      <w:r w:rsidR="002F3BBB">
        <w:rPr>
          <w:rFonts w:ascii="Times New Roman" w:eastAsiaTheme="minorEastAsia" w:hAnsi="Times New Roman" w:cs="Times New Roman"/>
          <w:sz w:val="24"/>
          <w:szCs w:val="24"/>
          <w:lang w:eastAsia="pt-BR"/>
        </w:rPr>
        <w:t xml:space="preserve"> </w:t>
      </w:r>
      <m:oMath>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c</m:t>
            </m:r>
          </m:sup>
        </m:sSubSup>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b</m:t>
            </m:r>
          </m:sup>
        </m:sSubSup>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oMath>
      <w:r w:rsidR="002F3BBB">
        <w:rPr>
          <w:rFonts w:ascii="Times New Roman" w:eastAsiaTheme="minorEastAsia" w:hAnsi="Times New Roman" w:cs="Times New Roman"/>
          <w:sz w:val="24"/>
          <w:szCs w:val="24"/>
          <w:lang w:eastAsia="pt-BR"/>
        </w:rPr>
        <w:t xml:space="preserve">, ou seja,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b</m:t>
                </m:r>
              </m:sup>
            </m:sSubSup>
          </m:num>
          <m:den>
            <m:r>
              <w:rPr>
                <w:rFonts w:ascii="Cambria Math" w:hAnsi="Cambria Math" w:cs="Times New Roman"/>
                <w:sz w:val="24"/>
                <w:szCs w:val="24"/>
              </w:rPr>
              <m:t>∂β</m:t>
            </m:r>
          </m:den>
        </m:f>
        <m:r>
          <w:rPr>
            <w:rFonts w:ascii="Cambria Math" w:eastAsiaTheme="minorEastAsia" w:hAnsi="Cambria Math" w:cs="Times New Roman"/>
            <w:sz w:val="24"/>
            <w:szCs w:val="24"/>
            <w:lang w:eastAsia="pt-BR"/>
          </w:rPr>
          <m:t>=</m:t>
        </m:r>
      </m:oMath>
      <w:r w:rsidR="00341ED9" w:rsidRPr="006114D7">
        <w:rPr>
          <w:rFonts w:ascii="Times New Roman" w:eastAsiaTheme="minorEastAsia" w:hAnsi="Times New Roman" w:cs="Times New Roman"/>
          <w:sz w:val="24"/>
          <w:szCs w:val="24"/>
          <w:lang w:eastAsia="pt-BR"/>
        </w:rPr>
        <w:t>-6.510</w:t>
      </w:r>
      <w:r w:rsidR="0004169D" w:rsidRPr="006114D7">
        <w:rPr>
          <w:rFonts w:ascii="Times New Roman" w:eastAsiaTheme="minorEastAsia" w:hAnsi="Times New Roman" w:cs="Times New Roman"/>
          <w:sz w:val="24"/>
          <w:szCs w:val="24"/>
          <w:lang w:eastAsia="pt-BR"/>
        </w:rPr>
        <w:t xml:space="preserve"> e </w:t>
      </w:r>
      <m:oMath>
        <m:f>
          <m:fPr>
            <m:ctrlPr>
              <w:rPr>
                <w:rFonts w:ascii="Cambria Math" w:eastAsiaTheme="minorEastAsia" w:hAnsi="Cambria Math" w:cs="Times New Roman"/>
                <w:i/>
                <w:sz w:val="24"/>
                <w:szCs w:val="24"/>
                <w:lang w:eastAsia="pt-BR"/>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sub>
              <m:sup>
                <m:r>
                  <w:rPr>
                    <w:rFonts w:ascii="Cambria Math" w:hAnsi="Cambria Math" w:cs="Times New Roman"/>
                    <w:sz w:val="24"/>
                    <w:szCs w:val="24"/>
                  </w:rPr>
                  <m:t>c</m:t>
                </m:r>
              </m:sup>
            </m:sSubSup>
          </m:num>
          <m:den>
            <m:r>
              <w:rPr>
                <w:rFonts w:ascii="Cambria Math" w:hAnsi="Cambria Math" w:cs="Times New Roman"/>
                <w:sz w:val="24"/>
                <w:szCs w:val="24"/>
              </w:rPr>
              <m:t>∂β</m:t>
            </m:r>
          </m:den>
        </m:f>
        <m:r>
          <w:rPr>
            <w:rFonts w:ascii="Cambria Math" w:eastAsiaTheme="minorEastAsia" w:hAnsi="Cambria Math" w:cs="Times New Roman"/>
            <w:sz w:val="24"/>
            <w:szCs w:val="24"/>
            <w:lang w:eastAsia="pt-BR"/>
          </w:rPr>
          <m:t>=</m:t>
        </m:r>
      </m:oMath>
      <w:r w:rsidR="00341ED9" w:rsidRPr="006114D7">
        <w:rPr>
          <w:rFonts w:ascii="Times New Roman" w:eastAsiaTheme="minorEastAsia" w:hAnsi="Times New Roman" w:cs="Times New Roman"/>
          <w:sz w:val="24"/>
          <w:szCs w:val="24"/>
          <w:lang w:eastAsia="pt-BR"/>
        </w:rPr>
        <w:t xml:space="preserve"> -5.000 &lt;0</w:t>
      </w:r>
      <w:r w:rsidR="00682BEB">
        <w:rPr>
          <w:rFonts w:ascii="Times New Roman" w:eastAsiaTheme="minorEastAsia" w:hAnsi="Times New Roman" w:cs="Times New Roman"/>
          <w:sz w:val="24"/>
          <w:szCs w:val="24"/>
          <w:lang w:eastAsia="pt-BR"/>
        </w:rPr>
        <w:t xml:space="preserve"> 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oMath>
      <w:r w:rsidR="00D820B4" w:rsidRPr="006114D7">
        <w:rPr>
          <w:rFonts w:ascii="Times New Roman" w:hAnsi="Times New Roman" w:cs="Times New Roman"/>
          <w:sz w:val="24"/>
          <w:szCs w:val="24"/>
        </w:rPr>
        <w:t xml:space="preserve"> </w:t>
      </w:r>
      <w:r w:rsidR="00D820B4" w:rsidRPr="006114D7">
        <w:rPr>
          <w:rFonts w:ascii="Times New Roman" w:eastAsiaTheme="minorEastAsia" w:hAnsi="Times New Roman" w:cs="Times New Roman"/>
          <w:sz w:val="24"/>
          <w:szCs w:val="24"/>
          <w:lang w:eastAsia="pt-BR"/>
        </w:rPr>
        <w:t xml:space="preserve">0.11196323 </w:t>
      </w:r>
      <w:r w:rsidR="00893ADF" w:rsidRPr="006114D7">
        <w:rPr>
          <w:rFonts w:ascii="Times New Roman" w:eastAsiaTheme="minorEastAsia" w:hAnsi="Times New Roman" w:cs="Times New Roman"/>
          <w:sz w:val="24"/>
          <w:szCs w:val="24"/>
          <w:lang w:eastAsia="pt-BR"/>
        </w:rPr>
        <w:t>ou 11%</w:t>
      </w:r>
      <w:r w:rsidR="00901D5E">
        <w:rPr>
          <w:rFonts w:ascii="Times New Roman" w:eastAsiaTheme="minorEastAsia" w:hAnsi="Times New Roman" w:cs="Times New Roman"/>
          <w:sz w:val="24"/>
          <w:szCs w:val="24"/>
          <w:lang w:eastAsia="pt-BR"/>
        </w:rPr>
        <w:t xml:space="preserv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r>
          <w:rPr>
            <w:rFonts w:ascii="Cambria Math" w:eastAsiaTheme="minorEastAsia" w:hAnsi="Cambria Math" w:cs="Times New Roman"/>
            <w:sz w:val="24"/>
            <w:szCs w:val="24"/>
            <w:lang w:eastAsia="pt-BR"/>
          </w:rPr>
          <m:t>=</m:t>
        </m:r>
      </m:oMath>
      <w:r w:rsidR="00893ADF" w:rsidRPr="006114D7">
        <w:rPr>
          <w:rFonts w:ascii="Times New Roman" w:eastAsiaTheme="minorEastAsia" w:hAnsi="Times New Roman" w:cs="Times New Roman"/>
          <w:sz w:val="24"/>
          <w:szCs w:val="24"/>
          <w:lang w:eastAsia="pt-BR"/>
        </w:rPr>
        <w:t>0,1228368 ou 12,28%</w:t>
      </w:r>
    </w:p>
    <w:p w:rsidR="00387F2F" w:rsidRPr="006114D7" w:rsidRDefault="0004169D" w:rsidP="00FF5024">
      <w:pPr>
        <w:spacing w:after="120" w:line="240" w:lineRule="auto"/>
        <w:jc w:val="both"/>
        <w:rPr>
          <w:rFonts w:ascii="Times New Roman" w:eastAsiaTheme="minorEastAsia" w:hAnsi="Times New Roman" w:cs="Times New Roman"/>
          <w:color w:val="000000" w:themeColor="text1"/>
          <w:sz w:val="24"/>
          <w:szCs w:val="24"/>
          <w:lang w:eastAsia="pt-BR"/>
        </w:rPr>
      </w:pPr>
      <w:r w:rsidRPr="006114D7">
        <w:rPr>
          <w:rFonts w:ascii="Times New Roman" w:eastAsiaTheme="minorEastAsia" w:hAnsi="Times New Roman" w:cs="Times New Roman"/>
          <w:color w:val="000000" w:themeColor="text1"/>
          <w:sz w:val="24"/>
          <w:szCs w:val="24"/>
          <w:lang w:eastAsia="pt-BR"/>
        </w:rPr>
        <w:t>Conforme o modelo</w:t>
      </w:r>
      <w:r w:rsidR="00415E00" w:rsidRPr="006114D7">
        <w:rPr>
          <w:rFonts w:ascii="Times New Roman" w:eastAsiaTheme="minorEastAsia" w:hAnsi="Times New Roman" w:cs="Times New Roman"/>
          <w:color w:val="000000" w:themeColor="text1"/>
          <w:sz w:val="24"/>
          <w:szCs w:val="24"/>
          <w:lang w:eastAsia="pt-BR"/>
        </w:rPr>
        <w:t>, as evidências</w:t>
      </w:r>
      <w:r w:rsidRPr="006114D7">
        <w:rPr>
          <w:rFonts w:ascii="Times New Roman" w:eastAsiaTheme="minorEastAsia" w:hAnsi="Times New Roman" w:cs="Times New Roman"/>
          <w:color w:val="000000" w:themeColor="text1"/>
          <w:sz w:val="24"/>
          <w:szCs w:val="24"/>
          <w:lang w:eastAsia="pt-BR"/>
        </w:rPr>
        <w:t xml:space="preserve"> sugerem que </w:t>
      </w:r>
      <w:r w:rsidR="00415E00" w:rsidRPr="006114D7">
        <w:rPr>
          <w:rFonts w:ascii="Times New Roman" w:eastAsiaTheme="minorEastAsia" w:hAnsi="Times New Roman" w:cs="Times New Roman"/>
          <w:color w:val="000000" w:themeColor="text1"/>
          <w:sz w:val="24"/>
          <w:szCs w:val="24"/>
          <w:lang w:eastAsia="pt-BR"/>
        </w:rPr>
        <w:t>o valor d</w:t>
      </w:r>
      <w:r w:rsidRPr="006114D7">
        <w:rPr>
          <w:rFonts w:ascii="Times New Roman" w:eastAsiaTheme="minorEastAsia" w:hAnsi="Times New Roman" w:cs="Times New Roman"/>
          <w:color w:val="000000" w:themeColor="text1"/>
          <w:sz w:val="24"/>
          <w:szCs w:val="24"/>
          <w:lang w:eastAsia="pt-BR"/>
        </w:rPr>
        <w:t xml:space="preserve">o Banco do Brasil </w:t>
      </w:r>
      <w:r w:rsidR="00415E00" w:rsidRPr="006114D7">
        <w:rPr>
          <w:rFonts w:ascii="Times New Roman" w:eastAsiaTheme="minorEastAsia" w:hAnsi="Times New Roman" w:cs="Times New Roman"/>
          <w:color w:val="000000" w:themeColor="text1"/>
          <w:sz w:val="24"/>
          <w:szCs w:val="24"/>
          <w:lang w:eastAsia="pt-BR"/>
        </w:rPr>
        <w:t xml:space="preserve">depende negativamente do </w:t>
      </w:r>
      <m:oMath>
        <m:r>
          <w:rPr>
            <w:rFonts w:ascii="Cambria Math" w:eastAsiaTheme="minorEastAsia" w:hAnsi="Cambria Math" w:cs="Times New Roman"/>
            <w:sz w:val="24"/>
            <w:szCs w:val="24"/>
            <w:lang w:eastAsia="pt-BR"/>
          </w:rPr>
          <m:t>σ</m:t>
        </m:r>
      </m:oMath>
      <w:r w:rsidR="00D820B4" w:rsidRPr="006114D7">
        <w:rPr>
          <w:rFonts w:ascii="Times New Roman" w:eastAsiaTheme="minorEastAsia" w:hAnsi="Times New Roman" w:cs="Times New Roman"/>
          <w:sz w:val="24"/>
          <w:szCs w:val="24"/>
          <w:lang w:eastAsia="pt-BR"/>
        </w:rPr>
        <w:t xml:space="preserve">, ou seja, um aumento no risco </w:t>
      </w:r>
      <m:oMath>
        <m:r>
          <w:rPr>
            <w:rFonts w:ascii="Cambria Math" w:eastAsiaTheme="minorEastAsia" w:hAnsi="Cambria Math" w:cs="Times New Roman"/>
            <w:sz w:val="24"/>
            <w:szCs w:val="24"/>
            <w:lang w:eastAsia="pt-BR"/>
          </w:rPr>
          <m:t>σ</m:t>
        </m:r>
      </m:oMath>
      <w:r w:rsidR="00D820B4" w:rsidRPr="006114D7">
        <w:rPr>
          <w:rFonts w:ascii="Times New Roman" w:eastAsiaTheme="minorEastAsia" w:hAnsi="Times New Roman" w:cs="Times New Roman"/>
          <w:sz w:val="24"/>
          <w:szCs w:val="24"/>
          <w:lang w:eastAsia="pt-BR"/>
        </w:rPr>
        <w:t xml:space="preserve"> leva a uma queda no valor do banco </w:t>
      </w:r>
      <m:oMath>
        <m:r>
          <w:rPr>
            <w:rFonts w:ascii="Cambria Math" w:eastAsiaTheme="minorEastAsia" w:hAnsi="Cambria Math" w:cs="Times New Roman"/>
            <w:sz w:val="24"/>
            <w:szCs w:val="24"/>
            <w:lang w:eastAsia="pt-BR"/>
          </w:rPr>
          <m:t>V(σ)</m:t>
        </m:r>
      </m:oMath>
      <w:r w:rsidR="00415E00" w:rsidRPr="006114D7">
        <w:rPr>
          <w:rFonts w:ascii="Times New Roman" w:eastAsiaTheme="minorEastAsia" w:hAnsi="Times New Roman" w:cs="Times New Roman"/>
          <w:sz w:val="24"/>
          <w:szCs w:val="24"/>
          <w:lang w:eastAsia="pt-BR"/>
        </w:rPr>
        <w:t>.</w:t>
      </w:r>
    </w:p>
    <w:p w:rsidR="006F05F4" w:rsidRPr="006114D7" w:rsidRDefault="00836D92" w:rsidP="00682BEB">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color w:val="000000" w:themeColor="text1"/>
          <w:sz w:val="24"/>
          <w:szCs w:val="24"/>
          <w:lang w:eastAsia="pt-BR"/>
        </w:rPr>
        <w:t>Vale destacar dois pontos</w:t>
      </w:r>
      <w:r w:rsidR="00AB7757" w:rsidRPr="006114D7">
        <w:rPr>
          <w:rFonts w:ascii="Times New Roman" w:eastAsiaTheme="minorEastAsia" w:hAnsi="Times New Roman" w:cs="Times New Roman"/>
          <w:color w:val="000000" w:themeColor="text1"/>
          <w:sz w:val="24"/>
          <w:szCs w:val="24"/>
          <w:lang w:eastAsia="pt-BR"/>
        </w:rPr>
        <w:t xml:space="preserve">: Apesar do maior risco associado, </w:t>
      </w:r>
      <w:r w:rsidR="00F249B9" w:rsidRPr="006114D7">
        <w:rPr>
          <w:rFonts w:ascii="Times New Roman" w:eastAsiaTheme="minorEastAsia" w:hAnsi="Times New Roman" w:cs="Times New Roman"/>
          <w:color w:val="000000" w:themeColor="text1"/>
          <w:sz w:val="24"/>
          <w:szCs w:val="24"/>
          <w:lang w:eastAsia="pt-BR"/>
        </w:rPr>
        <w:t>e</w:t>
      </w:r>
      <w:r w:rsidR="006D25B0" w:rsidRPr="006114D7">
        <w:rPr>
          <w:rFonts w:ascii="Times New Roman" w:eastAsiaTheme="minorEastAsia" w:hAnsi="Times New Roman" w:cs="Times New Roman"/>
          <w:color w:val="000000" w:themeColor="text1"/>
          <w:sz w:val="24"/>
          <w:szCs w:val="24"/>
          <w:lang w:eastAsia="pt-BR"/>
        </w:rPr>
        <w:t>spera-se ainda assim observar um maior valor do banco com</w:t>
      </w:r>
      <w:r w:rsidR="00D7266C" w:rsidRPr="006114D7">
        <w:rPr>
          <w:rFonts w:ascii="Times New Roman" w:eastAsiaTheme="minorEastAsia" w:hAnsi="Times New Roman" w:cs="Times New Roman"/>
          <w:color w:val="000000" w:themeColor="text1"/>
          <w:sz w:val="24"/>
          <w:szCs w:val="24"/>
          <w:lang w:eastAsia="pt-BR"/>
        </w:rPr>
        <w:t xml:space="preserve">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sidR="00CE36CA" w:rsidRPr="006114D7">
        <w:rPr>
          <w:rFonts w:ascii="Times New Roman" w:eastAsiaTheme="minorEastAsia" w:hAnsi="Times New Roman" w:cs="Times New Roman"/>
          <w:color w:val="000000" w:themeColor="text1"/>
          <w:sz w:val="24"/>
          <w:szCs w:val="24"/>
          <w:lang w:eastAsia="pt-BR"/>
        </w:rPr>
        <w:t>,</w:t>
      </w:r>
      <w:r w:rsidR="00D7266C" w:rsidRPr="006114D7">
        <w:rPr>
          <w:rFonts w:ascii="Times New Roman" w:eastAsiaTheme="minorEastAsia" w:hAnsi="Times New Roman" w:cs="Times New Roman"/>
          <w:color w:val="000000" w:themeColor="text1"/>
          <w:sz w:val="24"/>
          <w:szCs w:val="24"/>
          <w:lang w:eastAsia="pt-BR"/>
        </w:rPr>
        <w:t xml:space="preserve"> </w:t>
      </w:r>
      <w:r w:rsidR="006D25B0" w:rsidRPr="006114D7">
        <w:rPr>
          <w:rFonts w:ascii="Times New Roman" w:eastAsiaTheme="minorEastAsia" w:hAnsi="Times New Roman" w:cs="Times New Roman"/>
          <w:color w:val="000000" w:themeColor="text1"/>
          <w:sz w:val="24"/>
          <w:szCs w:val="24"/>
          <w:lang w:eastAsia="pt-BR"/>
        </w:rPr>
        <w:t xml:space="preserve">do que com </w:t>
      </w:r>
      <w:r w:rsidR="00190EFF" w:rsidRPr="006114D7">
        <w:rPr>
          <w:rFonts w:ascii="Times New Roman" w:eastAsiaTheme="minorEastAsia" w:hAnsi="Times New Roman" w:cs="Times New Roman"/>
          <w:color w:val="000000" w:themeColor="text1"/>
          <w:sz w:val="24"/>
          <w:szCs w:val="24"/>
          <w:lang w:eastAsia="pt-BR"/>
        </w:rPr>
        <w:t>dívidas</w:t>
      </w:r>
      <w:r w:rsidR="006D25B0" w:rsidRPr="006114D7">
        <w:rPr>
          <w:rFonts w:ascii="Times New Roman" w:eastAsiaTheme="minorEastAsia" w:hAnsi="Times New Roman" w:cs="Times New Roman"/>
          <w:color w:val="000000" w:themeColor="text1"/>
          <w:sz w:val="24"/>
          <w:szCs w:val="24"/>
          <w:lang w:eastAsia="pt-BR"/>
        </w:rPr>
        <w:t xml:space="preserve"> subordinadas, </w:t>
      </w:r>
      <w:r w:rsidR="00DA4C4E" w:rsidRPr="006114D7">
        <w:rPr>
          <w:rFonts w:ascii="Times New Roman" w:eastAsiaTheme="minorEastAsia" w:hAnsi="Times New Roman" w:cs="Times New Roman"/>
          <w:color w:val="000000" w:themeColor="text1"/>
          <w:sz w:val="24"/>
          <w:szCs w:val="24"/>
          <w:lang w:eastAsia="pt-BR"/>
        </w:rPr>
        <w:t xml:space="preserve">isto </w:t>
      </w:r>
      <w:r w:rsidR="006D25B0" w:rsidRPr="006114D7">
        <w:rPr>
          <w:rFonts w:ascii="Times New Roman" w:eastAsiaTheme="minorEastAsia" w:hAnsi="Times New Roman" w:cs="Times New Roman"/>
          <w:color w:val="000000" w:themeColor="text1"/>
          <w:sz w:val="24"/>
          <w:szCs w:val="24"/>
          <w:lang w:eastAsia="pt-BR"/>
        </w:rPr>
        <w:t>porque o relaxamento das restrições financeiras leva o banco a tomar mais empréstimos e</w:t>
      </w:r>
      <w:r w:rsidR="00D820B4" w:rsidRPr="006114D7">
        <w:rPr>
          <w:rFonts w:ascii="Times New Roman" w:eastAsiaTheme="minorEastAsia" w:hAnsi="Times New Roman" w:cs="Times New Roman"/>
          <w:color w:val="000000" w:themeColor="text1"/>
          <w:sz w:val="24"/>
          <w:szCs w:val="24"/>
          <w:lang w:eastAsia="pt-BR"/>
        </w:rPr>
        <w:t>,</w:t>
      </w:r>
      <w:r w:rsidR="006D25B0" w:rsidRPr="006114D7">
        <w:rPr>
          <w:rFonts w:ascii="Times New Roman" w:eastAsiaTheme="minorEastAsia" w:hAnsi="Times New Roman" w:cs="Times New Roman"/>
          <w:color w:val="000000" w:themeColor="text1"/>
          <w:sz w:val="24"/>
          <w:szCs w:val="24"/>
          <w:lang w:eastAsia="pt-BR"/>
        </w:rPr>
        <w:t xml:space="preserve"> consequentemente ter benefícios fiscais mais altos, o</w:t>
      </w:r>
      <w:r w:rsidR="00A03E36" w:rsidRPr="006114D7">
        <w:rPr>
          <w:rFonts w:ascii="Times New Roman" w:eastAsiaTheme="minorEastAsia" w:hAnsi="Times New Roman" w:cs="Times New Roman"/>
          <w:color w:val="000000" w:themeColor="text1"/>
          <w:sz w:val="24"/>
          <w:szCs w:val="24"/>
          <w:lang w:eastAsia="pt-BR"/>
        </w:rPr>
        <w:t xml:space="preserve">u seja, pagando menos impostos. </w:t>
      </w:r>
      <w:r w:rsidR="00451E33" w:rsidRPr="006114D7">
        <w:rPr>
          <w:rFonts w:ascii="Times New Roman" w:eastAsiaTheme="minorEastAsia" w:hAnsi="Times New Roman" w:cs="Times New Roman"/>
          <w:color w:val="000000" w:themeColor="text1"/>
          <w:sz w:val="24"/>
          <w:szCs w:val="24"/>
          <w:lang w:eastAsia="pt-BR"/>
        </w:rPr>
        <w:t xml:space="preserve">Além disso, o </w:t>
      </w:r>
      <w:r w:rsidR="00451E33" w:rsidRPr="006114D7">
        <w:rPr>
          <w:rFonts w:ascii="Times New Roman" w:eastAsiaTheme="minorEastAsia" w:hAnsi="Times New Roman" w:cs="Times New Roman"/>
          <w:i/>
          <w:color w:val="000000" w:themeColor="text1"/>
          <w:sz w:val="24"/>
          <w:szCs w:val="24"/>
          <w:lang w:eastAsia="pt-BR"/>
        </w:rPr>
        <w:t>spread</w:t>
      </w:r>
      <w:r w:rsidR="00451E33" w:rsidRPr="006114D7">
        <w:rPr>
          <w:rFonts w:ascii="Times New Roman" w:eastAsiaTheme="minorEastAsia" w:hAnsi="Times New Roman" w:cs="Times New Roman"/>
          <w:color w:val="000000" w:themeColor="text1"/>
          <w:sz w:val="24"/>
          <w:szCs w:val="24"/>
          <w:lang w:eastAsia="pt-BR"/>
        </w:rPr>
        <w:t xml:space="preserve"> </w:t>
      </w:r>
      <w:r w:rsidR="00DA4C4E" w:rsidRPr="006114D7">
        <w:rPr>
          <w:rFonts w:ascii="Times New Roman" w:eastAsiaTheme="minorEastAsia" w:hAnsi="Times New Roman" w:cs="Times New Roman"/>
          <w:color w:val="000000" w:themeColor="text1"/>
          <w:sz w:val="24"/>
          <w:szCs w:val="24"/>
          <w:lang w:eastAsia="pt-BR"/>
        </w:rPr>
        <w:t xml:space="preserve">exigido pelos investidores de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sidR="00D7266C" w:rsidRPr="006114D7">
        <w:rPr>
          <w:rFonts w:ascii="Times New Roman" w:eastAsiaTheme="minorEastAsia" w:hAnsi="Times New Roman" w:cs="Times New Roman"/>
          <w:color w:val="000000" w:themeColor="text1"/>
          <w:sz w:val="24"/>
          <w:szCs w:val="24"/>
          <w:lang w:eastAsia="pt-BR"/>
        </w:rPr>
        <w:t xml:space="preserve"> </w:t>
      </w:r>
      <w:r w:rsidR="00A03E36" w:rsidRPr="006114D7">
        <w:rPr>
          <w:rFonts w:ascii="Times New Roman" w:eastAsiaTheme="minorEastAsia" w:hAnsi="Times New Roman" w:cs="Times New Roman"/>
          <w:color w:val="000000" w:themeColor="text1"/>
          <w:sz w:val="24"/>
          <w:szCs w:val="24"/>
          <w:lang w:eastAsia="pt-BR"/>
        </w:rPr>
        <w:t xml:space="preserve">é mais alto que das </w:t>
      </w:r>
      <w:r w:rsidR="00190EFF" w:rsidRPr="006114D7">
        <w:rPr>
          <w:rFonts w:ascii="Times New Roman" w:eastAsiaTheme="minorEastAsia" w:hAnsi="Times New Roman" w:cs="Times New Roman"/>
          <w:color w:val="000000" w:themeColor="text1"/>
          <w:sz w:val="24"/>
          <w:szCs w:val="24"/>
          <w:lang w:eastAsia="pt-BR"/>
        </w:rPr>
        <w:t>dívida</w:t>
      </w:r>
      <w:r w:rsidR="00A03E36" w:rsidRPr="006114D7">
        <w:rPr>
          <w:rFonts w:ascii="Times New Roman" w:eastAsiaTheme="minorEastAsia" w:hAnsi="Times New Roman" w:cs="Times New Roman"/>
          <w:color w:val="000000" w:themeColor="text1"/>
          <w:sz w:val="24"/>
          <w:szCs w:val="24"/>
          <w:lang w:eastAsia="pt-BR"/>
        </w:rPr>
        <w:t>s</w:t>
      </w:r>
      <w:r w:rsidR="00451E33" w:rsidRPr="006114D7">
        <w:rPr>
          <w:rFonts w:ascii="Times New Roman" w:eastAsiaTheme="minorEastAsia" w:hAnsi="Times New Roman" w:cs="Times New Roman"/>
          <w:color w:val="000000" w:themeColor="text1"/>
          <w:sz w:val="24"/>
          <w:szCs w:val="24"/>
          <w:lang w:eastAsia="pt-BR"/>
        </w:rPr>
        <w:t xml:space="preserve"> subordinada</w:t>
      </w:r>
      <w:r w:rsidR="00A03E36" w:rsidRPr="006114D7">
        <w:rPr>
          <w:rFonts w:ascii="Times New Roman" w:eastAsiaTheme="minorEastAsia" w:hAnsi="Times New Roman" w:cs="Times New Roman"/>
          <w:color w:val="000000" w:themeColor="text1"/>
          <w:sz w:val="24"/>
          <w:szCs w:val="24"/>
          <w:lang w:eastAsia="pt-BR"/>
        </w:rPr>
        <w:t>s</w:t>
      </w:r>
      <w:r w:rsidR="00451E33" w:rsidRPr="006114D7">
        <w:rPr>
          <w:rFonts w:ascii="Times New Roman" w:eastAsiaTheme="minorEastAsia" w:hAnsi="Times New Roman" w:cs="Times New Roman"/>
          <w:color w:val="000000" w:themeColor="text1"/>
          <w:sz w:val="24"/>
          <w:szCs w:val="24"/>
          <w:lang w:eastAsia="pt-BR"/>
        </w:rPr>
        <w:t xml:space="preserve">, pois eles são construídos para serem convertidos no momento em que as ações do banco </w:t>
      </w:r>
      <w:r w:rsidR="00660E0C" w:rsidRPr="006114D7">
        <w:rPr>
          <w:rFonts w:ascii="Times New Roman" w:eastAsiaTheme="minorEastAsia" w:hAnsi="Times New Roman" w:cs="Times New Roman"/>
          <w:color w:val="000000" w:themeColor="text1"/>
          <w:sz w:val="24"/>
          <w:szCs w:val="24"/>
          <w:lang w:eastAsia="pt-BR"/>
        </w:rPr>
        <w:t>est</w:t>
      </w:r>
      <w:r w:rsidR="00D820B4" w:rsidRPr="006114D7">
        <w:rPr>
          <w:rFonts w:ascii="Times New Roman" w:eastAsiaTheme="minorEastAsia" w:hAnsi="Times New Roman" w:cs="Times New Roman"/>
          <w:color w:val="000000" w:themeColor="text1"/>
          <w:sz w:val="24"/>
          <w:szCs w:val="24"/>
          <w:lang w:eastAsia="pt-BR"/>
        </w:rPr>
        <w:t>ão com o</w:t>
      </w:r>
      <w:r w:rsidR="00451E33" w:rsidRPr="006114D7">
        <w:rPr>
          <w:rFonts w:ascii="Times New Roman" w:eastAsiaTheme="minorEastAsia" w:hAnsi="Times New Roman" w:cs="Times New Roman"/>
          <w:color w:val="000000" w:themeColor="text1"/>
          <w:sz w:val="24"/>
          <w:szCs w:val="24"/>
          <w:lang w:eastAsia="pt-BR"/>
        </w:rPr>
        <w:t xml:space="preserve"> valor</w:t>
      </w:r>
      <w:r w:rsidR="00660E0C" w:rsidRPr="006114D7">
        <w:rPr>
          <w:rFonts w:ascii="Times New Roman" w:eastAsiaTheme="minorEastAsia" w:hAnsi="Times New Roman" w:cs="Times New Roman"/>
          <w:color w:val="000000" w:themeColor="text1"/>
          <w:sz w:val="24"/>
          <w:szCs w:val="24"/>
          <w:lang w:eastAsia="pt-BR"/>
        </w:rPr>
        <w:t xml:space="preserve"> mais</w:t>
      </w:r>
      <w:r w:rsidR="00451E33" w:rsidRPr="006114D7">
        <w:rPr>
          <w:rFonts w:ascii="Times New Roman" w:eastAsiaTheme="minorEastAsia" w:hAnsi="Times New Roman" w:cs="Times New Roman"/>
          <w:color w:val="000000" w:themeColor="text1"/>
          <w:sz w:val="24"/>
          <w:szCs w:val="24"/>
          <w:lang w:eastAsia="pt-BR"/>
        </w:rPr>
        <w:t xml:space="preserve"> baixo</w:t>
      </w:r>
      <w:r w:rsidR="001E7FAF" w:rsidRPr="006114D7">
        <w:rPr>
          <w:rFonts w:ascii="Times New Roman" w:eastAsiaTheme="minorEastAsia" w:hAnsi="Times New Roman" w:cs="Times New Roman"/>
          <w:color w:val="000000" w:themeColor="text1"/>
          <w:sz w:val="24"/>
          <w:szCs w:val="24"/>
          <w:lang w:eastAsia="pt-BR"/>
        </w:rPr>
        <w:t>, ou seja,</w:t>
      </w:r>
      <w:r w:rsidR="00451E33" w:rsidRPr="006114D7">
        <w:rPr>
          <w:rFonts w:ascii="Times New Roman" w:eastAsiaTheme="minorEastAsia" w:hAnsi="Times New Roman" w:cs="Times New Roman"/>
          <w:color w:val="000000" w:themeColor="text1"/>
          <w:sz w:val="24"/>
          <w:szCs w:val="24"/>
          <w:lang w:eastAsia="pt-BR"/>
        </w:rPr>
        <w:t xml:space="preserve"> </w:t>
      </w:r>
      <w:r w:rsidR="00660E0C" w:rsidRPr="006114D7">
        <w:rPr>
          <w:rFonts w:ascii="Times New Roman" w:eastAsiaTheme="minorEastAsia" w:hAnsi="Times New Roman" w:cs="Times New Roman"/>
          <w:color w:val="000000" w:themeColor="text1"/>
          <w:sz w:val="24"/>
          <w:szCs w:val="24"/>
          <w:lang w:eastAsia="pt-BR"/>
        </w:rPr>
        <w:t xml:space="preserve">o </w:t>
      </w:r>
      <w:r w:rsidR="00451E33" w:rsidRPr="006114D7">
        <w:rPr>
          <w:rFonts w:ascii="Times New Roman" w:eastAsiaTheme="minorEastAsia" w:hAnsi="Times New Roman" w:cs="Times New Roman"/>
          <w:i/>
          <w:color w:val="000000" w:themeColor="text1"/>
          <w:sz w:val="24"/>
          <w:szCs w:val="24"/>
          <w:lang w:eastAsia="pt-BR"/>
        </w:rPr>
        <w:t>spread</w:t>
      </w:r>
      <w:r w:rsidR="003E4535" w:rsidRPr="006114D7">
        <w:rPr>
          <w:rFonts w:ascii="Times New Roman" w:eastAsiaTheme="minorEastAsia" w:hAnsi="Times New Roman" w:cs="Times New Roman"/>
          <w:color w:val="000000" w:themeColor="text1"/>
          <w:sz w:val="24"/>
          <w:szCs w:val="24"/>
          <w:lang w:eastAsia="pt-BR"/>
        </w:rPr>
        <w:t xml:space="preserve"> </w:t>
      </w:r>
      <w:r w:rsidR="00660E0C" w:rsidRPr="006114D7">
        <w:rPr>
          <w:rFonts w:ascii="Times New Roman" w:eastAsiaTheme="minorEastAsia" w:hAnsi="Times New Roman" w:cs="Times New Roman"/>
          <w:color w:val="000000" w:themeColor="text1"/>
          <w:sz w:val="24"/>
          <w:szCs w:val="24"/>
          <w:lang w:eastAsia="pt-BR"/>
        </w:rPr>
        <w:t xml:space="preserve">alto </w:t>
      </w:r>
      <w:r w:rsidR="003E4535" w:rsidRPr="006114D7">
        <w:rPr>
          <w:rFonts w:ascii="Times New Roman" w:eastAsiaTheme="minorEastAsia" w:hAnsi="Times New Roman" w:cs="Times New Roman"/>
          <w:color w:val="000000" w:themeColor="text1"/>
          <w:sz w:val="24"/>
          <w:szCs w:val="24"/>
          <w:lang w:eastAsia="pt-BR"/>
        </w:rPr>
        <w:t>funciona como um prê</w:t>
      </w:r>
      <w:r w:rsidR="00451E33" w:rsidRPr="006114D7">
        <w:rPr>
          <w:rFonts w:ascii="Times New Roman" w:eastAsiaTheme="minorEastAsia" w:hAnsi="Times New Roman" w:cs="Times New Roman"/>
          <w:color w:val="000000" w:themeColor="text1"/>
          <w:sz w:val="24"/>
          <w:szCs w:val="24"/>
          <w:lang w:eastAsia="pt-BR"/>
        </w:rPr>
        <w:t>mio de seguro.</w:t>
      </w:r>
      <w:r w:rsidR="00116ADA">
        <w:rPr>
          <w:rFonts w:ascii="Times New Roman" w:eastAsiaTheme="minorEastAsia" w:hAnsi="Times New Roman" w:cs="Times New Roman"/>
          <w:color w:val="000000" w:themeColor="text1"/>
          <w:sz w:val="24"/>
          <w:szCs w:val="24"/>
          <w:lang w:eastAsia="pt-BR"/>
        </w:rPr>
        <w:t xml:space="preserve"> </w:t>
      </w:r>
      <w:r w:rsidR="001E7FAF" w:rsidRPr="006114D7">
        <w:rPr>
          <w:rFonts w:ascii="Times New Roman" w:eastAsiaTheme="minorEastAsia" w:hAnsi="Times New Roman" w:cs="Times New Roman"/>
          <w:color w:val="000000" w:themeColor="text1"/>
          <w:sz w:val="24"/>
          <w:szCs w:val="24"/>
          <w:lang w:eastAsia="pt-BR"/>
        </w:rPr>
        <w:t xml:space="preserve">Assim, </w:t>
      </w:r>
      <w:r w:rsidR="0029291C" w:rsidRPr="006114D7">
        <w:rPr>
          <w:rFonts w:ascii="Times New Roman" w:eastAsiaTheme="minorEastAsia" w:hAnsi="Times New Roman" w:cs="Times New Roman"/>
          <w:color w:val="000000" w:themeColor="text1"/>
          <w:sz w:val="24"/>
          <w:szCs w:val="24"/>
          <w:lang w:eastAsia="pt-BR"/>
        </w:rPr>
        <w:t xml:space="preserve">bancos com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sidR="0029291C" w:rsidRPr="006114D7">
        <w:rPr>
          <w:rFonts w:ascii="Times New Roman" w:eastAsiaTheme="minorEastAsia" w:hAnsi="Times New Roman" w:cs="Times New Roman"/>
          <w:color w:val="000000" w:themeColor="text1"/>
          <w:sz w:val="24"/>
          <w:szCs w:val="24"/>
          <w:lang w:eastAsia="pt-BR"/>
        </w:rPr>
        <w:t>, emitidos com risco menor que o valor crítico (</w:t>
      </w:r>
      <m:oMath>
        <m:sSub>
          <m:sSubPr>
            <m:ctrlPr>
              <w:rPr>
                <w:rFonts w:ascii="Cambria Math" w:eastAsiaTheme="minorEastAsia" w:hAnsi="Cambria Math" w:cs="Times New Roman"/>
                <w:color w:val="000000" w:themeColor="text1"/>
                <w:sz w:val="24"/>
                <w:szCs w:val="24"/>
                <w:lang w:eastAsia="pt-BR"/>
              </w:rPr>
            </m:ctrlPr>
          </m:sSubPr>
          <m:e>
            <m:r>
              <m:rPr>
                <m:sty m:val="p"/>
              </m:rPr>
              <w:rPr>
                <w:rFonts w:ascii="Cambria Math" w:eastAsiaTheme="minorEastAsia" w:hAnsi="Cambria Math" w:cs="Times New Roman"/>
                <w:color w:val="000000" w:themeColor="text1"/>
                <w:sz w:val="24"/>
                <w:szCs w:val="24"/>
                <w:lang w:eastAsia="pt-BR"/>
              </w:rPr>
              <m:t>σ</m:t>
            </m:r>
          </m:e>
          <m:sub>
            <m:r>
              <m:rPr>
                <m:sty m:val="p"/>
              </m:rPr>
              <w:rPr>
                <w:rFonts w:ascii="Cambria Math" w:eastAsiaTheme="minorEastAsia" w:hAnsi="Cambria Math" w:cs="Times New Roman"/>
                <w:color w:val="000000" w:themeColor="text1"/>
                <w:sz w:val="24"/>
                <w:szCs w:val="24"/>
                <w:lang w:eastAsia="pt-BR"/>
              </w:rPr>
              <m:t>h</m:t>
            </m:r>
          </m:sub>
        </m:sSub>
        <m:r>
          <m:rPr>
            <m:sty m:val="p"/>
          </m:rPr>
          <w:rPr>
            <w:rFonts w:ascii="Cambria Math" w:eastAsiaTheme="minorEastAsia" w:hAnsi="Cambria Math" w:cs="Times New Roman"/>
            <w:color w:val="000000" w:themeColor="text1"/>
            <w:sz w:val="24"/>
            <w:szCs w:val="24"/>
            <w:lang w:eastAsia="pt-BR"/>
          </w:rPr>
          <m:t>&lt;</m:t>
        </m:r>
        <m:acc>
          <m:accPr>
            <m:ctrlPr>
              <w:rPr>
                <w:rFonts w:ascii="Cambria Math" w:eastAsiaTheme="minorEastAsia" w:hAnsi="Cambria Math" w:cs="Times New Roman"/>
                <w:color w:val="000000" w:themeColor="text1"/>
                <w:sz w:val="24"/>
                <w:szCs w:val="24"/>
                <w:lang w:eastAsia="pt-BR"/>
              </w:rPr>
            </m:ctrlPr>
          </m:accPr>
          <m:e>
            <m:r>
              <m:rPr>
                <m:sty m:val="p"/>
              </m:rPr>
              <w:rPr>
                <w:rFonts w:ascii="Cambria Math" w:eastAsiaTheme="minorEastAsia" w:hAnsi="Cambria Math" w:cs="Times New Roman"/>
                <w:color w:val="000000" w:themeColor="text1"/>
                <w:sz w:val="24"/>
                <w:szCs w:val="24"/>
                <w:lang w:eastAsia="pt-BR"/>
              </w:rPr>
              <m:t>σ</m:t>
            </m:r>
          </m:e>
        </m:acc>
      </m:oMath>
      <w:r w:rsidR="0029291C" w:rsidRPr="006114D7">
        <w:rPr>
          <w:rFonts w:ascii="Times New Roman" w:eastAsiaTheme="minorEastAsia" w:hAnsi="Times New Roman" w:cs="Times New Roman"/>
          <w:color w:val="000000" w:themeColor="text1"/>
          <w:sz w:val="24"/>
          <w:szCs w:val="24"/>
          <w:lang w:eastAsia="pt-BR"/>
        </w:rPr>
        <w:t>)</w:t>
      </w:r>
      <w:r w:rsidR="000D2C43" w:rsidRPr="006114D7">
        <w:rPr>
          <w:rFonts w:ascii="Times New Roman" w:eastAsiaTheme="minorEastAsia" w:hAnsi="Times New Roman" w:cs="Times New Roman"/>
          <w:color w:val="000000" w:themeColor="text1"/>
          <w:sz w:val="24"/>
          <w:szCs w:val="24"/>
          <w:lang w:eastAsia="pt-BR"/>
        </w:rPr>
        <w:t>,</w:t>
      </w:r>
      <w:r w:rsidR="0029291C" w:rsidRPr="006114D7">
        <w:rPr>
          <w:rFonts w:ascii="Times New Roman" w:eastAsiaTheme="minorEastAsia" w:hAnsi="Times New Roman" w:cs="Times New Roman"/>
          <w:color w:val="000000" w:themeColor="text1"/>
          <w:sz w:val="24"/>
          <w:szCs w:val="24"/>
          <w:lang w:eastAsia="pt-BR"/>
        </w:rPr>
        <w:t xml:space="preserve"> tem um valor global maior e implicam em maior riqueza para os acionistas</w:t>
      </w:r>
      <w:r w:rsidR="00D22657" w:rsidRPr="006114D7">
        <w:rPr>
          <w:rFonts w:ascii="Times New Roman" w:eastAsiaTheme="minorEastAsia" w:hAnsi="Times New Roman" w:cs="Times New Roman"/>
          <w:color w:val="000000" w:themeColor="text1"/>
          <w:sz w:val="24"/>
          <w:szCs w:val="24"/>
          <w:lang w:eastAsia="pt-BR"/>
        </w:rPr>
        <w:t>.</w:t>
      </w:r>
      <w:r w:rsidR="0029291C" w:rsidRPr="006114D7">
        <w:rPr>
          <w:rFonts w:ascii="Times New Roman" w:eastAsiaTheme="minorEastAsia" w:hAnsi="Times New Roman" w:cs="Times New Roman"/>
          <w:color w:val="000000" w:themeColor="text1"/>
          <w:sz w:val="24"/>
          <w:szCs w:val="24"/>
          <w:lang w:eastAsia="pt-BR"/>
        </w:rPr>
        <w:t xml:space="preserve"> </w:t>
      </w:r>
      <w:r w:rsidR="00522A19" w:rsidRPr="006114D7">
        <w:rPr>
          <w:rFonts w:ascii="Times New Roman" w:eastAsiaTheme="minorEastAsia" w:hAnsi="Times New Roman" w:cs="Times New Roman"/>
          <w:color w:val="000000" w:themeColor="text1"/>
          <w:sz w:val="24"/>
          <w:szCs w:val="24"/>
          <w:lang w:eastAsia="pt-BR"/>
        </w:rPr>
        <w:t>De qualquer forma ainda não esta claro que os</w:t>
      </w:r>
      <w:r w:rsidR="00D7266C" w:rsidRPr="006114D7">
        <w:rPr>
          <w:rFonts w:ascii="Times New Roman" w:eastAsiaTheme="minorEastAsia" w:hAnsi="Times New Roman" w:cs="Times New Roman"/>
          <w:color w:val="000000" w:themeColor="text1"/>
          <w:sz w:val="24"/>
          <w:szCs w:val="24"/>
          <w:lang w:eastAsia="pt-BR"/>
        </w:rPr>
        <w:t xml:space="preserve"> </w:t>
      </w:r>
      <w:proofErr w:type="spellStart"/>
      <w:proofErr w:type="gramStart"/>
      <w:r w:rsidR="0099005E">
        <w:rPr>
          <w:rFonts w:ascii="Times New Roman" w:eastAsiaTheme="minorEastAsia" w:hAnsi="Times New Roman" w:cs="Times New Roman"/>
          <w:color w:val="000000" w:themeColor="text1"/>
          <w:sz w:val="24"/>
          <w:szCs w:val="24"/>
          <w:lang w:eastAsia="pt-BR"/>
        </w:rPr>
        <w:t>CoCos</w:t>
      </w:r>
      <w:proofErr w:type="spellEnd"/>
      <w:proofErr w:type="gramEnd"/>
      <w:r w:rsidR="00D7266C" w:rsidRPr="006114D7">
        <w:rPr>
          <w:rFonts w:ascii="Times New Roman" w:eastAsiaTheme="minorEastAsia" w:hAnsi="Times New Roman" w:cs="Times New Roman"/>
          <w:color w:val="000000" w:themeColor="text1"/>
          <w:sz w:val="24"/>
          <w:szCs w:val="24"/>
          <w:lang w:eastAsia="pt-BR"/>
        </w:rPr>
        <w:t xml:space="preserve"> </w:t>
      </w:r>
      <w:r w:rsidR="00522A19" w:rsidRPr="006114D7">
        <w:rPr>
          <w:rFonts w:ascii="Times New Roman" w:eastAsiaTheme="minorEastAsia" w:hAnsi="Times New Roman" w:cs="Times New Roman"/>
          <w:color w:val="000000" w:themeColor="text1"/>
          <w:sz w:val="24"/>
          <w:szCs w:val="24"/>
          <w:lang w:eastAsia="pt-BR"/>
        </w:rPr>
        <w:t>são b</w:t>
      </w:r>
      <w:r w:rsidR="00682BEB">
        <w:rPr>
          <w:rFonts w:ascii="Times New Roman" w:eastAsiaTheme="minorEastAsia" w:hAnsi="Times New Roman" w:cs="Times New Roman"/>
          <w:color w:val="000000" w:themeColor="text1"/>
          <w:sz w:val="24"/>
          <w:szCs w:val="24"/>
          <w:lang w:eastAsia="pt-BR"/>
        </w:rPr>
        <w:t xml:space="preserve">ons do ponto de vista sistêmico, e para avalia-lo </w:t>
      </w:r>
      <w:r w:rsidR="006F05F4" w:rsidRPr="006114D7">
        <w:rPr>
          <w:rFonts w:ascii="Times New Roman" w:eastAsiaTheme="minorEastAsia" w:hAnsi="Times New Roman" w:cs="Times New Roman"/>
          <w:sz w:val="24"/>
          <w:szCs w:val="24"/>
          <w:lang w:eastAsia="pt-BR"/>
        </w:rPr>
        <w:t xml:space="preserve">vamos considerar a probabilidade de </w:t>
      </w:r>
      <w:r w:rsidR="00CB4D33" w:rsidRPr="006114D7">
        <w:rPr>
          <w:rFonts w:ascii="Times New Roman" w:eastAsiaTheme="minorEastAsia" w:hAnsi="Times New Roman" w:cs="Times New Roman"/>
          <w:sz w:val="24"/>
          <w:szCs w:val="24"/>
          <w:lang w:eastAsia="pt-BR"/>
        </w:rPr>
        <w:t>inadimplência</w:t>
      </w:r>
      <w:r w:rsidR="006F05F4" w:rsidRPr="006114D7">
        <w:rPr>
          <w:rFonts w:ascii="Times New Roman" w:eastAsiaTheme="minorEastAsia" w:hAnsi="Times New Roman" w:cs="Times New Roman"/>
          <w:sz w:val="24"/>
          <w:szCs w:val="24"/>
          <w:lang w:eastAsia="pt-BR"/>
        </w:rPr>
        <w:t>, mas agora</w:t>
      </w:r>
      <w:r w:rsidR="000D2C43" w:rsidRPr="006114D7">
        <w:rPr>
          <w:rFonts w:ascii="Times New Roman" w:eastAsiaTheme="minorEastAsia" w:hAnsi="Times New Roman" w:cs="Times New Roman"/>
          <w:sz w:val="24"/>
          <w:szCs w:val="24"/>
          <w:lang w:eastAsia="pt-BR"/>
        </w:rPr>
        <w:t>,</w:t>
      </w:r>
      <w:r w:rsidR="006F05F4" w:rsidRPr="006114D7">
        <w:rPr>
          <w:rFonts w:ascii="Times New Roman" w:eastAsiaTheme="minorEastAsia" w:hAnsi="Times New Roman" w:cs="Times New Roman"/>
          <w:sz w:val="24"/>
          <w:szCs w:val="24"/>
          <w:lang w:eastAsia="pt-BR"/>
        </w:rPr>
        <w:t xml:space="preserve"> </w:t>
      </w:r>
      <w:r w:rsidR="000D2C43" w:rsidRPr="006114D7">
        <w:rPr>
          <w:rFonts w:ascii="Times New Roman" w:eastAsiaTheme="minorEastAsia" w:hAnsi="Times New Roman" w:cs="Times New Roman"/>
          <w:sz w:val="24"/>
          <w:szCs w:val="24"/>
          <w:lang w:eastAsia="pt-BR"/>
        </w:rPr>
        <w:t xml:space="preserve">os </w:t>
      </w:r>
      <w:r w:rsidR="006F05F4" w:rsidRPr="006114D7">
        <w:rPr>
          <w:rFonts w:ascii="Times New Roman" w:eastAsiaTheme="minorEastAsia" w:hAnsi="Times New Roman" w:cs="Times New Roman"/>
          <w:sz w:val="24"/>
          <w:szCs w:val="24"/>
          <w:lang w:eastAsia="pt-BR"/>
        </w:rPr>
        <w:t>parâmetros de risco diferenciados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oMath>
      <w:r w:rsidR="006F05F4" w:rsidRPr="006114D7">
        <w:rPr>
          <w:rFonts w:ascii="Times New Roman" w:eastAsiaTheme="minorEastAsia" w:hAnsi="Times New Roman" w:cs="Times New Roman"/>
          <w:sz w:val="24"/>
          <w:szCs w:val="24"/>
          <w:lang w:eastAsia="pt-BR"/>
        </w:rPr>
        <w:t>) são considerado</w:t>
      </w:r>
      <w:r w:rsidR="00F249B9" w:rsidRPr="006114D7">
        <w:rPr>
          <w:rFonts w:ascii="Times New Roman" w:eastAsiaTheme="minorEastAsia" w:hAnsi="Times New Roman" w:cs="Times New Roman"/>
          <w:sz w:val="24"/>
          <w:szCs w:val="24"/>
          <w:lang w:eastAsia="pt-BR"/>
        </w:rPr>
        <w:t>s,</w:t>
      </w:r>
      <w:r w:rsidR="006F05F4" w:rsidRPr="006114D7">
        <w:rPr>
          <w:rFonts w:ascii="Times New Roman" w:eastAsiaTheme="minorEastAsia" w:hAnsi="Times New Roman" w:cs="Times New Roman"/>
          <w:sz w:val="24"/>
          <w:szCs w:val="24"/>
          <w:lang w:eastAsia="pt-BR"/>
        </w:rPr>
        <w:t xml:space="preserve"> estendendo a notação da probabilidade de </w:t>
      </w:r>
      <w:r w:rsidR="00CB4D33" w:rsidRPr="006114D7">
        <w:rPr>
          <w:rFonts w:ascii="Times New Roman" w:eastAsiaTheme="minorEastAsia" w:hAnsi="Times New Roman" w:cs="Times New Roman"/>
          <w:sz w:val="24"/>
          <w:szCs w:val="24"/>
          <w:lang w:eastAsia="pt-BR"/>
        </w:rPr>
        <w:t>inadimplência</w:t>
      </w:r>
      <w:r w:rsidR="006F05F4" w:rsidRPr="006114D7">
        <w:rPr>
          <w:rFonts w:ascii="Times New Roman" w:eastAsiaTheme="minorEastAsia" w:hAnsi="Times New Roman" w:cs="Times New Roman"/>
          <w:sz w:val="24"/>
          <w:szCs w:val="24"/>
          <w:lang w:eastAsia="pt-BR"/>
        </w:rPr>
        <w:t xml:space="preserve"> para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ξ,σ,T</m:t>
            </m:r>
          </m:sub>
        </m:sSub>
      </m:oMath>
      <w:r w:rsidR="006F05F4" w:rsidRPr="006114D7">
        <w:rPr>
          <w:rFonts w:ascii="Times New Roman" w:eastAsiaTheme="minorEastAsia" w:hAnsi="Times New Roman" w:cs="Times New Roman"/>
          <w:sz w:val="24"/>
          <w:szCs w:val="24"/>
          <w:lang w:eastAsia="pt-BR"/>
        </w:rPr>
        <w:t xml:space="preserve"> e calculando </w:t>
      </w:r>
      <w:r w:rsidR="00F249B9" w:rsidRPr="006114D7">
        <w:rPr>
          <w:rFonts w:ascii="Times New Roman" w:eastAsiaTheme="minorEastAsia" w:hAnsi="Times New Roman" w:cs="Times New Roman"/>
          <w:sz w:val="24"/>
          <w:szCs w:val="24"/>
          <w:lang w:eastAsia="pt-BR"/>
        </w:rPr>
        <w:t>su</w:t>
      </w:r>
      <w:r w:rsidR="006F05F4" w:rsidRPr="006114D7">
        <w:rPr>
          <w:rFonts w:ascii="Times New Roman" w:eastAsiaTheme="minorEastAsia" w:hAnsi="Times New Roman" w:cs="Times New Roman"/>
          <w:sz w:val="24"/>
          <w:szCs w:val="24"/>
          <w:lang w:eastAsia="pt-BR"/>
        </w:rPr>
        <w:t>a diferença em um horizonte de tempo T:</w:t>
      </w:r>
    </w:p>
    <w:p w:rsidR="006F05F4" w:rsidRPr="006114D7" w:rsidRDefault="006F05F4" w:rsidP="00FF5024">
      <w:pPr>
        <w:spacing w:after="120" w:line="240" w:lineRule="auto"/>
        <w:jc w:val="right"/>
        <w:rPr>
          <w:rFonts w:ascii="Times New Roman" w:eastAsiaTheme="minorEastAsia" w:hAnsi="Times New Roman" w:cs="Times New Roman"/>
          <w:sz w:val="24"/>
          <w:szCs w:val="24"/>
          <w:lang w:eastAsia="pt-BR"/>
        </w:rPr>
      </w:pPr>
      <m:oMath>
        <m:r>
          <m:rPr>
            <m:sty m:val="p"/>
          </m:rPr>
          <w:rPr>
            <w:rFonts w:ascii="Cambria Math" w:eastAsiaTheme="minorEastAsia" w:hAnsi="Cambria Math" w:cs="Times New Roman"/>
            <w:sz w:val="24"/>
            <w:szCs w:val="24"/>
            <w:lang w:eastAsia="pt-BR"/>
          </w:rPr>
          <m:t>Δ</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ξ,</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ξ,</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,T</m:t>
            </m:r>
          </m:sub>
        </m:sSub>
      </m:oMath>
      <w:r w:rsidR="0098152A" w:rsidRPr="006114D7">
        <w:rPr>
          <w:rFonts w:ascii="Times New Roman" w:eastAsiaTheme="minorEastAsia" w:hAnsi="Times New Roman" w:cs="Times New Roman"/>
          <w:sz w:val="24"/>
          <w:szCs w:val="24"/>
          <w:lang w:eastAsia="pt-BR"/>
        </w:rPr>
        <w:t xml:space="preserve">                                               (3</w:t>
      </w:r>
      <w:r w:rsidR="00995BFC" w:rsidRPr="006114D7">
        <w:rPr>
          <w:rFonts w:ascii="Times New Roman" w:eastAsiaTheme="minorEastAsia" w:hAnsi="Times New Roman" w:cs="Times New Roman"/>
          <w:sz w:val="24"/>
          <w:szCs w:val="24"/>
          <w:lang w:eastAsia="pt-BR"/>
        </w:rPr>
        <w:t>8</w:t>
      </w:r>
      <w:r w:rsidR="0098152A" w:rsidRPr="006114D7">
        <w:rPr>
          <w:rFonts w:ascii="Times New Roman" w:eastAsiaTheme="minorEastAsia" w:hAnsi="Times New Roman" w:cs="Times New Roman"/>
          <w:sz w:val="24"/>
          <w:szCs w:val="24"/>
          <w:lang w:eastAsia="pt-BR"/>
        </w:rPr>
        <w:t>)</w:t>
      </w:r>
    </w:p>
    <w:p w:rsidR="00682BEB" w:rsidRDefault="00D22657" w:rsidP="002F3BBB">
      <w:pPr>
        <w:spacing w:after="120" w:line="240" w:lineRule="auto"/>
        <w:jc w:val="both"/>
        <w:rPr>
          <w:rFonts w:ascii="Times New Roman" w:eastAsiaTheme="minorEastAsia" w:hAnsi="Times New Roman" w:cs="Times New Roman"/>
          <w:sz w:val="24"/>
          <w:szCs w:val="24"/>
          <w:lang w:eastAsia="pt-BR"/>
        </w:rPr>
      </w:pPr>
      <w:r w:rsidRPr="006114D7">
        <w:rPr>
          <w:rFonts w:ascii="Times New Roman" w:eastAsiaTheme="minorEastAsia" w:hAnsi="Times New Roman" w:cs="Times New Roman"/>
          <w:sz w:val="24"/>
          <w:szCs w:val="24"/>
          <w:lang w:eastAsia="pt-BR"/>
        </w:rPr>
        <w:t xml:space="preserve">Da Proposição </w:t>
      </w:r>
      <w:proofErr w:type="gramStart"/>
      <w:r w:rsidRPr="006114D7">
        <w:rPr>
          <w:rFonts w:ascii="Times New Roman" w:eastAsiaTheme="minorEastAsia" w:hAnsi="Times New Roman" w:cs="Times New Roman"/>
          <w:sz w:val="24"/>
          <w:szCs w:val="24"/>
          <w:lang w:eastAsia="pt-BR"/>
        </w:rPr>
        <w:t>1</w:t>
      </w:r>
      <w:proofErr w:type="gramEnd"/>
      <w:r w:rsidRPr="006114D7">
        <w:rPr>
          <w:rFonts w:ascii="Times New Roman" w:eastAsiaTheme="minorEastAsia" w:hAnsi="Times New Roman" w:cs="Times New Roman"/>
          <w:sz w:val="24"/>
          <w:szCs w:val="24"/>
          <w:lang w:eastAsia="pt-BR"/>
        </w:rPr>
        <w:t xml:space="preserve">, </w:t>
      </w:r>
      <w:r w:rsidR="00C94380">
        <w:rPr>
          <w:rFonts w:ascii="Times New Roman" w:eastAsiaTheme="minorEastAsia" w:hAnsi="Times New Roman" w:cs="Times New Roman"/>
          <w:sz w:val="24"/>
          <w:szCs w:val="24"/>
          <w:lang w:eastAsia="pt-BR"/>
        </w:rPr>
        <w:t>temos</w:t>
      </w:r>
      <w:r w:rsidRPr="006114D7">
        <w:rPr>
          <w:rFonts w:ascii="Times New Roman" w:eastAsiaTheme="minorEastAsia" w:hAnsi="Times New Roman" w:cs="Times New Roman"/>
          <w:sz w:val="24"/>
          <w:szCs w:val="24"/>
          <w:lang w:eastAsia="pt-BR"/>
        </w:rPr>
        <w:t xml:space="preserve"> que para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oMath>
      <w:r w:rsidRPr="006114D7">
        <w:rPr>
          <w:rFonts w:ascii="Times New Roman" w:eastAsiaTheme="minorEastAsia" w:hAnsi="Times New Roman" w:cs="Times New Roman"/>
          <w:sz w:val="24"/>
          <w:szCs w:val="24"/>
          <w:lang w:eastAsia="pt-BR"/>
        </w:rPr>
        <w:t xml:space="preserve">, </w:t>
      </w:r>
      <m:oMath>
        <m:r>
          <m:rPr>
            <m:sty m:val="p"/>
          </m:rPr>
          <w:rPr>
            <w:rFonts w:ascii="Cambria Math" w:eastAsiaTheme="minorEastAsia" w:hAnsi="Cambria Math" w:cs="Times New Roman"/>
            <w:sz w:val="24"/>
            <w:szCs w:val="24"/>
            <w:lang w:eastAsia="pt-BR"/>
          </w:rPr>
          <m:t>Δ</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T</m:t>
            </m:r>
          </m:sub>
        </m:sSub>
      </m:oMath>
      <w:r w:rsidR="000D2C43" w:rsidRPr="006114D7">
        <w:rPr>
          <w:rFonts w:ascii="Times New Roman" w:eastAsiaTheme="minorEastAsia" w:hAnsi="Times New Roman" w:cs="Times New Roman"/>
          <w:sz w:val="24"/>
          <w:szCs w:val="24"/>
          <w:lang w:eastAsia="pt-BR"/>
        </w:rPr>
        <w:t xml:space="preserve"> </w:t>
      </w:r>
      <w:r w:rsidRPr="006114D7">
        <w:rPr>
          <w:rFonts w:ascii="Times New Roman" w:eastAsiaTheme="minorEastAsia" w:hAnsi="Times New Roman" w:cs="Times New Roman"/>
          <w:sz w:val="24"/>
          <w:szCs w:val="24"/>
          <w:lang w:eastAsia="pt-BR"/>
        </w:rPr>
        <w:t xml:space="preserve">é negativo e que cresce uniformemente com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oMath>
      <w:r w:rsidRPr="006114D7">
        <w:rPr>
          <w:rFonts w:ascii="Times New Roman" w:eastAsiaTheme="minorEastAsia" w:hAnsi="Times New Roman" w:cs="Times New Roman"/>
          <w:sz w:val="24"/>
          <w:szCs w:val="24"/>
          <w:lang w:eastAsia="pt-BR"/>
        </w:rPr>
        <w:t xml:space="preserve">, ou seja, existe outro valor crítico de </w:t>
      </w:r>
      <m:oMath>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r w:rsidRPr="006114D7">
        <w:rPr>
          <w:rFonts w:ascii="Times New Roman" w:eastAsiaTheme="minorEastAsia" w:hAnsi="Times New Roman" w:cs="Times New Roman"/>
          <w:sz w:val="24"/>
          <w:szCs w:val="24"/>
          <w:lang w:eastAsia="pt-BR"/>
        </w:rPr>
        <w:t xml:space="preserve"> em que </w:t>
      </w:r>
      <w:r w:rsidR="00C85F7F" w:rsidRPr="006114D7">
        <w:rPr>
          <w:rFonts w:ascii="Times New Roman" w:eastAsiaTheme="minorEastAsia" w:hAnsi="Times New Roman" w:cs="Times New Roman"/>
          <w:sz w:val="24"/>
          <w:szCs w:val="24"/>
          <w:lang w:eastAsia="pt-BR"/>
        </w:rPr>
        <w:t xml:space="preserve">a diferença </w:t>
      </w:r>
      <m:oMath>
        <m:r>
          <m:rPr>
            <m:sty m:val="p"/>
          </m:rPr>
          <w:rPr>
            <w:rFonts w:ascii="Cambria Math" w:eastAsiaTheme="minorEastAsia" w:hAnsi="Cambria Math" w:cs="Times New Roman"/>
            <w:sz w:val="24"/>
            <w:szCs w:val="24"/>
            <w:lang w:eastAsia="pt-BR"/>
          </w:rPr>
          <m:t>Δ</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T</m:t>
            </m:r>
          </m:sub>
        </m:sSub>
      </m:oMath>
      <w:r w:rsidR="000D2C43" w:rsidRPr="006114D7">
        <w:rPr>
          <w:rFonts w:ascii="Times New Roman" w:eastAsiaTheme="minorEastAsia" w:hAnsi="Times New Roman" w:cs="Times New Roman"/>
          <w:sz w:val="24"/>
          <w:szCs w:val="24"/>
          <w:lang w:eastAsia="pt-BR"/>
        </w:rPr>
        <w:t xml:space="preserve"> </w:t>
      </w:r>
      <w:r w:rsidR="00C85F7F" w:rsidRPr="006114D7">
        <w:rPr>
          <w:rFonts w:ascii="Times New Roman" w:eastAsiaTheme="minorEastAsia" w:hAnsi="Times New Roman" w:cs="Times New Roman"/>
          <w:sz w:val="24"/>
          <w:szCs w:val="24"/>
          <w:lang w:eastAsia="pt-BR"/>
        </w:rPr>
        <w:t xml:space="preserve">se torna positiva, </w:t>
      </w:r>
      <m:oMath>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r>
          <w:rPr>
            <w:rFonts w:ascii="Cambria Math" w:eastAsiaTheme="minorEastAsia" w:hAnsi="Cambria Math" w:cs="Times New Roman"/>
            <w:sz w:val="24"/>
            <w:szCs w:val="24"/>
            <w:lang w:eastAsia="pt-BR"/>
          </w:rPr>
          <m:t>=inf</m:t>
        </m:r>
        <m:d>
          <m:dPr>
            <m:begChr m:val="{"/>
            <m:endChr m:val="}"/>
            <m:ctrlPr>
              <w:rPr>
                <w:rFonts w:ascii="Cambria Math" w:eastAsiaTheme="minorEastAsia" w:hAnsi="Cambria Math" w:cs="Times New Roman"/>
                <w:i/>
                <w:sz w:val="24"/>
                <w:szCs w:val="24"/>
                <w:lang w:eastAsia="pt-BR"/>
              </w:rPr>
            </m:ctrlPr>
          </m:dPr>
          <m:e>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e>
            </m:d>
            <m:r>
              <w:rPr>
                <w:rFonts w:ascii="Cambria Math" w:eastAsiaTheme="minorEastAsia" w:hAnsi="Cambria Math" w:cs="Times New Roman"/>
                <w:sz w:val="24"/>
                <w:szCs w:val="24"/>
                <w:lang w:eastAsia="pt-BR"/>
              </w:rPr>
              <m:t xml:space="preserv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ξ,</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ξ,</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,T</m:t>
                </m:r>
              </m:sub>
            </m:sSub>
          </m:e>
        </m:d>
      </m:oMath>
      <w:r w:rsidR="00C85F7F" w:rsidRPr="006114D7">
        <w:rPr>
          <w:rFonts w:ascii="Times New Roman" w:eastAsiaTheme="minorEastAsia" w:hAnsi="Times New Roman" w:cs="Times New Roman"/>
          <w:sz w:val="24"/>
          <w:szCs w:val="24"/>
          <w:lang w:eastAsia="pt-BR"/>
        </w:rPr>
        <w:t>.</w:t>
      </w:r>
      <w:r w:rsidR="006065F1">
        <w:rPr>
          <w:rFonts w:ascii="Times New Roman" w:eastAsiaTheme="minorEastAsia" w:hAnsi="Times New Roman" w:cs="Times New Roman"/>
          <w:sz w:val="24"/>
          <w:szCs w:val="24"/>
          <w:lang w:eastAsia="pt-BR"/>
        </w:rPr>
        <w:t xml:space="preserve"> </w:t>
      </w:r>
      <w:r w:rsidR="00AD7B39" w:rsidRPr="006114D7">
        <w:rPr>
          <w:rFonts w:ascii="Times New Roman" w:eastAsiaTheme="minorEastAsia" w:hAnsi="Times New Roman" w:cs="Times New Roman"/>
          <w:sz w:val="24"/>
          <w:szCs w:val="24"/>
          <w:lang w:eastAsia="pt-BR"/>
        </w:rPr>
        <w:t xml:space="preserve">Isto reforça </w:t>
      </w:r>
      <w:r w:rsidR="000D2C43" w:rsidRPr="006114D7">
        <w:rPr>
          <w:rFonts w:ascii="Times New Roman" w:eastAsiaTheme="minorEastAsia" w:hAnsi="Times New Roman" w:cs="Times New Roman"/>
          <w:sz w:val="24"/>
          <w:szCs w:val="24"/>
          <w:lang w:eastAsia="pt-BR"/>
        </w:rPr>
        <w:t xml:space="preserve">a proposta inicial de que, 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0D2C43" w:rsidRPr="006114D7">
        <w:rPr>
          <w:rFonts w:ascii="Times New Roman" w:eastAsiaTheme="minorEastAsia" w:hAnsi="Times New Roman" w:cs="Times New Roman"/>
          <w:sz w:val="24"/>
          <w:szCs w:val="24"/>
          <w:lang w:eastAsia="pt-BR"/>
        </w:rPr>
        <w:t xml:space="preserve"> tê</w:t>
      </w:r>
      <w:r w:rsidR="00AD7B39" w:rsidRPr="006114D7">
        <w:rPr>
          <w:rFonts w:ascii="Times New Roman" w:eastAsiaTheme="minorEastAsia" w:hAnsi="Times New Roman" w:cs="Times New Roman"/>
          <w:sz w:val="24"/>
          <w:szCs w:val="24"/>
          <w:lang w:eastAsia="pt-BR"/>
        </w:rPr>
        <w:t xml:space="preserve">m benefícios em situações de dificuldades financeiras, enquanto o banco não tem poder de escolha sobre o </w:t>
      </w:r>
      <w:r w:rsidR="000D2C43" w:rsidRPr="006114D7">
        <w:rPr>
          <w:rFonts w:ascii="Times New Roman" w:eastAsiaTheme="minorEastAsia" w:hAnsi="Times New Roman" w:cs="Times New Roman"/>
          <w:sz w:val="24"/>
          <w:szCs w:val="24"/>
          <w:lang w:eastAsia="pt-BR"/>
        </w:rPr>
        <w:t>risco que irá</w:t>
      </w:r>
      <w:r w:rsidR="00AD7B39" w:rsidRPr="006114D7">
        <w:rPr>
          <w:rFonts w:ascii="Times New Roman" w:eastAsiaTheme="minorEastAsia" w:hAnsi="Times New Roman" w:cs="Times New Roman"/>
          <w:sz w:val="24"/>
          <w:szCs w:val="24"/>
          <w:lang w:eastAsia="pt-BR"/>
        </w:rPr>
        <w:t xml:space="preserve"> assumir, ou seja, até que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oMath>
      <w:r w:rsidR="00AD7B39" w:rsidRPr="006114D7">
        <w:rPr>
          <w:rFonts w:ascii="Times New Roman" w:eastAsiaTheme="minorEastAsia" w:hAnsi="Times New Roman" w:cs="Times New Roman"/>
          <w:sz w:val="24"/>
          <w:szCs w:val="24"/>
          <w:lang w:eastAsia="pt-BR"/>
        </w:rPr>
        <w:t>. Porém</w:t>
      </w:r>
      <w:r w:rsidR="000D2C43" w:rsidRPr="006114D7">
        <w:rPr>
          <w:rFonts w:ascii="Times New Roman" w:eastAsiaTheme="minorEastAsia" w:hAnsi="Times New Roman" w:cs="Times New Roman"/>
          <w:sz w:val="24"/>
          <w:szCs w:val="24"/>
          <w:lang w:eastAsia="pt-BR"/>
        </w:rPr>
        <w:t>,</w:t>
      </w:r>
      <w:r w:rsidR="00AD7B39" w:rsidRPr="006114D7">
        <w:rPr>
          <w:rFonts w:ascii="Times New Roman" w:eastAsiaTheme="minorEastAsia" w:hAnsi="Times New Roman" w:cs="Times New Roman"/>
          <w:sz w:val="24"/>
          <w:szCs w:val="24"/>
          <w:lang w:eastAsia="pt-BR"/>
        </w:rPr>
        <w:t xml:space="preserve"> em ambientes não regulamentados ou com regulamentação fraca, as probabilidade de dificuldades financeiras aumentam na mesma proporção que o risco tomado</w:t>
      </w:r>
      <w:r w:rsidR="000D2C43" w:rsidRPr="006114D7">
        <w:rPr>
          <w:rFonts w:ascii="Times New Roman" w:eastAsiaTheme="minorEastAsia" w:hAnsi="Times New Roman" w:cs="Times New Roman"/>
          <w:sz w:val="24"/>
          <w:szCs w:val="24"/>
          <w:lang w:eastAsia="pt-BR"/>
        </w:rPr>
        <w:t>,</w:t>
      </w:r>
      <w:r w:rsidR="00AD7B39" w:rsidRPr="006114D7">
        <w:rPr>
          <w:rFonts w:ascii="Times New Roman" w:eastAsiaTheme="minorEastAsia" w:hAnsi="Times New Roman" w:cs="Times New Roman"/>
          <w:sz w:val="24"/>
          <w:szCs w:val="24"/>
          <w:lang w:eastAsia="pt-BR"/>
        </w:rPr>
        <w:t xml:space="preserve"> e acabam por compensar os efeitos benéficos iniciais</w:t>
      </w:r>
      <w:r w:rsidR="00722B75" w:rsidRPr="006114D7">
        <w:rPr>
          <w:rFonts w:ascii="Times New Roman" w:eastAsiaTheme="minorEastAsia" w:hAnsi="Times New Roman" w:cs="Times New Roman"/>
          <w:sz w:val="24"/>
          <w:szCs w:val="24"/>
          <w:lang w:eastAsia="pt-BR"/>
        </w:rPr>
        <w:t xml:space="preserve"> e</w:t>
      </w:r>
      <w:r w:rsidR="000D2C43" w:rsidRPr="006114D7">
        <w:rPr>
          <w:rFonts w:ascii="Times New Roman" w:eastAsiaTheme="minorEastAsia" w:hAnsi="Times New Roman" w:cs="Times New Roman"/>
          <w:sz w:val="24"/>
          <w:szCs w:val="24"/>
          <w:lang w:eastAsia="pt-BR"/>
        </w:rPr>
        <w:t>,</w:t>
      </w:r>
      <w:r w:rsidR="00722B75" w:rsidRPr="006114D7">
        <w:rPr>
          <w:rFonts w:ascii="Times New Roman" w:eastAsiaTheme="minorEastAsia" w:hAnsi="Times New Roman" w:cs="Times New Roman"/>
          <w:sz w:val="24"/>
          <w:szCs w:val="24"/>
          <w:lang w:eastAsia="pt-BR"/>
        </w:rPr>
        <w:t xml:space="preserve"> o limite crítico para crescimento do risco</w:t>
      </w:r>
      <w:r w:rsidR="000D2C43" w:rsidRPr="006114D7">
        <w:rPr>
          <w:rFonts w:ascii="Times New Roman" w:eastAsiaTheme="minorEastAsia" w:hAnsi="Times New Roman" w:cs="Times New Roman"/>
          <w:sz w:val="24"/>
          <w:szCs w:val="24"/>
          <w:lang w:eastAsia="pt-BR"/>
        </w:rPr>
        <w:t xml:space="preserve"> é</w:t>
      </w:r>
      <w:r w:rsidR="00722B75" w:rsidRPr="006114D7">
        <w:rPr>
          <w:rFonts w:ascii="Times New Roman" w:eastAsiaTheme="minorEastAsia" w:hAnsi="Times New Roman" w:cs="Times New Roman"/>
          <w:sz w:val="24"/>
          <w:szCs w:val="24"/>
          <w:lang w:eastAsia="pt-BR"/>
        </w:rPr>
        <w:t xml:space="preserve"> exatamente o </w:t>
      </w:r>
      <m:oMath>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r w:rsidR="00722B75" w:rsidRPr="006114D7">
        <w:rPr>
          <w:rFonts w:ascii="Times New Roman" w:eastAsiaTheme="minorEastAsia" w:hAnsi="Times New Roman" w:cs="Times New Roman"/>
          <w:sz w:val="24"/>
          <w:szCs w:val="24"/>
          <w:lang w:eastAsia="pt-BR"/>
        </w:rPr>
        <w:t xml:space="preserve">, acima do qual o banco de fato passa a sofrer com dificuldades financeiras, </w:t>
      </w:r>
      <w:r w:rsidR="00CA668B">
        <w:rPr>
          <w:rFonts w:ascii="Times New Roman" w:eastAsiaTheme="minorEastAsia" w:hAnsi="Times New Roman" w:cs="Times New Roman"/>
          <w:sz w:val="24"/>
          <w:szCs w:val="24"/>
          <w:lang w:eastAsia="pt-BR"/>
        </w:rPr>
        <w:t>o</w:t>
      </w:r>
      <w:r w:rsidR="00061FA4" w:rsidRPr="006114D7">
        <w:rPr>
          <w:rFonts w:ascii="Times New Roman" w:eastAsiaTheme="minorEastAsia" w:hAnsi="Times New Roman" w:cs="Times New Roman"/>
          <w:sz w:val="24"/>
          <w:szCs w:val="24"/>
          <w:lang w:eastAsia="pt-BR"/>
        </w:rPr>
        <w:t xml:space="preserve">u seja, existem níveis de risco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oMath>
      <w:r w:rsidR="00061FA4" w:rsidRPr="006114D7">
        <w:rPr>
          <w:rFonts w:ascii="Times New Roman" w:eastAsiaTheme="minorEastAsia" w:hAnsi="Times New Roman" w:cs="Times New Roman"/>
          <w:sz w:val="24"/>
          <w:szCs w:val="24"/>
          <w:lang w:eastAsia="pt-BR"/>
        </w:rPr>
        <w:t xml:space="preserve">, para as quais 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061FA4" w:rsidRPr="006114D7">
        <w:rPr>
          <w:rFonts w:ascii="Times New Roman" w:eastAsiaTheme="minorEastAsia" w:hAnsi="Times New Roman" w:cs="Times New Roman"/>
          <w:sz w:val="24"/>
          <w:szCs w:val="24"/>
          <w:lang w:eastAsia="pt-BR"/>
        </w:rPr>
        <w:t xml:space="preserve"> são uma ótima estratégia </w:t>
      </w:r>
      <w:proofErr w:type="spellStart"/>
      <w:r w:rsidR="00061FA4" w:rsidRPr="006114D7">
        <w:rPr>
          <w:rFonts w:ascii="Times New Roman" w:eastAsiaTheme="minorEastAsia" w:hAnsi="Times New Roman" w:cs="Times New Roman"/>
          <w:sz w:val="24"/>
          <w:szCs w:val="24"/>
          <w:lang w:eastAsia="pt-BR"/>
        </w:rPr>
        <w:t>ex-ante</w:t>
      </w:r>
      <w:proofErr w:type="spellEnd"/>
      <w:r w:rsidR="00061FA4" w:rsidRPr="006114D7">
        <w:rPr>
          <w:rFonts w:ascii="Times New Roman" w:eastAsiaTheme="minorEastAsia" w:hAnsi="Times New Roman" w:cs="Times New Roman"/>
          <w:sz w:val="24"/>
          <w:szCs w:val="24"/>
          <w:lang w:eastAsia="pt-BR"/>
        </w:rPr>
        <w:t>, aumentando o valor do banco, mas com uma maior probabilidade de default em relação às dívidas subordinadas.</w:t>
      </w:r>
      <w:r w:rsidR="00384325">
        <w:rPr>
          <w:rFonts w:ascii="Times New Roman" w:eastAsiaTheme="minorEastAsia" w:hAnsi="Times New Roman" w:cs="Times New Roman"/>
          <w:sz w:val="24"/>
          <w:szCs w:val="24"/>
          <w:lang w:eastAsia="pt-BR"/>
        </w:rPr>
        <w:t xml:space="preserve"> </w:t>
      </w:r>
      <w:r w:rsidR="002F3BBB">
        <w:rPr>
          <w:rFonts w:ascii="Times New Roman" w:eastAsiaTheme="minorEastAsia" w:hAnsi="Times New Roman" w:cs="Times New Roman"/>
          <w:sz w:val="24"/>
          <w:szCs w:val="24"/>
          <w:lang w:eastAsia="pt-BR"/>
        </w:rPr>
        <w:t>Para o Banco do Brasil</w:t>
      </w:r>
      <w:r w:rsidR="000D2C43" w:rsidRPr="006114D7">
        <w:rPr>
          <w:rFonts w:ascii="Times New Roman" w:eastAsiaTheme="minorEastAsia" w:hAnsi="Times New Roman" w:cs="Times New Roman"/>
          <w:sz w:val="24"/>
          <w:szCs w:val="24"/>
          <w:lang w:eastAsia="pt-BR"/>
        </w:rPr>
        <w:t>:</w:t>
      </w:r>
      <w:r w:rsidR="005763E5">
        <w:rPr>
          <w:rFonts w:ascii="Times New Roman" w:eastAsiaTheme="minorEastAsia" w:hAnsi="Times New Roman" w:cs="Times New Roman"/>
          <w:sz w:val="24"/>
          <w:szCs w:val="24"/>
          <w:lang w:eastAsia="pt-BR"/>
        </w:rPr>
        <w:t xml:space="preserv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oMath>
      <w:r w:rsidR="000D2C43" w:rsidRPr="006114D7">
        <w:rPr>
          <w:rFonts w:ascii="Times New Roman" w:eastAsiaTheme="minorEastAsia" w:hAnsi="Times New Roman" w:cs="Times New Roman"/>
          <w:sz w:val="24"/>
          <w:szCs w:val="24"/>
          <w:lang w:eastAsia="pt-BR"/>
        </w:rPr>
        <w:t>0.11196323</w:t>
      </w:r>
      <w:r w:rsidR="005763E5">
        <w:rPr>
          <w:rFonts w:ascii="Times New Roman" w:eastAsiaTheme="minorEastAsia" w:hAnsi="Times New Roman" w:cs="Times New Roman"/>
          <w:sz w:val="24"/>
          <w:szCs w:val="24"/>
          <w:lang w:eastAsia="pt-BR"/>
        </w:rPr>
        <w:t xml:space="preserv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oMath>
      <w:r w:rsidR="000D2C43" w:rsidRPr="006114D7">
        <w:rPr>
          <w:rFonts w:ascii="Times New Roman" w:eastAsiaTheme="minorEastAsia" w:hAnsi="Times New Roman" w:cs="Times New Roman"/>
          <w:sz w:val="24"/>
          <w:szCs w:val="24"/>
          <w:lang w:eastAsia="pt-BR"/>
        </w:rPr>
        <w:t xml:space="preserve"> 0.12068323</w:t>
      </w:r>
      <w:r w:rsidR="005763E5">
        <w:rPr>
          <w:rFonts w:ascii="Times New Roman" w:eastAsiaTheme="minorEastAsia" w:hAnsi="Times New Roman" w:cs="Times New Roman"/>
          <w:sz w:val="24"/>
          <w:szCs w:val="24"/>
          <w:lang w:eastAsia="pt-BR"/>
        </w:rPr>
        <w:t xml:space="preserve">, </w:t>
      </w:r>
      <m:oMath>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r>
          <w:rPr>
            <w:rFonts w:ascii="Cambria Math" w:eastAsiaTheme="minorEastAsia" w:hAnsi="Cambria Math" w:cs="Times New Roman"/>
            <w:sz w:val="24"/>
            <w:szCs w:val="24"/>
            <w:lang w:eastAsia="pt-BR"/>
          </w:rPr>
          <m:t>=</m:t>
        </m:r>
      </m:oMath>
      <w:r w:rsidR="000D2C43" w:rsidRPr="006114D7">
        <w:rPr>
          <w:rFonts w:ascii="Times New Roman" w:eastAsiaTheme="minorEastAsia" w:hAnsi="Times New Roman" w:cs="Times New Roman"/>
          <w:sz w:val="24"/>
          <w:szCs w:val="24"/>
          <w:lang w:eastAsia="pt-BR"/>
        </w:rPr>
        <w:t>0.12283679</w:t>
      </w:r>
      <w:r w:rsidR="005763E5">
        <w:rPr>
          <w:rFonts w:ascii="Times New Roman" w:eastAsiaTheme="minorEastAsia" w:hAnsi="Times New Roman" w:cs="Times New Roman"/>
          <w:sz w:val="24"/>
          <w:szCs w:val="24"/>
          <w:lang w:eastAsia="pt-BR"/>
        </w:rPr>
        <w:t>.</w:t>
      </w:r>
      <w:r w:rsidR="00384325">
        <w:rPr>
          <w:rFonts w:ascii="Times New Roman" w:eastAsiaTheme="minorEastAsia" w:hAnsi="Times New Roman" w:cs="Times New Roman"/>
          <w:sz w:val="24"/>
          <w:szCs w:val="24"/>
          <w:lang w:eastAsia="pt-BR"/>
        </w:rPr>
        <w:t xml:space="preserve"> </w:t>
      </w:r>
      <w:r w:rsidR="000D2C43" w:rsidRPr="006114D7">
        <w:rPr>
          <w:rFonts w:ascii="Times New Roman" w:eastAsiaTheme="minorEastAsia" w:hAnsi="Times New Roman" w:cs="Times New Roman"/>
          <w:sz w:val="24"/>
          <w:szCs w:val="24"/>
          <w:lang w:eastAsia="pt-BR"/>
        </w:rPr>
        <w:t xml:space="preserve">Isto significa que o banco tem um risco de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σ</m:t>
            </m:r>
          </m:e>
          <m:sub>
            <m:r>
              <m:rPr>
                <m:sty m:val="p"/>
              </m:rPr>
              <w:rPr>
                <w:rFonts w:ascii="Cambria Math" w:eastAsiaTheme="minorEastAsia" w:hAnsi="Cambria Math" w:cs="Times New Roman"/>
                <w:sz w:val="24"/>
                <w:szCs w:val="24"/>
                <w:lang w:eastAsia="pt-BR"/>
              </w:rPr>
              <m:t>l</m:t>
            </m:r>
          </m:sub>
        </m:sSub>
        <m:r>
          <m:rPr>
            <m:sty m:val="p"/>
          </m:rPr>
          <w:rPr>
            <w:rFonts w:ascii="Cambria Math" w:eastAsiaTheme="minorEastAsia" w:hAnsi="Cambria Math" w:cs="Times New Roman"/>
            <w:sz w:val="24"/>
            <w:szCs w:val="24"/>
            <w:lang w:eastAsia="pt-BR"/>
          </w:rPr>
          <m:t>=</m:t>
        </m:r>
      </m:oMath>
      <w:r w:rsidR="000D2C43" w:rsidRPr="006114D7">
        <w:rPr>
          <w:rFonts w:ascii="Times New Roman" w:eastAsiaTheme="minorEastAsia" w:hAnsi="Times New Roman" w:cs="Times New Roman"/>
          <w:sz w:val="24"/>
          <w:szCs w:val="24"/>
          <w:lang w:eastAsia="pt-BR"/>
        </w:rPr>
        <w:t>0.11196323 e pode aumentar</w:t>
      </w:r>
      <w:r w:rsidR="00061FA4" w:rsidRPr="006114D7">
        <w:rPr>
          <w:rFonts w:ascii="Times New Roman" w:eastAsiaTheme="minorEastAsia" w:hAnsi="Times New Roman" w:cs="Times New Roman"/>
          <w:sz w:val="24"/>
          <w:szCs w:val="24"/>
          <w:lang w:eastAsia="pt-BR"/>
        </w:rPr>
        <w:t xml:space="preserve"> esse risco até </w:t>
      </w:r>
      <m:oMath>
        <m:sSub>
          <m:sSubPr>
            <m:ctrlPr>
              <w:rPr>
                <w:rFonts w:ascii="Cambria Math" w:eastAsiaTheme="minorEastAsia" w:hAnsi="Cambria Math" w:cs="Times New Roman"/>
                <w:sz w:val="24"/>
                <w:szCs w:val="24"/>
                <w:lang w:eastAsia="pt-BR"/>
              </w:rPr>
            </m:ctrlPr>
          </m:sSubPr>
          <m:e>
            <m:r>
              <m:rPr>
                <m:sty m:val="p"/>
              </m:rPr>
              <w:rPr>
                <w:rFonts w:ascii="Cambria Math" w:eastAsiaTheme="minorEastAsia" w:hAnsi="Cambria Math" w:cs="Times New Roman"/>
                <w:sz w:val="24"/>
                <w:szCs w:val="24"/>
                <w:lang w:eastAsia="pt-BR"/>
              </w:rPr>
              <m:t>σ</m:t>
            </m:r>
          </m:e>
          <m:sub>
            <m:r>
              <m:rPr>
                <m:sty m:val="p"/>
              </m:rPr>
              <w:rPr>
                <w:rFonts w:ascii="Cambria Math" w:eastAsiaTheme="minorEastAsia" w:hAnsi="Cambria Math" w:cs="Times New Roman"/>
                <w:sz w:val="24"/>
                <w:szCs w:val="24"/>
                <w:lang w:eastAsia="pt-BR"/>
              </w:rPr>
              <m:t>h</m:t>
            </m:r>
          </m:sub>
        </m:sSub>
        <m:r>
          <m:rPr>
            <m:sty m:val="p"/>
          </m:rPr>
          <w:rPr>
            <w:rFonts w:ascii="Cambria Math" w:eastAsiaTheme="minorEastAsia" w:hAnsi="Cambria Math" w:cs="Times New Roman"/>
            <w:sz w:val="24"/>
            <w:szCs w:val="24"/>
            <w:lang w:eastAsia="pt-BR"/>
          </w:rPr>
          <m:t>=</m:t>
        </m:r>
      </m:oMath>
      <w:r w:rsidR="00061FA4" w:rsidRPr="006114D7">
        <w:rPr>
          <w:rFonts w:ascii="Times New Roman" w:eastAsiaTheme="minorEastAsia" w:hAnsi="Times New Roman" w:cs="Times New Roman"/>
          <w:sz w:val="24"/>
          <w:szCs w:val="24"/>
          <w:lang w:eastAsia="pt-BR"/>
        </w:rPr>
        <w:t xml:space="preserve"> 0.12068323, ainda sem sofrer dificuldades financeiras, mas com maior probabilidade de inadimplência. E que seu limite de tomada de riscos é </w:t>
      </w:r>
      <m:oMath>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r>
          <w:rPr>
            <w:rFonts w:ascii="Cambria Math" w:eastAsiaTheme="minorEastAsia" w:hAnsi="Cambria Math" w:cs="Times New Roman"/>
            <w:sz w:val="24"/>
            <w:szCs w:val="24"/>
            <w:lang w:eastAsia="pt-BR"/>
          </w:rPr>
          <m:t>=</m:t>
        </m:r>
      </m:oMath>
      <w:r w:rsidR="00061FA4" w:rsidRPr="006114D7">
        <w:rPr>
          <w:rFonts w:ascii="Times New Roman" w:eastAsiaTheme="minorEastAsia" w:hAnsi="Times New Roman" w:cs="Times New Roman"/>
          <w:sz w:val="24"/>
          <w:szCs w:val="24"/>
          <w:lang w:eastAsia="pt-BR"/>
        </w:rPr>
        <w:t>0.12283679, onde passa a sofrer com dificuldades financeiras.</w:t>
      </w:r>
      <w:r w:rsidR="00682BEB">
        <w:rPr>
          <w:rFonts w:ascii="Times New Roman" w:eastAsiaTheme="minorEastAsia" w:hAnsi="Times New Roman" w:cs="Times New Roman"/>
          <w:sz w:val="24"/>
          <w:szCs w:val="24"/>
          <w:lang w:eastAsia="pt-BR"/>
        </w:rPr>
        <w:t xml:space="preserve"> </w:t>
      </w:r>
    </w:p>
    <w:p w:rsidR="00EC5694" w:rsidRDefault="00B1239B" w:rsidP="002F3BBB">
      <w:pPr>
        <w:spacing w:after="12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lang w:eastAsia="pt-BR"/>
        </w:rPr>
        <w:t>Assim</w:t>
      </w:r>
      <w:r w:rsidR="00E151EA" w:rsidRPr="006114D7">
        <w:rPr>
          <w:rFonts w:ascii="Times New Roman" w:eastAsiaTheme="minorEastAsia" w:hAnsi="Times New Roman" w:cs="Times New Roman"/>
          <w:sz w:val="24"/>
          <w:szCs w:val="24"/>
          <w:lang w:eastAsia="pt-BR"/>
        </w:rPr>
        <w:t xml:space="preserve">, temos evidências sugestivas de que, em um ambiente sem regulamentações rígidas, o Banco do Brasil tem incentivo para tomar mais riscos em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E151EA" w:rsidRPr="006114D7">
        <w:rPr>
          <w:rFonts w:ascii="Times New Roman" w:eastAsiaTheme="minorEastAsia" w:hAnsi="Times New Roman" w:cs="Times New Roman"/>
          <w:sz w:val="24"/>
          <w:szCs w:val="24"/>
          <w:lang w:eastAsia="pt-BR"/>
        </w:rPr>
        <w:t>, e que existe um limite</w:t>
      </w:r>
      <w:r w:rsidR="00BD6273" w:rsidRPr="006114D7">
        <w:rPr>
          <w:rFonts w:ascii="Times New Roman" w:eastAsiaTheme="minorEastAsia" w:hAnsi="Times New Roman" w:cs="Times New Roman"/>
          <w:sz w:val="24"/>
          <w:szCs w:val="24"/>
          <w:lang w:eastAsia="pt-BR"/>
        </w:rPr>
        <w:t xml:space="preserve"> de risco,</w:t>
      </w:r>
      <w:r w:rsidR="00E151EA" w:rsidRPr="006114D7">
        <w:rPr>
          <w:rFonts w:ascii="Times New Roman" w:eastAsiaTheme="minorEastAsia" w:hAnsi="Times New Roman" w:cs="Times New Roman"/>
          <w:sz w:val="24"/>
          <w:szCs w:val="24"/>
          <w:lang w:eastAsia="pt-BR"/>
        </w:rPr>
        <w:t xml:space="preserve"> a partir do qual o banco passará a sofrer com dificuldades financeiras.</w:t>
      </w:r>
      <w:r w:rsidR="002F3BBB">
        <w:rPr>
          <w:rFonts w:ascii="Times New Roman" w:eastAsiaTheme="minorEastAsia" w:hAnsi="Times New Roman" w:cs="Times New Roman"/>
          <w:sz w:val="24"/>
          <w:szCs w:val="24"/>
          <w:lang w:eastAsia="pt-BR"/>
        </w:rPr>
        <w:t xml:space="preserve"> </w:t>
      </w:r>
      <w:r>
        <w:rPr>
          <w:rFonts w:ascii="Times New Roman" w:eastAsiaTheme="minorEastAsia" w:hAnsi="Times New Roman" w:cs="Times New Roman"/>
          <w:sz w:val="24"/>
          <w:szCs w:val="24"/>
          <w:lang w:eastAsia="pt-BR"/>
        </w:rPr>
        <w:t xml:space="preserve">Vamos analisar </w:t>
      </w:r>
      <w:r w:rsidR="00BD6273" w:rsidRPr="006114D7">
        <w:rPr>
          <w:rFonts w:ascii="Times New Roman" w:eastAsiaTheme="minorEastAsia" w:hAnsi="Times New Roman" w:cs="Times New Roman"/>
          <w:sz w:val="24"/>
          <w:szCs w:val="24"/>
          <w:lang w:eastAsia="pt-BR"/>
        </w:rPr>
        <w:t>os outros bancos da amostra.</w:t>
      </w:r>
      <w:r w:rsidR="00E151EA" w:rsidRPr="006114D7">
        <w:rPr>
          <w:rFonts w:ascii="Times New Roman" w:hAnsi="Times New Roman" w:cs="Times New Roman"/>
          <w:sz w:val="24"/>
          <w:szCs w:val="24"/>
        </w:rPr>
        <w:t xml:space="preserve"> </w:t>
      </w:r>
    </w:p>
    <w:p w:rsidR="00775B2C" w:rsidRPr="000910A2" w:rsidRDefault="00775B2C" w:rsidP="00FF5024">
      <w:pPr>
        <w:pStyle w:val="PargrafodaLista"/>
        <w:keepNext/>
        <w:keepLines/>
        <w:numPr>
          <w:ilvl w:val="0"/>
          <w:numId w:val="20"/>
        </w:numPr>
        <w:spacing w:after="120" w:line="240" w:lineRule="auto"/>
        <w:ind w:left="450" w:hanging="450"/>
        <w:outlineLvl w:val="0"/>
        <w:rPr>
          <w:rFonts w:ascii="Times New Roman" w:eastAsiaTheme="majorEastAsia" w:hAnsi="Times New Roman" w:cs="Times New Roman"/>
          <w:b/>
          <w:bCs/>
          <w:sz w:val="24"/>
          <w:szCs w:val="28"/>
        </w:rPr>
      </w:pPr>
      <w:bookmarkStart w:id="26" w:name="_Toc390075553"/>
      <w:r w:rsidRPr="000910A2">
        <w:rPr>
          <w:rFonts w:ascii="Times New Roman" w:eastAsiaTheme="majorEastAsia" w:hAnsi="Times New Roman" w:cs="Times New Roman"/>
          <w:b/>
          <w:bCs/>
          <w:sz w:val="24"/>
          <w:szCs w:val="28"/>
        </w:rPr>
        <w:t>A</w:t>
      </w:r>
      <w:r w:rsidR="00900BED">
        <w:rPr>
          <w:rFonts w:ascii="Times New Roman" w:eastAsiaTheme="majorEastAsia" w:hAnsi="Times New Roman" w:cs="Times New Roman"/>
          <w:b/>
          <w:bCs/>
          <w:sz w:val="24"/>
          <w:szCs w:val="28"/>
        </w:rPr>
        <w:t>MOSTRA</w:t>
      </w:r>
      <w:r w:rsidRPr="000910A2">
        <w:rPr>
          <w:rFonts w:ascii="Times New Roman" w:eastAsiaTheme="majorEastAsia" w:hAnsi="Times New Roman" w:cs="Times New Roman"/>
          <w:b/>
          <w:bCs/>
          <w:sz w:val="24"/>
          <w:szCs w:val="28"/>
        </w:rPr>
        <w:t xml:space="preserve"> </w:t>
      </w:r>
      <w:bookmarkEnd w:id="26"/>
      <w:r w:rsidR="00900BED">
        <w:rPr>
          <w:rFonts w:ascii="Times New Roman" w:eastAsiaTheme="majorEastAsia" w:hAnsi="Times New Roman" w:cs="Times New Roman"/>
          <w:b/>
          <w:bCs/>
          <w:sz w:val="24"/>
          <w:szCs w:val="28"/>
        </w:rPr>
        <w:t>E ESTATÍSTICA DESCRITIVA</w:t>
      </w:r>
    </w:p>
    <w:p w:rsidR="00AA4DB3" w:rsidRDefault="000D1962" w:rsidP="00FF5024">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A amostra é composta pelos</w:t>
      </w:r>
      <w:r w:rsidR="000910A2" w:rsidRPr="000910A2">
        <w:rPr>
          <w:rFonts w:ascii="Times New Roman" w:eastAsiaTheme="minorEastAsia" w:hAnsi="Times New Roman" w:cs="Times New Roman"/>
          <w:sz w:val="24"/>
          <w:szCs w:val="24"/>
          <w:lang w:eastAsia="pt-BR"/>
        </w:rPr>
        <w:t xml:space="preserve"> bancos</w:t>
      </w:r>
      <w:r>
        <w:rPr>
          <w:rFonts w:ascii="Times New Roman" w:eastAsiaTheme="minorEastAsia" w:hAnsi="Times New Roman" w:cs="Times New Roman"/>
          <w:sz w:val="24"/>
          <w:szCs w:val="24"/>
          <w:lang w:eastAsia="pt-BR"/>
        </w:rPr>
        <w:t xml:space="preserve"> do Consolidado </w:t>
      </w:r>
      <w:r w:rsidR="003C0DD1">
        <w:rPr>
          <w:rFonts w:ascii="Times New Roman" w:eastAsiaTheme="minorEastAsia" w:hAnsi="Times New Roman" w:cs="Times New Roman"/>
          <w:sz w:val="24"/>
          <w:szCs w:val="24"/>
          <w:lang w:eastAsia="pt-BR"/>
        </w:rPr>
        <w:t>Financeiro</w:t>
      </w:r>
      <w:r>
        <w:rPr>
          <w:rFonts w:ascii="Times New Roman" w:eastAsiaTheme="minorEastAsia" w:hAnsi="Times New Roman" w:cs="Times New Roman"/>
          <w:sz w:val="24"/>
          <w:szCs w:val="24"/>
          <w:lang w:eastAsia="pt-BR"/>
        </w:rPr>
        <w:t xml:space="preserve"> I</w:t>
      </w:r>
      <w:r w:rsidR="000910A2" w:rsidRPr="000910A2">
        <w:rPr>
          <w:rFonts w:ascii="Times New Roman" w:eastAsiaTheme="minorEastAsia" w:hAnsi="Times New Roman" w:cs="Times New Roman"/>
          <w:sz w:val="24"/>
          <w:szCs w:val="24"/>
          <w:lang w:eastAsia="pt-BR"/>
        </w:rPr>
        <w:t xml:space="preserve"> do Sistema Financeiro Nacional (SFN)</w:t>
      </w:r>
      <w:r w:rsidR="00650E55">
        <w:rPr>
          <w:rFonts w:ascii="Times New Roman" w:eastAsiaTheme="minorEastAsia" w:hAnsi="Times New Roman" w:cs="Times New Roman"/>
          <w:sz w:val="24"/>
          <w:szCs w:val="24"/>
          <w:lang w:eastAsia="pt-BR"/>
        </w:rPr>
        <w:t xml:space="preserve"> do Brasil</w:t>
      </w:r>
      <w:r w:rsidR="003C0DD1">
        <w:rPr>
          <w:rFonts w:ascii="Times New Roman" w:eastAsiaTheme="minorEastAsia" w:hAnsi="Times New Roman" w:cs="Times New Roman"/>
          <w:sz w:val="24"/>
          <w:szCs w:val="24"/>
          <w:lang w:eastAsia="pt-BR"/>
        </w:rPr>
        <w:t>,</w:t>
      </w:r>
      <w:r>
        <w:rPr>
          <w:rFonts w:ascii="Times New Roman" w:eastAsiaTheme="minorEastAsia" w:hAnsi="Times New Roman" w:cs="Times New Roman"/>
          <w:sz w:val="24"/>
          <w:szCs w:val="24"/>
          <w:lang w:eastAsia="pt-BR"/>
        </w:rPr>
        <w:t xml:space="preserve"> </w:t>
      </w:r>
      <w:r w:rsidR="000910A2" w:rsidRPr="000910A2">
        <w:rPr>
          <w:rFonts w:ascii="Times New Roman" w:eastAsiaTheme="minorEastAsia" w:hAnsi="Times New Roman" w:cs="Times New Roman"/>
          <w:sz w:val="24"/>
          <w:szCs w:val="24"/>
          <w:lang w:eastAsia="pt-BR"/>
        </w:rPr>
        <w:t>que fazem parte do Relatório de Estabilidade Financeira</w:t>
      </w:r>
      <w:r w:rsidR="003C0DD1">
        <w:rPr>
          <w:rFonts w:ascii="Times New Roman" w:eastAsiaTheme="minorEastAsia" w:hAnsi="Times New Roman" w:cs="Times New Roman"/>
          <w:sz w:val="24"/>
          <w:szCs w:val="24"/>
          <w:lang w:eastAsia="pt-BR"/>
        </w:rPr>
        <w:t xml:space="preserve"> </w:t>
      </w:r>
      <w:r w:rsidR="00AA6E51">
        <w:rPr>
          <w:rFonts w:ascii="Times New Roman" w:eastAsiaTheme="minorEastAsia" w:hAnsi="Times New Roman" w:cs="Times New Roman"/>
          <w:sz w:val="24"/>
          <w:szCs w:val="24"/>
          <w:lang w:eastAsia="pt-BR"/>
        </w:rPr>
        <w:t>e do relatório Top 50 do BACEN</w:t>
      </w:r>
      <w:r w:rsidR="003C0DD1">
        <w:rPr>
          <w:rStyle w:val="Refdenotaderodap"/>
          <w:rFonts w:ascii="Times New Roman" w:eastAsiaTheme="minorEastAsia" w:hAnsi="Times New Roman" w:cs="Times New Roman"/>
          <w:sz w:val="24"/>
          <w:szCs w:val="24"/>
          <w:lang w:eastAsia="pt-BR"/>
        </w:rPr>
        <w:footnoteReference w:id="7"/>
      </w:r>
      <w:r w:rsidR="003C0DD1">
        <w:rPr>
          <w:rFonts w:ascii="Times New Roman" w:eastAsiaTheme="minorEastAsia" w:hAnsi="Times New Roman" w:cs="Times New Roman"/>
          <w:sz w:val="24"/>
          <w:szCs w:val="24"/>
          <w:lang w:eastAsia="pt-BR"/>
        </w:rPr>
        <w:t xml:space="preserve"> </w:t>
      </w:r>
      <w:r w:rsidR="00AB79FD">
        <w:rPr>
          <w:rFonts w:ascii="Times New Roman" w:eastAsiaTheme="minorEastAsia" w:hAnsi="Times New Roman" w:cs="Times New Roman"/>
          <w:sz w:val="24"/>
          <w:szCs w:val="24"/>
          <w:lang w:eastAsia="pt-BR"/>
        </w:rPr>
        <w:t>(</w:t>
      </w:r>
      <w:r>
        <w:rPr>
          <w:rFonts w:ascii="Times New Roman" w:eastAsiaTheme="minorEastAsia" w:hAnsi="Times New Roman" w:cs="Times New Roman"/>
          <w:sz w:val="24"/>
          <w:szCs w:val="24"/>
          <w:lang w:eastAsia="pt-BR"/>
        </w:rPr>
        <w:t>96</w:t>
      </w:r>
      <w:r w:rsidR="00AB79FD">
        <w:rPr>
          <w:rFonts w:ascii="Times New Roman" w:eastAsiaTheme="minorEastAsia" w:hAnsi="Times New Roman" w:cs="Times New Roman"/>
          <w:sz w:val="24"/>
          <w:szCs w:val="24"/>
          <w:lang w:eastAsia="pt-BR"/>
        </w:rPr>
        <w:t xml:space="preserve"> instituições financeiras)</w:t>
      </w:r>
      <w:r w:rsidR="000910A2">
        <w:rPr>
          <w:rFonts w:ascii="Times New Roman" w:eastAsiaTheme="minorEastAsia" w:hAnsi="Times New Roman" w:cs="Times New Roman"/>
          <w:sz w:val="24"/>
          <w:szCs w:val="24"/>
          <w:lang w:eastAsia="pt-BR"/>
        </w:rPr>
        <w:t>.</w:t>
      </w:r>
      <w:r w:rsidR="00416B41">
        <w:rPr>
          <w:rFonts w:ascii="Times New Roman" w:eastAsiaTheme="minorEastAsia" w:hAnsi="Times New Roman" w:cs="Times New Roman"/>
          <w:sz w:val="24"/>
          <w:szCs w:val="24"/>
          <w:lang w:eastAsia="pt-BR"/>
        </w:rPr>
        <w:t xml:space="preserve"> </w:t>
      </w:r>
      <w:r w:rsidR="00D0287E">
        <w:rPr>
          <w:rFonts w:ascii="Times New Roman" w:eastAsiaTheme="minorEastAsia" w:hAnsi="Times New Roman" w:cs="Times New Roman"/>
          <w:sz w:val="24"/>
          <w:szCs w:val="24"/>
          <w:lang w:eastAsia="pt-BR"/>
        </w:rPr>
        <w:t xml:space="preserve">O período analisado vai do 1T2009 ao 4T2013, ou seja, </w:t>
      </w:r>
      <w:proofErr w:type="gramStart"/>
      <w:r w:rsidR="00D0287E">
        <w:rPr>
          <w:rFonts w:ascii="Times New Roman" w:eastAsiaTheme="minorEastAsia" w:hAnsi="Times New Roman" w:cs="Times New Roman"/>
          <w:sz w:val="24"/>
          <w:szCs w:val="24"/>
          <w:lang w:eastAsia="pt-BR"/>
        </w:rPr>
        <w:t>5</w:t>
      </w:r>
      <w:proofErr w:type="gramEnd"/>
      <w:r w:rsidR="00D0287E">
        <w:rPr>
          <w:rFonts w:ascii="Times New Roman" w:eastAsiaTheme="minorEastAsia" w:hAnsi="Times New Roman" w:cs="Times New Roman"/>
          <w:sz w:val="24"/>
          <w:szCs w:val="24"/>
          <w:lang w:eastAsia="pt-BR"/>
        </w:rPr>
        <w:t xml:space="preserve"> anos.</w:t>
      </w:r>
    </w:p>
    <w:p w:rsidR="00466344" w:rsidRDefault="00D526EB" w:rsidP="00466344">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O SFN é muito heterogêneo</w:t>
      </w:r>
      <w:r w:rsidR="00CE5756">
        <w:rPr>
          <w:rFonts w:ascii="Times New Roman" w:eastAsiaTheme="minorEastAsia" w:hAnsi="Times New Roman" w:cs="Times New Roman"/>
          <w:sz w:val="24"/>
          <w:szCs w:val="24"/>
          <w:lang w:eastAsia="pt-BR"/>
        </w:rPr>
        <w:t xml:space="preserve"> </w:t>
      </w:r>
      <w:r w:rsidR="00CE5756">
        <w:rPr>
          <w:rFonts w:ascii="Times New Roman" w:eastAsiaTheme="minorEastAsia" w:hAnsi="Times New Roman" w:cs="Times New Roman"/>
          <w:sz w:val="24"/>
          <w:szCs w:val="24"/>
          <w:lang w:eastAsia="pt-BR"/>
        </w:rPr>
        <w:tab/>
        <w:t xml:space="preserve">e </w:t>
      </w:r>
      <w:r w:rsidR="009C0C52">
        <w:rPr>
          <w:rFonts w:ascii="Times New Roman" w:eastAsiaTheme="minorEastAsia" w:hAnsi="Times New Roman" w:cs="Times New Roman"/>
          <w:sz w:val="24"/>
          <w:szCs w:val="24"/>
          <w:lang w:eastAsia="pt-BR"/>
        </w:rPr>
        <w:t>com grande concentração de ativos e patrimônio líquido</w:t>
      </w:r>
      <w:r w:rsidR="00C94380">
        <w:rPr>
          <w:rFonts w:ascii="Times New Roman" w:eastAsiaTheme="minorEastAsia" w:hAnsi="Times New Roman" w:cs="Times New Roman"/>
          <w:sz w:val="24"/>
          <w:szCs w:val="24"/>
          <w:lang w:eastAsia="pt-BR"/>
        </w:rPr>
        <w:t xml:space="preserve"> (PL)</w:t>
      </w:r>
      <w:r w:rsidR="009C0C52">
        <w:rPr>
          <w:rFonts w:ascii="Times New Roman" w:eastAsiaTheme="minorEastAsia" w:hAnsi="Times New Roman" w:cs="Times New Roman"/>
          <w:sz w:val="24"/>
          <w:szCs w:val="24"/>
          <w:lang w:eastAsia="pt-BR"/>
        </w:rPr>
        <w:t xml:space="preserve"> nos 1</w:t>
      </w:r>
      <w:r w:rsidR="000D1962">
        <w:rPr>
          <w:rFonts w:ascii="Times New Roman" w:eastAsiaTheme="minorEastAsia" w:hAnsi="Times New Roman" w:cs="Times New Roman"/>
          <w:sz w:val="24"/>
          <w:szCs w:val="24"/>
          <w:lang w:eastAsia="pt-BR"/>
        </w:rPr>
        <w:t>0</w:t>
      </w:r>
      <w:r w:rsidR="009C0C52">
        <w:rPr>
          <w:rFonts w:ascii="Times New Roman" w:eastAsiaTheme="minorEastAsia" w:hAnsi="Times New Roman" w:cs="Times New Roman"/>
          <w:sz w:val="24"/>
          <w:szCs w:val="24"/>
          <w:lang w:eastAsia="pt-BR"/>
        </w:rPr>
        <w:t xml:space="preserve"> maiores bancos. Mesmo dentro dos 1</w:t>
      </w:r>
      <w:r w:rsidR="000D1962">
        <w:rPr>
          <w:rFonts w:ascii="Times New Roman" w:eastAsiaTheme="minorEastAsia" w:hAnsi="Times New Roman" w:cs="Times New Roman"/>
          <w:sz w:val="24"/>
          <w:szCs w:val="24"/>
          <w:lang w:eastAsia="pt-BR"/>
        </w:rPr>
        <w:t>0</w:t>
      </w:r>
      <w:r w:rsidR="009C0C52">
        <w:rPr>
          <w:rFonts w:ascii="Times New Roman" w:eastAsiaTheme="minorEastAsia" w:hAnsi="Times New Roman" w:cs="Times New Roman"/>
          <w:sz w:val="24"/>
          <w:szCs w:val="24"/>
          <w:lang w:eastAsia="pt-BR"/>
        </w:rPr>
        <w:t xml:space="preserve"> maiores bancos</w:t>
      </w:r>
      <w:r w:rsidR="00C43461">
        <w:rPr>
          <w:rFonts w:ascii="Times New Roman" w:eastAsiaTheme="minorEastAsia" w:hAnsi="Times New Roman" w:cs="Times New Roman"/>
          <w:sz w:val="24"/>
          <w:szCs w:val="24"/>
          <w:lang w:eastAsia="pt-BR"/>
        </w:rPr>
        <w:t xml:space="preserve"> brasileiros, existe uma grande diferença entre o primeiro e o décimo colocado em </w:t>
      </w:r>
      <w:r w:rsidR="00CE5756">
        <w:rPr>
          <w:rFonts w:ascii="Times New Roman" w:eastAsiaTheme="minorEastAsia" w:hAnsi="Times New Roman" w:cs="Times New Roman"/>
          <w:sz w:val="24"/>
          <w:szCs w:val="24"/>
          <w:lang w:eastAsia="pt-BR"/>
        </w:rPr>
        <w:t>PL.</w:t>
      </w:r>
      <w:r w:rsidR="009932C3">
        <w:rPr>
          <w:rFonts w:ascii="Times New Roman" w:eastAsiaTheme="minorEastAsia" w:hAnsi="Times New Roman" w:cs="Times New Roman"/>
          <w:sz w:val="24"/>
          <w:szCs w:val="24"/>
          <w:lang w:eastAsia="pt-BR"/>
        </w:rPr>
        <w:t xml:space="preserve"> </w:t>
      </w:r>
      <w:r w:rsidR="00CE5756">
        <w:rPr>
          <w:rFonts w:ascii="Times New Roman" w:eastAsiaTheme="minorEastAsia" w:hAnsi="Times New Roman" w:cs="Times New Roman"/>
          <w:sz w:val="24"/>
          <w:szCs w:val="24"/>
          <w:lang w:eastAsia="pt-BR"/>
        </w:rPr>
        <w:t>P</w:t>
      </w:r>
      <w:r w:rsidR="009932C3">
        <w:rPr>
          <w:rFonts w:ascii="Times New Roman" w:eastAsiaTheme="minorEastAsia" w:hAnsi="Times New Roman" w:cs="Times New Roman"/>
          <w:sz w:val="24"/>
          <w:szCs w:val="24"/>
          <w:lang w:eastAsia="pt-BR"/>
        </w:rPr>
        <w:t>or exemplo</w:t>
      </w:r>
      <w:r w:rsidR="00CE5756">
        <w:rPr>
          <w:rFonts w:ascii="Times New Roman" w:eastAsiaTheme="minorEastAsia" w:hAnsi="Times New Roman" w:cs="Times New Roman"/>
          <w:sz w:val="24"/>
          <w:szCs w:val="24"/>
          <w:lang w:eastAsia="pt-BR"/>
        </w:rPr>
        <w:t>,</w:t>
      </w:r>
      <w:r w:rsidR="00C43461">
        <w:rPr>
          <w:rFonts w:ascii="Times New Roman" w:eastAsiaTheme="minorEastAsia" w:hAnsi="Times New Roman" w:cs="Times New Roman"/>
          <w:sz w:val="24"/>
          <w:szCs w:val="24"/>
          <w:lang w:eastAsia="pt-BR"/>
        </w:rPr>
        <w:t xml:space="preserve"> o Itaú Unibanco é o primeiro colocado com R$ </w:t>
      </w:r>
      <w:r w:rsidR="00C43461">
        <w:rPr>
          <w:rFonts w:ascii="Times New Roman" w:eastAsiaTheme="minorEastAsia" w:hAnsi="Times New Roman" w:cs="Times New Roman"/>
          <w:sz w:val="24"/>
          <w:szCs w:val="24"/>
          <w:lang w:eastAsia="pt-BR"/>
        </w:rPr>
        <w:lastRenderedPageBreak/>
        <w:t xml:space="preserve">88.966 bilhões em </w:t>
      </w:r>
      <w:r w:rsidR="00C94380">
        <w:rPr>
          <w:rFonts w:ascii="Times New Roman" w:eastAsiaTheme="minorEastAsia" w:hAnsi="Times New Roman" w:cs="Times New Roman"/>
          <w:sz w:val="24"/>
          <w:szCs w:val="24"/>
          <w:lang w:eastAsia="pt-BR"/>
        </w:rPr>
        <w:t>PL</w:t>
      </w:r>
      <w:r w:rsidR="009932C3">
        <w:rPr>
          <w:rFonts w:ascii="Times New Roman" w:eastAsiaTheme="minorEastAsia" w:hAnsi="Times New Roman" w:cs="Times New Roman"/>
          <w:sz w:val="24"/>
          <w:szCs w:val="24"/>
          <w:lang w:eastAsia="pt-BR"/>
        </w:rPr>
        <w:t xml:space="preserve"> no 4T2013, </w:t>
      </w:r>
      <w:r w:rsidR="003C0DD1">
        <w:rPr>
          <w:rFonts w:ascii="Times New Roman" w:eastAsiaTheme="minorEastAsia" w:hAnsi="Times New Roman" w:cs="Times New Roman"/>
          <w:sz w:val="24"/>
          <w:szCs w:val="24"/>
          <w:lang w:eastAsia="pt-BR"/>
        </w:rPr>
        <w:t>contra os R$ 6.851 bilhões</w:t>
      </w:r>
      <w:r w:rsidR="003C0DD1">
        <w:rPr>
          <w:rStyle w:val="Refdenotaderodap"/>
          <w:rFonts w:ascii="Times New Roman" w:eastAsiaTheme="minorEastAsia" w:hAnsi="Times New Roman" w:cs="Times New Roman"/>
          <w:sz w:val="24"/>
          <w:szCs w:val="24"/>
          <w:lang w:eastAsia="pt-BR"/>
        </w:rPr>
        <w:footnoteReference w:id="8"/>
      </w:r>
      <w:r w:rsidR="003C0DD1">
        <w:rPr>
          <w:rFonts w:ascii="Times New Roman" w:eastAsiaTheme="minorEastAsia" w:hAnsi="Times New Roman" w:cs="Times New Roman"/>
          <w:sz w:val="24"/>
          <w:szCs w:val="24"/>
          <w:lang w:eastAsia="pt-BR"/>
        </w:rPr>
        <w:t xml:space="preserve"> d</w:t>
      </w:r>
      <w:r w:rsidR="00C43461">
        <w:rPr>
          <w:rFonts w:ascii="Times New Roman" w:eastAsiaTheme="minorEastAsia" w:hAnsi="Times New Roman" w:cs="Times New Roman"/>
          <w:sz w:val="24"/>
          <w:szCs w:val="24"/>
          <w:lang w:eastAsia="pt-BR"/>
        </w:rPr>
        <w:t xml:space="preserve">o </w:t>
      </w:r>
      <w:r w:rsidR="00946326">
        <w:rPr>
          <w:rFonts w:ascii="Times New Roman" w:eastAsiaTheme="minorEastAsia" w:hAnsi="Times New Roman" w:cs="Times New Roman"/>
          <w:sz w:val="24"/>
          <w:szCs w:val="24"/>
          <w:lang w:eastAsia="pt-BR"/>
        </w:rPr>
        <w:t>Citibank</w:t>
      </w:r>
      <w:r w:rsidR="003C0DD1">
        <w:rPr>
          <w:rFonts w:ascii="Times New Roman" w:eastAsiaTheme="minorEastAsia" w:hAnsi="Times New Roman" w:cs="Times New Roman"/>
          <w:sz w:val="24"/>
          <w:szCs w:val="24"/>
          <w:lang w:eastAsia="pt-BR"/>
        </w:rPr>
        <w:t xml:space="preserve">, na </w:t>
      </w:r>
      <w:r w:rsidR="00C43461">
        <w:rPr>
          <w:rFonts w:ascii="Times New Roman" w:eastAsiaTheme="minorEastAsia" w:hAnsi="Times New Roman" w:cs="Times New Roman"/>
          <w:sz w:val="24"/>
          <w:szCs w:val="24"/>
          <w:lang w:eastAsia="pt-BR"/>
        </w:rPr>
        <w:t>décim</w:t>
      </w:r>
      <w:r w:rsidR="003C0DD1">
        <w:rPr>
          <w:rFonts w:ascii="Times New Roman" w:eastAsiaTheme="minorEastAsia" w:hAnsi="Times New Roman" w:cs="Times New Roman"/>
          <w:sz w:val="24"/>
          <w:szCs w:val="24"/>
          <w:lang w:eastAsia="pt-BR"/>
        </w:rPr>
        <w:t>a colocação</w:t>
      </w:r>
      <w:r w:rsidR="000D06C8">
        <w:rPr>
          <w:rFonts w:ascii="Times New Roman" w:eastAsiaTheme="minorEastAsia" w:hAnsi="Times New Roman" w:cs="Times New Roman"/>
          <w:sz w:val="24"/>
          <w:szCs w:val="24"/>
          <w:lang w:eastAsia="pt-BR"/>
        </w:rPr>
        <w:t>, ou seja, uma diferença de mais de R$ 8</w:t>
      </w:r>
      <w:r w:rsidR="00946326">
        <w:rPr>
          <w:rFonts w:ascii="Times New Roman" w:eastAsiaTheme="minorEastAsia" w:hAnsi="Times New Roman" w:cs="Times New Roman"/>
          <w:sz w:val="24"/>
          <w:szCs w:val="24"/>
          <w:lang w:eastAsia="pt-BR"/>
        </w:rPr>
        <w:t>2</w:t>
      </w:r>
      <w:r w:rsidR="000D06C8">
        <w:rPr>
          <w:rFonts w:ascii="Times New Roman" w:eastAsiaTheme="minorEastAsia" w:hAnsi="Times New Roman" w:cs="Times New Roman"/>
          <w:sz w:val="24"/>
          <w:szCs w:val="24"/>
          <w:lang w:eastAsia="pt-BR"/>
        </w:rPr>
        <w:t xml:space="preserve"> bilhões.</w:t>
      </w:r>
      <w:r w:rsidR="002157E3" w:rsidRPr="002157E3">
        <w:rPr>
          <w:rFonts w:ascii="Times New Roman" w:eastAsiaTheme="minorEastAsia" w:hAnsi="Times New Roman" w:cs="Times New Roman"/>
          <w:sz w:val="24"/>
          <w:szCs w:val="24"/>
          <w:lang w:eastAsia="pt-BR"/>
        </w:rPr>
        <w:t xml:space="preserve"> </w:t>
      </w:r>
      <w:r w:rsidR="002157E3">
        <w:rPr>
          <w:rFonts w:ascii="Times New Roman" w:eastAsiaTheme="minorEastAsia" w:hAnsi="Times New Roman" w:cs="Times New Roman"/>
          <w:sz w:val="24"/>
          <w:szCs w:val="24"/>
          <w:lang w:eastAsia="pt-BR"/>
        </w:rPr>
        <w:t>Por isso dividi</w:t>
      </w:r>
      <w:r w:rsidR="00CE5756">
        <w:rPr>
          <w:rFonts w:ascii="Times New Roman" w:eastAsiaTheme="minorEastAsia" w:hAnsi="Times New Roman" w:cs="Times New Roman"/>
          <w:sz w:val="24"/>
          <w:szCs w:val="24"/>
          <w:lang w:eastAsia="pt-BR"/>
        </w:rPr>
        <w:t>mos</w:t>
      </w:r>
      <w:r w:rsidR="002157E3">
        <w:rPr>
          <w:rFonts w:ascii="Times New Roman" w:eastAsiaTheme="minorEastAsia" w:hAnsi="Times New Roman" w:cs="Times New Roman"/>
          <w:sz w:val="24"/>
          <w:szCs w:val="24"/>
          <w:lang w:eastAsia="pt-BR"/>
        </w:rPr>
        <w:t xml:space="preserve"> a amostra em três faixas distintas, utilizando o </w:t>
      </w:r>
      <w:r w:rsidR="00C94380">
        <w:rPr>
          <w:rFonts w:ascii="Times New Roman" w:eastAsiaTheme="minorEastAsia" w:hAnsi="Times New Roman" w:cs="Times New Roman"/>
          <w:sz w:val="24"/>
          <w:szCs w:val="24"/>
          <w:lang w:eastAsia="pt-BR"/>
        </w:rPr>
        <w:t>PL</w:t>
      </w:r>
      <w:r w:rsidR="002157E3">
        <w:rPr>
          <w:rFonts w:ascii="Times New Roman" w:eastAsiaTheme="minorEastAsia" w:hAnsi="Times New Roman" w:cs="Times New Roman"/>
          <w:sz w:val="24"/>
          <w:szCs w:val="24"/>
          <w:lang w:eastAsia="pt-BR"/>
        </w:rPr>
        <w:t xml:space="preserve"> do relatório Top 50 do </w:t>
      </w:r>
      <w:proofErr w:type="gramStart"/>
      <w:r w:rsidR="002157E3">
        <w:rPr>
          <w:rFonts w:ascii="Times New Roman" w:eastAsiaTheme="minorEastAsia" w:hAnsi="Times New Roman" w:cs="Times New Roman"/>
          <w:sz w:val="24"/>
          <w:szCs w:val="24"/>
          <w:lang w:eastAsia="pt-BR"/>
        </w:rPr>
        <w:t>Bacen</w:t>
      </w:r>
      <w:proofErr w:type="gramEnd"/>
      <w:r w:rsidR="002157E3">
        <w:rPr>
          <w:rFonts w:ascii="Times New Roman" w:eastAsiaTheme="minorEastAsia" w:hAnsi="Times New Roman" w:cs="Times New Roman"/>
          <w:sz w:val="24"/>
          <w:szCs w:val="24"/>
          <w:lang w:eastAsia="pt-BR"/>
        </w:rPr>
        <w:t>, de forma a agrupar bancos de mesmo porte, da seguinte forma:</w:t>
      </w:r>
    </w:p>
    <w:p w:rsidR="002157E3" w:rsidRPr="00466344" w:rsidRDefault="002157E3" w:rsidP="00466344">
      <w:pPr>
        <w:pStyle w:val="PargrafodaLista"/>
        <w:numPr>
          <w:ilvl w:val="0"/>
          <w:numId w:val="23"/>
        </w:numPr>
        <w:spacing w:after="120" w:line="240" w:lineRule="auto"/>
        <w:jc w:val="both"/>
        <w:rPr>
          <w:rFonts w:ascii="Times New Roman" w:eastAsiaTheme="minorEastAsia" w:hAnsi="Times New Roman" w:cs="Times New Roman"/>
          <w:sz w:val="24"/>
          <w:szCs w:val="24"/>
          <w:lang w:eastAsia="pt-BR"/>
        </w:rPr>
      </w:pPr>
      <w:r w:rsidRPr="00466344">
        <w:rPr>
          <w:rFonts w:ascii="Times New Roman" w:eastAsiaTheme="minorEastAsia" w:hAnsi="Times New Roman" w:cs="Times New Roman"/>
          <w:sz w:val="24"/>
          <w:szCs w:val="24"/>
          <w:lang w:eastAsia="pt-BR"/>
        </w:rPr>
        <w:t xml:space="preserve">Abaixo de 1%: contêm todos os bancos, cujo valor do </w:t>
      </w:r>
      <w:r w:rsidR="00B14ADE">
        <w:rPr>
          <w:rFonts w:ascii="Times New Roman" w:eastAsiaTheme="minorEastAsia" w:hAnsi="Times New Roman" w:cs="Times New Roman"/>
          <w:sz w:val="24"/>
          <w:szCs w:val="24"/>
          <w:lang w:eastAsia="pt-BR"/>
        </w:rPr>
        <w:t>PL</w:t>
      </w:r>
      <w:r w:rsidRPr="00466344">
        <w:rPr>
          <w:rFonts w:ascii="Times New Roman" w:eastAsiaTheme="minorEastAsia" w:hAnsi="Times New Roman" w:cs="Times New Roman"/>
          <w:sz w:val="24"/>
          <w:szCs w:val="24"/>
          <w:lang w:eastAsia="pt-BR"/>
        </w:rPr>
        <w:t xml:space="preserve"> represente até 1% do </w:t>
      </w:r>
      <w:r w:rsidR="00B1239B">
        <w:rPr>
          <w:rFonts w:ascii="Times New Roman" w:eastAsiaTheme="minorEastAsia" w:hAnsi="Times New Roman" w:cs="Times New Roman"/>
          <w:sz w:val="24"/>
          <w:szCs w:val="24"/>
          <w:lang w:eastAsia="pt-BR"/>
        </w:rPr>
        <w:t>PL</w:t>
      </w:r>
      <w:r w:rsidRPr="00466344">
        <w:rPr>
          <w:rFonts w:ascii="Times New Roman" w:eastAsiaTheme="minorEastAsia" w:hAnsi="Times New Roman" w:cs="Times New Roman"/>
          <w:sz w:val="24"/>
          <w:szCs w:val="24"/>
          <w:lang w:eastAsia="pt-BR"/>
        </w:rPr>
        <w:t xml:space="preserve"> total do SFN. Não inclui o 1% (86 bancos).</w:t>
      </w:r>
    </w:p>
    <w:p w:rsidR="002157E3" w:rsidRPr="00D526EB" w:rsidRDefault="002157E3" w:rsidP="00466344">
      <w:pPr>
        <w:pStyle w:val="PargrafodaLista"/>
        <w:numPr>
          <w:ilvl w:val="0"/>
          <w:numId w:val="23"/>
        </w:num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Entre 1% e 3%: contê</w:t>
      </w:r>
      <w:r w:rsidRPr="00D526EB">
        <w:rPr>
          <w:rFonts w:ascii="Times New Roman" w:eastAsiaTheme="minorEastAsia" w:hAnsi="Times New Roman" w:cs="Times New Roman"/>
          <w:sz w:val="24"/>
          <w:szCs w:val="24"/>
          <w:lang w:eastAsia="pt-BR"/>
        </w:rPr>
        <w:t>m todos os bancos</w:t>
      </w:r>
      <w:r>
        <w:rPr>
          <w:rFonts w:ascii="Times New Roman" w:eastAsiaTheme="minorEastAsia" w:hAnsi="Times New Roman" w:cs="Times New Roman"/>
          <w:sz w:val="24"/>
          <w:szCs w:val="24"/>
          <w:lang w:eastAsia="pt-BR"/>
        </w:rPr>
        <w:t>,</w:t>
      </w:r>
      <w:r w:rsidRPr="00D526EB">
        <w:rPr>
          <w:rFonts w:ascii="Times New Roman" w:eastAsiaTheme="minorEastAsia" w:hAnsi="Times New Roman" w:cs="Times New Roman"/>
          <w:sz w:val="24"/>
          <w:szCs w:val="24"/>
          <w:lang w:eastAsia="pt-BR"/>
        </w:rPr>
        <w:t xml:space="preserve"> cujo valor do </w:t>
      </w:r>
      <w:r w:rsidR="00B14ADE">
        <w:rPr>
          <w:rFonts w:ascii="Times New Roman" w:eastAsiaTheme="minorEastAsia" w:hAnsi="Times New Roman" w:cs="Times New Roman"/>
          <w:sz w:val="24"/>
          <w:szCs w:val="24"/>
          <w:lang w:eastAsia="pt-BR"/>
        </w:rPr>
        <w:t>PL</w:t>
      </w:r>
      <w:r w:rsidRPr="00D526EB">
        <w:rPr>
          <w:rFonts w:ascii="Times New Roman" w:eastAsiaTheme="minorEastAsia" w:hAnsi="Times New Roman" w:cs="Times New Roman"/>
          <w:sz w:val="24"/>
          <w:szCs w:val="24"/>
          <w:lang w:eastAsia="pt-BR"/>
        </w:rPr>
        <w:t xml:space="preserve"> represente de 1% até 3% do </w:t>
      </w:r>
      <w:r w:rsidR="00B1239B">
        <w:rPr>
          <w:rFonts w:ascii="Times New Roman" w:eastAsiaTheme="minorEastAsia" w:hAnsi="Times New Roman" w:cs="Times New Roman"/>
          <w:sz w:val="24"/>
          <w:szCs w:val="24"/>
          <w:lang w:eastAsia="pt-BR"/>
        </w:rPr>
        <w:t>PL</w:t>
      </w:r>
      <w:r w:rsidRPr="00D526EB">
        <w:rPr>
          <w:rFonts w:ascii="Times New Roman" w:eastAsiaTheme="minorEastAsia" w:hAnsi="Times New Roman" w:cs="Times New Roman"/>
          <w:sz w:val="24"/>
          <w:szCs w:val="24"/>
          <w:lang w:eastAsia="pt-BR"/>
        </w:rPr>
        <w:t xml:space="preserve"> total do S</w:t>
      </w:r>
      <w:r>
        <w:rPr>
          <w:rFonts w:ascii="Times New Roman" w:eastAsiaTheme="minorEastAsia" w:hAnsi="Times New Roman" w:cs="Times New Roman"/>
          <w:sz w:val="24"/>
          <w:szCs w:val="24"/>
          <w:lang w:eastAsia="pt-BR"/>
        </w:rPr>
        <w:t>FN. Inclui 1% e não inclui o 3% (</w:t>
      </w:r>
      <w:proofErr w:type="gramStart"/>
      <w:r>
        <w:rPr>
          <w:rFonts w:ascii="Times New Roman" w:eastAsiaTheme="minorEastAsia" w:hAnsi="Times New Roman" w:cs="Times New Roman"/>
          <w:sz w:val="24"/>
          <w:szCs w:val="24"/>
          <w:lang w:eastAsia="pt-BR"/>
        </w:rPr>
        <w:t>5</w:t>
      </w:r>
      <w:proofErr w:type="gramEnd"/>
      <w:r>
        <w:rPr>
          <w:rFonts w:ascii="Times New Roman" w:eastAsiaTheme="minorEastAsia" w:hAnsi="Times New Roman" w:cs="Times New Roman"/>
          <w:sz w:val="24"/>
          <w:szCs w:val="24"/>
          <w:lang w:eastAsia="pt-BR"/>
        </w:rPr>
        <w:t xml:space="preserve"> bancos).</w:t>
      </w:r>
    </w:p>
    <w:p w:rsidR="002157E3" w:rsidRDefault="002157E3" w:rsidP="00466344">
      <w:pPr>
        <w:pStyle w:val="PargrafodaLista"/>
        <w:numPr>
          <w:ilvl w:val="0"/>
          <w:numId w:val="23"/>
        </w:numPr>
        <w:spacing w:after="120" w:line="240" w:lineRule="auto"/>
        <w:jc w:val="both"/>
        <w:rPr>
          <w:rFonts w:ascii="Times New Roman" w:eastAsiaTheme="minorEastAsia" w:hAnsi="Times New Roman" w:cs="Times New Roman"/>
          <w:sz w:val="24"/>
          <w:szCs w:val="24"/>
          <w:lang w:eastAsia="pt-BR"/>
        </w:rPr>
      </w:pPr>
      <w:r w:rsidRPr="00D526EB">
        <w:rPr>
          <w:rFonts w:ascii="Times New Roman" w:eastAsiaTheme="minorEastAsia" w:hAnsi="Times New Roman" w:cs="Times New Roman"/>
          <w:sz w:val="24"/>
          <w:szCs w:val="24"/>
          <w:lang w:eastAsia="pt-BR"/>
        </w:rPr>
        <w:t>Acima de 3%</w:t>
      </w:r>
      <w:r>
        <w:rPr>
          <w:rFonts w:ascii="Times New Roman" w:eastAsiaTheme="minorEastAsia" w:hAnsi="Times New Roman" w:cs="Times New Roman"/>
          <w:sz w:val="24"/>
          <w:szCs w:val="24"/>
          <w:lang w:eastAsia="pt-BR"/>
        </w:rPr>
        <w:t>: contê</w:t>
      </w:r>
      <w:r w:rsidRPr="00D526EB">
        <w:rPr>
          <w:rFonts w:ascii="Times New Roman" w:eastAsiaTheme="minorEastAsia" w:hAnsi="Times New Roman" w:cs="Times New Roman"/>
          <w:sz w:val="24"/>
          <w:szCs w:val="24"/>
          <w:lang w:eastAsia="pt-BR"/>
        </w:rPr>
        <w:t>m todos os bancos</w:t>
      </w:r>
      <w:r>
        <w:rPr>
          <w:rFonts w:ascii="Times New Roman" w:eastAsiaTheme="minorEastAsia" w:hAnsi="Times New Roman" w:cs="Times New Roman"/>
          <w:sz w:val="24"/>
          <w:szCs w:val="24"/>
          <w:lang w:eastAsia="pt-BR"/>
        </w:rPr>
        <w:t>,</w:t>
      </w:r>
      <w:r w:rsidRPr="00D526EB">
        <w:rPr>
          <w:rFonts w:ascii="Times New Roman" w:eastAsiaTheme="minorEastAsia" w:hAnsi="Times New Roman" w:cs="Times New Roman"/>
          <w:sz w:val="24"/>
          <w:szCs w:val="24"/>
          <w:lang w:eastAsia="pt-BR"/>
        </w:rPr>
        <w:t xml:space="preserve"> cujo valor do </w:t>
      </w:r>
      <w:r w:rsidR="00B14ADE">
        <w:rPr>
          <w:rFonts w:ascii="Times New Roman" w:eastAsiaTheme="minorEastAsia" w:hAnsi="Times New Roman" w:cs="Times New Roman"/>
          <w:sz w:val="24"/>
          <w:szCs w:val="24"/>
          <w:lang w:eastAsia="pt-BR"/>
        </w:rPr>
        <w:t>PL</w:t>
      </w:r>
      <w:r w:rsidRPr="00D526EB">
        <w:rPr>
          <w:rFonts w:ascii="Times New Roman" w:eastAsiaTheme="minorEastAsia" w:hAnsi="Times New Roman" w:cs="Times New Roman"/>
          <w:sz w:val="24"/>
          <w:szCs w:val="24"/>
          <w:lang w:eastAsia="pt-BR"/>
        </w:rPr>
        <w:t xml:space="preserve"> represente 3% </w:t>
      </w:r>
      <w:r>
        <w:rPr>
          <w:rFonts w:ascii="Times New Roman" w:eastAsiaTheme="minorEastAsia" w:hAnsi="Times New Roman" w:cs="Times New Roman"/>
          <w:sz w:val="24"/>
          <w:szCs w:val="24"/>
          <w:lang w:eastAsia="pt-BR"/>
        </w:rPr>
        <w:t>ou mais d</w:t>
      </w:r>
      <w:r w:rsidRPr="00D526EB">
        <w:rPr>
          <w:rFonts w:ascii="Times New Roman" w:eastAsiaTheme="minorEastAsia" w:hAnsi="Times New Roman" w:cs="Times New Roman"/>
          <w:sz w:val="24"/>
          <w:szCs w:val="24"/>
          <w:lang w:eastAsia="pt-BR"/>
        </w:rPr>
        <w:t xml:space="preserve">o </w:t>
      </w:r>
      <w:r w:rsidR="003A5AC4">
        <w:rPr>
          <w:rFonts w:ascii="Times New Roman" w:eastAsiaTheme="minorEastAsia" w:hAnsi="Times New Roman" w:cs="Times New Roman"/>
          <w:sz w:val="24"/>
          <w:szCs w:val="24"/>
          <w:lang w:eastAsia="pt-BR"/>
        </w:rPr>
        <w:t>P</w:t>
      </w:r>
      <w:r w:rsidR="00B1239B">
        <w:rPr>
          <w:rFonts w:ascii="Times New Roman" w:eastAsiaTheme="minorEastAsia" w:hAnsi="Times New Roman" w:cs="Times New Roman"/>
          <w:sz w:val="24"/>
          <w:szCs w:val="24"/>
          <w:lang w:eastAsia="pt-BR"/>
        </w:rPr>
        <w:t>L</w:t>
      </w:r>
      <w:r w:rsidRPr="00D526EB">
        <w:rPr>
          <w:rFonts w:ascii="Times New Roman" w:eastAsiaTheme="minorEastAsia" w:hAnsi="Times New Roman" w:cs="Times New Roman"/>
          <w:sz w:val="24"/>
          <w:szCs w:val="24"/>
          <w:lang w:eastAsia="pt-BR"/>
        </w:rPr>
        <w:t xml:space="preserve"> total do SFN.</w:t>
      </w:r>
      <w:r>
        <w:rPr>
          <w:rFonts w:ascii="Times New Roman" w:eastAsiaTheme="minorEastAsia" w:hAnsi="Times New Roman" w:cs="Times New Roman"/>
          <w:sz w:val="24"/>
          <w:szCs w:val="24"/>
          <w:lang w:eastAsia="pt-BR"/>
        </w:rPr>
        <w:t xml:space="preserve"> Inclui o 3% (</w:t>
      </w:r>
      <w:proofErr w:type="gramStart"/>
      <w:r>
        <w:rPr>
          <w:rFonts w:ascii="Times New Roman" w:eastAsiaTheme="minorEastAsia" w:hAnsi="Times New Roman" w:cs="Times New Roman"/>
          <w:sz w:val="24"/>
          <w:szCs w:val="24"/>
          <w:lang w:eastAsia="pt-BR"/>
        </w:rPr>
        <w:t>5</w:t>
      </w:r>
      <w:proofErr w:type="gramEnd"/>
      <w:r>
        <w:rPr>
          <w:rFonts w:ascii="Times New Roman" w:eastAsiaTheme="minorEastAsia" w:hAnsi="Times New Roman" w:cs="Times New Roman"/>
          <w:sz w:val="24"/>
          <w:szCs w:val="24"/>
          <w:lang w:eastAsia="pt-BR"/>
        </w:rPr>
        <w:t xml:space="preserve"> bancos).</w:t>
      </w:r>
    </w:p>
    <w:p w:rsidR="00AE3455" w:rsidRPr="001514B8" w:rsidRDefault="002157E3" w:rsidP="00682BEB">
      <w:pPr>
        <w:spacing w:after="0" w:line="240" w:lineRule="auto"/>
        <w:jc w:val="both"/>
        <w:rPr>
          <w:rFonts w:ascii="Times New Roman" w:eastAsiaTheme="minorEastAsia" w:hAnsi="Times New Roman" w:cs="Times New Roman"/>
          <w:color w:val="FF0000"/>
          <w:sz w:val="24"/>
          <w:szCs w:val="24"/>
          <w:lang w:eastAsia="pt-BR"/>
        </w:rPr>
      </w:pPr>
      <w:r>
        <w:rPr>
          <w:rFonts w:ascii="Times New Roman" w:eastAsiaTheme="minorEastAsia" w:hAnsi="Times New Roman" w:cs="Times New Roman"/>
          <w:sz w:val="24"/>
          <w:szCs w:val="24"/>
          <w:lang w:eastAsia="pt-BR"/>
        </w:rPr>
        <w:t xml:space="preserve">As principais variáveis </w:t>
      </w:r>
      <w:r w:rsidR="00A5094E">
        <w:rPr>
          <w:rFonts w:ascii="Times New Roman" w:eastAsiaTheme="minorEastAsia" w:hAnsi="Times New Roman" w:cs="Times New Roman"/>
          <w:sz w:val="24"/>
          <w:szCs w:val="24"/>
          <w:lang w:eastAsia="pt-BR"/>
        </w:rPr>
        <w:t>d</w:t>
      </w:r>
      <w:r>
        <w:rPr>
          <w:rFonts w:ascii="Times New Roman" w:eastAsiaTheme="minorEastAsia" w:hAnsi="Times New Roman" w:cs="Times New Roman"/>
          <w:sz w:val="24"/>
          <w:szCs w:val="24"/>
          <w:lang w:eastAsia="pt-BR"/>
        </w:rPr>
        <w:t>o modelo são: a fronteira (</w:t>
      </w:r>
      <m:oMath>
        <m:r>
          <w:rPr>
            <w:rFonts w:ascii="Cambria Math" w:eastAsiaTheme="minorEastAsia" w:hAnsi="Cambria Math" w:cs="Times New Roman"/>
            <w:sz w:val="24"/>
            <w:szCs w:val="24"/>
            <w:lang w:eastAsia="pt-BR"/>
          </w:rPr>
          <m:t>ξ</m:t>
        </m:r>
      </m:oMath>
      <w:r>
        <w:rPr>
          <w:rFonts w:ascii="Times New Roman" w:eastAsiaTheme="minorEastAsia" w:hAnsi="Times New Roman" w:cs="Times New Roman"/>
          <w:sz w:val="24"/>
          <w:szCs w:val="24"/>
          <w:lang w:eastAsia="pt-BR"/>
        </w:rPr>
        <w:t>), a restrição regulatória (</w:t>
      </w:r>
      <m:oMath>
        <m:r>
          <w:rPr>
            <w:rFonts w:ascii="Cambria Math" w:eastAsiaTheme="minorEastAsia" w:hAnsi="Cambria Math" w:cs="Times New Roman"/>
            <w:sz w:val="24"/>
            <w:szCs w:val="24"/>
            <w:lang w:eastAsia="pt-BR"/>
          </w:rPr>
          <m:t>ϕ</m:t>
        </m:r>
      </m:oMath>
      <w:r>
        <w:rPr>
          <w:rFonts w:ascii="Times New Roman" w:eastAsiaTheme="minorEastAsia" w:hAnsi="Times New Roman" w:cs="Times New Roman"/>
          <w:sz w:val="24"/>
          <w:szCs w:val="24"/>
          <w:lang w:eastAsia="pt-BR"/>
        </w:rPr>
        <w:t xml:space="preserve">), o </w:t>
      </w:r>
      <w:r w:rsidR="00C94380">
        <w:rPr>
          <w:rFonts w:ascii="Times New Roman" w:eastAsiaTheme="minorEastAsia" w:hAnsi="Times New Roman" w:cs="Times New Roman"/>
          <w:sz w:val="24"/>
          <w:szCs w:val="24"/>
          <w:lang w:eastAsia="pt-BR"/>
        </w:rPr>
        <w:t>PL</w:t>
      </w:r>
      <w:r>
        <w:rPr>
          <w:rFonts w:ascii="Times New Roman" w:eastAsiaTheme="minorEastAsia" w:hAnsi="Times New Roman" w:cs="Times New Roman"/>
          <w:sz w:val="24"/>
          <w:szCs w:val="24"/>
          <w:lang w:eastAsia="pt-BR"/>
        </w:rPr>
        <w:t xml:space="preserve"> e o montante em dívidas subordinadas. Para separá-las do total do SFN, aplicamos os percentuais de participação</w:t>
      </w:r>
      <w:r w:rsidR="00C94380">
        <w:rPr>
          <w:rFonts w:ascii="Times New Roman" w:eastAsiaTheme="minorEastAsia" w:hAnsi="Times New Roman" w:cs="Times New Roman"/>
          <w:sz w:val="24"/>
          <w:szCs w:val="24"/>
          <w:lang w:eastAsia="pt-BR"/>
        </w:rPr>
        <w:t xml:space="preserve"> de cada faixa, sobre o total da</w:t>
      </w:r>
      <w:r>
        <w:rPr>
          <w:rFonts w:ascii="Times New Roman" w:eastAsiaTheme="minorEastAsia" w:hAnsi="Times New Roman" w:cs="Times New Roman"/>
          <w:sz w:val="24"/>
          <w:szCs w:val="24"/>
          <w:lang w:eastAsia="pt-BR"/>
        </w:rPr>
        <w:t xml:space="preserve"> </w:t>
      </w:r>
      <w:r w:rsidR="00C94380">
        <w:rPr>
          <w:rFonts w:ascii="Times New Roman" w:eastAsiaTheme="minorEastAsia" w:hAnsi="Times New Roman" w:cs="Times New Roman"/>
          <w:sz w:val="24"/>
          <w:szCs w:val="24"/>
          <w:lang w:eastAsia="pt-BR"/>
        </w:rPr>
        <w:t>variável</w:t>
      </w:r>
      <w:r>
        <w:rPr>
          <w:rFonts w:ascii="Times New Roman" w:eastAsiaTheme="minorEastAsia" w:hAnsi="Times New Roman" w:cs="Times New Roman"/>
          <w:sz w:val="24"/>
          <w:szCs w:val="24"/>
          <w:lang w:eastAsia="pt-BR"/>
        </w:rPr>
        <w:t xml:space="preserve">. </w:t>
      </w:r>
      <w:r w:rsidR="00466344">
        <w:rPr>
          <w:rFonts w:ascii="Times New Roman" w:eastAsiaTheme="minorEastAsia" w:hAnsi="Times New Roman" w:cs="Times New Roman"/>
          <w:sz w:val="24"/>
          <w:szCs w:val="24"/>
          <w:lang w:eastAsia="pt-BR"/>
        </w:rPr>
        <w:t>Assim para calcular a fronteira regulatória, aplicamos os percentuais de 74%, 18% e 11% sobre o RWA total do SFN, dividimos pelo total de bancos da faixa e sobre estes valores, aplicamos o percentual de 4,5%</w:t>
      </w:r>
      <w:r w:rsidR="00A5094E">
        <w:rPr>
          <w:rFonts w:ascii="Times New Roman" w:eastAsiaTheme="minorEastAsia" w:hAnsi="Times New Roman" w:cs="Times New Roman"/>
          <w:sz w:val="24"/>
          <w:szCs w:val="24"/>
          <w:lang w:eastAsia="pt-BR"/>
        </w:rPr>
        <w:t xml:space="preserve"> (</w:t>
      </w:r>
      <w:r w:rsidR="00466344">
        <w:rPr>
          <w:rFonts w:ascii="Times New Roman" w:eastAsiaTheme="minorEastAsia" w:hAnsi="Times New Roman" w:cs="Times New Roman"/>
          <w:sz w:val="24"/>
          <w:szCs w:val="24"/>
          <w:lang w:eastAsia="pt-BR"/>
        </w:rPr>
        <w:t xml:space="preserve">capital regulatório </w:t>
      </w:r>
      <w:r w:rsidR="00A5094E">
        <w:rPr>
          <w:rFonts w:ascii="Times New Roman" w:eastAsiaTheme="minorEastAsia" w:hAnsi="Times New Roman" w:cs="Times New Roman"/>
          <w:sz w:val="24"/>
          <w:szCs w:val="24"/>
          <w:lang w:eastAsia="pt-BR"/>
        </w:rPr>
        <w:t xml:space="preserve">mínimo </w:t>
      </w:r>
      <w:r w:rsidR="00466344">
        <w:rPr>
          <w:rFonts w:ascii="Times New Roman" w:eastAsiaTheme="minorEastAsia" w:hAnsi="Times New Roman" w:cs="Times New Roman"/>
          <w:sz w:val="24"/>
          <w:szCs w:val="24"/>
          <w:lang w:eastAsia="pt-BR"/>
        </w:rPr>
        <w:t xml:space="preserve">exigido, antes </w:t>
      </w:r>
      <w:r w:rsidR="00C94380">
        <w:rPr>
          <w:rFonts w:ascii="Times New Roman" w:eastAsiaTheme="minorEastAsia" w:hAnsi="Times New Roman" w:cs="Times New Roman"/>
          <w:sz w:val="24"/>
          <w:szCs w:val="24"/>
          <w:lang w:eastAsia="pt-BR"/>
        </w:rPr>
        <w:t>da conversão</w:t>
      </w:r>
      <w:r w:rsidR="00A5094E">
        <w:rPr>
          <w:rFonts w:ascii="Times New Roman" w:eastAsiaTheme="minorEastAsia" w:hAnsi="Times New Roman" w:cs="Times New Roman"/>
          <w:sz w:val="24"/>
          <w:szCs w:val="24"/>
          <w:lang w:eastAsia="pt-BR"/>
        </w:rPr>
        <w:t>)</w:t>
      </w:r>
      <w:r w:rsidR="00466344">
        <w:rPr>
          <w:rFonts w:ascii="Times New Roman" w:eastAsiaTheme="minorEastAsia" w:hAnsi="Times New Roman" w:cs="Times New Roman"/>
          <w:sz w:val="24"/>
          <w:szCs w:val="24"/>
          <w:lang w:eastAsia="pt-BR"/>
        </w:rPr>
        <w:t>.</w:t>
      </w:r>
      <w:r w:rsidR="00384325">
        <w:rPr>
          <w:rFonts w:ascii="Times New Roman" w:eastAsiaTheme="minorEastAsia" w:hAnsi="Times New Roman" w:cs="Times New Roman"/>
          <w:sz w:val="24"/>
          <w:szCs w:val="24"/>
          <w:lang w:eastAsia="pt-BR"/>
        </w:rPr>
        <w:t xml:space="preserve"> </w:t>
      </w:r>
      <w:r w:rsidR="000B6786">
        <w:rPr>
          <w:rFonts w:ascii="Times New Roman" w:eastAsiaTheme="minorEastAsia" w:hAnsi="Times New Roman" w:cs="Times New Roman"/>
          <w:sz w:val="24"/>
          <w:szCs w:val="24"/>
          <w:lang w:eastAsia="pt-BR"/>
        </w:rPr>
        <w:t xml:space="preserve">Para a estatística descritiva do </w:t>
      </w:r>
      <w:r w:rsidR="003A5AC4">
        <w:rPr>
          <w:rFonts w:ascii="Times New Roman" w:eastAsiaTheme="minorEastAsia" w:hAnsi="Times New Roman" w:cs="Times New Roman"/>
          <w:sz w:val="24"/>
          <w:szCs w:val="24"/>
          <w:lang w:eastAsia="pt-BR"/>
        </w:rPr>
        <w:t>PL</w:t>
      </w:r>
      <w:r w:rsidR="000B6786">
        <w:rPr>
          <w:rFonts w:ascii="Times New Roman" w:eastAsiaTheme="minorEastAsia" w:hAnsi="Times New Roman" w:cs="Times New Roman"/>
          <w:sz w:val="24"/>
          <w:szCs w:val="24"/>
          <w:lang w:eastAsia="pt-BR"/>
        </w:rPr>
        <w:t xml:space="preserve">, apenas aplicamos os percentuais sobre o </w:t>
      </w:r>
      <w:r w:rsidR="00A5094E">
        <w:rPr>
          <w:rFonts w:ascii="Times New Roman" w:eastAsiaTheme="minorEastAsia" w:hAnsi="Times New Roman" w:cs="Times New Roman"/>
          <w:sz w:val="24"/>
          <w:szCs w:val="24"/>
          <w:lang w:eastAsia="pt-BR"/>
        </w:rPr>
        <w:t>PL</w:t>
      </w:r>
      <w:r w:rsidR="000B6786">
        <w:rPr>
          <w:rFonts w:ascii="Times New Roman" w:eastAsiaTheme="minorEastAsia" w:hAnsi="Times New Roman" w:cs="Times New Roman"/>
          <w:sz w:val="24"/>
          <w:szCs w:val="24"/>
          <w:lang w:eastAsia="pt-BR"/>
        </w:rPr>
        <w:t xml:space="preserve"> total e dividimos pelo total de bancos da faixa, a fim de obter a média por banco. Já para a estatística das dívidas subordinadas e instrumentos híbridos de capital e dívida (IHCD) utilizamos as colunas com o </w:t>
      </w:r>
      <w:r w:rsidR="000B6786" w:rsidRPr="00A35A06">
        <w:rPr>
          <w:rFonts w:ascii="Times New Roman" w:eastAsiaTheme="minorEastAsia" w:hAnsi="Times New Roman" w:cs="Times New Roman"/>
          <w:sz w:val="24"/>
          <w:szCs w:val="24"/>
          <w:lang w:eastAsia="pt-BR"/>
        </w:rPr>
        <w:t xml:space="preserve">saldo das contas 49996003, 49997002, 49995004 e 49998001 do </w:t>
      </w:r>
      <w:r w:rsidR="000B6786" w:rsidRPr="00AA4DB3">
        <w:rPr>
          <w:rFonts w:ascii="Times New Roman" w:eastAsiaTheme="minorEastAsia" w:hAnsi="Times New Roman" w:cs="Times New Roman"/>
          <w:sz w:val="24"/>
          <w:szCs w:val="24"/>
          <w:lang w:eastAsia="pt-BR"/>
        </w:rPr>
        <w:t xml:space="preserve">Plano Contábil das Instituições do </w:t>
      </w:r>
      <w:r w:rsidR="00C94380">
        <w:rPr>
          <w:rFonts w:ascii="Times New Roman" w:eastAsiaTheme="minorEastAsia" w:hAnsi="Times New Roman" w:cs="Times New Roman"/>
          <w:sz w:val="24"/>
          <w:szCs w:val="24"/>
          <w:lang w:eastAsia="pt-BR"/>
        </w:rPr>
        <w:t>S</w:t>
      </w:r>
      <w:r w:rsidR="000B6786" w:rsidRPr="00A35A06">
        <w:rPr>
          <w:rFonts w:ascii="Times New Roman" w:eastAsiaTheme="minorEastAsia" w:hAnsi="Times New Roman" w:cs="Times New Roman"/>
          <w:sz w:val="24"/>
          <w:szCs w:val="24"/>
          <w:lang w:eastAsia="pt-BR"/>
        </w:rPr>
        <w:t xml:space="preserve"> </w:t>
      </w:r>
      <w:r w:rsidR="000B6786">
        <w:rPr>
          <w:rFonts w:ascii="Times New Roman" w:eastAsiaTheme="minorEastAsia" w:hAnsi="Times New Roman" w:cs="Times New Roman"/>
          <w:sz w:val="24"/>
          <w:szCs w:val="24"/>
          <w:lang w:eastAsia="pt-BR"/>
        </w:rPr>
        <w:t>(</w:t>
      </w:r>
      <w:proofErr w:type="spellStart"/>
      <w:r w:rsidR="000B6786" w:rsidRPr="00A35A06">
        <w:rPr>
          <w:rFonts w:ascii="Times New Roman" w:eastAsiaTheme="minorEastAsia" w:hAnsi="Times New Roman" w:cs="Times New Roman"/>
          <w:sz w:val="24"/>
          <w:szCs w:val="24"/>
          <w:lang w:eastAsia="pt-BR"/>
        </w:rPr>
        <w:t>Cosif</w:t>
      </w:r>
      <w:proofErr w:type="spellEnd"/>
      <w:proofErr w:type="gramStart"/>
      <w:r w:rsidR="000B6786">
        <w:rPr>
          <w:rFonts w:ascii="Times New Roman" w:eastAsiaTheme="minorEastAsia" w:hAnsi="Times New Roman" w:cs="Times New Roman"/>
          <w:sz w:val="24"/>
          <w:szCs w:val="24"/>
          <w:lang w:eastAsia="pt-BR"/>
        </w:rPr>
        <w:t>)</w:t>
      </w:r>
      <w:proofErr w:type="gramEnd"/>
      <w:r w:rsidR="000B6786">
        <w:rPr>
          <w:rStyle w:val="Refdenotaderodap"/>
          <w:rFonts w:ascii="Times New Roman" w:eastAsiaTheme="minorEastAsia" w:hAnsi="Times New Roman" w:cs="Times New Roman"/>
          <w:sz w:val="24"/>
          <w:szCs w:val="24"/>
          <w:lang w:eastAsia="pt-BR"/>
        </w:rPr>
        <w:footnoteReference w:id="9"/>
      </w:r>
      <w:r w:rsidR="000B6786" w:rsidRPr="00A35A06">
        <w:rPr>
          <w:rFonts w:ascii="Times New Roman" w:eastAsiaTheme="minorEastAsia" w:hAnsi="Times New Roman" w:cs="Times New Roman"/>
          <w:sz w:val="24"/>
          <w:szCs w:val="24"/>
          <w:lang w:eastAsia="pt-BR"/>
        </w:rPr>
        <w:t xml:space="preserve"> </w:t>
      </w:r>
      <w:r w:rsidR="000B6786">
        <w:rPr>
          <w:rFonts w:ascii="Times New Roman" w:eastAsiaTheme="minorEastAsia" w:hAnsi="Times New Roman" w:cs="Times New Roman"/>
          <w:sz w:val="24"/>
          <w:szCs w:val="24"/>
          <w:lang w:eastAsia="pt-BR"/>
        </w:rPr>
        <w:t xml:space="preserve">de cada </w:t>
      </w:r>
      <w:r w:rsidR="000B6786" w:rsidRPr="00A35A06">
        <w:rPr>
          <w:rFonts w:ascii="Times New Roman" w:eastAsiaTheme="minorEastAsia" w:hAnsi="Times New Roman" w:cs="Times New Roman"/>
          <w:sz w:val="24"/>
          <w:szCs w:val="24"/>
          <w:lang w:eastAsia="pt-BR"/>
        </w:rPr>
        <w:t>data</w:t>
      </w:r>
      <w:r w:rsidR="000B6786">
        <w:rPr>
          <w:rFonts w:ascii="Times New Roman" w:eastAsiaTheme="minorEastAsia" w:hAnsi="Times New Roman" w:cs="Times New Roman"/>
          <w:sz w:val="24"/>
          <w:szCs w:val="24"/>
          <w:lang w:eastAsia="pt-BR"/>
        </w:rPr>
        <w:t xml:space="preserve"> </w:t>
      </w:r>
      <w:r w:rsidR="000B6786" w:rsidRPr="00A35A06">
        <w:rPr>
          <w:rFonts w:ascii="Times New Roman" w:eastAsiaTheme="minorEastAsia" w:hAnsi="Times New Roman" w:cs="Times New Roman"/>
          <w:sz w:val="24"/>
          <w:szCs w:val="24"/>
          <w:lang w:eastAsia="pt-BR"/>
        </w:rPr>
        <w:t>base</w:t>
      </w:r>
      <w:r w:rsidR="000B6786">
        <w:rPr>
          <w:rFonts w:ascii="Times New Roman" w:eastAsiaTheme="minorEastAsia" w:hAnsi="Times New Roman" w:cs="Times New Roman"/>
          <w:sz w:val="24"/>
          <w:szCs w:val="24"/>
          <w:lang w:eastAsia="pt-BR"/>
        </w:rPr>
        <w:t xml:space="preserve">, somada à coluna de Outros. Estas contas </w:t>
      </w:r>
      <w:proofErr w:type="spellStart"/>
      <w:r w:rsidR="000B6786">
        <w:rPr>
          <w:rFonts w:ascii="Times New Roman" w:eastAsiaTheme="minorEastAsia" w:hAnsi="Times New Roman" w:cs="Times New Roman"/>
          <w:sz w:val="24"/>
          <w:szCs w:val="24"/>
          <w:lang w:eastAsia="pt-BR"/>
        </w:rPr>
        <w:t>Cosif</w:t>
      </w:r>
      <w:proofErr w:type="spellEnd"/>
      <w:r w:rsidR="000B6786">
        <w:rPr>
          <w:rFonts w:ascii="Times New Roman" w:eastAsiaTheme="minorEastAsia" w:hAnsi="Times New Roman" w:cs="Times New Roman"/>
          <w:sz w:val="24"/>
          <w:szCs w:val="24"/>
          <w:lang w:eastAsia="pt-BR"/>
        </w:rPr>
        <w:t xml:space="preserve"> possuem o saldo das dívidas</w:t>
      </w:r>
      <w:r w:rsidR="00C94380">
        <w:rPr>
          <w:rFonts w:ascii="Times New Roman" w:eastAsiaTheme="minorEastAsia" w:hAnsi="Times New Roman" w:cs="Times New Roman"/>
          <w:sz w:val="24"/>
          <w:szCs w:val="24"/>
          <w:lang w:eastAsia="pt-BR"/>
        </w:rPr>
        <w:t xml:space="preserve"> </w:t>
      </w:r>
      <w:r w:rsidR="000B6786">
        <w:rPr>
          <w:rFonts w:ascii="Times New Roman" w:eastAsiaTheme="minorEastAsia" w:hAnsi="Times New Roman" w:cs="Times New Roman"/>
          <w:sz w:val="24"/>
          <w:szCs w:val="24"/>
          <w:lang w:eastAsia="pt-BR"/>
        </w:rPr>
        <w:t>subordinadas e</w:t>
      </w:r>
      <w:r w:rsidR="00A5094E">
        <w:rPr>
          <w:rFonts w:ascii="Times New Roman" w:eastAsiaTheme="minorEastAsia" w:hAnsi="Times New Roman" w:cs="Times New Roman"/>
          <w:sz w:val="24"/>
          <w:szCs w:val="24"/>
          <w:lang w:eastAsia="pt-BR"/>
        </w:rPr>
        <w:t xml:space="preserve"> IHCD</w:t>
      </w:r>
      <w:r w:rsidR="000B6786">
        <w:rPr>
          <w:rFonts w:ascii="Times New Roman" w:eastAsiaTheme="minorEastAsia" w:hAnsi="Times New Roman" w:cs="Times New Roman"/>
          <w:sz w:val="24"/>
          <w:szCs w:val="24"/>
          <w:lang w:eastAsia="pt-BR"/>
        </w:rPr>
        <w:t>.</w:t>
      </w:r>
      <w:r w:rsidR="00C94380">
        <w:rPr>
          <w:rFonts w:ascii="Times New Roman" w:eastAsiaTheme="minorEastAsia" w:hAnsi="Times New Roman" w:cs="Times New Roman"/>
          <w:sz w:val="24"/>
          <w:szCs w:val="24"/>
          <w:lang w:eastAsia="pt-BR"/>
        </w:rPr>
        <w:t xml:space="preserve"> </w:t>
      </w:r>
      <w:r w:rsidR="0037373A">
        <w:rPr>
          <w:rFonts w:ascii="Times New Roman" w:eastAsiaTheme="minorEastAsia" w:hAnsi="Times New Roman" w:cs="Times New Roman"/>
          <w:sz w:val="24"/>
          <w:szCs w:val="24"/>
          <w:lang w:eastAsia="pt-BR"/>
        </w:rPr>
        <w:t>A tabela 4 apresenta as variáveis utilizadas pelo modelo onde observamos grande concentração de PL e dívidas entre os cinco maiores bancos do Brasil.</w:t>
      </w:r>
      <w:r w:rsidR="00CE5756" w:rsidRPr="00CE5756">
        <w:rPr>
          <w:noProof/>
          <w:lang w:eastAsia="pt-BR"/>
        </w:rPr>
        <w:drawing>
          <wp:inline distT="0" distB="0" distL="0" distR="0" wp14:anchorId="223CC7DD" wp14:editId="10CC3F88">
            <wp:extent cx="4399472" cy="1690778"/>
            <wp:effectExtent l="0" t="0" r="127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8222" cy="1690298"/>
                    </a:xfrm>
                    <a:prstGeom prst="rect">
                      <a:avLst/>
                    </a:prstGeom>
                    <a:noFill/>
                    <a:ln>
                      <a:noFill/>
                    </a:ln>
                  </pic:spPr>
                </pic:pic>
              </a:graphicData>
            </a:graphic>
          </wp:inline>
        </w:drawing>
      </w:r>
    </w:p>
    <w:p w:rsidR="00AE3455" w:rsidRPr="00BE6974" w:rsidRDefault="00977A31" w:rsidP="00682BEB">
      <w:pPr>
        <w:pStyle w:val="tabela"/>
        <w:rPr>
          <w:rFonts w:eastAsiaTheme="minorEastAsia"/>
          <w:sz w:val="18"/>
        </w:rPr>
      </w:pPr>
      <w:r w:rsidRPr="00BE6974">
        <w:rPr>
          <w:rFonts w:eastAsiaTheme="minorEastAsia"/>
          <w:sz w:val="18"/>
        </w:rPr>
        <w:t xml:space="preserve">Tabela </w:t>
      </w:r>
      <w:r w:rsidR="00CE5756">
        <w:rPr>
          <w:rFonts w:eastAsiaTheme="minorEastAsia"/>
          <w:sz w:val="18"/>
        </w:rPr>
        <w:t>4</w:t>
      </w:r>
      <w:r w:rsidRPr="00BE6974">
        <w:rPr>
          <w:rFonts w:eastAsiaTheme="minorEastAsia"/>
          <w:sz w:val="18"/>
        </w:rPr>
        <w:t xml:space="preserve"> – Estatística d</w:t>
      </w:r>
      <w:r w:rsidR="00AE3455" w:rsidRPr="00BE6974">
        <w:rPr>
          <w:rFonts w:eastAsiaTheme="minorEastAsia"/>
          <w:sz w:val="18"/>
        </w:rPr>
        <w:t>escritiva. Elaboração própria.</w:t>
      </w:r>
    </w:p>
    <w:p w:rsidR="00AE3455" w:rsidRDefault="00AE3455" w:rsidP="00682BEB">
      <w:pPr>
        <w:spacing w:after="0" w:line="240" w:lineRule="auto"/>
        <w:ind w:right="424"/>
        <w:jc w:val="both"/>
        <w:rPr>
          <w:rFonts w:ascii="Times New Roman" w:eastAsiaTheme="minorEastAsia" w:hAnsi="Times New Roman" w:cs="Times New Roman"/>
          <w:sz w:val="18"/>
          <w:szCs w:val="24"/>
          <w:lang w:eastAsia="pt-BR"/>
        </w:rPr>
      </w:pPr>
      <w:r w:rsidRPr="00900BED">
        <w:rPr>
          <w:rFonts w:ascii="Times New Roman" w:eastAsiaTheme="minorEastAsia" w:hAnsi="Times New Roman" w:cs="Times New Roman"/>
          <w:sz w:val="18"/>
          <w:szCs w:val="24"/>
          <w:lang w:eastAsia="pt-BR"/>
        </w:rPr>
        <w:t>Fonte: Relatório de Estabilidade Financeira março 2010 a março 2014 e Relatório Top 50 – BACEN</w:t>
      </w:r>
    </w:p>
    <w:p w:rsidR="00CE5756" w:rsidRDefault="00CE5756" w:rsidP="00963FB2">
      <w:pPr>
        <w:spacing w:after="0" w:line="240" w:lineRule="auto"/>
        <w:ind w:right="424"/>
        <w:jc w:val="both"/>
        <w:rPr>
          <w:rFonts w:ascii="Times New Roman" w:eastAsiaTheme="minorEastAsia" w:hAnsi="Times New Roman" w:cs="Times New Roman"/>
          <w:sz w:val="18"/>
          <w:szCs w:val="24"/>
          <w:lang w:eastAsia="pt-BR"/>
        </w:rPr>
      </w:pPr>
    </w:p>
    <w:p w:rsidR="00682BEB" w:rsidRDefault="00682BEB" w:rsidP="00682BEB">
      <w:pPr>
        <w:spacing w:after="0" w:line="240" w:lineRule="auto"/>
        <w:ind w:right="424"/>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Os bancos da nossa amostra, estão divididos entre a faixa de 1% a 3% (</w:t>
      </w:r>
      <w:proofErr w:type="gramStart"/>
      <w:r>
        <w:rPr>
          <w:rFonts w:ascii="Times New Roman" w:eastAsiaTheme="minorEastAsia" w:hAnsi="Times New Roman" w:cs="Times New Roman"/>
          <w:sz w:val="24"/>
          <w:szCs w:val="24"/>
          <w:lang w:eastAsia="pt-BR"/>
        </w:rPr>
        <w:t>5</w:t>
      </w:r>
      <w:proofErr w:type="gramEnd"/>
      <w:r>
        <w:rPr>
          <w:rFonts w:ascii="Times New Roman" w:eastAsiaTheme="minorEastAsia" w:hAnsi="Times New Roman" w:cs="Times New Roman"/>
          <w:sz w:val="24"/>
          <w:szCs w:val="24"/>
          <w:lang w:eastAsia="pt-BR"/>
        </w:rPr>
        <w:t xml:space="preserve"> bancos) e acima de 3% do PL  (5 bancos), e apresentaram os resultados da tabela 5.</w:t>
      </w:r>
    </w:p>
    <w:p w:rsidR="00682BEB" w:rsidRDefault="00682BEB" w:rsidP="00963FB2">
      <w:pPr>
        <w:spacing w:after="0" w:line="240" w:lineRule="auto"/>
        <w:ind w:right="424"/>
        <w:jc w:val="both"/>
        <w:rPr>
          <w:rFonts w:ascii="Times New Roman" w:eastAsiaTheme="minorEastAsia" w:hAnsi="Times New Roman" w:cs="Times New Roman"/>
          <w:sz w:val="18"/>
          <w:szCs w:val="24"/>
          <w:lang w:eastAsia="pt-BR"/>
        </w:rPr>
      </w:pPr>
    </w:p>
    <w:p w:rsidR="00682BEB" w:rsidRPr="00493DE3" w:rsidRDefault="00682BEB" w:rsidP="00682BEB">
      <w:pPr>
        <w:spacing w:after="120" w:line="240" w:lineRule="auto"/>
        <w:jc w:val="both"/>
        <w:rPr>
          <w:rFonts w:ascii="Times New Roman" w:eastAsiaTheme="minorEastAsia" w:hAnsi="Times New Roman" w:cs="Times New Roman"/>
          <w:sz w:val="24"/>
          <w:szCs w:val="24"/>
          <w:lang w:eastAsia="pt-BR"/>
        </w:rPr>
      </w:pPr>
      <w:r w:rsidRPr="00493DE3">
        <w:rPr>
          <w:rFonts w:ascii="Times New Roman" w:eastAsiaTheme="minorEastAsia" w:hAnsi="Times New Roman" w:cs="Times New Roman"/>
          <w:i/>
          <w:sz w:val="24"/>
          <w:szCs w:val="24"/>
          <w:lang w:eastAsia="pt-BR"/>
        </w:rPr>
        <w:t>Fronteira (</w:t>
      </w:r>
      <m:oMath>
        <m:r>
          <w:rPr>
            <w:rFonts w:ascii="Cambria Math" w:eastAsiaTheme="minorEastAsia" w:hAnsi="Cambria Math" w:cs="Times New Roman"/>
            <w:sz w:val="24"/>
            <w:szCs w:val="24"/>
            <w:lang w:eastAsia="pt-BR"/>
          </w:rPr>
          <m:t>ξ</m:t>
        </m:r>
        <w:proofErr w:type="gramStart"/>
        <m:r>
          <w:rPr>
            <w:rFonts w:ascii="Cambria Math" w:eastAsiaTheme="minorEastAsia" w:hAnsi="Cambria Math" w:cs="Times New Roman"/>
            <w:sz w:val="24"/>
            <w:szCs w:val="24"/>
            <w:lang w:eastAsia="pt-BR"/>
          </w:rPr>
          <m:t>)</m:t>
        </m:r>
      </m:oMath>
      <w:r w:rsidRPr="00493DE3">
        <w:rPr>
          <w:rFonts w:ascii="Times New Roman" w:eastAsiaTheme="minorEastAsia" w:hAnsi="Times New Roman" w:cs="Times New Roman"/>
          <w:i/>
          <w:sz w:val="24"/>
          <w:szCs w:val="24"/>
          <w:lang w:eastAsia="pt-BR"/>
        </w:rPr>
        <w:t>:</w:t>
      </w:r>
      <w:proofErr w:type="gramEnd"/>
      <w:r w:rsidRPr="00493DE3">
        <w:rPr>
          <w:rFonts w:ascii="Times New Roman" w:eastAsiaTheme="minorEastAsia" w:hAnsi="Times New Roman" w:cs="Times New Roman"/>
          <w:sz w:val="24"/>
          <w:szCs w:val="24"/>
          <w:lang w:eastAsia="pt-BR"/>
        </w:rPr>
        <w:t xml:space="preserve">O Banco do Brasil, Itaú Unibanco, Bradesco, BTG Pactual, HSBC e Safra têm sua fronteira dentro da média, de sua faixa definida, do SFN. </w:t>
      </w:r>
      <w:proofErr w:type="spellStart"/>
      <w:r w:rsidRPr="00493DE3">
        <w:rPr>
          <w:rFonts w:ascii="Times New Roman" w:eastAsiaTheme="minorEastAsia" w:hAnsi="Times New Roman" w:cs="Times New Roman"/>
          <w:sz w:val="24"/>
          <w:szCs w:val="24"/>
          <w:lang w:eastAsia="pt-BR"/>
        </w:rPr>
        <w:t>Outliers</w:t>
      </w:r>
      <w:proofErr w:type="spellEnd"/>
      <w:r w:rsidRPr="00493DE3">
        <w:rPr>
          <w:rFonts w:ascii="Times New Roman" w:eastAsiaTheme="minorEastAsia" w:hAnsi="Times New Roman" w:cs="Times New Roman"/>
          <w:sz w:val="24"/>
          <w:szCs w:val="24"/>
          <w:lang w:eastAsia="pt-BR"/>
        </w:rPr>
        <w:t xml:space="preserve">: A Caixa Econômica Federal, Santander, Votorantim e Citibank apresentaram evidências de que possuem uma barreira menor que a média do SFN. </w:t>
      </w:r>
    </w:p>
    <w:p w:rsidR="00E817EA" w:rsidRDefault="00E817EA" w:rsidP="00E817EA">
      <w:pPr>
        <w:spacing w:after="120" w:line="240" w:lineRule="auto"/>
        <w:jc w:val="both"/>
        <w:rPr>
          <w:rFonts w:ascii="Times New Roman" w:eastAsiaTheme="minorEastAsia" w:hAnsi="Times New Roman" w:cs="Times New Roman"/>
          <w:sz w:val="24"/>
          <w:szCs w:val="24"/>
          <w:lang w:eastAsia="pt-BR"/>
        </w:rPr>
      </w:pPr>
      <w:r w:rsidRPr="009B0EB2">
        <w:rPr>
          <w:rFonts w:ascii="Times New Roman" w:eastAsiaTheme="minorEastAsia" w:hAnsi="Times New Roman" w:cs="Times New Roman"/>
          <w:i/>
          <w:sz w:val="24"/>
          <w:szCs w:val="24"/>
          <w:lang w:eastAsia="pt-BR"/>
        </w:rPr>
        <w:t>Patrimônio líquido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S</m:t>
            </m:r>
          </m:e>
          <m:sub>
            <m:r>
              <w:rPr>
                <w:rFonts w:ascii="Cambria Math" w:eastAsiaTheme="minorEastAsia" w:hAnsi="Cambria Math" w:cs="Times New Roman"/>
                <w:sz w:val="24"/>
                <w:szCs w:val="24"/>
                <w:lang w:eastAsia="pt-BR"/>
              </w:rPr>
              <m:t>t</m:t>
            </m:r>
          </m:sub>
        </m:sSub>
      </m:oMath>
      <w:r>
        <w:rPr>
          <w:rFonts w:ascii="Times New Roman" w:eastAsiaTheme="minorEastAsia" w:hAnsi="Times New Roman" w:cs="Times New Roman"/>
          <w:i/>
          <w:sz w:val="24"/>
          <w:szCs w:val="24"/>
          <w:lang w:eastAsia="pt-BR"/>
        </w:rPr>
        <w:t xml:space="preserve">): </w:t>
      </w:r>
      <w:r w:rsidRPr="00493DE3">
        <w:rPr>
          <w:rFonts w:ascii="Times New Roman" w:eastAsiaTheme="minorEastAsia" w:hAnsi="Times New Roman" w:cs="Times New Roman"/>
          <w:i/>
          <w:sz w:val="24"/>
          <w:szCs w:val="24"/>
          <w:lang w:eastAsia="pt-BR"/>
        </w:rPr>
        <w:t xml:space="preserve">O Banco do Brasil, Itaú Unibanco e Safra têm o PL dentro da média. </w:t>
      </w:r>
      <w:proofErr w:type="spellStart"/>
      <w:r w:rsidRPr="009E0044">
        <w:rPr>
          <w:rFonts w:ascii="Times New Roman" w:eastAsiaTheme="minorEastAsia" w:hAnsi="Times New Roman" w:cs="Times New Roman"/>
          <w:i/>
          <w:sz w:val="24"/>
          <w:szCs w:val="24"/>
          <w:lang w:eastAsia="pt-BR"/>
        </w:rPr>
        <w:t>Outliers</w:t>
      </w:r>
      <w:proofErr w:type="spellEnd"/>
      <w:r w:rsidRPr="00493DE3">
        <w:rPr>
          <w:rFonts w:ascii="Times New Roman" w:eastAsiaTheme="minorEastAsia" w:hAnsi="Times New Roman" w:cs="Times New Roman"/>
          <w:i/>
          <w:sz w:val="24"/>
          <w:szCs w:val="24"/>
          <w:lang w:eastAsia="pt-BR"/>
        </w:rPr>
        <w:t>: Bradesco, Caixa Econômica Federal e BTG Pactual apresentaram um PL acima da média, de sua faixa,</w:t>
      </w:r>
      <w:r>
        <w:rPr>
          <w:rFonts w:ascii="Times New Roman" w:eastAsiaTheme="minorEastAsia" w:hAnsi="Times New Roman" w:cs="Times New Roman"/>
          <w:sz w:val="24"/>
          <w:szCs w:val="24"/>
          <w:lang w:eastAsia="pt-BR"/>
        </w:rPr>
        <w:t xml:space="preserve"> sugerindo que esses bancos podem ter um capital de nível I maior que o da média no SFN, ou seja, mais capital de melhor qualidade do que financiamento em dívidas. Já o Santander, HSBC, Votorantim e Citibank apresentaram um PL menor que a média, de sua faixa no SFN, sugerindo que estes bancos podem estar mais capitalizados em financiamentos do que em capital próprio.</w:t>
      </w:r>
    </w:p>
    <w:p w:rsidR="005A02ED" w:rsidRPr="00900BED" w:rsidRDefault="001D2108" w:rsidP="001D2108">
      <w:pPr>
        <w:spacing w:after="0" w:line="240" w:lineRule="auto"/>
        <w:ind w:right="424"/>
        <w:jc w:val="both"/>
        <w:rPr>
          <w:rFonts w:ascii="Times New Roman" w:eastAsiaTheme="minorEastAsia" w:hAnsi="Times New Roman" w:cs="Times New Roman"/>
          <w:sz w:val="18"/>
          <w:szCs w:val="24"/>
          <w:lang w:eastAsia="pt-BR"/>
        </w:rPr>
      </w:pPr>
      <w:r w:rsidRPr="001D2108">
        <w:rPr>
          <w:noProof/>
          <w:lang w:eastAsia="pt-BR"/>
        </w:rPr>
        <w:lastRenderedPageBreak/>
        <w:drawing>
          <wp:inline distT="0" distB="0" distL="0" distR="0" wp14:anchorId="198910B3" wp14:editId="3A525980">
            <wp:extent cx="6479540" cy="154874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9540" cy="1548747"/>
                    </a:xfrm>
                    <a:prstGeom prst="rect">
                      <a:avLst/>
                    </a:prstGeom>
                    <a:noFill/>
                    <a:ln>
                      <a:noFill/>
                    </a:ln>
                  </pic:spPr>
                </pic:pic>
              </a:graphicData>
            </a:graphic>
          </wp:inline>
        </w:drawing>
      </w:r>
    </w:p>
    <w:p w:rsidR="002039E3" w:rsidRPr="00BE6974" w:rsidRDefault="002039E3" w:rsidP="001D2108">
      <w:pPr>
        <w:pStyle w:val="tabela"/>
        <w:rPr>
          <w:rFonts w:eastAsiaTheme="minorEastAsia"/>
          <w:sz w:val="18"/>
        </w:rPr>
      </w:pPr>
      <w:r w:rsidRPr="00BE6974">
        <w:rPr>
          <w:rFonts w:eastAsiaTheme="minorEastAsia"/>
          <w:sz w:val="18"/>
        </w:rPr>
        <w:t xml:space="preserve">Tabela </w:t>
      </w:r>
      <w:r w:rsidR="001D2108">
        <w:rPr>
          <w:rFonts w:eastAsiaTheme="minorEastAsia"/>
          <w:sz w:val="18"/>
        </w:rPr>
        <w:t>5</w:t>
      </w:r>
      <w:r w:rsidRPr="00BE6974">
        <w:rPr>
          <w:rFonts w:eastAsiaTheme="minorEastAsia"/>
          <w:sz w:val="18"/>
        </w:rPr>
        <w:t xml:space="preserve"> – Estatística descritiva do</w:t>
      </w:r>
      <w:r w:rsidR="001D2108">
        <w:rPr>
          <w:rFonts w:eastAsiaTheme="minorEastAsia"/>
          <w:sz w:val="18"/>
        </w:rPr>
        <w:t>s</w:t>
      </w:r>
      <w:r w:rsidRPr="00BE6974">
        <w:rPr>
          <w:rFonts w:eastAsiaTheme="minorEastAsia"/>
          <w:sz w:val="18"/>
        </w:rPr>
        <w:t xml:space="preserve"> </w:t>
      </w:r>
      <w:r w:rsidR="001D2108">
        <w:rPr>
          <w:rFonts w:eastAsiaTheme="minorEastAsia"/>
          <w:sz w:val="18"/>
        </w:rPr>
        <w:t xml:space="preserve">dez </w:t>
      </w:r>
      <w:r w:rsidRPr="00BE6974">
        <w:rPr>
          <w:rFonts w:eastAsiaTheme="minorEastAsia"/>
          <w:sz w:val="18"/>
        </w:rPr>
        <w:t>maiores bancos do Brasil. Elaboração própria.</w:t>
      </w:r>
    </w:p>
    <w:p w:rsidR="002039E3" w:rsidRPr="00963FB2" w:rsidRDefault="002039E3" w:rsidP="001D2108">
      <w:pPr>
        <w:spacing w:after="0" w:line="240" w:lineRule="auto"/>
        <w:jc w:val="both"/>
        <w:rPr>
          <w:rFonts w:ascii="Times New Roman" w:eastAsiaTheme="minorEastAsia" w:hAnsi="Times New Roman" w:cs="Times New Roman"/>
          <w:sz w:val="18"/>
          <w:szCs w:val="24"/>
          <w:lang w:eastAsia="pt-BR"/>
        </w:rPr>
      </w:pPr>
      <w:r w:rsidRPr="00963FB2">
        <w:rPr>
          <w:rFonts w:ascii="Times New Roman" w:eastAsiaTheme="minorEastAsia" w:hAnsi="Times New Roman" w:cs="Times New Roman"/>
          <w:sz w:val="18"/>
          <w:szCs w:val="24"/>
          <w:lang w:eastAsia="pt-BR"/>
        </w:rPr>
        <w:t>Fonte: Relatório de Estabilidade Financeira março 2010 a março 2014 e Relatório Top 50 – BACEN e balanços dos bancos.</w:t>
      </w:r>
    </w:p>
    <w:p w:rsidR="00116ADA" w:rsidRPr="00963FB2" w:rsidRDefault="00116ADA" w:rsidP="00963FB2">
      <w:pPr>
        <w:spacing w:after="0" w:line="240" w:lineRule="auto"/>
        <w:jc w:val="both"/>
        <w:rPr>
          <w:rFonts w:ascii="Times New Roman" w:eastAsiaTheme="minorEastAsia" w:hAnsi="Times New Roman" w:cs="Times New Roman"/>
          <w:sz w:val="18"/>
          <w:szCs w:val="24"/>
          <w:lang w:eastAsia="pt-BR"/>
        </w:rPr>
      </w:pPr>
    </w:p>
    <w:p w:rsidR="000B536F" w:rsidRDefault="000B536F" w:rsidP="00FF5024">
      <w:pPr>
        <w:spacing w:after="120" w:line="240" w:lineRule="auto"/>
        <w:jc w:val="both"/>
        <w:rPr>
          <w:rFonts w:ascii="Times New Roman" w:eastAsiaTheme="minorEastAsia" w:hAnsi="Times New Roman" w:cs="Times New Roman"/>
          <w:sz w:val="24"/>
          <w:szCs w:val="24"/>
          <w:lang w:eastAsia="pt-BR"/>
        </w:rPr>
      </w:pPr>
      <w:r w:rsidRPr="009B0EB2">
        <w:rPr>
          <w:rFonts w:ascii="Times New Roman" w:eastAsiaTheme="minorEastAsia" w:hAnsi="Times New Roman" w:cs="Times New Roman"/>
          <w:i/>
          <w:sz w:val="24"/>
          <w:szCs w:val="24"/>
          <w:lang w:eastAsia="pt-BR"/>
        </w:rPr>
        <w:t>Restrição regulatória (</w:t>
      </w:r>
      <m:oMath>
        <m:r>
          <w:rPr>
            <w:rFonts w:ascii="Cambria Math" w:eastAsiaTheme="minorEastAsia" w:hAnsi="Cambria Math" w:cs="Times New Roman"/>
            <w:sz w:val="24"/>
            <w:szCs w:val="24"/>
            <w:lang w:eastAsia="pt-BR"/>
          </w:rPr>
          <m:t>ϕ</m:t>
        </m:r>
      </m:oMath>
      <w:r w:rsidRPr="009B0EB2">
        <w:rPr>
          <w:rFonts w:ascii="Times New Roman" w:eastAsiaTheme="minorEastAsia" w:hAnsi="Times New Roman" w:cs="Times New Roman"/>
          <w:i/>
          <w:sz w:val="24"/>
          <w:szCs w:val="24"/>
          <w:lang w:eastAsia="pt-BR"/>
        </w:rPr>
        <w:t>)</w:t>
      </w:r>
      <w:r w:rsidR="00DD6B22">
        <w:rPr>
          <w:rFonts w:ascii="Times New Roman" w:eastAsiaTheme="minorEastAsia" w:hAnsi="Times New Roman" w:cs="Times New Roman"/>
          <w:i/>
          <w:sz w:val="24"/>
          <w:szCs w:val="24"/>
          <w:lang w:eastAsia="pt-BR"/>
        </w:rPr>
        <w:t xml:space="preserve">: </w:t>
      </w:r>
      <w:r w:rsidR="00DD6B22">
        <w:rPr>
          <w:rFonts w:ascii="Times New Roman" w:eastAsiaTheme="minorEastAsia" w:hAnsi="Times New Roman" w:cs="Times New Roman"/>
          <w:sz w:val="24"/>
          <w:szCs w:val="24"/>
          <w:lang w:eastAsia="pt-BR"/>
        </w:rPr>
        <w:t xml:space="preserve">O </w:t>
      </w:r>
      <w:r w:rsidR="00886333">
        <w:rPr>
          <w:rFonts w:ascii="Times New Roman" w:eastAsiaTheme="minorEastAsia" w:hAnsi="Times New Roman" w:cs="Times New Roman"/>
          <w:sz w:val="24"/>
          <w:szCs w:val="24"/>
          <w:lang w:eastAsia="pt-BR"/>
        </w:rPr>
        <w:t>Itaú Unibanco, Bradesco</w:t>
      </w:r>
      <w:r>
        <w:rPr>
          <w:rFonts w:ascii="Times New Roman" w:eastAsiaTheme="minorEastAsia" w:hAnsi="Times New Roman" w:cs="Times New Roman"/>
          <w:sz w:val="24"/>
          <w:szCs w:val="24"/>
          <w:lang w:eastAsia="pt-BR"/>
        </w:rPr>
        <w:t xml:space="preserve"> e BTG Pactual estão </w:t>
      </w:r>
      <w:r w:rsidR="004F47E7">
        <w:rPr>
          <w:rFonts w:ascii="Times New Roman" w:eastAsiaTheme="minorEastAsia" w:hAnsi="Times New Roman" w:cs="Times New Roman"/>
          <w:sz w:val="24"/>
          <w:szCs w:val="24"/>
          <w:lang w:eastAsia="pt-BR"/>
        </w:rPr>
        <w:t>dentro da média</w:t>
      </w:r>
      <w:r>
        <w:rPr>
          <w:rFonts w:ascii="Times New Roman" w:eastAsiaTheme="minorEastAsia" w:hAnsi="Times New Roman" w:cs="Times New Roman"/>
          <w:sz w:val="24"/>
          <w:szCs w:val="24"/>
          <w:lang w:eastAsia="pt-BR"/>
        </w:rPr>
        <w:t xml:space="preserve">. </w:t>
      </w:r>
      <w:proofErr w:type="spellStart"/>
      <w:r w:rsidRPr="009E0044">
        <w:rPr>
          <w:rFonts w:ascii="Times New Roman" w:eastAsiaTheme="minorEastAsia" w:hAnsi="Times New Roman" w:cs="Times New Roman"/>
          <w:i/>
          <w:sz w:val="24"/>
          <w:szCs w:val="24"/>
          <w:lang w:eastAsia="pt-BR"/>
        </w:rPr>
        <w:t>Outliers</w:t>
      </w:r>
      <w:proofErr w:type="spellEnd"/>
      <w:r>
        <w:rPr>
          <w:rFonts w:ascii="Times New Roman" w:eastAsiaTheme="minorEastAsia" w:hAnsi="Times New Roman" w:cs="Times New Roman"/>
          <w:sz w:val="24"/>
          <w:szCs w:val="24"/>
          <w:lang w:eastAsia="pt-BR"/>
        </w:rPr>
        <w:t>: Banco do Brasil, Caixa Econômica Federal, Safra</w:t>
      </w:r>
      <w:r w:rsidR="00F257F8">
        <w:rPr>
          <w:rFonts w:ascii="Times New Roman" w:eastAsiaTheme="minorEastAsia" w:hAnsi="Times New Roman" w:cs="Times New Roman"/>
          <w:sz w:val="24"/>
          <w:szCs w:val="24"/>
          <w:lang w:eastAsia="pt-BR"/>
        </w:rPr>
        <w:t>, HSBC, Votorantim</w:t>
      </w:r>
      <w:r>
        <w:rPr>
          <w:rFonts w:ascii="Times New Roman" w:eastAsiaTheme="minorEastAsia" w:hAnsi="Times New Roman" w:cs="Times New Roman"/>
          <w:sz w:val="24"/>
          <w:szCs w:val="24"/>
          <w:lang w:eastAsia="pt-BR"/>
        </w:rPr>
        <w:t xml:space="preserve"> e Citibank, apresentam </w:t>
      </w:r>
      <w:r w:rsidR="009E0044">
        <w:rPr>
          <w:rFonts w:ascii="Times New Roman" w:eastAsiaTheme="minorEastAsia" w:hAnsi="Times New Roman" w:cs="Times New Roman"/>
          <w:sz w:val="24"/>
          <w:szCs w:val="24"/>
          <w:lang w:eastAsia="pt-BR"/>
        </w:rPr>
        <w:t>uma restrição regulatória acima da média</w:t>
      </w:r>
      <w:r w:rsidR="005754DD">
        <w:rPr>
          <w:rFonts w:ascii="Times New Roman" w:eastAsiaTheme="minorEastAsia" w:hAnsi="Times New Roman" w:cs="Times New Roman"/>
          <w:sz w:val="24"/>
          <w:szCs w:val="24"/>
          <w:lang w:eastAsia="pt-BR"/>
        </w:rPr>
        <w:t>, de sua faixa</w:t>
      </w:r>
      <w:r w:rsidR="004F47E7">
        <w:rPr>
          <w:rFonts w:ascii="Times New Roman" w:eastAsiaTheme="minorEastAsia" w:hAnsi="Times New Roman" w:cs="Times New Roman"/>
          <w:sz w:val="24"/>
          <w:szCs w:val="24"/>
          <w:lang w:eastAsia="pt-BR"/>
        </w:rPr>
        <w:t xml:space="preserve"> n</w:t>
      </w:r>
      <w:r w:rsidR="009E0044">
        <w:rPr>
          <w:rFonts w:ascii="Times New Roman" w:eastAsiaTheme="minorEastAsia" w:hAnsi="Times New Roman" w:cs="Times New Roman"/>
          <w:sz w:val="24"/>
          <w:szCs w:val="24"/>
          <w:lang w:eastAsia="pt-BR"/>
        </w:rPr>
        <w:t>o SFN</w:t>
      </w:r>
      <w:r w:rsidR="005754DD">
        <w:rPr>
          <w:rFonts w:ascii="Times New Roman" w:eastAsiaTheme="minorEastAsia" w:hAnsi="Times New Roman" w:cs="Times New Roman"/>
          <w:sz w:val="24"/>
          <w:szCs w:val="24"/>
          <w:lang w:eastAsia="pt-BR"/>
        </w:rPr>
        <w:t>. I</w:t>
      </w:r>
      <w:r w:rsidR="00F257F8">
        <w:rPr>
          <w:rFonts w:ascii="Times New Roman" w:eastAsiaTheme="minorEastAsia" w:hAnsi="Times New Roman" w:cs="Times New Roman"/>
          <w:sz w:val="24"/>
          <w:szCs w:val="24"/>
          <w:lang w:eastAsia="pt-BR"/>
        </w:rPr>
        <w:t>sto sugere que eles</w:t>
      </w:r>
      <w:r w:rsidR="009E0044">
        <w:rPr>
          <w:rFonts w:ascii="Times New Roman" w:eastAsiaTheme="minorEastAsia" w:hAnsi="Times New Roman" w:cs="Times New Roman"/>
          <w:sz w:val="24"/>
          <w:szCs w:val="24"/>
          <w:lang w:eastAsia="pt-BR"/>
        </w:rPr>
        <w:t xml:space="preserve"> </w:t>
      </w:r>
      <w:r>
        <w:rPr>
          <w:rFonts w:ascii="Times New Roman" w:eastAsiaTheme="minorEastAsia" w:hAnsi="Times New Roman" w:cs="Times New Roman"/>
          <w:sz w:val="24"/>
          <w:szCs w:val="24"/>
          <w:lang w:eastAsia="pt-BR"/>
        </w:rPr>
        <w:t xml:space="preserve">possuem um patrimônio de referência mais próximo do patrimônio de referência </w:t>
      </w:r>
      <w:r w:rsidR="009E0044">
        <w:rPr>
          <w:rFonts w:ascii="Times New Roman" w:eastAsiaTheme="minorEastAsia" w:hAnsi="Times New Roman" w:cs="Times New Roman"/>
          <w:sz w:val="24"/>
          <w:szCs w:val="24"/>
          <w:lang w:eastAsia="pt-BR"/>
        </w:rPr>
        <w:t>exigido. Já o Santander apre</w:t>
      </w:r>
      <w:r w:rsidR="006D47DD">
        <w:rPr>
          <w:rFonts w:ascii="Times New Roman" w:eastAsiaTheme="minorEastAsia" w:hAnsi="Times New Roman" w:cs="Times New Roman"/>
          <w:sz w:val="24"/>
          <w:szCs w:val="24"/>
          <w:lang w:eastAsia="pt-BR"/>
        </w:rPr>
        <w:t>sentou uma restrição regulatória</w:t>
      </w:r>
      <w:r w:rsidR="009E0044">
        <w:rPr>
          <w:rFonts w:ascii="Times New Roman" w:eastAsiaTheme="minorEastAsia" w:hAnsi="Times New Roman" w:cs="Times New Roman"/>
          <w:sz w:val="24"/>
          <w:szCs w:val="24"/>
          <w:lang w:eastAsia="pt-BR"/>
        </w:rPr>
        <w:t xml:space="preserve"> meno</w:t>
      </w:r>
      <w:r w:rsidR="006D47DD">
        <w:rPr>
          <w:rFonts w:ascii="Times New Roman" w:eastAsiaTheme="minorEastAsia" w:hAnsi="Times New Roman" w:cs="Times New Roman"/>
          <w:sz w:val="24"/>
          <w:szCs w:val="24"/>
          <w:lang w:eastAsia="pt-BR"/>
        </w:rPr>
        <w:t>r</w:t>
      </w:r>
      <w:r w:rsidR="009E0044">
        <w:rPr>
          <w:rFonts w:ascii="Times New Roman" w:eastAsiaTheme="minorEastAsia" w:hAnsi="Times New Roman" w:cs="Times New Roman"/>
          <w:sz w:val="24"/>
          <w:szCs w:val="24"/>
          <w:lang w:eastAsia="pt-BR"/>
        </w:rPr>
        <w:t xml:space="preserve"> que a média</w:t>
      </w:r>
      <w:r w:rsidR="004F47E7">
        <w:rPr>
          <w:rFonts w:ascii="Times New Roman" w:eastAsiaTheme="minorEastAsia" w:hAnsi="Times New Roman" w:cs="Times New Roman"/>
          <w:sz w:val="24"/>
          <w:szCs w:val="24"/>
          <w:lang w:eastAsia="pt-BR"/>
        </w:rPr>
        <w:t>, de sua faixa no</w:t>
      </w:r>
      <w:r w:rsidR="009E0044">
        <w:rPr>
          <w:rFonts w:ascii="Times New Roman" w:eastAsiaTheme="minorEastAsia" w:hAnsi="Times New Roman" w:cs="Times New Roman"/>
          <w:sz w:val="24"/>
          <w:szCs w:val="24"/>
          <w:lang w:eastAsia="pt-BR"/>
        </w:rPr>
        <w:t xml:space="preserve"> SFN, sugerindo estar </w:t>
      </w:r>
      <w:r w:rsidR="005754DD">
        <w:rPr>
          <w:rFonts w:ascii="Times New Roman" w:eastAsiaTheme="minorEastAsia" w:hAnsi="Times New Roman" w:cs="Times New Roman"/>
          <w:sz w:val="24"/>
          <w:szCs w:val="24"/>
          <w:lang w:eastAsia="pt-BR"/>
        </w:rPr>
        <w:t>c</w:t>
      </w:r>
      <w:r w:rsidR="009E0044">
        <w:rPr>
          <w:rFonts w:ascii="Times New Roman" w:eastAsiaTheme="minorEastAsia" w:hAnsi="Times New Roman" w:cs="Times New Roman"/>
          <w:sz w:val="24"/>
          <w:szCs w:val="24"/>
          <w:lang w:eastAsia="pt-BR"/>
        </w:rPr>
        <w:t>om um patrimônio de referência mais distante do patrimônio de referência exigido.</w:t>
      </w:r>
    </w:p>
    <w:p w:rsidR="00A15074" w:rsidRDefault="004F47E7" w:rsidP="00FF5024">
      <w:pPr>
        <w:spacing w:after="120" w:line="240" w:lineRule="auto"/>
        <w:jc w:val="both"/>
        <w:rPr>
          <w:rFonts w:ascii="Times New Roman" w:eastAsiaTheme="minorEastAsia" w:hAnsi="Times New Roman" w:cs="Times New Roman"/>
          <w:sz w:val="24"/>
          <w:szCs w:val="24"/>
          <w:lang w:eastAsia="pt-BR"/>
        </w:rPr>
      </w:pPr>
      <w:r w:rsidRPr="009B0EB2">
        <w:rPr>
          <w:rFonts w:ascii="Times New Roman" w:eastAsiaTheme="minorEastAsia" w:hAnsi="Times New Roman" w:cs="Times New Roman"/>
          <w:i/>
          <w:sz w:val="24"/>
          <w:szCs w:val="24"/>
          <w:lang w:eastAsia="pt-BR"/>
        </w:rPr>
        <w:t>Dívidas Subordinadas e IHCD</w:t>
      </w:r>
      <w:r w:rsidR="00DD6B22">
        <w:rPr>
          <w:rFonts w:ascii="Times New Roman" w:eastAsiaTheme="minorEastAsia" w:hAnsi="Times New Roman" w:cs="Times New Roman"/>
          <w:i/>
          <w:sz w:val="24"/>
          <w:szCs w:val="24"/>
          <w:lang w:eastAsia="pt-BR"/>
        </w:rPr>
        <w:t xml:space="preserve">: </w:t>
      </w:r>
      <w:r w:rsidR="00DD6B22">
        <w:rPr>
          <w:rFonts w:ascii="Times New Roman" w:eastAsiaTheme="minorEastAsia" w:hAnsi="Times New Roman" w:cs="Times New Roman"/>
          <w:sz w:val="24"/>
          <w:szCs w:val="24"/>
          <w:lang w:eastAsia="pt-BR"/>
        </w:rPr>
        <w:t xml:space="preserve">O </w:t>
      </w:r>
      <w:r w:rsidR="005754DD">
        <w:rPr>
          <w:rFonts w:ascii="Times New Roman" w:eastAsiaTheme="minorEastAsia" w:hAnsi="Times New Roman" w:cs="Times New Roman"/>
          <w:sz w:val="24"/>
          <w:szCs w:val="24"/>
          <w:lang w:eastAsia="pt-BR"/>
        </w:rPr>
        <w:t xml:space="preserve">Banco do Brasil, Santander, HSBC e Safra estão </w:t>
      </w:r>
      <w:r>
        <w:rPr>
          <w:rFonts w:ascii="Times New Roman" w:eastAsiaTheme="minorEastAsia" w:hAnsi="Times New Roman" w:cs="Times New Roman"/>
          <w:sz w:val="24"/>
          <w:szCs w:val="24"/>
          <w:lang w:eastAsia="pt-BR"/>
        </w:rPr>
        <w:t>dentro da média</w:t>
      </w:r>
      <w:r w:rsidR="005754DD">
        <w:rPr>
          <w:rFonts w:ascii="Times New Roman" w:eastAsiaTheme="minorEastAsia" w:hAnsi="Times New Roman" w:cs="Times New Roman"/>
          <w:sz w:val="24"/>
          <w:szCs w:val="24"/>
          <w:lang w:eastAsia="pt-BR"/>
        </w:rPr>
        <w:t xml:space="preserve">. </w:t>
      </w:r>
      <w:proofErr w:type="spellStart"/>
      <w:r w:rsidR="00A15074" w:rsidRPr="009E0044">
        <w:rPr>
          <w:rFonts w:ascii="Times New Roman" w:eastAsiaTheme="minorEastAsia" w:hAnsi="Times New Roman" w:cs="Times New Roman"/>
          <w:i/>
          <w:sz w:val="24"/>
          <w:szCs w:val="24"/>
          <w:lang w:eastAsia="pt-BR"/>
        </w:rPr>
        <w:t>Outliers</w:t>
      </w:r>
      <w:proofErr w:type="spellEnd"/>
      <w:r w:rsidR="00A15074">
        <w:rPr>
          <w:rFonts w:ascii="Times New Roman" w:eastAsiaTheme="minorEastAsia" w:hAnsi="Times New Roman" w:cs="Times New Roman"/>
          <w:sz w:val="24"/>
          <w:szCs w:val="24"/>
          <w:lang w:eastAsia="pt-BR"/>
        </w:rPr>
        <w:t>: Itaú Unibanco, Caixa Econômica Federal, Bradesco e BTG Pactual possuem dívidas subordinadas acima da média, de sua faixa</w:t>
      </w:r>
      <w:r>
        <w:rPr>
          <w:rFonts w:ascii="Times New Roman" w:eastAsiaTheme="minorEastAsia" w:hAnsi="Times New Roman" w:cs="Times New Roman"/>
          <w:sz w:val="24"/>
          <w:szCs w:val="24"/>
          <w:lang w:eastAsia="pt-BR"/>
        </w:rPr>
        <w:t xml:space="preserve"> n</w:t>
      </w:r>
      <w:r w:rsidR="00A15074">
        <w:rPr>
          <w:rFonts w:ascii="Times New Roman" w:eastAsiaTheme="minorEastAsia" w:hAnsi="Times New Roman" w:cs="Times New Roman"/>
          <w:sz w:val="24"/>
          <w:szCs w:val="24"/>
          <w:lang w:eastAsia="pt-BR"/>
        </w:rPr>
        <w:t xml:space="preserve">o SFN. Isso pode significar que eles possuem mais financiamento que o exigido pelas regulamentações do Banco Central do Brasil. </w:t>
      </w:r>
      <w:proofErr w:type="gramStart"/>
      <w:r w:rsidR="00A15074">
        <w:rPr>
          <w:rFonts w:ascii="Times New Roman" w:eastAsiaTheme="minorEastAsia" w:hAnsi="Times New Roman" w:cs="Times New Roman"/>
          <w:sz w:val="24"/>
          <w:szCs w:val="24"/>
          <w:lang w:eastAsia="pt-BR"/>
        </w:rPr>
        <w:t>O Votorantim</w:t>
      </w:r>
      <w:proofErr w:type="gramEnd"/>
      <w:r w:rsidR="00A15074">
        <w:rPr>
          <w:rFonts w:ascii="Times New Roman" w:eastAsiaTheme="minorEastAsia" w:hAnsi="Times New Roman" w:cs="Times New Roman"/>
          <w:sz w:val="24"/>
          <w:szCs w:val="24"/>
          <w:lang w:eastAsia="pt-BR"/>
        </w:rPr>
        <w:t xml:space="preserve"> e o Citibank possuem dívidas subordinadas abaixo, de sua faixa, do SFN</w:t>
      </w:r>
      <w:r w:rsidR="00650E55">
        <w:rPr>
          <w:rFonts w:ascii="Times New Roman" w:eastAsiaTheme="minorEastAsia" w:hAnsi="Times New Roman" w:cs="Times New Roman"/>
          <w:sz w:val="24"/>
          <w:szCs w:val="24"/>
          <w:lang w:eastAsia="pt-BR"/>
        </w:rPr>
        <w:t>, o que pode significar que eles estão mais capitalizado em capital próprio do que em financiamento</w:t>
      </w:r>
      <w:r w:rsidR="00A15074">
        <w:rPr>
          <w:rFonts w:ascii="Times New Roman" w:eastAsiaTheme="minorEastAsia" w:hAnsi="Times New Roman" w:cs="Times New Roman"/>
          <w:sz w:val="24"/>
          <w:szCs w:val="24"/>
          <w:lang w:eastAsia="pt-BR"/>
        </w:rPr>
        <w:t>.</w:t>
      </w:r>
    </w:p>
    <w:p w:rsidR="00EA454B" w:rsidRPr="00674674" w:rsidRDefault="00AC01F8" w:rsidP="00FF5024">
      <w:pPr>
        <w:pStyle w:val="PargrafodaLista"/>
        <w:keepNext/>
        <w:keepLines/>
        <w:numPr>
          <w:ilvl w:val="0"/>
          <w:numId w:val="20"/>
        </w:numPr>
        <w:spacing w:after="120" w:line="240" w:lineRule="auto"/>
        <w:ind w:left="450" w:hanging="450"/>
        <w:outlineLvl w:val="0"/>
        <w:rPr>
          <w:rFonts w:ascii="Times New Roman" w:eastAsiaTheme="majorEastAsia" w:hAnsi="Times New Roman" w:cs="Times New Roman"/>
          <w:b/>
          <w:bCs/>
          <w:sz w:val="24"/>
          <w:szCs w:val="28"/>
        </w:rPr>
      </w:pPr>
      <w:r>
        <w:rPr>
          <w:rFonts w:ascii="Times New Roman" w:eastAsiaTheme="majorEastAsia" w:hAnsi="Times New Roman" w:cs="Times New Roman"/>
          <w:b/>
          <w:bCs/>
          <w:sz w:val="24"/>
          <w:szCs w:val="28"/>
        </w:rPr>
        <w:t>RESULTADOS</w:t>
      </w:r>
    </w:p>
    <w:p w:rsidR="00357FC9" w:rsidRDefault="003A5AC4" w:rsidP="00FF5024">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A</w:t>
      </w:r>
      <w:r w:rsidR="0056607C" w:rsidRPr="00674674">
        <w:rPr>
          <w:rFonts w:ascii="Times New Roman" w:eastAsiaTheme="minorEastAsia" w:hAnsi="Times New Roman" w:cs="Times New Roman"/>
          <w:sz w:val="24"/>
          <w:szCs w:val="24"/>
          <w:lang w:eastAsia="pt-BR"/>
        </w:rPr>
        <w:t>nalisa</w:t>
      </w:r>
      <w:r w:rsidR="00674674">
        <w:rPr>
          <w:rFonts w:ascii="Times New Roman" w:eastAsiaTheme="minorEastAsia" w:hAnsi="Times New Roman" w:cs="Times New Roman"/>
          <w:sz w:val="24"/>
          <w:szCs w:val="24"/>
          <w:lang w:eastAsia="pt-BR"/>
        </w:rPr>
        <w:t>mos</w:t>
      </w:r>
      <w:r w:rsidR="0095450B">
        <w:rPr>
          <w:rFonts w:ascii="Times New Roman" w:eastAsiaTheme="minorEastAsia" w:hAnsi="Times New Roman" w:cs="Times New Roman"/>
          <w:sz w:val="24"/>
          <w:szCs w:val="24"/>
          <w:lang w:eastAsia="pt-BR"/>
        </w:rPr>
        <w:t xml:space="preserve"> </w:t>
      </w:r>
      <w:r w:rsidR="0056607C" w:rsidRPr="00674674">
        <w:rPr>
          <w:rFonts w:ascii="Times New Roman" w:eastAsiaTheme="minorEastAsia" w:hAnsi="Times New Roman" w:cs="Times New Roman"/>
          <w:sz w:val="24"/>
          <w:szCs w:val="24"/>
          <w:lang w:eastAsia="pt-BR"/>
        </w:rPr>
        <w:t>os</w:t>
      </w:r>
      <w:r w:rsidR="00263464" w:rsidRPr="00674674">
        <w:rPr>
          <w:rFonts w:ascii="Times New Roman" w:eastAsiaTheme="minorEastAsia" w:hAnsi="Times New Roman" w:cs="Times New Roman"/>
          <w:sz w:val="24"/>
          <w:szCs w:val="24"/>
          <w:lang w:eastAsia="pt-BR"/>
        </w:rPr>
        <w:t xml:space="preserve"> </w:t>
      </w:r>
      <w:r w:rsidR="00547FE5" w:rsidRPr="00674674">
        <w:rPr>
          <w:rFonts w:ascii="Times New Roman" w:eastAsiaTheme="minorEastAsia" w:hAnsi="Times New Roman" w:cs="Times New Roman"/>
          <w:sz w:val="24"/>
          <w:szCs w:val="24"/>
          <w:lang w:eastAsia="pt-BR"/>
        </w:rPr>
        <w:t>10 maiores bancos em a</w:t>
      </w:r>
      <w:r w:rsidR="00C953F2" w:rsidRPr="00674674">
        <w:rPr>
          <w:rFonts w:ascii="Times New Roman" w:eastAsiaTheme="minorEastAsia" w:hAnsi="Times New Roman" w:cs="Times New Roman"/>
          <w:sz w:val="24"/>
          <w:szCs w:val="24"/>
          <w:lang w:eastAsia="pt-BR"/>
        </w:rPr>
        <w:t xml:space="preserve">tivo </w:t>
      </w:r>
      <w:r w:rsidR="00547FE5" w:rsidRPr="00674674">
        <w:rPr>
          <w:rFonts w:ascii="Times New Roman" w:eastAsiaTheme="minorEastAsia" w:hAnsi="Times New Roman" w:cs="Times New Roman"/>
          <w:sz w:val="24"/>
          <w:szCs w:val="24"/>
          <w:lang w:eastAsia="pt-BR"/>
        </w:rPr>
        <w:t>t</w:t>
      </w:r>
      <w:r w:rsidR="00C953F2" w:rsidRPr="00674674">
        <w:rPr>
          <w:rFonts w:ascii="Times New Roman" w:eastAsiaTheme="minorEastAsia" w:hAnsi="Times New Roman" w:cs="Times New Roman"/>
          <w:sz w:val="24"/>
          <w:szCs w:val="24"/>
          <w:lang w:eastAsia="pt-BR"/>
        </w:rPr>
        <w:t>otal</w:t>
      </w:r>
      <w:r w:rsidR="00263464" w:rsidRPr="00674674">
        <w:rPr>
          <w:rFonts w:ascii="Times New Roman" w:eastAsiaTheme="minorEastAsia" w:hAnsi="Times New Roman" w:cs="Times New Roman"/>
          <w:sz w:val="24"/>
          <w:szCs w:val="24"/>
          <w:lang w:eastAsia="pt-BR"/>
        </w:rPr>
        <w:t xml:space="preserve"> do </w:t>
      </w:r>
      <w:r w:rsidR="007A54B8">
        <w:rPr>
          <w:rFonts w:ascii="Times New Roman" w:eastAsiaTheme="minorEastAsia" w:hAnsi="Times New Roman" w:cs="Times New Roman"/>
          <w:sz w:val="24"/>
          <w:szCs w:val="24"/>
          <w:lang w:eastAsia="pt-BR"/>
        </w:rPr>
        <w:t>SFN</w:t>
      </w:r>
      <w:r w:rsidR="00263464" w:rsidRPr="00674674">
        <w:rPr>
          <w:rFonts w:ascii="Times New Roman" w:eastAsiaTheme="minorEastAsia" w:hAnsi="Times New Roman" w:cs="Times New Roman"/>
          <w:sz w:val="24"/>
          <w:szCs w:val="24"/>
          <w:lang w:eastAsia="pt-BR"/>
        </w:rPr>
        <w:t xml:space="preserve"> do Brasil</w:t>
      </w:r>
      <w:r w:rsidR="00C953F2" w:rsidRPr="00674674">
        <w:rPr>
          <w:rFonts w:ascii="Times New Roman" w:eastAsiaTheme="minorEastAsia" w:hAnsi="Times New Roman" w:cs="Times New Roman"/>
          <w:sz w:val="24"/>
          <w:szCs w:val="24"/>
          <w:lang w:eastAsia="pt-BR"/>
        </w:rPr>
        <w:t xml:space="preserve">, sendo eles em ordem </w:t>
      </w:r>
      <w:r w:rsidR="00547FE5" w:rsidRPr="00674674">
        <w:rPr>
          <w:rFonts w:ascii="Times New Roman" w:eastAsiaTheme="minorEastAsia" w:hAnsi="Times New Roman" w:cs="Times New Roman"/>
          <w:sz w:val="24"/>
          <w:szCs w:val="24"/>
          <w:lang w:eastAsia="pt-BR"/>
        </w:rPr>
        <w:t>decrescente</w:t>
      </w:r>
      <w:r w:rsidR="00674674">
        <w:rPr>
          <w:rFonts w:ascii="Times New Roman" w:eastAsiaTheme="minorEastAsia" w:hAnsi="Times New Roman" w:cs="Times New Roman"/>
          <w:sz w:val="24"/>
          <w:szCs w:val="24"/>
          <w:lang w:eastAsia="pt-BR"/>
        </w:rPr>
        <w:t xml:space="preserve"> de total de ativos</w:t>
      </w:r>
      <w:r w:rsidR="00C953F2" w:rsidRPr="00674674">
        <w:rPr>
          <w:rFonts w:ascii="Times New Roman" w:eastAsiaTheme="minorEastAsia" w:hAnsi="Times New Roman" w:cs="Times New Roman"/>
          <w:sz w:val="24"/>
          <w:szCs w:val="24"/>
          <w:lang w:eastAsia="pt-BR"/>
        </w:rPr>
        <w:t xml:space="preserve">: Banco do Brasil, Itaú Unibanco, Caixa Econômica Federal, Bradesco, Santander, HSBC, Safra, BTG </w:t>
      </w:r>
      <w:r w:rsidR="00F9176C" w:rsidRPr="00674674">
        <w:rPr>
          <w:rFonts w:ascii="Times New Roman" w:eastAsiaTheme="minorEastAsia" w:hAnsi="Times New Roman" w:cs="Times New Roman"/>
          <w:sz w:val="24"/>
          <w:szCs w:val="24"/>
          <w:lang w:eastAsia="pt-BR"/>
        </w:rPr>
        <w:t>Pactual, Votorantim e Citibank</w:t>
      </w:r>
      <w:r w:rsidR="00B44AAB">
        <w:rPr>
          <w:rStyle w:val="Refdenotaderodap"/>
          <w:rFonts w:ascii="Times New Roman" w:eastAsiaTheme="minorEastAsia" w:hAnsi="Times New Roman" w:cs="Times New Roman"/>
          <w:sz w:val="24"/>
          <w:szCs w:val="24"/>
          <w:lang w:eastAsia="pt-BR"/>
        </w:rPr>
        <w:footnoteReference w:id="10"/>
      </w:r>
      <w:r w:rsidR="00F9176C" w:rsidRPr="00674674">
        <w:rPr>
          <w:rFonts w:ascii="Times New Roman" w:eastAsiaTheme="minorEastAsia" w:hAnsi="Times New Roman" w:cs="Times New Roman"/>
          <w:sz w:val="24"/>
          <w:szCs w:val="24"/>
          <w:lang w:eastAsia="pt-BR"/>
        </w:rPr>
        <w:t xml:space="preserve">, totalizando aproximadamente </w:t>
      </w:r>
      <w:r w:rsidR="005F0A00">
        <w:rPr>
          <w:rFonts w:ascii="Times New Roman" w:eastAsiaTheme="minorEastAsia" w:hAnsi="Times New Roman" w:cs="Times New Roman"/>
          <w:sz w:val="24"/>
          <w:szCs w:val="24"/>
          <w:lang w:eastAsia="pt-BR"/>
        </w:rPr>
        <w:t xml:space="preserve">R$ </w:t>
      </w:r>
      <w:r w:rsidR="00C953F2" w:rsidRPr="00674674">
        <w:rPr>
          <w:rFonts w:ascii="Times New Roman" w:eastAsiaTheme="minorEastAsia" w:hAnsi="Times New Roman" w:cs="Times New Roman"/>
          <w:sz w:val="24"/>
          <w:szCs w:val="24"/>
          <w:lang w:eastAsia="pt-BR"/>
        </w:rPr>
        <w:t>5 trilhões em ativos totais</w:t>
      </w:r>
      <w:r w:rsidR="00F9176C" w:rsidRPr="00674674">
        <w:rPr>
          <w:rFonts w:ascii="Times New Roman" w:eastAsiaTheme="minorEastAsia" w:hAnsi="Times New Roman" w:cs="Times New Roman"/>
          <w:sz w:val="24"/>
          <w:szCs w:val="24"/>
          <w:lang w:eastAsia="pt-BR"/>
        </w:rPr>
        <w:t xml:space="preserve">, o que </w:t>
      </w:r>
      <w:r w:rsidR="00C953F2" w:rsidRPr="00674674">
        <w:rPr>
          <w:rFonts w:ascii="Times New Roman" w:eastAsiaTheme="minorEastAsia" w:hAnsi="Times New Roman" w:cs="Times New Roman"/>
          <w:sz w:val="24"/>
          <w:szCs w:val="24"/>
          <w:lang w:eastAsia="pt-BR"/>
        </w:rPr>
        <w:t xml:space="preserve">representa 89% do </w:t>
      </w:r>
      <w:r w:rsidR="008929A5">
        <w:rPr>
          <w:rFonts w:ascii="Times New Roman" w:eastAsiaTheme="minorEastAsia" w:hAnsi="Times New Roman" w:cs="Times New Roman"/>
          <w:sz w:val="24"/>
          <w:szCs w:val="24"/>
          <w:lang w:eastAsia="pt-BR"/>
        </w:rPr>
        <w:t>C</w:t>
      </w:r>
      <w:r w:rsidR="00C953F2" w:rsidRPr="00674674">
        <w:rPr>
          <w:rFonts w:ascii="Times New Roman" w:eastAsiaTheme="minorEastAsia" w:hAnsi="Times New Roman" w:cs="Times New Roman"/>
          <w:sz w:val="24"/>
          <w:szCs w:val="24"/>
          <w:lang w:eastAsia="pt-BR"/>
        </w:rPr>
        <w:t xml:space="preserve">onsolidado </w:t>
      </w:r>
      <w:r w:rsidR="008929A5">
        <w:rPr>
          <w:rFonts w:ascii="Times New Roman" w:eastAsiaTheme="minorEastAsia" w:hAnsi="Times New Roman" w:cs="Times New Roman"/>
          <w:sz w:val="24"/>
          <w:szCs w:val="24"/>
          <w:lang w:eastAsia="pt-BR"/>
        </w:rPr>
        <w:t>F</w:t>
      </w:r>
      <w:r w:rsidR="00C953F2" w:rsidRPr="00674674">
        <w:rPr>
          <w:rFonts w:ascii="Times New Roman" w:eastAsiaTheme="minorEastAsia" w:hAnsi="Times New Roman" w:cs="Times New Roman"/>
          <w:sz w:val="24"/>
          <w:szCs w:val="24"/>
          <w:lang w:eastAsia="pt-BR"/>
        </w:rPr>
        <w:t>inanceiro I e 75,1% do S</w:t>
      </w:r>
      <w:r w:rsidR="005F0A00">
        <w:rPr>
          <w:rFonts w:ascii="Times New Roman" w:eastAsiaTheme="minorEastAsia" w:hAnsi="Times New Roman" w:cs="Times New Roman"/>
          <w:sz w:val="24"/>
          <w:szCs w:val="24"/>
          <w:lang w:eastAsia="pt-BR"/>
        </w:rPr>
        <w:t>istema Financeiro Nacional</w:t>
      </w:r>
      <w:r w:rsidR="00C953F2" w:rsidRPr="00674674">
        <w:rPr>
          <w:rFonts w:ascii="Times New Roman" w:eastAsiaTheme="minorEastAsia" w:hAnsi="Times New Roman" w:cs="Times New Roman"/>
          <w:sz w:val="24"/>
          <w:szCs w:val="24"/>
          <w:lang w:eastAsia="pt-BR"/>
        </w:rPr>
        <w:t>.</w:t>
      </w:r>
      <w:r w:rsidR="00963FB2">
        <w:rPr>
          <w:rFonts w:ascii="Times New Roman" w:eastAsiaTheme="minorEastAsia" w:hAnsi="Times New Roman" w:cs="Times New Roman"/>
          <w:sz w:val="24"/>
          <w:szCs w:val="24"/>
          <w:lang w:eastAsia="pt-BR"/>
        </w:rPr>
        <w:t xml:space="preserve"> </w:t>
      </w:r>
    </w:p>
    <w:p w:rsidR="00357FC9" w:rsidRDefault="003A5AC4" w:rsidP="00493DE3">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O modelo estima a dívida ótima, com base no PL estimado pelo fluxo de caixa e endividamento no banco. No Brasil, o PL dos bancos não é composto apenas pelo capital social e lucros, existem outros elementos específic</w:t>
      </w:r>
      <w:r w:rsidR="00493DE3">
        <w:rPr>
          <w:rFonts w:ascii="Times New Roman" w:eastAsiaTheme="minorEastAsia" w:hAnsi="Times New Roman" w:cs="Times New Roman"/>
          <w:sz w:val="24"/>
          <w:szCs w:val="24"/>
          <w:lang w:eastAsia="pt-BR"/>
        </w:rPr>
        <w:t>o</w:t>
      </w:r>
      <w:r>
        <w:rPr>
          <w:rFonts w:ascii="Times New Roman" w:eastAsiaTheme="minorEastAsia" w:hAnsi="Times New Roman" w:cs="Times New Roman"/>
          <w:sz w:val="24"/>
          <w:szCs w:val="24"/>
          <w:lang w:eastAsia="pt-BR"/>
        </w:rPr>
        <w:t xml:space="preserve">s </w:t>
      </w:r>
      <w:r w:rsidR="00493DE3">
        <w:rPr>
          <w:rFonts w:ascii="Times New Roman" w:eastAsiaTheme="minorEastAsia" w:hAnsi="Times New Roman" w:cs="Times New Roman"/>
          <w:sz w:val="24"/>
          <w:szCs w:val="24"/>
          <w:lang w:eastAsia="pt-BR"/>
        </w:rPr>
        <w:t>que</w:t>
      </w:r>
      <w:r>
        <w:rPr>
          <w:rFonts w:ascii="Times New Roman" w:eastAsiaTheme="minorEastAsia" w:hAnsi="Times New Roman" w:cs="Times New Roman"/>
          <w:sz w:val="24"/>
          <w:szCs w:val="24"/>
          <w:lang w:eastAsia="pt-BR"/>
        </w:rPr>
        <w:t xml:space="preserve"> geram o descolamento entre o realizado e o estimado. De qualquer forma, estamos interessados em avaliar </w:t>
      </w:r>
      <w:r w:rsidR="00493DE3">
        <w:rPr>
          <w:rFonts w:ascii="Times New Roman" w:eastAsiaTheme="minorEastAsia" w:hAnsi="Times New Roman" w:cs="Times New Roman"/>
          <w:sz w:val="24"/>
          <w:szCs w:val="24"/>
          <w:lang w:eastAsia="pt-BR"/>
        </w:rPr>
        <w:t xml:space="preserve">a estrutura de capital </w:t>
      </w:r>
      <w:r>
        <w:rPr>
          <w:rFonts w:ascii="Times New Roman" w:eastAsiaTheme="minorEastAsia" w:hAnsi="Times New Roman" w:cs="Times New Roman"/>
          <w:sz w:val="24"/>
          <w:szCs w:val="24"/>
          <w:lang w:eastAsia="pt-BR"/>
        </w:rPr>
        <w:t xml:space="preserve">comparativamente e, </w:t>
      </w:r>
      <w:r w:rsidR="00493DE3">
        <w:rPr>
          <w:rFonts w:ascii="Times New Roman" w:eastAsiaTheme="minorEastAsia" w:hAnsi="Times New Roman" w:cs="Times New Roman"/>
          <w:sz w:val="24"/>
          <w:szCs w:val="24"/>
          <w:lang w:eastAsia="pt-BR"/>
        </w:rPr>
        <w:t>para o</w:t>
      </w:r>
      <w:r>
        <w:rPr>
          <w:rFonts w:ascii="Times New Roman" w:eastAsiaTheme="minorEastAsia" w:hAnsi="Times New Roman" w:cs="Times New Roman"/>
          <w:sz w:val="24"/>
          <w:szCs w:val="24"/>
          <w:lang w:eastAsia="pt-BR"/>
        </w:rPr>
        <w:t xml:space="preserve"> mesmo banco, com dívidas subordinadas e </w:t>
      </w:r>
      <w:proofErr w:type="spellStart"/>
      <w:proofErr w:type="gramStart"/>
      <w:r>
        <w:rPr>
          <w:rFonts w:ascii="Times New Roman" w:eastAsiaTheme="minorEastAsia" w:hAnsi="Times New Roman" w:cs="Times New Roman"/>
          <w:sz w:val="24"/>
          <w:szCs w:val="24"/>
          <w:lang w:eastAsia="pt-BR"/>
        </w:rPr>
        <w:t>CoCos</w:t>
      </w:r>
      <w:proofErr w:type="spellEnd"/>
      <w:proofErr w:type="gramEnd"/>
      <w:r>
        <w:rPr>
          <w:rFonts w:ascii="Times New Roman" w:eastAsiaTheme="minorEastAsia" w:hAnsi="Times New Roman" w:cs="Times New Roman"/>
          <w:sz w:val="24"/>
          <w:szCs w:val="24"/>
          <w:lang w:eastAsia="pt-BR"/>
        </w:rPr>
        <w:t xml:space="preserve">, </w:t>
      </w:r>
      <w:r w:rsidR="00493DE3">
        <w:rPr>
          <w:rFonts w:ascii="Times New Roman" w:eastAsiaTheme="minorEastAsia" w:hAnsi="Times New Roman" w:cs="Times New Roman"/>
          <w:sz w:val="24"/>
          <w:szCs w:val="24"/>
          <w:lang w:eastAsia="pt-BR"/>
        </w:rPr>
        <w:t>portanto</w:t>
      </w:r>
      <w:r>
        <w:rPr>
          <w:rFonts w:ascii="Times New Roman" w:eastAsiaTheme="minorEastAsia" w:hAnsi="Times New Roman" w:cs="Times New Roman"/>
          <w:sz w:val="24"/>
          <w:szCs w:val="24"/>
          <w:lang w:eastAsia="pt-BR"/>
        </w:rPr>
        <w:t>, um aumento ou redução do PL não altera a relação interna do banco.</w:t>
      </w:r>
      <w:r w:rsidR="00900BED" w:rsidRPr="00900BED">
        <w:rPr>
          <w:noProof/>
          <w:lang w:eastAsia="pt-BR"/>
        </w:rPr>
        <w:drawing>
          <wp:inline distT="0" distB="0" distL="0" distR="0" wp14:anchorId="147D218E" wp14:editId="1F7D106A">
            <wp:extent cx="6479540" cy="992127"/>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9540" cy="992127"/>
                    </a:xfrm>
                    <a:prstGeom prst="rect">
                      <a:avLst/>
                    </a:prstGeom>
                    <a:noFill/>
                    <a:ln>
                      <a:noFill/>
                    </a:ln>
                  </pic:spPr>
                </pic:pic>
              </a:graphicData>
            </a:graphic>
          </wp:inline>
        </w:drawing>
      </w:r>
    </w:p>
    <w:p w:rsidR="00357FC9" w:rsidRPr="00BE6974" w:rsidRDefault="00357FC9" w:rsidP="002157E3">
      <w:pPr>
        <w:pStyle w:val="tabela"/>
        <w:rPr>
          <w:rFonts w:eastAsiaTheme="minorEastAsia"/>
          <w:sz w:val="18"/>
        </w:rPr>
      </w:pPr>
      <w:r w:rsidRPr="00BE6974">
        <w:rPr>
          <w:rFonts w:eastAsiaTheme="minorEastAsia"/>
          <w:sz w:val="18"/>
        </w:rPr>
        <w:t xml:space="preserve">Tabela </w:t>
      </w:r>
      <w:r w:rsidR="001D2108">
        <w:rPr>
          <w:rFonts w:eastAsiaTheme="minorEastAsia"/>
          <w:sz w:val="18"/>
        </w:rPr>
        <w:t>6</w:t>
      </w:r>
      <w:r w:rsidRPr="00BE6974">
        <w:rPr>
          <w:rFonts w:eastAsiaTheme="minorEastAsia"/>
          <w:sz w:val="18"/>
        </w:rPr>
        <w:t xml:space="preserve"> – Cupom de dívida </w:t>
      </w:r>
      <w:r w:rsidR="00B45EED" w:rsidRPr="00BE6974">
        <w:rPr>
          <w:rFonts w:eastAsiaTheme="minorEastAsia"/>
          <w:sz w:val="18"/>
        </w:rPr>
        <w:t xml:space="preserve">e patrimônio líquido </w:t>
      </w:r>
      <w:r w:rsidRPr="00BE6974">
        <w:rPr>
          <w:rFonts w:eastAsiaTheme="minorEastAsia"/>
          <w:sz w:val="18"/>
        </w:rPr>
        <w:t xml:space="preserve">dos bancos. </w:t>
      </w:r>
      <w:r w:rsidR="002157E3" w:rsidRPr="00BE6974">
        <w:rPr>
          <w:rFonts w:eastAsiaTheme="minorEastAsia"/>
          <w:sz w:val="18"/>
        </w:rPr>
        <w:t>Elaboração própria.</w:t>
      </w:r>
    </w:p>
    <w:p w:rsidR="00804D65" w:rsidRDefault="00804D65" w:rsidP="002157E3">
      <w:pPr>
        <w:autoSpaceDE w:val="0"/>
        <w:autoSpaceDN w:val="0"/>
        <w:adjustRightInd w:val="0"/>
        <w:spacing w:after="0" w:line="240" w:lineRule="auto"/>
        <w:jc w:val="both"/>
        <w:rPr>
          <w:rFonts w:ascii="Times New Roman" w:eastAsiaTheme="minorEastAsia" w:hAnsi="Times New Roman" w:cs="Times New Roman"/>
          <w:sz w:val="20"/>
          <w:szCs w:val="24"/>
          <w:lang w:eastAsia="pt-BR"/>
        </w:rPr>
      </w:pPr>
      <w:r>
        <w:rPr>
          <w:rFonts w:ascii="Times New Roman" w:eastAsiaTheme="minorEastAsia" w:hAnsi="Times New Roman" w:cs="Times New Roman"/>
          <w:sz w:val="20"/>
          <w:szCs w:val="24"/>
          <w:lang w:eastAsia="pt-BR"/>
        </w:rPr>
        <w:t>b* é o cupom ótimo proposto pelo e b atual é o cupom atual aproximado</w:t>
      </w:r>
      <w:r w:rsidR="00B45EED">
        <w:rPr>
          <w:rFonts w:ascii="Times New Roman" w:eastAsiaTheme="minorEastAsia" w:hAnsi="Times New Roman" w:cs="Times New Roman"/>
          <w:sz w:val="20"/>
          <w:szCs w:val="24"/>
          <w:lang w:eastAsia="pt-BR"/>
        </w:rPr>
        <w:t xml:space="preserve">. </w:t>
      </w:r>
    </w:p>
    <w:p w:rsidR="002157E3" w:rsidRDefault="002157E3" w:rsidP="002157E3">
      <w:pPr>
        <w:autoSpaceDE w:val="0"/>
        <w:autoSpaceDN w:val="0"/>
        <w:adjustRightInd w:val="0"/>
        <w:spacing w:after="0" w:line="240" w:lineRule="auto"/>
        <w:jc w:val="both"/>
        <w:rPr>
          <w:rFonts w:ascii="Times New Roman" w:eastAsiaTheme="minorEastAsia" w:hAnsi="Times New Roman" w:cs="Times New Roman"/>
          <w:sz w:val="20"/>
          <w:szCs w:val="24"/>
          <w:lang w:eastAsia="pt-BR"/>
        </w:rPr>
      </w:pPr>
    </w:p>
    <w:p w:rsidR="00434745" w:rsidRDefault="00930B04" w:rsidP="00FF5024">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Send</w:t>
      </w:r>
      <w:r w:rsidR="008929A5">
        <w:rPr>
          <w:rFonts w:ascii="Times New Roman" w:eastAsiaTheme="minorEastAsia" w:hAnsi="Times New Roman" w:cs="Times New Roman"/>
          <w:sz w:val="24"/>
          <w:szCs w:val="24"/>
          <w:lang w:eastAsia="pt-BR"/>
        </w:rPr>
        <w:t>o b*</w:t>
      </w:r>
      <w:r>
        <w:rPr>
          <w:rFonts w:ascii="Times New Roman" w:eastAsiaTheme="minorEastAsia" w:hAnsi="Times New Roman" w:cs="Times New Roman"/>
          <w:sz w:val="24"/>
          <w:szCs w:val="24"/>
          <w:lang w:eastAsia="pt-BR"/>
        </w:rPr>
        <w:t xml:space="preserve"> o cupom</w:t>
      </w:r>
      <w:r w:rsidR="008929A5">
        <w:rPr>
          <w:rFonts w:ascii="Times New Roman" w:eastAsiaTheme="minorEastAsia" w:hAnsi="Times New Roman" w:cs="Times New Roman"/>
          <w:sz w:val="24"/>
          <w:szCs w:val="24"/>
          <w:lang w:eastAsia="pt-BR"/>
        </w:rPr>
        <w:t>,</w:t>
      </w:r>
      <w:r>
        <w:rPr>
          <w:rFonts w:ascii="Times New Roman" w:eastAsiaTheme="minorEastAsia" w:hAnsi="Times New Roman" w:cs="Times New Roman"/>
          <w:sz w:val="24"/>
          <w:szCs w:val="24"/>
          <w:lang w:eastAsia="pt-BR"/>
        </w:rPr>
        <w:t xml:space="preserve"> de dívida ótima</w:t>
      </w:r>
      <w:r w:rsidR="008929A5">
        <w:rPr>
          <w:rFonts w:ascii="Times New Roman" w:eastAsiaTheme="minorEastAsia" w:hAnsi="Times New Roman" w:cs="Times New Roman"/>
          <w:sz w:val="24"/>
          <w:szCs w:val="24"/>
          <w:lang w:eastAsia="pt-BR"/>
        </w:rPr>
        <w:t>,</w:t>
      </w:r>
      <w:r>
        <w:rPr>
          <w:rFonts w:ascii="Times New Roman" w:eastAsiaTheme="minorEastAsia" w:hAnsi="Times New Roman" w:cs="Times New Roman"/>
          <w:sz w:val="24"/>
          <w:szCs w:val="24"/>
          <w:lang w:eastAsia="pt-BR"/>
        </w:rPr>
        <w:t xml:space="preserve"> proposto</w:t>
      </w:r>
      <w:r w:rsidR="008929A5">
        <w:rPr>
          <w:rFonts w:ascii="Times New Roman" w:eastAsiaTheme="minorEastAsia" w:hAnsi="Times New Roman" w:cs="Times New Roman"/>
          <w:sz w:val="24"/>
          <w:szCs w:val="24"/>
          <w:lang w:eastAsia="pt-BR"/>
        </w:rPr>
        <w:t xml:space="preserve"> pelo modelo, </w:t>
      </w:r>
      <w:r>
        <w:rPr>
          <w:rFonts w:ascii="Times New Roman" w:eastAsiaTheme="minorEastAsia" w:hAnsi="Times New Roman" w:cs="Times New Roman"/>
          <w:sz w:val="24"/>
          <w:szCs w:val="24"/>
          <w:lang w:eastAsia="pt-BR"/>
        </w:rPr>
        <w:t>com exceção do Votorantim, todos os bancos aumenta</w:t>
      </w:r>
      <w:r w:rsidR="008929A5">
        <w:rPr>
          <w:rFonts w:ascii="Times New Roman" w:eastAsiaTheme="minorEastAsia" w:hAnsi="Times New Roman" w:cs="Times New Roman"/>
          <w:sz w:val="24"/>
          <w:szCs w:val="24"/>
          <w:lang w:eastAsia="pt-BR"/>
        </w:rPr>
        <w:t>ria</w:t>
      </w:r>
      <w:r>
        <w:rPr>
          <w:rFonts w:ascii="Times New Roman" w:eastAsiaTheme="minorEastAsia" w:hAnsi="Times New Roman" w:cs="Times New Roman"/>
          <w:sz w:val="24"/>
          <w:szCs w:val="24"/>
          <w:lang w:eastAsia="pt-BR"/>
        </w:rPr>
        <w:t>m seus cupons de dívida, e consequentemente seu montante em dívidas subordinadas.</w:t>
      </w:r>
      <w:r w:rsidR="00094745">
        <w:rPr>
          <w:rFonts w:ascii="Times New Roman" w:eastAsiaTheme="minorEastAsia" w:hAnsi="Times New Roman" w:cs="Times New Roman"/>
          <w:sz w:val="24"/>
          <w:szCs w:val="24"/>
          <w:lang w:eastAsia="pt-BR"/>
        </w:rPr>
        <w:t xml:space="preserve"> </w:t>
      </w:r>
    </w:p>
    <w:p w:rsidR="00A034B7" w:rsidRDefault="003C494D" w:rsidP="00A034B7">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Os resultados esperados para a hipótese </w:t>
      </w:r>
      <w:proofErr w:type="gramStart"/>
      <w:r>
        <w:rPr>
          <w:rFonts w:ascii="Times New Roman" w:eastAsiaTheme="minorEastAsia" w:hAnsi="Times New Roman" w:cs="Times New Roman"/>
          <w:sz w:val="24"/>
          <w:szCs w:val="24"/>
          <w:lang w:eastAsia="pt-BR"/>
        </w:rPr>
        <w:t>1</w:t>
      </w:r>
      <w:proofErr w:type="gramEnd"/>
      <w:r>
        <w:rPr>
          <w:rFonts w:ascii="Times New Roman" w:eastAsiaTheme="minorEastAsia" w:hAnsi="Times New Roman" w:cs="Times New Roman"/>
          <w:sz w:val="24"/>
          <w:szCs w:val="24"/>
          <w:lang w:eastAsia="pt-BR"/>
        </w:rPr>
        <w:t>, estão descritos na tabela 7. E a tabela 8, apresenta os resultados de cada um dos bancos da amostra.</w:t>
      </w:r>
    </w:p>
    <w:p w:rsidR="001952F5" w:rsidRDefault="00286C73" w:rsidP="00A034B7">
      <w:pPr>
        <w:spacing w:after="120" w:line="240" w:lineRule="auto"/>
        <w:jc w:val="both"/>
        <w:rPr>
          <w:rFonts w:eastAsiaTheme="minorEastAsia"/>
          <w:sz w:val="24"/>
        </w:rPr>
      </w:pPr>
      <w:r w:rsidRPr="00286C73">
        <w:rPr>
          <w:noProof/>
          <w:lang w:eastAsia="pt-BR"/>
        </w:rPr>
        <w:lastRenderedPageBreak/>
        <w:drawing>
          <wp:inline distT="0" distB="0" distL="0" distR="0" wp14:anchorId="1520AB4F" wp14:editId="2158A6C8">
            <wp:extent cx="5430276" cy="1671083"/>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3057" cy="1675016"/>
                    </a:xfrm>
                    <a:prstGeom prst="rect">
                      <a:avLst/>
                    </a:prstGeom>
                    <a:noFill/>
                    <a:ln>
                      <a:noFill/>
                    </a:ln>
                  </pic:spPr>
                </pic:pic>
              </a:graphicData>
            </a:graphic>
          </wp:inline>
        </w:drawing>
      </w:r>
      <w:r w:rsidR="00434745">
        <w:rPr>
          <w:rFonts w:eastAsiaTheme="minorEastAsia"/>
          <w:sz w:val="24"/>
        </w:rPr>
        <w:t xml:space="preserve"> </w:t>
      </w:r>
    </w:p>
    <w:p w:rsidR="0092783C" w:rsidRPr="00BE6974" w:rsidRDefault="001952F5" w:rsidP="001952F5">
      <w:pPr>
        <w:pStyle w:val="tabela"/>
        <w:rPr>
          <w:rFonts w:eastAsiaTheme="minorEastAsia"/>
          <w:sz w:val="18"/>
          <w:szCs w:val="18"/>
        </w:rPr>
      </w:pPr>
      <w:r w:rsidRPr="00BE6974">
        <w:rPr>
          <w:rFonts w:eastAsiaTheme="minorEastAsia"/>
          <w:sz w:val="18"/>
          <w:szCs w:val="18"/>
        </w:rPr>
        <w:t>T</w:t>
      </w:r>
      <w:r w:rsidR="0092783C" w:rsidRPr="00BE6974">
        <w:rPr>
          <w:rFonts w:eastAsiaTheme="minorEastAsia"/>
          <w:sz w:val="18"/>
          <w:szCs w:val="18"/>
        </w:rPr>
        <w:t xml:space="preserve">abela </w:t>
      </w:r>
      <w:r w:rsidR="001D2108">
        <w:rPr>
          <w:rFonts w:eastAsiaTheme="minorEastAsia"/>
          <w:sz w:val="18"/>
          <w:szCs w:val="18"/>
        </w:rPr>
        <w:t>7</w:t>
      </w:r>
      <w:r w:rsidR="0092783C" w:rsidRPr="00BE6974">
        <w:rPr>
          <w:rFonts w:eastAsiaTheme="minorEastAsia"/>
          <w:sz w:val="18"/>
          <w:szCs w:val="18"/>
        </w:rPr>
        <w:t xml:space="preserve"> – Resultados esperados pelo modelo</w:t>
      </w:r>
      <w:r w:rsidR="00357FC9" w:rsidRPr="00BE6974">
        <w:rPr>
          <w:rFonts w:eastAsiaTheme="minorEastAsia"/>
          <w:sz w:val="18"/>
          <w:szCs w:val="18"/>
        </w:rPr>
        <w:t xml:space="preserve"> para analisar a hipótese um</w:t>
      </w:r>
      <w:r w:rsidR="0092783C" w:rsidRPr="00BE6974">
        <w:rPr>
          <w:rFonts w:eastAsiaTheme="minorEastAsia"/>
          <w:sz w:val="18"/>
          <w:szCs w:val="18"/>
        </w:rPr>
        <w:t>. Elaboração própria.</w:t>
      </w:r>
    </w:p>
    <w:p w:rsidR="006065F1" w:rsidRDefault="006065F1" w:rsidP="006065F1">
      <w:pPr>
        <w:spacing w:after="0" w:line="240" w:lineRule="auto"/>
        <w:jc w:val="both"/>
        <w:rPr>
          <w:rFonts w:ascii="Times New Roman" w:eastAsiaTheme="minorEastAsia" w:hAnsi="Times New Roman" w:cs="Times New Roman"/>
          <w:sz w:val="24"/>
          <w:szCs w:val="24"/>
          <w:lang w:eastAsia="pt-BR"/>
        </w:rPr>
      </w:pPr>
    </w:p>
    <w:p w:rsidR="008929A5" w:rsidRPr="005F7AC1" w:rsidRDefault="00493DE3" w:rsidP="002157E3">
      <w:pPr>
        <w:spacing w:after="0" w:line="240" w:lineRule="auto"/>
        <w:jc w:val="both"/>
        <w:rPr>
          <w:rFonts w:ascii="Times New Roman" w:eastAsiaTheme="minorEastAsia" w:hAnsi="Times New Roman" w:cs="Times New Roman"/>
          <w:sz w:val="24"/>
          <w:szCs w:val="24"/>
          <w:lang w:eastAsia="pt-BR"/>
        </w:rPr>
      </w:pPr>
      <w:r w:rsidRPr="00493DE3">
        <w:rPr>
          <w:noProof/>
          <w:lang w:eastAsia="pt-BR"/>
        </w:rPr>
        <w:drawing>
          <wp:inline distT="0" distB="0" distL="0" distR="0" wp14:anchorId="2B91A5A5" wp14:editId="0D8C7F17">
            <wp:extent cx="6479540" cy="2955133"/>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9540" cy="2955133"/>
                    </a:xfrm>
                    <a:prstGeom prst="rect">
                      <a:avLst/>
                    </a:prstGeom>
                    <a:noFill/>
                    <a:ln>
                      <a:noFill/>
                    </a:ln>
                  </pic:spPr>
                </pic:pic>
              </a:graphicData>
            </a:graphic>
          </wp:inline>
        </w:drawing>
      </w:r>
    </w:p>
    <w:p w:rsidR="008929A5" w:rsidRPr="00493DE3" w:rsidRDefault="008929A5" w:rsidP="002157E3">
      <w:pPr>
        <w:pStyle w:val="tabela"/>
        <w:rPr>
          <w:rFonts w:eastAsiaTheme="minorEastAsia"/>
          <w:sz w:val="18"/>
        </w:rPr>
      </w:pPr>
      <w:r w:rsidRPr="00493DE3">
        <w:rPr>
          <w:rFonts w:eastAsiaTheme="minorEastAsia"/>
          <w:sz w:val="18"/>
        </w:rPr>
        <w:t xml:space="preserve">Tabela </w:t>
      </w:r>
      <w:r w:rsidR="001D2108" w:rsidRPr="00493DE3">
        <w:rPr>
          <w:rFonts w:eastAsiaTheme="minorEastAsia"/>
          <w:sz w:val="18"/>
        </w:rPr>
        <w:t>8</w:t>
      </w:r>
      <w:r w:rsidRPr="00493DE3">
        <w:rPr>
          <w:rFonts w:eastAsiaTheme="minorEastAsia"/>
          <w:sz w:val="18"/>
        </w:rPr>
        <w:t xml:space="preserve"> – Resultados dos bancos para a hipótese um. Elaboração própria.</w:t>
      </w:r>
    </w:p>
    <w:p w:rsidR="002157E3" w:rsidRDefault="002157E3" w:rsidP="002157E3">
      <w:pPr>
        <w:pStyle w:val="tabela"/>
        <w:rPr>
          <w:rFonts w:eastAsiaTheme="minorEastAsia"/>
        </w:rPr>
      </w:pPr>
    </w:p>
    <w:p w:rsidR="00B249E7" w:rsidRPr="00217E23" w:rsidRDefault="000737F6" w:rsidP="00FF5024">
      <w:pPr>
        <w:spacing w:after="120" w:line="240" w:lineRule="auto"/>
        <w:jc w:val="both"/>
        <w:rPr>
          <w:rFonts w:ascii="Times New Roman" w:eastAsiaTheme="minorEastAsia" w:hAnsi="Times New Roman" w:cs="Times New Roman"/>
          <w:sz w:val="20"/>
          <w:szCs w:val="24"/>
          <w:lang w:eastAsia="pt-BR"/>
        </w:rPr>
      </w:pPr>
      <w:r w:rsidRPr="00217E23">
        <w:rPr>
          <w:rFonts w:ascii="Times New Roman" w:eastAsiaTheme="minorEastAsia" w:hAnsi="Times New Roman" w:cs="Times New Roman"/>
          <w:i/>
          <w:sz w:val="24"/>
          <w:szCs w:val="24"/>
          <w:lang w:eastAsia="pt-BR"/>
        </w:rPr>
        <w:t xml:space="preserve">Restrição regulatória de capital mínimo </w:t>
      </w:r>
      <m:oMath>
        <m:r>
          <w:rPr>
            <w:rFonts w:ascii="Cambria Math" w:eastAsiaTheme="minorEastAsia" w:hAnsi="Cambria Math" w:cs="Times New Roman"/>
            <w:sz w:val="24"/>
            <w:szCs w:val="24"/>
            <w:lang w:eastAsia="pt-BR"/>
          </w:rPr>
          <m:t>(ϕ)</m:t>
        </m:r>
      </m:oMath>
      <w:r w:rsidRPr="00217E23">
        <w:rPr>
          <w:rFonts w:ascii="Times New Roman" w:eastAsiaTheme="minorEastAsia" w:hAnsi="Times New Roman" w:cs="Times New Roman"/>
          <w:i/>
          <w:sz w:val="24"/>
          <w:szCs w:val="24"/>
          <w:lang w:eastAsia="pt-BR"/>
        </w:rPr>
        <w:t>:</w:t>
      </w:r>
      <w:r w:rsidR="005D53A8">
        <w:rPr>
          <w:rFonts w:ascii="Times New Roman" w:eastAsiaTheme="minorEastAsia" w:hAnsi="Times New Roman" w:cs="Times New Roman"/>
          <w:i/>
          <w:sz w:val="24"/>
          <w:szCs w:val="24"/>
          <w:lang w:eastAsia="pt-BR"/>
        </w:rPr>
        <w:t xml:space="preserve"> </w:t>
      </w:r>
      <w:r w:rsidRPr="00217E23">
        <w:rPr>
          <w:rFonts w:ascii="Times New Roman" w:eastAsiaTheme="minorEastAsia" w:hAnsi="Times New Roman" w:cs="Times New Roman"/>
          <w:sz w:val="24"/>
          <w:szCs w:val="24"/>
          <w:lang w:eastAsia="pt-BR"/>
        </w:rPr>
        <w:t>As evidências mostram todos</w:t>
      </w:r>
      <w:r w:rsidR="005A4D1A" w:rsidRPr="00217E23">
        <w:rPr>
          <w:rFonts w:ascii="Times New Roman" w:eastAsiaTheme="minorEastAsia" w:hAnsi="Times New Roman" w:cs="Times New Roman"/>
          <w:sz w:val="24"/>
          <w:szCs w:val="24"/>
          <w:lang w:eastAsia="pt-BR"/>
        </w:rPr>
        <w:t xml:space="preserve"> os</w:t>
      </w:r>
      <w:r w:rsidRPr="00217E23">
        <w:rPr>
          <w:rFonts w:ascii="Times New Roman" w:eastAsiaTheme="minorEastAsia" w:hAnsi="Times New Roman" w:cs="Times New Roman"/>
          <w:sz w:val="24"/>
          <w:szCs w:val="24"/>
          <w:lang w:eastAsia="pt-BR"/>
        </w:rPr>
        <w:t xml:space="preserve"> bancos </w:t>
      </w:r>
      <w:r w:rsidR="001A495E" w:rsidRPr="00217E23">
        <w:rPr>
          <w:rFonts w:ascii="Times New Roman" w:eastAsiaTheme="minorEastAsia" w:hAnsi="Times New Roman" w:cs="Times New Roman"/>
          <w:sz w:val="24"/>
          <w:szCs w:val="24"/>
          <w:lang w:eastAsia="pt-BR"/>
        </w:rPr>
        <w:t>com</w:t>
      </w:r>
      <w:r w:rsidRPr="00217E23">
        <w:rPr>
          <w:rFonts w:ascii="Times New Roman" w:eastAsiaTheme="minorEastAsia" w:hAnsi="Times New Roman" w:cs="Times New Roman"/>
          <w:sz w:val="24"/>
          <w:szCs w:val="24"/>
          <w:lang w:eastAsia="pt-BR"/>
        </w:rPr>
        <w:t xml:space="preserve"> parâmetro de restrição regulatória menor que um</w:t>
      </w:r>
      <w:r w:rsidR="005A4D1A" w:rsidRPr="00217E23">
        <w:rPr>
          <w:rFonts w:ascii="Times New Roman" w:eastAsiaTheme="minorEastAsia" w:hAnsi="Times New Roman" w:cs="Times New Roman"/>
          <w:sz w:val="24"/>
          <w:szCs w:val="24"/>
          <w:lang w:eastAsia="pt-BR"/>
        </w:rPr>
        <w:t>. Este resultado sugere que,</w:t>
      </w:r>
      <w:r w:rsidR="00250BD4" w:rsidRPr="00217E23">
        <w:rPr>
          <w:rFonts w:ascii="Times New Roman" w:eastAsiaTheme="minorEastAsia" w:hAnsi="Times New Roman" w:cs="Times New Roman"/>
          <w:sz w:val="24"/>
          <w:szCs w:val="24"/>
          <w:lang w:eastAsia="pt-BR"/>
        </w:rPr>
        <w:t xml:space="preserve"> segundo o modelo,</w:t>
      </w:r>
      <w:r w:rsidR="005A4D1A" w:rsidRPr="00217E23">
        <w:rPr>
          <w:rFonts w:ascii="Times New Roman" w:eastAsiaTheme="minorEastAsia" w:hAnsi="Times New Roman" w:cs="Times New Roman"/>
          <w:sz w:val="24"/>
          <w:szCs w:val="24"/>
          <w:lang w:eastAsia="pt-BR"/>
        </w:rPr>
        <w:t xml:space="preserve"> os 10 bancos são capazes de levantar capital, mesmo em situaç</w:t>
      </w:r>
      <w:r w:rsidR="001A495E" w:rsidRPr="00217E23">
        <w:rPr>
          <w:rFonts w:ascii="Times New Roman" w:eastAsiaTheme="minorEastAsia" w:hAnsi="Times New Roman" w:cs="Times New Roman"/>
          <w:sz w:val="24"/>
          <w:szCs w:val="24"/>
          <w:lang w:eastAsia="pt-BR"/>
        </w:rPr>
        <w:t>ões</w:t>
      </w:r>
      <w:r w:rsidR="005A4D1A" w:rsidRPr="00217E23">
        <w:rPr>
          <w:rFonts w:ascii="Times New Roman" w:eastAsiaTheme="minorEastAsia" w:hAnsi="Times New Roman" w:cs="Times New Roman"/>
          <w:sz w:val="24"/>
          <w:szCs w:val="24"/>
          <w:lang w:eastAsia="pt-BR"/>
        </w:rPr>
        <w:t xml:space="preserve"> </w:t>
      </w:r>
      <w:r w:rsidR="001A495E" w:rsidRPr="00217E23">
        <w:rPr>
          <w:rFonts w:ascii="Times New Roman" w:eastAsiaTheme="minorEastAsia" w:hAnsi="Times New Roman" w:cs="Times New Roman"/>
          <w:sz w:val="24"/>
          <w:szCs w:val="24"/>
          <w:lang w:eastAsia="pt-BR"/>
        </w:rPr>
        <w:t>onde seus fluxos de caixa estejam abaixo do total de juros a pagar</w:t>
      </w:r>
      <w:r w:rsidR="00D95FB2" w:rsidRPr="00217E23">
        <w:rPr>
          <w:rFonts w:ascii="Times New Roman" w:eastAsiaTheme="minorEastAsia" w:hAnsi="Times New Roman" w:cs="Times New Roman"/>
          <w:sz w:val="24"/>
          <w:szCs w:val="24"/>
          <w:lang w:eastAsia="pt-BR"/>
        </w:rPr>
        <w:t>,</w:t>
      </w:r>
      <w:r w:rsidR="00250BD4" w:rsidRPr="00217E23">
        <w:rPr>
          <w:rFonts w:ascii="Times New Roman" w:eastAsiaTheme="minorEastAsia" w:hAnsi="Times New Roman" w:cs="Times New Roman"/>
          <w:sz w:val="24"/>
          <w:szCs w:val="24"/>
          <w:lang w:eastAsia="pt-BR"/>
        </w:rPr>
        <w:t xml:space="preserve"> e que </w:t>
      </w:r>
      <w:r w:rsidR="00D95FB2" w:rsidRPr="00217E23">
        <w:rPr>
          <w:rFonts w:ascii="Times New Roman" w:eastAsiaTheme="minorEastAsia" w:hAnsi="Times New Roman" w:cs="Times New Roman"/>
          <w:sz w:val="24"/>
          <w:szCs w:val="24"/>
          <w:lang w:eastAsia="pt-BR"/>
        </w:rPr>
        <w:t xml:space="preserve">eles </w:t>
      </w:r>
      <w:r w:rsidR="00250BD4" w:rsidRPr="00217E23">
        <w:rPr>
          <w:rFonts w:ascii="Times New Roman" w:eastAsiaTheme="minorEastAsia" w:hAnsi="Times New Roman" w:cs="Times New Roman"/>
          <w:sz w:val="24"/>
          <w:szCs w:val="24"/>
          <w:lang w:eastAsia="pt-BR"/>
        </w:rPr>
        <w:t xml:space="preserve">estão </w:t>
      </w:r>
      <w:proofErr w:type="spellStart"/>
      <w:r w:rsidR="00250BD4" w:rsidRPr="00217E23">
        <w:rPr>
          <w:rFonts w:ascii="Times New Roman" w:eastAsiaTheme="minorEastAsia" w:hAnsi="Times New Roman" w:cs="Times New Roman"/>
          <w:i/>
          <w:sz w:val="24"/>
          <w:szCs w:val="24"/>
          <w:lang w:eastAsia="pt-BR"/>
        </w:rPr>
        <w:t>compliance</w:t>
      </w:r>
      <w:proofErr w:type="spellEnd"/>
      <w:r w:rsidR="00250BD4" w:rsidRPr="00217E23">
        <w:rPr>
          <w:rFonts w:ascii="Times New Roman" w:eastAsiaTheme="minorEastAsia" w:hAnsi="Times New Roman" w:cs="Times New Roman"/>
          <w:sz w:val="24"/>
          <w:szCs w:val="24"/>
          <w:lang w:eastAsia="pt-BR"/>
        </w:rPr>
        <w:t xml:space="preserve"> com as regras de Basiléia</w:t>
      </w:r>
      <w:r w:rsidR="001A495E" w:rsidRPr="00217E23">
        <w:rPr>
          <w:rFonts w:ascii="Times New Roman" w:eastAsiaTheme="minorEastAsia" w:hAnsi="Times New Roman" w:cs="Times New Roman"/>
          <w:sz w:val="24"/>
          <w:szCs w:val="24"/>
          <w:lang w:eastAsia="pt-BR"/>
        </w:rPr>
        <w:t>.</w:t>
      </w:r>
    </w:p>
    <w:p w:rsidR="00811582" w:rsidRDefault="00FF5CD8" w:rsidP="00A034B7">
      <w:pPr>
        <w:spacing w:after="120" w:line="240" w:lineRule="auto"/>
        <w:jc w:val="both"/>
        <w:rPr>
          <w:rFonts w:ascii="Times New Roman" w:eastAsiaTheme="minorEastAsia" w:hAnsi="Times New Roman" w:cs="Times New Roman"/>
          <w:sz w:val="24"/>
          <w:szCs w:val="24"/>
          <w:lang w:eastAsia="pt-BR"/>
        </w:rPr>
      </w:pPr>
      <w:r w:rsidRPr="00217E23">
        <w:rPr>
          <w:rFonts w:ascii="Times New Roman" w:eastAsiaTheme="minorEastAsia" w:hAnsi="Times New Roman" w:cs="Times New Roman"/>
          <w:i/>
          <w:sz w:val="24"/>
          <w:szCs w:val="24"/>
          <w:lang w:eastAsia="pt-BR"/>
        </w:rPr>
        <w:t xml:space="preserve">Valor do Banco </w:t>
      </w:r>
      <m:oMath>
        <m:d>
          <m:dPr>
            <m:ctrlPr>
              <w:rPr>
                <w:rFonts w:ascii="Cambria Math" w:eastAsiaTheme="minorEastAsia" w:hAnsi="Cambria Math" w:cs="Times New Roman"/>
                <w:i/>
                <w:sz w:val="24"/>
                <w:szCs w:val="24"/>
                <w:lang w:eastAsia="pt-BR"/>
              </w:rPr>
            </m:ctrlPr>
          </m:dPr>
          <m:e>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b</m:t>
                </m:r>
              </m:sup>
            </m:sSubSup>
            <m:r>
              <w:rPr>
                <w:rFonts w:ascii="Cambria Math" w:eastAsiaTheme="minorEastAsia" w:hAnsi="Cambria Math" w:cs="Times New Roman"/>
                <w:sz w:val="24"/>
                <w:szCs w:val="24"/>
                <w:lang w:eastAsia="pt-BR"/>
              </w:rPr>
              <m:t xml:space="preserve"> e </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c</m:t>
                </m:r>
              </m:sup>
            </m:sSubSup>
          </m:e>
        </m:d>
      </m:oMath>
      <w:r w:rsidR="000B3C34" w:rsidRPr="00217E23">
        <w:rPr>
          <w:rFonts w:ascii="Times New Roman" w:eastAsiaTheme="minorEastAsia" w:hAnsi="Times New Roman" w:cs="Times New Roman"/>
          <w:i/>
          <w:sz w:val="24"/>
          <w:szCs w:val="24"/>
          <w:lang w:eastAsia="pt-BR"/>
        </w:rPr>
        <w:t>:</w:t>
      </w:r>
      <w:r w:rsidR="00811582" w:rsidRPr="00217E23">
        <w:rPr>
          <w:rFonts w:ascii="Times New Roman" w:eastAsiaTheme="minorEastAsia" w:hAnsi="Times New Roman" w:cs="Times New Roman"/>
          <w:sz w:val="24"/>
          <w:szCs w:val="24"/>
          <w:lang w:eastAsia="pt-BR"/>
        </w:rPr>
        <w:t xml:space="preserve"> </w:t>
      </w:r>
      <w:r w:rsidR="007B115A">
        <w:rPr>
          <w:rFonts w:ascii="Times New Roman" w:eastAsiaTheme="minorEastAsia" w:hAnsi="Times New Roman" w:cs="Times New Roman"/>
          <w:sz w:val="24"/>
          <w:szCs w:val="24"/>
          <w:lang w:eastAsia="pt-BR"/>
        </w:rPr>
        <w:t>E</w:t>
      </w:r>
      <w:r w:rsidRPr="00217E23">
        <w:rPr>
          <w:rFonts w:ascii="Times New Roman" w:eastAsiaTheme="minorEastAsia" w:hAnsi="Times New Roman" w:cs="Times New Roman"/>
          <w:sz w:val="24"/>
          <w:szCs w:val="24"/>
          <w:lang w:eastAsia="pt-BR"/>
        </w:rPr>
        <w:t xml:space="preserve">stando com a dívida </w:t>
      </w:r>
      <w:r w:rsidR="005C0EFC" w:rsidRPr="00217E23">
        <w:rPr>
          <w:rFonts w:ascii="Times New Roman" w:eastAsiaTheme="minorEastAsia" w:hAnsi="Times New Roman" w:cs="Times New Roman"/>
          <w:sz w:val="24"/>
          <w:szCs w:val="24"/>
          <w:lang w:eastAsia="pt-BR"/>
        </w:rPr>
        <w:t>ótima</w:t>
      </w:r>
      <w:r w:rsidRPr="00217E23">
        <w:rPr>
          <w:rFonts w:ascii="Times New Roman" w:eastAsiaTheme="minorEastAsia" w:hAnsi="Times New Roman" w:cs="Times New Roman"/>
          <w:sz w:val="24"/>
          <w:szCs w:val="24"/>
          <w:lang w:eastAsia="pt-BR"/>
        </w:rPr>
        <w:t>, as evidências</w:t>
      </w:r>
      <w:r w:rsidR="005C0EFC" w:rsidRPr="00217E23">
        <w:rPr>
          <w:rFonts w:ascii="Times New Roman" w:eastAsiaTheme="minorEastAsia" w:hAnsi="Times New Roman" w:cs="Times New Roman"/>
          <w:sz w:val="24"/>
          <w:szCs w:val="24"/>
          <w:lang w:eastAsia="pt-BR"/>
        </w:rPr>
        <w:t xml:space="preserve"> mostram</w:t>
      </w:r>
      <w:r w:rsidRPr="00217E23">
        <w:rPr>
          <w:rFonts w:ascii="Times New Roman" w:eastAsiaTheme="minorEastAsia" w:hAnsi="Times New Roman" w:cs="Times New Roman"/>
          <w:sz w:val="24"/>
          <w:szCs w:val="24"/>
          <w:lang w:eastAsia="pt-BR"/>
        </w:rPr>
        <w:t xml:space="preserve"> </w:t>
      </w:r>
      <w:r w:rsidR="00811582" w:rsidRPr="00217E23">
        <w:rPr>
          <w:rFonts w:ascii="Times New Roman" w:eastAsiaTheme="minorEastAsia" w:hAnsi="Times New Roman" w:cs="Times New Roman"/>
          <w:sz w:val="24"/>
          <w:szCs w:val="24"/>
          <w:lang w:eastAsia="pt-BR"/>
        </w:rPr>
        <w:t>um maior valor para os</w:t>
      </w:r>
      <w:r w:rsidRPr="00217E23">
        <w:rPr>
          <w:rFonts w:ascii="Times New Roman" w:eastAsiaTheme="minorEastAsia" w:hAnsi="Times New Roman" w:cs="Times New Roman"/>
          <w:sz w:val="24"/>
          <w:szCs w:val="24"/>
          <w:lang w:eastAsia="pt-BR"/>
        </w:rPr>
        <w:t xml:space="preserve"> bancos</w:t>
      </w:r>
      <w:r w:rsidR="00811582" w:rsidRPr="00217E23">
        <w:rPr>
          <w:rFonts w:ascii="Times New Roman" w:eastAsiaTheme="minorEastAsia" w:hAnsi="Times New Roman" w:cs="Times New Roman"/>
          <w:sz w:val="24"/>
          <w:szCs w:val="24"/>
          <w:lang w:eastAsia="pt-BR"/>
        </w:rPr>
        <w:t>,</w:t>
      </w:r>
      <w:r w:rsidRPr="00217E23">
        <w:rPr>
          <w:rFonts w:ascii="Times New Roman" w:eastAsiaTheme="minorEastAsia" w:hAnsi="Times New Roman" w:cs="Times New Roman"/>
          <w:sz w:val="24"/>
          <w:szCs w:val="24"/>
          <w:lang w:eastAsia="pt-BR"/>
        </w:rPr>
        <w:t xml:space="preserve"> </w:t>
      </w:r>
      <w:r w:rsidR="00811582" w:rsidRPr="00217E23">
        <w:rPr>
          <w:rFonts w:ascii="Times New Roman" w:eastAsiaTheme="minorEastAsia" w:hAnsi="Times New Roman" w:cs="Times New Roman"/>
          <w:sz w:val="24"/>
          <w:szCs w:val="24"/>
          <w:lang w:eastAsia="pt-BR"/>
        </w:rPr>
        <w:t xml:space="preserve">quando </w:t>
      </w:r>
      <w:r w:rsidRPr="00217E23">
        <w:rPr>
          <w:rFonts w:ascii="Times New Roman" w:eastAsiaTheme="minorEastAsia" w:hAnsi="Times New Roman" w:cs="Times New Roman"/>
          <w:sz w:val="24"/>
          <w:szCs w:val="24"/>
          <w:lang w:eastAsia="pt-BR"/>
        </w:rPr>
        <w:t xml:space="preserve">financiados por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357FC9" w:rsidRPr="00217E23">
        <w:rPr>
          <w:rFonts w:ascii="Times New Roman" w:eastAsiaTheme="minorEastAsia" w:hAnsi="Times New Roman" w:cs="Times New Roman"/>
          <w:sz w:val="24"/>
          <w:szCs w:val="24"/>
          <w:lang w:eastAsia="pt-BR"/>
        </w:rPr>
        <w:t>,</w:t>
      </w:r>
      <w:r w:rsidRPr="00217E23">
        <w:rPr>
          <w:rFonts w:ascii="Times New Roman" w:eastAsiaTheme="minorEastAsia" w:hAnsi="Times New Roman" w:cs="Times New Roman"/>
          <w:sz w:val="24"/>
          <w:szCs w:val="24"/>
          <w:lang w:eastAsia="pt-BR"/>
        </w:rPr>
        <w:t xml:space="preserve"> do que com dívidas subordinadas</w:t>
      </w:r>
      <w:r w:rsidR="00A22540" w:rsidRPr="00217E23">
        <w:rPr>
          <w:rFonts w:ascii="Times New Roman" w:eastAsiaTheme="minorEastAsia" w:hAnsi="Times New Roman" w:cs="Times New Roman"/>
          <w:sz w:val="24"/>
          <w:szCs w:val="24"/>
          <w:lang w:eastAsia="pt-BR"/>
        </w:rPr>
        <w:t>, com exceção d</w:t>
      </w:r>
      <w:r w:rsidRPr="00217E23">
        <w:rPr>
          <w:rFonts w:ascii="Times New Roman" w:eastAsiaTheme="minorEastAsia" w:hAnsi="Times New Roman" w:cs="Times New Roman"/>
          <w:sz w:val="24"/>
          <w:szCs w:val="24"/>
          <w:lang w:eastAsia="pt-BR"/>
        </w:rPr>
        <w:t>a Caixa Econômica</w:t>
      </w:r>
      <w:r w:rsidR="00F7201B" w:rsidRPr="00217E23">
        <w:rPr>
          <w:rFonts w:ascii="Times New Roman" w:eastAsiaTheme="minorEastAsia" w:hAnsi="Times New Roman" w:cs="Times New Roman"/>
          <w:sz w:val="24"/>
          <w:szCs w:val="24"/>
          <w:lang w:eastAsia="pt-BR"/>
        </w:rPr>
        <w:t xml:space="preserve"> </w:t>
      </w:r>
      <w:r w:rsidR="00357FC9" w:rsidRPr="00217E23">
        <w:rPr>
          <w:rFonts w:ascii="Times New Roman" w:eastAsiaTheme="minorEastAsia" w:hAnsi="Times New Roman" w:cs="Times New Roman"/>
          <w:sz w:val="24"/>
          <w:szCs w:val="24"/>
          <w:lang w:eastAsia="pt-BR"/>
        </w:rPr>
        <w:t>Federal</w:t>
      </w:r>
      <w:r w:rsidR="00F7201B" w:rsidRPr="00217E23">
        <w:rPr>
          <w:rFonts w:ascii="Times New Roman" w:eastAsiaTheme="minorEastAsia" w:hAnsi="Times New Roman" w:cs="Times New Roman"/>
          <w:sz w:val="24"/>
          <w:szCs w:val="24"/>
          <w:lang w:eastAsia="pt-BR"/>
        </w:rPr>
        <w:t>, Safra e Citibank</w:t>
      </w:r>
      <w:r w:rsidR="00A22540" w:rsidRPr="00217E23">
        <w:rPr>
          <w:rFonts w:ascii="Times New Roman" w:eastAsiaTheme="minorEastAsia" w:hAnsi="Times New Roman" w:cs="Times New Roman"/>
          <w:sz w:val="24"/>
          <w:szCs w:val="24"/>
          <w:lang w:eastAsia="pt-BR"/>
        </w:rPr>
        <w:t>.</w:t>
      </w:r>
      <w:r w:rsidR="000C61AE">
        <w:rPr>
          <w:rFonts w:ascii="Times New Roman" w:eastAsiaTheme="minorEastAsia" w:hAnsi="Times New Roman" w:cs="Times New Roman"/>
          <w:sz w:val="24"/>
          <w:szCs w:val="24"/>
          <w:lang w:eastAsia="pt-BR"/>
        </w:rPr>
        <w:t xml:space="preserve"> </w:t>
      </w:r>
      <w:r w:rsidR="00A22540" w:rsidRPr="00217E23">
        <w:rPr>
          <w:rFonts w:ascii="Times New Roman" w:eastAsiaTheme="minorEastAsia" w:hAnsi="Times New Roman" w:cs="Times New Roman"/>
          <w:sz w:val="24"/>
          <w:szCs w:val="24"/>
          <w:lang w:eastAsia="pt-BR"/>
        </w:rPr>
        <w:t xml:space="preserve">A Caixa Econômica Federal e </w:t>
      </w:r>
      <w:proofErr w:type="gramStart"/>
      <w:r w:rsidR="00A22540" w:rsidRPr="00217E23">
        <w:rPr>
          <w:rFonts w:ascii="Times New Roman" w:eastAsiaTheme="minorEastAsia" w:hAnsi="Times New Roman" w:cs="Times New Roman"/>
          <w:sz w:val="24"/>
          <w:szCs w:val="24"/>
          <w:lang w:eastAsia="pt-BR"/>
        </w:rPr>
        <w:t>o Safra</w:t>
      </w:r>
      <w:proofErr w:type="gramEnd"/>
      <w:r w:rsidR="00357FC9" w:rsidRPr="00217E23">
        <w:rPr>
          <w:rFonts w:ascii="Times New Roman" w:eastAsiaTheme="minorEastAsia" w:hAnsi="Times New Roman" w:cs="Times New Roman"/>
          <w:sz w:val="24"/>
          <w:szCs w:val="24"/>
          <w:lang w:eastAsia="pt-BR"/>
        </w:rPr>
        <w:t xml:space="preserve"> apresentaram</w:t>
      </w:r>
      <w:r w:rsidR="00A22540" w:rsidRPr="00217E23">
        <w:rPr>
          <w:rFonts w:ascii="Times New Roman" w:eastAsiaTheme="minorEastAsia" w:hAnsi="Times New Roman" w:cs="Times New Roman"/>
          <w:sz w:val="24"/>
          <w:szCs w:val="24"/>
          <w:lang w:eastAsia="pt-BR"/>
        </w:rPr>
        <w:t xml:space="preserve"> valores exatamente iguais</w:t>
      </w:r>
      <w:r w:rsidR="00357FC9" w:rsidRPr="00217E23">
        <w:rPr>
          <w:rFonts w:ascii="Times New Roman" w:eastAsiaTheme="minorEastAsia" w:hAnsi="Times New Roman" w:cs="Times New Roman"/>
          <w:sz w:val="24"/>
          <w:szCs w:val="24"/>
          <w:lang w:eastAsia="pt-BR"/>
        </w:rPr>
        <w:t>, sugerindo que a estrutura proposta para estes bancos é indiferente ao tipo de financiamento</w:t>
      </w:r>
      <w:r w:rsidR="00A22540" w:rsidRPr="00217E23">
        <w:rPr>
          <w:rFonts w:ascii="Times New Roman" w:eastAsiaTheme="minorEastAsia" w:hAnsi="Times New Roman" w:cs="Times New Roman"/>
          <w:sz w:val="24"/>
          <w:szCs w:val="24"/>
          <w:lang w:eastAsia="pt-BR"/>
        </w:rPr>
        <w:t>. Já para o Citibank</w:t>
      </w:r>
      <w:r w:rsidR="0076171D" w:rsidRPr="00217E23">
        <w:rPr>
          <w:rFonts w:ascii="Times New Roman" w:eastAsiaTheme="minorEastAsia" w:hAnsi="Times New Roman" w:cs="Times New Roman"/>
          <w:sz w:val="24"/>
          <w:szCs w:val="24"/>
          <w:lang w:eastAsia="pt-BR"/>
        </w:rPr>
        <w:t>,</w:t>
      </w:r>
      <w:r w:rsidR="00A22540" w:rsidRPr="00217E23">
        <w:rPr>
          <w:rFonts w:ascii="Times New Roman" w:eastAsiaTheme="minorEastAsia" w:hAnsi="Times New Roman" w:cs="Times New Roman"/>
          <w:sz w:val="24"/>
          <w:szCs w:val="24"/>
          <w:lang w:eastAsia="pt-BR"/>
        </w:rPr>
        <w:t xml:space="preserve"> a diferença está na casa dos centavos</w:t>
      </w:r>
      <w:r w:rsidR="00357FC9" w:rsidRPr="00217E23">
        <w:rPr>
          <w:rFonts w:ascii="Times New Roman" w:eastAsiaTheme="minorEastAsia" w:hAnsi="Times New Roman" w:cs="Times New Roman"/>
          <w:sz w:val="24"/>
          <w:szCs w:val="24"/>
          <w:lang w:eastAsia="pt-BR"/>
        </w:rPr>
        <w:t xml:space="preserve">, mas </w:t>
      </w:r>
      <w:r w:rsidR="0076171D" w:rsidRPr="00217E23">
        <w:rPr>
          <w:rFonts w:ascii="Times New Roman" w:eastAsiaTheme="minorEastAsia" w:hAnsi="Times New Roman" w:cs="Times New Roman"/>
          <w:sz w:val="24"/>
          <w:szCs w:val="24"/>
          <w:lang w:eastAsia="pt-BR"/>
        </w:rPr>
        <w:t xml:space="preserve">o valor </w:t>
      </w:r>
      <w:r w:rsidR="00357FC9" w:rsidRPr="00217E23">
        <w:rPr>
          <w:rFonts w:ascii="Times New Roman" w:eastAsiaTheme="minorEastAsia" w:hAnsi="Times New Roman" w:cs="Times New Roman"/>
          <w:sz w:val="24"/>
          <w:szCs w:val="24"/>
          <w:lang w:eastAsia="pt-BR"/>
        </w:rPr>
        <w:t>ainda é maior para</w:t>
      </w:r>
      <w:r w:rsidR="0076171D" w:rsidRPr="00217E23">
        <w:rPr>
          <w:rFonts w:ascii="Times New Roman" w:eastAsiaTheme="minorEastAsia" w:hAnsi="Times New Roman" w:cs="Times New Roman"/>
          <w:sz w:val="24"/>
          <w:szCs w:val="24"/>
          <w:lang w:eastAsia="pt-BR"/>
        </w:rPr>
        <w:t xml:space="preserve"> o financiamento</w:t>
      </w:r>
      <w:r w:rsidR="00357FC9" w:rsidRPr="00217E23">
        <w:rPr>
          <w:rFonts w:ascii="Times New Roman" w:eastAsiaTheme="minorEastAsia" w:hAnsi="Times New Roman" w:cs="Times New Roman"/>
          <w:sz w:val="24"/>
          <w:szCs w:val="24"/>
          <w:lang w:eastAsia="pt-BR"/>
        </w:rPr>
        <w:t xml:space="preserve"> com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A22540" w:rsidRPr="00217E23">
        <w:rPr>
          <w:rFonts w:ascii="Times New Roman" w:eastAsiaTheme="minorEastAsia" w:hAnsi="Times New Roman" w:cs="Times New Roman"/>
          <w:sz w:val="24"/>
          <w:szCs w:val="24"/>
          <w:lang w:eastAsia="pt-BR"/>
        </w:rPr>
        <w:t>.</w:t>
      </w:r>
      <w:r w:rsidR="005D53A8">
        <w:rPr>
          <w:rFonts w:ascii="Times New Roman" w:eastAsiaTheme="minorEastAsia" w:hAnsi="Times New Roman" w:cs="Times New Roman"/>
          <w:sz w:val="24"/>
          <w:szCs w:val="24"/>
          <w:lang w:eastAsia="pt-BR"/>
        </w:rPr>
        <w:t xml:space="preserve"> </w:t>
      </w:r>
      <w:r w:rsidR="00A22540" w:rsidRPr="00217E23">
        <w:rPr>
          <w:rFonts w:ascii="Times New Roman" w:eastAsiaTheme="minorEastAsia" w:hAnsi="Times New Roman" w:cs="Times New Roman"/>
          <w:sz w:val="24"/>
          <w:szCs w:val="24"/>
          <w:lang w:eastAsia="pt-BR"/>
        </w:rPr>
        <w:t>Nenhum banco apresentou valor</w:t>
      </w:r>
      <w:r w:rsidR="00357FC9" w:rsidRPr="00217E23">
        <w:rPr>
          <w:rFonts w:ascii="Times New Roman" w:eastAsiaTheme="minorEastAsia" w:hAnsi="Times New Roman" w:cs="Times New Roman"/>
          <w:sz w:val="24"/>
          <w:szCs w:val="24"/>
          <w:lang w:eastAsia="pt-BR"/>
        </w:rPr>
        <w:t>,</w:t>
      </w:r>
      <w:r w:rsidR="00A22540" w:rsidRPr="00217E23">
        <w:rPr>
          <w:rFonts w:ascii="Times New Roman" w:eastAsiaTheme="minorEastAsia" w:hAnsi="Times New Roman" w:cs="Times New Roman"/>
          <w:sz w:val="24"/>
          <w:szCs w:val="24"/>
          <w:lang w:eastAsia="pt-BR"/>
        </w:rPr>
        <w:t xml:space="preserve"> com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357FC9" w:rsidRPr="00217E23">
        <w:rPr>
          <w:rFonts w:ascii="Times New Roman" w:eastAsiaTheme="minorEastAsia" w:hAnsi="Times New Roman" w:cs="Times New Roman"/>
          <w:sz w:val="24"/>
          <w:szCs w:val="24"/>
          <w:lang w:eastAsia="pt-BR"/>
        </w:rPr>
        <w:t>, menor</w:t>
      </w:r>
      <w:r w:rsidR="00A22540" w:rsidRPr="00217E23">
        <w:rPr>
          <w:rFonts w:ascii="Times New Roman" w:eastAsiaTheme="minorEastAsia" w:hAnsi="Times New Roman" w:cs="Times New Roman"/>
          <w:sz w:val="24"/>
          <w:szCs w:val="24"/>
          <w:lang w:eastAsia="pt-BR"/>
        </w:rPr>
        <w:t xml:space="preserve"> que o valor com dívidas subordinadas.</w:t>
      </w:r>
    </w:p>
    <w:p w:rsidR="005C0EFC" w:rsidRDefault="00811582" w:rsidP="00A034B7">
      <w:pPr>
        <w:spacing w:after="120" w:line="240" w:lineRule="auto"/>
        <w:jc w:val="both"/>
        <w:rPr>
          <w:rFonts w:ascii="Times New Roman" w:eastAsiaTheme="minorEastAsia" w:hAnsi="Times New Roman" w:cs="Times New Roman"/>
          <w:sz w:val="24"/>
          <w:szCs w:val="24"/>
          <w:lang w:eastAsia="pt-BR"/>
        </w:rPr>
      </w:pPr>
      <w:r w:rsidRPr="00217E23">
        <w:rPr>
          <w:rFonts w:ascii="Times New Roman" w:eastAsiaTheme="minorEastAsia" w:hAnsi="Times New Roman" w:cs="Times New Roman"/>
          <w:i/>
          <w:sz w:val="24"/>
          <w:szCs w:val="24"/>
          <w:lang w:eastAsia="pt-BR"/>
        </w:rPr>
        <w:t xml:space="preserve">Maximização do valor do banco </w:t>
      </w:r>
      <m:oMath>
        <m:d>
          <m:dPr>
            <m:ctrlPr>
              <w:rPr>
                <w:rFonts w:ascii="Cambria Math" w:eastAsiaTheme="minorEastAsia" w:hAnsi="Cambria Math" w:cs="Times New Roman"/>
                <w:i/>
                <w:sz w:val="24"/>
                <w:szCs w:val="24"/>
                <w:lang w:eastAsia="pt-BR"/>
              </w:rPr>
            </m:ctrlPr>
          </m:dPr>
          <m:e>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b</m:t>
                    </m:r>
                  </m:sup>
                </m:sSubSup>
              </m:num>
              <m:den>
                <m:r>
                  <w:rPr>
                    <w:rFonts w:ascii="Cambria Math" w:eastAsiaTheme="minorEastAsia" w:hAnsi="Cambria Math" w:cs="Times New Roman"/>
                    <w:sz w:val="24"/>
                    <w:szCs w:val="24"/>
                    <w:lang w:eastAsia="pt-BR"/>
                  </w:rPr>
                  <m:t>∂b</m:t>
                </m:r>
              </m:den>
            </m:f>
            <w:proofErr w:type="gramStart"/>
            <m:r>
              <w:rPr>
                <w:rFonts w:ascii="Cambria Math" w:eastAsiaTheme="minorEastAsia" w:hAnsi="Cambria Math" w:cs="Times New Roman"/>
                <w:sz w:val="24"/>
                <w:szCs w:val="24"/>
                <w:lang w:eastAsia="pt-BR"/>
              </w:rPr>
              <m:t xml:space="preserve"> ,</m:t>
            </m:r>
            <w:proofErr w:type="gramEnd"/>
            <m:r>
              <w:rPr>
                <w:rFonts w:ascii="Cambria Math" w:eastAsiaTheme="minorEastAsia" w:hAnsi="Cambria Math" w:cs="Times New Roman"/>
                <w:sz w:val="24"/>
                <w:szCs w:val="24"/>
                <w:lang w:eastAsia="pt-BR"/>
              </w:rPr>
              <m:t xml:space="preserve"> </m:t>
            </m:r>
            <m:f>
              <m:fPr>
                <m:ctrlPr>
                  <w:rPr>
                    <w:rFonts w:ascii="Cambria Math" w:eastAsiaTheme="minorEastAsia" w:hAnsi="Cambria Math" w:cs="Times New Roman"/>
                    <w:i/>
                    <w:sz w:val="24"/>
                    <w:szCs w:val="24"/>
                    <w:lang w:eastAsia="pt-BR"/>
                  </w:rPr>
                </m:ctrlPr>
              </m:fPr>
              <m:num>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c</m:t>
                    </m:r>
                  </m:sup>
                </m:sSubSup>
              </m:num>
              <m:den>
                <m:r>
                  <w:rPr>
                    <w:rFonts w:ascii="Cambria Math" w:eastAsiaTheme="minorEastAsia" w:hAnsi="Cambria Math" w:cs="Times New Roman"/>
                    <w:sz w:val="24"/>
                    <w:szCs w:val="24"/>
                    <w:lang w:eastAsia="pt-BR"/>
                  </w:rPr>
                  <m:t>∂c</m:t>
                </m:r>
              </m:den>
            </m:f>
          </m:e>
        </m:d>
      </m:oMath>
      <w:r w:rsidR="005D53A8">
        <w:rPr>
          <w:rFonts w:ascii="Times New Roman" w:eastAsiaTheme="minorEastAsia" w:hAnsi="Times New Roman" w:cs="Times New Roman"/>
          <w:i/>
          <w:sz w:val="24"/>
          <w:szCs w:val="24"/>
          <w:lang w:eastAsia="pt-BR"/>
        </w:rPr>
        <w:t xml:space="preserve">: </w:t>
      </w:r>
      <w:r w:rsidR="000C61AE">
        <w:rPr>
          <w:rFonts w:ascii="Times New Roman" w:eastAsiaTheme="minorEastAsia" w:hAnsi="Times New Roman" w:cs="Times New Roman"/>
          <w:sz w:val="24"/>
          <w:szCs w:val="24"/>
          <w:lang w:eastAsia="pt-BR"/>
        </w:rPr>
        <w:t>Todos os bancos apresentarem e</w:t>
      </w:r>
      <w:r w:rsidR="005C0EFC" w:rsidRPr="00217E23">
        <w:rPr>
          <w:rFonts w:ascii="Times New Roman" w:eastAsiaTheme="minorEastAsia" w:hAnsi="Times New Roman" w:cs="Times New Roman"/>
          <w:sz w:val="24"/>
          <w:szCs w:val="24"/>
          <w:lang w:eastAsia="pt-BR"/>
        </w:rPr>
        <w:t>ste resultado</w:t>
      </w:r>
      <w:r w:rsidR="000C61AE">
        <w:rPr>
          <w:rFonts w:ascii="Times New Roman" w:eastAsiaTheme="minorEastAsia" w:hAnsi="Times New Roman" w:cs="Times New Roman"/>
          <w:sz w:val="24"/>
          <w:szCs w:val="24"/>
          <w:lang w:eastAsia="pt-BR"/>
        </w:rPr>
        <w:t>,</w:t>
      </w:r>
      <w:r w:rsidR="005C0EFC" w:rsidRPr="00217E23">
        <w:rPr>
          <w:rFonts w:ascii="Times New Roman" w:eastAsiaTheme="minorEastAsia" w:hAnsi="Times New Roman" w:cs="Times New Roman"/>
          <w:sz w:val="24"/>
          <w:szCs w:val="24"/>
          <w:lang w:eastAsia="pt-BR"/>
        </w:rPr>
        <w:t xml:space="preserve"> mostra</w:t>
      </w:r>
      <w:r w:rsidR="000C61AE">
        <w:rPr>
          <w:rFonts w:ascii="Times New Roman" w:eastAsiaTheme="minorEastAsia" w:hAnsi="Times New Roman" w:cs="Times New Roman"/>
          <w:sz w:val="24"/>
          <w:szCs w:val="24"/>
          <w:lang w:eastAsia="pt-BR"/>
        </w:rPr>
        <w:t xml:space="preserve">ndo </w:t>
      </w:r>
      <w:r w:rsidR="005C0EFC" w:rsidRPr="00217E23">
        <w:rPr>
          <w:rFonts w:ascii="Times New Roman" w:eastAsiaTheme="minorEastAsia" w:hAnsi="Times New Roman" w:cs="Times New Roman"/>
          <w:sz w:val="24"/>
          <w:szCs w:val="24"/>
          <w:lang w:eastAsia="pt-BR"/>
        </w:rPr>
        <w:t xml:space="preserve">que o cupom de </w:t>
      </w:r>
      <w:proofErr w:type="spellStart"/>
      <w:r w:rsidR="0099005E">
        <w:rPr>
          <w:rFonts w:ascii="Times New Roman" w:eastAsiaTheme="minorEastAsia" w:hAnsi="Times New Roman" w:cs="Times New Roman"/>
          <w:sz w:val="24"/>
          <w:szCs w:val="24"/>
          <w:lang w:eastAsia="pt-BR"/>
        </w:rPr>
        <w:t>CoCos</w:t>
      </w:r>
      <w:proofErr w:type="spellEnd"/>
      <w:r w:rsidR="005C0EFC" w:rsidRPr="00217E23">
        <w:rPr>
          <w:rFonts w:ascii="Times New Roman" w:eastAsiaTheme="minorEastAsia" w:hAnsi="Times New Roman" w:cs="Times New Roman"/>
          <w:sz w:val="24"/>
          <w:szCs w:val="24"/>
          <w:lang w:eastAsia="pt-BR"/>
        </w:rPr>
        <w:t xml:space="preserve"> é maior do que </w:t>
      </w:r>
      <w:r w:rsidR="000C61AE">
        <w:rPr>
          <w:rFonts w:ascii="Times New Roman" w:eastAsiaTheme="minorEastAsia" w:hAnsi="Times New Roman" w:cs="Times New Roman"/>
          <w:sz w:val="24"/>
          <w:szCs w:val="24"/>
          <w:lang w:eastAsia="pt-BR"/>
        </w:rPr>
        <w:t>o cupom de dívidas subordinadas e</w:t>
      </w:r>
      <w:r w:rsidR="005C0EFC" w:rsidRPr="00217E23">
        <w:rPr>
          <w:rFonts w:ascii="Times New Roman" w:eastAsiaTheme="minorEastAsia" w:hAnsi="Times New Roman" w:cs="Times New Roman"/>
          <w:sz w:val="24"/>
          <w:szCs w:val="24"/>
          <w:lang w:eastAsia="pt-BR"/>
        </w:rPr>
        <w:t xml:space="preserve"> sugerindo que</w:t>
      </w:r>
      <w:r w:rsidR="00930B04" w:rsidRPr="00217E23">
        <w:rPr>
          <w:rFonts w:ascii="Times New Roman" w:eastAsiaTheme="minorEastAsia" w:hAnsi="Times New Roman" w:cs="Times New Roman"/>
          <w:sz w:val="24"/>
          <w:szCs w:val="24"/>
          <w:lang w:eastAsia="pt-BR"/>
        </w:rPr>
        <w:t>,</w:t>
      </w:r>
      <w:r w:rsidR="005C0EFC" w:rsidRPr="00217E23">
        <w:rPr>
          <w:rFonts w:ascii="Times New Roman" w:eastAsiaTheme="minorEastAsia" w:hAnsi="Times New Roman" w:cs="Times New Roman"/>
          <w:sz w:val="24"/>
          <w:szCs w:val="24"/>
          <w:lang w:eastAsia="pt-BR"/>
        </w:rPr>
        <w:t xml:space="preserve"> se </w:t>
      </w:r>
      <w:r w:rsidR="008929A5" w:rsidRPr="00217E23">
        <w:rPr>
          <w:rFonts w:ascii="Times New Roman" w:eastAsiaTheme="minorEastAsia" w:hAnsi="Times New Roman" w:cs="Times New Roman"/>
          <w:sz w:val="24"/>
          <w:szCs w:val="24"/>
          <w:lang w:eastAsia="pt-BR"/>
        </w:rPr>
        <w:t>os bancos</w:t>
      </w:r>
      <w:r w:rsidR="005C0EFC" w:rsidRPr="00217E23">
        <w:rPr>
          <w:rFonts w:ascii="Times New Roman" w:eastAsiaTheme="minorEastAsia" w:hAnsi="Times New Roman" w:cs="Times New Roman"/>
          <w:sz w:val="24"/>
          <w:szCs w:val="24"/>
          <w:lang w:eastAsia="pt-BR"/>
        </w:rPr>
        <w:t xml:space="preserve"> trocarem suas dívidas subordinadas por </w:t>
      </w:r>
      <w:proofErr w:type="spellStart"/>
      <w:r w:rsidR="0099005E">
        <w:rPr>
          <w:rFonts w:ascii="Times New Roman" w:eastAsiaTheme="minorEastAsia" w:hAnsi="Times New Roman" w:cs="Times New Roman"/>
          <w:sz w:val="24"/>
          <w:szCs w:val="24"/>
          <w:lang w:eastAsia="pt-BR"/>
        </w:rPr>
        <w:t>CoCos</w:t>
      </w:r>
      <w:proofErr w:type="spellEnd"/>
      <w:r w:rsidR="00C246B4" w:rsidRPr="00217E23">
        <w:rPr>
          <w:rFonts w:ascii="Times New Roman" w:eastAsiaTheme="minorEastAsia" w:hAnsi="Times New Roman" w:cs="Times New Roman"/>
          <w:sz w:val="24"/>
          <w:szCs w:val="24"/>
          <w:lang w:eastAsia="pt-BR"/>
        </w:rPr>
        <w:t xml:space="preserve"> pagarão um maior </w:t>
      </w:r>
      <w:r w:rsidR="005C0EFC" w:rsidRPr="00217E23">
        <w:rPr>
          <w:rFonts w:ascii="Times New Roman" w:eastAsiaTheme="minorEastAsia" w:hAnsi="Times New Roman" w:cs="Times New Roman"/>
          <w:sz w:val="24"/>
          <w:szCs w:val="24"/>
          <w:lang w:eastAsia="pt-BR"/>
        </w:rPr>
        <w:t>cupom.</w:t>
      </w:r>
      <w:r w:rsidR="00C246B4" w:rsidRPr="00217E23">
        <w:rPr>
          <w:rFonts w:ascii="Times New Roman" w:eastAsiaTheme="minorEastAsia" w:hAnsi="Times New Roman" w:cs="Times New Roman"/>
          <w:sz w:val="24"/>
          <w:szCs w:val="24"/>
          <w:lang w:eastAsia="pt-BR"/>
        </w:rPr>
        <w:t xml:space="preserve"> </w:t>
      </w:r>
    </w:p>
    <w:p w:rsidR="007F4CD5" w:rsidRPr="00B012BC" w:rsidRDefault="00C246B4" w:rsidP="007F4CD5">
      <w:pPr>
        <w:spacing w:after="120" w:line="240" w:lineRule="auto"/>
        <w:jc w:val="both"/>
        <w:rPr>
          <w:rFonts w:ascii="Times New Roman" w:eastAsiaTheme="minorEastAsia" w:hAnsi="Times New Roman" w:cs="Times New Roman"/>
          <w:sz w:val="24"/>
          <w:szCs w:val="24"/>
        </w:rPr>
      </w:pPr>
      <w:r w:rsidRPr="00217E23">
        <w:rPr>
          <w:rFonts w:ascii="Times New Roman" w:eastAsiaTheme="minorEastAsia" w:hAnsi="Times New Roman" w:cs="Times New Roman"/>
          <w:i/>
          <w:sz w:val="24"/>
          <w:szCs w:val="24"/>
          <w:lang w:eastAsia="pt-BR"/>
        </w:rPr>
        <w:t xml:space="preserve">Probabilidade de inadimplência </w:t>
      </w:r>
      <m:oMath>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c</m:t>
                    </m:r>
                  </m:sub>
                </m:sSub>
                <w:proofErr w:type="gramStart"/>
                <m:r>
                  <w:rPr>
                    <w:rFonts w:ascii="Cambria Math" w:eastAsiaTheme="minorEastAsia" w:hAnsi="Cambria Math" w:cs="Times New Roman"/>
                    <w:sz w:val="24"/>
                    <w:szCs w:val="24"/>
                    <w:lang w:eastAsia="pt-BR"/>
                  </w:rPr>
                  <m:t>,</m:t>
                </m:r>
                <w:proofErr w:type="gramEnd"/>
                <m:r>
                  <m:rPr>
                    <m:scr m:val="script"/>
                  </m:rP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ξ</m:t>
                    </m:r>
                  </m:e>
                  <m:sub>
                    <m:r>
                      <w:rPr>
                        <w:rFonts w:ascii="Cambria Math" w:eastAsiaTheme="minorEastAsia" w:hAnsi="Cambria Math" w:cs="Times New Roman"/>
                        <w:sz w:val="24"/>
                        <w:szCs w:val="24"/>
                        <w:lang w:eastAsia="pt-BR"/>
                      </w:rPr>
                      <m:t>b</m:t>
                    </m:r>
                  </m:sub>
                </m:sSub>
                <m:r>
                  <m:rPr>
                    <m:scr m:val="script"/>
                  </m:rPr>
                  <w:rPr>
                    <w:rFonts w:ascii="Cambria Math" w:eastAsiaTheme="minorEastAsia" w:hAnsi="Cambria Math" w:cs="Times New Roman"/>
                    <w:sz w:val="24"/>
                    <w:szCs w:val="24"/>
                    <w:lang w:eastAsia="pt-BR"/>
                  </w:rPr>
                  <m:t>,T</m:t>
                </m:r>
              </m:sub>
            </m:sSub>
          </m:e>
        </m:d>
      </m:oMath>
      <w:r w:rsidR="005D53A8">
        <w:rPr>
          <w:rFonts w:ascii="Times New Roman" w:eastAsiaTheme="minorEastAsia" w:hAnsi="Times New Roman" w:cs="Times New Roman"/>
          <w:i/>
          <w:sz w:val="24"/>
          <w:szCs w:val="24"/>
          <w:lang w:eastAsia="pt-BR"/>
        </w:rPr>
        <w:t xml:space="preserve">: </w:t>
      </w:r>
      <w:r w:rsidR="00473998">
        <w:rPr>
          <w:rFonts w:ascii="Times New Roman" w:eastAsiaTheme="minorEastAsia" w:hAnsi="Times New Roman" w:cs="Times New Roman"/>
          <w:sz w:val="24"/>
          <w:szCs w:val="24"/>
        </w:rPr>
        <w:t xml:space="preserve">As evidências </w:t>
      </w:r>
      <w:r w:rsidRPr="00217E23">
        <w:rPr>
          <w:rFonts w:ascii="Times New Roman" w:eastAsiaTheme="minorEastAsia" w:hAnsi="Times New Roman" w:cs="Times New Roman"/>
          <w:sz w:val="24"/>
          <w:szCs w:val="24"/>
        </w:rPr>
        <w:t>mostram que</w:t>
      </w:r>
      <w:r w:rsidR="00473998">
        <w:rPr>
          <w:rFonts w:ascii="Times New Roman" w:eastAsiaTheme="minorEastAsia" w:hAnsi="Times New Roman" w:cs="Times New Roman"/>
          <w:sz w:val="24"/>
          <w:szCs w:val="24"/>
        </w:rPr>
        <w:t>,</w:t>
      </w:r>
      <w:r w:rsidRPr="00217E23">
        <w:rPr>
          <w:rFonts w:ascii="Times New Roman" w:eastAsiaTheme="minorEastAsia" w:hAnsi="Times New Roman" w:cs="Times New Roman"/>
          <w:sz w:val="24"/>
          <w:szCs w:val="24"/>
        </w:rPr>
        <w:t xml:space="preserve"> </w:t>
      </w:r>
      <w:r w:rsidR="007B115A">
        <w:rPr>
          <w:rFonts w:ascii="Times New Roman" w:eastAsiaTheme="minorEastAsia" w:hAnsi="Times New Roman" w:cs="Times New Roman"/>
          <w:sz w:val="24"/>
          <w:szCs w:val="24"/>
        </w:rPr>
        <w:t>as</w:t>
      </w:r>
      <w:r w:rsidRPr="00217E23">
        <w:rPr>
          <w:rFonts w:ascii="Times New Roman" w:eastAsiaTheme="minorEastAsia" w:hAnsi="Times New Roman" w:cs="Times New Roman"/>
          <w:sz w:val="24"/>
          <w:szCs w:val="24"/>
        </w:rPr>
        <w:t xml:space="preserve"> probabilidades são bem próximas de zero</w:t>
      </w:r>
      <w:r w:rsidR="008929A5" w:rsidRPr="00217E23">
        <w:rPr>
          <w:rFonts w:ascii="Times New Roman" w:eastAsiaTheme="minorEastAsia" w:hAnsi="Times New Roman" w:cs="Times New Roman"/>
          <w:sz w:val="24"/>
          <w:szCs w:val="24"/>
        </w:rPr>
        <w:t xml:space="preserve"> para ambas dívidas</w:t>
      </w:r>
      <w:r w:rsidRPr="00217E23">
        <w:rPr>
          <w:rFonts w:ascii="Times New Roman" w:eastAsiaTheme="minorEastAsia" w:hAnsi="Times New Roman" w:cs="Times New Roman"/>
          <w:sz w:val="24"/>
          <w:szCs w:val="24"/>
        </w:rPr>
        <w:t xml:space="preserve">, </w:t>
      </w:r>
      <w:r w:rsidR="00F366C6" w:rsidRPr="00217E23">
        <w:rPr>
          <w:rFonts w:ascii="Times New Roman" w:eastAsiaTheme="minorEastAsia" w:hAnsi="Times New Roman" w:cs="Times New Roman"/>
          <w:sz w:val="24"/>
          <w:szCs w:val="24"/>
        </w:rPr>
        <w:t>com exceção do Banco do Brasil</w:t>
      </w:r>
      <w:r w:rsidR="008929A5" w:rsidRPr="00217E23">
        <w:rPr>
          <w:rFonts w:ascii="Times New Roman" w:eastAsiaTheme="minorEastAsia" w:hAnsi="Times New Roman" w:cs="Times New Roman"/>
          <w:sz w:val="24"/>
          <w:szCs w:val="24"/>
        </w:rPr>
        <w:t>,</w:t>
      </w:r>
      <w:r w:rsidR="00F366C6" w:rsidRPr="00217E23">
        <w:rPr>
          <w:rFonts w:ascii="Times New Roman" w:eastAsiaTheme="minorEastAsia" w:hAnsi="Times New Roman" w:cs="Times New Roman"/>
          <w:sz w:val="24"/>
          <w:szCs w:val="24"/>
        </w:rPr>
        <w:t xml:space="preserve"> que teria uma probabilidade de inadimplência de 0,48%</w:t>
      </w:r>
      <w:r w:rsidR="008929A5" w:rsidRPr="00217E23">
        <w:rPr>
          <w:rFonts w:ascii="Times New Roman" w:eastAsiaTheme="minorEastAsia" w:hAnsi="Times New Roman" w:cs="Times New Roman"/>
          <w:sz w:val="24"/>
          <w:szCs w:val="24"/>
        </w:rPr>
        <w:t>,</w:t>
      </w:r>
      <w:r w:rsidR="00F366C6" w:rsidRPr="00217E23">
        <w:rPr>
          <w:rFonts w:ascii="Times New Roman" w:eastAsiaTheme="minorEastAsia" w:hAnsi="Times New Roman" w:cs="Times New Roman"/>
          <w:sz w:val="24"/>
          <w:szCs w:val="24"/>
        </w:rPr>
        <w:t xml:space="preserve"> e o BTG Pactual que apresentou 2,88%</w:t>
      </w:r>
      <w:r w:rsidR="008929A5" w:rsidRPr="00217E23">
        <w:rPr>
          <w:rFonts w:ascii="Times New Roman" w:eastAsiaTheme="minorEastAsia" w:hAnsi="Times New Roman" w:cs="Times New Roman"/>
          <w:sz w:val="24"/>
          <w:szCs w:val="24"/>
        </w:rPr>
        <w:t>, ambos para com dívidas subordinadas</w:t>
      </w:r>
      <w:r w:rsidR="00F366C6" w:rsidRPr="00217E23">
        <w:rPr>
          <w:rFonts w:ascii="Times New Roman" w:eastAsiaTheme="minorEastAsia" w:hAnsi="Times New Roman" w:cs="Times New Roman"/>
          <w:sz w:val="24"/>
          <w:szCs w:val="24"/>
        </w:rPr>
        <w:t>.</w:t>
      </w:r>
      <w:r w:rsidR="00473998">
        <w:rPr>
          <w:rFonts w:ascii="Times New Roman" w:eastAsiaTheme="minorEastAsia" w:hAnsi="Times New Roman" w:cs="Times New Roman"/>
          <w:sz w:val="24"/>
          <w:szCs w:val="24"/>
        </w:rPr>
        <w:t xml:space="preserve"> E n</w:t>
      </w:r>
      <w:r w:rsidR="00F366C6" w:rsidRPr="00217E23">
        <w:rPr>
          <w:rFonts w:ascii="Times New Roman" w:eastAsiaTheme="minorEastAsia" w:hAnsi="Times New Roman" w:cs="Times New Roman"/>
          <w:sz w:val="24"/>
          <w:szCs w:val="24"/>
        </w:rPr>
        <w:t xml:space="preserve">enhum banco apresentou probabilidade de inadimplência com </w:t>
      </w:r>
      <w:proofErr w:type="spellStart"/>
      <w:proofErr w:type="gramStart"/>
      <w:r w:rsidR="0099005E">
        <w:rPr>
          <w:rFonts w:ascii="Times New Roman" w:eastAsiaTheme="minorEastAsia" w:hAnsi="Times New Roman" w:cs="Times New Roman"/>
          <w:sz w:val="24"/>
          <w:szCs w:val="24"/>
        </w:rPr>
        <w:t>CoCos</w:t>
      </w:r>
      <w:proofErr w:type="spellEnd"/>
      <w:proofErr w:type="gramEnd"/>
      <w:r w:rsidR="00F366C6" w:rsidRPr="00217E23">
        <w:rPr>
          <w:rFonts w:ascii="Times New Roman" w:eastAsiaTheme="minorEastAsia" w:hAnsi="Times New Roman" w:cs="Times New Roman"/>
          <w:sz w:val="24"/>
          <w:szCs w:val="24"/>
        </w:rPr>
        <w:t>, maior do que com dívidas subordinadas.</w:t>
      </w:r>
      <w:r w:rsidR="006065F1">
        <w:rPr>
          <w:rFonts w:ascii="Times New Roman" w:eastAsiaTheme="minorEastAsia" w:hAnsi="Times New Roman" w:cs="Times New Roman"/>
          <w:sz w:val="24"/>
          <w:szCs w:val="24"/>
        </w:rPr>
        <w:t xml:space="preserve"> </w:t>
      </w:r>
      <w:r w:rsidR="00F366C6" w:rsidRPr="00217E23">
        <w:rPr>
          <w:rFonts w:ascii="Times New Roman" w:eastAsiaTheme="minorEastAsia" w:hAnsi="Times New Roman" w:cs="Times New Roman"/>
          <w:sz w:val="24"/>
          <w:szCs w:val="24"/>
        </w:rPr>
        <w:t xml:space="preserve">Assim, </w:t>
      </w:r>
      <w:r w:rsidR="00BC13BC" w:rsidRPr="00217E23">
        <w:rPr>
          <w:rFonts w:ascii="Times New Roman" w:eastAsiaTheme="minorEastAsia" w:hAnsi="Times New Roman" w:cs="Times New Roman"/>
          <w:sz w:val="24"/>
          <w:szCs w:val="24"/>
        </w:rPr>
        <w:t xml:space="preserve">temos </w:t>
      </w:r>
      <w:r w:rsidR="00F366C6" w:rsidRPr="00217E23">
        <w:rPr>
          <w:rFonts w:ascii="Times New Roman" w:eastAsiaTheme="minorEastAsia" w:hAnsi="Times New Roman" w:cs="Times New Roman"/>
          <w:sz w:val="24"/>
          <w:szCs w:val="24"/>
        </w:rPr>
        <w:t xml:space="preserve">evidências </w:t>
      </w:r>
      <w:r w:rsidR="00BC13BC" w:rsidRPr="00217E23">
        <w:rPr>
          <w:rFonts w:ascii="Times New Roman" w:eastAsiaTheme="minorEastAsia" w:hAnsi="Times New Roman" w:cs="Times New Roman"/>
          <w:sz w:val="24"/>
          <w:szCs w:val="24"/>
        </w:rPr>
        <w:t xml:space="preserve">sugestivas de </w:t>
      </w:r>
      <w:r w:rsidR="00F366C6" w:rsidRPr="00217E23">
        <w:rPr>
          <w:rFonts w:ascii="Times New Roman" w:eastAsiaTheme="minorEastAsia" w:hAnsi="Times New Roman" w:cs="Times New Roman"/>
          <w:sz w:val="24"/>
          <w:szCs w:val="24"/>
        </w:rPr>
        <w:t xml:space="preserve">que, em ambiente regulamentado e com um nível de </w:t>
      </w:r>
      <w:r w:rsidR="00F366C6" w:rsidRPr="00217E23">
        <w:rPr>
          <w:rFonts w:ascii="Times New Roman" w:eastAsiaTheme="minorEastAsia" w:hAnsi="Times New Roman" w:cs="Times New Roman"/>
          <w:sz w:val="24"/>
          <w:szCs w:val="24"/>
        </w:rPr>
        <w:lastRenderedPageBreak/>
        <w:t xml:space="preserve">dívida otimizado, </w:t>
      </w:r>
      <w:r w:rsidR="00BC13BC" w:rsidRPr="00217E23">
        <w:rPr>
          <w:rFonts w:ascii="Times New Roman" w:eastAsiaTheme="minorEastAsia" w:hAnsi="Times New Roman" w:cs="Times New Roman"/>
          <w:sz w:val="24"/>
          <w:szCs w:val="24"/>
        </w:rPr>
        <w:t>os</w:t>
      </w:r>
      <w:r w:rsidR="00F366C6" w:rsidRPr="00217E23">
        <w:rPr>
          <w:rFonts w:ascii="Times New Roman" w:eastAsiaTheme="minorEastAsia" w:hAnsi="Times New Roman" w:cs="Times New Roman"/>
          <w:sz w:val="24"/>
          <w:szCs w:val="24"/>
        </w:rPr>
        <w:t xml:space="preserve"> bancos estariam mais bem capitalizados</w:t>
      </w:r>
      <w:r w:rsidR="00BC13BC" w:rsidRPr="00217E23">
        <w:rPr>
          <w:rFonts w:ascii="Times New Roman" w:eastAsiaTheme="minorEastAsia" w:hAnsi="Times New Roman" w:cs="Times New Roman"/>
          <w:sz w:val="24"/>
          <w:szCs w:val="24"/>
        </w:rPr>
        <w:t>,</w:t>
      </w:r>
      <w:r w:rsidR="00F366C6" w:rsidRPr="00217E23">
        <w:rPr>
          <w:rFonts w:ascii="Times New Roman" w:eastAsiaTheme="minorEastAsia" w:hAnsi="Times New Roman" w:cs="Times New Roman"/>
          <w:sz w:val="24"/>
          <w:szCs w:val="24"/>
        </w:rPr>
        <w:t xml:space="preserve"> em </w:t>
      </w:r>
      <w:proofErr w:type="spellStart"/>
      <w:proofErr w:type="gramStart"/>
      <w:r w:rsidR="0099005E">
        <w:rPr>
          <w:rFonts w:ascii="Times New Roman" w:eastAsiaTheme="minorEastAsia" w:hAnsi="Times New Roman" w:cs="Times New Roman"/>
          <w:sz w:val="24"/>
          <w:szCs w:val="24"/>
        </w:rPr>
        <w:t>CoCos</w:t>
      </w:r>
      <w:proofErr w:type="spellEnd"/>
      <w:proofErr w:type="gramEnd"/>
      <w:r w:rsidR="00BC13BC" w:rsidRPr="00217E23">
        <w:rPr>
          <w:rFonts w:ascii="Times New Roman" w:eastAsiaTheme="minorEastAsia" w:hAnsi="Times New Roman" w:cs="Times New Roman"/>
          <w:sz w:val="24"/>
          <w:szCs w:val="24"/>
        </w:rPr>
        <w:t xml:space="preserve"> do que</w:t>
      </w:r>
      <w:r w:rsidR="00F366C6" w:rsidRPr="00217E23">
        <w:rPr>
          <w:rFonts w:ascii="Times New Roman" w:eastAsiaTheme="minorEastAsia" w:hAnsi="Times New Roman" w:cs="Times New Roman"/>
          <w:sz w:val="24"/>
          <w:szCs w:val="24"/>
        </w:rPr>
        <w:t xml:space="preserve"> </w:t>
      </w:r>
      <w:r w:rsidR="00BC13BC" w:rsidRPr="00217E23">
        <w:rPr>
          <w:rFonts w:ascii="Times New Roman" w:eastAsiaTheme="minorEastAsia" w:hAnsi="Times New Roman" w:cs="Times New Roman"/>
          <w:sz w:val="24"/>
          <w:szCs w:val="24"/>
        </w:rPr>
        <w:t>em</w:t>
      </w:r>
      <w:r w:rsidR="00F366C6" w:rsidRPr="00217E23">
        <w:rPr>
          <w:rFonts w:ascii="Times New Roman" w:eastAsiaTheme="minorEastAsia" w:hAnsi="Times New Roman" w:cs="Times New Roman"/>
          <w:sz w:val="24"/>
          <w:szCs w:val="24"/>
        </w:rPr>
        <w:t xml:space="preserve"> </w:t>
      </w:r>
      <w:r w:rsidR="00A04279" w:rsidRPr="00217E23">
        <w:rPr>
          <w:rFonts w:ascii="Times New Roman" w:eastAsiaTheme="minorEastAsia" w:hAnsi="Times New Roman" w:cs="Times New Roman"/>
          <w:sz w:val="24"/>
          <w:szCs w:val="24"/>
        </w:rPr>
        <w:t>dívidas subordinadas, confirmando a hipótese 1.</w:t>
      </w:r>
      <w:r w:rsidR="00473998">
        <w:rPr>
          <w:rFonts w:ascii="Times New Roman" w:eastAsiaTheme="minorEastAsia" w:hAnsi="Times New Roman" w:cs="Times New Roman"/>
          <w:sz w:val="24"/>
          <w:szCs w:val="24"/>
        </w:rPr>
        <w:t xml:space="preserve"> </w:t>
      </w:r>
      <w:r w:rsidR="00E43B2F">
        <w:rPr>
          <w:rFonts w:ascii="Times New Roman" w:eastAsiaTheme="minorEastAsia" w:hAnsi="Times New Roman" w:cs="Times New Roman"/>
          <w:sz w:val="24"/>
          <w:szCs w:val="24"/>
        </w:rPr>
        <w:t>Já para a</w:t>
      </w:r>
      <w:r w:rsidR="00DD24F4" w:rsidRPr="00217E23">
        <w:rPr>
          <w:rFonts w:ascii="Times New Roman" w:eastAsiaTheme="minorEastAsia" w:hAnsi="Times New Roman" w:cs="Times New Roman"/>
          <w:sz w:val="24"/>
          <w:szCs w:val="24"/>
        </w:rPr>
        <w:t xml:space="preserve"> hipótese </w:t>
      </w:r>
      <w:proofErr w:type="gramStart"/>
      <w:r w:rsidR="00BC13BC" w:rsidRPr="00217E23">
        <w:rPr>
          <w:rFonts w:ascii="Times New Roman" w:eastAsiaTheme="minorEastAsia" w:hAnsi="Times New Roman" w:cs="Times New Roman"/>
          <w:sz w:val="24"/>
          <w:szCs w:val="24"/>
        </w:rPr>
        <w:t>2</w:t>
      </w:r>
      <w:proofErr w:type="gramEnd"/>
      <w:r w:rsidR="0021137E" w:rsidRPr="00217E23">
        <w:rPr>
          <w:rFonts w:ascii="Times New Roman" w:eastAsiaTheme="minorEastAsia" w:hAnsi="Times New Roman" w:cs="Times New Roman"/>
          <w:sz w:val="24"/>
          <w:szCs w:val="24"/>
        </w:rPr>
        <w:t xml:space="preserve">, </w:t>
      </w:r>
      <w:r w:rsidR="007A54B8">
        <w:rPr>
          <w:rFonts w:ascii="Times New Roman" w:eastAsiaTheme="minorEastAsia" w:hAnsi="Times New Roman" w:cs="Times New Roman"/>
          <w:sz w:val="24"/>
          <w:szCs w:val="24"/>
        </w:rPr>
        <w:t xml:space="preserve">em um </w:t>
      </w:r>
      <w:r w:rsidR="00E43B2F">
        <w:rPr>
          <w:rFonts w:ascii="Times New Roman" w:eastAsiaTheme="minorEastAsia" w:hAnsi="Times New Roman" w:cs="Times New Roman"/>
          <w:sz w:val="24"/>
          <w:szCs w:val="24"/>
        </w:rPr>
        <w:t>ambiente com riscos, a</w:t>
      </w:r>
      <w:r w:rsidR="00E71FA8" w:rsidRPr="00217E23">
        <w:rPr>
          <w:rFonts w:ascii="Times New Roman" w:eastAsiaTheme="minorEastAsia" w:hAnsi="Times New Roman" w:cs="Times New Roman"/>
          <w:sz w:val="24"/>
          <w:szCs w:val="24"/>
        </w:rPr>
        <w:t xml:space="preserve"> tabela </w:t>
      </w:r>
      <w:r w:rsidR="007B115A">
        <w:rPr>
          <w:rFonts w:ascii="Times New Roman" w:eastAsiaTheme="minorEastAsia" w:hAnsi="Times New Roman" w:cs="Times New Roman"/>
          <w:sz w:val="24"/>
          <w:szCs w:val="24"/>
        </w:rPr>
        <w:t>9</w:t>
      </w:r>
      <w:r w:rsidR="00E71FA8" w:rsidRPr="00217E23">
        <w:rPr>
          <w:rFonts w:ascii="Times New Roman" w:eastAsiaTheme="minorEastAsia" w:hAnsi="Times New Roman" w:cs="Times New Roman"/>
          <w:sz w:val="24"/>
          <w:szCs w:val="24"/>
        </w:rPr>
        <w:t xml:space="preserve"> apresenta os resultados esperados pelo modelo</w:t>
      </w:r>
      <w:r w:rsidR="007A54B8">
        <w:rPr>
          <w:rFonts w:ascii="Times New Roman" w:eastAsiaTheme="minorEastAsia" w:hAnsi="Times New Roman" w:cs="Times New Roman"/>
          <w:sz w:val="24"/>
          <w:szCs w:val="24"/>
        </w:rPr>
        <w:t xml:space="preserve"> e a tabela 10 os resultados encontrados para cada banco.</w:t>
      </w:r>
    </w:p>
    <w:p w:rsidR="007F4CD5" w:rsidRDefault="007F4CD5" w:rsidP="007F4CD5">
      <w:pPr>
        <w:pStyle w:val="tabela"/>
        <w:rPr>
          <w:rFonts w:eastAsiaTheme="minorEastAsia"/>
        </w:rPr>
      </w:pPr>
      <w:r w:rsidRPr="0026451C">
        <w:rPr>
          <w:rFonts w:eastAsiaTheme="minorEastAsia"/>
          <w:noProof/>
        </w:rPr>
        <w:drawing>
          <wp:inline distT="0" distB="0" distL="0" distR="0" wp14:anchorId="3C1918BF" wp14:editId="29D73666">
            <wp:extent cx="6476482" cy="4994694"/>
            <wp:effectExtent l="0" t="0" r="63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9540" cy="4997052"/>
                    </a:xfrm>
                    <a:prstGeom prst="rect">
                      <a:avLst/>
                    </a:prstGeom>
                    <a:noFill/>
                    <a:ln>
                      <a:noFill/>
                    </a:ln>
                  </pic:spPr>
                </pic:pic>
              </a:graphicData>
            </a:graphic>
          </wp:inline>
        </w:drawing>
      </w:r>
    </w:p>
    <w:p w:rsidR="007F4CD5" w:rsidRDefault="007F4CD5" w:rsidP="007F4CD5">
      <w:pPr>
        <w:pStyle w:val="tabela"/>
        <w:rPr>
          <w:rFonts w:eastAsiaTheme="minorEastAsia"/>
          <w:sz w:val="18"/>
        </w:rPr>
      </w:pPr>
      <w:r w:rsidRPr="00A76F54">
        <w:rPr>
          <w:rFonts w:eastAsiaTheme="minorEastAsia"/>
          <w:sz w:val="18"/>
        </w:rPr>
        <w:t xml:space="preserve">Tabela </w:t>
      </w:r>
      <w:r>
        <w:rPr>
          <w:rFonts w:eastAsiaTheme="minorEastAsia"/>
          <w:sz w:val="18"/>
        </w:rPr>
        <w:t>9</w:t>
      </w:r>
      <w:r w:rsidRPr="00A76F54">
        <w:rPr>
          <w:rFonts w:eastAsiaTheme="minorEastAsia"/>
          <w:sz w:val="18"/>
        </w:rPr>
        <w:t xml:space="preserve"> – Resultados esperados pelo modelo para analisar a hipótese dois. Elaboração própria.</w:t>
      </w:r>
    </w:p>
    <w:p w:rsidR="007F4CD5" w:rsidRDefault="007F4CD5" w:rsidP="007F4CD5">
      <w:pPr>
        <w:pStyle w:val="tabela"/>
        <w:rPr>
          <w:rFonts w:eastAsiaTheme="minorEastAsia"/>
          <w:sz w:val="18"/>
        </w:rPr>
      </w:pPr>
    </w:p>
    <w:p w:rsidR="006065F1" w:rsidRDefault="006065F1" w:rsidP="006065F1">
      <w:pPr>
        <w:spacing w:after="120" w:line="240" w:lineRule="auto"/>
        <w:jc w:val="both"/>
        <w:rPr>
          <w:rFonts w:ascii="Times New Roman" w:eastAsiaTheme="minorEastAsia" w:hAnsi="Times New Roman" w:cs="Times New Roman"/>
          <w:sz w:val="24"/>
          <w:szCs w:val="24"/>
        </w:rPr>
      </w:pPr>
      <w:r w:rsidRPr="00217E23">
        <w:rPr>
          <w:rFonts w:ascii="Times New Roman" w:eastAsiaTheme="minorEastAsia" w:hAnsi="Times New Roman" w:cs="Times New Roman"/>
          <w:i/>
          <w:sz w:val="24"/>
          <w:szCs w:val="24"/>
        </w:rPr>
        <w:t xml:space="preserve">Derivadas do patrimônio líquido sobre o risco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∂σ</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m:t>
                    </m:r>
                  </m:sup>
                </m:sSubSup>
              </m:num>
              <m:den>
                <m:r>
                  <w:rPr>
                    <w:rFonts w:ascii="Cambria Math" w:eastAsiaTheme="minorEastAsia" w:hAnsi="Cambria Math" w:cs="Times New Roman"/>
                    <w:sz w:val="24"/>
                    <w:szCs w:val="24"/>
                  </w:rPr>
                  <m:t>∂σ</m:t>
                </m:r>
              </m:den>
            </m:f>
          </m:e>
        </m:d>
      </m:oMath>
      <w:r>
        <w:rPr>
          <w:rFonts w:ascii="Times New Roman" w:eastAsiaTheme="minorEastAsia" w:hAnsi="Times New Roman" w:cs="Times New Roman"/>
          <w:i/>
          <w:sz w:val="24"/>
          <w:szCs w:val="24"/>
        </w:rPr>
        <w:t xml:space="preserve">: </w:t>
      </w:r>
      <w:r w:rsidRPr="00217E23">
        <w:rPr>
          <w:rFonts w:ascii="Times New Roman" w:eastAsiaTheme="minorEastAsia" w:hAnsi="Times New Roman" w:cs="Times New Roman"/>
          <w:sz w:val="24"/>
          <w:szCs w:val="24"/>
        </w:rPr>
        <w:t>A derivada com dívidas subordinadas</w:t>
      </w:r>
      <w:proofErr w:type="gramStart"/>
      <w:r>
        <w:rPr>
          <w:rFonts w:ascii="Times New Roman" w:eastAsiaTheme="minorEastAsia" w:hAnsi="Times New Roman" w:cs="Times New Roman"/>
          <w:sz w:val="24"/>
          <w:szCs w:val="24"/>
        </w:rPr>
        <w:t>,</w:t>
      </w:r>
      <w:r w:rsidRPr="00217E23">
        <w:rPr>
          <w:rFonts w:ascii="Times New Roman" w:eastAsiaTheme="minorEastAsia" w:hAnsi="Times New Roman" w:cs="Times New Roman"/>
          <w:sz w:val="24"/>
          <w:szCs w:val="24"/>
        </w:rPr>
        <w:t xml:space="preserve"> ficou</w:t>
      </w:r>
      <w:proofErr w:type="gramEnd"/>
      <w:r w:rsidRPr="00217E23">
        <w:rPr>
          <w:rFonts w:ascii="Times New Roman" w:eastAsiaTheme="minorEastAsia" w:hAnsi="Times New Roman" w:cs="Times New Roman"/>
          <w:sz w:val="24"/>
          <w:szCs w:val="24"/>
        </w:rPr>
        <w:t xml:space="preserve"> positiva para o Banco do Brasil, Itaú Unibanco, Bradesco, Santander, BTG Pactual, HSBC e Citibank. </w:t>
      </w:r>
      <w:r>
        <w:rPr>
          <w:rFonts w:ascii="Times New Roman" w:eastAsiaTheme="minorEastAsia" w:hAnsi="Times New Roman" w:cs="Times New Roman"/>
          <w:sz w:val="24"/>
          <w:szCs w:val="24"/>
        </w:rPr>
        <w:t>Pelo</w:t>
      </w:r>
      <w:r w:rsidRPr="00217E23">
        <w:rPr>
          <w:rFonts w:ascii="Times New Roman" w:eastAsiaTheme="minorEastAsia" w:hAnsi="Times New Roman" w:cs="Times New Roman"/>
          <w:sz w:val="24"/>
          <w:szCs w:val="24"/>
        </w:rPr>
        <w:t xml:space="preserve"> modelo</w:t>
      </w:r>
      <w:r>
        <w:rPr>
          <w:rFonts w:ascii="Times New Roman" w:eastAsiaTheme="minorEastAsia" w:hAnsi="Times New Roman" w:cs="Times New Roman"/>
          <w:sz w:val="24"/>
          <w:szCs w:val="24"/>
        </w:rPr>
        <w:t>,</w:t>
      </w:r>
      <w:r w:rsidRPr="00217E23">
        <w:rPr>
          <w:rFonts w:ascii="Times New Roman" w:eastAsiaTheme="minorEastAsia" w:hAnsi="Times New Roman" w:cs="Times New Roman"/>
          <w:sz w:val="24"/>
          <w:szCs w:val="24"/>
        </w:rPr>
        <w:t xml:space="preserve"> esses bancos devem possuir uma fronteira baixa e o banco tem incentivo para tomar mais risco.</w:t>
      </w:r>
      <w:r>
        <w:rPr>
          <w:rFonts w:ascii="Times New Roman" w:eastAsiaTheme="minorEastAsia" w:hAnsi="Times New Roman" w:cs="Times New Roman"/>
          <w:sz w:val="24"/>
          <w:szCs w:val="24"/>
        </w:rPr>
        <w:t xml:space="preserve"> </w:t>
      </w:r>
      <w:r w:rsidRPr="00217E23">
        <w:rPr>
          <w:rFonts w:ascii="Times New Roman" w:eastAsiaTheme="minorEastAsia" w:hAnsi="Times New Roman" w:cs="Times New Roman"/>
          <w:sz w:val="24"/>
          <w:szCs w:val="24"/>
        </w:rPr>
        <w:t xml:space="preserve">Já para a Caixa Econômica Federal, Safra e Votorantim a derivada foi negativa, o que, </w:t>
      </w:r>
      <w:r>
        <w:rPr>
          <w:rFonts w:ascii="Times New Roman" w:eastAsiaTheme="minorEastAsia" w:hAnsi="Times New Roman" w:cs="Times New Roman"/>
          <w:sz w:val="24"/>
          <w:szCs w:val="24"/>
        </w:rPr>
        <w:t>s</w:t>
      </w:r>
      <w:r w:rsidRPr="00217E23">
        <w:rPr>
          <w:rFonts w:ascii="Times New Roman" w:eastAsiaTheme="minorEastAsia" w:hAnsi="Times New Roman" w:cs="Times New Roman"/>
          <w:sz w:val="24"/>
          <w:szCs w:val="24"/>
        </w:rPr>
        <w:t>ugere que esses bancos têm uma fronteira suficientemente alta e o banco tem incentivo de evitar riscos.</w:t>
      </w:r>
      <w:r>
        <w:rPr>
          <w:rFonts w:ascii="Times New Roman" w:eastAsiaTheme="minorEastAsia" w:hAnsi="Times New Roman" w:cs="Times New Roman"/>
          <w:sz w:val="24"/>
          <w:szCs w:val="24"/>
        </w:rPr>
        <w:t xml:space="preserve"> </w:t>
      </w:r>
      <w:r w:rsidRPr="00217E23">
        <w:rPr>
          <w:rFonts w:ascii="Times New Roman" w:eastAsiaTheme="minorEastAsia" w:hAnsi="Times New Roman" w:cs="Times New Roman"/>
          <w:sz w:val="24"/>
          <w:szCs w:val="24"/>
        </w:rPr>
        <w:t xml:space="preserve">A derivada do patrimônio líquido sobre o risco com </w:t>
      </w:r>
      <w:proofErr w:type="spellStart"/>
      <w:proofErr w:type="gramStart"/>
      <w:r>
        <w:rPr>
          <w:rFonts w:ascii="Times New Roman" w:eastAsiaTheme="minorEastAsia" w:hAnsi="Times New Roman" w:cs="Times New Roman"/>
          <w:sz w:val="24"/>
          <w:szCs w:val="24"/>
        </w:rPr>
        <w:t>CoCos</w:t>
      </w:r>
      <w:proofErr w:type="spellEnd"/>
      <w:proofErr w:type="gramEnd"/>
      <w:r w:rsidRPr="00217E23">
        <w:rPr>
          <w:rFonts w:ascii="Times New Roman" w:eastAsiaTheme="minorEastAsia" w:hAnsi="Times New Roman" w:cs="Times New Roman"/>
          <w:sz w:val="24"/>
          <w:szCs w:val="24"/>
        </w:rPr>
        <w:t xml:space="preserve"> foi positiva para todos os bancos da amostra, o que sugere que, os bancos possuem uma fronteira suficientemente alta e tem incentivos para evitar riscos.</w:t>
      </w:r>
      <w:r>
        <w:rPr>
          <w:rFonts w:ascii="Times New Roman" w:eastAsiaTheme="minorEastAsia" w:hAnsi="Times New Roman" w:cs="Times New Roman"/>
          <w:sz w:val="24"/>
          <w:szCs w:val="24"/>
        </w:rPr>
        <w:t xml:space="preserve"> </w:t>
      </w:r>
      <w:r w:rsidRPr="00217E23">
        <w:rPr>
          <w:rFonts w:ascii="Times New Roman" w:eastAsiaTheme="minorEastAsia" w:hAnsi="Times New Roman" w:cs="Times New Roman"/>
          <w:sz w:val="24"/>
          <w:szCs w:val="24"/>
        </w:rPr>
        <w:t>Comparando as derivadas, todos os bancos apresentaram a derivada do patrimônio líquido sobre o risco</w:t>
      </w:r>
      <w:r>
        <w:rPr>
          <w:rFonts w:ascii="Times New Roman" w:eastAsiaTheme="minorEastAsia" w:hAnsi="Times New Roman" w:cs="Times New Roman"/>
          <w:sz w:val="24"/>
          <w:szCs w:val="24"/>
        </w:rPr>
        <w:t>,</w:t>
      </w:r>
      <w:r w:rsidRPr="00217E23">
        <w:rPr>
          <w:rFonts w:ascii="Times New Roman" w:eastAsiaTheme="minorEastAsia" w:hAnsi="Times New Roman" w:cs="Times New Roman"/>
          <w:sz w:val="24"/>
          <w:szCs w:val="24"/>
        </w:rPr>
        <w:t xml:space="preserve"> com </w:t>
      </w:r>
      <w:proofErr w:type="spellStart"/>
      <w:proofErr w:type="gramStart"/>
      <w:r>
        <w:rPr>
          <w:rFonts w:ascii="Times New Roman" w:eastAsiaTheme="minorEastAsia" w:hAnsi="Times New Roman" w:cs="Times New Roman"/>
          <w:sz w:val="24"/>
          <w:szCs w:val="24"/>
        </w:rPr>
        <w:t>CoCos</w:t>
      </w:r>
      <w:proofErr w:type="spellEnd"/>
      <w:proofErr w:type="gramEnd"/>
      <w:r w:rsidRPr="00217E23">
        <w:rPr>
          <w:rFonts w:ascii="Times New Roman" w:eastAsiaTheme="minorEastAsia" w:hAnsi="Times New Roman" w:cs="Times New Roman"/>
          <w:sz w:val="24"/>
          <w:szCs w:val="24"/>
        </w:rPr>
        <w:t xml:space="preserve">, maior que a mesma derivada com dívidas subordinadas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∂σ</m:t>
                </m:r>
              </m:den>
            </m:f>
            <m:r>
              <w:rPr>
                <w:rFonts w:ascii="Cambria Math" w:eastAsiaTheme="minorEastAsia" w:hAnsi="Cambria Math" w:cs="Times New Roman"/>
                <w:sz w:val="24"/>
                <w:szCs w:val="24"/>
              </w:rPr>
              <m:t xml:space="preserve">&lt;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m:t>
                    </m:r>
                  </m:sup>
                </m:sSubSup>
              </m:num>
              <m:den>
                <m:r>
                  <w:rPr>
                    <w:rFonts w:ascii="Cambria Math" w:eastAsiaTheme="minorEastAsia" w:hAnsi="Cambria Math" w:cs="Times New Roman"/>
                    <w:sz w:val="24"/>
                    <w:szCs w:val="24"/>
                  </w:rPr>
                  <m:t>∂σ</m:t>
                </m:r>
              </m:den>
            </m:f>
          </m:e>
        </m:d>
      </m:oMath>
      <w:r w:rsidRPr="00217E23">
        <w:rPr>
          <w:rFonts w:ascii="Times New Roman" w:eastAsiaTheme="minorEastAsia" w:hAnsi="Times New Roman" w:cs="Times New Roman"/>
          <w:sz w:val="24"/>
          <w:szCs w:val="24"/>
        </w:rPr>
        <w:t xml:space="preserve">, sugerindo que os </w:t>
      </w:r>
      <w:proofErr w:type="spellStart"/>
      <w:r>
        <w:rPr>
          <w:rFonts w:ascii="Times New Roman" w:eastAsiaTheme="minorEastAsia" w:hAnsi="Times New Roman" w:cs="Times New Roman"/>
          <w:sz w:val="24"/>
          <w:szCs w:val="24"/>
        </w:rPr>
        <w:t>CoCos</w:t>
      </w:r>
      <w:proofErr w:type="spellEnd"/>
      <w:r>
        <w:rPr>
          <w:rFonts w:ascii="Times New Roman" w:eastAsiaTheme="minorEastAsia" w:hAnsi="Times New Roman" w:cs="Times New Roman"/>
          <w:sz w:val="24"/>
          <w:szCs w:val="24"/>
        </w:rPr>
        <w:t>,</w:t>
      </w:r>
      <w:r w:rsidRPr="00217E23">
        <w:rPr>
          <w:rFonts w:ascii="Times New Roman" w:eastAsiaTheme="minorEastAsia" w:hAnsi="Times New Roman" w:cs="Times New Roman"/>
          <w:sz w:val="24"/>
          <w:szCs w:val="24"/>
        </w:rPr>
        <w:t xml:space="preserve"> em ambientes não regulamentados</w:t>
      </w:r>
      <w:r>
        <w:rPr>
          <w:rFonts w:ascii="Times New Roman" w:eastAsiaTheme="minorEastAsia" w:hAnsi="Times New Roman" w:cs="Times New Roman"/>
          <w:sz w:val="24"/>
          <w:szCs w:val="24"/>
        </w:rPr>
        <w:t>,</w:t>
      </w:r>
      <w:r w:rsidRPr="00217E23">
        <w:rPr>
          <w:rFonts w:ascii="Times New Roman" w:eastAsiaTheme="minorEastAsia" w:hAnsi="Times New Roman" w:cs="Times New Roman"/>
          <w:sz w:val="24"/>
          <w:szCs w:val="24"/>
        </w:rPr>
        <w:t xml:space="preserve"> aumentam o incentivo ao risco. </w:t>
      </w:r>
    </w:p>
    <w:p w:rsidR="00A034B7" w:rsidRDefault="00A034B7" w:rsidP="006065F1">
      <w:pPr>
        <w:spacing w:after="120" w:line="240" w:lineRule="auto"/>
        <w:jc w:val="both"/>
        <w:rPr>
          <w:rFonts w:ascii="Times New Roman" w:eastAsiaTheme="minorEastAsia" w:hAnsi="Times New Roman" w:cs="Times New Roman"/>
          <w:sz w:val="24"/>
          <w:szCs w:val="24"/>
        </w:rPr>
      </w:pPr>
      <w:r w:rsidRPr="00E71FA8">
        <w:rPr>
          <w:rFonts w:ascii="Times New Roman" w:eastAsiaTheme="minorEastAsia" w:hAnsi="Times New Roman" w:cs="Times New Roman"/>
          <w:i/>
          <w:sz w:val="24"/>
          <w:szCs w:val="24"/>
        </w:rPr>
        <w:t>Fronteira (</w:t>
      </w:r>
      <m:oMath>
        <m:r>
          <w:rPr>
            <w:rFonts w:ascii="Cambria Math" w:eastAsiaTheme="minorEastAsia" w:hAnsi="Cambria Math" w:cs="Times New Roman"/>
            <w:sz w:val="24"/>
            <w:szCs w:val="24"/>
          </w:rPr>
          <m:t>ξ)</m:t>
        </m:r>
      </m:oMath>
      <w:r>
        <w:rPr>
          <w:rFonts w:ascii="Times New Roman" w:eastAsiaTheme="minorEastAsia" w:hAnsi="Times New Roman" w:cs="Times New Roman"/>
          <w:i/>
          <w:sz w:val="24"/>
          <w:szCs w:val="24"/>
        </w:rPr>
        <w:t xml:space="preserve">: </w:t>
      </w:r>
      <w:r w:rsidRPr="00E71FA8">
        <w:rPr>
          <w:rFonts w:ascii="Times New Roman" w:eastAsiaTheme="minorEastAsia" w:hAnsi="Times New Roman" w:cs="Times New Roman"/>
          <w:sz w:val="24"/>
          <w:szCs w:val="24"/>
        </w:rPr>
        <w:t>O Banco do Brasil, Itaú Unibanco, Bradesco, Santander, BTG Pactual, HSBC e Citibank apresentaram a sua fronteira menor que a fronteira crítica (</w:t>
      </w:r>
      <m:oMath>
        <m:r>
          <w:rPr>
            <w:rFonts w:ascii="Cambria Math" w:eastAsiaTheme="minorEastAsia" w:hAnsi="Cambria Math" w:cs="Times New Roman"/>
            <w:sz w:val="24"/>
            <w:szCs w:val="24"/>
            <w:lang w:eastAsia="pt-BR"/>
          </w:rPr>
          <m:t xml:space="preserve">ξ&lt; </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r>
          <w:rPr>
            <w:rFonts w:ascii="Cambria Math" w:eastAsiaTheme="minorEastAsia" w:hAnsi="Cambria Math" w:cs="Times New Roman"/>
            <w:sz w:val="24"/>
            <w:szCs w:val="24"/>
            <w:lang w:eastAsia="pt-BR"/>
          </w:rPr>
          <m:t>crítica</m:t>
        </m:r>
      </m:oMath>
      <w:r w:rsidRPr="00E71FA8">
        <w:rPr>
          <w:rFonts w:ascii="Times New Roman" w:eastAsiaTheme="minorEastAsia" w:hAnsi="Times New Roman" w:cs="Times New Roman"/>
          <w:sz w:val="24"/>
          <w:szCs w:val="24"/>
        </w:rPr>
        <w:t>), sugerindo que estes bancos têm incentivos para tomar riscos. Já a Caixa Econômica Federal, Safra e Votorantim, apresentaram sua fronteira maior que a fronteira crítica (</w:t>
      </w:r>
      <m:oMath>
        <m:r>
          <w:rPr>
            <w:rFonts w:ascii="Cambria Math" w:eastAsiaTheme="minorEastAsia" w:hAnsi="Cambria Math" w:cs="Times New Roman"/>
            <w:sz w:val="24"/>
            <w:szCs w:val="24"/>
            <w:lang w:eastAsia="pt-BR"/>
          </w:rPr>
          <m:t xml:space="preserve">ξ&lt; </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ξ</m:t>
            </m:r>
          </m:e>
        </m:acc>
        <m:r>
          <w:rPr>
            <w:rFonts w:ascii="Cambria Math" w:eastAsiaTheme="minorEastAsia" w:hAnsi="Cambria Math" w:cs="Times New Roman"/>
            <w:sz w:val="24"/>
            <w:szCs w:val="24"/>
            <w:lang w:eastAsia="pt-BR"/>
          </w:rPr>
          <m:t>crítica</m:t>
        </m:r>
      </m:oMath>
      <w:r w:rsidRPr="00E71FA8">
        <w:rPr>
          <w:rFonts w:ascii="Times New Roman" w:eastAsiaTheme="minorEastAsia" w:hAnsi="Times New Roman" w:cs="Times New Roman"/>
          <w:sz w:val="24"/>
          <w:szCs w:val="24"/>
        </w:rPr>
        <w:t>), s</w:t>
      </w:r>
      <w:proofErr w:type="spellStart"/>
      <w:r>
        <w:rPr>
          <w:rFonts w:ascii="Times New Roman" w:eastAsiaTheme="minorEastAsia" w:hAnsi="Times New Roman" w:cs="Times New Roman"/>
          <w:sz w:val="24"/>
          <w:szCs w:val="24"/>
        </w:rPr>
        <w:t>ugerindo</w:t>
      </w:r>
      <w:proofErr w:type="spellEnd"/>
      <w:r>
        <w:rPr>
          <w:rFonts w:ascii="Times New Roman" w:eastAsiaTheme="minorEastAsia" w:hAnsi="Times New Roman" w:cs="Times New Roman"/>
          <w:sz w:val="24"/>
          <w:szCs w:val="24"/>
        </w:rPr>
        <w:t xml:space="preserve"> que estes bancos não tê</w:t>
      </w:r>
      <w:r w:rsidRPr="00E71FA8">
        <w:rPr>
          <w:rFonts w:ascii="Times New Roman" w:eastAsiaTheme="minorEastAsia" w:hAnsi="Times New Roman" w:cs="Times New Roman"/>
          <w:sz w:val="24"/>
          <w:szCs w:val="24"/>
        </w:rPr>
        <w:t xml:space="preserve">m preferências por altos ricos. Com estes resultados, podemos verificar a regra de escolha ótima de financiamento do modelo. Assim o Banco do Brasil, Itaú Unibanco, Bradesco, Santander, BTG Pactual, HSBC e Citibank </w:t>
      </w:r>
      <w:r w:rsidRPr="00E71FA8">
        <w:rPr>
          <w:rFonts w:ascii="Times New Roman" w:eastAsiaTheme="minorEastAsia" w:hAnsi="Times New Roman" w:cs="Times New Roman"/>
          <w:sz w:val="24"/>
          <w:szCs w:val="24"/>
        </w:rPr>
        <w:lastRenderedPageBreak/>
        <w:t xml:space="preserve">seguem a regra: </w:t>
      </w:r>
      <m:oMath>
        <m:r>
          <m:rPr>
            <m:sty m:val="p"/>
          </m:rPr>
          <w:rPr>
            <w:rFonts w:ascii="Cambria Math" w:eastAsiaTheme="minorEastAsia" w:hAnsi="Cambria Math" w:cs="Times New Roman"/>
            <w:sz w:val="24"/>
            <w:szCs w:val="24"/>
          </w:rPr>
          <m:t>Se </m:t>
        </m:r>
        <m:r>
          <w:rPr>
            <w:rFonts w:ascii="Cambria Math" w:eastAsiaTheme="minorEastAsia" w:hAnsi="Cambria Math" w:cs="Times New Roman"/>
            <w:sz w:val="24"/>
            <w:szCs w:val="24"/>
          </w:rPr>
          <m:t>ξ&lt;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rPr>
              <m:t>ξ</m:t>
            </m:r>
          </m:e>
        </m:acc>
        <m:r>
          <m:rPr>
            <m:sty m:val="p"/>
          </m:rPr>
          <w:rPr>
            <w:rFonts w:ascii="Cambria Math" w:eastAsiaTheme="minorEastAsia" w:hAnsi="Cambria Math" w:cs="Times New Roman"/>
            <w:sz w:val="24"/>
            <w:szCs w:val="24"/>
          </w:rPr>
          <m:t> então </m:t>
        </m:r>
        <m:r>
          <w:rPr>
            <w:rFonts w:ascii="Cambria Math" w:eastAsiaTheme="minorEastAsia" w:hAnsi="Cambria Math" w:cs="Times New Roman"/>
            <w:sz w:val="24"/>
            <w:szCs w:val="24"/>
          </w:rPr>
          <m:t>0&lt;</m:t>
        </m:r>
        <m:sSub>
          <m:sSubPr>
            <m:ctrlPr>
              <w:rPr>
                <w:rFonts w:ascii="Cambria Math" w:eastAsiaTheme="minorEastAsia" w:hAnsi="Cambria Math" w:cs="Times New Roman"/>
                <w:i/>
                <w:iCs/>
                <w:sz w:val="24"/>
                <w:szCs w:val="24"/>
                <w:lang w:val="en-US"/>
              </w:rPr>
            </m:ctrlPr>
          </m:sSubPr>
          <m:e>
            <m:d>
              <m:dPr>
                <m:begChr m:val=""/>
                <m:endChr m:val="|"/>
                <m:ctrlPr>
                  <w:rPr>
                    <w:rFonts w:ascii="Cambria Math" w:eastAsiaTheme="minorEastAsia" w:hAnsi="Cambria Math" w:cs="Times New Roman"/>
                    <w:i/>
                    <w:iCs/>
                    <w:sz w:val="24"/>
                    <w:szCs w:val="24"/>
                    <w:lang w:val="en-US"/>
                  </w:rPr>
                </m:ctrlPr>
              </m:dPr>
              <m:e>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∂σ</m:t>
                    </m:r>
                  </m:den>
                </m:f>
              </m:e>
            </m:d>
          </m:e>
          <m:sub>
            <m:r>
              <w:rPr>
                <w:rFonts w:ascii="Cambria Math" w:eastAsiaTheme="minorEastAsia" w:hAnsi="Cambria Math" w:cs="Times New Roman"/>
                <w:sz w:val="24"/>
                <w:szCs w:val="24"/>
                <w:lang w:val="en-US"/>
              </w:rPr>
              <m:t>b</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m:t>
            </m:r>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iCs/>
                <w:sz w:val="24"/>
                <w:szCs w:val="24"/>
                <w:lang w:val="en-US"/>
              </w:rPr>
            </m:ctrlPr>
          </m:sSubPr>
          <m:e>
            <m:d>
              <m:dPr>
                <m:begChr m:val=""/>
                <m:endChr m:val="|"/>
                <m:ctrlPr>
                  <w:rPr>
                    <w:rFonts w:ascii="Cambria Math" w:eastAsiaTheme="minorEastAsia" w:hAnsi="Cambria Math" w:cs="Times New Roman"/>
                    <w:i/>
                    <w:iCs/>
                    <w:sz w:val="24"/>
                    <w:szCs w:val="24"/>
                    <w:lang w:val="en-US"/>
                  </w:rPr>
                </m:ctrlPr>
              </m:dPr>
              <m:e>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m:t>
                        </m:r>
                      </m:sup>
                    </m:sSubSup>
                  </m:num>
                  <m:den>
                    <m:r>
                      <w:rPr>
                        <w:rFonts w:ascii="Cambria Math" w:eastAsiaTheme="minorEastAsia" w:hAnsi="Cambria Math" w:cs="Times New Roman"/>
                        <w:sz w:val="24"/>
                        <w:szCs w:val="24"/>
                      </w:rPr>
                      <m:t>∂σ</m:t>
                    </m:r>
                  </m:den>
                </m:f>
              </m:e>
            </m:d>
          </m:e>
          <m:sub>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rPr>
              <m:t>*</m:t>
            </m:r>
          </m:sub>
        </m:sSub>
      </m:oMath>
      <w:r w:rsidRPr="00E817EA">
        <w:rPr>
          <w:rFonts w:ascii="Times New Roman" w:eastAsiaTheme="minorEastAsia" w:hAnsi="Times New Roman" w:cs="Times New Roman"/>
          <w:iCs/>
          <w:sz w:val="24"/>
          <w:szCs w:val="24"/>
        </w:rPr>
        <w:t xml:space="preserve">. </w:t>
      </w:r>
      <w:r w:rsidRPr="00E71FA8">
        <w:rPr>
          <w:rFonts w:ascii="Times New Roman" w:eastAsiaTheme="minorEastAsia" w:hAnsi="Times New Roman" w:cs="Times New Roman"/>
          <w:iCs/>
          <w:sz w:val="24"/>
          <w:szCs w:val="24"/>
        </w:rPr>
        <w:t xml:space="preserve">Portanto, esses bancos sempre irão preferir tomar mais risco a manter o capital em nível ótimo, seja com dívidas subordinadas, seja com </w:t>
      </w:r>
      <w:proofErr w:type="spellStart"/>
      <w:proofErr w:type="gramStart"/>
      <w:r>
        <w:rPr>
          <w:rFonts w:ascii="Times New Roman" w:eastAsiaTheme="minorEastAsia" w:hAnsi="Times New Roman" w:cs="Times New Roman"/>
          <w:iCs/>
          <w:sz w:val="24"/>
          <w:szCs w:val="24"/>
        </w:rPr>
        <w:t>CoCos</w:t>
      </w:r>
      <w:proofErr w:type="spellEnd"/>
      <w:proofErr w:type="gramEnd"/>
      <w:r w:rsidRPr="00E71FA8">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E71FA8">
        <w:rPr>
          <w:rFonts w:ascii="Times New Roman" w:eastAsiaTheme="minorEastAsia" w:hAnsi="Times New Roman" w:cs="Times New Roman"/>
          <w:iCs/>
          <w:sz w:val="24"/>
          <w:szCs w:val="24"/>
        </w:rPr>
        <w:t xml:space="preserve">Já </w:t>
      </w:r>
      <w:r w:rsidRPr="00E71FA8">
        <w:rPr>
          <w:rFonts w:ascii="Times New Roman" w:eastAsiaTheme="minorEastAsia" w:hAnsi="Times New Roman" w:cs="Times New Roman"/>
          <w:sz w:val="24"/>
          <w:szCs w:val="24"/>
        </w:rPr>
        <w:t>a Caixa Econômica Federal, Safra e Votorantim seguem a regra:</w:t>
      </w: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Se </m:t>
        </m:r>
        <m:r>
          <w:rPr>
            <w:rFonts w:ascii="Cambria Math" w:eastAsiaTheme="minorEastAsia" w:hAnsi="Cambria Math" w:cs="Times New Roman"/>
            <w:sz w:val="24"/>
            <w:szCs w:val="24"/>
          </w:rPr>
          <m:t>ξ</m:t>
        </m:r>
        <m:r>
          <m:rPr>
            <m:sty m:val="p"/>
          </m:rPr>
          <w:rPr>
            <w:rFonts w:ascii="Cambria Math" w:eastAsiaTheme="minorEastAsia" w:hAnsi="Cambria Math" w:cs="Times New Roman"/>
            <w:sz w:val="24"/>
            <w:szCs w:val="24"/>
          </w:rPr>
          <m:t>&gt;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rPr>
              <m:t>ξ</m:t>
            </m:r>
          </m:e>
        </m:acc>
        <m:r>
          <m:rPr>
            <m:sty m:val="p"/>
          </m:rPr>
          <w:rPr>
            <w:rFonts w:ascii="Cambria Math" w:eastAsiaTheme="minorEastAsia" w:hAnsi="Cambria Math" w:cs="Times New Roman"/>
            <w:sz w:val="24"/>
            <w:szCs w:val="24"/>
          </w:rPr>
          <m:t> então </m:t>
        </m:r>
        <m:sSub>
          <m:sSubPr>
            <m:ctrlPr>
              <w:rPr>
                <w:rFonts w:ascii="Cambria Math" w:eastAsiaTheme="minorEastAsia" w:hAnsi="Cambria Math" w:cs="Times New Roman"/>
                <w:i/>
                <w:iCs/>
                <w:sz w:val="24"/>
                <w:szCs w:val="24"/>
                <w:lang w:val="en-US"/>
              </w:rPr>
            </m:ctrlPr>
          </m:sSubPr>
          <m:e>
            <m:d>
              <m:dPr>
                <m:begChr m:val=""/>
                <m:endChr m:val="|"/>
                <m:ctrlPr>
                  <w:rPr>
                    <w:rFonts w:ascii="Cambria Math" w:eastAsiaTheme="minorEastAsia" w:hAnsi="Cambria Math" w:cs="Times New Roman"/>
                    <w:i/>
                    <w:iCs/>
                    <w:sz w:val="24"/>
                    <w:szCs w:val="24"/>
                    <w:lang w:val="en-US"/>
                  </w:rPr>
                </m:ctrlPr>
              </m:dPr>
              <m:e>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∂σ</m:t>
                    </m:r>
                  </m:den>
                </m:f>
              </m:e>
            </m:d>
          </m:e>
          <m:sub>
            <m:r>
              <w:rPr>
                <w:rFonts w:ascii="Cambria Math" w:eastAsiaTheme="minorEastAsia" w:hAnsi="Cambria Math" w:cs="Times New Roman"/>
                <w:sz w:val="24"/>
                <w:szCs w:val="24"/>
                <w:lang w:val="en-US"/>
              </w:rPr>
              <m:t>b</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m:t>
            </m:r>
            <m:r>
              <m:rPr>
                <m:sty m:val="p"/>
              </m:rPr>
              <w:rPr>
                <w:rFonts w:ascii="Cambria Math" w:eastAsiaTheme="minorEastAsia" w:hAnsi="Cambria Math" w:cs="Times New Roman"/>
                <w:sz w:val="24"/>
                <w:szCs w:val="24"/>
              </w:rPr>
              <m:t>*</m:t>
            </m:r>
          </m:sub>
        </m:sSub>
        <m:r>
          <m:rPr>
            <m:sty m:val="p"/>
          </m:rPr>
          <w:rPr>
            <w:rFonts w:ascii="Cambria Math" w:eastAsiaTheme="minorEastAsia" w:hAnsi="Cambria Math" w:cs="Times New Roman"/>
            <w:sz w:val="24"/>
            <w:szCs w:val="24"/>
          </w:rPr>
          <m:t>&lt;0 e  </m:t>
        </m:r>
        <m:sSub>
          <m:sSubPr>
            <m:ctrlPr>
              <w:rPr>
                <w:rFonts w:ascii="Cambria Math" w:eastAsiaTheme="minorEastAsia" w:hAnsi="Cambria Math" w:cs="Times New Roman"/>
                <w:i/>
                <w:iCs/>
                <w:sz w:val="24"/>
                <w:szCs w:val="24"/>
                <w:lang w:val="en-US"/>
              </w:rPr>
            </m:ctrlPr>
          </m:sSubPr>
          <m:e>
            <m:d>
              <m:dPr>
                <m:begChr m:val=""/>
                <m:endChr m:val="|"/>
                <m:ctrlPr>
                  <w:rPr>
                    <w:rFonts w:ascii="Cambria Math" w:eastAsiaTheme="minorEastAsia" w:hAnsi="Cambria Math" w:cs="Times New Roman"/>
                    <w:i/>
                    <w:iCs/>
                    <w:sz w:val="24"/>
                    <w:szCs w:val="24"/>
                    <w:lang w:val="en-US"/>
                  </w:rPr>
                </m:ctrlPr>
              </m:dPr>
              <m:e>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m:t>
                        </m:r>
                      </m:sup>
                    </m:sSubSup>
                  </m:num>
                  <m:den>
                    <m:r>
                      <w:rPr>
                        <w:rFonts w:ascii="Cambria Math" w:eastAsiaTheme="minorEastAsia" w:hAnsi="Cambria Math" w:cs="Times New Roman"/>
                        <w:sz w:val="24"/>
                        <w:szCs w:val="24"/>
                      </w:rPr>
                      <m:t>∂σ</m:t>
                    </m:r>
                  </m:den>
                </m:f>
              </m:e>
            </m:d>
          </m:e>
          <m:sub>
            <m:r>
              <w:rPr>
                <w:rFonts w:ascii="Cambria Math" w:eastAsiaTheme="minorEastAsia" w:hAnsi="Cambria Math" w:cs="Times New Roman"/>
                <w:sz w:val="24"/>
                <w:szCs w:val="24"/>
                <w:lang w:val="en-US"/>
              </w:rPr>
              <m:t>c</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c</m:t>
            </m:r>
            <m:r>
              <m:rPr>
                <m:sty m:val="p"/>
              </m:rPr>
              <w:rPr>
                <w:rFonts w:ascii="Cambria Math" w:eastAsiaTheme="minorEastAsia" w:hAnsi="Cambria Math" w:cs="Times New Roman"/>
                <w:sz w:val="24"/>
                <w:szCs w:val="24"/>
              </w:rPr>
              <m:t>*</m:t>
            </m:r>
          </m:sub>
        </m:sSub>
        <m:r>
          <m:rPr>
            <m:sty m:val="p"/>
          </m:rPr>
          <w:rPr>
            <w:rFonts w:ascii="Cambria Math" w:eastAsiaTheme="minorEastAsia" w:hAnsi="Cambria Math" w:cs="Times New Roman"/>
            <w:sz w:val="24"/>
            <w:szCs w:val="24"/>
          </w:rPr>
          <m:t>≶ </m:t>
        </m:r>
        <w:proofErr w:type="gramStart"/>
        <m:r>
          <m:rPr>
            <m:sty m:val="p"/>
          </m:rPr>
          <w:rPr>
            <w:rFonts w:ascii="Cambria Math" w:eastAsiaTheme="minorEastAsia" w:hAnsi="Cambria Math" w:cs="Times New Roman"/>
            <w:sz w:val="24"/>
            <w:szCs w:val="24"/>
          </w:rPr>
          <m:t>0</m:t>
        </m:r>
      </m:oMath>
      <w:proofErr w:type="gramEnd"/>
      <w:r>
        <w:rPr>
          <w:rFonts w:ascii="Times New Roman" w:eastAsiaTheme="minorEastAsia" w:hAnsi="Times New Roman" w:cs="Times New Roman"/>
          <w:sz w:val="24"/>
          <w:szCs w:val="24"/>
        </w:rPr>
        <w:t xml:space="preserve">. </w:t>
      </w:r>
      <w:r w:rsidRPr="00E71FA8">
        <w:rPr>
          <w:rFonts w:ascii="Times New Roman" w:eastAsiaTheme="minorEastAsia" w:hAnsi="Times New Roman" w:cs="Times New Roman"/>
          <w:sz w:val="24"/>
          <w:szCs w:val="24"/>
        </w:rPr>
        <w:t>E, portanto, esses bancos vão sempre preferir baixo risco com dívidas subordinadas, embora possam optar por maior risco</w:t>
      </w:r>
      <w:r>
        <w:rPr>
          <w:rFonts w:ascii="Times New Roman" w:eastAsiaTheme="minorEastAsia" w:hAnsi="Times New Roman" w:cs="Times New Roman"/>
          <w:sz w:val="24"/>
          <w:szCs w:val="24"/>
        </w:rPr>
        <w:t>,</w:t>
      </w:r>
      <w:r w:rsidRPr="00E71FA8">
        <w:rPr>
          <w:rFonts w:ascii="Times New Roman" w:eastAsiaTheme="minorEastAsia" w:hAnsi="Times New Roman" w:cs="Times New Roman"/>
          <w:sz w:val="24"/>
          <w:szCs w:val="24"/>
        </w:rPr>
        <w:t xml:space="preserve"> com financiamento em </w:t>
      </w:r>
      <w:proofErr w:type="spellStart"/>
      <w:proofErr w:type="gramStart"/>
      <w:r>
        <w:rPr>
          <w:rFonts w:ascii="Times New Roman" w:eastAsiaTheme="minorEastAsia" w:hAnsi="Times New Roman" w:cs="Times New Roman"/>
          <w:sz w:val="24"/>
          <w:szCs w:val="24"/>
        </w:rPr>
        <w:t>CoCos</w:t>
      </w:r>
      <w:proofErr w:type="spellEnd"/>
      <w:proofErr w:type="gramEnd"/>
      <w:r w:rsidRPr="00E71FA8">
        <w:rPr>
          <w:rFonts w:ascii="Times New Roman" w:eastAsiaTheme="minorEastAsia" w:hAnsi="Times New Roman" w:cs="Times New Roman"/>
          <w:sz w:val="24"/>
          <w:szCs w:val="24"/>
        </w:rPr>
        <w:t xml:space="preserve"> no nível ótimo.</w:t>
      </w:r>
      <w:r>
        <w:rPr>
          <w:rFonts w:ascii="Times New Roman" w:eastAsiaTheme="minorEastAsia" w:hAnsi="Times New Roman" w:cs="Times New Roman"/>
          <w:sz w:val="24"/>
          <w:szCs w:val="24"/>
        </w:rPr>
        <w:t xml:space="preserve"> </w:t>
      </w:r>
    </w:p>
    <w:p w:rsidR="007F4CD5" w:rsidRPr="00437AEB" w:rsidRDefault="007F4CD5" w:rsidP="007F4CD5">
      <w:pPr>
        <w:spacing w:after="0" w:line="240" w:lineRule="auto"/>
        <w:jc w:val="both"/>
        <w:rPr>
          <w:rFonts w:ascii="Times New Roman" w:eastAsiaTheme="minorEastAsia" w:hAnsi="Times New Roman" w:cs="Times New Roman"/>
        </w:rPr>
      </w:pPr>
      <w:r w:rsidRPr="00D00D15">
        <w:rPr>
          <w:noProof/>
          <w:lang w:eastAsia="pt-BR"/>
        </w:rPr>
        <w:drawing>
          <wp:inline distT="0" distB="0" distL="0" distR="0" wp14:anchorId="5E81D019" wp14:editId="35192D45">
            <wp:extent cx="6478437" cy="3286664"/>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9540" cy="3287224"/>
                    </a:xfrm>
                    <a:prstGeom prst="rect">
                      <a:avLst/>
                    </a:prstGeom>
                    <a:noFill/>
                    <a:ln>
                      <a:noFill/>
                    </a:ln>
                  </pic:spPr>
                </pic:pic>
              </a:graphicData>
            </a:graphic>
          </wp:inline>
        </w:drawing>
      </w:r>
    </w:p>
    <w:p w:rsidR="007F4CD5" w:rsidRPr="00A76F54" w:rsidRDefault="007F4CD5" w:rsidP="007F4CD5">
      <w:pPr>
        <w:pStyle w:val="tabela"/>
        <w:rPr>
          <w:rFonts w:eastAsiaTheme="minorEastAsia"/>
          <w:sz w:val="18"/>
        </w:rPr>
      </w:pPr>
      <w:r w:rsidRPr="00A76F54">
        <w:rPr>
          <w:rFonts w:eastAsiaTheme="minorEastAsia"/>
          <w:sz w:val="18"/>
        </w:rPr>
        <w:t xml:space="preserve">Tabela </w:t>
      </w:r>
      <w:r>
        <w:rPr>
          <w:rFonts w:eastAsiaTheme="minorEastAsia"/>
          <w:sz w:val="18"/>
        </w:rPr>
        <w:t>10</w:t>
      </w:r>
      <w:r w:rsidRPr="00A76F54">
        <w:rPr>
          <w:rFonts w:eastAsiaTheme="minorEastAsia"/>
          <w:sz w:val="18"/>
        </w:rPr>
        <w:t xml:space="preserve"> – Resultados dos bancos da amostra para a hipótese dois. Elaboração própria.</w:t>
      </w:r>
      <w:r>
        <w:rPr>
          <w:rFonts w:eastAsiaTheme="minorEastAsia"/>
          <w:sz w:val="18"/>
        </w:rPr>
        <w:t xml:space="preserve"> </w:t>
      </w:r>
      <w:r w:rsidRPr="00A76F54">
        <w:rPr>
          <w:rFonts w:eastAsiaTheme="minorEastAsia"/>
          <w:sz w:val="18"/>
        </w:rPr>
        <w:t>ND – não definido</w:t>
      </w:r>
    </w:p>
    <w:p w:rsidR="007F4CD5" w:rsidRDefault="007F4CD5" w:rsidP="007F4CD5">
      <w:pPr>
        <w:spacing w:after="0" w:line="240" w:lineRule="auto"/>
        <w:jc w:val="both"/>
        <w:rPr>
          <w:rFonts w:ascii="Times New Roman" w:eastAsiaTheme="minorEastAsia" w:hAnsi="Times New Roman" w:cs="Times New Roman"/>
          <w:i/>
          <w:sz w:val="24"/>
          <w:szCs w:val="24"/>
        </w:rPr>
      </w:pPr>
    </w:p>
    <w:p w:rsidR="007F4CD5" w:rsidRDefault="007F4CD5" w:rsidP="007F4CD5">
      <w:pPr>
        <w:spacing w:after="120" w:line="240" w:lineRule="auto"/>
        <w:jc w:val="both"/>
        <w:rPr>
          <w:rFonts w:ascii="Times New Roman" w:eastAsiaTheme="minorEastAsia" w:hAnsi="Times New Roman" w:cs="Times New Roman"/>
          <w:sz w:val="24"/>
          <w:szCs w:val="24"/>
        </w:rPr>
      </w:pPr>
      <w:r w:rsidRPr="00B012BC">
        <w:rPr>
          <w:rFonts w:ascii="Times New Roman" w:eastAsiaTheme="minorEastAsia" w:hAnsi="Times New Roman" w:cs="Times New Roman"/>
          <w:i/>
          <w:sz w:val="24"/>
          <w:szCs w:val="24"/>
        </w:rPr>
        <w:t xml:space="preserve">Valor do banco com risco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∂β</m:t>
                </m:r>
              </m:den>
            </m:f>
            <w:proofErr w:type="gramStart"/>
            <m:r>
              <w:rPr>
                <w:rFonts w:ascii="Cambria Math" w:eastAsiaTheme="minorEastAsia" w:hAnsi="Cambria Math" w:cs="Times New Roman"/>
                <w:sz w:val="24"/>
                <w:szCs w:val="24"/>
              </w:rPr>
              <m:t xml:space="preserve"> ,</m:t>
            </m:r>
            <w:proofErr w:type="gramEnd"/>
            <m:r>
              <w:rPr>
                <w:rFonts w:ascii="Cambria Math" w:eastAsiaTheme="minorEastAsia" w:hAnsi="Cambria Math" w:cs="Times New Roman"/>
                <w:sz w:val="24"/>
                <w:szCs w:val="24"/>
              </w:rPr>
              <m:t xml:space="preserve">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m:t>
                    </m:r>
                  </m:sup>
                </m:sSubSup>
              </m:num>
              <m:den>
                <m:r>
                  <w:rPr>
                    <w:rFonts w:ascii="Cambria Math" w:eastAsiaTheme="minorEastAsia" w:hAnsi="Cambria Math" w:cs="Times New Roman"/>
                    <w:sz w:val="24"/>
                    <w:szCs w:val="24"/>
                  </w:rPr>
                  <m:t>∂β</m:t>
                </m:r>
              </m:den>
            </m:f>
          </m:e>
        </m:d>
      </m:oMath>
      <w:r>
        <w:rPr>
          <w:rFonts w:ascii="Times New Roman" w:eastAsiaTheme="minorEastAsia" w:hAnsi="Times New Roman" w:cs="Times New Roman"/>
          <w:i/>
          <w:sz w:val="24"/>
          <w:szCs w:val="24"/>
        </w:rPr>
        <w:t xml:space="preserve">: </w:t>
      </w:r>
      <w:r w:rsidRPr="00B012BC">
        <w:rPr>
          <w:rFonts w:ascii="Times New Roman" w:eastAsiaTheme="minorEastAsia" w:hAnsi="Times New Roman" w:cs="Times New Roman"/>
          <w:sz w:val="24"/>
          <w:szCs w:val="24"/>
        </w:rPr>
        <w:t>Novamente vamos avaliar se</w:t>
      </w:r>
      <w:r>
        <w:rPr>
          <w:rFonts w:ascii="Times New Roman" w:eastAsiaTheme="minorEastAsia" w:hAnsi="Times New Roman" w:cs="Times New Roman"/>
          <w:sz w:val="24"/>
          <w:szCs w:val="24"/>
        </w:rPr>
        <w:t>,</w:t>
      </w:r>
      <w:r w:rsidRPr="00B012BC">
        <w:rPr>
          <w:rFonts w:ascii="Times New Roman" w:eastAsiaTheme="minorEastAsia" w:hAnsi="Times New Roman" w:cs="Times New Roman"/>
          <w:sz w:val="24"/>
          <w:szCs w:val="24"/>
        </w:rPr>
        <w:t xml:space="preserve"> o cupom em </w:t>
      </w:r>
      <w:proofErr w:type="spellStart"/>
      <w:r>
        <w:rPr>
          <w:rFonts w:ascii="Times New Roman" w:eastAsiaTheme="minorEastAsia" w:hAnsi="Times New Roman" w:cs="Times New Roman"/>
          <w:sz w:val="24"/>
          <w:szCs w:val="24"/>
        </w:rPr>
        <w:t>CoCos</w:t>
      </w:r>
      <w:proofErr w:type="spellEnd"/>
      <w:r w:rsidRPr="00B012BC">
        <w:rPr>
          <w:rFonts w:ascii="Times New Roman" w:eastAsiaTheme="minorEastAsia" w:hAnsi="Times New Roman" w:cs="Times New Roman"/>
          <w:sz w:val="24"/>
          <w:szCs w:val="24"/>
        </w:rPr>
        <w:t xml:space="preserve"> é maior do que o cupom em dívidas subordinadas, </w:t>
      </w:r>
      <w:r>
        <w:rPr>
          <w:rFonts w:ascii="Times New Roman" w:eastAsiaTheme="minorEastAsia" w:hAnsi="Times New Roman" w:cs="Times New Roman"/>
          <w:sz w:val="24"/>
          <w:szCs w:val="24"/>
        </w:rPr>
        <w:t>através do</w:t>
      </w:r>
      <w:r w:rsidRPr="00B012BC">
        <w:rPr>
          <w:rFonts w:ascii="Times New Roman" w:eastAsiaTheme="minorEastAsia" w:hAnsi="Times New Roman" w:cs="Times New Roman"/>
          <w:sz w:val="24"/>
          <w:szCs w:val="24"/>
        </w:rPr>
        <w:t xml:space="preserve"> valor do banco.</w:t>
      </w:r>
      <w:r>
        <w:rPr>
          <w:rFonts w:ascii="Times New Roman" w:eastAsiaTheme="minorEastAsia" w:hAnsi="Times New Roman" w:cs="Times New Roman"/>
          <w:sz w:val="24"/>
          <w:szCs w:val="24"/>
        </w:rPr>
        <w:t xml:space="preserve"> </w:t>
      </w:r>
      <w:r w:rsidRPr="00B012BC">
        <w:rPr>
          <w:rFonts w:ascii="Times New Roman" w:eastAsiaTheme="minorEastAsia" w:hAnsi="Times New Roman" w:cs="Times New Roman"/>
          <w:sz w:val="24"/>
          <w:szCs w:val="24"/>
        </w:rPr>
        <w:t>Para todos os bancos</w:t>
      </w:r>
      <w:r>
        <w:rPr>
          <w:rFonts w:ascii="Times New Roman" w:eastAsiaTheme="minorEastAsia" w:hAnsi="Times New Roman" w:cs="Times New Roman"/>
          <w:sz w:val="24"/>
          <w:szCs w:val="24"/>
        </w:rPr>
        <w:t>,</w:t>
      </w:r>
      <w:r w:rsidRPr="00B012BC">
        <w:rPr>
          <w:rFonts w:ascii="Times New Roman" w:eastAsiaTheme="minorEastAsia" w:hAnsi="Times New Roman" w:cs="Times New Roman"/>
          <w:sz w:val="24"/>
          <w:szCs w:val="24"/>
        </w:rPr>
        <w:t xml:space="preserve"> as derivadas do valor do banco em relação a </w:t>
      </w:r>
      <m:oMath>
        <m:r>
          <w:rPr>
            <w:rFonts w:ascii="Cambria Math" w:eastAsiaTheme="minorEastAsia" w:hAnsi="Cambria Math" w:cs="Times New Roman"/>
            <w:sz w:val="24"/>
            <w:szCs w:val="24"/>
          </w:rPr>
          <m:t>β</m:t>
        </m:r>
      </m:oMath>
      <w:r w:rsidRPr="00B012BC">
        <w:rPr>
          <w:rFonts w:ascii="Times New Roman" w:eastAsiaTheme="minorEastAsia" w:hAnsi="Times New Roman" w:cs="Times New Roman"/>
          <w:sz w:val="24"/>
          <w:szCs w:val="24"/>
        </w:rPr>
        <w:t xml:space="preserve"> é negativo, sugerindo que, mesmo em ambientes com riscos o cupom ótimo em </w:t>
      </w:r>
      <w:proofErr w:type="spellStart"/>
      <w:proofErr w:type="gramStart"/>
      <w:r>
        <w:rPr>
          <w:rFonts w:ascii="Times New Roman" w:eastAsiaTheme="minorEastAsia" w:hAnsi="Times New Roman" w:cs="Times New Roman"/>
          <w:sz w:val="24"/>
          <w:szCs w:val="24"/>
        </w:rPr>
        <w:t>CoCos</w:t>
      </w:r>
      <w:proofErr w:type="spellEnd"/>
      <w:proofErr w:type="gramEnd"/>
      <w:r w:rsidRPr="00B012BC">
        <w:rPr>
          <w:rFonts w:ascii="Times New Roman" w:eastAsiaTheme="minorEastAsia" w:hAnsi="Times New Roman" w:cs="Times New Roman"/>
          <w:sz w:val="24"/>
          <w:szCs w:val="24"/>
        </w:rPr>
        <w:t xml:space="preserve"> é maior que o cupom ótimo em dívidas subordinadas. </w:t>
      </w:r>
    </w:p>
    <w:p w:rsidR="007F4CD5" w:rsidRDefault="007F4CD5" w:rsidP="007F4CD5">
      <w:pPr>
        <w:spacing w:after="120" w:line="240" w:lineRule="auto"/>
        <w:jc w:val="both"/>
        <w:rPr>
          <w:rFonts w:ascii="Times New Roman" w:eastAsiaTheme="minorEastAsia" w:hAnsi="Times New Roman" w:cs="Times New Roman"/>
          <w:sz w:val="24"/>
          <w:szCs w:val="24"/>
        </w:rPr>
      </w:pPr>
      <w:r w:rsidRPr="00B012BC">
        <w:rPr>
          <w:rFonts w:ascii="Times New Roman" w:eastAsiaTheme="minorEastAsia" w:hAnsi="Times New Roman" w:cs="Times New Roman"/>
          <w:sz w:val="24"/>
          <w:szCs w:val="24"/>
        </w:rPr>
        <w:t>Sabendo as preferências de financiamento dos bancos, vamos avaliar os cupons das dívidas.</w:t>
      </w:r>
    </w:p>
    <w:p w:rsidR="007F4CD5" w:rsidRDefault="007F4CD5" w:rsidP="007F4CD5">
      <w:pPr>
        <w:spacing w:after="120" w:line="240" w:lineRule="auto"/>
        <w:jc w:val="both"/>
        <w:rPr>
          <w:rFonts w:ascii="Times New Roman" w:eastAsiaTheme="minorEastAsia" w:hAnsi="Times New Roman" w:cs="Times New Roman"/>
          <w:sz w:val="24"/>
          <w:szCs w:val="24"/>
        </w:rPr>
      </w:pPr>
      <w:r w:rsidRPr="00B012BC">
        <w:rPr>
          <w:rFonts w:ascii="Times New Roman" w:eastAsiaTheme="minorEastAsia" w:hAnsi="Times New Roman" w:cs="Times New Roman"/>
          <w:i/>
          <w:sz w:val="24"/>
          <w:szCs w:val="24"/>
        </w:rPr>
        <w:t>Risco (</w:t>
      </w:r>
      <m:oMath>
        <m:r>
          <w:rPr>
            <w:rFonts w:ascii="Cambria Math" w:eastAsiaTheme="minorEastAsia" w:hAnsi="Cambria Math" w:cs="Times New Roman"/>
            <w:sz w:val="24"/>
            <w:szCs w:val="24"/>
          </w:rPr>
          <m:t>σ)</m:t>
        </m:r>
      </m:oMath>
      <w:r>
        <w:rPr>
          <w:rFonts w:ascii="Times New Roman" w:eastAsiaTheme="minorEastAsia" w:hAnsi="Times New Roman" w:cs="Times New Roman"/>
          <w:i/>
          <w:sz w:val="24"/>
          <w:szCs w:val="24"/>
        </w:rPr>
        <w:t xml:space="preserve">: </w:t>
      </w:r>
      <w:r w:rsidRPr="00B012BC">
        <w:rPr>
          <w:rFonts w:ascii="Times New Roman" w:eastAsiaTheme="minorEastAsia" w:hAnsi="Times New Roman" w:cs="Times New Roman"/>
          <w:sz w:val="24"/>
          <w:szCs w:val="24"/>
        </w:rPr>
        <w:t xml:space="preserve">O risco têm </w:t>
      </w:r>
      <w:proofErr w:type="gramStart"/>
      <w:r w:rsidRPr="00B012BC">
        <w:rPr>
          <w:rFonts w:ascii="Times New Roman" w:eastAsiaTheme="minorEastAsia" w:hAnsi="Times New Roman" w:cs="Times New Roman"/>
          <w:sz w:val="24"/>
          <w:szCs w:val="24"/>
        </w:rPr>
        <w:t>3</w:t>
      </w:r>
      <w:proofErr w:type="gramEnd"/>
      <w:r w:rsidRPr="00B012BC">
        <w:rPr>
          <w:rFonts w:ascii="Times New Roman" w:eastAsiaTheme="minorEastAsia" w:hAnsi="Times New Roman" w:cs="Times New Roman"/>
          <w:sz w:val="24"/>
          <w:szCs w:val="24"/>
        </w:rPr>
        <w:t xml:space="preserve"> parâmetros distinto</w:t>
      </w:r>
      <w:r>
        <w:rPr>
          <w:rFonts w:ascii="Times New Roman" w:eastAsiaTheme="minorEastAsia" w:hAnsi="Times New Roman" w:cs="Times New Roman"/>
          <w:sz w:val="24"/>
          <w:szCs w:val="24"/>
        </w:rPr>
        <w:t>,</w:t>
      </w:r>
      <w:r w:rsidRPr="00B012BC">
        <w:rPr>
          <w:rFonts w:ascii="Times New Roman" w:eastAsiaTheme="minorEastAsia" w:hAnsi="Times New Roman" w:cs="Times New Roman"/>
          <w:sz w:val="24"/>
          <w:szCs w:val="24"/>
        </w:rPr>
        <w:t xml:space="preserve"> que precisamos comparar.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l</m:t>
            </m:r>
          </m:sub>
        </m:sSub>
      </m:oMath>
      <w:r w:rsidRPr="00B012BC">
        <w:rPr>
          <w:rFonts w:ascii="Times New Roman" w:eastAsiaTheme="minorEastAsia" w:hAnsi="Times New Roman" w:cs="Times New Roman"/>
          <w:sz w:val="24"/>
          <w:szCs w:val="24"/>
        </w:rPr>
        <w:t xml:space="preserve"> </w:t>
      </w:r>
      <w:proofErr w:type="gramStart"/>
      <w:r w:rsidRPr="00B012BC">
        <w:rPr>
          <w:rFonts w:ascii="Times New Roman" w:eastAsiaTheme="minorEastAsia" w:hAnsi="Times New Roman" w:cs="Times New Roman"/>
          <w:sz w:val="24"/>
          <w:szCs w:val="24"/>
        </w:rPr>
        <w:t>é</w:t>
      </w:r>
      <w:proofErr w:type="gramEnd"/>
      <w:r w:rsidRPr="00B012BC">
        <w:rPr>
          <w:rFonts w:ascii="Times New Roman" w:eastAsiaTheme="minorEastAsia" w:hAnsi="Times New Roman" w:cs="Times New Roman"/>
          <w:sz w:val="24"/>
          <w:szCs w:val="24"/>
        </w:rPr>
        <w:t xml:space="preserve"> o risco do banco com dívidas subordi</w:t>
      </w:r>
      <w:r>
        <w:rPr>
          <w:rFonts w:ascii="Times New Roman" w:eastAsiaTheme="minorEastAsia" w:hAnsi="Times New Roman" w:cs="Times New Roman"/>
          <w:sz w:val="24"/>
          <w:szCs w:val="24"/>
        </w:rPr>
        <w:t>nadas, ou seja, deve ser o menor</w:t>
      </w:r>
      <w:r w:rsidRPr="00B012BC">
        <w:rPr>
          <w:rFonts w:ascii="Times New Roman" w:eastAsiaTheme="minorEastAsia" w:hAnsi="Times New Roman" w:cs="Times New Roman"/>
          <w:sz w:val="24"/>
          <w:szCs w:val="24"/>
        </w:rPr>
        <w:t xml:space="preserve"> risco</w:t>
      </w:r>
      <w:r>
        <w:rPr>
          <w:rFonts w:ascii="Times New Roman" w:eastAsiaTheme="minorEastAsia" w:hAnsi="Times New Roman" w:cs="Times New Roman"/>
          <w:sz w:val="24"/>
          <w:szCs w:val="24"/>
        </w:rPr>
        <w:t>, mesmo</w:t>
      </w:r>
      <w:r w:rsidRPr="00B012BC">
        <w:rPr>
          <w:rFonts w:ascii="Times New Roman" w:eastAsiaTheme="minorEastAsia" w:hAnsi="Times New Roman" w:cs="Times New Roman"/>
          <w:sz w:val="24"/>
          <w:szCs w:val="24"/>
        </w:rPr>
        <w:t xml:space="preserve"> em ambientes não regulamentados. Em seguida temos 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w:t>
      </w:r>
      <w:r w:rsidRPr="00B012BC">
        <w:rPr>
          <w:rFonts w:ascii="Times New Roman" w:eastAsiaTheme="minorEastAsia" w:hAnsi="Times New Roman" w:cs="Times New Roman"/>
          <w:sz w:val="24"/>
          <w:szCs w:val="24"/>
        </w:rPr>
        <w:t xml:space="preserve"> que é o risco do banco quando, o valor do banco com dívidas subordinadas se iguala ao valor do banco com </w:t>
      </w:r>
      <w:proofErr w:type="spellStart"/>
      <w:proofErr w:type="gramStart"/>
      <w:r>
        <w:rPr>
          <w:rFonts w:ascii="Times New Roman" w:eastAsiaTheme="minorEastAsia" w:hAnsi="Times New Roman" w:cs="Times New Roman"/>
          <w:sz w:val="24"/>
          <w:szCs w:val="24"/>
        </w:rPr>
        <w:t>CoCos</w:t>
      </w:r>
      <w:proofErr w:type="spellEnd"/>
      <w:proofErr w:type="gramEnd"/>
      <w:r w:rsidRPr="00B012BC">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acc>
              <m:accPr>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r>
              <w:rPr>
                <w:rFonts w:ascii="Cambria Math" w:eastAsiaTheme="minorEastAsia" w:hAnsi="Cambria Math" w:cs="Times New Roman"/>
                <w:sz w:val="24"/>
                <w:szCs w:val="24"/>
                <w:lang w:eastAsia="pt-BR"/>
              </w:rPr>
              <m:t>=sup</m:t>
            </m:r>
            <m:d>
              <m:dPr>
                <m:begChr m:val="{"/>
                <m:endChr m:val="}"/>
                <m:ctrlPr>
                  <w:rPr>
                    <w:rFonts w:ascii="Cambria Math" w:eastAsiaTheme="minorEastAsia" w:hAnsi="Cambria Math" w:cs="Times New Roman"/>
                    <w:i/>
                    <w:sz w:val="24"/>
                    <w:szCs w:val="24"/>
                    <w:lang w:eastAsia="pt-BR"/>
                  </w:rPr>
                </m:ctrlPr>
              </m:dPr>
              <m:e>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e>
                </m:d>
                <m:r>
                  <w:rPr>
                    <w:rFonts w:ascii="Cambria Math" w:eastAsiaTheme="minorEastAsia" w:hAnsi="Cambria Math" w:cs="Times New Roman"/>
                    <w:sz w:val="24"/>
                    <w:szCs w:val="24"/>
                    <w:lang w:eastAsia="pt-BR"/>
                  </w:rPr>
                  <m:t xml:space="preserve"> </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c</m:t>
                    </m:r>
                  </m:sup>
                </m:sSubSup>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sSubSup>
                  <m:sSubSupPr>
                    <m:ctrlPr>
                      <w:rPr>
                        <w:rFonts w:ascii="Cambria Math" w:eastAsiaTheme="minorEastAsia" w:hAnsi="Cambria Math" w:cs="Times New Roman"/>
                        <w:i/>
                        <w:sz w:val="24"/>
                        <w:szCs w:val="24"/>
                        <w:lang w:eastAsia="pt-BR"/>
                      </w:rPr>
                    </m:ctrlPr>
                  </m:sSubSupPr>
                  <m:e>
                    <m:r>
                      <w:rPr>
                        <w:rFonts w:ascii="Cambria Math" w:eastAsiaTheme="minorEastAsia" w:hAnsi="Cambria Math" w:cs="Times New Roman"/>
                        <w:sz w:val="24"/>
                        <w:szCs w:val="24"/>
                        <w:lang w:eastAsia="pt-BR"/>
                      </w:rPr>
                      <m:t>V</m:t>
                    </m:r>
                  </m:e>
                  <m:sub>
                    <m:r>
                      <w:rPr>
                        <w:rFonts w:ascii="Cambria Math" w:eastAsiaTheme="minorEastAsia" w:hAnsi="Cambria Math" w:cs="Times New Roman"/>
                        <w:sz w:val="24"/>
                        <w:szCs w:val="24"/>
                        <w:lang w:eastAsia="pt-BR"/>
                      </w:rPr>
                      <m:t>t</m:t>
                    </m:r>
                  </m:sub>
                  <m:sup>
                    <m:r>
                      <w:rPr>
                        <w:rFonts w:ascii="Cambria Math" w:eastAsiaTheme="minorEastAsia" w:hAnsi="Cambria Math" w:cs="Times New Roman"/>
                        <w:sz w:val="24"/>
                        <w:szCs w:val="24"/>
                        <w:lang w:eastAsia="pt-BR"/>
                      </w:rPr>
                      <m:t>b</m:t>
                    </m:r>
                  </m:sup>
                </m:sSubSup>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e>
            </m:d>
          </m:e>
        </m:d>
      </m:oMath>
      <w:r w:rsidRPr="00B012BC">
        <w:rPr>
          <w:rFonts w:ascii="Times New Roman" w:eastAsiaTheme="minorEastAsia" w:hAnsi="Times New Roman" w:cs="Times New Roman"/>
          <w:sz w:val="24"/>
          <w:szCs w:val="24"/>
        </w:rPr>
        <w:t xml:space="preserve">. Neste momento o banco esta assumindo mais risco com maior probabilidade de inadimplência, porém </w:t>
      </w:r>
      <w:r>
        <w:rPr>
          <w:rFonts w:ascii="Times New Roman" w:eastAsiaTheme="minorEastAsia" w:hAnsi="Times New Roman" w:cs="Times New Roman"/>
          <w:sz w:val="24"/>
          <w:szCs w:val="24"/>
        </w:rPr>
        <w:t xml:space="preserve">ainda </w:t>
      </w:r>
      <w:r w:rsidRPr="00B012BC">
        <w:rPr>
          <w:rFonts w:ascii="Times New Roman" w:eastAsiaTheme="minorEastAsia" w:hAnsi="Times New Roman" w:cs="Times New Roman"/>
          <w:sz w:val="24"/>
          <w:szCs w:val="24"/>
        </w:rPr>
        <w:t xml:space="preserve">não sofre com dificuldades financeiras.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oMath>
      <w:r w:rsidRPr="00B012BC">
        <w:rPr>
          <w:rFonts w:ascii="Times New Roman" w:eastAsiaTheme="minorEastAsia" w:hAnsi="Times New Roman" w:cs="Times New Roman"/>
          <w:sz w:val="24"/>
          <w:szCs w:val="24"/>
        </w:rPr>
        <w:t xml:space="preserve"> (chamado valor crítico) é o limite de risco que o banco pode chegar antes de passar a sofrer com dificuldades financeiras, ou seja, </w:t>
      </w:r>
      <w:proofErr w:type="gramStart"/>
      <w:r w:rsidRPr="00B012BC">
        <w:rPr>
          <w:rFonts w:ascii="Times New Roman" w:eastAsiaTheme="minorEastAsia" w:hAnsi="Times New Roman" w:cs="Times New Roman"/>
          <w:sz w:val="24"/>
          <w:szCs w:val="24"/>
        </w:rPr>
        <w:t>é</w:t>
      </w:r>
      <w:proofErr w:type="gramEnd"/>
      <w:r w:rsidRPr="00B012BC">
        <w:rPr>
          <w:rFonts w:ascii="Times New Roman" w:eastAsiaTheme="minorEastAsia" w:hAnsi="Times New Roman" w:cs="Times New Roman"/>
          <w:sz w:val="24"/>
          <w:szCs w:val="24"/>
        </w:rPr>
        <w:t xml:space="preserve"> o n</w:t>
      </w:r>
      <w:proofErr w:type="spellStart"/>
      <w:r w:rsidRPr="00B012BC">
        <w:rPr>
          <w:rFonts w:ascii="Times New Roman" w:eastAsiaTheme="minorEastAsia" w:hAnsi="Times New Roman" w:cs="Times New Roman"/>
          <w:sz w:val="24"/>
          <w:szCs w:val="24"/>
        </w:rPr>
        <w:t>ível</w:t>
      </w:r>
      <w:proofErr w:type="spellEnd"/>
      <w:r w:rsidRPr="00B012BC">
        <w:rPr>
          <w:rFonts w:ascii="Times New Roman" w:eastAsiaTheme="minorEastAsia" w:hAnsi="Times New Roman" w:cs="Times New Roman"/>
          <w:sz w:val="24"/>
          <w:szCs w:val="24"/>
        </w:rPr>
        <w:t xml:space="preserve"> onde as probabilidades de inadimplência com dívidas subordinadas e com </w:t>
      </w:r>
      <w:proofErr w:type="spellStart"/>
      <w:r>
        <w:rPr>
          <w:rFonts w:ascii="Times New Roman" w:eastAsiaTheme="minorEastAsia" w:hAnsi="Times New Roman" w:cs="Times New Roman"/>
          <w:sz w:val="24"/>
          <w:szCs w:val="24"/>
        </w:rPr>
        <w:t>CoCos</w:t>
      </w:r>
      <w:proofErr w:type="spellEnd"/>
      <w:r w:rsidRPr="00B012BC">
        <w:rPr>
          <w:rFonts w:ascii="Times New Roman" w:eastAsiaTheme="minorEastAsia" w:hAnsi="Times New Roman" w:cs="Times New Roman"/>
          <w:sz w:val="24"/>
          <w:szCs w:val="24"/>
        </w:rPr>
        <w:t xml:space="preserve"> se igualam </w:t>
      </w:r>
      <m:oMath>
        <m:d>
          <m:dPr>
            <m:ctrlPr>
              <w:rPr>
                <w:rFonts w:ascii="Cambria Math" w:eastAsiaTheme="minorEastAsia" w:hAnsi="Cambria Math" w:cs="Times New Roman"/>
                <w:i/>
                <w:sz w:val="24"/>
                <w:szCs w:val="24"/>
                <w:lang w:eastAsia="pt-BR"/>
              </w:rPr>
            </m:ctrlPr>
          </m:dPr>
          <m:e>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r>
              <w:rPr>
                <w:rFonts w:ascii="Cambria Math" w:eastAsiaTheme="minorEastAsia" w:hAnsi="Cambria Math" w:cs="Times New Roman"/>
                <w:sz w:val="24"/>
                <w:szCs w:val="24"/>
                <w:lang w:eastAsia="pt-BR"/>
              </w:rPr>
              <m:t>=inf</m:t>
            </m:r>
            <m:d>
              <m:dPr>
                <m:begChr m:val="{"/>
                <m:endChr m:val="}"/>
                <m:ctrlPr>
                  <w:rPr>
                    <w:rFonts w:ascii="Cambria Math" w:eastAsiaTheme="minorEastAsia" w:hAnsi="Cambria Math" w:cs="Times New Roman"/>
                    <w:i/>
                    <w:sz w:val="24"/>
                    <w:szCs w:val="24"/>
                    <w:lang w:eastAsia="pt-BR"/>
                  </w:rPr>
                </m:ctrlPr>
              </m:dPr>
              <m:e>
                <m:d>
                  <m:dPr>
                    <m:begChr m:val=""/>
                    <m:endChr m:val="|"/>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e>
                </m:d>
                <m:r>
                  <w:rPr>
                    <w:rFonts w:ascii="Cambria Math" w:eastAsiaTheme="minorEastAsia" w:hAnsi="Cambria Math" w:cs="Times New Roman"/>
                    <w:sz w:val="24"/>
                    <w:szCs w:val="24"/>
                    <w:lang w:eastAsia="pt-BR"/>
                  </w:rPr>
                  <m:t xml:space="preserv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ξ,</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,T</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P</m:t>
                    </m:r>
                  </m:e>
                  <m:sub>
                    <m:r>
                      <w:rPr>
                        <w:rFonts w:ascii="Cambria Math" w:eastAsiaTheme="minorEastAsia" w:hAnsi="Cambria Math" w:cs="Times New Roman"/>
                        <w:sz w:val="24"/>
                        <w:szCs w:val="24"/>
                        <w:lang w:eastAsia="pt-BR"/>
                      </w:rPr>
                      <m:t>ξ,</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,T</m:t>
                    </m:r>
                  </m:sub>
                </m:sSub>
              </m:e>
            </m:d>
          </m:e>
        </m:d>
      </m:oMath>
      <w:r w:rsidR="007A54B8">
        <w:rPr>
          <w:rFonts w:ascii="Times New Roman" w:eastAsiaTheme="minorEastAsia" w:hAnsi="Times New Roman" w:cs="Times New Roman"/>
          <w:sz w:val="24"/>
          <w:szCs w:val="24"/>
        </w:rPr>
        <w:t xml:space="preserve">. </w:t>
      </w:r>
      <w:r w:rsidRPr="00B012BC">
        <w:rPr>
          <w:rFonts w:ascii="Times New Roman" w:eastAsiaTheme="minorEastAsia" w:hAnsi="Times New Roman" w:cs="Times New Roman"/>
          <w:sz w:val="24"/>
          <w:szCs w:val="24"/>
        </w:rPr>
        <w:t xml:space="preserve">Tivemos </w:t>
      </w:r>
      <w:proofErr w:type="gramStart"/>
      <w:r w:rsidRPr="00B012BC">
        <w:rPr>
          <w:rFonts w:ascii="Times New Roman" w:eastAsiaTheme="minorEastAsia" w:hAnsi="Times New Roman" w:cs="Times New Roman"/>
          <w:sz w:val="24"/>
          <w:szCs w:val="24"/>
        </w:rPr>
        <w:t>5</w:t>
      </w:r>
      <w:proofErr w:type="gramEnd"/>
      <w:r w:rsidRPr="00B012BC">
        <w:rPr>
          <w:rFonts w:ascii="Times New Roman" w:eastAsiaTheme="minorEastAsia" w:hAnsi="Times New Roman" w:cs="Times New Roman"/>
          <w:sz w:val="24"/>
          <w:szCs w:val="24"/>
        </w:rPr>
        <w:t xml:space="preserve"> diferentes composições de risco, </w:t>
      </w:r>
      <w:r>
        <w:rPr>
          <w:rFonts w:ascii="Times New Roman" w:eastAsiaTheme="minorEastAsia" w:hAnsi="Times New Roman" w:cs="Times New Roman"/>
          <w:sz w:val="24"/>
          <w:szCs w:val="24"/>
        </w:rPr>
        <w:t>dentro da estrutura de capital proposta pelo modelo</w:t>
      </w:r>
      <w:r w:rsidRPr="00B012BC">
        <w:rPr>
          <w:rFonts w:ascii="Times New Roman" w:eastAsiaTheme="minorEastAsia" w:hAnsi="Times New Roman" w:cs="Times New Roman"/>
          <w:sz w:val="24"/>
          <w:szCs w:val="24"/>
        </w:rPr>
        <w:t>:</w:t>
      </w:r>
    </w:p>
    <w:p w:rsidR="007F4CD5" w:rsidRDefault="00445FF9" w:rsidP="007F4CD5">
      <w:pPr>
        <w:spacing w:after="120" w:line="240" w:lineRule="auto"/>
        <w:jc w:val="both"/>
        <w:rPr>
          <w:rFonts w:ascii="Times New Roman" w:eastAsiaTheme="minorEastAsia" w:hAnsi="Times New Roman" w:cs="Times New Roman"/>
          <w:sz w:val="24"/>
          <w:szCs w:val="24"/>
          <w:lang w:eastAsia="pt-BR"/>
        </w:rPr>
      </w:pP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&lt;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&lt;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r w:rsidR="007F4CD5" w:rsidRPr="00B012BC">
        <w:rPr>
          <w:rFonts w:ascii="Times New Roman" w:eastAsiaTheme="minorEastAsia" w:hAnsi="Times New Roman" w:cs="Times New Roman"/>
          <w:sz w:val="24"/>
          <w:szCs w:val="24"/>
          <w:lang w:eastAsia="pt-BR"/>
        </w:rPr>
        <w:t xml:space="preserve"> - Banco do Brasil, Itaú Unibanco e Santander:</w:t>
      </w:r>
      <w:r w:rsidR="007F4CD5">
        <w:rPr>
          <w:rFonts w:ascii="Times New Roman" w:eastAsiaTheme="minorEastAsia" w:hAnsi="Times New Roman" w:cs="Times New Roman"/>
          <w:sz w:val="24"/>
          <w:szCs w:val="24"/>
          <w:lang w:eastAsia="pt-BR"/>
        </w:rPr>
        <w:t xml:space="preserve"> </w:t>
      </w:r>
      <w:r w:rsidR="007F4CD5" w:rsidRPr="00B012BC">
        <w:rPr>
          <w:rFonts w:ascii="Times New Roman" w:eastAsiaTheme="minorEastAsia" w:hAnsi="Times New Roman" w:cs="Times New Roman"/>
          <w:sz w:val="24"/>
          <w:szCs w:val="24"/>
          <w:lang w:eastAsia="pt-BR"/>
        </w:rPr>
        <w:t xml:space="preserve">tem um risco baixo em ambientes não regulamentados e </w:t>
      </w:r>
      <w:r w:rsidR="007F4CD5">
        <w:rPr>
          <w:rFonts w:ascii="Times New Roman" w:eastAsiaTheme="minorEastAsia" w:hAnsi="Times New Roman" w:cs="Times New Roman"/>
          <w:sz w:val="24"/>
          <w:szCs w:val="24"/>
          <w:lang w:eastAsia="pt-BR"/>
        </w:rPr>
        <w:t>estes bancos poderiam</w:t>
      </w:r>
      <w:r w:rsidR="007F4CD5" w:rsidRPr="00B012BC">
        <w:rPr>
          <w:rFonts w:ascii="Times New Roman" w:eastAsiaTheme="minorEastAsia" w:hAnsi="Times New Roman" w:cs="Times New Roman"/>
          <w:sz w:val="24"/>
          <w:szCs w:val="24"/>
          <w:lang w:eastAsia="pt-BR"/>
        </w:rPr>
        <w:t xml:space="preserve"> aumentar o risco, buscando maior retorno, até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oMath>
      <w:r w:rsidR="007F4CD5" w:rsidRPr="00B012BC">
        <w:rPr>
          <w:rFonts w:ascii="Times New Roman" w:eastAsiaTheme="minorEastAsia" w:hAnsi="Times New Roman" w:cs="Times New Roman"/>
          <w:sz w:val="24"/>
          <w:szCs w:val="24"/>
          <w:lang w:eastAsia="pt-BR"/>
        </w:rPr>
        <w:t xml:space="preserve">. </w:t>
      </w:r>
      <w:r w:rsidR="007F4CD5">
        <w:rPr>
          <w:rFonts w:ascii="Times New Roman" w:eastAsiaTheme="minorEastAsia" w:hAnsi="Times New Roman" w:cs="Times New Roman"/>
          <w:sz w:val="24"/>
          <w:szCs w:val="24"/>
          <w:lang w:eastAsia="pt-BR"/>
        </w:rPr>
        <w:t xml:space="preserve">Passando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oMath>
      <w:r w:rsidR="007F4CD5" w:rsidRPr="00B012BC">
        <w:rPr>
          <w:rFonts w:ascii="Times New Roman" w:eastAsiaTheme="minorEastAsia" w:hAnsi="Times New Roman" w:cs="Times New Roman"/>
          <w:sz w:val="24"/>
          <w:szCs w:val="24"/>
          <w:lang w:eastAsia="pt-BR"/>
        </w:rPr>
        <w:t xml:space="preserve">, o valor do banco começa a cair em relação ao valor com dívidas subordinadas até que o banco começa a sofrer com dificuldades financeiras, em </w:t>
      </w:r>
      <m:oMath>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r w:rsidR="007F4CD5" w:rsidRPr="00B012BC">
        <w:rPr>
          <w:rFonts w:ascii="Times New Roman" w:eastAsiaTheme="minorEastAsia" w:hAnsi="Times New Roman" w:cs="Times New Roman"/>
          <w:sz w:val="24"/>
          <w:szCs w:val="24"/>
          <w:lang w:eastAsia="pt-BR"/>
        </w:rPr>
        <w:t>.</w:t>
      </w:r>
    </w:p>
    <w:p w:rsidR="007F4CD5" w:rsidRPr="00B012BC" w:rsidRDefault="00445FF9" w:rsidP="007F4CD5">
      <w:pPr>
        <w:spacing w:after="120" w:line="240" w:lineRule="auto"/>
        <w:jc w:val="both"/>
        <w:rPr>
          <w:rFonts w:ascii="Times New Roman" w:eastAsiaTheme="minorEastAsia" w:hAnsi="Times New Roman" w:cs="Times New Roman"/>
          <w:sz w:val="24"/>
          <w:szCs w:val="24"/>
          <w:lang w:eastAsia="pt-BR"/>
        </w:rPr>
      </w:pP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r w:rsidR="007F4CD5" w:rsidRPr="00B012BC">
        <w:rPr>
          <w:rFonts w:ascii="Times New Roman" w:eastAsiaTheme="minorEastAsia" w:hAnsi="Times New Roman" w:cs="Times New Roman"/>
          <w:sz w:val="24"/>
          <w:szCs w:val="24"/>
          <w:lang w:eastAsia="pt-BR"/>
        </w:rPr>
        <w:t xml:space="preserve"> - Caixa Econômica Federal e Citibank: tem um risco alto em ambientes não regulamentados, estando no limite de dificuldades financeiras, ou seja, </w:t>
      </w:r>
      <w:r w:rsidR="007F4CD5">
        <w:rPr>
          <w:rFonts w:ascii="Times New Roman" w:eastAsiaTheme="minorEastAsia" w:hAnsi="Times New Roman" w:cs="Times New Roman"/>
          <w:sz w:val="24"/>
          <w:szCs w:val="24"/>
          <w:lang w:eastAsia="pt-BR"/>
        </w:rPr>
        <w:t>n</w:t>
      </w:r>
      <w:r w:rsidR="007F4CD5" w:rsidRPr="00B012BC">
        <w:rPr>
          <w:rFonts w:ascii="Times New Roman" w:eastAsiaTheme="minorEastAsia" w:hAnsi="Times New Roman" w:cs="Times New Roman"/>
          <w:sz w:val="24"/>
          <w:szCs w:val="24"/>
          <w:lang w:eastAsia="pt-BR"/>
        </w:rPr>
        <w:t xml:space="preserve">um ambiente com regulamentação rígida, estes </w:t>
      </w:r>
      <w:r w:rsidR="007F4CD5" w:rsidRPr="00B012BC">
        <w:rPr>
          <w:rFonts w:ascii="Times New Roman" w:eastAsiaTheme="minorEastAsia" w:hAnsi="Times New Roman" w:cs="Times New Roman"/>
          <w:sz w:val="24"/>
          <w:szCs w:val="24"/>
          <w:lang w:eastAsia="pt-BR"/>
        </w:rPr>
        <w:lastRenderedPageBreak/>
        <w:t xml:space="preserve">bancos estariam </w:t>
      </w:r>
      <w:r w:rsidR="007F4CD5">
        <w:rPr>
          <w:rFonts w:ascii="Times New Roman" w:eastAsiaTheme="minorEastAsia" w:hAnsi="Times New Roman" w:cs="Times New Roman"/>
          <w:sz w:val="24"/>
          <w:szCs w:val="24"/>
          <w:lang w:eastAsia="pt-BR"/>
        </w:rPr>
        <w:t>com</w:t>
      </w:r>
      <w:r w:rsidR="007F4CD5" w:rsidRPr="00B012BC">
        <w:rPr>
          <w:rFonts w:ascii="Times New Roman" w:eastAsiaTheme="minorEastAsia" w:hAnsi="Times New Roman" w:cs="Times New Roman"/>
          <w:sz w:val="24"/>
          <w:szCs w:val="24"/>
          <w:lang w:eastAsia="pt-BR"/>
        </w:rPr>
        <w:t xml:space="preserve"> estrutura óti</w:t>
      </w:r>
      <w:r w:rsidR="007F4CD5">
        <w:rPr>
          <w:rFonts w:ascii="Times New Roman" w:eastAsiaTheme="minorEastAsia" w:hAnsi="Times New Roman" w:cs="Times New Roman"/>
          <w:sz w:val="24"/>
          <w:szCs w:val="24"/>
          <w:lang w:eastAsia="pt-BR"/>
        </w:rPr>
        <w:t>ma e</w:t>
      </w:r>
      <w:r w:rsidR="007F4CD5" w:rsidRPr="00B012BC">
        <w:rPr>
          <w:rFonts w:ascii="Times New Roman" w:eastAsiaTheme="minorEastAsia" w:hAnsi="Times New Roman" w:cs="Times New Roman"/>
          <w:sz w:val="24"/>
          <w:szCs w:val="24"/>
          <w:lang w:eastAsia="pt-BR"/>
        </w:rPr>
        <w:t xml:space="preserve"> máximo retorno. Porém se a regulamentação deixasse de existir, estes bancos estariam </w:t>
      </w:r>
      <w:r w:rsidR="007F4CD5">
        <w:rPr>
          <w:rFonts w:ascii="Times New Roman" w:eastAsiaTheme="minorEastAsia" w:hAnsi="Times New Roman" w:cs="Times New Roman"/>
          <w:sz w:val="24"/>
          <w:szCs w:val="24"/>
          <w:lang w:eastAsia="pt-BR"/>
        </w:rPr>
        <w:t>no limite para se tornarem inadimplentes e sem espaço para aumentar seus riscos</w:t>
      </w:r>
      <w:r w:rsidR="007F4CD5" w:rsidRPr="00B012BC">
        <w:rPr>
          <w:rFonts w:ascii="Times New Roman" w:eastAsiaTheme="minorEastAsia" w:hAnsi="Times New Roman" w:cs="Times New Roman"/>
          <w:sz w:val="24"/>
          <w:szCs w:val="24"/>
          <w:lang w:eastAsia="pt-BR"/>
        </w:rPr>
        <w:t>.</w:t>
      </w:r>
    </w:p>
    <w:p w:rsidR="007F4CD5" w:rsidRDefault="00445FF9" w:rsidP="007F4CD5">
      <w:pPr>
        <w:spacing w:after="120" w:line="240" w:lineRule="auto"/>
        <w:jc w:val="both"/>
        <w:rPr>
          <w:rFonts w:ascii="Times New Roman" w:eastAsiaTheme="minorEastAsia" w:hAnsi="Times New Roman" w:cs="Times New Roman"/>
          <w:sz w:val="24"/>
          <w:szCs w:val="24"/>
          <w:lang w:eastAsia="pt-BR"/>
        </w:rPr>
      </w:pP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&lt;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r w:rsidR="007F4CD5" w:rsidRPr="00B012BC">
        <w:rPr>
          <w:rFonts w:ascii="Times New Roman" w:eastAsiaTheme="minorEastAsia" w:hAnsi="Times New Roman" w:cs="Times New Roman"/>
          <w:sz w:val="24"/>
          <w:szCs w:val="24"/>
          <w:lang w:eastAsia="pt-BR"/>
        </w:rPr>
        <w:t xml:space="preserve"> - Bradesco e BTG Pactual: tem baixo risco e</w:t>
      </w:r>
      <w:r w:rsidR="007F4CD5">
        <w:rPr>
          <w:rFonts w:ascii="Times New Roman" w:eastAsiaTheme="minorEastAsia" w:hAnsi="Times New Roman" w:cs="Times New Roman"/>
          <w:sz w:val="24"/>
          <w:szCs w:val="24"/>
          <w:lang w:eastAsia="pt-BR"/>
        </w:rPr>
        <w:t xml:space="preserve">m ambientes não regulamentados </w:t>
      </w:r>
      <w:r w:rsidR="007F4CD5" w:rsidRPr="00B012BC">
        <w:rPr>
          <w:rFonts w:ascii="Times New Roman" w:eastAsiaTheme="minorEastAsia" w:hAnsi="Times New Roman" w:cs="Times New Roman"/>
          <w:sz w:val="24"/>
          <w:szCs w:val="24"/>
          <w:lang w:eastAsia="pt-BR"/>
        </w:rPr>
        <w:t>e</w:t>
      </w:r>
      <w:r w:rsidR="007F4CD5">
        <w:rPr>
          <w:rFonts w:ascii="Times New Roman" w:eastAsiaTheme="minorEastAsia" w:hAnsi="Times New Roman" w:cs="Times New Roman"/>
          <w:sz w:val="24"/>
          <w:szCs w:val="24"/>
          <w:lang w:eastAsia="pt-BR"/>
        </w:rPr>
        <w:t>,</w:t>
      </w:r>
      <w:r w:rsidR="007F4CD5" w:rsidRPr="00B012BC">
        <w:rPr>
          <w:rFonts w:ascii="Times New Roman" w:eastAsiaTheme="minorEastAsia" w:hAnsi="Times New Roman" w:cs="Times New Roman"/>
          <w:sz w:val="24"/>
          <w:szCs w:val="24"/>
          <w:lang w:eastAsia="pt-BR"/>
        </w:rPr>
        <w:t xml:space="preserve"> podem até aumentar o risco</w:t>
      </w:r>
      <w:r w:rsidR="007F4CD5">
        <w:rPr>
          <w:rFonts w:ascii="Times New Roman" w:eastAsiaTheme="minorEastAsia" w:hAnsi="Times New Roman" w:cs="Times New Roman"/>
          <w:sz w:val="24"/>
          <w:szCs w:val="24"/>
          <w:lang w:eastAsia="pt-BR"/>
        </w:rPr>
        <w:t>, buscando maior retorno, porém</w:t>
      </w:r>
      <w:r w:rsidR="007F4CD5" w:rsidRPr="00B012BC">
        <w:rPr>
          <w:rFonts w:ascii="Times New Roman" w:eastAsiaTheme="minorEastAsia" w:hAnsi="Times New Roman" w:cs="Times New Roman"/>
          <w:sz w:val="24"/>
          <w:szCs w:val="24"/>
          <w:lang w:eastAsia="pt-BR"/>
        </w:rPr>
        <w:t xml:space="preserve"> </w:t>
      </w:r>
      <w:r w:rsidR="007F4CD5">
        <w:rPr>
          <w:rFonts w:ascii="Times New Roman" w:eastAsiaTheme="minorEastAsia" w:hAnsi="Times New Roman" w:cs="Times New Roman"/>
          <w:sz w:val="24"/>
          <w:szCs w:val="24"/>
          <w:lang w:eastAsia="pt-BR"/>
        </w:rPr>
        <w:t xml:space="preserve">se o valor com dívidas subordinadas igualar ao valor com </w:t>
      </w:r>
      <w:proofErr w:type="spellStart"/>
      <w:proofErr w:type="gramStart"/>
      <w:r w:rsidR="007F4CD5">
        <w:rPr>
          <w:rFonts w:ascii="Times New Roman" w:eastAsiaTheme="minorEastAsia" w:hAnsi="Times New Roman" w:cs="Times New Roman"/>
          <w:sz w:val="24"/>
          <w:szCs w:val="24"/>
          <w:lang w:eastAsia="pt-BR"/>
        </w:rPr>
        <w:t>CoCos</w:t>
      </w:r>
      <w:proofErr w:type="spellEnd"/>
      <w:proofErr w:type="gramEnd"/>
      <w:r w:rsidR="007F4CD5" w:rsidRPr="00B012BC">
        <w:rPr>
          <w:rFonts w:ascii="Times New Roman" w:eastAsiaTheme="minorEastAsia" w:hAnsi="Times New Roman" w:cs="Times New Roman"/>
          <w:sz w:val="24"/>
          <w:szCs w:val="24"/>
          <w:lang w:eastAsia="pt-BR"/>
        </w:rPr>
        <w:t xml:space="preserve">, estariam </w:t>
      </w:r>
      <w:r w:rsidR="007F4CD5">
        <w:rPr>
          <w:rFonts w:ascii="Times New Roman" w:eastAsiaTheme="minorEastAsia" w:hAnsi="Times New Roman" w:cs="Times New Roman"/>
          <w:sz w:val="24"/>
          <w:szCs w:val="24"/>
          <w:lang w:eastAsia="pt-BR"/>
        </w:rPr>
        <w:t>no limite para se tornarem inadimplentes e sem espaço para aumentar seus riscos</w:t>
      </w:r>
      <w:r w:rsidR="007F4CD5" w:rsidRPr="00B012BC">
        <w:rPr>
          <w:rFonts w:ascii="Times New Roman" w:eastAsiaTheme="minorEastAsia" w:hAnsi="Times New Roman" w:cs="Times New Roman"/>
          <w:sz w:val="24"/>
          <w:szCs w:val="24"/>
          <w:lang w:eastAsia="pt-BR"/>
        </w:rPr>
        <w:t>.</w:t>
      </w:r>
    </w:p>
    <w:p w:rsidR="007F4CD5" w:rsidRPr="00B012BC" w:rsidRDefault="007F4CD5" w:rsidP="007F4CD5">
      <w:pPr>
        <w:spacing w:after="120" w:line="240" w:lineRule="auto"/>
        <w:jc w:val="both"/>
        <w:rPr>
          <w:rFonts w:ascii="Times New Roman" w:eastAsiaTheme="minorEastAsia" w:hAnsi="Times New Roman" w:cs="Times New Roman"/>
          <w:sz w:val="24"/>
          <w:szCs w:val="24"/>
          <w:lang w:eastAsia="pt-BR"/>
        </w:rPr>
      </w:pPr>
      <w:r w:rsidRPr="00B012BC">
        <w:rPr>
          <w:rFonts w:ascii="Times New Roman" w:eastAsiaTheme="minorEastAsia" w:hAnsi="Times New Roman" w:cs="Times New Roman"/>
          <w:sz w:val="24"/>
          <w:szCs w:val="24"/>
          <w:lang w:eastAsia="pt-BR"/>
        </w:rPr>
        <w:t xml:space="preserve">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&lt;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r w:rsidRPr="00B012BC">
        <w:rPr>
          <w:rFonts w:ascii="Times New Roman" w:eastAsiaTheme="minorEastAsia" w:hAnsi="Times New Roman" w:cs="Times New Roman"/>
          <w:sz w:val="24"/>
          <w:szCs w:val="24"/>
          <w:lang w:eastAsia="pt-BR"/>
        </w:rPr>
        <w:t xml:space="preserve"> – HSBC e Safra: tem um risco alto em ambientes não regulamentados, mas ainda sem estar sofrendo com dificuldades financeiras. Ou seja, não existe vantagem em aumentar o risco.</w:t>
      </w:r>
    </w:p>
    <w:p w:rsidR="007F4CD5" w:rsidRPr="00B012BC" w:rsidRDefault="00445FF9" w:rsidP="007F4CD5">
      <w:pPr>
        <w:spacing w:after="120" w:line="240" w:lineRule="auto"/>
        <w:jc w:val="both"/>
        <w:rPr>
          <w:rFonts w:ascii="Times New Roman" w:eastAsiaTheme="minorEastAsia" w:hAnsi="Times New Roman" w:cs="Times New Roman"/>
          <w:sz w:val="24"/>
          <w:szCs w:val="24"/>
          <w:lang w:eastAsia="pt-BR"/>
        </w:rPr>
      </w:pP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&lt;ND</m:t>
        </m:r>
      </m:oMath>
      <w:r w:rsidR="007F4CD5" w:rsidRPr="00B012BC">
        <w:rPr>
          <w:rFonts w:ascii="Times New Roman" w:eastAsiaTheme="minorEastAsia" w:hAnsi="Times New Roman" w:cs="Times New Roman"/>
          <w:sz w:val="24"/>
          <w:szCs w:val="24"/>
          <w:lang w:eastAsia="pt-BR"/>
        </w:rPr>
        <w:t xml:space="preserve"> - </w:t>
      </w:r>
      <w:r w:rsidR="007F4CD5" w:rsidRPr="00B012BC">
        <w:rPr>
          <w:rFonts w:ascii="Times New Roman" w:eastAsiaTheme="minorEastAsia" w:hAnsi="Times New Roman" w:cs="Times New Roman"/>
          <w:sz w:val="24"/>
          <w:szCs w:val="24"/>
        </w:rPr>
        <w:t xml:space="preserve">Para </w:t>
      </w:r>
      <w:proofErr w:type="gramStart"/>
      <w:r w:rsidR="007F4CD5" w:rsidRPr="00B012BC">
        <w:rPr>
          <w:rFonts w:ascii="Times New Roman" w:eastAsiaTheme="minorEastAsia" w:hAnsi="Times New Roman" w:cs="Times New Roman"/>
          <w:sz w:val="24"/>
          <w:szCs w:val="24"/>
        </w:rPr>
        <w:t>o Votorantim</w:t>
      </w:r>
      <w:proofErr w:type="gramEnd"/>
      <w:r w:rsidR="007F4CD5" w:rsidRPr="00B012BC">
        <w:rPr>
          <w:rFonts w:ascii="Times New Roman" w:eastAsiaTheme="minorEastAsia" w:hAnsi="Times New Roman" w:cs="Times New Roman"/>
          <w:sz w:val="24"/>
          <w:szCs w:val="24"/>
        </w:rPr>
        <w:t xml:space="preserve">, não foi possível estimar 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oMath>
      <w:r w:rsidR="007F4CD5">
        <w:rPr>
          <w:rFonts w:ascii="Times New Roman" w:eastAsiaTheme="minorEastAsia" w:hAnsi="Times New Roman" w:cs="Times New Roman"/>
          <w:sz w:val="24"/>
          <w:szCs w:val="24"/>
        </w:rPr>
        <w:t xml:space="preserve">. </w:t>
      </w:r>
      <w:r w:rsidR="007F4CD5" w:rsidRPr="00B012BC">
        <w:rPr>
          <w:rFonts w:ascii="Times New Roman" w:eastAsiaTheme="minorEastAsia" w:hAnsi="Times New Roman" w:cs="Times New Roman"/>
          <w:sz w:val="24"/>
          <w:szCs w:val="24"/>
          <w:lang w:eastAsia="pt-BR"/>
        </w:rPr>
        <w:t xml:space="preserve">Assim poderíamos considerá-lo no grupo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r w:rsidR="007F4CD5" w:rsidRPr="00B012BC">
        <w:rPr>
          <w:rFonts w:ascii="Times New Roman" w:eastAsiaTheme="minorEastAsia" w:hAnsi="Times New Roman" w:cs="Times New Roman"/>
          <w:sz w:val="24"/>
          <w:szCs w:val="24"/>
          <w:lang w:eastAsia="pt-BR"/>
        </w:rPr>
        <w:t>, dado que os valores são muito próximos.</w:t>
      </w:r>
    </w:p>
    <w:p w:rsidR="007F4CD5" w:rsidRPr="00B012BC" w:rsidRDefault="007F4CD5" w:rsidP="007F4CD5">
      <w:pPr>
        <w:spacing w:after="120" w:line="240" w:lineRule="auto"/>
        <w:jc w:val="both"/>
        <w:rPr>
          <w:rFonts w:ascii="Times New Roman" w:eastAsiaTheme="minorEastAsia" w:hAnsi="Times New Roman" w:cs="Times New Roman"/>
          <w:sz w:val="24"/>
          <w:szCs w:val="24"/>
          <w:lang w:eastAsia="pt-BR"/>
        </w:rPr>
      </w:pPr>
      <w:r w:rsidRPr="00B012BC">
        <w:rPr>
          <w:rFonts w:ascii="Times New Roman" w:eastAsiaTheme="minorEastAsia" w:hAnsi="Times New Roman" w:cs="Times New Roman"/>
          <w:sz w:val="24"/>
          <w:szCs w:val="24"/>
          <w:lang w:eastAsia="pt-BR"/>
        </w:rPr>
        <w:t xml:space="preserve"> Para seguir com o modelo, estes resultados e análises são suficientes, dado que todos os bancos apresentaram resultado dentro do esperado. Porém, é interessante comparar os resultados do risco com as preferências de risco. </w:t>
      </w:r>
    </w:p>
    <w:p w:rsidR="007F4CD5" w:rsidRPr="00B012BC" w:rsidRDefault="007F4CD5" w:rsidP="007F4CD5">
      <w:pPr>
        <w:spacing w:after="120" w:line="240" w:lineRule="auto"/>
        <w:jc w:val="both"/>
        <w:rPr>
          <w:rFonts w:ascii="Times New Roman" w:eastAsiaTheme="minorEastAsia" w:hAnsi="Times New Roman" w:cs="Times New Roman"/>
          <w:iCs/>
          <w:sz w:val="24"/>
          <w:szCs w:val="24"/>
        </w:rPr>
      </w:pPr>
      <w:r w:rsidRPr="00B012BC">
        <w:rPr>
          <w:rFonts w:ascii="Times New Roman" w:eastAsiaTheme="minorEastAsia" w:hAnsi="Times New Roman" w:cs="Times New Roman"/>
          <w:sz w:val="24"/>
          <w:szCs w:val="24"/>
          <w:lang w:eastAsia="pt-BR"/>
        </w:rPr>
        <w:t xml:space="preserve">Os resultados do modelo sugerem que, o Banco do Brasil, Itaú Unibanco, Santander Bradesco, BTG Pactual, HSBC e Citibank têm preferência e incentivos para tomar mais risco </w:t>
      </w:r>
      <m:oMath>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c</m:t>
                    </m:r>
                  </m:sup>
                </m:sSubSup>
              </m:num>
              <m:den>
                <m:r>
                  <w:rPr>
                    <w:rFonts w:ascii="Cambria Math" w:hAnsi="Cambria Math" w:cs="Times New Roman"/>
                    <w:sz w:val="24"/>
                    <w:szCs w:val="24"/>
                  </w:rPr>
                  <m:t>∂σ</m:t>
                </m:r>
              </m:den>
            </m:f>
            <m:r>
              <w:rPr>
                <w:rFonts w:ascii="Cambria Math" w:eastAsiaTheme="minorEastAsia" w:hAnsi="Cambria Math" w:cs="Times New Roman"/>
                <w:sz w:val="24"/>
                <w:szCs w:val="24"/>
              </w:rPr>
              <m:t xml:space="preserve">&gt;0 e </m:t>
            </m:r>
            <m:r>
              <w:rPr>
                <w:rFonts w:ascii="Cambria Math" w:hAnsi="Cambria Math" w:cs="Times New Roman"/>
                <w:sz w:val="24"/>
                <w:szCs w:val="24"/>
              </w:rPr>
              <m:t>ξ&lt;</m:t>
            </m:r>
            <m:acc>
              <m:accPr>
                <m:ctrlPr>
                  <w:rPr>
                    <w:rFonts w:ascii="Cambria Math" w:eastAsiaTheme="minorEastAsia" w:hAnsi="Cambria Math" w:cs="Times New Roman"/>
                    <w:i/>
                    <w:iCs/>
                    <w:sz w:val="24"/>
                    <w:szCs w:val="24"/>
                    <w:lang w:val="en-US"/>
                  </w:rPr>
                </m:ctrlPr>
              </m:accPr>
              <m:e>
                <m:r>
                  <w:rPr>
                    <w:rFonts w:ascii="Cambria Math" w:hAnsi="Cambria Math" w:cs="Times New Roman"/>
                    <w:sz w:val="24"/>
                    <w:szCs w:val="24"/>
                  </w:rPr>
                  <m:t>ξ</m:t>
                </m:r>
              </m:e>
            </m:acc>
            <m:r>
              <w:rPr>
                <w:rFonts w:ascii="Cambria Math" w:hAnsi="Cambria Math" w:cs="Times New Roman"/>
                <w:sz w:val="24"/>
                <w:szCs w:val="24"/>
              </w:rPr>
              <m:t>crítico</m:t>
            </m:r>
          </m:e>
        </m:d>
      </m:oMath>
      <w:r w:rsidRPr="00B012BC">
        <w:rPr>
          <w:rFonts w:ascii="Times New Roman" w:eastAsiaTheme="minorEastAsia" w:hAnsi="Times New Roman" w:cs="Times New Roman"/>
          <w:iCs/>
          <w:sz w:val="24"/>
          <w:szCs w:val="24"/>
        </w:rPr>
        <w:t xml:space="preserve">, mas somente </w:t>
      </w:r>
      <w:r w:rsidRPr="00B012BC">
        <w:rPr>
          <w:rFonts w:ascii="Times New Roman" w:eastAsiaTheme="minorEastAsia" w:hAnsi="Times New Roman" w:cs="Times New Roman"/>
          <w:sz w:val="24"/>
          <w:szCs w:val="24"/>
          <w:lang w:eastAsia="pt-BR"/>
        </w:rPr>
        <w:t xml:space="preserve">Banco do Brasil, Itaú Unibanco, Santander Bradesco, BTG Pactual </w:t>
      </w:r>
      <m:oMath>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&lt;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&lt;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e>
        </m:d>
      </m:oMath>
      <w:r w:rsidRPr="00B012BC">
        <w:rPr>
          <w:rFonts w:ascii="Times New Roman" w:eastAsiaTheme="minorEastAsia" w:hAnsi="Times New Roman" w:cs="Times New Roman"/>
          <w:sz w:val="24"/>
          <w:szCs w:val="24"/>
          <w:lang w:eastAsia="pt-BR"/>
        </w:rPr>
        <w:t xml:space="preserve"> e com um pouco mais de risco</w:t>
      </w:r>
      <w:r>
        <w:rPr>
          <w:rFonts w:ascii="Times New Roman" w:eastAsiaTheme="minorEastAsia" w:hAnsi="Times New Roman" w:cs="Times New Roman"/>
          <w:sz w:val="24"/>
          <w:szCs w:val="24"/>
          <w:lang w:eastAsia="pt-BR"/>
        </w:rPr>
        <w:t xml:space="preserve">, o </w:t>
      </w:r>
      <w:r w:rsidRPr="00B012BC">
        <w:rPr>
          <w:rFonts w:ascii="Times New Roman" w:eastAsiaTheme="minorEastAsia" w:hAnsi="Times New Roman" w:cs="Times New Roman"/>
          <w:sz w:val="24"/>
          <w:szCs w:val="24"/>
          <w:lang w:eastAsia="pt-BR"/>
        </w:rPr>
        <w:t xml:space="preserve">HSBC </w:t>
      </w:r>
      <m:oMath>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&lt;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e>
        </m:d>
      </m:oMath>
      <w:r w:rsidRPr="00B012BC">
        <w:rPr>
          <w:rFonts w:ascii="Times New Roman" w:hAnsi="Times New Roman" w:cs="Times New Roman"/>
          <w:sz w:val="24"/>
          <w:szCs w:val="24"/>
        </w:rPr>
        <w:t xml:space="preserve"> </w:t>
      </w:r>
      <w:r w:rsidRPr="00B012BC">
        <w:rPr>
          <w:rFonts w:ascii="Times New Roman" w:eastAsiaTheme="minorEastAsia" w:hAnsi="Times New Roman" w:cs="Times New Roman"/>
          <w:sz w:val="24"/>
          <w:szCs w:val="24"/>
          <w:lang w:eastAsia="pt-BR"/>
        </w:rPr>
        <w:t xml:space="preserve">têm espaço para isso. O Citibank, apesar das preferências e incentivos não tem nenhum espaço para </w:t>
      </w:r>
      <w:r>
        <w:rPr>
          <w:rFonts w:ascii="Times New Roman" w:eastAsiaTheme="minorEastAsia" w:hAnsi="Times New Roman" w:cs="Times New Roman"/>
          <w:sz w:val="24"/>
          <w:szCs w:val="24"/>
          <w:lang w:eastAsia="pt-BR"/>
        </w:rPr>
        <w:t xml:space="preserve">aumentar </w:t>
      </w:r>
      <w:r w:rsidRPr="00B012BC">
        <w:rPr>
          <w:rFonts w:ascii="Times New Roman" w:eastAsiaTheme="minorEastAsia" w:hAnsi="Times New Roman" w:cs="Times New Roman"/>
          <w:sz w:val="24"/>
          <w:szCs w:val="24"/>
          <w:lang w:eastAsia="pt-BR"/>
        </w:rPr>
        <w:t xml:space="preserve">risco em ambientes sem regulamentação </w:t>
      </w:r>
      <m:oMath>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e>
        </m:d>
      </m:oMath>
      <w:r w:rsidRPr="00B012BC">
        <w:rPr>
          <w:rFonts w:ascii="Times New Roman" w:eastAsiaTheme="minorEastAsia" w:hAnsi="Times New Roman" w:cs="Times New Roman"/>
          <w:sz w:val="24"/>
          <w:szCs w:val="24"/>
          <w:lang w:eastAsia="pt-BR"/>
        </w:rPr>
        <w:t>.</w:t>
      </w:r>
      <w:r>
        <w:rPr>
          <w:rFonts w:ascii="Times New Roman" w:eastAsiaTheme="minorEastAsia" w:hAnsi="Times New Roman" w:cs="Times New Roman"/>
          <w:sz w:val="24"/>
          <w:szCs w:val="24"/>
          <w:lang w:eastAsia="pt-BR"/>
        </w:rPr>
        <w:t xml:space="preserve"> </w:t>
      </w:r>
      <w:r w:rsidRPr="00B012BC">
        <w:rPr>
          <w:rFonts w:ascii="Times New Roman" w:eastAsiaTheme="minorEastAsia" w:hAnsi="Times New Roman" w:cs="Times New Roman"/>
          <w:sz w:val="24"/>
          <w:szCs w:val="24"/>
          <w:lang w:eastAsia="pt-BR"/>
        </w:rPr>
        <w:t xml:space="preserve">Já a Caixa Econômica Federal, Votorantim e </w:t>
      </w:r>
      <w:proofErr w:type="gramStart"/>
      <w:r w:rsidRPr="00B012BC">
        <w:rPr>
          <w:rFonts w:ascii="Times New Roman" w:eastAsiaTheme="minorEastAsia" w:hAnsi="Times New Roman" w:cs="Times New Roman"/>
          <w:sz w:val="24"/>
          <w:szCs w:val="24"/>
          <w:lang w:eastAsia="pt-BR"/>
        </w:rPr>
        <w:t>o Safra</w:t>
      </w:r>
      <w:proofErr w:type="gramEnd"/>
      <w:r w:rsidRPr="00B012BC">
        <w:rPr>
          <w:rFonts w:ascii="Times New Roman" w:eastAsiaTheme="minorEastAsia" w:hAnsi="Times New Roman" w:cs="Times New Roman"/>
          <w:sz w:val="24"/>
          <w:szCs w:val="24"/>
          <w:lang w:eastAsia="pt-BR"/>
        </w:rPr>
        <w:t xml:space="preserve">, não têm nem preferências, nem incentivos a risco </w:t>
      </w:r>
      <m:oMath>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c</m:t>
                    </m:r>
                  </m:sup>
                </m:sSubSup>
              </m:num>
              <m:den>
                <m:r>
                  <w:rPr>
                    <w:rFonts w:ascii="Cambria Math" w:hAnsi="Cambria Math" w:cs="Times New Roman"/>
                    <w:sz w:val="24"/>
                    <w:szCs w:val="24"/>
                  </w:rPr>
                  <m:t>∂σ</m:t>
                </m:r>
              </m:den>
            </m:f>
            <m:r>
              <w:rPr>
                <w:rFonts w:ascii="Cambria Math" w:eastAsiaTheme="minorEastAsia" w:hAnsi="Cambria Math" w:cs="Times New Roman"/>
                <w:sz w:val="24"/>
                <w:szCs w:val="24"/>
              </w:rPr>
              <m:t xml:space="preserve">&lt;0 e </m:t>
            </m:r>
            <m:r>
              <w:rPr>
                <w:rFonts w:ascii="Cambria Math" w:hAnsi="Cambria Math" w:cs="Times New Roman"/>
                <w:sz w:val="24"/>
                <w:szCs w:val="24"/>
              </w:rPr>
              <m:t>ξ&lt;</m:t>
            </m:r>
            <m:acc>
              <m:accPr>
                <m:ctrlPr>
                  <w:rPr>
                    <w:rFonts w:ascii="Cambria Math" w:eastAsiaTheme="minorEastAsia" w:hAnsi="Cambria Math" w:cs="Times New Roman"/>
                    <w:i/>
                    <w:iCs/>
                    <w:sz w:val="24"/>
                    <w:szCs w:val="24"/>
                    <w:lang w:val="en-US"/>
                  </w:rPr>
                </m:ctrlPr>
              </m:accPr>
              <m:e>
                <m:r>
                  <w:rPr>
                    <w:rFonts w:ascii="Cambria Math" w:hAnsi="Cambria Math" w:cs="Times New Roman"/>
                    <w:sz w:val="24"/>
                    <w:szCs w:val="24"/>
                  </w:rPr>
                  <m:t>ξ</m:t>
                </m:r>
              </m:e>
            </m:acc>
            <m:r>
              <w:rPr>
                <w:rFonts w:ascii="Cambria Math" w:hAnsi="Cambria Math" w:cs="Times New Roman"/>
                <w:sz w:val="24"/>
                <w:szCs w:val="24"/>
              </w:rPr>
              <m:t>crítico</m:t>
            </m:r>
          </m:e>
        </m:d>
      </m:oMath>
      <w:r w:rsidRPr="00B012BC">
        <w:rPr>
          <w:rFonts w:ascii="Times New Roman" w:eastAsiaTheme="minorEastAsia" w:hAnsi="Times New Roman" w:cs="Times New Roman"/>
          <w:iCs/>
          <w:sz w:val="24"/>
          <w:szCs w:val="24"/>
        </w:rPr>
        <w:t xml:space="preserve"> e estão em situações que não favorecem </w:t>
      </w:r>
      <w:r>
        <w:rPr>
          <w:rFonts w:ascii="Times New Roman" w:eastAsiaTheme="minorEastAsia" w:hAnsi="Times New Roman" w:cs="Times New Roman"/>
          <w:iCs/>
          <w:sz w:val="24"/>
          <w:szCs w:val="24"/>
        </w:rPr>
        <w:t>esse aumento</w:t>
      </w:r>
      <w:r w:rsidRPr="00B012BC">
        <w:rPr>
          <w:rFonts w:ascii="Times New Roman" w:eastAsiaTheme="minorEastAsia" w:hAnsi="Times New Roman" w:cs="Times New Roman"/>
          <w:iCs/>
          <w:sz w:val="24"/>
          <w:szCs w:val="24"/>
        </w:rPr>
        <w:t xml:space="preserve"> </w:t>
      </w:r>
      <m:oMath>
        <m:d>
          <m:dPr>
            <m:ctrlPr>
              <w:rPr>
                <w:rFonts w:ascii="Cambria Math" w:eastAsiaTheme="minorEastAsia" w:hAnsi="Cambria Math" w:cs="Times New Roman"/>
                <w:i/>
                <w:sz w:val="24"/>
                <w:szCs w:val="24"/>
                <w:lang w:eastAsia="pt-BR"/>
              </w:rPr>
            </m:ctrlPr>
          </m:dPr>
          <m:e>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r>
              <w:rPr>
                <w:rFonts w:ascii="Cambria Math" w:eastAsiaTheme="minorEastAsia" w:hAnsi="Cambria Math" w:cs="Times New Roman"/>
                <w:sz w:val="24"/>
                <w:szCs w:val="24"/>
                <w:lang w:eastAsia="pt-BR"/>
              </w:rPr>
              <m:t xml:space="preserve">  e </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l</m:t>
                </m:r>
              </m:sub>
            </m:sSub>
            <m:r>
              <w:rPr>
                <w:rFonts w:ascii="Cambria Math" w:eastAsiaTheme="minorEastAsia" w:hAnsi="Cambria Math" w:cs="Times New Roman"/>
                <w:sz w:val="24"/>
                <w:szCs w:val="24"/>
                <w:lang w:eastAsia="pt-BR"/>
              </w:rPr>
              <m:t>=</m:t>
            </m:r>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h</m:t>
                </m:r>
              </m:sub>
            </m:sSub>
            <m:r>
              <w:rPr>
                <w:rFonts w:ascii="Cambria Math" w:eastAsiaTheme="minorEastAsia" w:hAnsi="Cambria Math" w:cs="Times New Roman"/>
                <w:sz w:val="24"/>
                <w:szCs w:val="24"/>
                <w:lang w:eastAsia="pt-BR"/>
              </w:rPr>
              <m:t>&lt;</m:t>
            </m:r>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r>
              <w:rPr>
                <w:rFonts w:ascii="Cambria Math" w:eastAsiaTheme="minorEastAsia" w:hAnsi="Cambria Math" w:cs="Times New Roman"/>
                <w:sz w:val="24"/>
                <w:szCs w:val="24"/>
                <w:lang w:eastAsia="pt-BR"/>
              </w:rPr>
              <m:t xml:space="preserve"> </m:t>
            </m:r>
          </m:e>
        </m:d>
      </m:oMath>
      <w:r w:rsidRPr="00B012BC">
        <w:rPr>
          <w:rFonts w:ascii="Times New Roman" w:eastAsiaTheme="minorEastAsia" w:hAnsi="Times New Roman" w:cs="Times New Roman"/>
          <w:sz w:val="24"/>
          <w:szCs w:val="24"/>
          <w:lang w:eastAsia="pt-BR"/>
        </w:rPr>
        <w:t>.</w:t>
      </w:r>
    </w:p>
    <w:p w:rsidR="007F4CD5" w:rsidRDefault="007F4CD5" w:rsidP="007F4CD5">
      <w:pPr>
        <w:spacing w:after="120" w:line="240" w:lineRule="auto"/>
        <w:jc w:val="both"/>
        <w:rPr>
          <w:rFonts w:ascii="Times New Roman" w:eastAsiaTheme="minorEastAsia" w:hAnsi="Times New Roman" w:cs="Times New Roman"/>
          <w:sz w:val="24"/>
          <w:szCs w:val="24"/>
        </w:rPr>
      </w:pPr>
      <w:r w:rsidRPr="00B012BC">
        <w:rPr>
          <w:rFonts w:ascii="Times New Roman" w:eastAsiaTheme="minorEastAsia" w:hAnsi="Times New Roman" w:cs="Times New Roman"/>
          <w:sz w:val="24"/>
          <w:szCs w:val="24"/>
        </w:rPr>
        <w:t>Como último parâmetro, vamos analisar a probabilidade de inadimplências no ambiente com riscos.</w:t>
      </w:r>
    </w:p>
    <w:p w:rsidR="007F4CD5" w:rsidRPr="00B012BC" w:rsidRDefault="007F4CD5" w:rsidP="007F4CD5">
      <w:pPr>
        <w:spacing w:after="120" w:line="240" w:lineRule="auto"/>
        <w:jc w:val="both"/>
        <w:rPr>
          <w:rFonts w:ascii="Times New Roman" w:eastAsiaTheme="minorEastAsia" w:hAnsi="Times New Roman" w:cs="Times New Roman"/>
          <w:sz w:val="24"/>
          <w:szCs w:val="24"/>
          <w:lang w:eastAsia="pt-BR"/>
        </w:rPr>
      </w:pPr>
      <w:r w:rsidRPr="007618D6">
        <w:rPr>
          <w:rFonts w:ascii="Times New Roman" w:eastAsiaTheme="minorEastAsia" w:hAnsi="Times New Roman" w:cs="Times New Roman"/>
          <w:i/>
          <w:sz w:val="24"/>
          <w:szCs w:val="24"/>
        </w:rPr>
        <w:t>Diferença das probabilidades de inadimplência (</w:t>
      </w:r>
      <m:oMath>
        <m:r>
          <w:rPr>
            <w:rFonts w:ascii="Cambria Math" w:hAnsi="Cambria Math" w:cs="Times New Roman"/>
            <w:sz w:val="24"/>
            <w:szCs w:val="24"/>
          </w:rPr>
          <m:t>Δ</m:t>
        </m:r>
        <m:sSub>
          <m:sSubPr>
            <m:ctrlPr>
              <w:rPr>
                <w:rFonts w:ascii="Cambria Math" w:eastAsiaTheme="minorEastAsia" w:hAnsi="Cambria Math" w:cs="Times New Roman"/>
                <w:i/>
                <w:iCs/>
                <w:sz w:val="24"/>
                <w:szCs w:val="24"/>
                <w:lang w:val="en-US"/>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Pr="007618D6">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Analisando</w:t>
      </w:r>
      <w:r w:rsidRPr="00B012BC">
        <w:rPr>
          <w:rFonts w:ascii="Times New Roman" w:eastAsiaTheme="minorEastAsia" w:hAnsi="Times New Roman" w:cs="Times New Roman"/>
          <w:sz w:val="24"/>
          <w:szCs w:val="24"/>
        </w:rPr>
        <w:t xml:space="preserve"> a diferença entre as probabilidades de inadimplência nos riscos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σ</m:t>
            </m:r>
          </m:e>
          <m:sub>
            <m:r>
              <w:rPr>
                <w:rFonts w:ascii="Cambria Math" w:eastAsiaTheme="minorEastAsia" w:hAnsi="Cambria Math" w:cs="Times New Roman"/>
                <w:sz w:val="24"/>
                <w:szCs w:val="24"/>
                <w:lang w:eastAsia="pt-BR"/>
              </w:rPr>
              <m:t xml:space="preserve">l </m:t>
            </m:r>
          </m:sub>
        </m:sSub>
      </m:oMath>
      <w:r w:rsidRPr="00B012BC">
        <w:rPr>
          <w:rFonts w:ascii="Times New Roman" w:eastAsiaTheme="minorEastAsia" w:hAnsi="Times New Roman" w:cs="Times New Roman"/>
          <w:sz w:val="24"/>
          <w:szCs w:val="24"/>
          <w:lang w:eastAsia="pt-BR"/>
        </w:rPr>
        <w:t xml:space="preserve">e </w:t>
      </w:r>
      <m:oMath>
        <m:acc>
          <m:accPr>
            <m:chr m:val="̅"/>
            <m:ctrlPr>
              <w:rPr>
                <w:rFonts w:ascii="Cambria Math" w:eastAsiaTheme="minorEastAsia" w:hAnsi="Cambria Math" w:cs="Times New Roman"/>
                <w:i/>
                <w:sz w:val="24"/>
                <w:szCs w:val="24"/>
                <w:lang w:eastAsia="pt-BR"/>
              </w:rPr>
            </m:ctrlPr>
          </m:accPr>
          <m:e>
            <m:r>
              <w:rPr>
                <w:rFonts w:ascii="Cambria Math" w:eastAsiaTheme="minorEastAsia" w:hAnsi="Cambria Math" w:cs="Times New Roman"/>
                <w:sz w:val="24"/>
                <w:szCs w:val="24"/>
                <w:lang w:eastAsia="pt-BR"/>
              </w:rPr>
              <m:t>σ</m:t>
            </m:r>
          </m:e>
        </m:acc>
      </m:oMath>
      <w:r w:rsidRPr="00B012BC">
        <w:rPr>
          <w:rFonts w:ascii="Times New Roman" w:eastAsiaTheme="minorEastAsia" w:hAnsi="Times New Roman" w:cs="Times New Roman"/>
          <w:sz w:val="24"/>
          <w:szCs w:val="24"/>
          <w:lang w:eastAsia="pt-BR"/>
        </w:rPr>
        <w:t>, todos os bancos apresentaram resultado negativo ou igual à</w:t>
      </w:r>
      <w:r>
        <w:rPr>
          <w:rFonts w:ascii="Times New Roman" w:eastAsiaTheme="minorEastAsia" w:hAnsi="Times New Roman" w:cs="Times New Roman"/>
          <w:sz w:val="24"/>
          <w:szCs w:val="24"/>
          <w:lang w:eastAsia="pt-BR"/>
        </w:rPr>
        <w:t xml:space="preserve"> zero, </w:t>
      </w:r>
      <w:r w:rsidRPr="00B012BC">
        <w:rPr>
          <w:rFonts w:ascii="Times New Roman" w:eastAsiaTheme="minorEastAsia" w:hAnsi="Times New Roman" w:cs="Times New Roman"/>
          <w:sz w:val="24"/>
          <w:szCs w:val="24"/>
          <w:lang w:eastAsia="pt-BR"/>
        </w:rPr>
        <w:t>de forma que nenhum banco esta na faixa de inadimplência</w:t>
      </w:r>
      <w:r>
        <w:rPr>
          <w:rFonts w:ascii="Times New Roman" w:eastAsiaTheme="minorEastAsia" w:hAnsi="Times New Roman" w:cs="Times New Roman"/>
          <w:sz w:val="24"/>
          <w:szCs w:val="24"/>
          <w:lang w:eastAsia="pt-BR"/>
        </w:rPr>
        <w:t>.</w:t>
      </w:r>
    </w:p>
    <w:p w:rsidR="007F4CD5" w:rsidRDefault="007F4CD5" w:rsidP="007F4CD5">
      <w:pPr>
        <w:spacing w:after="120" w:line="240" w:lineRule="auto"/>
        <w:jc w:val="both"/>
        <w:rPr>
          <w:rFonts w:ascii="Times New Roman" w:eastAsiaTheme="minorEastAsia" w:hAnsi="Times New Roman" w:cs="Times New Roman"/>
          <w:sz w:val="24"/>
          <w:szCs w:val="24"/>
          <w:lang w:eastAsia="pt-BR"/>
        </w:rPr>
      </w:pPr>
      <w:r w:rsidRPr="00B012BC">
        <w:rPr>
          <w:rFonts w:ascii="Times New Roman" w:eastAsiaTheme="minorEastAsia" w:hAnsi="Times New Roman" w:cs="Times New Roman"/>
          <w:sz w:val="24"/>
          <w:szCs w:val="24"/>
          <w:lang w:eastAsia="pt-BR"/>
        </w:rPr>
        <w:t>Todos os bancos apresentaram resultados dentro do esperado pelo modelo d</w:t>
      </w:r>
      <w:r>
        <w:rPr>
          <w:rFonts w:ascii="Times New Roman" w:eastAsiaTheme="minorEastAsia" w:hAnsi="Times New Roman" w:cs="Times New Roman"/>
          <w:sz w:val="24"/>
          <w:szCs w:val="24"/>
          <w:lang w:eastAsia="pt-BR"/>
        </w:rPr>
        <w:t>e</w:t>
      </w:r>
      <w:r w:rsidRPr="00B012BC">
        <w:rPr>
          <w:rFonts w:ascii="Times New Roman" w:eastAsiaTheme="minorEastAsia" w:hAnsi="Times New Roman" w:cs="Times New Roman"/>
          <w:sz w:val="24"/>
          <w:szCs w:val="24"/>
          <w:lang w:eastAsia="pt-BR"/>
        </w:rPr>
        <w:t xml:space="preserve"> </w:t>
      </w:r>
      <w:proofErr w:type="spellStart"/>
      <w:r w:rsidRPr="00B012BC">
        <w:rPr>
          <w:rFonts w:ascii="Times New Roman" w:eastAsiaTheme="minorEastAsia" w:hAnsi="Times New Roman" w:cs="Times New Roman"/>
          <w:sz w:val="24"/>
          <w:szCs w:val="24"/>
          <w:lang w:eastAsia="pt-BR"/>
        </w:rPr>
        <w:t>Koziol</w:t>
      </w:r>
      <w:proofErr w:type="spellEnd"/>
      <w:r w:rsidRPr="00B012BC">
        <w:rPr>
          <w:rFonts w:ascii="Times New Roman" w:eastAsiaTheme="minorEastAsia" w:hAnsi="Times New Roman" w:cs="Times New Roman"/>
          <w:sz w:val="24"/>
          <w:szCs w:val="24"/>
          <w:lang w:eastAsia="pt-BR"/>
        </w:rPr>
        <w:t xml:space="preserve"> e </w:t>
      </w:r>
      <w:proofErr w:type="spellStart"/>
      <w:r w:rsidRPr="00B012BC">
        <w:rPr>
          <w:rFonts w:ascii="Times New Roman" w:eastAsiaTheme="minorEastAsia" w:hAnsi="Times New Roman" w:cs="Times New Roman"/>
          <w:sz w:val="24"/>
          <w:szCs w:val="24"/>
          <w:lang w:eastAsia="pt-BR"/>
        </w:rPr>
        <w:t>Lawrenz</w:t>
      </w:r>
      <w:proofErr w:type="spellEnd"/>
      <w:r w:rsidRPr="00B012BC">
        <w:rPr>
          <w:rFonts w:ascii="Times New Roman" w:eastAsiaTheme="minorEastAsia" w:hAnsi="Times New Roman" w:cs="Times New Roman"/>
          <w:sz w:val="24"/>
          <w:szCs w:val="24"/>
          <w:lang w:eastAsia="pt-BR"/>
        </w:rPr>
        <w:t xml:space="preserve"> (2012). Com isso, temos evidências sugestivas de que, em ambientes sem regulamentação, ou com regulamentações fracas, os </w:t>
      </w:r>
      <w:proofErr w:type="spellStart"/>
      <w:proofErr w:type="gramStart"/>
      <w:r>
        <w:rPr>
          <w:rFonts w:ascii="Times New Roman" w:eastAsiaTheme="minorEastAsia" w:hAnsi="Times New Roman" w:cs="Times New Roman"/>
          <w:sz w:val="24"/>
          <w:szCs w:val="24"/>
          <w:lang w:eastAsia="pt-BR"/>
        </w:rPr>
        <w:t>CoCos</w:t>
      </w:r>
      <w:proofErr w:type="spellEnd"/>
      <w:proofErr w:type="gramEnd"/>
      <w:r w:rsidRPr="00B012BC">
        <w:rPr>
          <w:rFonts w:ascii="Times New Roman" w:eastAsiaTheme="minorEastAsia" w:hAnsi="Times New Roman" w:cs="Times New Roman"/>
          <w:sz w:val="24"/>
          <w:szCs w:val="24"/>
          <w:lang w:eastAsia="pt-BR"/>
        </w:rPr>
        <w:t xml:space="preserve"> aumentam o risco dos bancos e</w:t>
      </w:r>
      <w:r>
        <w:rPr>
          <w:rFonts w:ascii="Times New Roman" w:eastAsiaTheme="minorEastAsia" w:hAnsi="Times New Roman" w:cs="Times New Roman"/>
          <w:sz w:val="24"/>
          <w:szCs w:val="24"/>
          <w:lang w:eastAsia="pt-BR"/>
        </w:rPr>
        <w:t>,</w:t>
      </w:r>
      <w:r w:rsidRPr="00B012BC">
        <w:rPr>
          <w:rFonts w:ascii="Times New Roman" w:eastAsiaTheme="minorEastAsia" w:hAnsi="Times New Roman" w:cs="Times New Roman"/>
          <w:sz w:val="24"/>
          <w:szCs w:val="24"/>
          <w:lang w:eastAsia="pt-BR"/>
        </w:rPr>
        <w:t xml:space="preserve"> consequentemente do sistema financeiro, o que pode levar a novas crises financeiras, confirmando a hipótese 2.</w:t>
      </w:r>
    </w:p>
    <w:p w:rsidR="003E5C1A" w:rsidRPr="00FF5024" w:rsidRDefault="00351765" w:rsidP="00FF5024">
      <w:pPr>
        <w:pStyle w:val="PargrafodaLista"/>
        <w:keepNext/>
        <w:keepLines/>
        <w:numPr>
          <w:ilvl w:val="0"/>
          <w:numId w:val="20"/>
        </w:numPr>
        <w:spacing w:after="120" w:line="240" w:lineRule="auto"/>
        <w:ind w:left="450" w:hanging="450"/>
        <w:outlineLvl w:val="0"/>
        <w:rPr>
          <w:rFonts w:ascii="Times New Roman" w:eastAsiaTheme="majorEastAsia" w:hAnsi="Times New Roman" w:cs="Times New Roman"/>
          <w:b/>
          <w:bCs/>
          <w:sz w:val="24"/>
          <w:szCs w:val="28"/>
        </w:rPr>
      </w:pPr>
      <w:bookmarkStart w:id="27" w:name="_Toc390075555"/>
      <w:r w:rsidRPr="00FF5024">
        <w:rPr>
          <w:rFonts w:ascii="Times New Roman" w:eastAsiaTheme="majorEastAsia" w:hAnsi="Times New Roman" w:cs="Times New Roman"/>
          <w:b/>
          <w:bCs/>
          <w:sz w:val="24"/>
          <w:szCs w:val="28"/>
        </w:rPr>
        <w:t>C</w:t>
      </w:r>
      <w:r w:rsidR="003E5C1A" w:rsidRPr="00FF5024">
        <w:rPr>
          <w:rFonts w:ascii="Times New Roman" w:eastAsiaTheme="majorEastAsia" w:hAnsi="Times New Roman" w:cs="Times New Roman"/>
          <w:b/>
          <w:bCs/>
          <w:sz w:val="24"/>
          <w:szCs w:val="28"/>
        </w:rPr>
        <w:t>onclusão</w:t>
      </w:r>
      <w:bookmarkEnd w:id="27"/>
    </w:p>
    <w:p w:rsidR="003D6C1F" w:rsidRDefault="008B6D27" w:rsidP="00FF5024">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Aplicamos </w:t>
      </w:r>
      <w:r w:rsidR="00D52485">
        <w:rPr>
          <w:rFonts w:ascii="Times New Roman" w:eastAsiaTheme="minorEastAsia" w:hAnsi="Times New Roman" w:cs="Times New Roman"/>
          <w:sz w:val="24"/>
          <w:szCs w:val="24"/>
          <w:lang w:eastAsia="pt-BR"/>
        </w:rPr>
        <w:t xml:space="preserve">o modelo de </w:t>
      </w:r>
      <w:proofErr w:type="spellStart"/>
      <w:r w:rsidR="00D52485">
        <w:rPr>
          <w:rFonts w:ascii="Times New Roman" w:eastAsiaTheme="minorEastAsia" w:hAnsi="Times New Roman" w:cs="Times New Roman"/>
          <w:sz w:val="24"/>
          <w:szCs w:val="24"/>
          <w:lang w:eastAsia="pt-BR"/>
        </w:rPr>
        <w:t>Koziol</w:t>
      </w:r>
      <w:proofErr w:type="spellEnd"/>
      <w:r w:rsidR="00D52485">
        <w:rPr>
          <w:rFonts w:ascii="Times New Roman" w:eastAsiaTheme="minorEastAsia" w:hAnsi="Times New Roman" w:cs="Times New Roman"/>
          <w:sz w:val="24"/>
          <w:szCs w:val="24"/>
          <w:lang w:eastAsia="pt-BR"/>
        </w:rPr>
        <w:t xml:space="preserve"> e </w:t>
      </w:r>
      <w:proofErr w:type="spellStart"/>
      <w:r w:rsidR="00D52485">
        <w:rPr>
          <w:rFonts w:ascii="Times New Roman" w:eastAsiaTheme="minorEastAsia" w:hAnsi="Times New Roman" w:cs="Times New Roman"/>
          <w:sz w:val="24"/>
          <w:szCs w:val="24"/>
          <w:lang w:eastAsia="pt-BR"/>
        </w:rPr>
        <w:t>Lawrenz</w:t>
      </w:r>
      <w:proofErr w:type="spellEnd"/>
      <w:r w:rsidR="00D52485">
        <w:rPr>
          <w:rFonts w:ascii="Times New Roman" w:eastAsiaTheme="minorEastAsia" w:hAnsi="Times New Roman" w:cs="Times New Roman"/>
          <w:sz w:val="24"/>
          <w:szCs w:val="24"/>
          <w:lang w:eastAsia="pt-BR"/>
        </w:rPr>
        <w:t xml:space="preserve"> (2012) </w:t>
      </w:r>
      <w:r>
        <w:rPr>
          <w:rFonts w:ascii="Times New Roman" w:eastAsiaTheme="minorEastAsia" w:hAnsi="Times New Roman" w:cs="Times New Roman"/>
          <w:sz w:val="24"/>
          <w:szCs w:val="24"/>
          <w:lang w:eastAsia="pt-BR"/>
        </w:rPr>
        <w:t>nos 10 maiores bancos, em total de ativos, do Sistema Financeiro do Brasi</w:t>
      </w:r>
      <w:r w:rsidR="00753E5A">
        <w:rPr>
          <w:rFonts w:ascii="Times New Roman" w:eastAsiaTheme="minorEastAsia" w:hAnsi="Times New Roman" w:cs="Times New Roman"/>
          <w:sz w:val="24"/>
          <w:szCs w:val="24"/>
          <w:lang w:eastAsia="pt-BR"/>
        </w:rPr>
        <w:t xml:space="preserve">l, e </w:t>
      </w:r>
      <w:r w:rsidR="009E07B7">
        <w:rPr>
          <w:rFonts w:ascii="Times New Roman" w:eastAsiaTheme="minorEastAsia" w:hAnsi="Times New Roman" w:cs="Times New Roman"/>
          <w:sz w:val="24"/>
          <w:szCs w:val="24"/>
          <w:lang w:eastAsia="pt-BR"/>
        </w:rPr>
        <w:t xml:space="preserve">considerando </w:t>
      </w:r>
      <w:r w:rsidR="00FA6C24">
        <w:rPr>
          <w:rFonts w:ascii="Times New Roman" w:eastAsiaTheme="minorEastAsia" w:hAnsi="Times New Roman" w:cs="Times New Roman"/>
          <w:sz w:val="24"/>
          <w:szCs w:val="24"/>
          <w:lang w:eastAsia="pt-BR"/>
        </w:rPr>
        <w:t xml:space="preserve">Basiléia III uma regulamentação rígida, </w:t>
      </w:r>
      <w:r w:rsidR="00FB7761">
        <w:rPr>
          <w:rFonts w:ascii="Times New Roman" w:eastAsiaTheme="minorEastAsia" w:hAnsi="Times New Roman" w:cs="Times New Roman"/>
          <w:sz w:val="24"/>
          <w:szCs w:val="24"/>
          <w:lang w:eastAsia="pt-BR"/>
        </w:rPr>
        <w:t>as evidências</w:t>
      </w:r>
      <w:r w:rsidR="00D52485">
        <w:rPr>
          <w:rFonts w:ascii="Times New Roman" w:eastAsiaTheme="minorEastAsia" w:hAnsi="Times New Roman" w:cs="Times New Roman"/>
          <w:sz w:val="24"/>
          <w:szCs w:val="24"/>
          <w:lang w:eastAsia="pt-BR"/>
        </w:rPr>
        <w:t xml:space="preserve"> sugeriram</w:t>
      </w:r>
      <w:r w:rsidR="00FA6C24">
        <w:rPr>
          <w:rFonts w:ascii="Times New Roman" w:eastAsiaTheme="minorEastAsia" w:hAnsi="Times New Roman" w:cs="Times New Roman"/>
          <w:sz w:val="24"/>
          <w:szCs w:val="24"/>
          <w:lang w:eastAsia="pt-BR"/>
        </w:rPr>
        <w:t xml:space="preserve"> que os bancos brasileiros </w:t>
      </w:r>
      <w:r w:rsidR="002D5E3C">
        <w:rPr>
          <w:rFonts w:ascii="Times New Roman" w:eastAsiaTheme="minorEastAsia" w:hAnsi="Times New Roman" w:cs="Times New Roman"/>
          <w:sz w:val="24"/>
          <w:szCs w:val="24"/>
          <w:lang w:eastAsia="pt-BR"/>
        </w:rPr>
        <w:t xml:space="preserve">estariam mais bem capitalizados em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2D5E3C">
        <w:rPr>
          <w:rFonts w:ascii="Times New Roman" w:eastAsiaTheme="minorEastAsia" w:hAnsi="Times New Roman" w:cs="Times New Roman"/>
          <w:sz w:val="24"/>
          <w:szCs w:val="24"/>
          <w:lang w:eastAsia="pt-BR"/>
        </w:rPr>
        <w:t xml:space="preserve"> do que em dívidas subordinadas</w:t>
      </w:r>
      <w:r w:rsidR="00FA6C24">
        <w:rPr>
          <w:rFonts w:ascii="Times New Roman" w:eastAsiaTheme="minorEastAsia" w:hAnsi="Times New Roman" w:cs="Times New Roman"/>
          <w:sz w:val="24"/>
          <w:szCs w:val="24"/>
          <w:lang w:eastAsia="pt-BR"/>
        </w:rPr>
        <w:t xml:space="preserve">. </w:t>
      </w:r>
      <w:r w:rsidR="00FB7761">
        <w:rPr>
          <w:rFonts w:ascii="Times New Roman" w:eastAsiaTheme="minorEastAsia" w:hAnsi="Times New Roman" w:cs="Times New Roman"/>
          <w:sz w:val="24"/>
          <w:szCs w:val="24"/>
          <w:lang w:eastAsia="pt-BR"/>
        </w:rPr>
        <w:t xml:space="preserve"> De fato, observamos que essa troca do tipo de</w:t>
      </w:r>
      <w:r w:rsidR="002D5E3C">
        <w:rPr>
          <w:rFonts w:ascii="Times New Roman" w:eastAsiaTheme="minorEastAsia" w:hAnsi="Times New Roman" w:cs="Times New Roman"/>
          <w:sz w:val="24"/>
          <w:szCs w:val="24"/>
          <w:lang w:eastAsia="pt-BR"/>
        </w:rPr>
        <w:t xml:space="preserve"> financiamento dos bancos, </w:t>
      </w:r>
      <w:r w:rsidR="004E6C33">
        <w:rPr>
          <w:rFonts w:ascii="Times New Roman" w:eastAsiaTheme="minorEastAsia" w:hAnsi="Times New Roman" w:cs="Times New Roman"/>
          <w:sz w:val="24"/>
          <w:szCs w:val="24"/>
          <w:lang w:eastAsia="pt-BR"/>
        </w:rPr>
        <w:t>vem acontecendo desde</w:t>
      </w:r>
      <w:r w:rsidR="002D5E3C">
        <w:rPr>
          <w:rFonts w:ascii="Times New Roman" w:eastAsiaTheme="minorEastAsia" w:hAnsi="Times New Roman" w:cs="Times New Roman"/>
          <w:sz w:val="24"/>
          <w:szCs w:val="24"/>
          <w:lang w:eastAsia="pt-BR"/>
        </w:rPr>
        <w:t xml:space="preserve"> a</w:t>
      </w:r>
      <w:r w:rsidR="004E6C33">
        <w:rPr>
          <w:rFonts w:ascii="Times New Roman" w:eastAsiaTheme="minorEastAsia" w:hAnsi="Times New Roman" w:cs="Times New Roman"/>
          <w:sz w:val="24"/>
          <w:szCs w:val="24"/>
          <w:lang w:eastAsia="pt-BR"/>
        </w:rPr>
        <w:t xml:space="preserve"> publicação das regulamentações </w:t>
      </w:r>
      <w:r w:rsidR="002D5E3C">
        <w:rPr>
          <w:rFonts w:ascii="Times New Roman" w:eastAsiaTheme="minorEastAsia" w:hAnsi="Times New Roman" w:cs="Times New Roman"/>
          <w:sz w:val="24"/>
          <w:szCs w:val="24"/>
          <w:lang w:eastAsia="pt-BR"/>
        </w:rPr>
        <w:t>pelo</w:t>
      </w:r>
      <w:r w:rsidR="004E6C33">
        <w:rPr>
          <w:rFonts w:ascii="Times New Roman" w:eastAsiaTheme="minorEastAsia" w:hAnsi="Times New Roman" w:cs="Times New Roman"/>
          <w:sz w:val="24"/>
          <w:szCs w:val="24"/>
          <w:lang w:eastAsia="pt-BR"/>
        </w:rPr>
        <w:t xml:space="preserve"> Banco Central do Brasil, com base em Basiléia III, em março</w:t>
      </w:r>
      <w:r w:rsidR="00FA6C24">
        <w:rPr>
          <w:rFonts w:ascii="Times New Roman" w:eastAsiaTheme="minorEastAsia" w:hAnsi="Times New Roman" w:cs="Times New Roman"/>
          <w:sz w:val="24"/>
          <w:szCs w:val="24"/>
          <w:lang w:eastAsia="pt-BR"/>
        </w:rPr>
        <w:t xml:space="preserve"> </w:t>
      </w:r>
      <w:r w:rsidR="004E6C33">
        <w:rPr>
          <w:rFonts w:ascii="Times New Roman" w:eastAsiaTheme="minorEastAsia" w:hAnsi="Times New Roman" w:cs="Times New Roman"/>
          <w:sz w:val="24"/>
          <w:szCs w:val="24"/>
          <w:lang w:eastAsia="pt-BR"/>
        </w:rPr>
        <w:t xml:space="preserve">2013. Hoje o Banco do Brasil e a Caixa Econômica Federal já possuem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4E6C33">
        <w:rPr>
          <w:rFonts w:ascii="Times New Roman" w:eastAsiaTheme="minorEastAsia" w:hAnsi="Times New Roman" w:cs="Times New Roman"/>
          <w:sz w:val="24"/>
          <w:szCs w:val="24"/>
          <w:lang w:eastAsia="pt-BR"/>
        </w:rPr>
        <w:t xml:space="preserve"> e o Santander esta estruturando sua primeira emissão. Os outros bancos devem começar a emitir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4E6C33">
        <w:rPr>
          <w:rFonts w:ascii="Times New Roman" w:eastAsiaTheme="minorEastAsia" w:hAnsi="Times New Roman" w:cs="Times New Roman"/>
          <w:sz w:val="24"/>
          <w:szCs w:val="24"/>
          <w:lang w:eastAsia="pt-BR"/>
        </w:rPr>
        <w:t xml:space="preserve"> em breve, mas o fato é que</w:t>
      </w:r>
      <w:r w:rsidR="00A55016">
        <w:rPr>
          <w:rFonts w:ascii="Times New Roman" w:eastAsiaTheme="minorEastAsia" w:hAnsi="Times New Roman" w:cs="Times New Roman"/>
          <w:sz w:val="24"/>
          <w:szCs w:val="24"/>
          <w:lang w:eastAsia="pt-BR"/>
        </w:rPr>
        <w:t>, além da regulamentação ser ainda recente,</w:t>
      </w:r>
      <w:r w:rsidR="004E6C33">
        <w:rPr>
          <w:rFonts w:ascii="Times New Roman" w:eastAsiaTheme="minorEastAsia" w:hAnsi="Times New Roman" w:cs="Times New Roman"/>
          <w:sz w:val="24"/>
          <w:szCs w:val="24"/>
          <w:lang w:eastAsia="pt-BR"/>
        </w:rPr>
        <w:t xml:space="preserve"> eles têm até 2016 para estruturar o nível I adicional com os </w:t>
      </w:r>
      <w:proofErr w:type="spellStart"/>
      <w:r w:rsidR="0099005E">
        <w:rPr>
          <w:rFonts w:ascii="Times New Roman" w:eastAsiaTheme="minorEastAsia" w:hAnsi="Times New Roman" w:cs="Times New Roman"/>
          <w:sz w:val="24"/>
          <w:szCs w:val="24"/>
          <w:lang w:eastAsia="pt-BR"/>
        </w:rPr>
        <w:t>CoCos</w:t>
      </w:r>
      <w:proofErr w:type="spellEnd"/>
      <w:r w:rsidR="004E6C33">
        <w:rPr>
          <w:rFonts w:ascii="Times New Roman" w:eastAsiaTheme="minorEastAsia" w:hAnsi="Times New Roman" w:cs="Times New Roman"/>
          <w:sz w:val="24"/>
          <w:szCs w:val="24"/>
          <w:lang w:eastAsia="pt-BR"/>
        </w:rPr>
        <w:t xml:space="preserve">, e não existe vantagem em regatar </w:t>
      </w:r>
      <w:r w:rsidR="00BF3C3F">
        <w:rPr>
          <w:rFonts w:ascii="Times New Roman" w:eastAsiaTheme="minorEastAsia" w:hAnsi="Times New Roman" w:cs="Times New Roman"/>
          <w:sz w:val="24"/>
          <w:szCs w:val="24"/>
          <w:lang w:eastAsia="pt-BR"/>
        </w:rPr>
        <w:t>dívidas e</w:t>
      </w:r>
      <w:r w:rsidR="0023057D">
        <w:rPr>
          <w:rFonts w:ascii="Times New Roman" w:eastAsiaTheme="minorEastAsia" w:hAnsi="Times New Roman" w:cs="Times New Roman"/>
          <w:sz w:val="24"/>
          <w:szCs w:val="24"/>
          <w:lang w:eastAsia="pt-BR"/>
        </w:rPr>
        <w:t>m</w:t>
      </w:r>
      <w:r w:rsidR="00BF3C3F">
        <w:rPr>
          <w:rFonts w:ascii="Times New Roman" w:eastAsiaTheme="minorEastAsia" w:hAnsi="Times New Roman" w:cs="Times New Roman"/>
          <w:sz w:val="24"/>
          <w:szCs w:val="24"/>
          <w:lang w:eastAsia="pt-BR"/>
        </w:rPr>
        <w:t xml:space="preserve"> andamento</w:t>
      </w:r>
      <w:r w:rsidR="0023057D">
        <w:rPr>
          <w:rFonts w:ascii="Times New Roman" w:eastAsiaTheme="minorEastAsia" w:hAnsi="Times New Roman" w:cs="Times New Roman"/>
          <w:sz w:val="24"/>
          <w:szCs w:val="24"/>
          <w:lang w:eastAsia="pt-BR"/>
        </w:rPr>
        <w:t>,</w:t>
      </w:r>
      <w:r w:rsidR="00BF3C3F">
        <w:rPr>
          <w:rFonts w:ascii="Times New Roman" w:eastAsiaTheme="minorEastAsia" w:hAnsi="Times New Roman" w:cs="Times New Roman"/>
          <w:sz w:val="24"/>
          <w:szCs w:val="24"/>
          <w:lang w:eastAsia="pt-BR"/>
        </w:rPr>
        <w:t xml:space="preserve"> para emitir </w:t>
      </w:r>
      <w:proofErr w:type="spellStart"/>
      <w:r w:rsidR="0099005E">
        <w:rPr>
          <w:rFonts w:ascii="Times New Roman" w:eastAsiaTheme="minorEastAsia" w:hAnsi="Times New Roman" w:cs="Times New Roman"/>
          <w:sz w:val="24"/>
          <w:szCs w:val="24"/>
          <w:lang w:eastAsia="pt-BR"/>
        </w:rPr>
        <w:t>CoCos</w:t>
      </w:r>
      <w:proofErr w:type="spellEnd"/>
      <w:r w:rsidR="00A55016">
        <w:rPr>
          <w:rFonts w:ascii="Times New Roman" w:eastAsiaTheme="minorEastAsia" w:hAnsi="Times New Roman" w:cs="Times New Roman"/>
          <w:sz w:val="24"/>
          <w:szCs w:val="24"/>
          <w:lang w:eastAsia="pt-BR"/>
        </w:rPr>
        <w:t xml:space="preserve">, ou mesmo emitir novas dívidas em </w:t>
      </w:r>
      <w:proofErr w:type="spellStart"/>
      <w:r w:rsidR="0099005E">
        <w:rPr>
          <w:rFonts w:ascii="Times New Roman" w:eastAsiaTheme="minorEastAsia" w:hAnsi="Times New Roman" w:cs="Times New Roman"/>
          <w:sz w:val="24"/>
          <w:szCs w:val="24"/>
          <w:lang w:eastAsia="pt-BR"/>
        </w:rPr>
        <w:t>CoCos</w:t>
      </w:r>
      <w:proofErr w:type="spellEnd"/>
      <w:r w:rsidR="00A55016">
        <w:rPr>
          <w:rFonts w:ascii="Times New Roman" w:eastAsiaTheme="minorEastAsia" w:hAnsi="Times New Roman" w:cs="Times New Roman"/>
          <w:sz w:val="24"/>
          <w:szCs w:val="24"/>
          <w:lang w:eastAsia="pt-BR"/>
        </w:rPr>
        <w:t>, uma vez que suas estruturas já devem estar otimizadas para o montante atual</w:t>
      </w:r>
      <w:r w:rsidR="00BF3C3F">
        <w:rPr>
          <w:rFonts w:ascii="Times New Roman" w:eastAsiaTheme="minorEastAsia" w:hAnsi="Times New Roman" w:cs="Times New Roman"/>
          <w:sz w:val="24"/>
          <w:szCs w:val="24"/>
          <w:lang w:eastAsia="pt-BR"/>
        </w:rPr>
        <w:t>.</w:t>
      </w:r>
      <w:r w:rsidR="00E817EA">
        <w:rPr>
          <w:rFonts w:ascii="Times New Roman" w:eastAsiaTheme="minorEastAsia" w:hAnsi="Times New Roman" w:cs="Times New Roman"/>
          <w:sz w:val="24"/>
          <w:szCs w:val="24"/>
          <w:lang w:eastAsia="pt-BR"/>
        </w:rPr>
        <w:t xml:space="preserve"> </w:t>
      </w:r>
      <w:r w:rsidR="00FB7761">
        <w:rPr>
          <w:rFonts w:ascii="Times New Roman" w:eastAsiaTheme="minorEastAsia" w:hAnsi="Times New Roman" w:cs="Times New Roman"/>
          <w:sz w:val="24"/>
          <w:szCs w:val="24"/>
          <w:lang w:eastAsia="pt-BR"/>
        </w:rPr>
        <w:t>Ana</w:t>
      </w:r>
      <w:r w:rsidR="00D52485">
        <w:rPr>
          <w:rFonts w:ascii="Times New Roman" w:eastAsiaTheme="minorEastAsia" w:hAnsi="Times New Roman" w:cs="Times New Roman"/>
          <w:sz w:val="24"/>
          <w:szCs w:val="24"/>
          <w:lang w:eastAsia="pt-BR"/>
        </w:rPr>
        <w:t>lisando o balanço dos bancos da</w:t>
      </w:r>
      <w:r w:rsidR="00FB7761">
        <w:rPr>
          <w:rFonts w:ascii="Times New Roman" w:eastAsiaTheme="minorEastAsia" w:hAnsi="Times New Roman" w:cs="Times New Roman"/>
          <w:sz w:val="24"/>
          <w:szCs w:val="24"/>
          <w:lang w:eastAsia="pt-BR"/>
        </w:rPr>
        <w:t xml:space="preserve"> amostra, observamos que </w:t>
      </w:r>
      <w:r w:rsidR="003D6C1F">
        <w:rPr>
          <w:rFonts w:ascii="Times New Roman" w:eastAsiaTheme="minorEastAsia" w:hAnsi="Times New Roman" w:cs="Times New Roman"/>
          <w:sz w:val="24"/>
          <w:szCs w:val="24"/>
          <w:lang w:eastAsia="pt-BR"/>
        </w:rPr>
        <w:t xml:space="preserve">a maioria </w:t>
      </w:r>
      <w:r w:rsidR="00FB7761">
        <w:rPr>
          <w:rFonts w:ascii="Times New Roman" w:eastAsiaTheme="minorEastAsia" w:hAnsi="Times New Roman" w:cs="Times New Roman"/>
          <w:sz w:val="24"/>
          <w:szCs w:val="24"/>
          <w:lang w:eastAsia="pt-BR"/>
        </w:rPr>
        <w:t>deles</w:t>
      </w:r>
      <w:r w:rsidR="00BF3C3F">
        <w:rPr>
          <w:rFonts w:ascii="Times New Roman" w:eastAsiaTheme="minorEastAsia" w:hAnsi="Times New Roman" w:cs="Times New Roman"/>
          <w:sz w:val="24"/>
          <w:szCs w:val="24"/>
          <w:lang w:eastAsia="pt-BR"/>
        </w:rPr>
        <w:t xml:space="preserve"> têm montantes dívidas para vencer </w:t>
      </w:r>
      <w:r w:rsidR="00507549">
        <w:rPr>
          <w:rFonts w:ascii="Times New Roman" w:eastAsiaTheme="minorEastAsia" w:hAnsi="Times New Roman" w:cs="Times New Roman"/>
          <w:sz w:val="24"/>
          <w:szCs w:val="24"/>
          <w:lang w:eastAsia="pt-BR"/>
        </w:rPr>
        <w:t>entre</w:t>
      </w:r>
      <w:r w:rsidR="003D6C1F">
        <w:rPr>
          <w:rFonts w:ascii="Times New Roman" w:eastAsiaTheme="minorEastAsia" w:hAnsi="Times New Roman" w:cs="Times New Roman"/>
          <w:sz w:val="24"/>
          <w:szCs w:val="24"/>
          <w:lang w:eastAsia="pt-BR"/>
        </w:rPr>
        <w:t xml:space="preserve"> 2014 e 2015</w:t>
      </w:r>
      <w:r w:rsidR="00901C65">
        <w:rPr>
          <w:rFonts w:ascii="Times New Roman" w:eastAsiaTheme="minorEastAsia" w:hAnsi="Times New Roman" w:cs="Times New Roman"/>
          <w:sz w:val="24"/>
          <w:szCs w:val="24"/>
          <w:lang w:eastAsia="pt-BR"/>
        </w:rPr>
        <w:t>.</w:t>
      </w:r>
      <w:r w:rsidR="003D6C1F">
        <w:rPr>
          <w:rFonts w:ascii="Times New Roman" w:eastAsiaTheme="minorEastAsia" w:hAnsi="Times New Roman" w:cs="Times New Roman"/>
          <w:sz w:val="24"/>
          <w:szCs w:val="24"/>
          <w:lang w:eastAsia="pt-BR"/>
        </w:rPr>
        <w:t xml:space="preserve"> </w:t>
      </w:r>
    </w:p>
    <w:p w:rsidR="00A55016" w:rsidRDefault="00B14ADE" w:rsidP="00FF5024">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 xml:space="preserve">Passando para um ambiente sem regulamentações ou com regulamentações frágeis, os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Pr>
          <w:rFonts w:ascii="Times New Roman" w:eastAsiaTheme="minorEastAsia" w:hAnsi="Times New Roman" w:cs="Times New Roman"/>
          <w:sz w:val="24"/>
          <w:szCs w:val="24"/>
          <w:lang w:eastAsia="pt-BR"/>
        </w:rPr>
        <w:t xml:space="preserve"> podem se tornar instrumentos perigosos, isto porque, os bancos teriam incentivos para aumentar seus riscos, buscando maior retorno. Especialmente os grandes bancos, que tendem a se arriscando mais. Isto porque, em geral eles são sistemicamente importantes, e acabam contando com uma garantia governamental implícita, em caso de dificuldades financeiras. São os famosos “</w:t>
      </w:r>
      <w:r w:rsidRPr="00D41C16">
        <w:rPr>
          <w:rFonts w:ascii="Times New Roman" w:eastAsiaTheme="minorEastAsia" w:hAnsi="Times New Roman" w:cs="Times New Roman"/>
          <w:i/>
          <w:sz w:val="24"/>
          <w:szCs w:val="24"/>
          <w:lang w:eastAsia="pt-BR"/>
        </w:rPr>
        <w:t xml:space="preserve">too big </w:t>
      </w:r>
      <w:proofErr w:type="spellStart"/>
      <w:r w:rsidRPr="00D41C16">
        <w:rPr>
          <w:rFonts w:ascii="Times New Roman" w:eastAsiaTheme="minorEastAsia" w:hAnsi="Times New Roman" w:cs="Times New Roman"/>
          <w:i/>
          <w:sz w:val="24"/>
          <w:szCs w:val="24"/>
          <w:lang w:eastAsia="pt-BR"/>
        </w:rPr>
        <w:t>to</w:t>
      </w:r>
      <w:proofErr w:type="spellEnd"/>
      <w:r w:rsidRPr="00D41C16">
        <w:rPr>
          <w:rFonts w:ascii="Times New Roman" w:eastAsiaTheme="minorEastAsia" w:hAnsi="Times New Roman" w:cs="Times New Roman"/>
          <w:i/>
          <w:sz w:val="24"/>
          <w:szCs w:val="24"/>
          <w:lang w:eastAsia="pt-BR"/>
        </w:rPr>
        <w:t xml:space="preserve"> </w:t>
      </w:r>
      <w:proofErr w:type="spellStart"/>
      <w:r w:rsidRPr="00D41C16">
        <w:rPr>
          <w:rFonts w:ascii="Times New Roman" w:eastAsiaTheme="minorEastAsia" w:hAnsi="Times New Roman" w:cs="Times New Roman"/>
          <w:i/>
          <w:sz w:val="24"/>
          <w:szCs w:val="24"/>
          <w:lang w:eastAsia="pt-BR"/>
        </w:rPr>
        <w:t>fail</w:t>
      </w:r>
      <w:proofErr w:type="spellEnd"/>
      <w:r>
        <w:rPr>
          <w:rFonts w:ascii="Times New Roman" w:eastAsiaTheme="minorEastAsia" w:hAnsi="Times New Roman" w:cs="Times New Roman"/>
          <w:sz w:val="24"/>
          <w:szCs w:val="24"/>
          <w:lang w:eastAsia="pt-BR"/>
        </w:rPr>
        <w:t xml:space="preserve">”. </w:t>
      </w:r>
      <w:r w:rsidR="00A55016">
        <w:rPr>
          <w:rFonts w:ascii="Times New Roman" w:eastAsiaTheme="minorEastAsia" w:hAnsi="Times New Roman" w:cs="Times New Roman"/>
          <w:sz w:val="24"/>
          <w:szCs w:val="24"/>
          <w:lang w:eastAsia="pt-BR"/>
        </w:rPr>
        <w:t xml:space="preserve">Dentro de nossa amostra, </w:t>
      </w:r>
      <w:r w:rsidR="00A55016">
        <w:rPr>
          <w:rFonts w:ascii="Times New Roman" w:eastAsiaTheme="minorEastAsia" w:hAnsi="Times New Roman" w:cs="Times New Roman"/>
          <w:sz w:val="24"/>
          <w:szCs w:val="24"/>
          <w:lang w:eastAsia="pt-BR"/>
        </w:rPr>
        <w:lastRenderedPageBreak/>
        <w:t>temos evidências sugestivas de que em ambientes não regulamentados</w:t>
      </w:r>
      <w:r w:rsidR="0023057D">
        <w:rPr>
          <w:rFonts w:ascii="Times New Roman" w:eastAsiaTheme="minorEastAsia" w:hAnsi="Times New Roman" w:cs="Times New Roman"/>
          <w:sz w:val="24"/>
          <w:szCs w:val="24"/>
          <w:lang w:eastAsia="pt-BR"/>
        </w:rPr>
        <w:t>,</w:t>
      </w:r>
      <w:r w:rsidR="00A55016">
        <w:rPr>
          <w:rFonts w:ascii="Times New Roman" w:eastAsiaTheme="minorEastAsia" w:hAnsi="Times New Roman" w:cs="Times New Roman"/>
          <w:sz w:val="24"/>
          <w:szCs w:val="24"/>
          <w:lang w:eastAsia="pt-BR"/>
        </w:rPr>
        <w:t xml:space="preserve"> ou com regulamentações frágeis, os bancos com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A55016">
        <w:rPr>
          <w:rFonts w:ascii="Times New Roman" w:eastAsiaTheme="minorEastAsia" w:hAnsi="Times New Roman" w:cs="Times New Roman"/>
          <w:sz w:val="24"/>
          <w:szCs w:val="24"/>
          <w:lang w:eastAsia="pt-BR"/>
        </w:rPr>
        <w:t xml:space="preserve"> t</w:t>
      </w:r>
      <w:r w:rsidR="0023057D">
        <w:rPr>
          <w:rFonts w:ascii="Times New Roman" w:eastAsiaTheme="minorEastAsia" w:hAnsi="Times New Roman" w:cs="Times New Roman"/>
          <w:sz w:val="24"/>
          <w:szCs w:val="24"/>
          <w:lang w:eastAsia="pt-BR"/>
        </w:rPr>
        <w:t>ê</w:t>
      </w:r>
      <w:r w:rsidR="00A55016">
        <w:rPr>
          <w:rFonts w:ascii="Times New Roman" w:eastAsiaTheme="minorEastAsia" w:hAnsi="Times New Roman" w:cs="Times New Roman"/>
          <w:sz w:val="24"/>
          <w:szCs w:val="24"/>
          <w:lang w:eastAsia="pt-BR"/>
        </w:rPr>
        <w:t>m maior risco</w:t>
      </w:r>
      <w:r w:rsidR="0023057D">
        <w:rPr>
          <w:rFonts w:ascii="Times New Roman" w:eastAsiaTheme="minorEastAsia" w:hAnsi="Times New Roman" w:cs="Times New Roman"/>
          <w:sz w:val="24"/>
          <w:szCs w:val="24"/>
          <w:lang w:eastAsia="pt-BR"/>
        </w:rPr>
        <w:t>,</w:t>
      </w:r>
      <w:r w:rsidR="00A55016">
        <w:rPr>
          <w:rFonts w:ascii="Times New Roman" w:eastAsiaTheme="minorEastAsia" w:hAnsi="Times New Roman" w:cs="Times New Roman"/>
          <w:sz w:val="24"/>
          <w:szCs w:val="24"/>
          <w:lang w:eastAsia="pt-BR"/>
        </w:rPr>
        <w:t xml:space="preserve"> que os bancos apenas com</w:t>
      </w:r>
      <w:r w:rsidR="0023057D">
        <w:rPr>
          <w:rFonts w:ascii="Times New Roman" w:eastAsiaTheme="minorEastAsia" w:hAnsi="Times New Roman" w:cs="Times New Roman"/>
          <w:sz w:val="24"/>
          <w:szCs w:val="24"/>
          <w:lang w:eastAsia="pt-BR"/>
        </w:rPr>
        <w:t xml:space="preserve"> dívidas subordinadas. </w:t>
      </w:r>
      <w:r w:rsidR="00FB7761">
        <w:rPr>
          <w:rFonts w:ascii="Times New Roman" w:eastAsiaTheme="minorEastAsia" w:hAnsi="Times New Roman" w:cs="Times New Roman"/>
          <w:sz w:val="24"/>
          <w:szCs w:val="24"/>
          <w:lang w:eastAsia="pt-BR"/>
        </w:rPr>
        <w:t>Um dos motivos pode ser porque</w:t>
      </w:r>
      <w:r w:rsidR="0023057D">
        <w:rPr>
          <w:rFonts w:ascii="Times New Roman" w:eastAsiaTheme="minorEastAsia" w:hAnsi="Times New Roman" w:cs="Times New Roman"/>
          <w:sz w:val="24"/>
          <w:szCs w:val="24"/>
          <w:lang w:eastAsia="pt-BR"/>
        </w:rPr>
        <w:t>, as dívidas subordinadas</w:t>
      </w:r>
      <w:r w:rsidR="00A55016">
        <w:rPr>
          <w:rFonts w:ascii="Times New Roman" w:eastAsiaTheme="minorEastAsia" w:hAnsi="Times New Roman" w:cs="Times New Roman"/>
          <w:sz w:val="24"/>
          <w:szCs w:val="24"/>
          <w:lang w:eastAsia="pt-BR"/>
        </w:rPr>
        <w:t xml:space="preserve"> </w:t>
      </w:r>
      <w:r w:rsidR="0023057D">
        <w:rPr>
          <w:rFonts w:ascii="Times New Roman" w:eastAsiaTheme="minorEastAsia" w:hAnsi="Times New Roman" w:cs="Times New Roman"/>
          <w:sz w:val="24"/>
          <w:szCs w:val="24"/>
          <w:lang w:eastAsia="pt-BR"/>
        </w:rPr>
        <w:t xml:space="preserve">em ambientes com risco, </w:t>
      </w:r>
      <w:r w:rsidR="00A55016">
        <w:rPr>
          <w:rFonts w:ascii="Times New Roman" w:eastAsiaTheme="minorEastAsia" w:hAnsi="Times New Roman" w:cs="Times New Roman"/>
          <w:sz w:val="24"/>
          <w:szCs w:val="24"/>
          <w:lang w:eastAsia="pt-BR"/>
        </w:rPr>
        <w:t>se comporta</w:t>
      </w:r>
      <w:r w:rsidR="0023057D">
        <w:rPr>
          <w:rFonts w:ascii="Times New Roman" w:eastAsiaTheme="minorEastAsia" w:hAnsi="Times New Roman" w:cs="Times New Roman"/>
          <w:sz w:val="24"/>
          <w:szCs w:val="24"/>
          <w:lang w:eastAsia="pt-BR"/>
        </w:rPr>
        <w:t xml:space="preserve">m como limitadores </w:t>
      </w:r>
      <w:proofErr w:type="gramStart"/>
      <w:r w:rsidR="0023057D">
        <w:rPr>
          <w:rFonts w:ascii="Times New Roman" w:eastAsiaTheme="minorEastAsia" w:hAnsi="Times New Roman" w:cs="Times New Roman"/>
          <w:sz w:val="24"/>
          <w:szCs w:val="24"/>
          <w:lang w:eastAsia="pt-BR"/>
        </w:rPr>
        <w:t>desses risco</w:t>
      </w:r>
      <w:proofErr w:type="gramEnd"/>
      <w:r w:rsidR="0023057D">
        <w:rPr>
          <w:rFonts w:ascii="Times New Roman" w:eastAsiaTheme="minorEastAsia" w:hAnsi="Times New Roman" w:cs="Times New Roman"/>
          <w:sz w:val="24"/>
          <w:szCs w:val="24"/>
          <w:lang w:eastAsia="pt-BR"/>
        </w:rPr>
        <w:t>, já que,</w:t>
      </w:r>
      <w:r w:rsidR="00A55016">
        <w:rPr>
          <w:rFonts w:ascii="Times New Roman" w:eastAsiaTheme="minorEastAsia" w:hAnsi="Times New Roman" w:cs="Times New Roman"/>
          <w:sz w:val="24"/>
          <w:szCs w:val="24"/>
          <w:lang w:eastAsia="pt-BR"/>
        </w:rPr>
        <w:t xml:space="preserve"> no caso de falência do banco, os sócios proprietários são os últimos a receber, se receberam algo, enquanto que com os </w:t>
      </w:r>
      <w:proofErr w:type="spellStart"/>
      <w:r w:rsidR="0099005E">
        <w:rPr>
          <w:rFonts w:ascii="Times New Roman" w:eastAsiaTheme="minorEastAsia" w:hAnsi="Times New Roman" w:cs="Times New Roman"/>
          <w:sz w:val="24"/>
          <w:szCs w:val="24"/>
          <w:lang w:eastAsia="pt-BR"/>
        </w:rPr>
        <w:t>CoCos</w:t>
      </w:r>
      <w:proofErr w:type="spellEnd"/>
      <w:r w:rsidR="00A55016">
        <w:rPr>
          <w:rFonts w:ascii="Times New Roman" w:eastAsiaTheme="minorEastAsia" w:hAnsi="Times New Roman" w:cs="Times New Roman"/>
          <w:sz w:val="24"/>
          <w:szCs w:val="24"/>
          <w:lang w:eastAsia="pt-BR"/>
        </w:rPr>
        <w:t>, os sócios proprietários poder</w:t>
      </w:r>
      <w:r w:rsidR="0023057D">
        <w:rPr>
          <w:rFonts w:ascii="Times New Roman" w:eastAsiaTheme="minorEastAsia" w:hAnsi="Times New Roman" w:cs="Times New Roman"/>
          <w:sz w:val="24"/>
          <w:szCs w:val="24"/>
          <w:lang w:eastAsia="pt-BR"/>
        </w:rPr>
        <w:t>iam simplesmente converter as dí</w:t>
      </w:r>
      <w:r w:rsidR="00A55016">
        <w:rPr>
          <w:rFonts w:ascii="Times New Roman" w:eastAsiaTheme="minorEastAsia" w:hAnsi="Times New Roman" w:cs="Times New Roman"/>
          <w:sz w:val="24"/>
          <w:szCs w:val="24"/>
          <w:lang w:eastAsia="pt-BR"/>
        </w:rPr>
        <w:t>vidas</w:t>
      </w:r>
      <w:r w:rsidR="0023057D">
        <w:rPr>
          <w:rFonts w:ascii="Times New Roman" w:eastAsiaTheme="minorEastAsia" w:hAnsi="Times New Roman" w:cs="Times New Roman"/>
          <w:sz w:val="24"/>
          <w:szCs w:val="24"/>
          <w:lang w:eastAsia="pt-BR"/>
        </w:rPr>
        <w:t>,</w:t>
      </w:r>
      <w:r w:rsidR="00A55016">
        <w:rPr>
          <w:rFonts w:ascii="Times New Roman" w:eastAsiaTheme="minorEastAsia" w:hAnsi="Times New Roman" w:cs="Times New Roman"/>
          <w:sz w:val="24"/>
          <w:szCs w:val="24"/>
          <w:lang w:eastAsia="pt-BR"/>
        </w:rPr>
        <w:t xml:space="preserve"> sem nenhuma perda de patrimônio.</w:t>
      </w:r>
    </w:p>
    <w:p w:rsidR="00507549" w:rsidRDefault="00507549" w:rsidP="00507549">
      <w:pPr>
        <w:spacing w:after="120" w:line="240" w:lineRule="auto"/>
        <w:jc w:val="both"/>
        <w:rPr>
          <w:rFonts w:ascii="Times New Roman" w:eastAsiaTheme="minorEastAsia" w:hAnsi="Times New Roman" w:cs="Times New Roman"/>
          <w:sz w:val="24"/>
          <w:szCs w:val="24"/>
          <w:lang w:eastAsia="pt-BR"/>
        </w:rPr>
      </w:pPr>
      <w:r>
        <w:rPr>
          <w:rFonts w:ascii="Times New Roman" w:eastAsiaTheme="minorEastAsia" w:hAnsi="Times New Roman" w:cs="Times New Roman"/>
          <w:sz w:val="24"/>
          <w:szCs w:val="24"/>
          <w:lang w:eastAsia="pt-BR"/>
        </w:rPr>
        <w:t>Assim</w:t>
      </w:r>
      <w:r w:rsidR="00A55016">
        <w:rPr>
          <w:rFonts w:ascii="Times New Roman" w:eastAsiaTheme="minorEastAsia" w:hAnsi="Times New Roman" w:cs="Times New Roman"/>
          <w:sz w:val="24"/>
          <w:szCs w:val="24"/>
          <w:lang w:eastAsia="pt-BR"/>
        </w:rPr>
        <w:t xml:space="preserve">, as evidências sugerem que, dentro de regulamentações rígidas, os grandes bancos brasileiros estariam mais bem capitalizados com </w:t>
      </w:r>
      <w:proofErr w:type="spellStart"/>
      <w:proofErr w:type="gramStart"/>
      <w:r w:rsidR="0099005E">
        <w:rPr>
          <w:rFonts w:ascii="Times New Roman" w:eastAsiaTheme="minorEastAsia" w:hAnsi="Times New Roman" w:cs="Times New Roman"/>
          <w:sz w:val="24"/>
          <w:szCs w:val="24"/>
          <w:lang w:eastAsia="pt-BR"/>
        </w:rPr>
        <w:t>CoCos</w:t>
      </w:r>
      <w:proofErr w:type="spellEnd"/>
      <w:proofErr w:type="gramEnd"/>
      <w:r w:rsidR="00A55016">
        <w:rPr>
          <w:rFonts w:ascii="Times New Roman" w:eastAsiaTheme="minorEastAsia" w:hAnsi="Times New Roman" w:cs="Times New Roman"/>
          <w:sz w:val="24"/>
          <w:szCs w:val="24"/>
          <w:lang w:eastAsia="pt-BR"/>
        </w:rPr>
        <w:t xml:space="preserve"> do que com dívidas subordinadas e que em ambientes não regulamentados, os bancos brasileiros correm maior risco com </w:t>
      </w:r>
      <w:proofErr w:type="spellStart"/>
      <w:r w:rsidR="0099005E">
        <w:rPr>
          <w:rFonts w:ascii="Times New Roman" w:eastAsiaTheme="minorEastAsia" w:hAnsi="Times New Roman" w:cs="Times New Roman"/>
          <w:sz w:val="24"/>
          <w:szCs w:val="24"/>
          <w:lang w:eastAsia="pt-BR"/>
        </w:rPr>
        <w:t>CoCos</w:t>
      </w:r>
      <w:proofErr w:type="spellEnd"/>
      <w:r w:rsidR="00A55016">
        <w:rPr>
          <w:rFonts w:ascii="Times New Roman" w:eastAsiaTheme="minorEastAsia" w:hAnsi="Times New Roman" w:cs="Times New Roman"/>
          <w:sz w:val="24"/>
          <w:szCs w:val="24"/>
          <w:lang w:eastAsia="pt-BR"/>
        </w:rPr>
        <w:t xml:space="preserve"> do que com dívidas subordinadas.</w:t>
      </w:r>
      <w:r w:rsidR="00901C65">
        <w:rPr>
          <w:rFonts w:ascii="Times New Roman" w:eastAsiaTheme="minorEastAsia" w:hAnsi="Times New Roman" w:cs="Times New Roman"/>
          <w:sz w:val="24"/>
          <w:szCs w:val="24"/>
          <w:lang w:eastAsia="pt-BR"/>
        </w:rPr>
        <w:t xml:space="preserve"> </w:t>
      </w:r>
      <w:bookmarkStart w:id="28" w:name="_Toc390075556"/>
      <w:proofErr w:type="gramStart"/>
      <w:r>
        <w:rPr>
          <w:rFonts w:ascii="Times New Roman" w:eastAsiaTheme="minorEastAsia" w:hAnsi="Times New Roman" w:cs="Times New Roman"/>
          <w:sz w:val="24"/>
          <w:szCs w:val="24"/>
          <w:lang w:eastAsia="pt-BR"/>
        </w:rPr>
        <w:t>]</w:t>
      </w:r>
      <w:proofErr w:type="gramEnd"/>
    </w:p>
    <w:p w:rsidR="00013AC0" w:rsidRPr="00EF3690" w:rsidRDefault="00013AC0" w:rsidP="00507549">
      <w:pPr>
        <w:spacing w:after="120" w:line="240" w:lineRule="auto"/>
        <w:jc w:val="both"/>
        <w:rPr>
          <w:rFonts w:ascii="Times New Roman" w:eastAsiaTheme="majorEastAsia" w:hAnsi="Times New Roman" w:cs="Times New Roman"/>
          <w:b/>
          <w:bCs/>
          <w:sz w:val="24"/>
          <w:szCs w:val="24"/>
        </w:rPr>
      </w:pPr>
      <w:r w:rsidRPr="00EF3690">
        <w:rPr>
          <w:rFonts w:ascii="Times New Roman" w:eastAsiaTheme="majorEastAsia" w:hAnsi="Times New Roman" w:cs="Times New Roman"/>
          <w:b/>
          <w:bCs/>
          <w:sz w:val="24"/>
          <w:szCs w:val="24"/>
        </w:rPr>
        <w:t>Referências</w:t>
      </w:r>
      <w:bookmarkEnd w:id="28"/>
    </w:p>
    <w:p w:rsidR="002F614D" w:rsidRPr="00EF0CFB" w:rsidRDefault="002F614D" w:rsidP="00A034B7">
      <w:pPr>
        <w:pStyle w:val="Default"/>
        <w:jc w:val="both"/>
        <w:rPr>
          <w:rFonts w:eastAsia="Times New Roman"/>
          <w:color w:val="auto"/>
          <w:lang w:val="en-US" w:eastAsia="pt-BR"/>
        </w:rPr>
      </w:pPr>
      <w:r w:rsidRPr="00EF3690">
        <w:rPr>
          <w:rFonts w:eastAsia="Times New Roman"/>
          <w:lang w:eastAsia="pt-BR"/>
        </w:rPr>
        <w:t xml:space="preserve">Andrade, </w:t>
      </w:r>
      <w:proofErr w:type="spellStart"/>
      <w:r w:rsidRPr="00EF3690">
        <w:rPr>
          <w:rFonts w:eastAsia="Times New Roman"/>
          <w:lang w:eastAsia="pt-BR"/>
        </w:rPr>
        <w:t>Gregor</w:t>
      </w:r>
      <w:proofErr w:type="spellEnd"/>
      <w:r w:rsidRPr="00EF3690">
        <w:rPr>
          <w:rFonts w:eastAsia="Times New Roman"/>
          <w:lang w:eastAsia="pt-BR"/>
        </w:rPr>
        <w:t xml:space="preserve">, </w:t>
      </w:r>
      <w:proofErr w:type="spellStart"/>
      <w:r w:rsidRPr="00EF3690">
        <w:rPr>
          <w:rFonts w:eastAsia="Times New Roman"/>
          <w:lang w:eastAsia="pt-BR"/>
        </w:rPr>
        <w:t>and</w:t>
      </w:r>
      <w:proofErr w:type="spellEnd"/>
      <w:r w:rsidRPr="00EF3690">
        <w:rPr>
          <w:rFonts w:eastAsia="Times New Roman"/>
          <w:lang w:eastAsia="pt-BR"/>
        </w:rPr>
        <w:t xml:space="preserve"> Steven N. Kaplan. </w:t>
      </w:r>
      <w:r w:rsidRPr="00EF0CFB">
        <w:rPr>
          <w:rFonts w:eastAsia="Times New Roman"/>
          <w:lang w:val="en-US" w:eastAsia="pt-BR"/>
        </w:rPr>
        <w:t>"</w:t>
      </w:r>
      <w:r w:rsidRPr="00EF0CFB">
        <w:rPr>
          <w:rFonts w:eastAsia="Times New Roman"/>
          <w:i/>
          <w:lang w:val="en-US" w:eastAsia="pt-BR"/>
        </w:rPr>
        <w:t xml:space="preserve">How costly is financial (not economic) distress? </w:t>
      </w:r>
      <w:proofErr w:type="gramStart"/>
      <w:r w:rsidRPr="00EF0CFB">
        <w:rPr>
          <w:rFonts w:eastAsia="Times New Roman"/>
          <w:i/>
          <w:lang w:val="en-US" w:eastAsia="pt-BR"/>
        </w:rPr>
        <w:t>Evidence from highly leveraged transactions that became distressed.</w:t>
      </w:r>
      <w:r w:rsidRPr="00EF0CFB">
        <w:rPr>
          <w:rFonts w:eastAsia="Times New Roman"/>
          <w:lang w:val="en-US" w:eastAsia="pt-BR"/>
        </w:rPr>
        <w:t>"</w:t>
      </w:r>
      <w:proofErr w:type="gramEnd"/>
      <w:r w:rsidRPr="00EF0CFB">
        <w:rPr>
          <w:rFonts w:eastAsia="Times New Roman"/>
          <w:lang w:val="en-US" w:eastAsia="pt-BR"/>
        </w:rPr>
        <w:t xml:space="preserve"> The Journal of Finance 53.5 (1998): 1443-1493</w:t>
      </w:r>
    </w:p>
    <w:p w:rsidR="00013AC0" w:rsidRPr="00EF0CFB" w:rsidRDefault="00013AC0" w:rsidP="00A034B7">
      <w:pPr>
        <w:spacing w:after="0" w:line="240" w:lineRule="auto"/>
        <w:jc w:val="both"/>
        <w:rPr>
          <w:rFonts w:ascii="Times New Roman" w:eastAsia="Times New Roman" w:hAnsi="Times New Roman" w:cs="Times New Roman"/>
          <w:sz w:val="24"/>
          <w:szCs w:val="24"/>
          <w:lang w:val="en-US" w:eastAsia="pt-BR"/>
        </w:rPr>
      </w:pPr>
      <w:proofErr w:type="gramStart"/>
      <w:r w:rsidRPr="00EF0CFB">
        <w:rPr>
          <w:rFonts w:ascii="Times New Roman" w:eastAsia="Times New Roman" w:hAnsi="Times New Roman" w:cs="Times New Roman"/>
          <w:sz w:val="24"/>
          <w:szCs w:val="24"/>
          <w:lang w:val="en-US" w:eastAsia="pt-BR"/>
        </w:rPr>
        <w:t xml:space="preserve">Bank, Matthias, and </w:t>
      </w:r>
      <w:proofErr w:type="spellStart"/>
      <w:r w:rsidRPr="00EF0CFB">
        <w:rPr>
          <w:rFonts w:ascii="Times New Roman" w:eastAsia="Times New Roman" w:hAnsi="Times New Roman" w:cs="Times New Roman"/>
          <w:sz w:val="24"/>
          <w:szCs w:val="24"/>
          <w:lang w:val="en-US" w:eastAsia="pt-BR"/>
        </w:rPr>
        <w:t>Jochen</w:t>
      </w:r>
      <w:proofErr w:type="spellEnd"/>
      <w:r w:rsidRPr="00EF0CFB">
        <w:rPr>
          <w:rFonts w:ascii="Times New Roman" w:eastAsia="Times New Roman" w:hAnsi="Times New Roman" w:cs="Times New Roman"/>
          <w:sz w:val="24"/>
          <w:szCs w:val="24"/>
          <w:lang w:val="en-US" w:eastAsia="pt-BR"/>
        </w:rPr>
        <w:t xml:space="preserve"> </w:t>
      </w:r>
      <w:proofErr w:type="spellStart"/>
      <w:r w:rsidRPr="00EF0CFB">
        <w:rPr>
          <w:rFonts w:ascii="Times New Roman" w:eastAsia="Times New Roman" w:hAnsi="Times New Roman" w:cs="Times New Roman"/>
          <w:sz w:val="24"/>
          <w:szCs w:val="24"/>
          <w:lang w:val="en-US" w:eastAsia="pt-BR"/>
        </w:rPr>
        <w:t>Lawrenz</w:t>
      </w:r>
      <w:proofErr w:type="spellEnd"/>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r w:rsidRPr="00EF0CFB">
        <w:rPr>
          <w:rFonts w:ascii="Times New Roman" w:eastAsia="Times New Roman" w:hAnsi="Times New Roman" w:cs="Times New Roman"/>
          <w:i/>
          <w:sz w:val="24"/>
          <w:szCs w:val="24"/>
          <w:lang w:val="en-US" w:eastAsia="pt-BR"/>
        </w:rPr>
        <w:t>Deposit finance as a commitment device and the optimal debt structure of commercial banks.</w:t>
      </w:r>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sz w:val="24"/>
          <w:szCs w:val="24"/>
          <w:lang w:val="en-US" w:eastAsia="pt-BR"/>
        </w:rPr>
        <w:t>European Financial Management (2010).</w:t>
      </w:r>
      <w:proofErr w:type="gramEnd"/>
    </w:p>
    <w:p w:rsidR="00013AC0" w:rsidRPr="00BA5AEF" w:rsidRDefault="00013AC0" w:rsidP="00A034B7">
      <w:pPr>
        <w:pStyle w:val="Default"/>
        <w:jc w:val="both"/>
        <w:rPr>
          <w:rFonts w:eastAsia="Times New Roman"/>
          <w:color w:val="auto"/>
          <w:lang w:eastAsia="pt-BR"/>
        </w:rPr>
      </w:pPr>
      <w:r w:rsidRPr="00EF0CFB">
        <w:rPr>
          <w:rFonts w:eastAsia="Times New Roman"/>
          <w:color w:val="auto"/>
          <w:lang w:val="en-US" w:eastAsia="pt-BR"/>
        </w:rPr>
        <w:t>BCBS, B</w:t>
      </w:r>
      <w:r w:rsidR="002F614D" w:rsidRPr="00EF0CFB">
        <w:rPr>
          <w:rFonts w:eastAsia="Times New Roman"/>
          <w:color w:val="auto"/>
          <w:lang w:val="en-US" w:eastAsia="pt-BR"/>
        </w:rPr>
        <w:t xml:space="preserve">asel </w:t>
      </w:r>
      <w:r w:rsidRPr="00EF0CFB">
        <w:rPr>
          <w:rFonts w:eastAsia="Times New Roman"/>
          <w:color w:val="auto"/>
          <w:lang w:val="en-US" w:eastAsia="pt-BR"/>
        </w:rPr>
        <w:t>C</w:t>
      </w:r>
      <w:r w:rsidR="002F614D" w:rsidRPr="00EF0CFB">
        <w:rPr>
          <w:rFonts w:eastAsia="Times New Roman"/>
          <w:color w:val="auto"/>
          <w:lang w:val="en-US" w:eastAsia="pt-BR"/>
        </w:rPr>
        <w:t>ommittee on Banking</w:t>
      </w:r>
      <w:r w:rsidRPr="00EF0CFB">
        <w:rPr>
          <w:rFonts w:eastAsia="Times New Roman"/>
          <w:color w:val="auto"/>
          <w:lang w:val="en-US" w:eastAsia="pt-BR"/>
        </w:rPr>
        <w:t xml:space="preserve"> S</w:t>
      </w:r>
      <w:r w:rsidR="002F614D" w:rsidRPr="00EF0CFB">
        <w:rPr>
          <w:rFonts w:eastAsia="Times New Roman"/>
          <w:color w:val="auto"/>
          <w:lang w:val="en-US" w:eastAsia="pt-BR"/>
        </w:rPr>
        <w:t>upervision</w:t>
      </w:r>
      <w:r w:rsidRPr="00EF0CFB">
        <w:rPr>
          <w:rFonts w:eastAsia="Times New Roman"/>
          <w:color w:val="auto"/>
          <w:lang w:val="en-US" w:eastAsia="pt-BR"/>
        </w:rPr>
        <w:t xml:space="preserve">. Basel Committee: </w:t>
      </w:r>
      <w:r w:rsidRPr="00EF0CFB">
        <w:rPr>
          <w:rFonts w:eastAsia="Times New Roman"/>
          <w:i/>
          <w:color w:val="auto"/>
          <w:lang w:val="en-US" w:eastAsia="pt-BR"/>
        </w:rPr>
        <w:t>International convergence of capital measurement and capital standards</w:t>
      </w:r>
      <w:r w:rsidRPr="00EF0CFB">
        <w:rPr>
          <w:rFonts w:eastAsia="Times New Roman"/>
          <w:color w:val="auto"/>
          <w:lang w:val="en-US" w:eastAsia="pt-BR"/>
        </w:rPr>
        <w:t xml:space="preserve">, Jul. 1988. </w:t>
      </w:r>
      <w:r w:rsidRPr="00BA5AEF">
        <w:rPr>
          <w:rFonts w:eastAsia="Times New Roman"/>
          <w:color w:val="auto"/>
          <w:lang w:eastAsia="pt-BR"/>
        </w:rPr>
        <w:t>Disponível</w:t>
      </w:r>
      <w:r w:rsidR="002F614D" w:rsidRPr="00BA5AEF">
        <w:rPr>
          <w:rFonts w:eastAsia="Times New Roman"/>
          <w:color w:val="auto"/>
          <w:lang w:eastAsia="pt-BR"/>
        </w:rPr>
        <w:t xml:space="preserve"> </w:t>
      </w:r>
      <w:r w:rsidRPr="00BA5AEF">
        <w:rPr>
          <w:rFonts w:eastAsia="Times New Roman"/>
          <w:color w:val="auto"/>
          <w:lang w:eastAsia="pt-BR"/>
        </w:rPr>
        <w:t xml:space="preserve">em: </w:t>
      </w:r>
      <w:hyperlink r:id="rId22" w:history="1">
        <w:r w:rsidRPr="00BA5AEF">
          <w:rPr>
            <w:rFonts w:eastAsia="Times New Roman"/>
            <w:color w:val="auto"/>
            <w:lang w:eastAsia="pt-BR"/>
          </w:rPr>
          <w:t>http://www.bis.org/publ/bcbs04a.pdf</w:t>
        </w:r>
      </w:hyperlink>
      <w:r w:rsidRPr="00BA5AEF">
        <w:rPr>
          <w:rFonts w:eastAsia="Times New Roman"/>
          <w:color w:val="auto"/>
          <w:lang w:eastAsia="pt-BR"/>
        </w:rPr>
        <w:t>.</w:t>
      </w:r>
    </w:p>
    <w:p w:rsidR="00013AC0" w:rsidRPr="00EF0CFB" w:rsidRDefault="00013AC0" w:rsidP="00A034B7">
      <w:pPr>
        <w:pStyle w:val="Default"/>
        <w:jc w:val="both"/>
        <w:rPr>
          <w:rFonts w:eastAsia="Times New Roman"/>
          <w:lang w:val="en-US" w:eastAsia="pt-BR"/>
        </w:rPr>
      </w:pPr>
      <w:r w:rsidRPr="00BA5AEF">
        <w:rPr>
          <w:rFonts w:eastAsia="Times New Roman"/>
          <w:color w:val="auto"/>
          <w:lang w:eastAsia="pt-BR"/>
        </w:rPr>
        <w:t xml:space="preserve"> </w:t>
      </w:r>
      <w:proofErr w:type="spellStart"/>
      <w:r w:rsidRPr="00BA5AEF">
        <w:rPr>
          <w:rFonts w:eastAsia="Times New Roman"/>
          <w:lang w:eastAsia="pt-BR"/>
        </w:rPr>
        <w:t>Bhattacharya</w:t>
      </w:r>
      <w:proofErr w:type="spellEnd"/>
      <w:r w:rsidRPr="00BA5AEF">
        <w:rPr>
          <w:rFonts w:eastAsia="Times New Roman"/>
          <w:lang w:eastAsia="pt-BR"/>
        </w:rPr>
        <w:t xml:space="preserve">, </w:t>
      </w:r>
      <w:proofErr w:type="spellStart"/>
      <w:r w:rsidRPr="00BA5AEF">
        <w:rPr>
          <w:rFonts w:eastAsia="Times New Roman"/>
          <w:lang w:eastAsia="pt-BR"/>
        </w:rPr>
        <w:t>Sudipto</w:t>
      </w:r>
      <w:proofErr w:type="spellEnd"/>
      <w:r w:rsidRPr="00BA5AEF">
        <w:rPr>
          <w:rFonts w:eastAsia="Times New Roman"/>
          <w:lang w:eastAsia="pt-BR"/>
        </w:rPr>
        <w:t xml:space="preserve">, </w:t>
      </w:r>
      <w:proofErr w:type="gramStart"/>
      <w:r w:rsidRPr="00BA5AEF">
        <w:rPr>
          <w:rFonts w:eastAsia="Times New Roman"/>
          <w:lang w:eastAsia="pt-BR"/>
        </w:rPr>
        <w:t>et</w:t>
      </w:r>
      <w:proofErr w:type="gramEnd"/>
      <w:r w:rsidRPr="00BA5AEF">
        <w:rPr>
          <w:rFonts w:eastAsia="Times New Roman"/>
          <w:lang w:eastAsia="pt-BR"/>
        </w:rPr>
        <w:t xml:space="preserve"> al. </w:t>
      </w:r>
      <w:r w:rsidRPr="00EF0CFB">
        <w:rPr>
          <w:rFonts w:eastAsia="Times New Roman"/>
          <w:lang w:val="en-US" w:eastAsia="pt-BR"/>
        </w:rPr>
        <w:t>"</w:t>
      </w:r>
      <w:r w:rsidRPr="00EF0CFB">
        <w:rPr>
          <w:rFonts w:eastAsia="Times New Roman"/>
          <w:i/>
          <w:lang w:val="en-US" w:eastAsia="pt-BR"/>
        </w:rPr>
        <w:t>Bank capital regulation with random audits.</w:t>
      </w:r>
      <w:r w:rsidRPr="00EF0CFB">
        <w:rPr>
          <w:rFonts w:eastAsia="Times New Roman"/>
          <w:lang w:val="en-US" w:eastAsia="pt-BR"/>
        </w:rPr>
        <w:t>" Journal of Economic Dynamics and Control 26.7 (2002): 1301-1321.</w:t>
      </w:r>
    </w:p>
    <w:p w:rsidR="00013AC0" w:rsidRPr="00EF0CFB" w:rsidRDefault="00013AC0" w:rsidP="00A034B7">
      <w:pPr>
        <w:pStyle w:val="Default"/>
        <w:jc w:val="both"/>
        <w:rPr>
          <w:rFonts w:eastAsia="Times New Roman"/>
          <w:color w:val="auto"/>
          <w:lang w:val="en-US" w:eastAsia="pt-BR"/>
        </w:rPr>
      </w:pPr>
      <w:r w:rsidRPr="00EF0CFB">
        <w:rPr>
          <w:rFonts w:eastAsia="Times New Roman"/>
          <w:i/>
          <w:color w:val="auto"/>
          <w:lang w:val="en-US" w:eastAsia="pt-BR"/>
        </w:rPr>
        <w:t>Basel III: A global regulatory framework for more resilient banks and banking systems</w:t>
      </w:r>
      <w:r w:rsidRPr="00EF0CFB">
        <w:rPr>
          <w:rFonts w:eastAsia="Times New Roman"/>
          <w:color w:val="auto"/>
          <w:lang w:val="en-US" w:eastAsia="pt-BR"/>
        </w:rPr>
        <w:t xml:space="preserve"> (revised version June 2011). </w:t>
      </w:r>
      <w:proofErr w:type="spellStart"/>
      <w:r w:rsidRPr="00EF0CFB">
        <w:rPr>
          <w:rFonts w:eastAsia="Times New Roman"/>
          <w:color w:val="auto"/>
          <w:lang w:val="en-US" w:eastAsia="pt-BR"/>
        </w:rPr>
        <w:t>Disponível</w:t>
      </w:r>
      <w:proofErr w:type="spellEnd"/>
      <w:r w:rsidR="00EF0CFB" w:rsidRPr="00EF0CFB">
        <w:rPr>
          <w:rFonts w:eastAsia="Times New Roman"/>
          <w:color w:val="auto"/>
          <w:lang w:val="en-US" w:eastAsia="pt-BR"/>
        </w:rPr>
        <w:t xml:space="preserve"> </w:t>
      </w:r>
      <w:proofErr w:type="spellStart"/>
      <w:r w:rsidRPr="00EF0CFB">
        <w:rPr>
          <w:rFonts w:eastAsia="Times New Roman"/>
          <w:color w:val="auto"/>
          <w:lang w:val="en-US" w:eastAsia="pt-BR"/>
        </w:rPr>
        <w:t>em</w:t>
      </w:r>
      <w:proofErr w:type="spellEnd"/>
      <w:r w:rsidRPr="00EF0CFB">
        <w:rPr>
          <w:rFonts w:eastAsia="Times New Roman"/>
          <w:color w:val="auto"/>
          <w:lang w:val="en-US" w:eastAsia="pt-BR"/>
        </w:rPr>
        <w:t xml:space="preserve">: </w:t>
      </w:r>
      <w:hyperlink r:id="rId23" w:history="1">
        <w:r w:rsidRPr="00EF0CFB">
          <w:rPr>
            <w:rFonts w:eastAsia="Times New Roman"/>
            <w:color w:val="auto"/>
            <w:lang w:val="en-US" w:eastAsia="pt-BR"/>
          </w:rPr>
          <w:t>http://www.bis.org/publ/bcbs189.pdf</w:t>
        </w:r>
      </w:hyperlink>
      <w:r w:rsidRPr="00EF0CFB">
        <w:rPr>
          <w:rFonts w:eastAsia="Times New Roman"/>
          <w:color w:val="auto"/>
          <w:lang w:val="en-US" w:eastAsia="pt-BR"/>
        </w:rPr>
        <w:t>.</w:t>
      </w:r>
    </w:p>
    <w:p w:rsidR="00013AC0" w:rsidRPr="00EF3690" w:rsidRDefault="00013AC0" w:rsidP="00A034B7">
      <w:pPr>
        <w:pStyle w:val="Default"/>
        <w:jc w:val="both"/>
        <w:rPr>
          <w:rFonts w:eastAsia="Times New Roman"/>
          <w:color w:val="auto"/>
          <w:lang w:eastAsia="pt-BR"/>
        </w:rPr>
      </w:pPr>
      <w:r w:rsidRPr="00EF0CFB">
        <w:rPr>
          <w:rFonts w:eastAsia="Times New Roman"/>
          <w:color w:val="auto"/>
          <w:lang w:val="en-US" w:eastAsia="pt-BR"/>
        </w:rPr>
        <w:t xml:space="preserve"> </w:t>
      </w:r>
      <w:r w:rsidRPr="00EF0CFB">
        <w:rPr>
          <w:rFonts w:eastAsia="Times New Roman"/>
          <w:i/>
          <w:color w:val="auto"/>
          <w:lang w:val="en-US" w:eastAsia="pt-BR"/>
        </w:rPr>
        <w:t>Basel III: The liquidity coverage ratio and liquidity risk monitoring tools (January 2013).</w:t>
      </w:r>
      <w:r w:rsidRPr="00EF0CFB">
        <w:rPr>
          <w:rFonts w:eastAsia="Times New Roman"/>
          <w:color w:val="auto"/>
          <w:lang w:val="en-US" w:eastAsia="pt-BR"/>
        </w:rPr>
        <w:t xml:space="preserve"> </w:t>
      </w:r>
      <w:r w:rsidRPr="00EF3690">
        <w:rPr>
          <w:rFonts w:eastAsia="Times New Roman"/>
          <w:color w:val="auto"/>
          <w:lang w:eastAsia="pt-BR"/>
        </w:rPr>
        <w:t>Disponível</w:t>
      </w:r>
      <w:r w:rsidR="00EF0CFB" w:rsidRPr="00EF3690">
        <w:rPr>
          <w:rFonts w:eastAsia="Times New Roman"/>
          <w:color w:val="auto"/>
          <w:lang w:eastAsia="pt-BR"/>
        </w:rPr>
        <w:t xml:space="preserve"> </w:t>
      </w:r>
      <w:r w:rsidRPr="00EF3690">
        <w:rPr>
          <w:rFonts w:eastAsia="Times New Roman"/>
          <w:color w:val="auto"/>
          <w:lang w:eastAsia="pt-BR"/>
        </w:rPr>
        <w:t xml:space="preserve">em: </w:t>
      </w:r>
      <w:hyperlink r:id="rId24" w:history="1">
        <w:r w:rsidRPr="00EF3690">
          <w:rPr>
            <w:rFonts w:eastAsia="Times New Roman"/>
            <w:color w:val="auto"/>
            <w:lang w:eastAsia="pt-BR"/>
          </w:rPr>
          <w:t>http://www.bis.org/publ/bcbs238.pdf</w:t>
        </w:r>
      </w:hyperlink>
      <w:r w:rsidRPr="00EF3690">
        <w:rPr>
          <w:rFonts w:eastAsia="Times New Roman"/>
          <w:color w:val="auto"/>
          <w:lang w:eastAsia="pt-BR"/>
        </w:rPr>
        <w:t xml:space="preserve">. </w:t>
      </w:r>
    </w:p>
    <w:p w:rsidR="00013AC0" w:rsidRPr="00EF0CFB" w:rsidRDefault="00013AC0" w:rsidP="00A034B7">
      <w:pPr>
        <w:spacing w:after="0" w:line="240" w:lineRule="auto"/>
        <w:rPr>
          <w:rFonts w:ascii="Times New Roman" w:eastAsia="Times New Roman" w:hAnsi="Times New Roman" w:cs="Times New Roman"/>
          <w:sz w:val="24"/>
          <w:szCs w:val="24"/>
          <w:lang w:val="en-US" w:eastAsia="pt-BR"/>
        </w:rPr>
      </w:pPr>
      <w:proofErr w:type="spellStart"/>
      <w:r w:rsidRPr="00EF3690">
        <w:rPr>
          <w:rFonts w:ascii="Times New Roman" w:eastAsia="Times New Roman" w:hAnsi="Times New Roman" w:cs="Times New Roman"/>
          <w:sz w:val="24"/>
          <w:szCs w:val="24"/>
          <w:lang w:eastAsia="pt-BR"/>
        </w:rPr>
        <w:t>Bollen</w:t>
      </w:r>
      <w:proofErr w:type="spellEnd"/>
      <w:r w:rsidRPr="00EF3690">
        <w:rPr>
          <w:rFonts w:ascii="Times New Roman" w:eastAsia="Times New Roman" w:hAnsi="Times New Roman" w:cs="Times New Roman"/>
          <w:sz w:val="24"/>
          <w:szCs w:val="24"/>
          <w:lang w:eastAsia="pt-BR"/>
        </w:rPr>
        <w:t xml:space="preserve">, Nicolas PB. </w:t>
      </w:r>
      <w:proofErr w:type="gramStart"/>
      <w:r w:rsidRP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i/>
          <w:sz w:val="24"/>
          <w:szCs w:val="24"/>
          <w:lang w:val="en-US" w:eastAsia="pt-BR"/>
        </w:rPr>
        <w:t>Derivatives and the price of risk</w:t>
      </w:r>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r w:rsidRPr="00EF0CFB">
        <w:rPr>
          <w:rFonts w:ascii="Times New Roman" w:eastAsia="Times New Roman" w:hAnsi="Times New Roman" w:cs="Times New Roman"/>
          <w:iCs/>
          <w:sz w:val="24"/>
          <w:szCs w:val="24"/>
          <w:lang w:val="en-US" w:eastAsia="pt-BR"/>
        </w:rPr>
        <w:t>Journal of Futures Markets</w:t>
      </w:r>
      <w:r w:rsidRPr="00EF0CFB">
        <w:rPr>
          <w:rFonts w:ascii="Times New Roman" w:eastAsia="Times New Roman" w:hAnsi="Times New Roman" w:cs="Times New Roman"/>
          <w:sz w:val="24"/>
          <w:szCs w:val="24"/>
          <w:lang w:val="en-US" w:eastAsia="pt-BR"/>
        </w:rPr>
        <w:t xml:space="preserve"> 17.7 (1997): 839-854.</w:t>
      </w:r>
    </w:p>
    <w:p w:rsidR="00013AC0" w:rsidRPr="00EF0CFB" w:rsidRDefault="00013AC0" w:rsidP="00A034B7">
      <w:pPr>
        <w:spacing w:after="0" w:line="240" w:lineRule="auto"/>
        <w:rPr>
          <w:rFonts w:ascii="Times New Roman" w:eastAsia="Times New Roman" w:hAnsi="Times New Roman" w:cs="Times New Roman"/>
          <w:sz w:val="24"/>
          <w:szCs w:val="24"/>
          <w:lang w:val="en-US" w:eastAsia="pt-BR"/>
        </w:rPr>
      </w:pPr>
      <w:proofErr w:type="gramStart"/>
      <w:r w:rsidRPr="00EF0CFB">
        <w:rPr>
          <w:rFonts w:ascii="Times New Roman" w:eastAsia="Times New Roman" w:hAnsi="Times New Roman" w:cs="Times New Roman"/>
          <w:sz w:val="24"/>
          <w:szCs w:val="24"/>
          <w:lang w:val="en-US" w:eastAsia="pt-BR"/>
        </w:rPr>
        <w:t xml:space="preserve">Bulow, Jeremy I, and John B. </w:t>
      </w:r>
      <w:proofErr w:type="spellStart"/>
      <w:r w:rsidRPr="00EF0CFB">
        <w:rPr>
          <w:rFonts w:ascii="Times New Roman" w:eastAsia="Times New Roman" w:hAnsi="Times New Roman" w:cs="Times New Roman"/>
          <w:sz w:val="24"/>
          <w:szCs w:val="24"/>
          <w:lang w:val="en-US" w:eastAsia="pt-BR"/>
        </w:rPr>
        <w:t>Shoven</w:t>
      </w:r>
      <w:proofErr w:type="spellEnd"/>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i/>
          <w:sz w:val="24"/>
          <w:szCs w:val="24"/>
          <w:lang w:val="en-US" w:eastAsia="pt-BR"/>
        </w:rPr>
        <w:t>The bankruptcy decision</w:t>
      </w:r>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iCs/>
          <w:sz w:val="24"/>
          <w:szCs w:val="24"/>
          <w:lang w:val="en-US" w:eastAsia="pt-BR"/>
        </w:rPr>
        <w:t>The Bell Journal of Economics</w:t>
      </w:r>
      <w:r w:rsidRPr="00EF0CFB">
        <w:rPr>
          <w:rFonts w:ascii="Times New Roman" w:eastAsia="Times New Roman" w:hAnsi="Times New Roman" w:cs="Times New Roman"/>
          <w:sz w:val="24"/>
          <w:szCs w:val="24"/>
          <w:lang w:val="en-US" w:eastAsia="pt-BR"/>
        </w:rPr>
        <w:t xml:space="preserve"> </w:t>
      </w:r>
      <w:r w:rsidR="006920E0">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sz w:val="24"/>
          <w:szCs w:val="24"/>
          <w:lang w:val="en-US" w:eastAsia="pt-BR"/>
        </w:rPr>
        <w:t>1</w:t>
      </w:r>
      <w:r w:rsidR="00507549">
        <w:rPr>
          <w:rFonts w:ascii="Times New Roman" w:eastAsia="Times New Roman" w:hAnsi="Times New Roman" w:cs="Times New Roman"/>
          <w:sz w:val="24"/>
          <w:szCs w:val="24"/>
          <w:lang w:val="en-US" w:eastAsia="pt-BR"/>
        </w:rPr>
        <w:t>978</w:t>
      </w:r>
      <w:r w:rsidR="006920E0">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sz w:val="24"/>
          <w:szCs w:val="24"/>
          <w:lang w:val="en-US" w:eastAsia="pt-BR"/>
        </w:rPr>
        <w:t>.</w:t>
      </w:r>
      <w:proofErr w:type="gramEnd"/>
    </w:p>
    <w:p w:rsidR="00013AC0" w:rsidRPr="00EF0CFB" w:rsidRDefault="00013AC0" w:rsidP="00A034B7">
      <w:pPr>
        <w:spacing w:after="0" w:line="240" w:lineRule="auto"/>
        <w:jc w:val="both"/>
        <w:rPr>
          <w:rFonts w:ascii="Times New Roman" w:eastAsia="Times New Roman" w:hAnsi="Times New Roman" w:cs="Times New Roman"/>
          <w:sz w:val="24"/>
          <w:szCs w:val="24"/>
          <w:lang w:val="en-US" w:eastAsia="pt-BR"/>
        </w:rPr>
      </w:pPr>
      <w:proofErr w:type="spellStart"/>
      <w:proofErr w:type="gramStart"/>
      <w:r w:rsidRPr="00EF0CFB">
        <w:rPr>
          <w:rFonts w:ascii="Times New Roman" w:eastAsia="Times New Roman" w:hAnsi="Times New Roman" w:cs="Times New Roman"/>
          <w:sz w:val="24"/>
          <w:szCs w:val="24"/>
          <w:lang w:val="en-US" w:eastAsia="pt-BR"/>
        </w:rPr>
        <w:t>Calomiris</w:t>
      </w:r>
      <w:proofErr w:type="spellEnd"/>
      <w:r w:rsidRPr="00EF0CFB">
        <w:rPr>
          <w:rFonts w:ascii="Times New Roman" w:eastAsia="Times New Roman" w:hAnsi="Times New Roman" w:cs="Times New Roman"/>
          <w:sz w:val="24"/>
          <w:szCs w:val="24"/>
          <w:lang w:val="en-US" w:eastAsia="pt-BR"/>
        </w:rPr>
        <w:t>, Charles W., and Richard J. Herring.</w:t>
      </w:r>
      <w:proofErr w:type="gramEnd"/>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i/>
          <w:sz w:val="24"/>
          <w:szCs w:val="24"/>
          <w:lang w:val="en-US" w:eastAsia="pt-BR"/>
        </w:rPr>
        <w:t>Why and how to design a contingent convertible debt requirement.</w:t>
      </w:r>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iCs/>
          <w:sz w:val="24"/>
          <w:szCs w:val="24"/>
          <w:lang w:val="en-US" w:eastAsia="pt-BR"/>
        </w:rPr>
        <w:t>Available at SSRN 1815406</w:t>
      </w:r>
      <w:r w:rsidRPr="00EF0CFB">
        <w:rPr>
          <w:rFonts w:ascii="Times New Roman" w:eastAsia="Times New Roman" w:hAnsi="Times New Roman" w:cs="Times New Roman"/>
          <w:sz w:val="24"/>
          <w:szCs w:val="24"/>
          <w:lang w:val="en-US" w:eastAsia="pt-BR"/>
        </w:rPr>
        <w:t xml:space="preserve"> (2011).</w:t>
      </w:r>
      <w:proofErr w:type="gramEnd"/>
    </w:p>
    <w:p w:rsidR="00013AC0" w:rsidRPr="00EF0CFB" w:rsidRDefault="00013AC0" w:rsidP="00A034B7">
      <w:pPr>
        <w:spacing w:after="0" w:line="240" w:lineRule="auto"/>
        <w:rPr>
          <w:rFonts w:ascii="Times New Roman" w:eastAsia="Times New Roman" w:hAnsi="Times New Roman" w:cs="Times New Roman"/>
          <w:sz w:val="24"/>
          <w:szCs w:val="24"/>
          <w:lang w:val="en-US" w:eastAsia="pt-BR"/>
        </w:rPr>
      </w:pPr>
      <w:proofErr w:type="gramStart"/>
      <w:r w:rsidRPr="00EF0CFB">
        <w:rPr>
          <w:rFonts w:ascii="Times New Roman" w:eastAsia="Times New Roman" w:hAnsi="Times New Roman" w:cs="Times New Roman"/>
          <w:sz w:val="24"/>
          <w:szCs w:val="24"/>
          <w:lang w:val="en-US" w:eastAsia="pt-BR"/>
        </w:rPr>
        <w:t xml:space="preserve">Decamps, Jean-Paul, Jean-Charles </w:t>
      </w:r>
      <w:proofErr w:type="spellStart"/>
      <w:r w:rsidRPr="00EF0CFB">
        <w:rPr>
          <w:rFonts w:ascii="Times New Roman" w:eastAsia="Times New Roman" w:hAnsi="Times New Roman" w:cs="Times New Roman"/>
          <w:sz w:val="24"/>
          <w:szCs w:val="24"/>
          <w:lang w:val="en-US" w:eastAsia="pt-BR"/>
        </w:rPr>
        <w:t>Rochet</w:t>
      </w:r>
      <w:proofErr w:type="spellEnd"/>
      <w:r w:rsidRPr="00EF0CFB">
        <w:rPr>
          <w:rFonts w:ascii="Times New Roman" w:eastAsia="Times New Roman" w:hAnsi="Times New Roman" w:cs="Times New Roman"/>
          <w:sz w:val="24"/>
          <w:szCs w:val="24"/>
          <w:lang w:val="en-US" w:eastAsia="pt-BR"/>
        </w:rPr>
        <w:t xml:space="preserve">, and </w:t>
      </w:r>
      <w:proofErr w:type="spellStart"/>
      <w:r w:rsidRPr="00EF0CFB">
        <w:rPr>
          <w:rFonts w:ascii="Times New Roman" w:eastAsia="Times New Roman" w:hAnsi="Times New Roman" w:cs="Times New Roman"/>
          <w:sz w:val="24"/>
          <w:szCs w:val="24"/>
          <w:lang w:val="en-US" w:eastAsia="pt-BR"/>
        </w:rPr>
        <w:t>Benoı̂t</w:t>
      </w:r>
      <w:proofErr w:type="spellEnd"/>
      <w:r w:rsidRPr="00EF0CFB">
        <w:rPr>
          <w:rFonts w:ascii="Times New Roman" w:eastAsia="Times New Roman" w:hAnsi="Times New Roman" w:cs="Times New Roman"/>
          <w:sz w:val="24"/>
          <w:szCs w:val="24"/>
          <w:lang w:val="en-US" w:eastAsia="pt-BR"/>
        </w:rPr>
        <w:t xml:space="preserve"> Roger.</w:t>
      </w:r>
      <w:proofErr w:type="gramEnd"/>
      <w:r w:rsidRPr="00EF0CFB">
        <w:rPr>
          <w:rFonts w:ascii="Times New Roman" w:eastAsia="Times New Roman" w:hAnsi="Times New Roman" w:cs="Times New Roman"/>
          <w:sz w:val="24"/>
          <w:szCs w:val="24"/>
          <w:lang w:val="en-US" w:eastAsia="pt-BR"/>
        </w:rPr>
        <w:t xml:space="preserve"> "</w:t>
      </w:r>
      <w:r w:rsidRPr="00EF0CFB">
        <w:rPr>
          <w:rFonts w:ascii="Times New Roman" w:eastAsia="Times New Roman" w:hAnsi="Times New Roman" w:cs="Times New Roman"/>
          <w:i/>
          <w:sz w:val="24"/>
          <w:szCs w:val="24"/>
          <w:lang w:val="en-US" w:eastAsia="pt-BR"/>
        </w:rPr>
        <w:t>The three pillars of Basel II: optimizing the mix.</w:t>
      </w:r>
      <w:r w:rsidRPr="00EF0CFB">
        <w:rPr>
          <w:rFonts w:ascii="Times New Roman" w:eastAsia="Times New Roman" w:hAnsi="Times New Roman" w:cs="Times New Roman"/>
          <w:sz w:val="24"/>
          <w:szCs w:val="24"/>
          <w:lang w:val="en-US" w:eastAsia="pt-BR"/>
        </w:rPr>
        <w:t xml:space="preserve">" </w:t>
      </w:r>
      <w:r w:rsidRPr="00EF0CFB">
        <w:rPr>
          <w:rFonts w:ascii="Times New Roman" w:eastAsia="Times New Roman" w:hAnsi="Times New Roman" w:cs="Times New Roman"/>
          <w:iCs/>
          <w:sz w:val="24"/>
          <w:szCs w:val="24"/>
          <w:lang w:val="en-US" w:eastAsia="pt-BR"/>
        </w:rPr>
        <w:t>Journal of Financial Intermediation</w:t>
      </w:r>
      <w:r w:rsidRPr="00EF0CFB">
        <w:rPr>
          <w:rFonts w:ascii="Times New Roman" w:eastAsia="Times New Roman" w:hAnsi="Times New Roman" w:cs="Times New Roman"/>
          <w:sz w:val="24"/>
          <w:szCs w:val="24"/>
          <w:lang w:val="en-US" w:eastAsia="pt-BR"/>
        </w:rPr>
        <w:t xml:space="preserve"> 13.2 (2004): 132-155.</w:t>
      </w:r>
    </w:p>
    <w:p w:rsidR="00013AC0" w:rsidRPr="00EF0CFB" w:rsidRDefault="00013AC0" w:rsidP="00A034B7">
      <w:pPr>
        <w:spacing w:after="0" w:line="240" w:lineRule="auto"/>
        <w:rPr>
          <w:rFonts w:ascii="Times New Roman" w:eastAsia="Times New Roman" w:hAnsi="Times New Roman" w:cs="Times New Roman"/>
          <w:sz w:val="24"/>
          <w:szCs w:val="24"/>
          <w:lang w:val="en-US" w:eastAsia="pt-BR"/>
        </w:rPr>
      </w:pPr>
      <w:r w:rsidRPr="00EF0CFB">
        <w:rPr>
          <w:rFonts w:ascii="Times New Roman" w:eastAsia="Times New Roman" w:hAnsi="Times New Roman" w:cs="Times New Roman"/>
          <w:sz w:val="24"/>
          <w:szCs w:val="24"/>
          <w:lang w:val="en-US" w:eastAsia="pt-BR"/>
        </w:rPr>
        <w:t>D'Souza, Andre, et al. "</w:t>
      </w:r>
      <w:r w:rsidRPr="00EF0CFB">
        <w:rPr>
          <w:rFonts w:ascii="Times New Roman" w:eastAsia="Times New Roman" w:hAnsi="Times New Roman" w:cs="Times New Roman"/>
          <w:i/>
          <w:sz w:val="24"/>
          <w:szCs w:val="24"/>
          <w:lang w:val="en-US" w:eastAsia="pt-BR"/>
        </w:rPr>
        <w:t>Ending Too Big To Fail.</w:t>
      </w:r>
      <w:r w:rsidRPr="00EF0CFB">
        <w:rPr>
          <w:rFonts w:ascii="Times New Roman" w:eastAsia="Times New Roman" w:hAnsi="Times New Roman" w:cs="Times New Roman"/>
          <w:sz w:val="24"/>
          <w:szCs w:val="24"/>
          <w:lang w:val="en-US" w:eastAsia="pt-BR"/>
        </w:rPr>
        <w:t xml:space="preserve">" </w:t>
      </w:r>
      <w:r w:rsidRPr="00EF0CFB">
        <w:rPr>
          <w:rFonts w:ascii="Times New Roman" w:eastAsia="Times New Roman" w:hAnsi="Times New Roman" w:cs="Times New Roman"/>
          <w:iCs/>
          <w:sz w:val="24"/>
          <w:szCs w:val="24"/>
          <w:lang w:val="en-US" w:eastAsia="pt-BR"/>
        </w:rPr>
        <w:t xml:space="preserve">Goldman </w:t>
      </w:r>
      <w:r w:rsidR="006920E0">
        <w:rPr>
          <w:rFonts w:ascii="Times New Roman" w:eastAsia="Times New Roman" w:hAnsi="Times New Roman" w:cs="Times New Roman"/>
          <w:iCs/>
          <w:sz w:val="24"/>
          <w:szCs w:val="24"/>
          <w:lang w:val="en-US" w:eastAsia="pt-BR"/>
        </w:rPr>
        <w:t xml:space="preserve">Sachs Global Markets Institute </w:t>
      </w:r>
      <w:r w:rsidRPr="00EF0CFB">
        <w:rPr>
          <w:rFonts w:ascii="Times New Roman" w:eastAsia="Times New Roman" w:hAnsi="Times New Roman" w:cs="Times New Roman"/>
          <w:sz w:val="24"/>
          <w:szCs w:val="24"/>
          <w:lang w:val="en-US" w:eastAsia="pt-BR"/>
        </w:rPr>
        <w:t>(2009).</w:t>
      </w:r>
    </w:p>
    <w:p w:rsidR="00013AC0" w:rsidRPr="00EF0CFB" w:rsidRDefault="00013AC0" w:rsidP="00A034B7">
      <w:pPr>
        <w:spacing w:after="0" w:line="240" w:lineRule="auto"/>
        <w:jc w:val="both"/>
        <w:rPr>
          <w:rFonts w:ascii="Times New Roman" w:eastAsia="Times New Roman" w:hAnsi="Times New Roman" w:cs="Times New Roman"/>
          <w:sz w:val="24"/>
          <w:szCs w:val="24"/>
          <w:lang w:val="en-US" w:eastAsia="pt-BR"/>
        </w:rPr>
      </w:pPr>
      <w:proofErr w:type="gramStart"/>
      <w:r w:rsidRPr="00EF0CFB">
        <w:rPr>
          <w:rFonts w:ascii="Times New Roman" w:eastAsia="Times New Roman" w:hAnsi="Times New Roman" w:cs="Times New Roman"/>
          <w:sz w:val="24"/>
          <w:szCs w:val="24"/>
          <w:lang w:val="en-US" w:eastAsia="pt-BR"/>
        </w:rPr>
        <w:t xml:space="preserve">Flannery, Mark J., and </w:t>
      </w:r>
      <w:proofErr w:type="spellStart"/>
      <w:r w:rsidRPr="00EF0CFB">
        <w:rPr>
          <w:rFonts w:ascii="Times New Roman" w:eastAsia="Times New Roman" w:hAnsi="Times New Roman" w:cs="Times New Roman"/>
          <w:sz w:val="24"/>
          <w:szCs w:val="24"/>
          <w:lang w:val="en-US" w:eastAsia="pt-BR"/>
        </w:rPr>
        <w:t>Kasturi</w:t>
      </w:r>
      <w:proofErr w:type="spellEnd"/>
      <w:r w:rsidRPr="00EF0CFB">
        <w:rPr>
          <w:rFonts w:ascii="Times New Roman" w:eastAsia="Times New Roman" w:hAnsi="Times New Roman" w:cs="Times New Roman"/>
          <w:sz w:val="24"/>
          <w:szCs w:val="24"/>
          <w:lang w:val="en-US" w:eastAsia="pt-BR"/>
        </w:rPr>
        <w:t xml:space="preserve"> P. </w:t>
      </w:r>
      <w:proofErr w:type="spellStart"/>
      <w:r w:rsidRPr="00EF0CFB">
        <w:rPr>
          <w:rFonts w:ascii="Times New Roman" w:eastAsia="Times New Roman" w:hAnsi="Times New Roman" w:cs="Times New Roman"/>
          <w:sz w:val="24"/>
          <w:szCs w:val="24"/>
          <w:lang w:val="en-US" w:eastAsia="pt-BR"/>
        </w:rPr>
        <w:t>Rangan</w:t>
      </w:r>
      <w:proofErr w:type="spellEnd"/>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r w:rsidRPr="00EF0CFB">
        <w:rPr>
          <w:rFonts w:ascii="Times New Roman" w:eastAsia="Times New Roman" w:hAnsi="Times New Roman" w:cs="Times New Roman"/>
          <w:i/>
          <w:sz w:val="24"/>
          <w:szCs w:val="24"/>
          <w:lang w:val="en-US" w:eastAsia="pt-BR"/>
        </w:rPr>
        <w:t>What caused the bank capital build-up of the 1990s</w:t>
      </w:r>
      <w:proofErr w:type="gramStart"/>
      <w:r w:rsidRPr="00EF0CFB">
        <w:rPr>
          <w:rFonts w:ascii="Times New Roman" w:eastAsia="Times New Roman" w:hAnsi="Times New Roman" w:cs="Times New Roman"/>
          <w:i/>
          <w:sz w:val="24"/>
          <w:szCs w:val="24"/>
          <w:lang w:val="en-US" w:eastAsia="pt-BR"/>
        </w:rPr>
        <w:t>?.</w:t>
      </w:r>
      <w:proofErr w:type="gramEnd"/>
      <w:r w:rsidRPr="00EF0CFB">
        <w:rPr>
          <w:rFonts w:ascii="Times New Roman" w:eastAsia="Times New Roman" w:hAnsi="Times New Roman" w:cs="Times New Roman"/>
          <w:sz w:val="24"/>
          <w:szCs w:val="24"/>
          <w:lang w:val="en-US" w:eastAsia="pt-BR"/>
        </w:rPr>
        <w:t>" Review of Finance 12.2 (2008): 391-429.</w:t>
      </w:r>
    </w:p>
    <w:p w:rsidR="00013AC0" w:rsidRPr="00EF0CFB" w:rsidRDefault="00013AC0" w:rsidP="00A034B7">
      <w:pPr>
        <w:spacing w:after="0" w:line="240" w:lineRule="auto"/>
        <w:jc w:val="both"/>
        <w:rPr>
          <w:rFonts w:ascii="Times New Roman" w:eastAsia="Times New Roman" w:hAnsi="Times New Roman" w:cs="Times New Roman"/>
          <w:sz w:val="24"/>
          <w:szCs w:val="24"/>
          <w:lang w:val="en-US" w:eastAsia="pt-BR"/>
        </w:rPr>
      </w:pPr>
      <w:proofErr w:type="gramStart"/>
      <w:r w:rsidRPr="00EF0CFB">
        <w:rPr>
          <w:rFonts w:ascii="Times New Roman" w:eastAsia="Times New Roman" w:hAnsi="Times New Roman" w:cs="Times New Roman"/>
          <w:sz w:val="24"/>
          <w:szCs w:val="24"/>
          <w:lang w:val="en-US" w:eastAsia="pt-BR"/>
        </w:rPr>
        <w:t>Flannery, Mark J. "</w:t>
      </w:r>
      <w:r w:rsidRPr="00EF0CFB">
        <w:rPr>
          <w:rFonts w:ascii="Times New Roman" w:eastAsia="Times New Roman" w:hAnsi="Times New Roman" w:cs="Times New Roman"/>
          <w:i/>
          <w:sz w:val="24"/>
          <w:szCs w:val="24"/>
          <w:lang w:val="en-US" w:eastAsia="pt-BR"/>
        </w:rPr>
        <w:t>No pain, no gain?</w:t>
      </w:r>
      <w:proofErr w:type="gramEnd"/>
      <w:r w:rsidRPr="00EF0CFB">
        <w:rPr>
          <w:rFonts w:ascii="Times New Roman" w:eastAsia="Times New Roman" w:hAnsi="Times New Roman" w:cs="Times New Roman"/>
          <w:i/>
          <w:sz w:val="24"/>
          <w:szCs w:val="24"/>
          <w:lang w:val="en-US" w:eastAsia="pt-BR"/>
        </w:rPr>
        <w:t xml:space="preserve"> </w:t>
      </w:r>
      <w:proofErr w:type="gramStart"/>
      <w:r w:rsidRPr="00EF0CFB">
        <w:rPr>
          <w:rFonts w:ascii="Times New Roman" w:eastAsia="Times New Roman" w:hAnsi="Times New Roman" w:cs="Times New Roman"/>
          <w:i/>
          <w:sz w:val="24"/>
          <w:szCs w:val="24"/>
          <w:lang w:val="en-US" w:eastAsia="pt-BR"/>
        </w:rPr>
        <w:t>Effecting market discipline via ‘reverse convertible debentures.</w:t>
      </w:r>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Capital Adequacy Beyond Basel: Banking, Securities, and Insurance, HS Scott, </w:t>
      </w:r>
      <w:proofErr w:type="spellStart"/>
      <w:proofErr w:type="gramStart"/>
      <w:r w:rsidRPr="00EF0CFB">
        <w:rPr>
          <w:rFonts w:ascii="Times New Roman" w:eastAsia="Times New Roman" w:hAnsi="Times New Roman" w:cs="Times New Roman"/>
          <w:sz w:val="24"/>
          <w:szCs w:val="24"/>
          <w:lang w:val="en-US" w:eastAsia="pt-BR"/>
        </w:rPr>
        <w:t>ed</w:t>
      </w:r>
      <w:proofErr w:type="spellEnd"/>
      <w:proofErr w:type="gramEnd"/>
      <w:r w:rsidRPr="00EF0CFB">
        <w:rPr>
          <w:rFonts w:ascii="Times New Roman" w:eastAsia="Times New Roman" w:hAnsi="Times New Roman" w:cs="Times New Roman"/>
          <w:sz w:val="24"/>
          <w:szCs w:val="24"/>
          <w:lang w:val="en-US" w:eastAsia="pt-BR"/>
        </w:rPr>
        <w:t xml:space="preserve"> (2005): 171-196.</w:t>
      </w:r>
    </w:p>
    <w:p w:rsidR="00013AC0" w:rsidRPr="00EF0CFB" w:rsidRDefault="00013AC0" w:rsidP="00A034B7">
      <w:pPr>
        <w:spacing w:after="0" w:line="240" w:lineRule="auto"/>
        <w:jc w:val="both"/>
        <w:rPr>
          <w:rFonts w:ascii="Times New Roman" w:eastAsia="Times New Roman" w:hAnsi="Times New Roman" w:cs="Times New Roman"/>
          <w:sz w:val="24"/>
          <w:szCs w:val="24"/>
          <w:lang w:val="en-US" w:eastAsia="pt-BR"/>
        </w:rPr>
      </w:pPr>
      <w:proofErr w:type="spellStart"/>
      <w:proofErr w:type="gramStart"/>
      <w:r w:rsidRPr="00EF0CFB">
        <w:rPr>
          <w:rFonts w:ascii="Times New Roman" w:eastAsia="Times New Roman" w:hAnsi="Times New Roman" w:cs="Times New Roman"/>
          <w:sz w:val="24"/>
          <w:szCs w:val="24"/>
          <w:lang w:val="en-US" w:eastAsia="pt-BR"/>
        </w:rPr>
        <w:t>Glasserman</w:t>
      </w:r>
      <w:proofErr w:type="spellEnd"/>
      <w:r w:rsidRPr="00EF0CFB">
        <w:rPr>
          <w:rFonts w:ascii="Times New Roman" w:eastAsia="Times New Roman" w:hAnsi="Times New Roman" w:cs="Times New Roman"/>
          <w:sz w:val="24"/>
          <w:szCs w:val="24"/>
          <w:lang w:val="en-US" w:eastAsia="pt-BR"/>
        </w:rPr>
        <w:t xml:space="preserve">, Paul, and </w:t>
      </w:r>
      <w:proofErr w:type="spellStart"/>
      <w:r w:rsidRPr="00EF0CFB">
        <w:rPr>
          <w:rFonts w:ascii="Times New Roman" w:eastAsia="Times New Roman" w:hAnsi="Times New Roman" w:cs="Times New Roman"/>
          <w:sz w:val="24"/>
          <w:szCs w:val="24"/>
          <w:lang w:val="en-US" w:eastAsia="pt-BR"/>
        </w:rPr>
        <w:t>Behzad</w:t>
      </w:r>
      <w:proofErr w:type="spellEnd"/>
      <w:r w:rsidRPr="00EF0CFB">
        <w:rPr>
          <w:rFonts w:ascii="Times New Roman" w:eastAsia="Times New Roman" w:hAnsi="Times New Roman" w:cs="Times New Roman"/>
          <w:sz w:val="24"/>
          <w:szCs w:val="24"/>
          <w:lang w:val="en-US" w:eastAsia="pt-BR"/>
        </w:rPr>
        <w:t xml:space="preserve"> </w:t>
      </w:r>
      <w:proofErr w:type="spellStart"/>
      <w:r w:rsidRPr="00EF0CFB">
        <w:rPr>
          <w:rFonts w:ascii="Times New Roman" w:eastAsia="Times New Roman" w:hAnsi="Times New Roman" w:cs="Times New Roman"/>
          <w:sz w:val="24"/>
          <w:szCs w:val="24"/>
          <w:lang w:val="en-US" w:eastAsia="pt-BR"/>
        </w:rPr>
        <w:t>Nouri</w:t>
      </w:r>
      <w:proofErr w:type="spellEnd"/>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i/>
          <w:sz w:val="24"/>
          <w:szCs w:val="24"/>
          <w:lang w:val="en-US" w:eastAsia="pt-BR"/>
        </w:rPr>
        <w:t>Contingent capital with a capital-ratio trigger.</w:t>
      </w:r>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Management Science 58.10 (2012): 1816-1833.</w:t>
      </w:r>
    </w:p>
    <w:p w:rsidR="00013AC0" w:rsidRPr="00EF0CFB" w:rsidRDefault="00013AC0" w:rsidP="00A034B7">
      <w:pPr>
        <w:pStyle w:val="Default"/>
        <w:jc w:val="both"/>
        <w:rPr>
          <w:rFonts w:eastAsia="Times New Roman"/>
          <w:color w:val="auto"/>
          <w:lang w:val="en-US" w:eastAsia="pt-BR"/>
        </w:rPr>
      </w:pPr>
      <w:r w:rsidRPr="00EF0CFB">
        <w:rPr>
          <w:rFonts w:eastAsia="Times New Roman"/>
          <w:i/>
          <w:color w:val="auto"/>
          <w:lang w:val="en-US" w:eastAsia="pt-BR"/>
        </w:rPr>
        <w:t>International Convergence of Capital Measurement and Capital Standards: A Revised Framework</w:t>
      </w:r>
      <w:r w:rsidRPr="00EF0CFB">
        <w:rPr>
          <w:rFonts w:eastAsia="Times New Roman"/>
          <w:color w:val="auto"/>
          <w:lang w:val="en-US" w:eastAsia="pt-BR"/>
        </w:rPr>
        <w:t xml:space="preserve"> – Comprehensive Version, June 2006. </w:t>
      </w:r>
      <w:proofErr w:type="spellStart"/>
      <w:r w:rsidRPr="00EF0CFB">
        <w:rPr>
          <w:rFonts w:eastAsia="Times New Roman"/>
          <w:color w:val="auto"/>
          <w:lang w:val="en-US" w:eastAsia="pt-BR"/>
        </w:rPr>
        <w:t>Disponível</w:t>
      </w:r>
      <w:proofErr w:type="spellEnd"/>
      <w:r w:rsidR="00EF0CFB">
        <w:rPr>
          <w:rFonts w:eastAsia="Times New Roman"/>
          <w:color w:val="auto"/>
          <w:lang w:val="en-US" w:eastAsia="pt-BR"/>
        </w:rPr>
        <w:t xml:space="preserve"> </w:t>
      </w:r>
      <w:proofErr w:type="spellStart"/>
      <w:r w:rsidRPr="00EF0CFB">
        <w:rPr>
          <w:rFonts w:eastAsia="Times New Roman"/>
          <w:color w:val="auto"/>
          <w:lang w:val="en-US" w:eastAsia="pt-BR"/>
        </w:rPr>
        <w:t>em</w:t>
      </w:r>
      <w:proofErr w:type="spellEnd"/>
      <w:r w:rsidRPr="00EF0CFB">
        <w:rPr>
          <w:rFonts w:eastAsia="Times New Roman"/>
          <w:color w:val="auto"/>
          <w:lang w:val="en-US" w:eastAsia="pt-BR"/>
        </w:rPr>
        <w:t xml:space="preserve">: </w:t>
      </w:r>
      <w:hyperlink r:id="rId25" w:history="1">
        <w:r w:rsidRPr="00EF0CFB">
          <w:rPr>
            <w:rFonts w:eastAsia="Times New Roman"/>
            <w:color w:val="auto"/>
            <w:lang w:val="en-US" w:eastAsia="pt-BR"/>
          </w:rPr>
          <w:t>http://www.bis.org/publ/bcbs128.pdf</w:t>
        </w:r>
      </w:hyperlink>
      <w:r w:rsidRPr="00EF0CFB">
        <w:rPr>
          <w:rFonts w:eastAsia="Times New Roman"/>
          <w:color w:val="auto"/>
          <w:lang w:val="en-US" w:eastAsia="pt-BR"/>
        </w:rPr>
        <w:t>.</w:t>
      </w:r>
    </w:p>
    <w:p w:rsidR="00013AC0" w:rsidRPr="00EF0CFB" w:rsidRDefault="00013AC0" w:rsidP="00A034B7">
      <w:pPr>
        <w:spacing w:after="0" w:line="240" w:lineRule="auto"/>
        <w:jc w:val="both"/>
        <w:rPr>
          <w:rFonts w:ascii="Times New Roman" w:eastAsia="Times New Roman" w:hAnsi="Times New Roman" w:cs="Times New Roman"/>
          <w:sz w:val="24"/>
          <w:szCs w:val="24"/>
          <w:lang w:val="en-US" w:eastAsia="pt-BR"/>
        </w:rPr>
      </w:pPr>
      <w:proofErr w:type="spellStart"/>
      <w:proofErr w:type="gramStart"/>
      <w:r w:rsidRPr="00EF0CFB">
        <w:rPr>
          <w:rFonts w:ascii="Times New Roman" w:eastAsia="Times New Roman" w:hAnsi="Times New Roman" w:cs="Times New Roman"/>
          <w:sz w:val="24"/>
          <w:szCs w:val="24"/>
          <w:lang w:val="en-US" w:eastAsia="pt-BR"/>
        </w:rPr>
        <w:t>Koziol</w:t>
      </w:r>
      <w:proofErr w:type="spellEnd"/>
      <w:r w:rsidRPr="00EF0CFB">
        <w:rPr>
          <w:rFonts w:ascii="Times New Roman" w:eastAsia="Times New Roman" w:hAnsi="Times New Roman" w:cs="Times New Roman"/>
          <w:sz w:val="24"/>
          <w:szCs w:val="24"/>
          <w:lang w:val="en-US" w:eastAsia="pt-BR"/>
        </w:rPr>
        <w:t xml:space="preserve">, Christian, and </w:t>
      </w:r>
      <w:proofErr w:type="spellStart"/>
      <w:r w:rsidRPr="00EF0CFB">
        <w:rPr>
          <w:rFonts w:ascii="Times New Roman" w:eastAsia="Times New Roman" w:hAnsi="Times New Roman" w:cs="Times New Roman"/>
          <w:sz w:val="24"/>
          <w:szCs w:val="24"/>
          <w:lang w:val="en-US" w:eastAsia="pt-BR"/>
        </w:rPr>
        <w:t>Jochen</w:t>
      </w:r>
      <w:proofErr w:type="spellEnd"/>
      <w:r w:rsidRPr="00EF0CFB">
        <w:rPr>
          <w:rFonts w:ascii="Times New Roman" w:eastAsia="Times New Roman" w:hAnsi="Times New Roman" w:cs="Times New Roman"/>
          <w:sz w:val="24"/>
          <w:szCs w:val="24"/>
          <w:lang w:val="en-US" w:eastAsia="pt-BR"/>
        </w:rPr>
        <w:t xml:space="preserve"> </w:t>
      </w:r>
      <w:proofErr w:type="spellStart"/>
      <w:r w:rsidRPr="00EF0CFB">
        <w:rPr>
          <w:rFonts w:ascii="Times New Roman" w:eastAsia="Times New Roman" w:hAnsi="Times New Roman" w:cs="Times New Roman"/>
          <w:sz w:val="24"/>
          <w:szCs w:val="24"/>
          <w:lang w:val="en-US" w:eastAsia="pt-BR"/>
        </w:rPr>
        <w:t>Lawrenz</w:t>
      </w:r>
      <w:proofErr w:type="spellEnd"/>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i/>
          <w:sz w:val="24"/>
          <w:szCs w:val="24"/>
          <w:lang w:val="en-US" w:eastAsia="pt-BR"/>
        </w:rPr>
        <w:t>Contingent convertibles.</w:t>
      </w:r>
      <w:proofErr w:type="gramEnd"/>
      <w:r w:rsidRPr="00EF0CFB">
        <w:rPr>
          <w:rFonts w:ascii="Times New Roman" w:eastAsia="Times New Roman" w:hAnsi="Times New Roman" w:cs="Times New Roman"/>
          <w:i/>
          <w:sz w:val="24"/>
          <w:szCs w:val="24"/>
          <w:lang w:val="en-US" w:eastAsia="pt-BR"/>
        </w:rPr>
        <w:t xml:space="preserve"> Solving or seeding the next banking crisis?</w:t>
      </w:r>
      <w:r w:rsidRPr="00EF0CFB">
        <w:rPr>
          <w:rFonts w:ascii="Times New Roman" w:eastAsia="Times New Roman" w:hAnsi="Times New Roman" w:cs="Times New Roman"/>
          <w:sz w:val="24"/>
          <w:szCs w:val="24"/>
          <w:lang w:val="en-US" w:eastAsia="pt-BR"/>
        </w:rPr>
        <w:t>" Journal of Banking &amp; Finance 36.1 (2012): 90-104.</w:t>
      </w:r>
    </w:p>
    <w:p w:rsidR="00013AC0" w:rsidRPr="00EF0CFB" w:rsidRDefault="00013AC0" w:rsidP="00A034B7">
      <w:pPr>
        <w:spacing w:after="0" w:line="240" w:lineRule="auto"/>
        <w:jc w:val="both"/>
        <w:rPr>
          <w:rFonts w:ascii="Times New Roman" w:eastAsia="Times New Roman" w:hAnsi="Times New Roman" w:cs="Times New Roman"/>
          <w:sz w:val="24"/>
          <w:szCs w:val="24"/>
          <w:lang w:eastAsia="pt-BR"/>
        </w:rPr>
      </w:pPr>
      <w:proofErr w:type="spellStart"/>
      <w:proofErr w:type="gramStart"/>
      <w:r w:rsidRPr="00EF0CFB">
        <w:rPr>
          <w:rFonts w:ascii="Times New Roman" w:eastAsia="Times New Roman" w:hAnsi="Times New Roman" w:cs="Times New Roman"/>
          <w:sz w:val="24"/>
          <w:szCs w:val="24"/>
          <w:lang w:val="en-US" w:eastAsia="pt-BR"/>
        </w:rPr>
        <w:t>Kuritzkes</w:t>
      </w:r>
      <w:proofErr w:type="spellEnd"/>
      <w:r w:rsidRPr="00EF0CFB">
        <w:rPr>
          <w:rFonts w:ascii="Times New Roman" w:eastAsia="Times New Roman" w:hAnsi="Times New Roman" w:cs="Times New Roman"/>
          <w:sz w:val="24"/>
          <w:szCs w:val="24"/>
          <w:lang w:val="en-US" w:eastAsia="pt-BR"/>
        </w:rPr>
        <w:t>, Andrew, and Hal Scott.</w:t>
      </w:r>
      <w:proofErr w:type="gramEnd"/>
      <w:r w:rsidRPr="00EF0CFB">
        <w:rPr>
          <w:rFonts w:ascii="Times New Roman" w:eastAsia="Times New Roman" w:hAnsi="Times New Roman" w:cs="Times New Roman"/>
          <w:sz w:val="24"/>
          <w:szCs w:val="24"/>
          <w:lang w:val="en-US" w:eastAsia="pt-BR"/>
        </w:rPr>
        <w:t xml:space="preserve"> "</w:t>
      </w:r>
      <w:r w:rsidRPr="00EF0CFB">
        <w:rPr>
          <w:rFonts w:ascii="Times New Roman" w:eastAsia="Times New Roman" w:hAnsi="Times New Roman" w:cs="Times New Roman"/>
          <w:i/>
          <w:sz w:val="24"/>
          <w:szCs w:val="24"/>
          <w:lang w:val="en-US" w:eastAsia="pt-BR"/>
        </w:rPr>
        <w:t>Markets are the best judge of bank capital.</w:t>
      </w:r>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sz w:val="24"/>
          <w:szCs w:val="24"/>
          <w:lang w:eastAsia="pt-BR"/>
        </w:rPr>
        <w:t>Financial Times</w:t>
      </w:r>
      <w:proofErr w:type="gramEnd"/>
      <w:r w:rsidRPr="00EF0CFB">
        <w:rPr>
          <w:rFonts w:ascii="Times New Roman" w:eastAsia="Times New Roman" w:hAnsi="Times New Roman" w:cs="Times New Roman"/>
          <w:sz w:val="24"/>
          <w:szCs w:val="24"/>
          <w:lang w:eastAsia="pt-BR"/>
        </w:rPr>
        <w:t xml:space="preserve"> (2009).</w:t>
      </w:r>
    </w:p>
    <w:p w:rsidR="00013AC0" w:rsidRPr="008A67A8" w:rsidRDefault="00013AC0" w:rsidP="00A034B7">
      <w:pPr>
        <w:spacing w:after="0" w:line="240" w:lineRule="auto"/>
        <w:jc w:val="both"/>
        <w:rPr>
          <w:rFonts w:ascii="Times New Roman" w:eastAsia="Times New Roman" w:hAnsi="Times New Roman" w:cs="Times New Roman"/>
          <w:sz w:val="24"/>
          <w:szCs w:val="24"/>
          <w:lang w:eastAsia="pt-BR"/>
        </w:rPr>
      </w:pPr>
      <w:r w:rsidRPr="00EF0CFB">
        <w:rPr>
          <w:rFonts w:ascii="Times New Roman" w:eastAsia="Times New Roman" w:hAnsi="Times New Roman" w:cs="Times New Roman"/>
          <w:sz w:val="24"/>
          <w:szCs w:val="24"/>
          <w:lang w:eastAsia="pt-BR"/>
        </w:rPr>
        <w:t xml:space="preserve">Oliveira, Raquel de F., Rafael F. </w:t>
      </w:r>
      <w:proofErr w:type="spellStart"/>
      <w:r w:rsidRPr="00EF0CFB">
        <w:rPr>
          <w:rFonts w:ascii="Times New Roman" w:eastAsia="Times New Roman" w:hAnsi="Times New Roman" w:cs="Times New Roman"/>
          <w:sz w:val="24"/>
          <w:szCs w:val="24"/>
          <w:lang w:eastAsia="pt-BR"/>
        </w:rPr>
        <w:t>Schiozer</w:t>
      </w:r>
      <w:proofErr w:type="spellEnd"/>
      <w:r w:rsidRPr="00EF0CFB">
        <w:rPr>
          <w:rFonts w:ascii="Times New Roman" w:eastAsia="Times New Roman" w:hAnsi="Times New Roman" w:cs="Times New Roman"/>
          <w:sz w:val="24"/>
          <w:szCs w:val="24"/>
          <w:lang w:eastAsia="pt-BR"/>
        </w:rPr>
        <w:t xml:space="preserve">, </w:t>
      </w:r>
      <w:proofErr w:type="spellStart"/>
      <w:r w:rsidRPr="00EF0CFB">
        <w:rPr>
          <w:rFonts w:ascii="Times New Roman" w:eastAsia="Times New Roman" w:hAnsi="Times New Roman" w:cs="Times New Roman"/>
          <w:sz w:val="24"/>
          <w:szCs w:val="24"/>
          <w:lang w:eastAsia="pt-BR"/>
        </w:rPr>
        <w:t>and</w:t>
      </w:r>
      <w:proofErr w:type="spellEnd"/>
      <w:r w:rsidRPr="00EF0CFB">
        <w:rPr>
          <w:rFonts w:ascii="Times New Roman" w:eastAsia="Times New Roman" w:hAnsi="Times New Roman" w:cs="Times New Roman"/>
          <w:sz w:val="24"/>
          <w:szCs w:val="24"/>
          <w:lang w:eastAsia="pt-BR"/>
        </w:rPr>
        <w:t xml:space="preserve"> Lucas AB de C. Barros. </w:t>
      </w:r>
      <w:r w:rsidR="00EF0CFB" w:rsidRP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i/>
          <w:sz w:val="24"/>
          <w:szCs w:val="24"/>
          <w:lang w:val="en-US" w:eastAsia="pt-BR"/>
        </w:rPr>
        <w:t>Too Big to Fail Perception by Depositors: an empirical investigation.</w:t>
      </w:r>
      <w:r w:rsid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sz w:val="24"/>
          <w:szCs w:val="24"/>
          <w:lang w:val="en-US" w:eastAsia="pt-BR"/>
        </w:rPr>
        <w:t xml:space="preserve"> </w:t>
      </w:r>
      <w:r w:rsidRPr="008A67A8">
        <w:rPr>
          <w:rFonts w:ascii="Times New Roman" w:eastAsia="Times New Roman" w:hAnsi="Times New Roman" w:cs="Times New Roman"/>
          <w:sz w:val="24"/>
          <w:szCs w:val="24"/>
          <w:lang w:eastAsia="pt-BR"/>
        </w:rPr>
        <w:t>No. 233. 2011.</w:t>
      </w:r>
    </w:p>
    <w:p w:rsidR="00013AC0" w:rsidRPr="00EF0CFB" w:rsidRDefault="00013AC0" w:rsidP="00A034B7">
      <w:pPr>
        <w:spacing w:after="0" w:line="240" w:lineRule="auto"/>
        <w:jc w:val="both"/>
        <w:rPr>
          <w:rFonts w:ascii="Times New Roman" w:eastAsia="Times New Roman" w:hAnsi="Times New Roman" w:cs="Times New Roman"/>
          <w:sz w:val="24"/>
          <w:szCs w:val="24"/>
          <w:lang w:val="en-US" w:eastAsia="pt-BR"/>
        </w:rPr>
      </w:pPr>
      <w:r w:rsidRPr="00EF0CFB">
        <w:rPr>
          <w:rFonts w:ascii="Times New Roman" w:eastAsia="Times New Roman" w:hAnsi="Times New Roman" w:cs="Times New Roman"/>
          <w:sz w:val="24"/>
          <w:szCs w:val="24"/>
          <w:lang w:eastAsia="pt-BR"/>
        </w:rPr>
        <w:t xml:space="preserve">Oliveira, Raquel, Rafael </w:t>
      </w:r>
      <w:proofErr w:type="spellStart"/>
      <w:r w:rsidRPr="00EF0CFB">
        <w:rPr>
          <w:rFonts w:ascii="Times New Roman" w:eastAsia="Times New Roman" w:hAnsi="Times New Roman" w:cs="Times New Roman"/>
          <w:sz w:val="24"/>
          <w:szCs w:val="24"/>
          <w:lang w:eastAsia="pt-BR"/>
        </w:rPr>
        <w:t>Schiozer</w:t>
      </w:r>
      <w:proofErr w:type="spellEnd"/>
      <w:r w:rsidRPr="00EF0CFB">
        <w:rPr>
          <w:rFonts w:ascii="Times New Roman" w:eastAsia="Times New Roman" w:hAnsi="Times New Roman" w:cs="Times New Roman"/>
          <w:sz w:val="24"/>
          <w:szCs w:val="24"/>
          <w:lang w:eastAsia="pt-BR"/>
        </w:rPr>
        <w:t xml:space="preserve">, </w:t>
      </w:r>
      <w:proofErr w:type="spellStart"/>
      <w:r w:rsidRPr="00EF0CFB">
        <w:rPr>
          <w:rFonts w:ascii="Times New Roman" w:eastAsia="Times New Roman" w:hAnsi="Times New Roman" w:cs="Times New Roman"/>
          <w:sz w:val="24"/>
          <w:szCs w:val="24"/>
          <w:lang w:eastAsia="pt-BR"/>
        </w:rPr>
        <w:t>and</w:t>
      </w:r>
      <w:proofErr w:type="spellEnd"/>
      <w:r w:rsidRPr="00EF0CFB">
        <w:rPr>
          <w:rFonts w:ascii="Times New Roman" w:eastAsia="Times New Roman" w:hAnsi="Times New Roman" w:cs="Times New Roman"/>
          <w:sz w:val="24"/>
          <w:szCs w:val="24"/>
          <w:lang w:eastAsia="pt-BR"/>
        </w:rPr>
        <w:t xml:space="preserve"> Sérgio Leão. </w:t>
      </w:r>
      <w:r w:rsidR="00EF0CFB">
        <w:rPr>
          <w:rFonts w:ascii="Times New Roman" w:eastAsia="Times New Roman" w:hAnsi="Times New Roman" w:cs="Times New Roman"/>
          <w:sz w:val="24"/>
          <w:szCs w:val="24"/>
          <w:lang w:eastAsia="pt-BR"/>
        </w:rPr>
        <w:t>“</w:t>
      </w:r>
      <w:r w:rsidRPr="00EF0CFB">
        <w:rPr>
          <w:rFonts w:ascii="Times New Roman" w:eastAsia="Times New Roman" w:hAnsi="Times New Roman" w:cs="Times New Roman"/>
          <w:i/>
          <w:sz w:val="24"/>
          <w:szCs w:val="24"/>
          <w:lang w:eastAsia="pt-BR"/>
        </w:rPr>
        <w:t>Atuação de Bancos Estrangeiros no Brasil: mercado de crédito e de derivativos de 2005 a 2011.</w:t>
      </w:r>
      <w:r w:rsidR="00EF0CFB">
        <w:rPr>
          <w:rFonts w:ascii="Times New Roman" w:eastAsia="Times New Roman" w:hAnsi="Times New Roman" w:cs="Times New Roman"/>
          <w:sz w:val="24"/>
          <w:szCs w:val="24"/>
          <w:lang w:eastAsia="pt-BR"/>
        </w:rPr>
        <w:t>”</w:t>
      </w:r>
      <w:r w:rsidRPr="00EF0CFB">
        <w:rPr>
          <w:rFonts w:ascii="Times New Roman" w:eastAsia="Times New Roman" w:hAnsi="Times New Roman" w:cs="Times New Roman"/>
          <w:sz w:val="24"/>
          <w:szCs w:val="24"/>
          <w:lang w:eastAsia="pt-BR"/>
        </w:rPr>
        <w:t xml:space="preserve"> </w:t>
      </w:r>
      <w:r w:rsidRPr="00EF0CFB">
        <w:rPr>
          <w:rFonts w:ascii="Times New Roman" w:eastAsia="Times New Roman" w:hAnsi="Times New Roman" w:cs="Times New Roman"/>
          <w:sz w:val="24"/>
          <w:szCs w:val="24"/>
          <w:lang w:val="en-US" w:eastAsia="pt-BR"/>
        </w:rPr>
        <w:t>No. 298. Central Bank of Brazil, Research Department, 2012.</w:t>
      </w:r>
    </w:p>
    <w:p w:rsidR="00013AC0" w:rsidRPr="00EF0CFB" w:rsidRDefault="00013AC0" w:rsidP="00A034B7">
      <w:pPr>
        <w:spacing w:after="0" w:line="240" w:lineRule="auto"/>
        <w:jc w:val="both"/>
        <w:rPr>
          <w:rFonts w:ascii="Times New Roman" w:eastAsia="Times New Roman" w:hAnsi="Times New Roman" w:cs="Times New Roman"/>
          <w:sz w:val="24"/>
          <w:szCs w:val="24"/>
          <w:lang w:val="en-US" w:eastAsia="pt-BR"/>
        </w:rPr>
      </w:pPr>
      <w:proofErr w:type="spellStart"/>
      <w:r w:rsidRPr="00EF0CFB">
        <w:rPr>
          <w:rFonts w:ascii="Times New Roman" w:eastAsia="Times New Roman" w:hAnsi="Times New Roman" w:cs="Times New Roman"/>
          <w:sz w:val="24"/>
          <w:szCs w:val="24"/>
          <w:lang w:val="en-US" w:eastAsia="pt-BR"/>
        </w:rPr>
        <w:t>Pennacchi</w:t>
      </w:r>
      <w:proofErr w:type="spellEnd"/>
      <w:r w:rsidRPr="00EF0CFB">
        <w:rPr>
          <w:rFonts w:ascii="Times New Roman" w:eastAsia="Times New Roman" w:hAnsi="Times New Roman" w:cs="Times New Roman"/>
          <w:sz w:val="24"/>
          <w:szCs w:val="24"/>
          <w:lang w:val="en-US" w:eastAsia="pt-BR"/>
        </w:rPr>
        <w:t>, George.</w:t>
      </w:r>
      <w:r w:rsidR="00EF0CFB">
        <w:rPr>
          <w:rFonts w:ascii="Times New Roman" w:eastAsia="Times New Roman" w:hAnsi="Times New Roman" w:cs="Times New Roman"/>
          <w:sz w:val="24"/>
          <w:szCs w:val="24"/>
          <w:lang w:val="en-US" w:eastAsia="pt-BR"/>
        </w:rPr>
        <w:t xml:space="preserve"> </w:t>
      </w:r>
      <w:proofErr w:type="gramStart"/>
      <w:r w:rsid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i/>
          <w:sz w:val="24"/>
          <w:szCs w:val="24"/>
          <w:lang w:val="en-US" w:eastAsia="pt-BR"/>
        </w:rPr>
        <w:t>A structural mo</w:t>
      </w:r>
      <w:r w:rsidR="00EF0CFB" w:rsidRPr="00EF0CFB">
        <w:rPr>
          <w:rFonts w:ascii="Times New Roman" w:eastAsia="Times New Roman" w:hAnsi="Times New Roman" w:cs="Times New Roman"/>
          <w:i/>
          <w:sz w:val="24"/>
          <w:szCs w:val="24"/>
          <w:lang w:val="en-US" w:eastAsia="pt-BR"/>
        </w:rPr>
        <w:t>del of contingent bank capital</w:t>
      </w:r>
      <w:r w:rsidR="00EF0CFB">
        <w:rPr>
          <w:rFonts w:ascii="Times New Roman" w:eastAsia="Times New Roman" w:hAnsi="Times New Roman" w:cs="Times New Roman"/>
          <w:sz w:val="24"/>
          <w:szCs w:val="24"/>
          <w:lang w:val="en-US" w:eastAsia="pt-BR"/>
        </w:rPr>
        <w:t>.”</w:t>
      </w:r>
      <w:proofErr w:type="gramEnd"/>
      <w:r w:rsidR="00EF0CFB">
        <w:rPr>
          <w:rFonts w:ascii="Times New Roman" w:eastAsia="Times New Roman" w:hAnsi="Times New Roman" w:cs="Times New Roman"/>
          <w:sz w:val="24"/>
          <w:szCs w:val="24"/>
          <w:lang w:val="en-US" w:eastAsia="pt-BR"/>
        </w:rPr>
        <w:t xml:space="preserve"> </w:t>
      </w:r>
      <w:proofErr w:type="gramStart"/>
      <w:r w:rsidR="00EF0CFB">
        <w:rPr>
          <w:rFonts w:ascii="Times New Roman" w:eastAsia="Times New Roman" w:hAnsi="Times New Roman" w:cs="Times New Roman"/>
          <w:sz w:val="24"/>
          <w:szCs w:val="24"/>
          <w:lang w:val="en-US" w:eastAsia="pt-BR"/>
        </w:rPr>
        <w:t>W</w:t>
      </w:r>
      <w:r w:rsidRPr="00EF0CFB">
        <w:rPr>
          <w:rFonts w:ascii="Times New Roman" w:eastAsia="Times New Roman" w:hAnsi="Times New Roman" w:cs="Times New Roman"/>
          <w:sz w:val="24"/>
          <w:szCs w:val="24"/>
          <w:lang w:val="en-US" w:eastAsia="pt-BR"/>
        </w:rPr>
        <w:t>orking paper, University of Illinois at Urbana-Champaign, 2010.</w:t>
      </w:r>
      <w:proofErr w:type="gramEnd"/>
    </w:p>
    <w:p w:rsidR="00013AC0" w:rsidRPr="00EF0CFB" w:rsidRDefault="00013AC0" w:rsidP="00A034B7">
      <w:pPr>
        <w:spacing w:after="0" w:line="240" w:lineRule="auto"/>
        <w:jc w:val="both"/>
        <w:rPr>
          <w:rFonts w:ascii="Times New Roman" w:eastAsia="Times New Roman" w:hAnsi="Times New Roman" w:cs="Times New Roman"/>
          <w:sz w:val="24"/>
          <w:szCs w:val="24"/>
          <w:lang w:val="en-US" w:eastAsia="pt-BR"/>
        </w:rPr>
      </w:pPr>
      <w:proofErr w:type="spellStart"/>
      <w:proofErr w:type="gramStart"/>
      <w:r w:rsidRPr="00EF0CFB">
        <w:rPr>
          <w:rFonts w:ascii="Times New Roman" w:eastAsia="Times New Roman" w:hAnsi="Times New Roman" w:cs="Times New Roman"/>
          <w:sz w:val="24"/>
          <w:szCs w:val="24"/>
          <w:lang w:val="en-US" w:eastAsia="pt-BR"/>
        </w:rPr>
        <w:t>Peura</w:t>
      </w:r>
      <w:proofErr w:type="spellEnd"/>
      <w:r w:rsidRPr="00EF0CFB">
        <w:rPr>
          <w:rFonts w:ascii="Times New Roman" w:eastAsia="Times New Roman" w:hAnsi="Times New Roman" w:cs="Times New Roman"/>
          <w:sz w:val="24"/>
          <w:szCs w:val="24"/>
          <w:lang w:val="en-US" w:eastAsia="pt-BR"/>
        </w:rPr>
        <w:t xml:space="preserve">, </w:t>
      </w:r>
      <w:proofErr w:type="spellStart"/>
      <w:r w:rsidRPr="00EF0CFB">
        <w:rPr>
          <w:rFonts w:ascii="Times New Roman" w:eastAsia="Times New Roman" w:hAnsi="Times New Roman" w:cs="Times New Roman"/>
          <w:sz w:val="24"/>
          <w:szCs w:val="24"/>
          <w:lang w:val="en-US" w:eastAsia="pt-BR"/>
        </w:rPr>
        <w:t>Samu</w:t>
      </w:r>
      <w:proofErr w:type="spellEnd"/>
      <w:r w:rsidRPr="00EF0CFB">
        <w:rPr>
          <w:rFonts w:ascii="Times New Roman" w:eastAsia="Times New Roman" w:hAnsi="Times New Roman" w:cs="Times New Roman"/>
          <w:sz w:val="24"/>
          <w:szCs w:val="24"/>
          <w:lang w:val="en-US" w:eastAsia="pt-BR"/>
        </w:rPr>
        <w:t xml:space="preserve">, and </w:t>
      </w:r>
      <w:proofErr w:type="spellStart"/>
      <w:r w:rsidRPr="00EF0CFB">
        <w:rPr>
          <w:rFonts w:ascii="Times New Roman" w:eastAsia="Times New Roman" w:hAnsi="Times New Roman" w:cs="Times New Roman"/>
          <w:sz w:val="24"/>
          <w:szCs w:val="24"/>
          <w:lang w:val="en-US" w:eastAsia="pt-BR"/>
        </w:rPr>
        <w:t>Jussi</w:t>
      </w:r>
      <w:proofErr w:type="spellEnd"/>
      <w:r w:rsidRPr="00EF0CFB">
        <w:rPr>
          <w:rFonts w:ascii="Times New Roman" w:eastAsia="Times New Roman" w:hAnsi="Times New Roman" w:cs="Times New Roman"/>
          <w:sz w:val="24"/>
          <w:szCs w:val="24"/>
          <w:lang w:val="en-US" w:eastAsia="pt-BR"/>
        </w:rPr>
        <w:t xml:space="preserve"> </w:t>
      </w:r>
      <w:proofErr w:type="spellStart"/>
      <w:r w:rsidRPr="00EF0CFB">
        <w:rPr>
          <w:rFonts w:ascii="Times New Roman" w:eastAsia="Times New Roman" w:hAnsi="Times New Roman" w:cs="Times New Roman"/>
          <w:sz w:val="24"/>
          <w:szCs w:val="24"/>
          <w:lang w:val="en-US" w:eastAsia="pt-BR"/>
        </w:rPr>
        <w:t>Keppo</w:t>
      </w:r>
      <w:proofErr w:type="spellEnd"/>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i/>
          <w:sz w:val="24"/>
          <w:szCs w:val="24"/>
          <w:lang w:val="en-US" w:eastAsia="pt-BR"/>
        </w:rPr>
        <w:t>Optimal bank capital with costly recapitalization.</w:t>
      </w:r>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proofErr w:type="gramStart"/>
      <w:r w:rsidRPr="00EF0CFB">
        <w:rPr>
          <w:rFonts w:ascii="Times New Roman" w:eastAsia="Times New Roman" w:hAnsi="Times New Roman" w:cs="Times New Roman"/>
          <w:sz w:val="24"/>
          <w:szCs w:val="24"/>
          <w:lang w:val="en-US" w:eastAsia="pt-BR"/>
        </w:rPr>
        <w:t>AFA 2005 Philadelphia Meetings.</w:t>
      </w:r>
      <w:proofErr w:type="gramEnd"/>
      <w:r w:rsidRPr="00EF0CFB">
        <w:rPr>
          <w:rFonts w:ascii="Times New Roman" w:eastAsia="Times New Roman" w:hAnsi="Times New Roman" w:cs="Times New Roman"/>
          <w:sz w:val="24"/>
          <w:szCs w:val="24"/>
          <w:lang w:val="en-US" w:eastAsia="pt-BR"/>
        </w:rPr>
        <w:t xml:space="preserve"> 2005.</w:t>
      </w:r>
    </w:p>
    <w:p w:rsidR="00013AC0" w:rsidRPr="00583892" w:rsidRDefault="00013AC0" w:rsidP="00A034B7">
      <w:pPr>
        <w:spacing w:after="0" w:line="240" w:lineRule="auto"/>
        <w:jc w:val="both"/>
        <w:rPr>
          <w:rFonts w:ascii="Times New Roman" w:eastAsiaTheme="minorEastAsia" w:hAnsi="Times New Roman" w:cs="Times New Roman"/>
          <w:sz w:val="24"/>
          <w:szCs w:val="24"/>
          <w:lang w:eastAsia="pt-BR"/>
        </w:rPr>
      </w:pPr>
      <w:proofErr w:type="spellStart"/>
      <w:r w:rsidRPr="00EF0CFB">
        <w:rPr>
          <w:rFonts w:ascii="Times New Roman" w:eastAsia="Times New Roman" w:hAnsi="Times New Roman" w:cs="Times New Roman"/>
          <w:sz w:val="24"/>
          <w:szCs w:val="24"/>
          <w:lang w:val="en-US" w:eastAsia="pt-BR"/>
        </w:rPr>
        <w:t>VanHoose</w:t>
      </w:r>
      <w:proofErr w:type="spellEnd"/>
      <w:r w:rsidRPr="00EF0CFB">
        <w:rPr>
          <w:rFonts w:ascii="Times New Roman" w:eastAsia="Times New Roman" w:hAnsi="Times New Roman" w:cs="Times New Roman"/>
          <w:sz w:val="24"/>
          <w:szCs w:val="24"/>
          <w:lang w:val="en-US" w:eastAsia="pt-BR"/>
        </w:rPr>
        <w:t xml:space="preserve">, David. </w:t>
      </w:r>
      <w:proofErr w:type="gramStart"/>
      <w:r w:rsidRPr="00EF0CFB">
        <w:rPr>
          <w:rFonts w:ascii="Times New Roman" w:eastAsia="Times New Roman" w:hAnsi="Times New Roman" w:cs="Times New Roman"/>
          <w:sz w:val="24"/>
          <w:szCs w:val="24"/>
          <w:lang w:val="en-US" w:eastAsia="pt-BR"/>
        </w:rPr>
        <w:t>"</w:t>
      </w:r>
      <w:r w:rsidRPr="00EF0CFB">
        <w:rPr>
          <w:rFonts w:ascii="Times New Roman" w:eastAsia="Times New Roman" w:hAnsi="Times New Roman" w:cs="Times New Roman"/>
          <w:i/>
          <w:sz w:val="24"/>
          <w:szCs w:val="24"/>
          <w:lang w:val="en-US" w:eastAsia="pt-BR"/>
        </w:rPr>
        <w:t>Theories of bank behavior under capital regulation</w:t>
      </w:r>
      <w:r w:rsidRPr="00EF0CFB">
        <w:rPr>
          <w:rFonts w:ascii="Times New Roman" w:eastAsia="Times New Roman" w:hAnsi="Times New Roman" w:cs="Times New Roman"/>
          <w:sz w:val="24"/>
          <w:szCs w:val="24"/>
          <w:lang w:val="en-US" w:eastAsia="pt-BR"/>
        </w:rPr>
        <w:t>."</w:t>
      </w:r>
      <w:proofErr w:type="gramEnd"/>
      <w:r w:rsidRPr="00EF0CFB">
        <w:rPr>
          <w:rFonts w:ascii="Times New Roman" w:eastAsia="Times New Roman" w:hAnsi="Times New Roman" w:cs="Times New Roman"/>
          <w:sz w:val="24"/>
          <w:szCs w:val="24"/>
          <w:lang w:val="en-US" w:eastAsia="pt-BR"/>
        </w:rPr>
        <w:t xml:space="preserve"> </w:t>
      </w:r>
      <w:proofErr w:type="spellStart"/>
      <w:r w:rsidRPr="00583892">
        <w:rPr>
          <w:rFonts w:ascii="Times New Roman" w:eastAsia="Times New Roman" w:hAnsi="Times New Roman" w:cs="Times New Roman"/>
          <w:sz w:val="24"/>
          <w:szCs w:val="24"/>
          <w:lang w:eastAsia="pt-BR"/>
        </w:rPr>
        <w:t>Journal</w:t>
      </w:r>
      <w:proofErr w:type="spellEnd"/>
      <w:r w:rsidRPr="00583892">
        <w:rPr>
          <w:rFonts w:ascii="Times New Roman" w:eastAsia="Times New Roman" w:hAnsi="Times New Roman" w:cs="Times New Roman"/>
          <w:sz w:val="24"/>
          <w:szCs w:val="24"/>
          <w:lang w:eastAsia="pt-BR"/>
        </w:rPr>
        <w:t xml:space="preserve"> </w:t>
      </w:r>
      <w:proofErr w:type="spellStart"/>
      <w:r w:rsidRPr="00583892">
        <w:rPr>
          <w:rFonts w:ascii="Times New Roman" w:eastAsia="Times New Roman" w:hAnsi="Times New Roman" w:cs="Times New Roman"/>
          <w:sz w:val="24"/>
          <w:szCs w:val="24"/>
          <w:lang w:eastAsia="pt-BR"/>
        </w:rPr>
        <w:t>of</w:t>
      </w:r>
      <w:proofErr w:type="spellEnd"/>
      <w:r w:rsidRPr="00583892">
        <w:rPr>
          <w:rFonts w:ascii="Times New Roman" w:eastAsia="Times New Roman" w:hAnsi="Times New Roman" w:cs="Times New Roman"/>
          <w:sz w:val="24"/>
          <w:szCs w:val="24"/>
          <w:lang w:eastAsia="pt-BR"/>
        </w:rPr>
        <w:t xml:space="preserve"> Banking &amp; </w:t>
      </w:r>
      <w:proofErr w:type="spellStart"/>
      <w:r w:rsidRPr="00583892">
        <w:rPr>
          <w:rFonts w:ascii="Times New Roman" w:eastAsia="Times New Roman" w:hAnsi="Times New Roman" w:cs="Times New Roman"/>
          <w:sz w:val="24"/>
          <w:szCs w:val="24"/>
          <w:lang w:eastAsia="pt-BR"/>
        </w:rPr>
        <w:t>Finance</w:t>
      </w:r>
      <w:proofErr w:type="spellEnd"/>
      <w:r w:rsidRPr="00583892">
        <w:rPr>
          <w:rFonts w:ascii="Times New Roman" w:eastAsia="Times New Roman" w:hAnsi="Times New Roman" w:cs="Times New Roman"/>
          <w:sz w:val="24"/>
          <w:szCs w:val="24"/>
          <w:lang w:eastAsia="pt-BR"/>
        </w:rPr>
        <w:t xml:space="preserve"> 31.12 (2007): 3680-3697.</w:t>
      </w:r>
    </w:p>
    <w:sectPr w:rsidR="00013AC0" w:rsidRPr="00583892" w:rsidSect="009777BD">
      <w:headerReference w:type="default" r:id="rId26"/>
      <w:pgSz w:w="11906" w:h="16838"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FF9" w:rsidRDefault="00445FF9" w:rsidP="00AB0875">
      <w:pPr>
        <w:spacing w:after="0" w:line="240" w:lineRule="auto"/>
      </w:pPr>
      <w:r>
        <w:separator/>
      </w:r>
    </w:p>
  </w:endnote>
  <w:endnote w:type="continuationSeparator" w:id="0">
    <w:p w:rsidR="00445FF9" w:rsidRDefault="00445FF9" w:rsidP="00AB0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FF9" w:rsidRDefault="00445FF9" w:rsidP="00AB0875">
      <w:pPr>
        <w:spacing w:after="0" w:line="240" w:lineRule="auto"/>
      </w:pPr>
      <w:r>
        <w:separator/>
      </w:r>
    </w:p>
  </w:footnote>
  <w:footnote w:type="continuationSeparator" w:id="0">
    <w:p w:rsidR="00445FF9" w:rsidRDefault="00445FF9" w:rsidP="00AB0875">
      <w:pPr>
        <w:spacing w:after="0" w:line="240" w:lineRule="auto"/>
      </w:pPr>
      <w:r>
        <w:continuationSeparator/>
      </w:r>
    </w:p>
  </w:footnote>
  <w:footnote w:id="1">
    <w:p w:rsidR="00BA5AEF" w:rsidRDefault="00BA5AEF">
      <w:pPr>
        <w:pStyle w:val="Textodenotaderodap"/>
      </w:pPr>
      <w:r>
        <w:rPr>
          <w:rStyle w:val="Refdenotaderodap"/>
        </w:rPr>
        <w:footnoteRef/>
      </w:r>
      <w:r>
        <w:t xml:space="preserve"> A versão completa deste trabalho, com todas a provas e programas em </w:t>
      </w:r>
      <w:proofErr w:type="spellStart"/>
      <w:proofErr w:type="gramStart"/>
      <w:r>
        <w:t>MatLab</w:t>
      </w:r>
      <w:proofErr w:type="spellEnd"/>
      <w:proofErr w:type="gramEnd"/>
      <w:r>
        <w:t xml:space="preserve"> pode ser disponibilizado por solicitação.</w:t>
      </w:r>
    </w:p>
  </w:footnote>
  <w:footnote w:id="2">
    <w:p w:rsidR="00BA5AEF" w:rsidRPr="00EF3690" w:rsidRDefault="00BA5AEF">
      <w:pPr>
        <w:pStyle w:val="Textodenotaderodap"/>
      </w:pPr>
      <w:r>
        <w:rPr>
          <w:rStyle w:val="Refdenotaderodap"/>
        </w:rPr>
        <w:footnoteRef/>
      </w:r>
      <w:r>
        <w:t xml:space="preserve"> Analista de Riscos no Itaú Unibanco. </w:t>
      </w:r>
      <w:proofErr w:type="spellStart"/>
      <w:r w:rsidRPr="00EF3690">
        <w:t>Email</w:t>
      </w:r>
      <w:proofErr w:type="spellEnd"/>
      <w:r w:rsidRPr="00EF3690">
        <w:t xml:space="preserve">: </w:t>
      </w:r>
      <w:hyperlink r:id="rId1" w:history="1">
        <w:r w:rsidRPr="00EF3690">
          <w:rPr>
            <w:rStyle w:val="Hyperlink"/>
            <w:rFonts w:asciiTheme="minorHAnsi" w:hAnsiTheme="minorHAnsi"/>
            <w:sz w:val="20"/>
            <w:szCs w:val="20"/>
          </w:rPr>
          <w:t>karinagoes@uol.com.br</w:t>
        </w:r>
      </w:hyperlink>
    </w:p>
  </w:footnote>
  <w:footnote w:id="3">
    <w:p w:rsidR="00EF3690" w:rsidRDefault="00EF3690" w:rsidP="00EF3690">
      <w:pPr>
        <w:pStyle w:val="Textodenotaderodap"/>
      </w:pPr>
      <w:r>
        <w:rPr>
          <w:rStyle w:val="Refdenotaderodap"/>
        </w:rPr>
        <w:footnoteRef/>
      </w:r>
      <w:r>
        <w:t xml:space="preserve"> Prof. Dr.</w:t>
      </w:r>
      <w:r w:rsidR="00A25E45">
        <w:t xml:space="preserve"> </w:t>
      </w:r>
      <w:proofErr w:type="spellStart"/>
      <w:r w:rsidR="00A25E45" w:rsidRPr="00A25E45">
        <w:t>Hsia</w:t>
      </w:r>
      <w:proofErr w:type="spellEnd"/>
      <w:r w:rsidR="00A25E45" w:rsidRPr="00A25E45">
        <w:t xml:space="preserve"> </w:t>
      </w:r>
      <w:proofErr w:type="spellStart"/>
      <w:r w:rsidR="00A25E45" w:rsidRPr="00A25E45">
        <w:t>Hua</w:t>
      </w:r>
      <w:proofErr w:type="spellEnd"/>
      <w:r w:rsidR="00A25E45" w:rsidRPr="00A25E45">
        <w:t xml:space="preserve"> </w:t>
      </w:r>
      <w:proofErr w:type="spellStart"/>
      <w:r w:rsidR="00A25E45" w:rsidRPr="00A25E45">
        <w:t>Sheng</w:t>
      </w:r>
      <w:proofErr w:type="spellEnd"/>
      <w:r>
        <w:t xml:space="preserve"> da Fundação Getúlio Vargas. </w:t>
      </w:r>
    </w:p>
  </w:footnote>
  <w:footnote w:id="4">
    <w:p w:rsidR="00BA5AEF" w:rsidRDefault="00BA5AEF">
      <w:pPr>
        <w:pStyle w:val="Textodenotaderodap"/>
      </w:pPr>
      <w:r>
        <w:rPr>
          <w:rStyle w:val="Refdenotaderodap"/>
        </w:rPr>
        <w:footnoteRef/>
      </w:r>
      <w:r>
        <w:t xml:space="preserve"> Prof. Dr. </w:t>
      </w:r>
      <w:r w:rsidR="00A25E45" w:rsidRPr="00A25E45">
        <w:t>Rafael Schiozer</w:t>
      </w:r>
      <w:r w:rsidR="00A25E45">
        <w:t xml:space="preserve"> </w:t>
      </w:r>
      <w:r>
        <w:t xml:space="preserve">da Fundação Getúlio Vargas. </w:t>
      </w:r>
      <w:bookmarkStart w:id="0" w:name="_GoBack"/>
      <w:bookmarkEnd w:id="0"/>
    </w:p>
  </w:footnote>
  <w:footnote w:id="5">
    <w:p w:rsidR="00BA5AEF" w:rsidRDefault="00BA5AEF">
      <w:pPr>
        <w:pStyle w:val="Textodenotaderodap"/>
      </w:pPr>
      <w:r>
        <w:rPr>
          <w:rStyle w:val="Refdenotaderodap"/>
        </w:rPr>
        <w:footnoteRef/>
      </w:r>
      <w:r>
        <w:t xml:space="preserve"> </w:t>
      </w:r>
      <w:r w:rsidRPr="00FE48FB">
        <w:rPr>
          <w:rFonts w:ascii="Times New Roman" w:hAnsi="Times New Roman" w:cs="Times New Roman"/>
        </w:rPr>
        <w:t>Consolidado Financeiro I – Instituições Financeiras independente do tipo Banco Comercial ou Múltiplo com carteira comercial ou Caixa Econômica Federal ou Conglomerado do tipo Banco Comercial ou Múltiplo com carteira comercial. (Fonte: BACEN. 50 maiores bancos e o consolidado do Sistema Financeiro Nacional. Dispo</w:t>
      </w:r>
      <w:r>
        <w:rPr>
          <w:rFonts w:ascii="Times New Roman" w:hAnsi="Times New Roman" w:cs="Times New Roman"/>
        </w:rPr>
        <w:t xml:space="preserve">nível </w:t>
      </w:r>
      <w:r w:rsidRPr="00FE48FB">
        <w:rPr>
          <w:rFonts w:ascii="Times New Roman" w:hAnsi="Times New Roman" w:cs="Times New Roman"/>
        </w:rPr>
        <w:t xml:space="preserve">em </w:t>
      </w:r>
      <w:hyperlink r:id="rId2" w:history="1">
        <w:r w:rsidRPr="00FE48FB">
          <w:rPr>
            <w:rStyle w:val="Hyperlink"/>
            <w:rFonts w:ascii="Times New Roman" w:hAnsi="Times New Roman" w:cs="Times New Roman"/>
            <w:sz w:val="20"/>
            <w:szCs w:val="20"/>
          </w:rPr>
          <w:t>http://www4.bcb.gov.br/top50/port/esc_met.asp</w:t>
        </w:r>
      </w:hyperlink>
      <w:r w:rsidRPr="00FE48FB">
        <w:rPr>
          <w:rFonts w:ascii="Times New Roman" w:hAnsi="Times New Roman" w:cs="Times New Roman"/>
        </w:rPr>
        <w:t xml:space="preserve">. Acesso em </w:t>
      </w:r>
      <w:proofErr w:type="gramStart"/>
      <w:r w:rsidRPr="00FE48FB">
        <w:rPr>
          <w:rFonts w:ascii="Times New Roman" w:hAnsi="Times New Roman" w:cs="Times New Roman"/>
        </w:rPr>
        <w:t>10 maio 2014</w:t>
      </w:r>
      <w:proofErr w:type="gramEnd"/>
      <w:r w:rsidRPr="00FE48FB">
        <w:rPr>
          <w:rFonts w:ascii="Times New Roman" w:hAnsi="Times New Roman" w:cs="Times New Roman"/>
        </w:rPr>
        <w:t>.</w:t>
      </w:r>
    </w:p>
  </w:footnote>
  <w:footnote w:id="6">
    <w:p w:rsidR="00BA5AEF" w:rsidRPr="00E82DF0" w:rsidRDefault="00BA5AEF">
      <w:pPr>
        <w:pStyle w:val="Textodenotaderodap"/>
        <w:rPr>
          <w:rFonts w:ascii="Times New Roman" w:hAnsi="Times New Roman" w:cs="Times New Roman"/>
        </w:rPr>
      </w:pPr>
      <w:r>
        <w:rPr>
          <w:rStyle w:val="Refdenotaderodap"/>
        </w:rPr>
        <w:footnoteRef/>
      </w:r>
      <w:r>
        <w:t xml:space="preserve"> Fonte: </w:t>
      </w:r>
      <w:r w:rsidRPr="00FE48FB">
        <w:rPr>
          <w:rFonts w:ascii="Times New Roman" w:hAnsi="Times New Roman" w:cs="Times New Roman"/>
        </w:rPr>
        <w:t xml:space="preserve">BACEN. 50 maiores bancos e o consolidado do </w:t>
      </w:r>
      <w:r>
        <w:rPr>
          <w:rFonts w:ascii="Times New Roman" w:hAnsi="Times New Roman" w:cs="Times New Roman"/>
        </w:rPr>
        <w:t>SFN</w:t>
      </w:r>
      <w:r w:rsidRPr="00FE48FB">
        <w:rPr>
          <w:rFonts w:ascii="Times New Roman" w:hAnsi="Times New Roman" w:cs="Times New Roman"/>
        </w:rPr>
        <w:t>. Dispo</w:t>
      </w:r>
      <w:r>
        <w:rPr>
          <w:rFonts w:ascii="Times New Roman" w:hAnsi="Times New Roman" w:cs="Times New Roman"/>
        </w:rPr>
        <w:t xml:space="preserve">nível </w:t>
      </w:r>
      <w:r w:rsidRPr="00FE48FB">
        <w:rPr>
          <w:rFonts w:ascii="Times New Roman" w:hAnsi="Times New Roman" w:cs="Times New Roman"/>
        </w:rPr>
        <w:t xml:space="preserve">em </w:t>
      </w:r>
      <w:hyperlink r:id="rId3" w:history="1">
        <w:r w:rsidRPr="005378A0">
          <w:rPr>
            <w:rStyle w:val="Hyperlink"/>
            <w:rFonts w:ascii="Times New Roman" w:hAnsi="Times New Roman" w:cs="Times New Roman"/>
          </w:rPr>
          <w:t>http://www4.bcb.gov.br/top50/port/top50.asp</w:t>
        </w:r>
      </w:hyperlink>
      <w:r>
        <w:rPr>
          <w:rFonts w:ascii="Times New Roman" w:hAnsi="Times New Roman" w:cs="Times New Roman"/>
        </w:rPr>
        <w:t>.</w:t>
      </w:r>
      <w:r w:rsidRPr="00FE48FB">
        <w:rPr>
          <w:rFonts w:ascii="Times New Roman" w:hAnsi="Times New Roman" w:cs="Times New Roman"/>
        </w:rPr>
        <w:t xml:space="preserve"> </w:t>
      </w:r>
    </w:p>
  </w:footnote>
  <w:footnote w:id="7">
    <w:p w:rsidR="00BA5AEF" w:rsidRDefault="00BA5AEF" w:rsidP="003C0DD1">
      <w:pPr>
        <w:pStyle w:val="Textodenotaderodap"/>
      </w:pPr>
      <w:r>
        <w:rPr>
          <w:rStyle w:val="Refdenotaderodap"/>
        </w:rPr>
        <w:footnoteRef/>
      </w:r>
      <w:r>
        <w:t xml:space="preserve"> Fonte: Relatório de Estabilidade Financeira – março 2014. </w:t>
      </w:r>
      <w:r w:rsidRPr="000910A2">
        <w:t>http://www.bcb.gov.br/?</w:t>
      </w:r>
      <w:proofErr w:type="gramStart"/>
      <w:r w:rsidRPr="000910A2">
        <w:t>relestab</w:t>
      </w:r>
      <w:proofErr w:type="gramEnd"/>
    </w:p>
  </w:footnote>
  <w:footnote w:id="8">
    <w:p w:rsidR="00BA5AEF" w:rsidRDefault="00BA5AEF" w:rsidP="003C0DD1">
      <w:pPr>
        <w:pStyle w:val="Textodenotaderodap"/>
      </w:pPr>
      <w:r>
        <w:rPr>
          <w:rStyle w:val="Refdenotaderodap"/>
        </w:rPr>
        <w:footnoteRef/>
      </w:r>
      <w:r>
        <w:t xml:space="preserve"> Fonte: Relatório TOP 50 do </w:t>
      </w:r>
      <w:proofErr w:type="gramStart"/>
      <w:r>
        <w:t>Bacen</w:t>
      </w:r>
      <w:proofErr w:type="gramEnd"/>
      <w:r>
        <w:t xml:space="preserve"> - dezembro 2013. </w:t>
      </w:r>
      <w:hyperlink r:id="rId4" w:history="1">
        <w:r w:rsidRPr="00D17954">
          <w:rPr>
            <w:rStyle w:val="Hyperlink"/>
            <w:rFonts w:asciiTheme="minorHAnsi" w:hAnsiTheme="minorHAnsi"/>
            <w:sz w:val="20"/>
            <w:szCs w:val="20"/>
          </w:rPr>
          <w:t>http://www4.bcb.gov.br/top50/port/top50.asp</w:t>
        </w:r>
      </w:hyperlink>
    </w:p>
  </w:footnote>
  <w:footnote w:id="9">
    <w:p w:rsidR="00BA5AEF" w:rsidRDefault="00BA5AEF" w:rsidP="000B6786">
      <w:pPr>
        <w:pStyle w:val="Textodenotaderodap"/>
      </w:pPr>
      <w:r>
        <w:rPr>
          <w:rStyle w:val="Refdenotaderodap"/>
        </w:rPr>
        <w:footnoteRef/>
      </w:r>
      <w:r>
        <w:t xml:space="preserve"> COSIF é Plano Contábil das Instituições do Sistema Financeiro Nacional. Disponível em </w:t>
      </w:r>
      <w:hyperlink r:id="rId5" w:history="1">
        <w:r w:rsidRPr="00D17954">
          <w:rPr>
            <w:rStyle w:val="Hyperlink"/>
            <w:rFonts w:asciiTheme="minorHAnsi" w:hAnsiTheme="minorHAnsi"/>
            <w:sz w:val="20"/>
            <w:szCs w:val="20"/>
          </w:rPr>
          <w:t>http://www.bcb.gov.br/?COSIF</w:t>
        </w:r>
      </w:hyperlink>
    </w:p>
  </w:footnote>
  <w:footnote w:id="10">
    <w:p w:rsidR="00BA5AEF" w:rsidRDefault="00BA5AEF">
      <w:pPr>
        <w:pStyle w:val="Textodenotaderodap"/>
      </w:pPr>
      <w:r>
        <w:rPr>
          <w:rStyle w:val="Refdenotaderodap"/>
        </w:rPr>
        <w:footnoteRef/>
      </w:r>
      <w:r>
        <w:t xml:space="preserve"> Fonte: Relatório TOP 50 do </w:t>
      </w:r>
      <w:proofErr w:type="gramStart"/>
      <w:r>
        <w:t>Bacen</w:t>
      </w:r>
      <w:proofErr w:type="gramEnd"/>
      <w:r>
        <w:t xml:space="preserve"> – dezembro 2013. </w:t>
      </w:r>
      <w:hyperlink r:id="rId6" w:history="1">
        <w:r w:rsidRPr="00D17954">
          <w:rPr>
            <w:rStyle w:val="Hyperlink"/>
            <w:rFonts w:asciiTheme="minorHAnsi" w:hAnsiTheme="minorHAnsi"/>
            <w:sz w:val="20"/>
            <w:szCs w:val="20"/>
          </w:rPr>
          <w:t>http://www4.bcb.gov.br/top50/port/top50.asp</w:t>
        </w:r>
      </w:hyperlink>
      <w:proofErr w:type="gramStart"/>
      <w:r>
        <w:rPr>
          <w:rStyle w:val="Hyperlink"/>
          <w:rFonts w:asciiTheme="minorHAnsi" w:hAnsiTheme="minorHAnsi"/>
          <w:sz w:val="20"/>
          <w:szCs w:val="20"/>
        </w:rPr>
        <w:t xml:space="preserve"> </w:t>
      </w:r>
      <w:r w:rsidRPr="005F0A00">
        <w:rPr>
          <w:rStyle w:val="Hyperlink"/>
          <w:rFonts w:asciiTheme="minorHAnsi" w:hAnsiTheme="minorHAnsi"/>
          <w:sz w:val="20"/>
          <w:szCs w:val="20"/>
          <w:u w:val="none"/>
        </w:rPr>
        <w:t xml:space="preserve"> </w:t>
      </w:r>
    </w:p>
    <w:proofErr w:type="gramEn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427097"/>
      <w:docPartObj>
        <w:docPartGallery w:val="Page Numbers (Top of Page)"/>
        <w:docPartUnique/>
      </w:docPartObj>
    </w:sdtPr>
    <w:sdtEndPr/>
    <w:sdtContent>
      <w:p w:rsidR="00BA5AEF" w:rsidRDefault="00BA5AEF">
        <w:pPr>
          <w:pStyle w:val="Cabealho"/>
          <w:jc w:val="right"/>
        </w:pPr>
        <w:r>
          <w:fldChar w:fldCharType="begin"/>
        </w:r>
        <w:r>
          <w:instrText>PAGE   \* MERGEFORMAT</w:instrText>
        </w:r>
        <w:r>
          <w:fldChar w:fldCharType="separate"/>
        </w:r>
        <w:r w:rsidR="00A25E45">
          <w:rPr>
            <w:noProof/>
          </w:rPr>
          <w:t>1</w:t>
        </w:r>
        <w:r>
          <w:fldChar w:fldCharType="end"/>
        </w:r>
      </w:p>
    </w:sdtContent>
  </w:sdt>
  <w:p w:rsidR="00BA5AEF" w:rsidRDefault="00BA5A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B30C5"/>
    <w:multiLevelType w:val="multilevel"/>
    <w:tmpl w:val="F446AAB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577CFD"/>
    <w:multiLevelType w:val="hybridMultilevel"/>
    <w:tmpl w:val="9D1CC0C0"/>
    <w:lvl w:ilvl="0" w:tplc="04160017">
      <w:start w:val="1"/>
      <w:numFmt w:val="lowerLetter"/>
      <w:lvlText w:val="%1)"/>
      <w:lvlJc w:val="left"/>
      <w:pPr>
        <w:ind w:left="708" w:hanging="360"/>
      </w:pPr>
    </w:lvl>
    <w:lvl w:ilvl="1" w:tplc="04160019" w:tentative="1">
      <w:start w:val="1"/>
      <w:numFmt w:val="lowerLetter"/>
      <w:lvlText w:val="%2."/>
      <w:lvlJc w:val="left"/>
      <w:pPr>
        <w:ind w:left="1428" w:hanging="360"/>
      </w:pPr>
    </w:lvl>
    <w:lvl w:ilvl="2" w:tplc="0416001B" w:tentative="1">
      <w:start w:val="1"/>
      <w:numFmt w:val="lowerRoman"/>
      <w:lvlText w:val="%3."/>
      <w:lvlJc w:val="right"/>
      <w:pPr>
        <w:ind w:left="2148" w:hanging="180"/>
      </w:pPr>
    </w:lvl>
    <w:lvl w:ilvl="3" w:tplc="0416000F" w:tentative="1">
      <w:start w:val="1"/>
      <w:numFmt w:val="decimal"/>
      <w:lvlText w:val="%4."/>
      <w:lvlJc w:val="left"/>
      <w:pPr>
        <w:ind w:left="2868" w:hanging="360"/>
      </w:pPr>
    </w:lvl>
    <w:lvl w:ilvl="4" w:tplc="04160019" w:tentative="1">
      <w:start w:val="1"/>
      <w:numFmt w:val="lowerLetter"/>
      <w:lvlText w:val="%5."/>
      <w:lvlJc w:val="left"/>
      <w:pPr>
        <w:ind w:left="3588" w:hanging="360"/>
      </w:pPr>
    </w:lvl>
    <w:lvl w:ilvl="5" w:tplc="0416001B" w:tentative="1">
      <w:start w:val="1"/>
      <w:numFmt w:val="lowerRoman"/>
      <w:lvlText w:val="%6."/>
      <w:lvlJc w:val="right"/>
      <w:pPr>
        <w:ind w:left="4308" w:hanging="180"/>
      </w:pPr>
    </w:lvl>
    <w:lvl w:ilvl="6" w:tplc="0416000F" w:tentative="1">
      <w:start w:val="1"/>
      <w:numFmt w:val="decimal"/>
      <w:lvlText w:val="%7."/>
      <w:lvlJc w:val="left"/>
      <w:pPr>
        <w:ind w:left="5028" w:hanging="360"/>
      </w:pPr>
    </w:lvl>
    <w:lvl w:ilvl="7" w:tplc="04160019" w:tentative="1">
      <w:start w:val="1"/>
      <w:numFmt w:val="lowerLetter"/>
      <w:lvlText w:val="%8."/>
      <w:lvlJc w:val="left"/>
      <w:pPr>
        <w:ind w:left="5748" w:hanging="360"/>
      </w:pPr>
    </w:lvl>
    <w:lvl w:ilvl="8" w:tplc="0416001B" w:tentative="1">
      <w:start w:val="1"/>
      <w:numFmt w:val="lowerRoman"/>
      <w:lvlText w:val="%9."/>
      <w:lvlJc w:val="right"/>
      <w:pPr>
        <w:ind w:left="6468" w:hanging="180"/>
      </w:pPr>
    </w:lvl>
  </w:abstractNum>
  <w:abstractNum w:abstractNumId="2">
    <w:nsid w:val="1A916E05"/>
    <w:multiLevelType w:val="multilevel"/>
    <w:tmpl w:val="0DB0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CF407F"/>
    <w:multiLevelType w:val="hybridMultilevel"/>
    <w:tmpl w:val="FA28547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
    <w:nsid w:val="1F45625D"/>
    <w:multiLevelType w:val="hybridMultilevel"/>
    <w:tmpl w:val="A62ED846"/>
    <w:lvl w:ilvl="0" w:tplc="139C87F0">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nsid w:val="2630494E"/>
    <w:multiLevelType w:val="hybridMultilevel"/>
    <w:tmpl w:val="D7FA1032"/>
    <w:lvl w:ilvl="0" w:tplc="04160017">
      <w:start w:val="1"/>
      <w:numFmt w:val="lowerLetter"/>
      <w:lvlText w:val="%1)"/>
      <w:lvlJc w:val="left"/>
      <w:pPr>
        <w:ind w:left="1854" w:hanging="360"/>
      </w:pPr>
      <w:rPr>
        <w:rFonts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nsid w:val="29183922"/>
    <w:multiLevelType w:val="multilevel"/>
    <w:tmpl w:val="257C63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F40D07"/>
    <w:multiLevelType w:val="hybridMultilevel"/>
    <w:tmpl w:val="CF58DB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nsid w:val="31C6280A"/>
    <w:multiLevelType w:val="hybridMultilevel"/>
    <w:tmpl w:val="2E18CF14"/>
    <w:lvl w:ilvl="0" w:tplc="139C87F0">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9">
    <w:nsid w:val="391C237B"/>
    <w:multiLevelType w:val="hybridMultilevel"/>
    <w:tmpl w:val="DBAC0EBC"/>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0">
    <w:nsid w:val="3E311342"/>
    <w:multiLevelType w:val="hybridMultilevel"/>
    <w:tmpl w:val="D50009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124A98"/>
    <w:multiLevelType w:val="multilevel"/>
    <w:tmpl w:val="DEB8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DA5B2A"/>
    <w:multiLevelType w:val="multilevel"/>
    <w:tmpl w:val="338045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04D14C4"/>
    <w:multiLevelType w:val="hybridMultilevel"/>
    <w:tmpl w:val="D108B3B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6BC5905"/>
    <w:multiLevelType w:val="hybridMultilevel"/>
    <w:tmpl w:val="BBC88776"/>
    <w:lvl w:ilvl="0" w:tplc="F5903CB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FD90EFB"/>
    <w:multiLevelType w:val="hybridMultilevel"/>
    <w:tmpl w:val="D6A4D7EC"/>
    <w:lvl w:ilvl="0" w:tplc="C8529F5A">
      <w:start w:val="4"/>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4A029BB"/>
    <w:multiLevelType w:val="multilevel"/>
    <w:tmpl w:val="338045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74F14F2"/>
    <w:multiLevelType w:val="hybridMultilevel"/>
    <w:tmpl w:val="8632AEDC"/>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A5100BD"/>
    <w:multiLevelType w:val="hybridMultilevel"/>
    <w:tmpl w:val="0F708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08B6352"/>
    <w:multiLevelType w:val="hybridMultilevel"/>
    <w:tmpl w:val="84900EF8"/>
    <w:lvl w:ilvl="0" w:tplc="139C87F0">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20">
    <w:nsid w:val="725F7C0E"/>
    <w:multiLevelType w:val="hybridMultilevel"/>
    <w:tmpl w:val="8646C72E"/>
    <w:lvl w:ilvl="0" w:tplc="04160011">
      <w:start w:val="1"/>
      <w:numFmt w:val="decimal"/>
      <w:lvlText w:val="%1)"/>
      <w:lvlJc w:val="left"/>
      <w:pPr>
        <w:ind w:left="1494" w:hanging="360"/>
      </w:pPr>
      <w:rPr>
        <w:rFonts w:hint="default"/>
        <w:i w:val="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1">
    <w:nsid w:val="7A3E6F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3C77BB"/>
    <w:multiLevelType w:val="hybridMultilevel"/>
    <w:tmpl w:val="4330F69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3">
    <w:nsid w:val="7E68333D"/>
    <w:multiLevelType w:val="multilevel"/>
    <w:tmpl w:val="F446AAB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5"/>
  </w:num>
  <w:num w:numId="3">
    <w:abstractNumId w:val="10"/>
  </w:num>
  <w:num w:numId="4">
    <w:abstractNumId w:val="23"/>
  </w:num>
  <w:num w:numId="5">
    <w:abstractNumId w:val="6"/>
  </w:num>
  <w:num w:numId="6">
    <w:abstractNumId w:val="3"/>
  </w:num>
  <w:num w:numId="7">
    <w:abstractNumId w:val="20"/>
  </w:num>
  <w:num w:numId="8">
    <w:abstractNumId w:val="0"/>
  </w:num>
  <w:num w:numId="9">
    <w:abstractNumId w:val="19"/>
  </w:num>
  <w:num w:numId="10">
    <w:abstractNumId w:val="14"/>
  </w:num>
  <w:num w:numId="11">
    <w:abstractNumId w:val="8"/>
  </w:num>
  <w:num w:numId="12">
    <w:abstractNumId w:val="16"/>
  </w:num>
  <w:num w:numId="13">
    <w:abstractNumId w:val="12"/>
  </w:num>
  <w:num w:numId="14">
    <w:abstractNumId w:val="7"/>
  </w:num>
  <w:num w:numId="15">
    <w:abstractNumId w:val="4"/>
  </w:num>
  <w:num w:numId="16">
    <w:abstractNumId w:val="1"/>
  </w:num>
  <w:num w:numId="17">
    <w:abstractNumId w:val="9"/>
  </w:num>
  <w:num w:numId="18">
    <w:abstractNumId w:val="5"/>
  </w:num>
  <w:num w:numId="19">
    <w:abstractNumId w:val="22"/>
  </w:num>
  <w:num w:numId="20">
    <w:abstractNumId w:val="21"/>
  </w:num>
  <w:num w:numId="21">
    <w:abstractNumId w:val="18"/>
  </w:num>
  <w:num w:numId="22">
    <w:abstractNumId w:val="17"/>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CE8"/>
    <w:rsid w:val="00000416"/>
    <w:rsid w:val="00000446"/>
    <w:rsid w:val="00002D00"/>
    <w:rsid w:val="000048C7"/>
    <w:rsid w:val="00005411"/>
    <w:rsid w:val="0000715F"/>
    <w:rsid w:val="00010D0A"/>
    <w:rsid w:val="00011F1E"/>
    <w:rsid w:val="00012F95"/>
    <w:rsid w:val="000131CB"/>
    <w:rsid w:val="00013AC0"/>
    <w:rsid w:val="00013EAB"/>
    <w:rsid w:val="00014F3F"/>
    <w:rsid w:val="00015B92"/>
    <w:rsid w:val="00021799"/>
    <w:rsid w:val="000219D7"/>
    <w:rsid w:val="000245D6"/>
    <w:rsid w:val="00030898"/>
    <w:rsid w:val="00036275"/>
    <w:rsid w:val="00040894"/>
    <w:rsid w:val="0004169D"/>
    <w:rsid w:val="00042906"/>
    <w:rsid w:val="00043290"/>
    <w:rsid w:val="00043A66"/>
    <w:rsid w:val="000441E4"/>
    <w:rsid w:val="000507E7"/>
    <w:rsid w:val="000563E0"/>
    <w:rsid w:val="000563F5"/>
    <w:rsid w:val="00061FA4"/>
    <w:rsid w:val="00062557"/>
    <w:rsid w:val="000636FE"/>
    <w:rsid w:val="00067D36"/>
    <w:rsid w:val="00071110"/>
    <w:rsid w:val="000714B7"/>
    <w:rsid w:val="0007301E"/>
    <w:rsid w:val="000737F6"/>
    <w:rsid w:val="00074B07"/>
    <w:rsid w:val="000751E5"/>
    <w:rsid w:val="00075B7B"/>
    <w:rsid w:val="0008035A"/>
    <w:rsid w:val="0008246B"/>
    <w:rsid w:val="000825FE"/>
    <w:rsid w:val="00083266"/>
    <w:rsid w:val="0008413E"/>
    <w:rsid w:val="00084D51"/>
    <w:rsid w:val="00085E82"/>
    <w:rsid w:val="000869F7"/>
    <w:rsid w:val="000910A2"/>
    <w:rsid w:val="00092E7F"/>
    <w:rsid w:val="00093C72"/>
    <w:rsid w:val="00094308"/>
    <w:rsid w:val="00094745"/>
    <w:rsid w:val="0009504A"/>
    <w:rsid w:val="0009587E"/>
    <w:rsid w:val="000A00B1"/>
    <w:rsid w:val="000A1230"/>
    <w:rsid w:val="000A1974"/>
    <w:rsid w:val="000A34E0"/>
    <w:rsid w:val="000A3CC6"/>
    <w:rsid w:val="000A5FDD"/>
    <w:rsid w:val="000A659B"/>
    <w:rsid w:val="000A7E2C"/>
    <w:rsid w:val="000B0AF5"/>
    <w:rsid w:val="000B0F0E"/>
    <w:rsid w:val="000B1390"/>
    <w:rsid w:val="000B20C5"/>
    <w:rsid w:val="000B2585"/>
    <w:rsid w:val="000B3C34"/>
    <w:rsid w:val="000B4C9F"/>
    <w:rsid w:val="000B536F"/>
    <w:rsid w:val="000B581D"/>
    <w:rsid w:val="000B6786"/>
    <w:rsid w:val="000C07C4"/>
    <w:rsid w:val="000C12BD"/>
    <w:rsid w:val="000C314A"/>
    <w:rsid w:val="000C421D"/>
    <w:rsid w:val="000C5012"/>
    <w:rsid w:val="000C5E7F"/>
    <w:rsid w:val="000C61AE"/>
    <w:rsid w:val="000C7843"/>
    <w:rsid w:val="000D06C8"/>
    <w:rsid w:val="000D1962"/>
    <w:rsid w:val="000D2C43"/>
    <w:rsid w:val="000D401A"/>
    <w:rsid w:val="000D4ACD"/>
    <w:rsid w:val="000D5FDB"/>
    <w:rsid w:val="000D702B"/>
    <w:rsid w:val="000E085C"/>
    <w:rsid w:val="000E1638"/>
    <w:rsid w:val="000E16D2"/>
    <w:rsid w:val="000E1923"/>
    <w:rsid w:val="000E437B"/>
    <w:rsid w:val="000E7A42"/>
    <w:rsid w:val="000F14D5"/>
    <w:rsid w:val="000F1DB0"/>
    <w:rsid w:val="000F2753"/>
    <w:rsid w:val="000F27F4"/>
    <w:rsid w:val="000F643F"/>
    <w:rsid w:val="000F7AE6"/>
    <w:rsid w:val="001010EA"/>
    <w:rsid w:val="00101AEE"/>
    <w:rsid w:val="00101C54"/>
    <w:rsid w:val="00103478"/>
    <w:rsid w:val="00105F21"/>
    <w:rsid w:val="0010602F"/>
    <w:rsid w:val="001104AD"/>
    <w:rsid w:val="00110B3B"/>
    <w:rsid w:val="001134B9"/>
    <w:rsid w:val="00114EB6"/>
    <w:rsid w:val="001159B5"/>
    <w:rsid w:val="00115FBB"/>
    <w:rsid w:val="00116ADA"/>
    <w:rsid w:val="00122819"/>
    <w:rsid w:val="00127EA3"/>
    <w:rsid w:val="00127EE7"/>
    <w:rsid w:val="00134FA8"/>
    <w:rsid w:val="001355A5"/>
    <w:rsid w:val="00136CEE"/>
    <w:rsid w:val="00136E0D"/>
    <w:rsid w:val="001373E5"/>
    <w:rsid w:val="00141309"/>
    <w:rsid w:val="00142ADC"/>
    <w:rsid w:val="00145156"/>
    <w:rsid w:val="00146044"/>
    <w:rsid w:val="001514B8"/>
    <w:rsid w:val="0015390C"/>
    <w:rsid w:val="00154E56"/>
    <w:rsid w:val="001602F2"/>
    <w:rsid w:val="00160B33"/>
    <w:rsid w:val="00161038"/>
    <w:rsid w:val="001615CE"/>
    <w:rsid w:val="00161E1F"/>
    <w:rsid w:val="00161F5B"/>
    <w:rsid w:val="001629CF"/>
    <w:rsid w:val="0016379F"/>
    <w:rsid w:val="00165C86"/>
    <w:rsid w:val="00166DBA"/>
    <w:rsid w:val="001676C8"/>
    <w:rsid w:val="00167A88"/>
    <w:rsid w:val="00170888"/>
    <w:rsid w:val="00175D91"/>
    <w:rsid w:val="00176D83"/>
    <w:rsid w:val="001804C2"/>
    <w:rsid w:val="00181BD5"/>
    <w:rsid w:val="00181F25"/>
    <w:rsid w:val="0018636E"/>
    <w:rsid w:val="00187333"/>
    <w:rsid w:val="00187476"/>
    <w:rsid w:val="001904BC"/>
    <w:rsid w:val="00190530"/>
    <w:rsid w:val="00190EFF"/>
    <w:rsid w:val="001952F5"/>
    <w:rsid w:val="001A002C"/>
    <w:rsid w:val="001A066F"/>
    <w:rsid w:val="001A13D0"/>
    <w:rsid w:val="001A1E3F"/>
    <w:rsid w:val="001A2F68"/>
    <w:rsid w:val="001A35AA"/>
    <w:rsid w:val="001A495E"/>
    <w:rsid w:val="001A6FC7"/>
    <w:rsid w:val="001B23B3"/>
    <w:rsid w:val="001B3076"/>
    <w:rsid w:val="001B335D"/>
    <w:rsid w:val="001B58E0"/>
    <w:rsid w:val="001B615C"/>
    <w:rsid w:val="001B642B"/>
    <w:rsid w:val="001B6BB9"/>
    <w:rsid w:val="001C0C32"/>
    <w:rsid w:val="001C206B"/>
    <w:rsid w:val="001D2108"/>
    <w:rsid w:val="001D2BC7"/>
    <w:rsid w:val="001D59EC"/>
    <w:rsid w:val="001D732F"/>
    <w:rsid w:val="001E137D"/>
    <w:rsid w:val="001E452E"/>
    <w:rsid w:val="001E6747"/>
    <w:rsid w:val="001E7FAF"/>
    <w:rsid w:val="001F3826"/>
    <w:rsid w:val="001F508C"/>
    <w:rsid w:val="001F6424"/>
    <w:rsid w:val="001F7B8F"/>
    <w:rsid w:val="002039E3"/>
    <w:rsid w:val="0020454A"/>
    <w:rsid w:val="0020463B"/>
    <w:rsid w:val="00210CAB"/>
    <w:rsid w:val="00211096"/>
    <w:rsid w:val="0021137E"/>
    <w:rsid w:val="00211C65"/>
    <w:rsid w:val="00211D3E"/>
    <w:rsid w:val="002157E3"/>
    <w:rsid w:val="00215A51"/>
    <w:rsid w:val="00217E23"/>
    <w:rsid w:val="0022094D"/>
    <w:rsid w:val="002218A5"/>
    <w:rsid w:val="002218FC"/>
    <w:rsid w:val="0022207B"/>
    <w:rsid w:val="002223A7"/>
    <w:rsid w:val="00224A29"/>
    <w:rsid w:val="00227438"/>
    <w:rsid w:val="0023057D"/>
    <w:rsid w:val="00233112"/>
    <w:rsid w:val="0023688D"/>
    <w:rsid w:val="00241124"/>
    <w:rsid w:val="002417E4"/>
    <w:rsid w:val="002420CE"/>
    <w:rsid w:val="0024222C"/>
    <w:rsid w:val="00242F51"/>
    <w:rsid w:val="00243315"/>
    <w:rsid w:val="002442CB"/>
    <w:rsid w:val="002445E8"/>
    <w:rsid w:val="002447B7"/>
    <w:rsid w:val="00247794"/>
    <w:rsid w:val="00250BD4"/>
    <w:rsid w:val="002522B2"/>
    <w:rsid w:val="00252C80"/>
    <w:rsid w:val="00253775"/>
    <w:rsid w:val="0025551A"/>
    <w:rsid w:val="00255C10"/>
    <w:rsid w:val="0025600A"/>
    <w:rsid w:val="0025632D"/>
    <w:rsid w:val="002575E4"/>
    <w:rsid w:val="002602F8"/>
    <w:rsid w:val="00261A80"/>
    <w:rsid w:val="00263464"/>
    <w:rsid w:val="00263884"/>
    <w:rsid w:val="002639C7"/>
    <w:rsid w:val="00264357"/>
    <w:rsid w:val="0026451C"/>
    <w:rsid w:val="00265956"/>
    <w:rsid w:val="00265CBC"/>
    <w:rsid w:val="00266778"/>
    <w:rsid w:val="00267724"/>
    <w:rsid w:val="00270BE5"/>
    <w:rsid w:val="00270C72"/>
    <w:rsid w:val="00272923"/>
    <w:rsid w:val="00273FED"/>
    <w:rsid w:val="0028150A"/>
    <w:rsid w:val="00285E6B"/>
    <w:rsid w:val="0028613D"/>
    <w:rsid w:val="00286C73"/>
    <w:rsid w:val="00292638"/>
    <w:rsid w:val="0029291C"/>
    <w:rsid w:val="00292CCB"/>
    <w:rsid w:val="002936A3"/>
    <w:rsid w:val="0029651D"/>
    <w:rsid w:val="00296CC2"/>
    <w:rsid w:val="002A6939"/>
    <w:rsid w:val="002A7E53"/>
    <w:rsid w:val="002B287C"/>
    <w:rsid w:val="002B2C4D"/>
    <w:rsid w:val="002B3B09"/>
    <w:rsid w:val="002B4417"/>
    <w:rsid w:val="002B507D"/>
    <w:rsid w:val="002B51BF"/>
    <w:rsid w:val="002B5BB8"/>
    <w:rsid w:val="002B62F1"/>
    <w:rsid w:val="002B66D6"/>
    <w:rsid w:val="002C0291"/>
    <w:rsid w:val="002C060D"/>
    <w:rsid w:val="002C0A34"/>
    <w:rsid w:val="002C1F38"/>
    <w:rsid w:val="002C2B6B"/>
    <w:rsid w:val="002C2FCD"/>
    <w:rsid w:val="002D4B6E"/>
    <w:rsid w:val="002D5047"/>
    <w:rsid w:val="002D5408"/>
    <w:rsid w:val="002D5E3C"/>
    <w:rsid w:val="002D6A28"/>
    <w:rsid w:val="002E4F64"/>
    <w:rsid w:val="002E5ED3"/>
    <w:rsid w:val="002E7658"/>
    <w:rsid w:val="002E797B"/>
    <w:rsid w:val="002F1F27"/>
    <w:rsid w:val="002F340B"/>
    <w:rsid w:val="002F384C"/>
    <w:rsid w:val="002F3BBB"/>
    <w:rsid w:val="002F4A59"/>
    <w:rsid w:val="002F5281"/>
    <w:rsid w:val="002F614D"/>
    <w:rsid w:val="002F737A"/>
    <w:rsid w:val="00300249"/>
    <w:rsid w:val="00302159"/>
    <w:rsid w:val="003054AF"/>
    <w:rsid w:val="003075A8"/>
    <w:rsid w:val="003100C7"/>
    <w:rsid w:val="00310482"/>
    <w:rsid w:val="003145DB"/>
    <w:rsid w:val="003159EB"/>
    <w:rsid w:val="00316389"/>
    <w:rsid w:val="003208B6"/>
    <w:rsid w:val="00321C9D"/>
    <w:rsid w:val="00322092"/>
    <w:rsid w:val="00322C5A"/>
    <w:rsid w:val="003331C9"/>
    <w:rsid w:val="003339CE"/>
    <w:rsid w:val="003346D8"/>
    <w:rsid w:val="003348FC"/>
    <w:rsid w:val="00334D7C"/>
    <w:rsid w:val="00341ED9"/>
    <w:rsid w:val="003440FB"/>
    <w:rsid w:val="003462AC"/>
    <w:rsid w:val="00346335"/>
    <w:rsid w:val="003464AC"/>
    <w:rsid w:val="0034765B"/>
    <w:rsid w:val="00347C59"/>
    <w:rsid w:val="0035067D"/>
    <w:rsid w:val="00350F31"/>
    <w:rsid w:val="00351765"/>
    <w:rsid w:val="00351F10"/>
    <w:rsid w:val="00354B8A"/>
    <w:rsid w:val="00355334"/>
    <w:rsid w:val="00355B6B"/>
    <w:rsid w:val="00356294"/>
    <w:rsid w:val="003564CD"/>
    <w:rsid w:val="003576D0"/>
    <w:rsid w:val="00357B26"/>
    <w:rsid w:val="00357FC9"/>
    <w:rsid w:val="0036007E"/>
    <w:rsid w:val="00360277"/>
    <w:rsid w:val="00361134"/>
    <w:rsid w:val="00362F1E"/>
    <w:rsid w:val="00367B0D"/>
    <w:rsid w:val="00367B9C"/>
    <w:rsid w:val="003717B9"/>
    <w:rsid w:val="003717C8"/>
    <w:rsid w:val="0037297F"/>
    <w:rsid w:val="0037373A"/>
    <w:rsid w:val="00374720"/>
    <w:rsid w:val="00375E0D"/>
    <w:rsid w:val="0037629E"/>
    <w:rsid w:val="00376315"/>
    <w:rsid w:val="00380CF1"/>
    <w:rsid w:val="00382825"/>
    <w:rsid w:val="00383BDC"/>
    <w:rsid w:val="00384325"/>
    <w:rsid w:val="00385CB9"/>
    <w:rsid w:val="00386137"/>
    <w:rsid w:val="003869E3"/>
    <w:rsid w:val="00386F94"/>
    <w:rsid w:val="00387631"/>
    <w:rsid w:val="00387F2F"/>
    <w:rsid w:val="00390179"/>
    <w:rsid w:val="00390F7B"/>
    <w:rsid w:val="00390FC9"/>
    <w:rsid w:val="00391108"/>
    <w:rsid w:val="003931F9"/>
    <w:rsid w:val="0039448E"/>
    <w:rsid w:val="003977F1"/>
    <w:rsid w:val="003A1896"/>
    <w:rsid w:val="003A3321"/>
    <w:rsid w:val="003A41A2"/>
    <w:rsid w:val="003A5AC4"/>
    <w:rsid w:val="003B15A7"/>
    <w:rsid w:val="003B3EDA"/>
    <w:rsid w:val="003B42DB"/>
    <w:rsid w:val="003B5EA4"/>
    <w:rsid w:val="003C0495"/>
    <w:rsid w:val="003C0DD1"/>
    <w:rsid w:val="003C1095"/>
    <w:rsid w:val="003C303A"/>
    <w:rsid w:val="003C4273"/>
    <w:rsid w:val="003C494D"/>
    <w:rsid w:val="003C5DD7"/>
    <w:rsid w:val="003C6BE8"/>
    <w:rsid w:val="003D2A4B"/>
    <w:rsid w:val="003D2F65"/>
    <w:rsid w:val="003D3BEE"/>
    <w:rsid w:val="003D5D2F"/>
    <w:rsid w:val="003D6C1F"/>
    <w:rsid w:val="003E3049"/>
    <w:rsid w:val="003E4535"/>
    <w:rsid w:val="003E47D8"/>
    <w:rsid w:val="003E5C1A"/>
    <w:rsid w:val="003E69E0"/>
    <w:rsid w:val="003E7900"/>
    <w:rsid w:val="003F1581"/>
    <w:rsid w:val="003F34CC"/>
    <w:rsid w:val="003F4C54"/>
    <w:rsid w:val="003F5473"/>
    <w:rsid w:val="003F5B00"/>
    <w:rsid w:val="003F78DC"/>
    <w:rsid w:val="00403FBA"/>
    <w:rsid w:val="00404B7E"/>
    <w:rsid w:val="00405708"/>
    <w:rsid w:val="00406A1B"/>
    <w:rsid w:val="0041139D"/>
    <w:rsid w:val="00411821"/>
    <w:rsid w:val="004139F6"/>
    <w:rsid w:val="00415E00"/>
    <w:rsid w:val="00416B41"/>
    <w:rsid w:val="00422AB7"/>
    <w:rsid w:val="00424157"/>
    <w:rsid w:val="00424B47"/>
    <w:rsid w:val="00431129"/>
    <w:rsid w:val="0043248F"/>
    <w:rsid w:val="00434745"/>
    <w:rsid w:val="004355D6"/>
    <w:rsid w:val="00436A01"/>
    <w:rsid w:val="00437AEB"/>
    <w:rsid w:val="004418EA"/>
    <w:rsid w:val="00445FF9"/>
    <w:rsid w:val="00450CFB"/>
    <w:rsid w:val="00451E33"/>
    <w:rsid w:val="004528DA"/>
    <w:rsid w:val="00453E22"/>
    <w:rsid w:val="0045528E"/>
    <w:rsid w:val="00455857"/>
    <w:rsid w:val="004637E7"/>
    <w:rsid w:val="004650CF"/>
    <w:rsid w:val="004651B7"/>
    <w:rsid w:val="004655B1"/>
    <w:rsid w:val="004660DE"/>
    <w:rsid w:val="00466344"/>
    <w:rsid w:val="00472240"/>
    <w:rsid w:val="00472984"/>
    <w:rsid w:val="00473539"/>
    <w:rsid w:val="00473998"/>
    <w:rsid w:val="004770A6"/>
    <w:rsid w:val="00477650"/>
    <w:rsid w:val="00486436"/>
    <w:rsid w:val="00486438"/>
    <w:rsid w:val="00493DE3"/>
    <w:rsid w:val="00494F27"/>
    <w:rsid w:val="004958A6"/>
    <w:rsid w:val="00496A1F"/>
    <w:rsid w:val="0049737E"/>
    <w:rsid w:val="004976EF"/>
    <w:rsid w:val="004A227B"/>
    <w:rsid w:val="004A37B2"/>
    <w:rsid w:val="004A5225"/>
    <w:rsid w:val="004A5DDC"/>
    <w:rsid w:val="004A715D"/>
    <w:rsid w:val="004B033F"/>
    <w:rsid w:val="004B182C"/>
    <w:rsid w:val="004B4DCE"/>
    <w:rsid w:val="004B60B5"/>
    <w:rsid w:val="004B70F4"/>
    <w:rsid w:val="004B7367"/>
    <w:rsid w:val="004B76BB"/>
    <w:rsid w:val="004B7A73"/>
    <w:rsid w:val="004B7B3D"/>
    <w:rsid w:val="004B7DA0"/>
    <w:rsid w:val="004C49B8"/>
    <w:rsid w:val="004C51B7"/>
    <w:rsid w:val="004C67B2"/>
    <w:rsid w:val="004C6BB6"/>
    <w:rsid w:val="004D20D3"/>
    <w:rsid w:val="004D34CF"/>
    <w:rsid w:val="004D42F3"/>
    <w:rsid w:val="004D46AE"/>
    <w:rsid w:val="004D575A"/>
    <w:rsid w:val="004D68BA"/>
    <w:rsid w:val="004E01B7"/>
    <w:rsid w:val="004E046A"/>
    <w:rsid w:val="004E0DEB"/>
    <w:rsid w:val="004E1AED"/>
    <w:rsid w:val="004E2397"/>
    <w:rsid w:val="004E57D2"/>
    <w:rsid w:val="004E6C33"/>
    <w:rsid w:val="004E6FDC"/>
    <w:rsid w:val="004E75B6"/>
    <w:rsid w:val="004F0488"/>
    <w:rsid w:val="004F47E7"/>
    <w:rsid w:val="004F4AEC"/>
    <w:rsid w:val="004F5D56"/>
    <w:rsid w:val="004F6EF5"/>
    <w:rsid w:val="00500B54"/>
    <w:rsid w:val="005058AA"/>
    <w:rsid w:val="00507430"/>
    <w:rsid w:val="00507549"/>
    <w:rsid w:val="00510150"/>
    <w:rsid w:val="00510ADD"/>
    <w:rsid w:val="00511A48"/>
    <w:rsid w:val="00514186"/>
    <w:rsid w:val="00514A40"/>
    <w:rsid w:val="00516598"/>
    <w:rsid w:val="00516A30"/>
    <w:rsid w:val="005208D6"/>
    <w:rsid w:val="00522A19"/>
    <w:rsid w:val="005253B5"/>
    <w:rsid w:val="00525FE4"/>
    <w:rsid w:val="00526D10"/>
    <w:rsid w:val="00534808"/>
    <w:rsid w:val="005354EE"/>
    <w:rsid w:val="005364F1"/>
    <w:rsid w:val="00541396"/>
    <w:rsid w:val="00542A1F"/>
    <w:rsid w:val="00547FE5"/>
    <w:rsid w:val="00551117"/>
    <w:rsid w:val="00551360"/>
    <w:rsid w:val="005564AE"/>
    <w:rsid w:val="005608F9"/>
    <w:rsid w:val="00562BBA"/>
    <w:rsid w:val="00563345"/>
    <w:rsid w:val="0056607C"/>
    <w:rsid w:val="00566591"/>
    <w:rsid w:val="00570141"/>
    <w:rsid w:val="005754DD"/>
    <w:rsid w:val="00575729"/>
    <w:rsid w:val="005763E5"/>
    <w:rsid w:val="00583155"/>
    <w:rsid w:val="005832C3"/>
    <w:rsid w:val="00583892"/>
    <w:rsid w:val="00587B71"/>
    <w:rsid w:val="00594F5E"/>
    <w:rsid w:val="00595016"/>
    <w:rsid w:val="005A02ED"/>
    <w:rsid w:val="005A110C"/>
    <w:rsid w:val="005A1FE9"/>
    <w:rsid w:val="005A4D1A"/>
    <w:rsid w:val="005A644F"/>
    <w:rsid w:val="005A6522"/>
    <w:rsid w:val="005B1152"/>
    <w:rsid w:val="005B1F07"/>
    <w:rsid w:val="005B22E1"/>
    <w:rsid w:val="005B4231"/>
    <w:rsid w:val="005B5D00"/>
    <w:rsid w:val="005B5D25"/>
    <w:rsid w:val="005C03CE"/>
    <w:rsid w:val="005C0EFC"/>
    <w:rsid w:val="005C441F"/>
    <w:rsid w:val="005C51F3"/>
    <w:rsid w:val="005C56A0"/>
    <w:rsid w:val="005C5901"/>
    <w:rsid w:val="005C624A"/>
    <w:rsid w:val="005C6613"/>
    <w:rsid w:val="005D17B0"/>
    <w:rsid w:val="005D3AC8"/>
    <w:rsid w:val="005D53A8"/>
    <w:rsid w:val="005D58A0"/>
    <w:rsid w:val="005D7494"/>
    <w:rsid w:val="005E1294"/>
    <w:rsid w:val="005E1745"/>
    <w:rsid w:val="005E35AE"/>
    <w:rsid w:val="005E46CB"/>
    <w:rsid w:val="005E648F"/>
    <w:rsid w:val="005E6784"/>
    <w:rsid w:val="005F0A00"/>
    <w:rsid w:val="005F18C7"/>
    <w:rsid w:val="005F3AE1"/>
    <w:rsid w:val="005F598E"/>
    <w:rsid w:val="005F6E96"/>
    <w:rsid w:val="005F7AC1"/>
    <w:rsid w:val="00601EF3"/>
    <w:rsid w:val="00602902"/>
    <w:rsid w:val="00602C95"/>
    <w:rsid w:val="00605D9D"/>
    <w:rsid w:val="00605DC2"/>
    <w:rsid w:val="006065F1"/>
    <w:rsid w:val="006075E0"/>
    <w:rsid w:val="006078D2"/>
    <w:rsid w:val="006114D7"/>
    <w:rsid w:val="00611F3B"/>
    <w:rsid w:val="0061547F"/>
    <w:rsid w:val="006235DE"/>
    <w:rsid w:val="00623A2B"/>
    <w:rsid w:val="00624944"/>
    <w:rsid w:val="00625471"/>
    <w:rsid w:val="00626F55"/>
    <w:rsid w:val="00630723"/>
    <w:rsid w:val="00631B51"/>
    <w:rsid w:val="00633111"/>
    <w:rsid w:val="00634CB7"/>
    <w:rsid w:val="00640F0B"/>
    <w:rsid w:val="00641009"/>
    <w:rsid w:val="00643CC8"/>
    <w:rsid w:val="00644B72"/>
    <w:rsid w:val="0064572A"/>
    <w:rsid w:val="0064680A"/>
    <w:rsid w:val="00646C40"/>
    <w:rsid w:val="00647AA4"/>
    <w:rsid w:val="006505FC"/>
    <w:rsid w:val="00650CF3"/>
    <w:rsid w:val="00650E55"/>
    <w:rsid w:val="00653310"/>
    <w:rsid w:val="00653480"/>
    <w:rsid w:val="00653B67"/>
    <w:rsid w:val="00654CEE"/>
    <w:rsid w:val="00655F24"/>
    <w:rsid w:val="00656098"/>
    <w:rsid w:val="006560BD"/>
    <w:rsid w:val="0065675D"/>
    <w:rsid w:val="00656A9B"/>
    <w:rsid w:val="00660E0C"/>
    <w:rsid w:val="006621A7"/>
    <w:rsid w:val="0066342C"/>
    <w:rsid w:val="00664FFE"/>
    <w:rsid w:val="00674674"/>
    <w:rsid w:val="00674D08"/>
    <w:rsid w:val="0067532C"/>
    <w:rsid w:val="00675360"/>
    <w:rsid w:val="00676B96"/>
    <w:rsid w:val="00680175"/>
    <w:rsid w:val="00681D19"/>
    <w:rsid w:val="0068278E"/>
    <w:rsid w:val="00682BEB"/>
    <w:rsid w:val="00683460"/>
    <w:rsid w:val="0068403D"/>
    <w:rsid w:val="00685D74"/>
    <w:rsid w:val="00691CB3"/>
    <w:rsid w:val="00691EEC"/>
    <w:rsid w:val="0069201C"/>
    <w:rsid w:val="006920E0"/>
    <w:rsid w:val="006926A3"/>
    <w:rsid w:val="00692907"/>
    <w:rsid w:val="00693DCB"/>
    <w:rsid w:val="00697765"/>
    <w:rsid w:val="006A0618"/>
    <w:rsid w:val="006A0A44"/>
    <w:rsid w:val="006A173A"/>
    <w:rsid w:val="006A1FA1"/>
    <w:rsid w:val="006A41A1"/>
    <w:rsid w:val="006A5AA2"/>
    <w:rsid w:val="006A6425"/>
    <w:rsid w:val="006B0193"/>
    <w:rsid w:val="006B0270"/>
    <w:rsid w:val="006B1B74"/>
    <w:rsid w:val="006C1A7F"/>
    <w:rsid w:val="006C3CBE"/>
    <w:rsid w:val="006C44E8"/>
    <w:rsid w:val="006C4918"/>
    <w:rsid w:val="006C63A3"/>
    <w:rsid w:val="006D0360"/>
    <w:rsid w:val="006D0C31"/>
    <w:rsid w:val="006D1B4F"/>
    <w:rsid w:val="006D2263"/>
    <w:rsid w:val="006D25B0"/>
    <w:rsid w:val="006D47DD"/>
    <w:rsid w:val="006D4E10"/>
    <w:rsid w:val="006D4FB8"/>
    <w:rsid w:val="006D731A"/>
    <w:rsid w:val="006D7EC8"/>
    <w:rsid w:val="006E0C18"/>
    <w:rsid w:val="006E13B6"/>
    <w:rsid w:val="006E14A5"/>
    <w:rsid w:val="006E29D4"/>
    <w:rsid w:val="006E2B5B"/>
    <w:rsid w:val="006E31F3"/>
    <w:rsid w:val="006E3DDA"/>
    <w:rsid w:val="006E3FE6"/>
    <w:rsid w:val="006E4A3D"/>
    <w:rsid w:val="006E6319"/>
    <w:rsid w:val="006E73B6"/>
    <w:rsid w:val="006F05F4"/>
    <w:rsid w:val="006F11BD"/>
    <w:rsid w:val="006F33A8"/>
    <w:rsid w:val="006F3AEA"/>
    <w:rsid w:val="006F3AF8"/>
    <w:rsid w:val="006F427E"/>
    <w:rsid w:val="006F435A"/>
    <w:rsid w:val="006F5CFC"/>
    <w:rsid w:val="006F5D71"/>
    <w:rsid w:val="006F5F6C"/>
    <w:rsid w:val="00700C71"/>
    <w:rsid w:val="0070261B"/>
    <w:rsid w:val="00704809"/>
    <w:rsid w:val="00706EE9"/>
    <w:rsid w:val="00710307"/>
    <w:rsid w:val="00714DE4"/>
    <w:rsid w:val="00720420"/>
    <w:rsid w:val="00721782"/>
    <w:rsid w:val="00722849"/>
    <w:rsid w:val="00722B75"/>
    <w:rsid w:val="00724032"/>
    <w:rsid w:val="0072682E"/>
    <w:rsid w:val="00733A2F"/>
    <w:rsid w:val="00747F13"/>
    <w:rsid w:val="00747FE9"/>
    <w:rsid w:val="007510A0"/>
    <w:rsid w:val="00751672"/>
    <w:rsid w:val="00752D47"/>
    <w:rsid w:val="00752D4B"/>
    <w:rsid w:val="00753E5A"/>
    <w:rsid w:val="007550BE"/>
    <w:rsid w:val="0075786F"/>
    <w:rsid w:val="00760A2C"/>
    <w:rsid w:val="0076171D"/>
    <w:rsid w:val="007618D6"/>
    <w:rsid w:val="00761FA5"/>
    <w:rsid w:val="007669D8"/>
    <w:rsid w:val="0076741D"/>
    <w:rsid w:val="00767AA2"/>
    <w:rsid w:val="00771C32"/>
    <w:rsid w:val="0077358F"/>
    <w:rsid w:val="007740D1"/>
    <w:rsid w:val="00775B2C"/>
    <w:rsid w:val="00777094"/>
    <w:rsid w:val="007821E0"/>
    <w:rsid w:val="0078339D"/>
    <w:rsid w:val="0078456E"/>
    <w:rsid w:val="00784D2C"/>
    <w:rsid w:val="00785748"/>
    <w:rsid w:val="00785BE4"/>
    <w:rsid w:val="00790983"/>
    <w:rsid w:val="00792009"/>
    <w:rsid w:val="00794C22"/>
    <w:rsid w:val="00795665"/>
    <w:rsid w:val="00797241"/>
    <w:rsid w:val="00797896"/>
    <w:rsid w:val="007A0FE8"/>
    <w:rsid w:val="007A21B7"/>
    <w:rsid w:val="007A28F1"/>
    <w:rsid w:val="007A54B8"/>
    <w:rsid w:val="007A5779"/>
    <w:rsid w:val="007A6B29"/>
    <w:rsid w:val="007B115A"/>
    <w:rsid w:val="007B1521"/>
    <w:rsid w:val="007B1831"/>
    <w:rsid w:val="007B27EE"/>
    <w:rsid w:val="007B3569"/>
    <w:rsid w:val="007B44B2"/>
    <w:rsid w:val="007B6AC9"/>
    <w:rsid w:val="007B6AFC"/>
    <w:rsid w:val="007B76E0"/>
    <w:rsid w:val="007C16CA"/>
    <w:rsid w:val="007C2A40"/>
    <w:rsid w:val="007C3599"/>
    <w:rsid w:val="007C36A8"/>
    <w:rsid w:val="007C3E2B"/>
    <w:rsid w:val="007C4486"/>
    <w:rsid w:val="007C4EE9"/>
    <w:rsid w:val="007C712A"/>
    <w:rsid w:val="007D0F0E"/>
    <w:rsid w:val="007D32AC"/>
    <w:rsid w:val="007D3E15"/>
    <w:rsid w:val="007D5895"/>
    <w:rsid w:val="007D5AED"/>
    <w:rsid w:val="007E12F5"/>
    <w:rsid w:val="007E16A1"/>
    <w:rsid w:val="007E2E5E"/>
    <w:rsid w:val="007E41EA"/>
    <w:rsid w:val="007E532D"/>
    <w:rsid w:val="007E61DA"/>
    <w:rsid w:val="007E6276"/>
    <w:rsid w:val="007E7E31"/>
    <w:rsid w:val="007F0F59"/>
    <w:rsid w:val="007F4A96"/>
    <w:rsid w:val="007F4CD5"/>
    <w:rsid w:val="007F623F"/>
    <w:rsid w:val="007F66FD"/>
    <w:rsid w:val="007F6D9B"/>
    <w:rsid w:val="008016AC"/>
    <w:rsid w:val="00803203"/>
    <w:rsid w:val="00804D65"/>
    <w:rsid w:val="00807A53"/>
    <w:rsid w:val="00811582"/>
    <w:rsid w:val="0081277B"/>
    <w:rsid w:val="0081287D"/>
    <w:rsid w:val="008207F1"/>
    <w:rsid w:val="008225C5"/>
    <w:rsid w:val="00823249"/>
    <w:rsid w:val="008236F1"/>
    <w:rsid w:val="00824709"/>
    <w:rsid w:val="0082787C"/>
    <w:rsid w:val="00831342"/>
    <w:rsid w:val="00833F03"/>
    <w:rsid w:val="00834FA1"/>
    <w:rsid w:val="00835044"/>
    <w:rsid w:val="00836D92"/>
    <w:rsid w:val="00837AF0"/>
    <w:rsid w:val="00845051"/>
    <w:rsid w:val="00845B4F"/>
    <w:rsid w:val="00846A55"/>
    <w:rsid w:val="0084721D"/>
    <w:rsid w:val="00847DF0"/>
    <w:rsid w:val="008516EC"/>
    <w:rsid w:val="00851E5A"/>
    <w:rsid w:val="0085495E"/>
    <w:rsid w:val="00854981"/>
    <w:rsid w:val="00856F47"/>
    <w:rsid w:val="00857529"/>
    <w:rsid w:val="008602C2"/>
    <w:rsid w:val="00861EA8"/>
    <w:rsid w:val="0086400D"/>
    <w:rsid w:val="00865E7C"/>
    <w:rsid w:val="008662A1"/>
    <w:rsid w:val="00866B67"/>
    <w:rsid w:val="00874C30"/>
    <w:rsid w:val="00875167"/>
    <w:rsid w:val="008777BD"/>
    <w:rsid w:val="00884268"/>
    <w:rsid w:val="00884612"/>
    <w:rsid w:val="00886333"/>
    <w:rsid w:val="008878B8"/>
    <w:rsid w:val="00890EAC"/>
    <w:rsid w:val="0089121C"/>
    <w:rsid w:val="008929A5"/>
    <w:rsid w:val="00893ADF"/>
    <w:rsid w:val="00894B84"/>
    <w:rsid w:val="00894DE1"/>
    <w:rsid w:val="008A208D"/>
    <w:rsid w:val="008A23FE"/>
    <w:rsid w:val="008A3326"/>
    <w:rsid w:val="008A3E0F"/>
    <w:rsid w:val="008A4C7D"/>
    <w:rsid w:val="008A64D6"/>
    <w:rsid w:val="008A67A8"/>
    <w:rsid w:val="008B3157"/>
    <w:rsid w:val="008B5A7A"/>
    <w:rsid w:val="008B5E5C"/>
    <w:rsid w:val="008B6D27"/>
    <w:rsid w:val="008C3A37"/>
    <w:rsid w:val="008C6D01"/>
    <w:rsid w:val="008C7D7D"/>
    <w:rsid w:val="008D11B2"/>
    <w:rsid w:val="008D15C9"/>
    <w:rsid w:val="008D1F0D"/>
    <w:rsid w:val="008D24CC"/>
    <w:rsid w:val="008D4EF0"/>
    <w:rsid w:val="008D704E"/>
    <w:rsid w:val="008D7337"/>
    <w:rsid w:val="008E2A91"/>
    <w:rsid w:val="008F1AB6"/>
    <w:rsid w:val="008F53B7"/>
    <w:rsid w:val="008F5D25"/>
    <w:rsid w:val="008F6471"/>
    <w:rsid w:val="00900BED"/>
    <w:rsid w:val="00901C65"/>
    <w:rsid w:val="00901D5E"/>
    <w:rsid w:val="0090329B"/>
    <w:rsid w:val="00906022"/>
    <w:rsid w:val="00906586"/>
    <w:rsid w:val="00906963"/>
    <w:rsid w:val="00910346"/>
    <w:rsid w:val="00910FC0"/>
    <w:rsid w:val="00911812"/>
    <w:rsid w:val="00912BE6"/>
    <w:rsid w:val="009169BD"/>
    <w:rsid w:val="0091787D"/>
    <w:rsid w:val="00917FFB"/>
    <w:rsid w:val="00920663"/>
    <w:rsid w:val="00921C06"/>
    <w:rsid w:val="0092491A"/>
    <w:rsid w:val="00924B95"/>
    <w:rsid w:val="00925AA8"/>
    <w:rsid w:val="0092783C"/>
    <w:rsid w:val="00930B04"/>
    <w:rsid w:val="00930C18"/>
    <w:rsid w:val="00930CCF"/>
    <w:rsid w:val="00934B1E"/>
    <w:rsid w:val="009356C7"/>
    <w:rsid w:val="00940A94"/>
    <w:rsid w:val="00943E3B"/>
    <w:rsid w:val="00945AB0"/>
    <w:rsid w:val="00946326"/>
    <w:rsid w:val="009478B3"/>
    <w:rsid w:val="00951FEE"/>
    <w:rsid w:val="0095450B"/>
    <w:rsid w:val="00955051"/>
    <w:rsid w:val="00955A09"/>
    <w:rsid w:val="009561CA"/>
    <w:rsid w:val="00960895"/>
    <w:rsid w:val="009634B7"/>
    <w:rsid w:val="00963982"/>
    <w:rsid w:val="00963FB2"/>
    <w:rsid w:val="00964BEA"/>
    <w:rsid w:val="00965359"/>
    <w:rsid w:val="0096568D"/>
    <w:rsid w:val="00966984"/>
    <w:rsid w:val="00966CB2"/>
    <w:rsid w:val="009714D4"/>
    <w:rsid w:val="00972D96"/>
    <w:rsid w:val="00974113"/>
    <w:rsid w:val="009772AB"/>
    <w:rsid w:val="009777BD"/>
    <w:rsid w:val="00977A31"/>
    <w:rsid w:val="0098152A"/>
    <w:rsid w:val="00983757"/>
    <w:rsid w:val="009838A4"/>
    <w:rsid w:val="0099005E"/>
    <w:rsid w:val="00991427"/>
    <w:rsid w:val="009932C3"/>
    <w:rsid w:val="009938A9"/>
    <w:rsid w:val="00994B96"/>
    <w:rsid w:val="00995BFC"/>
    <w:rsid w:val="00996EDB"/>
    <w:rsid w:val="009A4D3E"/>
    <w:rsid w:val="009A6C8B"/>
    <w:rsid w:val="009A6F7D"/>
    <w:rsid w:val="009B0CF9"/>
    <w:rsid w:val="009B0EB2"/>
    <w:rsid w:val="009B2B5F"/>
    <w:rsid w:val="009B2DDF"/>
    <w:rsid w:val="009B58C4"/>
    <w:rsid w:val="009B64D2"/>
    <w:rsid w:val="009C04FA"/>
    <w:rsid w:val="009C0C52"/>
    <w:rsid w:val="009C2606"/>
    <w:rsid w:val="009C2DF5"/>
    <w:rsid w:val="009C30CE"/>
    <w:rsid w:val="009D1A0F"/>
    <w:rsid w:val="009D1A8B"/>
    <w:rsid w:val="009D2429"/>
    <w:rsid w:val="009D5AAD"/>
    <w:rsid w:val="009D71D7"/>
    <w:rsid w:val="009E0044"/>
    <w:rsid w:val="009E07B7"/>
    <w:rsid w:val="009E1CB0"/>
    <w:rsid w:val="009E2401"/>
    <w:rsid w:val="009E55A9"/>
    <w:rsid w:val="009F26C9"/>
    <w:rsid w:val="009F3B37"/>
    <w:rsid w:val="009F4C2F"/>
    <w:rsid w:val="009F5628"/>
    <w:rsid w:val="009F7EC9"/>
    <w:rsid w:val="00A034B7"/>
    <w:rsid w:val="00A03E36"/>
    <w:rsid w:val="00A04279"/>
    <w:rsid w:val="00A0576C"/>
    <w:rsid w:val="00A06709"/>
    <w:rsid w:val="00A06830"/>
    <w:rsid w:val="00A06D5F"/>
    <w:rsid w:val="00A07EFA"/>
    <w:rsid w:val="00A10749"/>
    <w:rsid w:val="00A10964"/>
    <w:rsid w:val="00A124B5"/>
    <w:rsid w:val="00A1452F"/>
    <w:rsid w:val="00A14A15"/>
    <w:rsid w:val="00A15074"/>
    <w:rsid w:val="00A150B0"/>
    <w:rsid w:val="00A153C9"/>
    <w:rsid w:val="00A15FEA"/>
    <w:rsid w:val="00A20229"/>
    <w:rsid w:val="00A21FAE"/>
    <w:rsid w:val="00A22414"/>
    <w:rsid w:val="00A22540"/>
    <w:rsid w:val="00A23E25"/>
    <w:rsid w:val="00A25E45"/>
    <w:rsid w:val="00A26BB6"/>
    <w:rsid w:val="00A27441"/>
    <w:rsid w:val="00A34AD8"/>
    <w:rsid w:val="00A34F12"/>
    <w:rsid w:val="00A35A06"/>
    <w:rsid w:val="00A36730"/>
    <w:rsid w:val="00A37739"/>
    <w:rsid w:val="00A37D54"/>
    <w:rsid w:val="00A41A1D"/>
    <w:rsid w:val="00A42590"/>
    <w:rsid w:val="00A452B0"/>
    <w:rsid w:val="00A45558"/>
    <w:rsid w:val="00A47584"/>
    <w:rsid w:val="00A5094E"/>
    <w:rsid w:val="00A52AA0"/>
    <w:rsid w:val="00A5435F"/>
    <w:rsid w:val="00A55016"/>
    <w:rsid w:val="00A57207"/>
    <w:rsid w:val="00A62521"/>
    <w:rsid w:val="00A62A69"/>
    <w:rsid w:val="00A62BF0"/>
    <w:rsid w:val="00A63C9C"/>
    <w:rsid w:val="00A64BAA"/>
    <w:rsid w:val="00A70E1A"/>
    <w:rsid w:val="00A72795"/>
    <w:rsid w:val="00A75B32"/>
    <w:rsid w:val="00A75E2B"/>
    <w:rsid w:val="00A7608B"/>
    <w:rsid w:val="00A765D9"/>
    <w:rsid w:val="00A76F54"/>
    <w:rsid w:val="00A807F1"/>
    <w:rsid w:val="00A80B10"/>
    <w:rsid w:val="00A80F66"/>
    <w:rsid w:val="00A8113C"/>
    <w:rsid w:val="00A8212A"/>
    <w:rsid w:val="00A8263D"/>
    <w:rsid w:val="00A83D9E"/>
    <w:rsid w:val="00A841B4"/>
    <w:rsid w:val="00A848E9"/>
    <w:rsid w:val="00A849DA"/>
    <w:rsid w:val="00A8558F"/>
    <w:rsid w:val="00A9342A"/>
    <w:rsid w:val="00A94E07"/>
    <w:rsid w:val="00A950EF"/>
    <w:rsid w:val="00A96106"/>
    <w:rsid w:val="00AA09AD"/>
    <w:rsid w:val="00AA2982"/>
    <w:rsid w:val="00AA4DB3"/>
    <w:rsid w:val="00AA5826"/>
    <w:rsid w:val="00AA5CE8"/>
    <w:rsid w:val="00AA6E51"/>
    <w:rsid w:val="00AB01F3"/>
    <w:rsid w:val="00AB0875"/>
    <w:rsid w:val="00AB27EF"/>
    <w:rsid w:val="00AB40DF"/>
    <w:rsid w:val="00AB5CAE"/>
    <w:rsid w:val="00AB5E37"/>
    <w:rsid w:val="00AB7757"/>
    <w:rsid w:val="00AB79FD"/>
    <w:rsid w:val="00AC01BB"/>
    <w:rsid w:val="00AC01F8"/>
    <w:rsid w:val="00AC1066"/>
    <w:rsid w:val="00AC505B"/>
    <w:rsid w:val="00AC5F34"/>
    <w:rsid w:val="00AD08D7"/>
    <w:rsid w:val="00AD09A0"/>
    <w:rsid w:val="00AD0CED"/>
    <w:rsid w:val="00AD18D5"/>
    <w:rsid w:val="00AD60E0"/>
    <w:rsid w:val="00AD7B39"/>
    <w:rsid w:val="00AD7FC2"/>
    <w:rsid w:val="00AE2C1D"/>
    <w:rsid w:val="00AE3455"/>
    <w:rsid w:val="00AE3AE2"/>
    <w:rsid w:val="00AF09CD"/>
    <w:rsid w:val="00AF1EE8"/>
    <w:rsid w:val="00AF21A5"/>
    <w:rsid w:val="00AF4692"/>
    <w:rsid w:val="00AF7101"/>
    <w:rsid w:val="00AF7E85"/>
    <w:rsid w:val="00B00165"/>
    <w:rsid w:val="00B0077F"/>
    <w:rsid w:val="00B00948"/>
    <w:rsid w:val="00B012BC"/>
    <w:rsid w:val="00B01535"/>
    <w:rsid w:val="00B03625"/>
    <w:rsid w:val="00B03707"/>
    <w:rsid w:val="00B05BF2"/>
    <w:rsid w:val="00B10521"/>
    <w:rsid w:val="00B1239B"/>
    <w:rsid w:val="00B14ADE"/>
    <w:rsid w:val="00B15483"/>
    <w:rsid w:val="00B1644C"/>
    <w:rsid w:val="00B17213"/>
    <w:rsid w:val="00B21CA6"/>
    <w:rsid w:val="00B224E8"/>
    <w:rsid w:val="00B2279A"/>
    <w:rsid w:val="00B2321B"/>
    <w:rsid w:val="00B249E7"/>
    <w:rsid w:val="00B251B8"/>
    <w:rsid w:val="00B25392"/>
    <w:rsid w:val="00B27F6A"/>
    <w:rsid w:val="00B312F0"/>
    <w:rsid w:val="00B330DD"/>
    <w:rsid w:val="00B33734"/>
    <w:rsid w:val="00B35C8B"/>
    <w:rsid w:val="00B415A2"/>
    <w:rsid w:val="00B43384"/>
    <w:rsid w:val="00B44AAB"/>
    <w:rsid w:val="00B45EED"/>
    <w:rsid w:val="00B472F4"/>
    <w:rsid w:val="00B520BC"/>
    <w:rsid w:val="00B5388C"/>
    <w:rsid w:val="00B60878"/>
    <w:rsid w:val="00B609E4"/>
    <w:rsid w:val="00B60EC1"/>
    <w:rsid w:val="00B612CB"/>
    <w:rsid w:val="00B61F06"/>
    <w:rsid w:val="00B625DB"/>
    <w:rsid w:val="00B643E8"/>
    <w:rsid w:val="00B64D48"/>
    <w:rsid w:val="00B70C6F"/>
    <w:rsid w:val="00B71383"/>
    <w:rsid w:val="00B72E7F"/>
    <w:rsid w:val="00B77AD9"/>
    <w:rsid w:val="00B83C77"/>
    <w:rsid w:val="00B86501"/>
    <w:rsid w:val="00B86681"/>
    <w:rsid w:val="00B903E0"/>
    <w:rsid w:val="00B92138"/>
    <w:rsid w:val="00B94C70"/>
    <w:rsid w:val="00B95080"/>
    <w:rsid w:val="00B9565D"/>
    <w:rsid w:val="00B95DA5"/>
    <w:rsid w:val="00BA1618"/>
    <w:rsid w:val="00BA1A85"/>
    <w:rsid w:val="00BA2DAF"/>
    <w:rsid w:val="00BA397A"/>
    <w:rsid w:val="00BA5AEF"/>
    <w:rsid w:val="00BA6963"/>
    <w:rsid w:val="00BA6ACD"/>
    <w:rsid w:val="00BA6BCD"/>
    <w:rsid w:val="00BA7934"/>
    <w:rsid w:val="00BB3B06"/>
    <w:rsid w:val="00BB547B"/>
    <w:rsid w:val="00BC13BC"/>
    <w:rsid w:val="00BC2EF7"/>
    <w:rsid w:val="00BC500D"/>
    <w:rsid w:val="00BC57EB"/>
    <w:rsid w:val="00BC62FF"/>
    <w:rsid w:val="00BC73BF"/>
    <w:rsid w:val="00BD122F"/>
    <w:rsid w:val="00BD2B05"/>
    <w:rsid w:val="00BD32C2"/>
    <w:rsid w:val="00BD6273"/>
    <w:rsid w:val="00BE09D3"/>
    <w:rsid w:val="00BE117D"/>
    <w:rsid w:val="00BE2049"/>
    <w:rsid w:val="00BE6974"/>
    <w:rsid w:val="00BE6EB6"/>
    <w:rsid w:val="00BE7750"/>
    <w:rsid w:val="00BE7933"/>
    <w:rsid w:val="00BF3C3F"/>
    <w:rsid w:val="00BF4674"/>
    <w:rsid w:val="00BF7C5A"/>
    <w:rsid w:val="00C00D81"/>
    <w:rsid w:val="00C02B7B"/>
    <w:rsid w:val="00C070FA"/>
    <w:rsid w:val="00C1002D"/>
    <w:rsid w:val="00C109FA"/>
    <w:rsid w:val="00C1457D"/>
    <w:rsid w:val="00C164C0"/>
    <w:rsid w:val="00C23F3D"/>
    <w:rsid w:val="00C246B4"/>
    <w:rsid w:val="00C251AC"/>
    <w:rsid w:val="00C264CA"/>
    <w:rsid w:val="00C266C2"/>
    <w:rsid w:val="00C27D6E"/>
    <w:rsid w:val="00C31A13"/>
    <w:rsid w:val="00C320B4"/>
    <w:rsid w:val="00C34669"/>
    <w:rsid w:val="00C35837"/>
    <w:rsid w:val="00C35DEB"/>
    <w:rsid w:val="00C36DCB"/>
    <w:rsid w:val="00C37CF7"/>
    <w:rsid w:val="00C4224C"/>
    <w:rsid w:val="00C43461"/>
    <w:rsid w:val="00C437C1"/>
    <w:rsid w:val="00C44A25"/>
    <w:rsid w:val="00C46FF4"/>
    <w:rsid w:val="00C5023B"/>
    <w:rsid w:val="00C56A90"/>
    <w:rsid w:val="00C604CD"/>
    <w:rsid w:val="00C61541"/>
    <w:rsid w:val="00C62011"/>
    <w:rsid w:val="00C6210B"/>
    <w:rsid w:val="00C662B4"/>
    <w:rsid w:val="00C6683B"/>
    <w:rsid w:val="00C66CAD"/>
    <w:rsid w:val="00C7248F"/>
    <w:rsid w:val="00C73976"/>
    <w:rsid w:val="00C7588D"/>
    <w:rsid w:val="00C75A82"/>
    <w:rsid w:val="00C80641"/>
    <w:rsid w:val="00C82988"/>
    <w:rsid w:val="00C83182"/>
    <w:rsid w:val="00C85F7F"/>
    <w:rsid w:val="00C86371"/>
    <w:rsid w:val="00C87131"/>
    <w:rsid w:val="00C872E8"/>
    <w:rsid w:val="00C9075E"/>
    <w:rsid w:val="00C91ECF"/>
    <w:rsid w:val="00C94380"/>
    <w:rsid w:val="00C9477E"/>
    <w:rsid w:val="00C953F2"/>
    <w:rsid w:val="00C95A01"/>
    <w:rsid w:val="00C95D7C"/>
    <w:rsid w:val="00C97079"/>
    <w:rsid w:val="00CA12F8"/>
    <w:rsid w:val="00CA1D85"/>
    <w:rsid w:val="00CA40CA"/>
    <w:rsid w:val="00CA668B"/>
    <w:rsid w:val="00CB017D"/>
    <w:rsid w:val="00CB07D6"/>
    <w:rsid w:val="00CB2335"/>
    <w:rsid w:val="00CB4D33"/>
    <w:rsid w:val="00CB58FB"/>
    <w:rsid w:val="00CB6467"/>
    <w:rsid w:val="00CC245B"/>
    <w:rsid w:val="00CC46FA"/>
    <w:rsid w:val="00CC488A"/>
    <w:rsid w:val="00CC70F3"/>
    <w:rsid w:val="00CD086B"/>
    <w:rsid w:val="00CD6128"/>
    <w:rsid w:val="00CD6F85"/>
    <w:rsid w:val="00CE0B4F"/>
    <w:rsid w:val="00CE1024"/>
    <w:rsid w:val="00CE36CA"/>
    <w:rsid w:val="00CE47BB"/>
    <w:rsid w:val="00CE4AD6"/>
    <w:rsid w:val="00CE4C46"/>
    <w:rsid w:val="00CE5756"/>
    <w:rsid w:val="00CF0C6C"/>
    <w:rsid w:val="00CF163B"/>
    <w:rsid w:val="00CF2444"/>
    <w:rsid w:val="00CF39DD"/>
    <w:rsid w:val="00CF4882"/>
    <w:rsid w:val="00CF5610"/>
    <w:rsid w:val="00CF5BCE"/>
    <w:rsid w:val="00CF602F"/>
    <w:rsid w:val="00D00D15"/>
    <w:rsid w:val="00D0287E"/>
    <w:rsid w:val="00D031B4"/>
    <w:rsid w:val="00D07EC3"/>
    <w:rsid w:val="00D122A1"/>
    <w:rsid w:val="00D133E1"/>
    <w:rsid w:val="00D143DF"/>
    <w:rsid w:val="00D147EA"/>
    <w:rsid w:val="00D15772"/>
    <w:rsid w:val="00D16964"/>
    <w:rsid w:val="00D1775A"/>
    <w:rsid w:val="00D2119F"/>
    <w:rsid w:val="00D22657"/>
    <w:rsid w:val="00D25AA8"/>
    <w:rsid w:val="00D2658F"/>
    <w:rsid w:val="00D27062"/>
    <w:rsid w:val="00D323D7"/>
    <w:rsid w:val="00D3247B"/>
    <w:rsid w:val="00D32609"/>
    <w:rsid w:val="00D339D9"/>
    <w:rsid w:val="00D349B6"/>
    <w:rsid w:val="00D3609B"/>
    <w:rsid w:val="00D3630A"/>
    <w:rsid w:val="00D37179"/>
    <w:rsid w:val="00D376F9"/>
    <w:rsid w:val="00D37A9B"/>
    <w:rsid w:val="00D41154"/>
    <w:rsid w:val="00D41C16"/>
    <w:rsid w:val="00D425BE"/>
    <w:rsid w:val="00D440AD"/>
    <w:rsid w:val="00D47757"/>
    <w:rsid w:val="00D50596"/>
    <w:rsid w:val="00D50C13"/>
    <w:rsid w:val="00D51320"/>
    <w:rsid w:val="00D52485"/>
    <w:rsid w:val="00D526EB"/>
    <w:rsid w:val="00D535E6"/>
    <w:rsid w:val="00D54F4E"/>
    <w:rsid w:val="00D62C34"/>
    <w:rsid w:val="00D63E49"/>
    <w:rsid w:val="00D648CC"/>
    <w:rsid w:val="00D64C34"/>
    <w:rsid w:val="00D65B2E"/>
    <w:rsid w:val="00D66061"/>
    <w:rsid w:val="00D669A2"/>
    <w:rsid w:val="00D70388"/>
    <w:rsid w:val="00D7266C"/>
    <w:rsid w:val="00D7337C"/>
    <w:rsid w:val="00D737DA"/>
    <w:rsid w:val="00D739B0"/>
    <w:rsid w:val="00D77B1D"/>
    <w:rsid w:val="00D820B4"/>
    <w:rsid w:val="00D82875"/>
    <w:rsid w:val="00D83577"/>
    <w:rsid w:val="00D85771"/>
    <w:rsid w:val="00D86E6C"/>
    <w:rsid w:val="00D90EB7"/>
    <w:rsid w:val="00D920AE"/>
    <w:rsid w:val="00D95FB2"/>
    <w:rsid w:val="00D97617"/>
    <w:rsid w:val="00D97FFB"/>
    <w:rsid w:val="00DA1750"/>
    <w:rsid w:val="00DA3375"/>
    <w:rsid w:val="00DA41AE"/>
    <w:rsid w:val="00DA4C4E"/>
    <w:rsid w:val="00DA5982"/>
    <w:rsid w:val="00DA60B6"/>
    <w:rsid w:val="00DA6F7C"/>
    <w:rsid w:val="00DA7BA7"/>
    <w:rsid w:val="00DB1D74"/>
    <w:rsid w:val="00DC05C7"/>
    <w:rsid w:val="00DC35FE"/>
    <w:rsid w:val="00DD0DAA"/>
    <w:rsid w:val="00DD141D"/>
    <w:rsid w:val="00DD24F4"/>
    <w:rsid w:val="00DD2DCA"/>
    <w:rsid w:val="00DD44B9"/>
    <w:rsid w:val="00DD5017"/>
    <w:rsid w:val="00DD5766"/>
    <w:rsid w:val="00DD62FE"/>
    <w:rsid w:val="00DD6B22"/>
    <w:rsid w:val="00DE0F88"/>
    <w:rsid w:val="00DE14DC"/>
    <w:rsid w:val="00DE2502"/>
    <w:rsid w:val="00DE2C29"/>
    <w:rsid w:val="00DE39EC"/>
    <w:rsid w:val="00DE40A8"/>
    <w:rsid w:val="00DE6880"/>
    <w:rsid w:val="00DF238D"/>
    <w:rsid w:val="00DF3371"/>
    <w:rsid w:val="00DF740A"/>
    <w:rsid w:val="00E017BC"/>
    <w:rsid w:val="00E029BD"/>
    <w:rsid w:val="00E02FC2"/>
    <w:rsid w:val="00E03C3C"/>
    <w:rsid w:val="00E0466D"/>
    <w:rsid w:val="00E05673"/>
    <w:rsid w:val="00E05A23"/>
    <w:rsid w:val="00E05DAA"/>
    <w:rsid w:val="00E07A65"/>
    <w:rsid w:val="00E10559"/>
    <w:rsid w:val="00E12AAB"/>
    <w:rsid w:val="00E150F2"/>
    <w:rsid w:val="00E15172"/>
    <w:rsid w:val="00E151EA"/>
    <w:rsid w:val="00E155E9"/>
    <w:rsid w:val="00E160FD"/>
    <w:rsid w:val="00E171D5"/>
    <w:rsid w:val="00E24471"/>
    <w:rsid w:val="00E24AE8"/>
    <w:rsid w:val="00E251FB"/>
    <w:rsid w:val="00E267DB"/>
    <w:rsid w:val="00E27CB0"/>
    <w:rsid w:val="00E30780"/>
    <w:rsid w:val="00E30823"/>
    <w:rsid w:val="00E30BF6"/>
    <w:rsid w:val="00E327E3"/>
    <w:rsid w:val="00E43B2F"/>
    <w:rsid w:val="00E43BA3"/>
    <w:rsid w:val="00E43E90"/>
    <w:rsid w:val="00E60CD2"/>
    <w:rsid w:val="00E64673"/>
    <w:rsid w:val="00E64ADA"/>
    <w:rsid w:val="00E64C2B"/>
    <w:rsid w:val="00E6646C"/>
    <w:rsid w:val="00E66A0E"/>
    <w:rsid w:val="00E66EB3"/>
    <w:rsid w:val="00E709EB"/>
    <w:rsid w:val="00E71116"/>
    <w:rsid w:val="00E71163"/>
    <w:rsid w:val="00E71B9A"/>
    <w:rsid w:val="00E71FA8"/>
    <w:rsid w:val="00E72890"/>
    <w:rsid w:val="00E7345B"/>
    <w:rsid w:val="00E742CD"/>
    <w:rsid w:val="00E80ACF"/>
    <w:rsid w:val="00E817EA"/>
    <w:rsid w:val="00E8207C"/>
    <w:rsid w:val="00E82DF0"/>
    <w:rsid w:val="00E864B5"/>
    <w:rsid w:val="00E94430"/>
    <w:rsid w:val="00E97459"/>
    <w:rsid w:val="00E97A9C"/>
    <w:rsid w:val="00E97E1E"/>
    <w:rsid w:val="00EA0792"/>
    <w:rsid w:val="00EA287D"/>
    <w:rsid w:val="00EA31F6"/>
    <w:rsid w:val="00EA3BDB"/>
    <w:rsid w:val="00EA454B"/>
    <w:rsid w:val="00EA4A4B"/>
    <w:rsid w:val="00EA673A"/>
    <w:rsid w:val="00EA6E25"/>
    <w:rsid w:val="00EB05DB"/>
    <w:rsid w:val="00EB3A1D"/>
    <w:rsid w:val="00EB5B04"/>
    <w:rsid w:val="00EB7567"/>
    <w:rsid w:val="00EB7803"/>
    <w:rsid w:val="00EC0411"/>
    <w:rsid w:val="00EC1DDD"/>
    <w:rsid w:val="00EC221D"/>
    <w:rsid w:val="00EC3454"/>
    <w:rsid w:val="00EC410F"/>
    <w:rsid w:val="00EC4F9C"/>
    <w:rsid w:val="00EC5694"/>
    <w:rsid w:val="00EC5FE3"/>
    <w:rsid w:val="00EC6AC1"/>
    <w:rsid w:val="00ED06DE"/>
    <w:rsid w:val="00ED0A0E"/>
    <w:rsid w:val="00ED7193"/>
    <w:rsid w:val="00ED7771"/>
    <w:rsid w:val="00EE69BB"/>
    <w:rsid w:val="00EF0CFB"/>
    <w:rsid w:val="00EF1197"/>
    <w:rsid w:val="00EF1EA0"/>
    <w:rsid w:val="00EF29D6"/>
    <w:rsid w:val="00EF35B3"/>
    <w:rsid w:val="00EF3690"/>
    <w:rsid w:val="00EF4B29"/>
    <w:rsid w:val="00EF65C1"/>
    <w:rsid w:val="00EF6DB4"/>
    <w:rsid w:val="00EF71EE"/>
    <w:rsid w:val="00F037FB"/>
    <w:rsid w:val="00F03F8F"/>
    <w:rsid w:val="00F06E8E"/>
    <w:rsid w:val="00F12885"/>
    <w:rsid w:val="00F14148"/>
    <w:rsid w:val="00F16BEB"/>
    <w:rsid w:val="00F21B6E"/>
    <w:rsid w:val="00F23FD5"/>
    <w:rsid w:val="00F249B9"/>
    <w:rsid w:val="00F2519E"/>
    <w:rsid w:val="00F25726"/>
    <w:rsid w:val="00F257F8"/>
    <w:rsid w:val="00F31A7D"/>
    <w:rsid w:val="00F3221B"/>
    <w:rsid w:val="00F324EF"/>
    <w:rsid w:val="00F34005"/>
    <w:rsid w:val="00F366C6"/>
    <w:rsid w:val="00F44822"/>
    <w:rsid w:val="00F44B3A"/>
    <w:rsid w:val="00F50738"/>
    <w:rsid w:val="00F514A8"/>
    <w:rsid w:val="00F537B8"/>
    <w:rsid w:val="00F5602F"/>
    <w:rsid w:val="00F56186"/>
    <w:rsid w:val="00F56FB8"/>
    <w:rsid w:val="00F606CF"/>
    <w:rsid w:val="00F607D9"/>
    <w:rsid w:val="00F61010"/>
    <w:rsid w:val="00F64187"/>
    <w:rsid w:val="00F66179"/>
    <w:rsid w:val="00F67234"/>
    <w:rsid w:val="00F71017"/>
    <w:rsid w:val="00F7201B"/>
    <w:rsid w:val="00F72C05"/>
    <w:rsid w:val="00F77373"/>
    <w:rsid w:val="00F77726"/>
    <w:rsid w:val="00F77E74"/>
    <w:rsid w:val="00F81F4A"/>
    <w:rsid w:val="00F82E3A"/>
    <w:rsid w:val="00F83074"/>
    <w:rsid w:val="00F833BD"/>
    <w:rsid w:val="00F84001"/>
    <w:rsid w:val="00F84322"/>
    <w:rsid w:val="00F85196"/>
    <w:rsid w:val="00F87A4E"/>
    <w:rsid w:val="00F9176C"/>
    <w:rsid w:val="00F91A80"/>
    <w:rsid w:val="00F95625"/>
    <w:rsid w:val="00F966C2"/>
    <w:rsid w:val="00F97473"/>
    <w:rsid w:val="00F9791D"/>
    <w:rsid w:val="00F97EAC"/>
    <w:rsid w:val="00FA0720"/>
    <w:rsid w:val="00FA1659"/>
    <w:rsid w:val="00FA45BF"/>
    <w:rsid w:val="00FA5E94"/>
    <w:rsid w:val="00FA6C24"/>
    <w:rsid w:val="00FB2A9A"/>
    <w:rsid w:val="00FB398B"/>
    <w:rsid w:val="00FB648D"/>
    <w:rsid w:val="00FB7761"/>
    <w:rsid w:val="00FB7E38"/>
    <w:rsid w:val="00FC143F"/>
    <w:rsid w:val="00FC2030"/>
    <w:rsid w:val="00FC55F0"/>
    <w:rsid w:val="00FC5EC5"/>
    <w:rsid w:val="00FC72CF"/>
    <w:rsid w:val="00FD1D06"/>
    <w:rsid w:val="00FD463E"/>
    <w:rsid w:val="00FD4C51"/>
    <w:rsid w:val="00FD57D9"/>
    <w:rsid w:val="00FD5B73"/>
    <w:rsid w:val="00FD621A"/>
    <w:rsid w:val="00FD663E"/>
    <w:rsid w:val="00FE0B6D"/>
    <w:rsid w:val="00FE0C40"/>
    <w:rsid w:val="00FE1B42"/>
    <w:rsid w:val="00FE48FB"/>
    <w:rsid w:val="00FE4E30"/>
    <w:rsid w:val="00FE6316"/>
    <w:rsid w:val="00FE6C2E"/>
    <w:rsid w:val="00FF0FA1"/>
    <w:rsid w:val="00FF2448"/>
    <w:rsid w:val="00FF3465"/>
    <w:rsid w:val="00FF4022"/>
    <w:rsid w:val="00FF5024"/>
    <w:rsid w:val="00FF56CC"/>
    <w:rsid w:val="00FF5CD8"/>
    <w:rsid w:val="00FF70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2FF"/>
  </w:style>
  <w:style w:type="paragraph" w:styleId="Ttulo1">
    <w:name w:val="heading 1"/>
    <w:basedOn w:val="Normal"/>
    <w:next w:val="Normal"/>
    <w:link w:val="Ttulo1Char"/>
    <w:uiPriority w:val="9"/>
    <w:qFormat/>
    <w:rsid w:val="0028150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t-BR"/>
    </w:rPr>
  </w:style>
  <w:style w:type="paragraph" w:styleId="Ttulo2">
    <w:name w:val="heading 2"/>
    <w:basedOn w:val="Normal"/>
    <w:next w:val="Normal"/>
    <w:link w:val="Ttulo2Char"/>
    <w:uiPriority w:val="9"/>
    <w:semiHidden/>
    <w:unhideWhenUsed/>
    <w:qFormat/>
    <w:rsid w:val="00CC4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DD2DC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6A41A1"/>
  </w:style>
  <w:style w:type="character" w:styleId="TextodoEspaoReservado">
    <w:name w:val="Placeholder Text"/>
    <w:basedOn w:val="Fontepargpadro"/>
    <w:uiPriority w:val="99"/>
    <w:semiHidden/>
    <w:rsid w:val="006A41A1"/>
    <w:rPr>
      <w:color w:val="808080"/>
    </w:rPr>
  </w:style>
  <w:style w:type="paragraph" w:styleId="Textodebalo">
    <w:name w:val="Balloon Text"/>
    <w:basedOn w:val="Normal"/>
    <w:link w:val="TextodebaloChar"/>
    <w:uiPriority w:val="99"/>
    <w:semiHidden/>
    <w:unhideWhenUsed/>
    <w:rsid w:val="006A41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A41A1"/>
    <w:rPr>
      <w:rFonts w:ascii="Tahoma" w:hAnsi="Tahoma" w:cs="Tahoma"/>
      <w:sz w:val="16"/>
      <w:szCs w:val="16"/>
    </w:rPr>
  </w:style>
  <w:style w:type="character" w:customStyle="1" w:styleId="Ttulo3Char">
    <w:name w:val="Título 3 Char"/>
    <w:basedOn w:val="Fontepargpadro"/>
    <w:link w:val="Ttulo3"/>
    <w:uiPriority w:val="9"/>
    <w:rsid w:val="00DD2DCA"/>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DD2DCA"/>
    <w:rPr>
      <w:rFonts w:ascii="Verdana" w:hAnsi="Verdana" w:hint="default"/>
      <w:color w:val="000000"/>
      <w:sz w:val="15"/>
      <w:szCs w:val="15"/>
      <w:u w:val="single"/>
    </w:rPr>
  </w:style>
  <w:style w:type="paragraph" w:styleId="Textodenotaderodap">
    <w:name w:val="footnote text"/>
    <w:basedOn w:val="Normal"/>
    <w:link w:val="TextodenotaderodapChar"/>
    <w:uiPriority w:val="99"/>
    <w:semiHidden/>
    <w:unhideWhenUsed/>
    <w:rsid w:val="00AB087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B0875"/>
    <w:rPr>
      <w:sz w:val="20"/>
      <w:szCs w:val="20"/>
    </w:rPr>
  </w:style>
  <w:style w:type="character" w:styleId="Refdenotaderodap">
    <w:name w:val="footnote reference"/>
    <w:basedOn w:val="Fontepargpadro"/>
    <w:uiPriority w:val="99"/>
    <w:semiHidden/>
    <w:unhideWhenUsed/>
    <w:rsid w:val="00AB0875"/>
    <w:rPr>
      <w:vertAlign w:val="superscript"/>
    </w:rPr>
  </w:style>
  <w:style w:type="character" w:customStyle="1" w:styleId="Ttulo1Char">
    <w:name w:val="Título 1 Char"/>
    <w:basedOn w:val="Fontepargpadro"/>
    <w:link w:val="Ttulo1"/>
    <w:uiPriority w:val="9"/>
    <w:rsid w:val="0028150A"/>
    <w:rPr>
      <w:rFonts w:asciiTheme="majorHAnsi" w:eastAsiaTheme="majorEastAsia" w:hAnsiTheme="majorHAnsi" w:cstheme="majorBidi"/>
      <w:b/>
      <w:bCs/>
      <w:color w:val="365F91" w:themeColor="accent1" w:themeShade="BF"/>
      <w:sz w:val="28"/>
      <w:szCs w:val="28"/>
      <w:lang w:eastAsia="pt-BR"/>
    </w:rPr>
  </w:style>
  <w:style w:type="table" w:styleId="Tabelacomgrade">
    <w:name w:val="Table Grid"/>
    <w:basedOn w:val="Tabelanormal"/>
    <w:uiPriority w:val="59"/>
    <w:rsid w:val="00AA5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oHTML">
    <w:name w:val="HTML Cite"/>
    <w:basedOn w:val="Fontepargpadro"/>
    <w:uiPriority w:val="99"/>
    <w:semiHidden/>
    <w:unhideWhenUsed/>
    <w:rsid w:val="00FE0B6D"/>
    <w:rPr>
      <w:i/>
      <w:iCs/>
    </w:rPr>
  </w:style>
  <w:style w:type="paragraph" w:styleId="PargrafodaLista">
    <w:name w:val="List Paragraph"/>
    <w:basedOn w:val="Normal"/>
    <w:uiPriority w:val="34"/>
    <w:qFormat/>
    <w:rsid w:val="0081287D"/>
    <w:pPr>
      <w:ind w:left="720"/>
      <w:contextualSpacing/>
    </w:pPr>
  </w:style>
  <w:style w:type="character" w:customStyle="1" w:styleId="Ttulo2Char">
    <w:name w:val="Título 2 Char"/>
    <w:basedOn w:val="Fontepargpadro"/>
    <w:link w:val="Ttulo2"/>
    <w:uiPriority w:val="9"/>
    <w:semiHidden/>
    <w:rsid w:val="00CC46FA"/>
    <w:rPr>
      <w:rFonts w:asciiTheme="majorHAnsi" w:eastAsiaTheme="majorEastAsia" w:hAnsiTheme="majorHAnsi" w:cstheme="majorBidi"/>
      <w:b/>
      <w:bCs/>
      <w:color w:val="4F81BD" w:themeColor="accent1"/>
      <w:sz w:val="26"/>
      <w:szCs w:val="26"/>
    </w:rPr>
  </w:style>
  <w:style w:type="table" w:customStyle="1" w:styleId="Tabelacomgrade1">
    <w:name w:val="Tabela com grade1"/>
    <w:basedOn w:val="Tabelanormal"/>
    <w:next w:val="Tabelacomgrade"/>
    <w:uiPriority w:val="59"/>
    <w:rsid w:val="00CC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CC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CC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04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904BC"/>
    <w:rPr>
      <w:b/>
      <w:bCs/>
    </w:rPr>
  </w:style>
  <w:style w:type="paragraph" w:styleId="Sumrio1">
    <w:name w:val="toc 1"/>
    <w:aliases w:val="Sumário Tese"/>
    <w:basedOn w:val="Normal"/>
    <w:next w:val="Normal"/>
    <w:autoRedefine/>
    <w:uiPriority w:val="39"/>
    <w:unhideWhenUsed/>
    <w:rsid w:val="0043248F"/>
    <w:pPr>
      <w:tabs>
        <w:tab w:val="left" w:pos="440"/>
        <w:tab w:val="right" w:leader="dot" w:pos="9061"/>
      </w:tabs>
      <w:spacing w:before="240" w:after="240" w:line="360" w:lineRule="auto"/>
    </w:pPr>
    <w:rPr>
      <w:rFonts w:ascii="Times New Roman" w:hAnsi="Times New Roman"/>
      <w:bCs/>
      <w:iCs/>
      <w:sz w:val="24"/>
      <w:szCs w:val="24"/>
    </w:rPr>
  </w:style>
  <w:style w:type="character" w:styleId="Refdecomentrio">
    <w:name w:val="annotation reference"/>
    <w:basedOn w:val="Fontepargpadro"/>
    <w:uiPriority w:val="99"/>
    <w:semiHidden/>
    <w:unhideWhenUsed/>
    <w:rsid w:val="00E709EB"/>
    <w:rPr>
      <w:sz w:val="16"/>
      <w:szCs w:val="16"/>
    </w:rPr>
  </w:style>
  <w:style w:type="paragraph" w:styleId="Textodecomentrio">
    <w:name w:val="annotation text"/>
    <w:basedOn w:val="Normal"/>
    <w:link w:val="TextodecomentrioChar"/>
    <w:uiPriority w:val="99"/>
    <w:semiHidden/>
    <w:unhideWhenUsed/>
    <w:rsid w:val="00E709E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709EB"/>
    <w:rPr>
      <w:sz w:val="20"/>
      <w:szCs w:val="20"/>
    </w:rPr>
  </w:style>
  <w:style w:type="paragraph" w:styleId="Reviso">
    <w:name w:val="Revision"/>
    <w:hidden/>
    <w:uiPriority w:val="99"/>
    <w:semiHidden/>
    <w:rsid w:val="00E709EB"/>
    <w:pPr>
      <w:spacing w:after="0" w:line="240" w:lineRule="auto"/>
    </w:pPr>
  </w:style>
  <w:style w:type="character" w:customStyle="1" w:styleId="longtext">
    <w:name w:val="long_text"/>
    <w:basedOn w:val="Fontepargpadro"/>
    <w:rsid w:val="009C04FA"/>
  </w:style>
  <w:style w:type="paragraph" w:customStyle="1" w:styleId="Default">
    <w:name w:val="Default"/>
    <w:rsid w:val="0037629E"/>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1060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02F"/>
  </w:style>
  <w:style w:type="paragraph" w:styleId="Rodap">
    <w:name w:val="footer"/>
    <w:basedOn w:val="Normal"/>
    <w:link w:val="RodapChar"/>
    <w:uiPriority w:val="99"/>
    <w:unhideWhenUsed/>
    <w:rsid w:val="0010602F"/>
    <w:pPr>
      <w:tabs>
        <w:tab w:val="center" w:pos="4252"/>
        <w:tab w:val="right" w:pos="8504"/>
      </w:tabs>
      <w:spacing w:after="0" w:line="240" w:lineRule="auto"/>
    </w:pPr>
  </w:style>
  <w:style w:type="character" w:customStyle="1" w:styleId="RodapChar">
    <w:name w:val="Rodapé Char"/>
    <w:basedOn w:val="Fontepargpadro"/>
    <w:link w:val="Rodap"/>
    <w:uiPriority w:val="99"/>
    <w:rsid w:val="0010602F"/>
  </w:style>
  <w:style w:type="paragraph" w:styleId="Sumrio2">
    <w:name w:val="toc 2"/>
    <w:basedOn w:val="Normal"/>
    <w:next w:val="Normal"/>
    <w:autoRedefine/>
    <w:uiPriority w:val="39"/>
    <w:unhideWhenUsed/>
    <w:rsid w:val="00534808"/>
    <w:pPr>
      <w:spacing w:after="100"/>
      <w:ind w:left="220"/>
    </w:pPr>
  </w:style>
  <w:style w:type="paragraph" w:styleId="CabealhodoSumrio">
    <w:name w:val="TOC Heading"/>
    <w:basedOn w:val="Ttulo1"/>
    <w:next w:val="Normal"/>
    <w:uiPriority w:val="39"/>
    <w:semiHidden/>
    <w:unhideWhenUsed/>
    <w:qFormat/>
    <w:rsid w:val="000F14D5"/>
    <w:pPr>
      <w:outlineLvl w:val="9"/>
    </w:pPr>
  </w:style>
  <w:style w:type="character" w:customStyle="1" w:styleId="shorttext">
    <w:name w:val="short_text"/>
    <w:basedOn w:val="Fontepargpadro"/>
    <w:rsid w:val="00B64D48"/>
  </w:style>
  <w:style w:type="paragraph" w:styleId="Ttulo">
    <w:name w:val="Title"/>
    <w:basedOn w:val="Normal"/>
    <w:next w:val="Normal"/>
    <w:link w:val="TtuloChar"/>
    <w:uiPriority w:val="10"/>
    <w:qFormat/>
    <w:rsid w:val="00013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13AC0"/>
    <w:rPr>
      <w:rFonts w:asciiTheme="majorHAnsi" w:eastAsiaTheme="majorEastAsia" w:hAnsiTheme="majorHAnsi" w:cstheme="majorBidi"/>
      <w:color w:val="17365D" w:themeColor="text2" w:themeShade="BF"/>
      <w:spacing w:val="5"/>
      <w:kern w:val="28"/>
      <w:sz w:val="52"/>
      <w:szCs w:val="52"/>
    </w:rPr>
  </w:style>
  <w:style w:type="character" w:styleId="nfase">
    <w:name w:val="Emphasis"/>
    <w:basedOn w:val="Fontepargpadro"/>
    <w:uiPriority w:val="20"/>
    <w:qFormat/>
    <w:rsid w:val="00D54F4E"/>
    <w:rPr>
      <w:b/>
      <w:bCs/>
      <w:i w:val="0"/>
      <w:iCs w:val="0"/>
    </w:rPr>
  </w:style>
  <w:style w:type="character" w:customStyle="1" w:styleId="st1">
    <w:name w:val="st1"/>
    <w:basedOn w:val="Fontepargpadro"/>
    <w:rsid w:val="00D54F4E"/>
  </w:style>
  <w:style w:type="paragraph" w:customStyle="1" w:styleId="tabela">
    <w:name w:val="tabela"/>
    <w:basedOn w:val="Normal"/>
    <w:qFormat/>
    <w:rsid w:val="00EC5694"/>
    <w:pPr>
      <w:autoSpaceDE w:val="0"/>
      <w:autoSpaceDN w:val="0"/>
      <w:adjustRightInd w:val="0"/>
      <w:spacing w:after="0" w:line="240" w:lineRule="auto"/>
      <w:jc w:val="both"/>
    </w:pPr>
    <w:rPr>
      <w:rFonts w:ascii="Times New Roman" w:eastAsia="Times New Roman" w:hAnsi="Times New Roman" w:cs="Times New Roman"/>
      <w:b/>
      <w:sz w:val="20"/>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2FF"/>
  </w:style>
  <w:style w:type="paragraph" w:styleId="Ttulo1">
    <w:name w:val="heading 1"/>
    <w:basedOn w:val="Normal"/>
    <w:next w:val="Normal"/>
    <w:link w:val="Ttulo1Char"/>
    <w:uiPriority w:val="9"/>
    <w:qFormat/>
    <w:rsid w:val="0028150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t-BR"/>
    </w:rPr>
  </w:style>
  <w:style w:type="paragraph" w:styleId="Ttulo2">
    <w:name w:val="heading 2"/>
    <w:basedOn w:val="Normal"/>
    <w:next w:val="Normal"/>
    <w:link w:val="Ttulo2Char"/>
    <w:uiPriority w:val="9"/>
    <w:semiHidden/>
    <w:unhideWhenUsed/>
    <w:qFormat/>
    <w:rsid w:val="00CC4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DD2DC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6A41A1"/>
  </w:style>
  <w:style w:type="character" w:styleId="TextodoEspaoReservado">
    <w:name w:val="Placeholder Text"/>
    <w:basedOn w:val="Fontepargpadro"/>
    <w:uiPriority w:val="99"/>
    <w:semiHidden/>
    <w:rsid w:val="006A41A1"/>
    <w:rPr>
      <w:color w:val="808080"/>
    </w:rPr>
  </w:style>
  <w:style w:type="paragraph" w:styleId="Textodebalo">
    <w:name w:val="Balloon Text"/>
    <w:basedOn w:val="Normal"/>
    <w:link w:val="TextodebaloChar"/>
    <w:uiPriority w:val="99"/>
    <w:semiHidden/>
    <w:unhideWhenUsed/>
    <w:rsid w:val="006A41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A41A1"/>
    <w:rPr>
      <w:rFonts w:ascii="Tahoma" w:hAnsi="Tahoma" w:cs="Tahoma"/>
      <w:sz w:val="16"/>
      <w:szCs w:val="16"/>
    </w:rPr>
  </w:style>
  <w:style w:type="character" w:customStyle="1" w:styleId="Ttulo3Char">
    <w:name w:val="Título 3 Char"/>
    <w:basedOn w:val="Fontepargpadro"/>
    <w:link w:val="Ttulo3"/>
    <w:uiPriority w:val="9"/>
    <w:rsid w:val="00DD2DCA"/>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DD2DCA"/>
    <w:rPr>
      <w:rFonts w:ascii="Verdana" w:hAnsi="Verdana" w:hint="default"/>
      <w:color w:val="000000"/>
      <w:sz w:val="15"/>
      <w:szCs w:val="15"/>
      <w:u w:val="single"/>
    </w:rPr>
  </w:style>
  <w:style w:type="paragraph" w:styleId="Textodenotaderodap">
    <w:name w:val="footnote text"/>
    <w:basedOn w:val="Normal"/>
    <w:link w:val="TextodenotaderodapChar"/>
    <w:uiPriority w:val="99"/>
    <w:semiHidden/>
    <w:unhideWhenUsed/>
    <w:rsid w:val="00AB087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B0875"/>
    <w:rPr>
      <w:sz w:val="20"/>
      <w:szCs w:val="20"/>
    </w:rPr>
  </w:style>
  <w:style w:type="character" w:styleId="Refdenotaderodap">
    <w:name w:val="footnote reference"/>
    <w:basedOn w:val="Fontepargpadro"/>
    <w:uiPriority w:val="99"/>
    <w:semiHidden/>
    <w:unhideWhenUsed/>
    <w:rsid w:val="00AB0875"/>
    <w:rPr>
      <w:vertAlign w:val="superscript"/>
    </w:rPr>
  </w:style>
  <w:style w:type="character" w:customStyle="1" w:styleId="Ttulo1Char">
    <w:name w:val="Título 1 Char"/>
    <w:basedOn w:val="Fontepargpadro"/>
    <w:link w:val="Ttulo1"/>
    <w:uiPriority w:val="9"/>
    <w:rsid w:val="0028150A"/>
    <w:rPr>
      <w:rFonts w:asciiTheme="majorHAnsi" w:eastAsiaTheme="majorEastAsia" w:hAnsiTheme="majorHAnsi" w:cstheme="majorBidi"/>
      <w:b/>
      <w:bCs/>
      <w:color w:val="365F91" w:themeColor="accent1" w:themeShade="BF"/>
      <w:sz w:val="28"/>
      <w:szCs w:val="28"/>
      <w:lang w:eastAsia="pt-BR"/>
    </w:rPr>
  </w:style>
  <w:style w:type="table" w:styleId="Tabelacomgrade">
    <w:name w:val="Table Grid"/>
    <w:basedOn w:val="Tabelanormal"/>
    <w:uiPriority w:val="59"/>
    <w:rsid w:val="00AA5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oHTML">
    <w:name w:val="HTML Cite"/>
    <w:basedOn w:val="Fontepargpadro"/>
    <w:uiPriority w:val="99"/>
    <w:semiHidden/>
    <w:unhideWhenUsed/>
    <w:rsid w:val="00FE0B6D"/>
    <w:rPr>
      <w:i/>
      <w:iCs/>
    </w:rPr>
  </w:style>
  <w:style w:type="paragraph" w:styleId="PargrafodaLista">
    <w:name w:val="List Paragraph"/>
    <w:basedOn w:val="Normal"/>
    <w:uiPriority w:val="34"/>
    <w:qFormat/>
    <w:rsid w:val="0081287D"/>
    <w:pPr>
      <w:ind w:left="720"/>
      <w:contextualSpacing/>
    </w:pPr>
  </w:style>
  <w:style w:type="character" w:customStyle="1" w:styleId="Ttulo2Char">
    <w:name w:val="Título 2 Char"/>
    <w:basedOn w:val="Fontepargpadro"/>
    <w:link w:val="Ttulo2"/>
    <w:uiPriority w:val="9"/>
    <w:semiHidden/>
    <w:rsid w:val="00CC46FA"/>
    <w:rPr>
      <w:rFonts w:asciiTheme="majorHAnsi" w:eastAsiaTheme="majorEastAsia" w:hAnsiTheme="majorHAnsi" w:cstheme="majorBidi"/>
      <w:b/>
      <w:bCs/>
      <w:color w:val="4F81BD" w:themeColor="accent1"/>
      <w:sz w:val="26"/>
      <w:szCs w:val="26"/>
    </w:rPr>
  </w:style>
  <w:style w:type="table" w:customStyle="1" w:styleId="Tabelacomgrade1">
    <w:name w:val="Tabela com grade1"/>
    <w:basedOn w:val="Tabelanormal"/>
    <w:next w:val="Tabelacomgrade"/>
    <w:uiPriority w:val="59"/>
    <w:rsid w:val="00CC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CC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CC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04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904BC"/>
    <w:rPr>
      <w:b/>
      <w:bCs/>
    </w:rPr>
  </w:style>
  <w:style w:type="paragraph" w:styleId="Sumrio1">
    <w:name w:val="toc 1"/>
    <w:aliases w:val="Sumário Tese"/>
    <w:basedOn w:val="Normal"/>
    <w:next w:val="Normal"/>
    <w:autoRedefine/>
    <w:uiPriority w:val="39"/>
    <w:unhideWhenUsed/>
    <w:rsid w:val="0043248F"/>
    <w:pPr>
      <w:tabs>
        <w:tab w:val="left" w:pos="440"/>
        <w:tab w:val="right" w:leader="dot" w:pos="9061"/>
      </w:tabs>
      <w:spacing w:before="240" w:after="240" w:line="360" w:lineRule="auto"/>
    </w:pPr>
    <w:rPr>
      <w:rFonts w:ascii="Times New Roman" w:hAnsi="Times New Roman"/>
      <w:bCs/>
      <w:iCs/>
      <w:sz w:val="24"/>
      <w:szCs w:val="24"/>
    </w:rPr>
  </w:style>
  <w:style w:type="character" w:styleId="Refdecomentrio">
    <w:name w:val="annotation reference"/>
    <w:basedOn w:val="Fontepargpadro"/>
    <w:uiPriority w:val="99"/>
    <w:semiHidden/>
    <w:unhideWhenUsed/>
    <w:rsid w:val="00E709EB"/>
    <w:rPr>
      <w:sz w:val="16"/>
      <w:szCs w:val="16"/>
    </w:rPr>
  </w:style>
  <w:style w:type="paragraph" w:styleId="Textodecomentrio">
    <w:name w:val="annotation text"/>
    <w:basedOn w:val="Normal"/>
    <w:link w:val="TextodecomentrioChar"/>
    <w:uiPriority w:val="99"/>
    <w:semiHidden/>
    <w:unhideWhenUsed/>
    <w:rsid w:val="00E709E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709EB"/>
    <w:rPr>
      <w:sz w:val="20"/>
      <w:szCs w:val="20"/>
    </w:rPr>
  </w:style>
  <w:style w:type="paragraph" w:styleId="Reviso">
    <w:name w:val="Revision"/>
    <w:hidden/>
    <w:uiPriority w:val="99"/>
    <w:semiHidden/>
    <w:rsid w:val="00E709EB"/>
    <w:pPr>
      <w:spacing w:after="0" w:line="240" w:lineRule="auto"/>
    </w:pPr>
  </w:style>
  <w:style w:type="character" w:customStyle="1" w:styleId="longtext">
    <w:name w:val="long_text"/>
    <w:basedOn w:val="Fontepargpadro"/>
    <w:rsid w:val="009C04FA"/>
  </w:style>
  <w:style w:type="paragraph" w:customStyle="1" w:styleId="Default">
    <w:name w:val="Default"/>
    <w:rsid w:val="0037629E"/>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1060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02F"/>
  </w:style>
  <w:style w:type="paragraph" w:styleId="Rodap">
    <w:name w:val="footer"/>
    <w:basedOn w:val="Normal"/>
    <w:link w:val="RodapChar"/>
    <w:uiPriority w:val="99"/>
    <w:unhideWhenUsed/>
    <w:rsid w:val="0010602F"/>
    <w:pPr>
      <w:tabs>
        <w:tab w:val="center" w:pos="4252"/>
        <w:tab w:val="right" w:pos="8504"/>
      </w:tabs>
      <w:spacing w:after="0" w:line="240" w:lineRule="auto"/>
    </w:pPr>
  </w:style>
  <w:style w:type="character" w:customStyle="1" w:styleId="RodapChar">
    <w:name w:val="Rodapé Char"/>
    <w:basedOn w:val="Fontepargpadro"/>
    <w:link w:val="Rodap"/>
    <w:uiPriority w:val="99"/>
    <w:rsid w:val="0010602F"/>
  </w:style>
  <w:style w:type="paragraph" w:styleId="Sumrio2">
    <w:name w:val="toc 2"/>
    <w:basedOn w:val="Normal"/>
    <w:next w:val="Normal"/>
    <w:autoRedefine/>
    <w:uiPriority w:val="39"/>
    <w:unhideWhenUsed/>
    <w:rsid w:val="00534808"/>
    <w:pPr>
      <w:spacing w:after="100"/>
      <w:ind w:left="220"/>
    </w:pPr>
  </w:style>
  <w:style w:type="paragraph" w:styleId="CabealhodoSumrio">
    <w:name w:val="TOC Heading"/>
    <w:basedOn w:val="Ttulo1"/>
    <w:next w:val="Normal"/>
    <w:uiPriority w:val="39"/>
    <w:semiHidden/>
    <w:unhideWhenUsed/>
    <w:qFormat/>
    <w:rsid w:val="000F14D5"/>
    <w:pPr>
      <w:outlineLvl w:val="9"/>
    </w:pPr>
  </w:style>
  <w:style w:type="character" w:customStyle="1" w:styleId="shorttext">
    <w:name w:val="short_text"/>
    <w:basedOn w:val="Fontepargpadro"/>
    <w:rsid w:val="00B64D48"/>
  </w:style>
  <w:style w:type="paragraph" w:styleId="Ttulo">
    <w:name w:val="Title"/>
    <w:basedOn w:val="Normal"/>
    <w:next w:val="Normal"/>
    <w:link w:val="TtuloChar"/>
    <w:uiPriority w:val="10"/>
    <w:qFormat/>
    <w:rsid w:val="00013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13AC0"/>
    <w:rPr>
      <w:rFonts w:asciiTheme="majorHAnsi" w:eastAsiaTheme="majorEastAsia" w:hAnsiTheme="majorHAnsi" w:cstheme="majorBidi"/>
      <w:color w:val="17365D" w:themeColor="text2" w:themeShade="BF"/>
      <w:spacing w:val="5"/>
      <w:kern w:val="28"/>
      <w:sz w:val="52"/>
      <w:szCs w:val="52"/>
    </w:rPr>
  </w:style>
  <w:style w:type="character" w:styleId="nfase">
    <w:name w:val="Emphasis"/>
    <w:basedOn w:val="Fontepargpadro"/>
    <w:uiPriority w:val="20"/>
    <w:qFormat/>
    <w:rsid w:val="00D54F4E"/>
    <w:rPr>
      <w:b/>
      <w:bCs/>
      <w:i w:val="0"/>
      <w:iCs w:val="0"/>
    </w:rPr>
  </w:style>
  <w:style w:type="character" w:customStyle="1" w:styleId="st1">
    <w:name w:val="st1"/>
    <w:basedOn w:val="Fontepargpadro"/>
    <w:rsid w:val="00D54F4E"/>
  </w:style>
  <w:style w:type="paragraph" w:customStyle="1" w:styleId="tabela">
    <w:name w:val="tabela"/>
    <w:basedOn w:val="Normal"/>
    <w:qFormat/>
    <w:rsid w:val="00EC5694"/>
    <w:pPr>
      <w:autoSpaceDE w:val="0"/>
      <w:autoSpaceDN w:val="0"/>
      <w:adjustRightInd w:val="0"/>
      <w:spacing w:after="0" w:line="240" w:lineRule="auto"/>
      <w:jc w:val="both"/>
    </w:pPr>
    <w:rPr>
      <w:rFonts w:ascii="Times New Roman" w:eastAsia="Times New Roman" w:hAnsi="Times New Roman" w:cs="Times New Roman"/>
      <w:b/>
      <w:sz w:val="20"/>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33">
      <w:bodyDiv w:val="1"/>
      <w:marLeft w:val="0"/>
      <w:marRight w:val="0"/>
      <w:marTop w:val="0"/>
      <w:marBottom w:val="0"/>
      <w:divBdr>
        <w:top w:val="none" w:sz="0" w:space="0" w:color="auto"/>
        <w:left w:val="none" w:sz="0" w:space="0" w:color="auto"/>
        <w:bottom w:val="none" w:sz="0" w:space="0" w:color="auto"/>
        <w:right w:val="none" w:sz="0" w:space="0" w:color="auto"/>
      </w:divBdr>
    </w:div>
    <w:div w:id="13073241">
      <w:bodyDiv w:val="1"/>
      <w:marLeft w:val="0"/>
      <w:marRight w:val="0"/>
      <w:marTop w:val="0"/>
      <w:marBottom w:val="0"/>
      <w:divBdr>
        <w:top w:val="none" w:sz="0" w:space="0" w:color="auto"/>
        <w:left w:val="none" w:sz="0" w:space="0" w:color="auto"/>
        <w:bottom w:val="none" w:sz="0" w:space="0" w:color="auto"/>
        <w:right w:val="none" w:sz="0" w:space="0" w:color="auto"/>
      </w:divBdr>
    </w:div>
    <w:div w:id="18315942">
      <w:bodyDiv w:val="1"/>
      <w:marLeft w:val="0"/>
      <w:marRight w:val="0"/>
      <w:marTop w:val="0"/>
      <w:marBottom w:val="0"/>
      <w:divBdr>
        <w:top w:val="none" w:sz="0" w:space="0" w:color="auto"/>
        <w:left w:val="none" w:sz="0" w:space="0" w:color="auto"/>
        <w:bottom w:val="none" w:sz="0" w:space="0" w:color="auto"/>
        <w:right w:val="none" w:sz="0" w:space="0" w:color="auto"/>
      </w:divBdr>
    </w:div>
    <w:div w:id="19404078">
      <w:bodyDiv w:val="1"/>
      <w:marLeft w:val="0"/>
      <w:marRight w:val="0"/>
      <w:marTop w:val="0"/>
      <w:marBottom w:val="0"/>
      <w:divBdr>
        <w:top w:val="none" w:sz="0" w:space="0" w:color="auto"/>
        <w:left w:val="none" w:sz="0" w:space="0" w:color="auto"/>
        <w:bottom w:val="none" w:sz="0" w:space="0" w:color="auto"/>
        <w:right w:val="none" w:sz="0" w:space="0" w:color="auto"/>
      </w:divBdr>
    </w:div>
    <w:div w:id="24060249">
      <w:bodyDiv w:val="1"/>
      <w:marLeft w:val="0"/>
      <w:marRight w:val="0"/>
      <w:marTop w:val="0"/>
      <w:marBottom w:val="0"/>
      <w:divBdr>
        <w:top w:val="none" w:sz="0" w:space="0" w:color="auto"/>
        <w:left w:val="none" w:sz="0" w:space="0" w:color="auto"/>
        <w:bottom w:val="none" w:sz="0" w:space="0" w:color="auto"/>
        <w:right w:val="none" w:sz="0" w:space="0" w:color="auto"/>
      </w:divBdr>
    </w:div>
    <w:div w:id="59907444">
      <w:bodyDiv w:val="1"/>
      <w:marLeft w:val="0"/>
      <w:marRight w:val="0"/>
      <w:marTop w:val="0"/>
      <w:marBottom w:val="0"/>
      <w:divBdr>
        <w:top w:val="none" w:sz="0" w:space="0" w:color="auto"/>
        <w:left w:val="none" w:sz="0" w:space="0" w:color="auto"/>
        <w:bottom w:val="none" w:sz="0" w:space="0" w:color="auto"/>
        <w:right w:val="none" w:sz="0" w:space="0" w:color="auto"/>
      </w:divBdr>
    </w:div>
    <w:div w:id="73750588">
      <w:bodyDiv w:val="1"/>
      <w:marLeft w:val="0"/>
      <w:marRight w:val="0"/>
      <w:marTop w:val="0"/>
      <w:marBottom w:val="0"/>
      <w:divBdr>
        <w:top w:val="none" w:sz="0" w:space="0" w:color="auto"/>
        <w:left w:val="none" w:sz="0" w:space="0" w:color="auto"/>
        <w:bottom w:val="none" w:sz="0" w:space="0" w:color="auto"/>
        <w:right w:val="none" w:sz="0" w:space="0" w:color="auto"/>
      </w:divBdr>
    </w:div>
    <w:div w:id="92016470">
      <w:bodyDiv w:val="1"/>
      <w:marLeft w:val="0"/>
      <w:marRight w:val="0"/>
      <w:marTop w:val="0"/>
      <w:marBottom w:val="0"/>
      <w:divBdr>
        <w:top w:val="none" w:sz="0" w:space="0" w:color="auto"/>
        <w:left w:val="none" w:sz="0" w:space="0" w:color="auto"/>
        <w:bottom w:val="none" w:sz="0" w:space="0" w:color="auto"/>
        <w:right w:val="none" w:sz="0" w:space="0" w:color="auto"/>
      </w:divBdr>
    </w:div>
    <w:div w:id="103044607">
      <w:bodyDiv w:val="1"/>
      <w:marLeft w:val="0"/>
      <w:marRight w:val="0"/>
      <w:marTop w:val="0"/>
      <w:marBottom w:val="0"/>
      <w:divBdr>
        <w:top w:val="none" w:sz="0" w:space="0" w:color="auto"/>
        <w:left w:val="none" w:sz="0" w:space="0" w:color="auto"/>
        <w:bottom w:val="none" w:sz="0" w:space="0" w:color="auto"/>
        <w:right w:val="none" w:sz="0" w:space="0" w:color="auto"/>
      </w:divBdr>
    </w:div>
    <w:div w:id="109400550">
      <w:bodyDiv w:val="1"/>
      <w:marLeft w:val="0"/>
      <w:marRight w:val="0"/>
      <w:marTop w:val="0"/>
      <w:marBottom w:val="0"/>
      <w:divBdr>
        <w:top w:val="none" w:sz="0" w:space="0" w:color="auto"/>
        <w:left w:val="none" w:sz="0" w:space="0" w:color="auto"/>
        <w:bottom w:val="none" w:sz="0" w:space="0" w:color="auto"/>
        <w:right w:val="none" w:sz="0" w:space="0" w:color="auto"/>
      </w:divBdr>
    </w:div>
    <w:div w:id="116148318">
      <w:bodyDiv w:val="1"/>
      <w:marLeft w:val="0"/>
      <w:marRight w:val="0"/>
      <w:marTop w:val="0"/>
      <w:marBottom w:val="0"/>
      <w:divBdr>
        <w:top w:val="none" w:sz="0" w:space="0" w:color="auto"/>
        <w:left w:val="none" w:sz="0" w:space="0" w:color="auto"/>
        <w:bottom w:val="none" w:sz="0" w:space="0" w:color="auto"/>
        <w:right w:val="none" w:sz="0" w:space="0" w:color="auto"/>
      </w:divBdr>
    </w:div>
    <w:div w:id="121466744">
      <w:bodyDiv w:val="1"/>
      <w:marLeft w:val="0"/>
      <w:marRight w:val="0"/>
      <w:marTop w:val="0"/>
      <w:marBottom w:val="0"/>
      <w:divBdr>
        <w:top w:val="none" w:sz="0" w:space="0" w:color="auto"/>
        <w:left w:val="none" w:sz="0" w:space="0" w:color="auto"/>
        <w:bottom w:val="none" w:sz="0" w:space="0" w:color="auto"/>
        <w:right w:val="none" w:sz="0" w:space="0" w:color="auto"/>
      </w:divBdr>
    </w:div>
    <w:div w:id="128205311">
      <w:bodyDiv w:val="1"/>
      <w:marLeft w:val="0"/>
      <w:marRight w:val="0"/>
      <w:marTop w:val="0"/>
      <w:marBottom w:val="0"/>
      <w:divBdr>
        <w:top w:val="none" w:sz="0" w:space="0" w:color="auto"/>
        <w:left w:val="none" w:sz="0" w:space="0" w:color="auto"/>
        <w:bottom w:val="none" w:sz="0" w:space="0" w:color="auto"/>
        <w:right w:val="none" w:sz="0" w:space="0" w:color="auto"/>
      </w:divBdr>
    </w:div>
    <w:div w:id="136459269">
      <w:bodyDiv w:val="1"/>
      <w:marLeft w:val="0"/>
      <w:marRight w:val="0"/>
      <w:marTop w:val="0"/>
      <w:marBottom w:val="0"/>
      <w:divBdr>
        <w:top w:val="none" w:sz="0" w:space="0" w:color="auto"/>
        <w:left w:val="none" w:sz="0" w:space="0" w:color="auto"/>
        <w:bottom w:val="none" w:sz="0" w:space="0" w:color="auto"/>
        <w:right w:val="none" w:sz="0" w:space="0" w:color="auto"/>
      </w:divBdr>
    </w:div>
    <w:div w:id="148913303">
      <w:bodyDiv w:val="1"/>
      <w:marLeft w:val="0"/>
      <w:marRight w:val="0"/>
      <w:marTop w:val="0"/>
      <w:marBottom w:val="0"/>
      <w:divBdr>
        <w:top w:val="none" w:sz="0" w:space="0" w:color="auto"/>
        <w:left w:val="none" w:sz="0" w:space="0" w:color="auto"/>
        <w:bottom w:val="none" w:sz="0" w:space="0" w:color="auto"/>
        <w:right w:val="none" w:sz="0" w:space="0" w:color="auto"/>
      </w:divBdr>
    </w:div>
    <w:div w:id="158734774">
      <w:bodyDiv w:val="1"/>
      <w:marLeft w:val="0"/>
      <w:marRight w:val="0"/>
      <w:marTop w:val="0"/>
      <w:marBottom w:val="0"/>
      <w:divBdr>
        <w:top w:val="none" w:sz="0" w:space="0" w:color="auto"/>
        <w:left w:val="none" w:sz="0" w:space="0" w:color="auto"/>
        <w:bottom w:val="none" w:sz="0" w:space="0" w:color="auto"/>
        <w:right w:val="none" w:sz="0" w:space="0" w:color="auto"/>
      </w:divBdr>
    </w:div>
    <w:div w:id="201983129">
      <w:bodyDiv w:val="1"/>
      <w:marLeft w:val="0"/>
      <w:marRight w:val="0"/>
      <w:marTop w:val="0"/>
      <w:marBottom w:val="0"/>
      <w:divBdr>
        <w:top w:val="none" w:sz="0" w:space="0" w:color="auto"/>
        <w:left w:val="none" w:sz="0" w:space="0" w:color="auto"/>
        <w:bottom w:val="none" w:sz="0" w:space="0" w:color="auto"/>
        <w:right w:val="none" w:sz="0" w:space="0" w:color="auto"/>
      </w:divBdr>
    </w:div>
    <w:div w:id="221403222">
      <w:bodyDiv w:val="1"/>
      <w:marLeft w:val="0"/>
      <w:marRight w:val="0"/>
      <w:marTop w:val="0"/>
      <w:marBottom w:val="0"/>
      <w:divBdr>
        <w:top w:val="none" w:sz="0" w:space="0" w:color="auto"/>
        <w:left w:val="none" w:sz="0" w:space="0" w:color="auto"/>
        <w:bottom w:val="none" w:sz="0" w:space="0" w:color="auto"/>
        <w:right w:val="none" w:sz="0" w:space="0" w:color="auto"/>
      </w:divBdr>
    </w:div>
    <w:div w:id="263849180">
      <w:bodyDiv w:val="1"/>
      <w:marLeft w:val="0"/>
      <w:marRight w:val="0"/>
      <w:marTop w:val="0"/>
      <w:marBottom w:val="0"/>
      <w:divBdr>
        <w:top w:val="none" w:sz="0" w:space="0" w:color="auto"/>
        <w:left w:val="none" w:sz="0" w:space="0" w:color="auto"/>
        <w:bottom w:val="none" w:sz="0" w:space="0" w:color="auto"/>
        <w:right w:val="none" w:sz="0" w:space="0" w:color="auto"/>
      </w:divBdr>
      <w:divsChild>
        <w:div w:id="1904876082">
          <w:marLeft w:val="0"/>
          <w:marRight w:val="0"/>
          <w:marTop w:val="0"/>
          <w:marBottom w:val="0"/>
          <w:divBdr>
            <w:top w:val="none" w:sz="0" w:space="0" w:color="auto"/>
            <w:left w:val="none" w:sz="0" w:space="0" w:color="auto"/>
            <w:bottom w:val="none" w:sz="0" w:space="0" w:color="auto"/>
            <w:right w:val="none" w:sz="0" w:space="0" w:color="auto"/>
          </w:divBdr>
          <w:divsChild>
            <w:div w:id="1950116924">
              <w:marLeft w:val="0"/>
              <w:marRight w:val="0"/>
              <w:marTop w:val="0"/>
              <w:marBottom w:val="0"/>
              <w:divBdr>
                <w:top w:val="none" w:sz="0" w:space="0" w:color="auto"/>
                <w:left w:val="none" w:sz="0" w:space="0" w:color="auto"/>
                <w:bottom w:val="none" w:sz="0" w:space="0" w:color="auto"/>
                <w:right w:val="none" w:sz="0" w:space="0" w:color="auto"/>
              </w:divBdr>
              <w:divsChild>
                <w:div w:id="1768647634">
                  <w:marLeft w:val="0"/>
                  <w:marRight w:val="0"/>
                  <w:marTop w:val="0"/>
                  <w:marBottom w:val="0"/>
                  <w:divBdr>
                    <w:top w:val="none" w:sz="0" w:space="0" w:color="auto"/>
                    <w:left w:val="none" w:sz="0" w:space="0" w:color="auto"/>
                    <w:bottom w:val="none" w:sz="0" w:space="0" w:color="auto"/>
                    <w:right w:val="none" w:sz="0" w:space="0" w:color="auto"/>
                  </w:divBdr>
                  <w:divsChild>
                    <w:div w:id="670182743">
                      <w:marLeft w:val="0"/>
                      <w:marRight w:val="0"/>
                      <w:marTop w:val="0"/>
                      <w:marBottom w:val="0"/>
                      <w:divBdr>
                        <w:top w:val="none" w:sz="0" w:space="0" w:color="auto"/>
                        <w:left w:val="none" w:sz="0" w:space="0" w:color="auto"/>
                        <w:bottom w:val="none" w:sz="0" w:space="0" w:color="auto"/>
                        <w:right w:val="none" w:sz="0" w:space="0" w:color="auto"/>
                      </w:divBdr>
                      <w:divsChild>
                        <w:div w:id="1762484262">
                          <w:marLeft w:val="0"/>
                          <w:marRight w:val="0"/>
                          <w:marTop w:val="0"/>
                          <w:marBottom w:val="0"/>
                          <w:divBdr>
                            <w:top w:val="none" w:sz="0" w:space="0" w:color="auto"/>
                            <w:left w:val="none" w:sz="0" w:space="0" w:color="auto"/>
                            <w:bottom w:val="none" w:sz="0" w:space="0" w:color="auto"/>
                            <w:right w:val="none" w:sz="0" w:space="0" w:color="auto"/>
                          </w:divBdr>
                          <w:divsChild>
                            <w:div w:id="1023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883665">
      <w:bodyDiv w:val="1"/>
      <w:marLeft w:val="0"/>
      <w:marRight w:val="0"/>
      <w:marTop w:val="0"/>
      <w:marBottom w:val="0"/>
      <w:divBdr>
        <w:top w:val="none" w:sz="0" w:space="0" w:color="auto"/>
        <w:left w:val="none" w:sz="0" w:space="0" w:color="auto"/>
        <w:bottom w:val="none" w:sz="0" w:space="0" w:color="auto"/>
        <w:right w:val="none" w:sz="0" w:space="0" w:color="auto"/>
      </w:divBdr>
    </w:div>
    <w:div w:id="288169087">
      <w:bodyDiv w:val="1"/>
      <w:marLeft w:val="0"/>
      <w:marRight w:val="0"/>
      <w:marTop w:val="0"/>
      <w:marBottom w:val="0"/>
      <w:divBdr>
        <w:top w:val="none" w:sz="0" w:space="0" w:color="auto"/>
        <w:left w:val="none" w:sz="0" w:space="0" w:color="auto"/>
        <w:bottom w:val="none" w:sz="0" w:space="0" w:color="auto"/>
        <w:right w:val="none" w:sz="0" w:space="0" w:color="auto"/>
      </w:divBdr>
    </w:div>
    <w:div w:id="316612447">
      <w:bodyDiv w:val="1"/>
      <w:marLeft w:val="0"/>
      <w:marRight w:val="0"/>
      <w:marTop w:val="0"/>
      <w:marBottom w:val="0"/>
      <w:divBdr>
        <w:top w:val="none" w:sz="0" w:space="0" w:color="auto"/>
        <w:left w:val="none" w:sz="0" w:space="0" w:color="auto"/>
        <w:bottom w:val="none" w:sz="0" w:space="0" w:color="auto"/>
        <w:right w:val="none" w:sz="0" w:space="0" w:color="auto"/>
      </w:divBdr>
    </w:div>
    <w:div w:id="334653448">
      <w:bodyDiv w:val="1"/>
      <w:marLeft w:val="0"/>
      <w:marRight w:val="0"/>
      <w:marTop w:val="0"/>
      <w:marBottom w:val="0"/>
      <w:divBdr>
        <w:top w:val="none" w:sz="0" w:space="0" w:color="auto"/>
        <w:left w:val="none" w:sz="0" w:space="0" w:color="auto"/>
        <w:bottom w:val="none" w:sz="0" w:space="0" w:color="auto"/>
        <w:right w:val="none" w:sz="0" w:space="0" w:color="auto"/>
      </w:divBdr>
      <w:divsChild>
        <w:div w:id="689766921">
          <w:marLeft w:val="0"/>
          <w:marRight w:val="0"/>
          <w:marTop w:val="0"/>
          <w:marBottom w:val="0"/>
          <w:divBdr>
            <w:top w:val="none" w:sz="0" w:space="0" w:color="auto"/>
            <w:left w:val="none" w:sz="0" w:space="0" w:color="auto"/>
            <w:bottom w:val="none" w:sz="0" w:space="0" w:color="auto"/>
            <w:right w:val="none" w:sz="0" w:space="0" w:color="auto"/>
          </w:divBdr>
          <w:divsChild>
            <w:div w:id="1046106325">
              <w:marLeft w:val="0"/>
              <w:marRight w:val="0"/>
              <w:marTop w:val="0"/>
              <w:marBottom w:val="0"/>
              <w:divBdr>
                <w:top w:val="none" w:sz="0" w:space="0" w:color="auto"/>
                <w:left w:val="none" w:sz="0" w:space="0" w:color="auto"/>
                <w:bottom w:val="none" w:sz="0" w:space="0" w:color="auto"/>
                <w:right w:val="none" w:sz="0" w:space="0" w:color="auto"/>
              </w:divBdr>
              <w:divsChild>
                <w:div w:id="593051961">
                  <w:marLeft w:val="0"/>
                  <w:marRight w:val="0"/>
                  <w:marTop w:val="0"/>
                  <w:marBottom w:val="0"/>
                  <w:divBdr>
                    <w:top w:val="none" w:sz="0" w:space="0" w:color="auto"/>
                    <w:left w:val="none" w:sz="0" w:space="0" w:color="auto"/>
                    <w:bottom w:val="none" w:sz="0" w:space="0" w:color="auto"/>
                    <w:right w:val="none" w:sz="0" w:space="0" w:color="auto"/>
                  </w:divBdr>
                  <w:divsChild>
                    <w:div w:id="1887789457">
                      <w:marLeft w:val="0"/>
                      <w:marRight w:val="0"/>
                      <w:marTop w:val="0"/>
                      <w:marBottom w:val="0"/>
                      <w:divBdr>
                        <w:top w:val="none" w:sz="0" w:space="0" w:color="auto"/>
                        <w:left w:val="none" w:sz="0" w:space="0" w:color="auto"/>
                        <w:bottom w:val="none" w:sz="0" w:space="0" w:color="auto"/>
                        <w:right w:val="none" w:sz="0" w:space="0" w:color="auto"/>
                      </w:divBdr>
                      <w:divsChild>
                        <w:div w:id="1532064135">
                          <w:marLeft w:val="0"/>
                          <w:marRight w:val="0"/>
                          <w:marTop w:val="0"/>
                          <w:marBottom w:val="0"/>
                          <w:divBdr>
                            <w:top w:val="none" w:sz="0" w:space="0" w:color="auto"/>
                            <w:left w:val="none" w:sz="0" w:space="0" w:color="auto"/>
                            <w:bottom w:val="none" w:sz="0" w:space="0" w:color="auto"/>
                            <w:right w:val="none" w:sz="0" w:space="0" w:color="auto"/>
                          </w:divBdr>
                          <w:divsChild>
                            <w:div w:id="31855566">
                              <w:marLeft w:val="0"/>
                              <w:marRight w:val="0"/>
                              <w:marTop w:val="0"/>
                              <w:marBottom w:val="0"/>
                              <w:divBdr>
                                <w:top w:val="none" w:sz="0" w:space="0" w:color="auto"/>
                                <w:left w:val="none" w:sz="0" w:space="0" w:color="auto"/>
                                <w:bottom w:val="none" w:sz="0" w:space="0" w:color="auto"/>
                                <w:right w:val="none" w:sz="0" w:space="0" w:color="auto"/>
                              </w:divBdr>
                              <w:divsChild>
                                <w:div w:id="135221003">
                                  <w:marLeft w:val="0"/>
                                  <w:marRight w:val="0"/>
                                  <w:marTop w:val="0"/>
                                  <w:marBottom w:val="0"/>
                                  <w:divBdr>
                                    <w:top w:val="none" w:sz="0" w:space="0" w:color="auto"/>
                                    <w:left w:val="none" w:sz="0" w:space="0" w:color="auto"/>
                                    <w:bottom w:val="none" w:sz="0" w:space="0" w:color="auto"/>
                                    <w:right w:val="none" w:sz="0" w:space="0" w:color="auto"/>
                                  </w:divBdr>
                                  <w:divsChild>
                                    <w:div w:id="20136291">
                                      <w:marLeft w:val="60"/>
                                      <w:marRight w:val="0"/>
                                      <w:marTop w:val="0"/>
                                      <w:marBottom w:val="0"/>
                                      <w:divBdr>
                                        <w:top w:val="none" w:sz="0" w:space="0" w:color="auto"/>
                                        <w:left w:val="none" w:sz="0" w:space="0" w:color="auto"/>
                                        <w:bottom w:val="none" w:sz="0" w:space="0" w:color="auto"/>
                                        <w:right w:val="none" w:sz="0" w:space="0" w:color="auto"/>
                                      </w:divBdr>
                                      <w:divsChild>
                                        <w:div w:id="1300963620">
                                          <w:marLeft w:val="0"/>
                                          <w:marRight w:val="0"/>
                                          <w:marTop w:val="0"/>
                                          <w:marBottom w:val="0"/>
                                          <w:divBdr>
                                            <w:top w:val="none" w:sz="0" w:space="0" w:color="auto"/>
                                            <w:left w:val="none" w:sz="0" w:space="0" w:color="auto"/>
                                            <w:bottom w:val="none" w:sz="0" w:space="0" w:color="auto"/>
                                            <w:right w:val="none" w:sz="0" w:space="0" w:color="auto"/>
                                          </w:divBdr>
                                          <w:divsChild>
                                            <w:div w:id="653753081">
                                              <w:marLeft w:val="0"/>
                                              <w:marRight w:val="0"/>
                                              <w:marTop w:val="0"/>
                                              <w:marBottom w:val="120"/>
                                              <w:divBdr>
                                                <w:top w:val="single" w:sz="6" w:space="0" w:color="F5F5F5"/>
                                                <w:left w:val="single" w:sz="6" w:space="0" w:color="F5F5F5"/>
                                                <w:bottom w:val="single" w:sz="6" w:space="0" w:color="F5F5F5"/>
                                                <w:right w:val="single" w:sz="6" w:space="0" w:color="F5F5F5"/>
                                              </w:divBdr>
                                              <w:divsChild>
                                                <w:div w:id="797574540">
                                                  <w:marLeft w:val="0"/>
                                                  <w:marRight w:val="0"/>
                                                  <w:marTop w:val="0"/>
                                                  <w:marBottom w:val="0"/>
                                                  <w:divBdr>
                                                    <w:top w:val="none" w:sz="0" w:space="0" w:color="auto"/>
                                                    <w:left w:val="none" w:sz="0" w:space="0" w:color="auto"/>
                                                    <w:bottom w:val="none" w:sz="0" w:space="0" w:color="auto"/>
                                                    <w:right w:val="none" w:sz="0" w:space="0" w:color="auto"/>
                                                  </w:divBdr>
                                                  <w:divsChild>
                                                    <w:div w:id="2005355326">
                                                      <w:marLeft w:val="0"/>
                                                      <w:marRight w:val="0"/>
                                                      <w:marTop w:val="0"/>
                                                      <w:marBottom w:val="0"/>
                                                      <w:divBdr>
                                                        <w:top w:val="none" w:sz="0" w:space="0" w:color="auto"/>
                                                        <w:left w:val="none" w:sz="0" w:space="0" w:color="auto"/>
                                                        <w:bottom w:val="none" w:sz="0" w:space="0" w:color="auto"/>
                                                        <w:right w:val="none" w:sz="0" w:space="0" w:color="auto"/>
                                                      </w:divBdr>
                                                    </w:div>
                                                  </w:divsChild>
                                                </w:div>
                                                <w:div w:id="157771801">
                                                  <w:marLeft w:val="0"/>
                                                  <w:marRight w:val="0"/>
                                                  <w:marTop w:val="0"/>
                                                  <w:marBottom w:val="0"/>
                                                  <w:divBdr>
                                                    <w:top w:val="none" w:sz="0" w:space="0" w:color="auto"/>
                                                    <w:left w:val="none" w:sz="0" w:space="0" w:color="auto"/>
                                                    <w:bottom w:val="none" w:sz="0" w:space="0" w:color="auto"/>
                                                    <w:right w:val="none" w:sz="0" w:space="0" w:color="auto"/>
                                                  </w:divBdr>
                                                  <w:divsChild>
                                                    <w:div w:id="11685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098547">
      <w:bodyDiv w:val="1"/>
      <w:marLeft w:val="0"/>
      <w:marRight w:val="0"/>
      <w:marTop w:val="0"/>
      <w:marBottom w:val="0"/>
      <w:divBdr>
        <w:top w:val="none" w:sz="0" w:space="0" w:color="auto"/>
        <w:left w:val="none" w:sz="0" w:space="0" w:color="auto"/>
        <w:bottom w:val="none" w:sz="0" w:space="0" w:color="auto"/>
        <w:right w:val="none" w:sz="0" w:space="0" w:color="auto"/>
      </w:divBdr>
    </w:div>
    <w:div w:id="358509566">
      <w:bodyDiv w:val="1"/>
      <w:marLeft w:val="0"/>
      <w:marRight w:val="0"/>
      <w:marTop w:val="0"/>
      <w:marBottom w:val="0"/>
      <w:divBdr>
        <w:top w:val="none" w:sz="0" w:space="0" w:color="auto"/>
        <w:left w:val="none" w:sz="0" w:space="0" w:color="auto"/>
        <w:bottom w:val="none" w:sz="0" w:space="0" w:color="auto"/>
        <w:right w:val="none" w:sz="0" w:space="0" w:color="auto"/>
      </w:divBdr>
    </w:div>
    <w:div w:id="364214650">
      <w:bodyDiv w:val="1"/>
      <w:marLeft w:val="0"/>
      <w:marRight w:val="0"/>
      <w:marTop w:val="0"/>
      <w:marBottom w:val="0"/>
      <w:divBdr>
        <w:top w:val="none" w:sz="0" w:space="0" w:color="auto"/>
        <w:left w:val="none" w:sz="0" w:space="0" w:color="auto"/>
        <w:bottom w:val="none" w:sz="0" w:space="0" w:color="auto"/>
        <w:right w:val="none" w:sz="0" w:space="0" w:color="auto"/>
      </w:divBdr>
    </w:div>
    <w:div w:id="387800387">
      <w:bodyDiv w:val="1"/>
      <w:marLeft w:val="0"/>
      <w:marRight w:val="0"/>
      <w:marTop w:val="0"/>
      <w:marBottom w:val="0"/>
      <w:divBdr>
        <w:top w:val="none" w:sz="0" w:space="0" w:color="auto"/>
        <w:left w:val="none" w:sz="0" w:space="0" w:color="auto"/>
        <w:bottom w:val="none" w:sz="0" w:space="0" w:color="auto"/>
        <w:right w:val="none" w:sz="0" w:space="0" w:color="auto"/>
      </w:divBdr>
    </w:div>
    <w:div w:id="419528579">
      <w:bodyDiv w:val="1"/>
      <w:marLeft w:val="0"/>
      <w:marRight w:val="0"/>
      <w:marTop w:val="0"/>
      <w:marBottom w:val="0"/>
      <w:divBdr>
        <w:top w:val="none" w:sz="0" w:space="0" w:color="auto"/>
        <w:left w:val="none" w:sz="0" w:space="0" w:color="auto"/>
        <w:bottom w:val="none" w:sz="0" w:space="0" w:color="auto"/>
        <w:right w:val="none" w:sz="0" w:space="0" w:color="auto"/>
      </w:divBdr>
    </w:div>
    <w:div w:id="473567783">
      <w:bodyDiv w:val="1"/>
      <w:marLeft w:val="0"/>
      <w:marRight w:val="0"/>
      <w:marTop w:val="0"/>
      <w:marBottom w:val="0"/>
      <w:divBdr>
        <w:top w:val="none" w:sz="0" w:space="0" w:color="auto"/>
        <w:left w:val="none" w:sz="0" w:space="0" w:color="auto"/>
        <w:bottom w:val="none" w:sz="0" w:space="0" w:color="auto"/>
        <w:right w:val="none" w:sz="0" w:space="0" w:color="auto"/>
      </w:divBdr>
    </w:div>
    <w:div w:id="492720413">
      <w:bodyDiv w:val="1"/>
      <w:marLeft w:val="0"/>
      <w:marRight w:val="0"/>
      <w:marTop w:val="0"/>
      <w:marBottom w:val="0"/>
      <w:divBdr>
        <w:top w:val="none" w:sz="0" w:space="0" w:color="auto"/>
        <w:left w:val="none" w:sz="0" w:space="0" w:color="auto"/>
        <w:bottom w:val="none" w:sz="0" w:space="0" w:color="auto"/>
        <w:right w:val="none" w:sz="0" w:space="0" w:color="auto"/>
      </w:divBdr>
    </w:div>
    <w:div w:id="492986599">
      <w:bodyDiv w:val="1"/>
      <w:marLeft w:val="0"/>
      <w:marRight w:val="0"/>
      <w:marTop w:val="0"/>
      <w:marBottom w:val="0"/>
      <w:divBdr>
        <w:top w:val="none" w:sz="0" w:space="0" w:color="auto"/>
        <w:left w:val="none" w:sz="0" w:space="0" w:color="auto"/>
        <w:bottom w:val="none" w:sz="0" w:space="0" w:color="auto"/>
        <w:right w:val="none" w:sz="0" w:space="0" w:color="auto"/>
      </w:divBdr>
    </w:div>
    <w:div w:id="510754658">
      <w:bodyDiv w:val="1"/>
      <w:marLeft w:val="0"/>
      <w:marRight w:val="0"/>
      <w:marTop w:val="0"/>
      <w:marBottom w:val="0"/>
      <w:divBdr>
        <w:top w:val="none" w:sz="0" w:space="0" w:color="auto"/>
        <w:left w:val="none" w:sz="0" w:space="0" w:color="auto"/>
        <w:bottom w:val="none" w:sz="0" w:space="0" w:color="auto"/>
        <w:right w:val="none" w:sz="0" w:space="0" w:color="auto"/>
      </w:divBdr>
      <w:divsChild>
        <w:div w:id="105316465">
          <w:marLeft w:val="0"/>
          <w:marRight w:val="0"/>
          <w:marTop w:val="0"/>
          <w:marBottom w:val="0"/>
          <w:divBdr>
            <w:top w:val="none" w:sz="0" w:space="0" w:color="auto"/>
            <w:left w:val="none" w:sz="0" w:space="0" w:color="auto"/>
            <w:bottom w:val="none" w:sz="0" w:space="0" w:color="auto"/>
            <w:right w:val="none" w:sz="0" w:space="0" w:color="auto"/>
          </w:divBdr>
          <w:divsChild>
            <w:div w:id="1368338806">
              <w:marLeft w:val="0"/>
              <w:marRight w:val="0"/>
              <w:marTop w:val="0"/>
              <w:marBottom w:val="0"/>
              <w:divBdr>
                <w:top w:val="none" w:sz="0" w:space="0" w:color="auto"/>
                <w:left w:val="none" w:sz="0" w:space="0" w:color="auto"/>
                <w:bottom w:val="none" w:sz="0" w:space="0" w:color="auto"/>
                <w:right w:val="none" w:sz="0" w:space="0" w:color="auto"/>
              </w:divBdr>
              <w:divsChild>
                <w:div w:id="1550065828">
                  <w:marLeft w:val="0"/>
                  <w:marRight w:val="0"/>
                  <w:marTop w:val="0"/>
                  <w:marBottom w:val="0"/>
                  <w:divBdr>
                    <w:top w:val="none" w:sz="0" w:space="0" w:color="auto"/>
                    <w:left w:val="none" w:sz="0" w:space="0" w:color="auto"/>
                    <w:bottom w:val="none" w:sz="0" w:space="0" w:color="auto"/>
                    <w:right w:val="none" w:sz="0" w:space="0" w:color="auto"/>
                  </w:divBdr>
                  <w:divsChild>
                    <w:div w:id="9144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81699">
      <w:bodyDiv w:val="1"/>
      <w:marLeft w:val="0"/>
      <w:marRight w:val="0"/>
      <w:marTop w:val="0"/>
      <w:marBottom w:val="0"/>
      <w:divBdr>
        <w:top w:val="none" w:sz="0" w:space="0" w:color="auto"/>
        <w:left w:val="none" w:sz="0" w:space="0" w:color="auto"/>
        <w:bottom w:val="none" w:sz="0" w:space="0" w:color="auto"/>
        <w:right w:val="none" w:sz="0" w:space="0" w:color="auto"/>
      </w:divBdr>
    </w:div>
    <w:div w:id="545878411">
      <w:bodyDiv w:val="1"/>
      <w:marLeft w:val="0"/>
      <w:marRight w:val="0"/>
      <w:marTop w:val="0"/>
      <w:marBottom w:val="0"/>
      <w:divBdr>
        <w:top w:val="none" w:sz="0" w:space="0" w:color="auto"/>
        <w:left w:val="none" w:sz="0" w:space="0" w:color="auto"/>
        <w:bottom w:val="none" w:sz="0" w:space="0" w:color="auto"/>
        <w:right w:val="none" w:sz="0" w:space="0" w:color="auto"/>
      </w:divBdr>
      <w:divsChild>
        <w:div w:id="1620798179">
          <w:marLeft w:val="0"/>
          <w:marRight w:val="0"/>
          <w:marTop w:val="0"/>
          <w:marBottom w:val="0"/>
          <w:divBdr>
            <w:top w:val="none" w:sz="0" w:space="0" w:color="auto"/>
            <w:left w:val="none" w:sz="0" w:space="0" w:color="auto"/>
            <w:bottom w:val="none" w:sz="0" w:space="0" w:color="auto"/>
            <w:right w:val="none" w:sz="0" w:space="0" w:color="auto"/>
          </w:divBdr>
          <w:divsChild>
            <w:div w:id="368771995">
              <w:marLeft w:val="0"/>
              <w:marRight w:val="0"/>
              <w:marTop w:val="0"/>
              <w:marBottom w:val="0"/>
              <w:divBdr>
                <w:top w:val="none" w:sz="0" w:space="0" w:color="auto"/>
                <w:left w:val="none" w:sz="0" w:space="0" w:color="auto"/>
                <w:bottom w:val="none" w:sz="0" w:space="0" w:color="auto"/>
                <w:right w:val="none" w:sz="0" w:space="0" w:color="auto"/>
              </w:divBdr>
              <w:divsChild>
                <w:div w:id="207375816">
                  <w:marLeft w:val="0"/>
                  <w:marRight w:val="0"/>
                  <w:marTop w:val="0"/>
                  <w:marBottom w:val="0"/>
                  <w:divBdr>
                    <w:top w:val="none" w:sz="0" w:space="0" w:color="auto"/>
                    <w:left w:val="none" w:sz="0" w:space="0" w:color="auto"/>
                    <w:bottom w:val="none" w:sz="0" w:space="0" w:color="auto"/>
                    <w:right w:val="none" w:sz="0" w:space="0" w:color="auto"/>
                  </w:divBdr>
                  <w:divsChild>
                    <w:div w:id="128590454">
                      <w:marLeft w:val="0"/>
                      <w:marRight w:val="0"/>
                      <w:marTop w:val="0"/>
                      <w:marBottom w:val="0"/>
                      <w:divBdr>
                        <w:top w:val="none" w:sz="0" w:space="0" w:color="auto"/>
                        <w:left w:val="none" w:sz="0" w:space="0" w:color="auto"/>
                        <w:bottom w:val="none" w:sz="0" w:space="0" w:color="auto"/>
                        <w:right w:val="none" w:sz="0" w:space="0" w:color="auto"/>
                      </w:divBdr>
                      <w:divsChild>
                        <w:div w:id="1227181458">
                          <w:marLeft w:val="0"/>
                          <w:marRight w:val="0"/>
                          <w:marTop w:val="0"/>
                          <w:marBottom w:val="0"/>
                          <w:divBdr>
                            <w:top w:val="none" w:sz="0" w:space="0" w:color="auto"/>
                            <w:left w:val="none" w:sz="0" w:space="0" w:color="auto"/>
                            <w:bottom w:val="none" w:sz="0" w:space="0" w:color="auto"/>
                            <w:right w:val="none" w:sz="0" w:space="0" w:color="auto"/>
                          </w:divBdr>
                          <w:divsChild>
                            <w:div w:id="15141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316392">
      <w:bodyDiv w:val="1"/>
      <w:marLeft w:val="0"/>
      <w:marRight w:val="0"/>
      <w:marTop w:val="0"/>
      <w:marBottom w:val="0"/>
      <w:divBdr>
        <w:top w:val="none" w:sz="0" w:space="0" w:color="auto"/>
        <w:left w:val="none" w:sz="0" w:space="0" w:color="auto"/>
        <w:bottom w:val="none" w:sz="0" w:space="0" w:color="auto"/>
        <w:right w:val="none" w:sz="0" w:space="0" w:color="auto"/>
      </w:divBdr>
    </w:div>
    <w:div w:id="584342266">
      <w:bodyDiv w:val="1"/>
      <w:marLeft w:val="0"/>
      <w:marRight w:val="0"/>
      <w:marTop w:val="0"/>
      <w:marBottom w:val="0"/>
      <w:divBdr>
        <w:top w:val="none" w:sz="0" w:space="0" w:color="auto"/>
        <w:left w:val="none" w:sz="0" w:space="0" w:color="auto"/>
        <w:bottom w:val="none" w:sz="0" w:space="0" w:color="auto"/>
        <w:right w:val="none" w:sz="0" w:space="0" w:color="auto"/>
      </w:divBdr>
    </w:div>
    <w:div w:id="626817327">
      <w:bodyDiv w:val="1"/>
      <w:marLeft w:val="0"/>
      <w:marRight w:val="0"/>
      <w:marTop w:val="0"/>
      <w:marBottom w:val="0"/>
      <w:divBdr>
        <w:top w:val="none" w:sz="0" w:space="0" w:color="auto"/>
        <w:left w:val="none" w:sz="0" w:space="0" w:color="auto"/>
        <w:bottom w:val="none" w:sz="0" w:space="0" w:color="auto"/>
        <w:right w:val="none" w:sz="0" w:space="0" w:color="auto"/>
      </w:divBdr>
    </w:div>
    <w:div w:id="631207374">
      <w:bodyDiv w:val="1"/>
      <w:marLeft w:val="0"/>
      <w:marRight w:val="0"/>
      <w:marTop w:val="0"/>
      <w:marBottom w:val="0"/>
      <w:divBdr>
        <w:top w:val="none" w:sz="0" w:space="0" w:color="auto"/>
        <w:left w:val="none" w:sz="0" w:space="0" w:color="auto"/>
        <w:bottom w:val="none" w:sz="0" w:space="0" w:color="auto"/>
        <w:right w:val="none" w:sz="0" w:space="0" w:color="auto"/>
      </w:divBdr>
      <w:divsChild>
        <w:div w:id="313879220">
          <w:marLeft w:val="0"/>
          <w:marRight w:val="0"/>
          <w:marTop w:val="0"/>
          <w:marBottom w:val="0"/>
          <w:divBdr>
            <w:top w:val="none" w:sz="0" w:space="0" w:color="auto"/>
            <w:left w:val="none" w:sz="0" w:space="0" w:color="auto"/>
            <w:bottom w:val="none" w:sz="0" w:space="0" w:color="auto"/>
            <w:right w:val="none" w:sz="0" w:space="0" w:color="auto"/>
          </w:divBdr>
          <w:divsChild>
            <w:div w:id="975329630">
              <w:marLeft w:val="0"/>
              <w:marRight w:val="0"/>
              <w:marTop w:val="0"/>
              <w:marBottom w:val="0"/>
              <w:divBdr>
                <w:top w:val="none" w:sz="0" w:space="0" w:color="auto"/>
                <w:left w:val="none" w:sz="0" w:space="0" w:color="auto"/>
                <w:bottom w:val="none" w:sz="0" w:space="0" w:color="auto"/>
                <w:right w:val="none" w:sz="0" w:space="0" w:color="auto"/>
              </w:divBdr>
              <w:divsChild>
                <w:div w:id="1239245322">
                  <w:marLeft w:val="0"/>
                  <w:marRight w:val="0"/>
                  <w:marTop w:val="0"/>
                  <w:marBottom w:val="0"/>
                  <w:divBdr>
                    <w:top w:val="none" w:sz="0" w:space="0" w:color="auto"/>
                    <w:left w:val="none" w:sz="0" w:space="0" w:color="auto"/>
                    <w:bottom w:val="none" w:sz="0" w:space="0" w:color="auto"/>
                    <w:right w:val="none" w:sz="0" w:space="0" w:color="auto"/>
                  </w:divBdr>
                  <w:divsChild>
                    <w:div w:id="468744629">
                      <w:marLeft w:val="0"/>
                      <w:marRight w:val="0"/>
                      <w:marTop w:val="45"/>
                      <w:marBottom w:val="0"/>
                      <w:divBdr>
                        <w:top w:val="none" w:sz="0" w:space="0" w:color="auto"/>
                        <w:left w:val="none" w:sz="0" w:space="0" w:color="auto"/>
                        <w:bottom w:val="none" w:sz="0" w:space="0" w:color="auto"/>
                        <w:right w:val="none" w:sz="0" w:space="0" w:color="auto"/>
                      </w:divBdr>
                      <w:divsChild>
                        <w:div w:id="427118915">
                          <w:marLeft w:val="0"/>
                          <w:marRight w:val="0"/>
                          <w:marTop w:val="0"/>
                          <w:marBottom w:val="0"/>
                          <w:divBdr>
                            <w:top w:val="none" w:sz="0" w:space="0" w:color="auto"/>
                            <w:left w:val="none" w:sz="0" w:space="0" w:color="auto"/>
                            <w:bottom w:val="none" w:sz="0" w:space="0" w:color="auto"/>
                            <w:right w:val="none" w:sz="0" w:space="0" w:color="auto"/>
                          </w:divBdr>
                          <w:divsChild>
                            <w:div w:id="878513253">
                              <w:marLeft w:val="2070"/>
                              <w:marRight w:val="3960"/>
                              <w:marTop w:val="0"/>
                              <w:marBottom w:val="0"/>
                              <w:divBdr>
                                <w:top w:val="none" w:sz="0" w:space="0" w:color="auto"/>
                                <w:left w:val="none" w:sz="0" w:space="0" w:color="auto"/>
                                <w:bottom w:val="none" w:sz="0" w:space="0" w:color="auto"/>
                                <w:right w:val="none" w:sz="0" w:space="0" w:color="auto"/>
                              </w:divBdr>
                              <w:divsChild>
                                <w:div w:id="1077819681">
                                  <w:marLeft w:val="0"/>
                                  <w:marRight w:val="0"/>
                                  <w:marTop w:val="0"/>
                                  <w:marBottom w:val="0"/>
                                  <w:divBdr>
                                    <w:top w:val="none" w:sz="0" w:space="0" w:color="auto"/>
                                    <w:left w:val="none" w:sz="0" w:space="0" w:color="auto"/>
                                    <w:bottom w:val="none" w:sz="0" w:space="0" w:color="auto"/>
                                    <w:right w:val="none" w:sz="0" w:space="0" w:color="auto"/>
                                  </w:divBdr>
                                  <w:divsChild>
                                    <w:div w:id="926620155">
                                      <w:marLeft w:val="0"/>
                                      <w:marRight w:val="0"/>
                                      <w:marTop w:val="0"/>
                                      <w:marBottom w:val="0"/>
                                      <w:divBdr>
                                        <w:top w:val="none" w:sz="0" w:space="0" w:color="auto"/>
                                        <w:left w:val="none" w:sz="0" w:space="0" w:color="auto"/>
                                        <w:bottom w:val="none" w:sz="0" w:space="0" w:color="auto"/>
                                        <w:right w:val="none" w:sz="0" w:space="0" w:color="auto"/>
                                      </w:divBdr>
                                      <w:divsChild>
                                        <w:div w:id="869420596">
                                          <w:marLeft w:val="0"/>
                                          <w:marRight w:val="0"/>
                                          <w:marTop w:val="0"/>
                                          <w:marBottom w:val="0"/>
                                          <w:divBdr>
                                            <w:top w:val="none" w:sz="0" w:space="0" w:color="auto"/>
                                            <w:left w:val="none" w:sz="0" w:space="0" w:color="auto"/>
                                            <w:bottom w:val="none" w:sz="0" w:space="0" w:color="auto"/>
                                            <w:right w:val="none" w:sz="0" w:space="0" w:color="auto"/>
                                          </w:divBdr>
                                          <w:divsChild>
                                            <w:div w:id="232669717">
                                              <w:marLeft w:val="0"/>
                                              <w:marRight w:val="0"/>
                                              <w:marTop w:val="0"/>
                                              <w:marBottom w:val="0"/>
                                              <w:divBdr>
                                                <w:top w:val="none" w:sz="0" w:space="0" w:color="auto"/>
                                                <w:left w:val="none" w:sz="0" w:space="0" w:color="auto"/>
                                                <w:bottom w:val="none" w:sz="0" w:space="0" w:color="auto"/>
                                                <w:right w:val="none" w:sz="0" w:space="0" w:color="auto"/>
                                              </w:divBdr>
                                              <w:divsChild>
                                                <w:div w:id="1197474703">
                                                  <w:marLeft w:val="0"/>
                                                  <w:marRight w:val="0"/>
                                                  <w:marTop w:val="0"/>
                                                  <w:marBottom w:val="0"/>
                                                  <w:divBdr>
                                                    <w:top w:val="none" w:sz="0" w:space="0" w:color="auto"/>
                                                    <w:left w:val="none" w:sz="0" w:space="0" w:color="auto"/>
                                                    <w:bottom w:val="none" w:sz="0" w:space="0" w:color="auto"/>
                                                    <w:right w:val="none" w:sz="0" w:space="0" w:color="auto"/>
                                                  </w:divBdr>
                                                  <w:divsChild>
                                                    <w:div w:id="1564410318">
                                                      <w:marLeft w:val="0"/>
                                                      <w:marRight w:val="0"/>
                                                      <w:marTop w:val="0"/>
                                                      <w:marBottom w:val="0"/>
                                                      <w:divBdr>
                                                        <w:top w:val="none" w:sz="0" w:space="0" w:color="auto"/>
                                                        <w:left w:val="none" w:sz="0" w:space="0" w:color="auto"/>
                                                        <w:bottom w:val="none" w:sz="0" w:space="0" w:color="auto"/>
                                                        <w:right w:val="none" w:sz="0" w:space="0" w:color="auto"/>
                                                      </w:divBdr>
                                                      <w:divsChild>
                                                        <w:div w:id="6916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2518925">
      <w:bodyDiv w:val="1"/>
      <w:marLeft w:val="0"/>
      <w:marRight w:val="0"/>
      <w:marTop w:val="0"/>
      <w:marBottom w:val="0"/>
      <w:divBdr>
        <w:top w:val="none" w:sz="0" w:space="0" w:color="auto"/>
        <w:left w:val="none" w:sz="0" w:space="0" w:color="auto"/>
        <w:bottom w:val="none" w:sz="0" w:space="0" w:color="auto"/>
        <w:right w:val="none" w:sz="0" w:space="0" w:color="auto"/>
      </w:divBdr>
    </w:div>
    <w:div w:id="643432642">
      <w:bodyDiv w:val="1"/>
      <w:marLeft w:val="0"/>
      <w:marRight w:val="0"/>
      <w:marTop w:val="0"/>
      <w:marBottom w:val="0"/>
      <w:divBdr>
        <w:top w:val="none" w:sz="0" w:space="0" w:color="auto"/>
        <w:left w:val="none" w:sz="0" w:space="0" w:color="auto"/>
        <w:bottom w:val="none" w:sz="0" w:space="0" w:color="auto"/>
        <w:right w:val="none" w:sz="0" w:space="0" w:color="auto"/>
      </w:divBdr>
    </w:div>
    <w:div w:id="660085672">
      <w:bodyDiv w:val="1"/>
      <w:marLeft w:val="0"/>
      <w:marRight w:val="0"/>
      <w:marTop w:val="0"/>
      <w:marBottom w:val="0"/>
      <w:divBdr>
        <w:top w:val="none" w:sz="0" w:space="0" w:color="auto"/>
        <w:left w:val="none" w:sz="0" w:space="0" w:color="auto"/>
        <w:bottom w:val="none" w:sz="0" w:space="0" w:color="auto"/>
        <w:right w:val="none" w:sz="0" w:space="0" w:color="auto"/>
      </w:divBdr>
    </w:div>
    <w:div w:id="671880091">
      <w:bodyDiv w:val="1"/>
      <w:marLeft w:val="0"/>
      <w:marRight w:val="0"/>
      <w:marTop w:val="0"/>
      <w:marBottom w:val="0"/>
      <w:divBdr>
        <w:top w:val="none" w:sz="0" w:space="0" w:color="auto"/>
        <w:left w:val="none" w:sz="0" w:space="0" w:color="auto"/>
        <w:bottom w:val="none" w:sz="0" w:space="0" w:color="auto"/>
        <w:right w:val="none" w:sz="0" w:space="0" w:color="auto"/>
      </w:divBdr>
    </w:div>
    <w:div w:id="673604196">
      <w:bodyDiv w:val="1"/>
      <w:marLeft w:val="0"/>
      <w:marRight w:val="0"/>
      <w:marTop w:val="0"/>
      <w:marBottom w:val="0"/>
      <w:divBdr>
        <w:top w:val="none" w:sz="0" w:space="0" w:color="auto"/>
        <w:left w:val="none" w:sz="0" w:space="0" w:color="auto"/>
        <w:bottom w:val="none" w:sz="0" w:space="0" w:color="auto"/>
        <w:right w:val="none" w:sz="0" w:space="0" w:color="auto"/>
      </w:divBdr>
    </w:div>
    <w:div w:id="678118188">
      <w:bodyDiv w:val="1"/>
      <w:marLeft w:val="0"/>
      <w:marRight w:val="0"/>
      <w:marTop w:val="0"/>
      <w:marBottom w:val="0"/>
      <w:divBdr>
        <w:top w:val="none" w:sz="0" w:space="0" w:color="auto"/>
        <w:left w:val="none" w:sz="0" w:space="0" w:color="auto"/>
        <w:bottom w:val="none" w:sz="0" w:space="0" w:color="auto"/>
        <w:right w:val="none" w:sz="0" w:space="0" w:color="auto"/>
      </w:divBdr>
    </w:div>
    <w:div w:id="682098744">
      <w:bodyDiv w:val="1"/>
      <w:marLeft w:val="0"/>
      <w:marRight w:val="0"/>
      <w:marTop w:val="0"/>
      <w:marBottom w:val="0"/>
      <w:divBdr>
        <w:top w:val="none" w:sz="0" w:space="0" w:color="auto"/>
        <w:left w:val="none" w:sz="0" w:space="0" w:color="auto"/>
        <w:bottom w:val="none" w:sz="0" w:space="0" w:color="auto"/>
        <w:right w:val="none" w:sz="0" w:space="0" w:color="auto"/>
      </w:divBdr>
    </w:div>
    <w:div w:id="721487712">
      <w:bodyDiv w:val="1"/>
      <w:marLeft w:val="0"/>
      <w:marRight w:val="0"/>
      <w:marTop w:val="0"/>
      <w:marBottom w:val="0"/>
      <w:divBdr>
        <w:top w:val="none" w:sz="0" w:space="0" w:color="auto"/>
        <w:left w:val="none" w:sz="0" w:space="0" w:color="auto"/>
        <w:bottom w:val="none" w:sz="0" w:space="0" w:color="auto"/>
        <w:right w:val="none" w:sz="0" w:space="0" w:color="auto"/>
      </w:divBdr>
    </w:div>
    <w:div w:id="745103542">
      <w:bodyDiv w:val="1"/>
      <w:marLeft w:val="0"/>
      <w:marRight w:val="0"/>
      <w:marTop w:val="0"/>
      <w:marBottom w:val="0"/>
      <w:divBdr>
        <w:top w:val="none" w:sz="0" w:space="0" w:color="auto"/>
        <w:left w:val="none" w:sz="0" w:space="0" w:color="auto"/>
        <w:bottom w:val="none" w:sz="0" w:space="0" w:color="auto"/>
        <w:right w:val="none" w:sz="0" w:space="0" w:color="auto"/>
      </w:divBdr>
    </w:div>
    <w:div w:id="746655219">
      <w:bodyDiv w:val="1"/>
      <w:marLeft w:val="0"/>
      <w:marRight w:val="0"/>
      <w:marTop w:val="0"/>
      <w:marBottom w:val="0"/>
      <w:divBdr>
        <w:top w:val="none" w:sz="0" w:space="0" w:color="auto"/>
        <w:left w:val="none" w:sz="0" w:space="0" w:color="auto"/>
        <w:bottom w:val="none" w:sz="0" w:space="0" w:color="auto"/>
        <w:right w:val="none" w:sz="0" w:space="0" w:color="auto"/>
      </w:divBdr>
    </w:div>
    <w:div w:id="780338918">
      <w:bodyDiv w:val="1"/>
      <w:marLeft w:val="0"/>
      <w:marRight w:val="0"/>
      <w:marTop w:val="0"/>
      <w:marBottom w:val="0"/>
      <w:divBdr>
        <w:top w:val="none" w:sz="0" w:space="0" w:color="auto"/>
        <w:left w:val="none" w:sz="0" w:space="0" w:color="auto"/>
        <w:bottom w:val="none" w:sz="0" w:space="0" w:color="auto"/>
        <w:right w:val="none" w:sz="0" w:space="0" w:color="auto"/>
      </w:divBdr>
    </w:div>
    <w:div w:id="813838379">
      <w:bodyDiv w:val="1"/>
      <w:marLeft w:val="0"/>
      <w:marRight w:val="0"/>
      <w:marTop w:val="0"/>
      <w:marBottom w:val="0"/>
      <w:divBdr>
        <w:top w:val="none" w:sz="0" w:space="0" w:color="auto"/>
        <w:left w:val="none" w:sz="0" w:space="0" w:color="auto"/>
        <w:bottom w:val="none" w:sz="0" w:space="0" w:color="auto"/>
        <w:right w:val="none" w:sz="0" w:space="0" w:color="auto"/>
      </w:divBdr>
    </w:div>
    <w:div w:id="833834664">
      <w:bodyDiv w:val="1"/>
      <w:marLeft w:val="0"/>
      <w:marRight w:val="0"/>
      <w:marTop w:val="0"/>
      <w:marBottom w:val="0"/>
      <w:divBdr>
        <w:top w:val="none" w:sz="0" w:space="0" w:color="auto"/>
        <w:left w:val="none" w:sz="0" w:space="0" w:color="auto"/>
        <w:bottom w:val="none" w:sz="0" w:space="0" w:color="auto"/>
        <w:right w:val="none" w:sz="0" w:space="0" w:color="auto"/>
      </w:divBdr>
      <w:divsChild>
        <w:div w:id="1671788487">
          <w:marLeft w:val="0"/>
          <w:marRight w:val="0"/>
          <w:marTop w:val="0"/>
          <w:marBottom w:val="0"/>
          <w:divBdr>
            <w:top w:val="none" w:sz="0" w:space="0" w:color="auto"/>
            <w:left w:val="none" w:sz="0" w:space="0" w:color="auto"/>
            <w:bottom w:val="none" w:sz="0" w:space="0" w:color="auto"/>
            <w:right w:val="none" w:sz="0" w:space="0" w:color="auto"/>
          </w:divBdr>
          <w:divsChild>
            <w:div w:id="2016181493">
              <w:marLeft w:val="0"/>
              <w:marRight w:val="0"/>
              <w:marTop w:val="0"/>
              <w:marBottom w:val="0"/>
              <w:divBdr>
                <w:top w:val="none" w:sz="0" w:space="0" w:color="auto"/>
                <w:left w:val="none" w:sz="0" w:space="0" w:color="auto"/>
                <w:bottom w:val="none" w:sz="0" w:space="0" w:color="auto"/>
                <w:right w:val="none" w:sz="0" w:space="0" w:color="auto"/>
              </w:divBdr>
              <w:divsChild>
                <w:div w:id="334453119">
                  <w:marLeft w:val="0"/>
                  <w:marRight w:val="0"/>
                  <w:marTop w:val="0"/>
                  <w:marBottom w:val="0"/>
                  <w:divBdr>
                    <w:top w:val="none" w:sz="0" w:space="0" w:color="auto"/>
                    <w:left w:val="none" w:sz="0" w:space="0" w:color="auto"/>
                    <w:bottom w:val="none" w:sz="0" w:space="0" w:color="auto"/>
                    <w:right w:val="none" w:sz="0" w:space="0" w:color="auto"/>
                  </w:divBdr>
                  <w:divsChild>
                    <w:div w:id="834490294">
                      <w:marLeft w:val="0"/>
                      <w:marRight w:val="0"/>
                      <w:marTop w:val="0"/>
                      <w:marBottom w:val="0"/>
                      <w:divBdr>
                        <w:top w:val="none" w:sz="0" w:space="0" w:color="auto"/>
                        <w:left w:val="none" w:sz="0" w:space="0" w:color="auto"/>
                        <w:bottom w:val="none" w:sz="0" w:space="0" w:color="auto"/>
                        <w:right w:val="none" w:sz="0" w:space="0" w:color="auto"/>
                      </w:divBdr>
                      <w:divsChild>
                        <w:div w:id="366687310">
                          <w:marLeft w:val="0"/>
                          <w:marRight w:val="0"/>
                          <w:marTop w:val="0"/>
                          <w:marBottom w:val="0"/>
                          <w:divBdr>
                            <w:top w:val="none" w:sz="0" w:space="0" w:color="auto"/>
                            <w:left w:val="none" w:sz="0" w:space="0" w:color="auto"/>
                            <w:bottom w:val="none" w:sz="0" w:space="0" w:color="auto"/>
                            <w:right w:val="none" w:sz="0" w:space="0" w:color="auto"/>
                          </w:divBdr>
                          <w:divsChild>
                            <w:div w:id="19812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939986">
      <w:bodyDiv w:val="1"/>
      <w:marLeft w:val="0"/>
      <w:marRight w:val="0"/>
      <w:marTop w:val="0"/>
      <w:marBottom w:val="0"/>
      <w:divBdr>
        <w:top w:val="none" w:sz="0" w:space="0" w:color="auto"/>
        <w:left w:val="none" w:sz="0" w:space="0" w:color="auto"/>
        <w:bottom w:val="none" w:sz="0" w:space="0" w:color="auto"/>
        <w:right w:val="none" w:sz="0" w:space="0" w:color="auto"/>
      </w:divBdr>
    </w:div>
    <w:div w:id="874657303">
      <w:bodyDiv w:val="1"/>
      <w:marLeft w:val="0"/>
      <w:marRight w:val="0"/>
      <w:marTop w:val="0"/>
      <w:marBottom w:val="0"/>
      <w:divBdr>
        <w:top w:val="none" w:sz="0" w:space="0" w:color="auto"/>
        <w:left w:val="none" w:sz="0" w:space="0" w:color="auto"/>
        <w:bottom w:val="none" w:sz="0" w:space="0" w:color="auto"/>
        <w:right w:val="none" w:sz="0" w:space="0" w:color="auto"/>
      </w:divBdr>
    </w:div>
    <w:div w:id="891967446">
      <w:bodyDiv w:val="1"/>
      <w:marLeft w:val="0"/>
      <w:marRight w:val="0"/>
      <w:marTop w:val="0"/>
      <w:marBottom w:val="0"/>
      <w:divBdr>
        <w:top w:val="none" w:sz="0" w:space="0" w:color="auto"/>
        <w:left w:val="none" w:sz="0" w:space="0" w:color="auto"/>
        <w:bottom w:val="none" w:sz="0" w:space="0" w:color="auto"/>
        <w:right w:val="none" w:sz="0" w:space="0" w:color="auto"/>
      </w:divBdr>
    </w:div>
    <w:div w:id="896473412">
      <w:bodyDiv w:val="1"/>
      <w:marLeft w:val="0"/>
      <w:marRight w:val="0"/>
      <w:marTop w:val="0"/>
      <w:marBottom w:val="0"/>
      <w:divBdr>
        <w:top w:val="none" w:sz="0" w:space="0" w:color="auto"/>
        <w:left w:val="none" w:sz="0" w:space="0" w:color="auto"/>
        <w:bottom w:val="none" w:sz="0" w:space="0" w:color="auto"/>
        <w:right w:val="none" w:sz="0" w:space="0" w:color="auto"/>
      </w:divBdr>
    </w:div>
    <w:div w:id="939484812">
      <w:bodyDiv w:val="1"/>
      <w:marLeft w:val="0"/>
      <w:marRight w:val="0"/>
      <w:marTop w:val="0"/>
      <w:marBottom w:val="0"/>
      <w:divBdr>
        <w:top w:val="none" w:sz="0" w:space="0" w:color="auto"/>
        <w:left w:val="none" w:sz="0" w:space="0" w:color="auto"/>
        <w:bottom w:val="none" w:sz="0" w:space="0" w:color="auto"/>
        <w:right w:val="none" w:sz="0" w:space="0" w:color="auto"/>
      </w:divBdr>
    </w:div>
    <w:div w:id="944115960">
      <w:bodyDiv w:val="1"/>
      <w:marLeft w:val="0"/>
      <w:marRight w:val="0"/>
      <w:marTop w:val="0"/>
      <w:marBottom w:val="0"/>
      <w:divBdr>
        <w:top w:val="none" w:sz="0" w:space="0" w:color="auto"/>
        <w:left w:val="none" w:sz="0" w:space="0" w:color="auto"/>
        <w:bottom w:val="none" w:sz="0" w:space="0" w:color="auto"/>
        <w:right w:val="none" w:sz="0" w:space="0" w:color="auto"/>
      </w:divBdr>
    </w:div>
    <w:div w:id="947852877">
      <w:bodyDiv w:val="1"/>
      <w:marLeft w:val="0"/>
      <w:marRight w:val="0"/>
      <w:marTop w:val="0"/>
      <w:marBottom w:val="0"/>
      <w:divBdr>
        <w:top w:val="none" w:sz="0" w:space="0" w:color="auto"/>
        <w:left w:val="none" w:sz="0" w:space="0" w:color="auto"/>
        <w:bottom w:val="none" w:sz="0" w:space="0" w:color="auto"/>
        <w:right w:val="none" w:sz="0" w:space="0" w:color="auto"/>
      </w:divBdr>
    </w:div>
    <w:div w:id="1004674523">
      <w:bodyDiv w:val="1"/>
      <w:marLeft w:val="0"/>
      <w:marRight w:val="0"/>
      <w:marTop w:val="0"/>
      <w:marBottom w:val="0"/>
      <w:divBdr>
        <w:top w:val="none" w:sz="0" w:space="0" w:color="auto"/>
        <w:left w:val="none" w:sz="0" w:space="0" w:color="auto"/>
        <w:bottom w:val="none" w:sz="0" w:space="0" w:color="auto"/>
        <w:right w:val="none" w:sz="0" w:space="0" w:color="auto"/>
      </w:divBdr>
    </w:div>
    <w:div w:id="1018046554">
      <w:bodyDiv w:val="1"/>
      <w:marLeft w:val="0"/>
      <w:marRight w:val="0"/>
      <w:marTop w:val="0"/>
      <w:marBottom w:val="0"/>
      <w:divBdr>
        <w:top w:val="none" w:sz="0" w:space="0" w:color="auto"/>
        <w:left w:val="none" w:sz="0" w:space="0" w:color="auto"/>
        <w:bottom w:val="none" w:sz="0" w:space="0" w:color="auto"/>
        <w:right w:val="none" w:sz="0" w:space="0" w:color="auto"/>
      </w:divBdr>
    </w:div>
    <w:div w:id="1054891189">
      <w:bodyDiv w:val="1"/>
      <w:marLeft w:val="0"/>
      <w:marRight w:val="0"/>
      <w:marTop w:val="0"/>
      <w:marBottom w:val="0"/>
      <w:divBdr>
        <w:top w:val="none" w:sz="0" w:space="0" w:color="auto"/>
        <w:left w:val="none" w:sz="0" w:space="0" w:color="auto"/>
        <w:bottom w:val="none" w:sz="0" w:space="0" w:color="auto"/>
        <w:right w:val="none" w:sz="0" w:space="0" w:color="auto"/>
      </w:divBdr>
      <w:divsChild>
        <w:div w:id="563445694">
          <w:marLeft w:val="0"/>
          <w:marRight w:val="0"/>
          <w:marTop w:val="0"/>
          <w:marBottom w:val="0"/>
          <w:divBdr>
            <w:top w:val="none" w:sz="0" w:space="0" w:color="auto"/>
            <w:left w:val="none" w:sz="0" w:space="0" w:color="auto"/>
            <w:bottom w:val="none" w:sz="0" w:space="0" w:color="auto"/>
            <w:right w:val="none" w:sz="0" w:space="0" w:color="auto"/>
          </w:divBdr>
          <w:divsChild>
            <w:div w:id="645477407">
              <w:marLeft w:val="0"/>
              <w:marRight w:val="0"/>
              <w:marTop w:val="0"/>
              <w:marBottom w:val="0"/>
              <w:divBdr>
                <w:top w:val="none" w:sz="0" w:space="0" w:color="auto"/>
                <w:left w:val="none" w:sz="0" w:space="0" w:color="auto"/>
                <w:bottom w:val="none" w:sz="0" w:space="0" w:color="auto"/>
                <w:right w:val="none" w:sz="0" w:space="0" w:color="auto"/>
              </w:divBdr>
              <w:divsChild>
                <w:div w:id="986129999">
                  <w:marLeft w:val="0"/>
                  <w:marRight w:val="0"/>
                  <w:marTop w:val="0"/>
                  <w:marBottom w:val="0"/>
                  <w:divBdr>
                    <w:top w:val="none" w:sz="0" w:space="0" w:color="auto"/>
                    <w:left w:val="none" w:sz="0" w:space="0" w:color="auto"/>
                    <w:bottom w:val="none" w:sz="0" w:space="0" w:color="auto"/>
                    <w:right w:val="none" w:sz="0" w:space="0" w:color="auto"/>
                  </w:divBdr>
                  <w:divsChild>
                    <w:div w:id="2144154936">
                      <w:marLeft w:val="0"/>
                      <w:marRight w:val="0"/>
                      <w:marTop w:val="0"/>
                      <w:marBottom w:val="0"/>
                      <w:divBdr>
                        <w:top w:val="none" w:sz="0" w:space="0" w:color="auto"/>
                        <w:left w:val="none" w:sz="0" w:space="0" w:color="auto"/>
                        <w:bottom w:val="none" w:sz="0" w:space="0" w:color="auto"/>
                        <w:right w:val="none" w:sz="0" w:space="0" w:color="auto"/>
                      </w:divBdr>
                      <w:divsChild>
                        <w:div w:id="1443303241">
                          <w:marLeft w:val="0"/>
                          <w:marRight w:val="0"/>
                          <w:marTop w:val="0"/>
                          <w:marBottom w:val="0"/>
                          <w:divBdr>
                            <w:top w:val="none" w:sz="0" w:space="0" w:color="auto"/>
                            <w:left w:val="none" w:sz="0" w:space="0" w:color="auto"/>
                            <w:bottom w:val="none" w:sz="0" w:space="0" w:color="auto"/>
                            <w:right w:val="none" w:sz="0" w:space="0" w:color="auto"/>
                          </w:divBdr>
                          <w:divsChild>
                            <w:div w:id="884023844">
                              <w:marLeft w:val="0"/>
                              <w:marRight w:val="0"/>
                              <w:marTop w:val="0"/>
                              <w:marBottom w:val="0"/>
                              <w:divBdr>
                                <w:top w:val="none" w:sz="0" w:space="0" w:color="auto"/>
                                <w:left w:val="none" w:sz="0" w:space="0" w:color="auto"/>
                                <w:bottom w:val="none" w:sz="0" w:space="0" w:color="auto"/>
                                <w:right w:val="none" w:sz="0" w:space="0" w:color="auto"/>
                              </w:divBdr>
                              <w:divsChild>
                                <w:div w:id="907497729">
                                  <w:marLeft w:val="0"/>
                                  <w:marRight w:val="0"/>
                                  <w:marTop w:val="0"/>
                                  <w:marBottom w:val="0"/>
                                  <w:divBdr>
                                    <w:top w:val="none" w:sz="0" w:space="0" w:color="auto"/>
                                    <w:left w:val="none" w:sz="0" w:space="0" w:color="auto"/>
                                    <w:bottom w:val="none" w:sz="0" w:space="0" w:color="auto"/>
                                    <w:right w:val="none" w:sz="0" w:space="0" w:color="auto"/>
                                  </w:divBdr>
                                  <w:divsChild>
                                    <w:div w:id="1792627836">
                                      <w:marLeft w:val="60"/>
                                      <w:marRight w:val="0"/>
                                      <w:marTop w:val="0"/>
                                      <w:marBottom w:val="0"/>
                                      <w:divBdr>
                                        <w:top w:val="none" w:sz="0" w:space="0" w:color="auto"/>
                                        <w:left w:val="none" w:sz="0" w:space="0" w:color="auto"/>
                                        <w:bottom w:val="none" w:sz="0" w:space="0" w:color="auto"/>
                                        <w:right w:val="none" w:sz="0" w:space="0" w:color="auto"/>
                                      </w:divBdr>
                                      <w:divsChild>
                                        <w:div w:id="371464743">
                                          <w:marLeft w:val="0"/>
                                          <w:marRight w:val="0"/>
                                          <w:marTop w:val="0"/>
                                          <w:marBottom w:val="0"/>
                                          <w:divBdr>
                                            <w:top w:val="none" w:sz="0" w:space="0" w:color="auto"/>
                                            <w:left w:val="none" w:sz="0" w:space="0" w:color="auto"/>
                                            <w:bottom w:val="none" w:sz="0" w:space="0" w:color="auto"/>
                                            <w:right w:val="none" w:sz="0" w:space="0" w:color="auto"/>
                                          </w:divBdr>
                                          <w:divsChild>
                                            <w:div w:id="358555891">
                                              <w:marLeft w:val="0"/>
                                              <w:marRight w:val="0"/>
                                              <w:marTop w:val="0"/>
                                              <w:marBottom w:val="120"/>
                                              <w:divBdr>
                                                <w:top w:val="single" w:sz="6" w:space="0" w:color="F5F5F5"/>
                                                <w:left w:val="single" w:sz="6" w:space="0" w:color="F5F5F5"/>
                                                <w:bottom w:val="single" w:sz="6" w:space="0" w:color="F5F5F5"/>
                                                <w:right w:val="single" w:sz="6" w:space="0" w:color="F5F5F5"/>
                                              </w:divBdr>
                                              <w:divsChild>
                                                <w:div w:id="794832916">
                                                  <w:marLeft w:val="0"/>
                                                  <w:marRight w:val="0"/>
                                                  <w:marTop w:val="0"/>
                                                  <w:marBottom w:val="0"/>
                                                  <w:divBdr>
                                                    <w:top w:val="none" w:sz="0" w:space="0" w:color="auto"/>
                                                    <w:left w:val="none" w:sz="0" w:space="0" w:color="auto"/>
                                                    <w:bottom w:val="none" w:sz="0" w:space="0" w:color="auto"/>
                                                    <w:right w:val="none" w:sz="0" w:space="0" w:color="auto"/>
                                                  </w:divBdr>
                                                  <w:divsChild>
                                                    <w:div w:id="15747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5204660">
      <w:bodyDiv w:val="1"/>
      <w:marLeft w:val="0"/>
      <w:marRight w:val="0"/>
      <w:marTop w:val="0"/>
      <w:marBottom w:val="0"/>
      <w:divBdr>
        <w:top w:val="none" w:sz="0" w:space="0" w:color="auto"/>
        <w:left w:val="none" w:sz="0" w:space="0" w:color="auto"/>
        <w:bottom w:val="none" w:sz="0" w:space="0" w:color="auto"/>
        <w:right w:val="none" w:sz="0" w:space="0" w:color="auto"/>
      </w:divBdr>
    </w:div>
    <w:div w:id="1089548603">
      <w:bodyDiv w:val="1"/>
      <w:marLeft w:val="0"/>
      <w:marRight w:val="0"/>
      <w:marTop w:val="0"/>
      <w:marBottom w:val="0"/>
      <w:divBdr>
        <w:top w:val="none" w:sz="0" w:space="0" w:color="auto"/>
        <w:left w:val="none" w:sz="0" w:space="0" w:color="auto"/>
        <w:bottom w:val="none" w:sz="0" w:space="0" w:color="auto"/>
        <w:right w:val="none" w:sz="0" w:space="0" w:color="auto"/>
      </w:divBdr>
    </w:div>
    <w:div w:id="1095786768">
      <w:bodyDiv w:val="1"/>
      <w:marLeft w:val="0"/>
      <w:marRight w:val="0"/>
      <w:marTop w:val="0"/>
      <w:marBottom w:val="0"/>
      <w:divBdr>
        <w:top w:val="none" w:sz="0" w:space="0" w:color="auto"/>
        <w:left w:val="none" w:sz="0" w:space="0" w:color="auto"/>
        <w:bottom w:val="none" w:sz="0" w:space="0" w:color="auto"/>
        <w:right w:val="none" w:sz="0" w:space="0" w:color="auto"/>
      </w:divBdr>
    </w:div>
    <w:div w:id="1111507473">
      <w:bodyDiv w:val="1"/>
      <w:marLeft w:val="0"/>
      <w:marRight w:val="0"/>
      <w:marTop w:val="0"/>
      <w:marBottom w:val="0"/>
      <w:divBdr>
        <w:top w:val="none" w:sz="0" w:space="0" w:color="auto"/>
        <w:left w:val="none" w:sz="0" w:space="0" w:color="auto"/>
        <w:bottom w:val="none" w:sz="0" w:space="0" w:color="auto"/>
        <w:right w:val="none" w:sz="0" w:space="0" w:color="auto"/>
      </w:divBdr>
    </w:div>
    <w:div w:id="1112214544">
      <w:bodyDiv w:val="1"/>
      <w:marLeft w:val="0"/>
      <w:marRight w:val="0"/>
      <w:marTop w:val="0"/>
      <w:marBottom w:val="0"/>
      <w:divBdr>
        <w:top w:val="none" w:sz="0" w:space="0" w:color="auto"/>
        <w:left w:val="none" w:sz="0" w:space="0" w:color="auto"/>
        <w:bottom w:val="none" w:sz="0" w:space="0" w:color="auto"/>
        <w:right w:val="none" w:sz="0" w:space="0" w:color="auto"/>
      </w:divBdr>
    </w:div>
    <w:div w:id="1128157812">
      <w:bodyDiv w:val="1"/>
      <w:marLeft w:val="0"/>
      <w:marRight w:val="0"/>
      <w:marTop w:val="0"/>
      <w:marBottom w:val="0"/>
      <w:divBdr>
        <w:top w:val="none" w:sz="0" w:space="0" w:color="auto"/>
        <w:left w:val="none" w:sz="0" w:space="0" w:color="auto"/>
        <w:bottom w:val="none" w:sz="0" w:space="0" w:color="auto"/>
        <w:right w:val="none" w:sz="0" w:space="0" w:color="auto"/>
      </w:divBdr>
    </w:div>
    <w:div w:id="1139687654">
      <w:bodyDiv w:val="1"/>
      <w:marLeft w:val="0"/>
      <w:marRight w:val="0"/>
      <w:marTop w:val="0"/>
      <w:marBottom w:val="0"/>
      <w:divBdr>
        <w:top w:val="none" w:sz="0" w:space="0" w:color="auto"/>
        <w:left w:val="none" w:sz="0" w:space="0" w:color="auto"/>
        <w:bottom w:val="none" w:sz="0" w:space="0" w:color="auto"/>
        <w:right w:val="none" w:sz="0" w:space="0" w:color="auto"/>
      </w:divBdr>
      <w:divsChild>
        <w:div w:id="1638293793">
          <w:marLeft w:val="0"/>
          <w:marRight w:val="0"/>
          <w:marTop w:val="0"/>
          <w:marBottom w:val="0"/>
          <w:divBdr>
            <w:top w:val="none" w:sz="0" w:space="0" w:color="auto"/>
            <w:left w:val="none" w:sz="0" w:space="0" w:color="auto"/>
            <w:bottom w:val="none" w:sz="0" w:space="0" w:color="auto"/>
            <w:right w:val="none" w:sz="0" w:space="0" w:color="auto"/>
          </w:divBdr>
          <w:divsChild>
            <w:div w:id="792869581">
              <w:marLeft w:val="0"/>
              <w:marRight w:val="0"/>
              <w:marTop w:val="0"/>
              <w:marBottom w:val="0"/>
              <w:divBdr>
                <w:top w:val="none" w:sz="0" w:space="0" w:color="auto"/>
                <w:left w:val="none" w:sz="0" w:space="0" w:color="auto"/>
                <w:bottom w:val="none" w:sz="0" w:space="0" w:color="auto"/>
                <w:right w:val="none" w:sz="0" w:space="0" w:color="auto"/>
              </w:divBdr>
              <w:divsChild>
                <w:div w:id="1319961268">
                  <w:marLeft w:val="0"/>
                  <w:marRight w:val="0"/>
                  <w:marTop w:val="0"/>
                  <w:marBottom w:val="0"/>
                  <w:divBdr>
                    <w:top w:val="none" w:sz="0" w:space="0" w:color="auto"/>
                    <w:left w:val="none" w:sz="0" w:space="0" w:color="auto"/>
                    <w:bottom w:val="none" w:sz="0" w:space="0" w:color="auto"/>
                    <w:right w:val="none" w:sz="0" w:space="0" w:color="auto"/>
                  </w:divBdr>
                  <w:divsChild>
                    <w:div w:id="1644117021">
                      <w:marLeft w:val="0"/>
                      <w:marRight w:val="0"/>
                      <w:marTop w:val="0"/>
                      <w:marBottom w:val="0"/>
                      <w:divBdr>
                        <w:top w:val="none" w:sz="0" w:space="0" w:color="auto"/>
                        <w:left w:val="none" w:sz="0" w:space="0" w:color="auto"/>
                        <w:bottom w:val="none" w:sz="0" w:space="0" w:color="auto"/>
                        <w:right w:val="none" w:sz="0" w:space="0" w:color="auto"/>
                      </w:divBdr>
                      <w:divsChild>
                        <w:div w:id="2130663980">
                          <w:marLeft w:val="0"/>
                          <w:marRight w:val="0"/>
                          <w:marTop w:val="0"/>
                          <w:marBottom w:val="0"/>
                          <w:divBdr>
                            <w:top w:val="none" w:sz="0" w:space="0" w:color="auto"/>
                            <w:left w:val="none" w:sz="0" w:space="0" w:color="auto"/>
                            <w:bottom w:val="none" w:sz="0" w:space="0" w:color="auto"/>
                            <w:right w:val="none" w:sz="0" w:space="0" w:color="auto"/>
                          </w:divBdr>
                          <w:divsChild>
                            <w:div w:id="10277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15020">
      <w:bodyDiv w:val="1"/>
      <w:marLeft w:val="0"/>
      <w:marRight w:val="0"/>
      <w:marTop w:val="0"/>
      <w:marBottom w:val="0"/>
      <w:divBdr>
        <w:top w:val="none" w:sz="0" w:space="0" w:color="auto"/>
        <w:left w:val="none" w:sz="0" w:space="0" w:color="auto"/>
        <w:bottom w:val="none" w:sz="0" w:space="0" w:color="auto"/>
        <w:right w:val="none" w:sz="0" w:space="0" w:color="auto"/>
      </w:divBdr>
    </w:div>
    <w:div w:id="1151483095">
      <w:bodyDiv w:val="1"/>
      <w:marLeft w:val="0"/>
      <w:marRight w:val="0"/>
      <w:marTop w:val="0"/>
      <w:marBottom w:val="0"/>
      <w:divBdr>
        <w:top w:val="none" w:sz="0" w:space="0" w:color="auto"/>
        <w:left w:val="none" w:sz="0" w:space="0" w:color="auto"/>
        <w:bottom w:val="none" w:sz="0" w:space="0" w:color="auto"/>
        <w:right w:val="none" w:sz="0" w:space="0" w:color="auto"/>
      </w:divBdr>
    </w:div>
    <w:div w:id="1155030658">
      <w:bodyDiv w:val="1"/>
      <w:marLeft w:val="0"/>
      <w:marRight w:val="0"/>
      <w:marTop w:val="0"/>
      <w:marBottom w:val="0"/>
      <w:divBdr>
        <w:top w:val="none" w:sz="0" w:space="0" w:color="auto"/>
        <w:left w:val="none" w:sz="0" w:space="0" w:color="auto"/>
        <w:bottom w:val="none" w:sz="0" w:space="0" w:color="auto"/>
        <w:right w:val="none" w:sz="0" w:space="0" w:color="auto"/>
      </w:divBdr>
    </w:div>
    <w:div w:id="1158571043">
      <w:bodyDiv w:val="1"/>
      <w:marLeft w:val="0"/>
      <w:marRight w:val="0"/>
      <w:marTop w:val="0"/>
      <w:marBottom w:val="0"/>
      <w:divBdr>
        <w:top w:val="none" w:sz="0" w:space="0" w:color="auto"/>
        <w:left w:val="none" w:sz="0" w:space="0" w:color="auto"/>
        <w:bottom w:val="none" w:sz="0" w:space="0" w:color="auto"/>
        <w:right w:val="none" w:sz="0" w:space="0" w:color="auto"/>
      </w:divBdr>
    </w:div>
    <w:div w:id="1187912188">
      <w:bodyDiv w:val="1"/>
      <w:marLeft w:val="0"/>
      <w:marRight w:val="0"/>
      <w:marTop w:val="0"/>
      <w:marBottom w:val="0"/>
      <w:divBdr>
        <w:top w:val="none" w:sz="0" w:space="0" w:color="auto"/>
        <w:left w:val="none" w:sz="0" w:space="0" w:color="auto"/>
        <w:bottom w:val="none" w:sz="0" w:space="0" w:color="auto"/>
        <w:right w:val="none" w:sz="0" w:space="0" w:color="auto"/>
      </w:divBdr>
    </w:div>
    <w:div w:id="1200820723">
      <w:bodyDiv w:val="1"/>
      <w:marLeft w:val="0"/>
      <w:marRight w:val="0"/>
      <w:marTop w:val="0"/>
      <w:marBottom w:val="0"/>
      <w:divBdr>
        <w:top w:val="none" w:sz="0" w:space="0" w:color="auto"/>
        <w:left w:val="none" w:sz="0" w:space="0" w:color="auto"/>
        <w:bottom w:val="none" w:sz="0" w:space="0" w:color="auto"/>
        <w:right w:val="none" w:sz="0" w:space="0" w:color="auto"/>
      </w:divBdr>
      <w:divsChild>
        <w:div w:id="567765765">
          <w:marLeft w:val="0"/>
          <w:marRight w:val="0"/>
          <w:marTop w:val="0"/>
          <w:marBottom w:val="0"/>
          <w:divBdr>
            <w:top w:val="none" w:sz="0" w:space="0" w:color="auto"/>
            <w:left w:val="none" w:sz="0" w:space="0" w:color="auto"/>
            <w:bottom w:val="none" w:sz="0" w:space="0" w:color="auto"/>
            <w:right w:val="none" w:sz="0" w:space="0" w:color="auto"/>
          </w:divBdr>
          <w:divsChild>
            <w:div w:id="1126242610">
              <w:marLeft w:val="0"/>
              <w:marRight w:val="0"/>
              <w:marTop w:val="0"/>
              <w:marBottom w:val="0"/>
              <w:divBdr>
                <w:top w:val="none" w:sz="0" w:space="0" w:color="auto"/>
                <w:left w:val="none" w:sz="0" w:space="0" w:color="auto"/>
                <w:bottom w:val="none" w:sz="0" w:space="0" w:color="auto"/>
                <w:right w:val="none" w:sz="0" w:space="0" w:color="auto"/>
              </w:divBdr>
              <w:divsChild>
                <w:div w:id="1476138307">
                  <w:marLeft w:val="0"/>
                  <w:marRight w:val="0"/>
                  <w:marTop w:val="0"/>
                  <w:marBottom w:val="0"/>
                  <w:divBdr>
                    <w:top w:val="none" w:sz="0" w:space="0" w:color="auto"/>
                    <w:left w:val="none" w:sz="0" w:space="0" w:color="auto"/>
                    <w:bottom w:val="none" w:sz="0" w:space="0" w:color="auto"/>
                    <w:right w:val="none" w:sz="0" w:space="0" w:color="auto"/>
                  </w:divBdr>
                  <w:divsChild>
                    <w:div w:id="1037583590">
                      <w:marLeft w:val="0"/>
                      <w:marRight w:val="0"/>
                      <w:marTop w:val="0"/>
                      <w:marBottom w:val="0"/>
                      <w:divBdr>
                        <w:top w:val="none" w:sz="0" w:space="0" w:color="auto"/>
                        <w:left w:val="none" w:sz="0" w:space="0" w:color="auto"/>
                        <w:bottom w:val="none" w:sz="0" w:space="0" w:color="auto"/>
                        <w:right w:val="none" w:sz="0" w:space="0" w:color="auto"/>
                      </w:divBdr>
                      <w:divsChild>
                        <w:div w:id="1724257980">
                          <w:marLeft w:val="0"/>
                          <w:marRight w:val="0"/>
                          <w:marTop w:val="0"/>
                          <w:marBottom w:val="0"/>
                          <w:divBdr>
                            <w:top w:val="none" w:sz="0" w:space="0" w:color="auto"/>
                            <w:left w:val="none" w:sz="0" w:space="0" w:color="auto"/>
                            <w:bottom w:val="none" w:sz="0" w:space="0" w:color="auto"/>
                            <w:right w:val="none" w:sz="0" w:space="0" w:color="auto"/>
                          </w:divBdr>
                          <w:divsChild>
                            <w:div w:id="21032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16435">
      <w:bodyDiv w:val="1"/>
      <w:marLeft w:val="0"/>
      <w:marRight w:val="0"/>
      <w:marTop w:val="0"/>
      <w:marBottom w:val="0"/>
      <w:divBdr>
        <w:top w:val="none" w:sz="0" w:space="0" w:color="auto"/>
        <w:left w:val="none" w:sz="0" w:space="0" w:color="auto"/>
        <w:bottom w:val="none" w:sz="0" w:space="0" w:color="auto"/>
        <w:right w:val="none" w:sz="0" w:space="0" w:color="auto"/>
      </w:divBdr>
    </w:div>
    <w:div w:id="1214580829">
      <w:bodyDiv w:val="1"/>
      <w:marLeft w:val="0"/>
      <w:marRight w:val="0"/>
      <w:marTop w:val="0"/>
      <w:marBottom w:val="0"/>
      <w:divBdr>
        <w:top w:val="none" w:sz="0" w:space="0" w:color="auto"/>
        <w:left w:val="none" w:sz="0" w:space="0" w:color="auto"/>
        <w:bottom w:val="none" w:sz="0" w:space="0" w:color="auto"/>
        <w:right w:val="none" w:sz="0" w:space="0" w:color="auto"/>
      </w:divBdr>
    </w:div>
    <w:div w:id="1236090568">
      <w:bodyDiv w:val="1"/>
      <w:marLeft w:val="0"/>
      <w:marRight w:val="0"/>
      <w:marTop w:val="0"/>
      <w:marBottom w:val="0"/>
      <w:divBdr>
        <w:top w:val="none" w:sz="0" w:space="0" w:color="auto"/>
        <w:left w:val="none" w:sz="0" w:space="0" w:color="auto"/>
        <w:bottom w:val="none" w:sz="0" w:space="0" w:color="auto"/>
        <w:right w:val="none" w:sz="0" w:space="0" w:color="auto"/>
      </w:divBdr>
    </w:div>
    <w:div w:id="1271279118">
      <w:bodyDiv w:val="1"/>
      <w:marLeft w:val="0"/>
      <w:marRight w:val="0"/>
      <w:marTop w:val="0"/>
      <w:marBottom w:val="0"/>
      <w:divBdr>
        <w:top w:val="none" w:sz="0" w:space="0" w:color="auto"/>
        <w:left w:val="none" w:sz="0" w:space="0" w:color="auto"/>
        <w:bottom w:val="none" w:sz="0" w:space="0" w:color="auto"/>
        <w:right w:val="none" w:sz="0" w:space="0" w:color="auto"/>
      </w:divBdr>
    </w:div>
    <w:div w:id="1276450828">
      <w:bodyDiv w:val="1"/>
      <w:marLeft w:val="0"/>
      <w:marRight w:val="0"/>
      <w:marTop w:val="0"/>
      <w:marBottom w:val="0"/>
      <w:divBdr>
        <w:top w:val="none" w:sz="0" w:space="0" w:color="auto"/>
        <w:left w:val="none" w:sz="0" w:space="0" w:color="auto"/>
        <w:bottom w:val="none" w:sz="0" w:space="0" w:color="auto"/>
        <w:right w:val="none" w:sz="0" w:space="0" w:color="auto"/>
      </w:divBdr>
    </w:div>
    <w:div w:id="1280600457">
      <w:bodyDiv w:val="1"/>
      <w:marLeft w:val="0"/>
      <w:marRight w:val="0"/>
      <w:marTop w:val="0"/>
      <w:marBottom w:val="0"/>
      <w:divBdr>
        <w:top w:val="none" w:sz="0" w:space="0" w:color="auto"/>
        <w:left w:val="none" w:sz="0" w:space="0" w:color="auto"/>
        <w:bottom w:val="none" w:sz="0" w:space="0" w:color="auto"/>
        <w:right w:val="none" w:sz="0" w:space="0" w:color="auto"/>
      </w:divBdr>
    </w:div>
    <w:div w:id="1293751847">
      <w:bodyDiv w:val="1"/>
      <w:marLeft w:val="0"/>
      <w:marRight w:val="0"/>
      <w:marTop w:val="0"/>
      <w:marBottom w:val="0"/>
      <w:divBdr>
        <w:top w:val="none" w:sz="0" w:space="0" w:color="auto"/>
        <w:left w:val="none" w:sz="0" w:space="0" w:color="auto"/>
        <w:bottom w:val="none" w:sz="0" w:space="0" w:color="auto"/>
        <w:right w:val="none" w:sz="0" w:space="0" w:color="auto"/>
      </w:divBdr>
    </w:div>
    <w:div w:id="1310787191">
      <w:bodyDiv w:val="1"/>
      <w:marLeft w:val="0"/>
      <w:marRight w:val="0"/>
      <w:marTop w:val="0"/>
      <w:marBottom w:val="0"/>
      <w:divBdr>
        <w:top w:val="none" w:sz="0" w:space="0" w:color="auto"/>
        <w:left w:val="none" w:sz="0" w:space="0" w:color="auto"/>
        <w:bottom w:val="none" w:sz="0" w:space="0" w:color="auto"/>
        <w:right w:val="none" w:sz="0" w:space="0" w:color="auto"/>
      </w:divBdr>
    </w:div>
    <w:div w:id="1331253268">
      <w:bodyDiv w:val="1"/>
      <w:marLeft w:val="0"/>
      <w:marRight w:val="0"/>
      <w:marTop w:val="0"/>
      <w:marBottom w:val="0"/>
      <w:divBdr>
        <w:top w:val="none" w:sz="0" w:space="0" w:color="auto"/>
        <w:left w:val="none" w:sz="0" w:space="0" w:color="auto"/>
        <w:bottom w:val="none" w:sz="0" w:space="0" w:color="auto"/>
        <w:right w:val="none" w:sz="0" w:space="0" w:color="auto"/>
      </w:divBdr>
    </w:div>
    <w:div w:id="1331832778">
      <w:bodyDiv w:val="1"/>
      <w:marLeft w:val="0"/>
      <w:marRight w:val="0"/>
      <w:marTop w:val="0"/>
      <w:marBottom w:val="0"/>
      <w:divBdr>
        <w:top w:val="none" w:sz="0" w:space="0" w:color="auto"/>
        <w:left w:val="none" w:sz="0" w:space="0" w:color="auto"/>
        <w:bottom w:val="none" w:sz="0" w:space="0" w:color="auto"/>
        <w:right w:val="none" w:sz="0" w:space="0" w:color="auto"/>
      </w:divBdr>
    </w:div>
    <w:div w:id="1376539613">
      <w:bodyDiv w:val="1"/>
      <w:marLeft w:val="0"/>
      <w:marRight w:val="0"/>
      <w:marTop w:val="0"/>
      <w:marBottom w:val="0"/>
      <w:divBdr>
        <w:top w:val="none" w:sz="0" w:space="0" w:color="auto"/>
        <w:left w:val="none" w:sz="0" w:space="0" w:color="auto"/>
        <w:bottom w:val="none" w:sz="0" w:space="0" w:color="auto"/>
        <w:right w:val="none" w:sz="0" w:space="0" w:color="auto"/>
      </w:divBdr>
    </w:div>
    <w:div w:id="1394040379">
      <w:bodyDiv w:val="1"/>
      <w:marLeft w:val="0"/>
      <w:marRight w:val="0"/>
      <w:marTop w:val="0"/>
      <w:marBottom w:val="0"/>
      <w:divBdr>
        <w:top w:val="none" w:sz="0" w:space="0" w:color="auto"/>
        <w:left w:val="none" w:sz="0" w:space="0" w:color="auto"/>
        <w:bottom w:val="none" w:sz="0" w:space="0" w:color="auto"/>
        <w:right w:val="none" w:sz="0" w:space="0" w:color="auto"/>
      </w:divBdr>
      <w:divsChild>
        <w:div w:id="646133269">
          <w:marLeft w:val="0"/>
          <w:marRight w:val="0"/>
          <w:marTop w:val="0"/>
          <w:marBottom w:val="0"/>
          <w:divBdr>
            <w:top w:val="none" w:sz="0" w:space="0" w:color="auto"/>
            <w:left w:val="none" w:sz="0" w:space="0" w:color="auto"/>
            <w:bottom w:val="none" w:sz="0" w:space="0" w:color="auto"/>
            <w:right w:val="none" w:sz="0" w:space="0" w:color="auto"/>
          </w:divBdr>
          <w:divsChild>
            <w:div w:id="422260470">
              <w:marLeft w:val="0"/>
              <w:marRight w:val="0"/>
              <w:marTop w:val="0"/>
              <w:marBottom w:val="0"/>
              <w:divBdr>
                <w:top w:val="none" w:sz="0" w:space="0" w:color="auto"/>
                <w:left w:val="none" w:sz="0" w:space="0" w:color="auto"/>
                <w:bottom w:val="none" w:sz="0" w:space="0" w:color="auto"/>
                <w:right w:val="none" w:sz="0" w:space="0" w:color="auto"/>
              </w:divBdr>
              <w:divsChild>
                <w:div w:id="726953765">
                  <w:marLeft w:val="0"/>
                  <w:marRight w:val="0"/>
                  <w:marTop w:val="0"/>
                  <w:marBottom w:val="0"/>
                  <w:divBdr>
                    <w:top w:val="none" w:sz="0" w:space="0" w:color="auto"/>
                    <w:left w:val="none" w:sz="0" w:space="0" w:color="auto"/>
                    <w:bottom w:val="none" w:sz="0" w:space="0" w:color="auto"/>
                    <w:right w:val="none" w:sz="0" w:space="0" w:color="auto"/>
                  </w:divBdr>
                  <w:divsChild>
                    <w:div w:id="1618020537">
                      <w:marLeft w:val="0"/>
                      <w:marRight w:val="0"/>
                      <w:marTop w:val="0"/>
                      <w:marBottom w:val="0"/>
                      <w:divBdr>
                        <w:top w:val="none" w:sz="0" w:space="0" w:color="auto"/>
                        <w:left w:val="none" w:sz="0" w:space="0" w:color="auto"/>
                        <w:bottom w:val="none" w:sz="0" w:space="0" w:color="auto"/>
                        <w:right w:val="none" w:sz="0" w:space="0" w:color="auto"/>
                      </w:divBdr>
                      <w:divsChild>
                        <w:div w:id="1256136849">
                          <w:marLeft w:val="0"/>
                          <w:marRight w:val="0"/>
                          <w:marTop w:val="0"/>
                          <w:marBottom w:val="0"/>
                          <w:divBdr>
                            <w:top w:val="none" w:sz="0" w:space="0" w:color="auto"/>
                            <w:left w:val="none" w:sz="0" w:space="0" w:color="auto"/>
                            <w:bottom w:val="none" w:sz="0" w:space="0" w:color="auto"/>
                            <w:right w:val="none" w:sz="0" w:space="0" w:color="auto"/>
                          </w:divBdr>
                          <w:divsChild>
                            <w:div w:id="7682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140404">
      <w:bodyDiv w:val="1"/>
      <w:marLeft w:val="0"/>
      <w:marRight w:val="0"/>
      <w:marTop w:val="0"/>
      <w:marBottom w:val="0"/>
      <w:divBdr>
        <w:top w:val="none" w:sz="0" w:space="0" w:color="auto"/>
        <w:left w:val="none" w:sz="0" w:space="0" w:color="auto"/>
        <w:bottom w:val="none" w:sz="0" w:space="0" w:color="auto"/>
        <w:right w:val="none" w:sz="0" w:space="0" w:color="auto"/>
      </w:divBdr>
    </w:div>
    <w:div w:id="1439983443">
      <w:bodyDiv w:val="1"/>
      <w:marLeft w:val="0"/>
      <w:marRight w:val="0"/>
      <w:marTop w:val="0"/>
      <w:marBottom w:val="0"/>
      <w:divBdr>
        <w:top w:val="none" w:sz="0" w:space="0" w:color="auto"/>
        <w:left w:val="none" w:sz="0" w:space="0" w:color="auto"/>
        <w:bottom w:val="none" w:sz="0" w:space="0" w:color="auto"/>
        <w:right w:val="none" w:sz="0" w:space="0" w:color="auto"/>
      </w:divBdr>
    </w:div>
    <w:div w:id="1454865175">
      <w:bodyDiv w:val="1"/>
      <w:marLeft w:val="0"/>
      <w:marRight w:val="0"/>
      <w:marTop w:val="0"/>
      <w:marBottom w:val="0"/>
      <w:divBdr>
        <w:top w:val="none" w:sz="0" w:space="0" w:color="auto"/>
        <w:left w:val="none" w:sz="0" w:space="0" w:color="auto"/>
        <w:bottom w:val="none" w:sz="0" w:space="0" w:color="auto"/>
        <w:right w:val="none" w:sz="0" w:space="0" w:color="auto"/>
      </w:divBdr>
    </w:div>
    <w:div w:id="1485585103">
      <w:bodyDiv w:val="1"/>
      <w:marLeft w:val="0"/>
      <w:marRight w:val="0"/>
      <w:marTop w:val="0"/>
      <w:marBottom w:val="0"/>
      <w:divBdr>
        <w:top w:val="none" w:sz="0" w:space="0" w:color="auto"/>
        <w:left w:val="none" w:sz="0" w:space="0" w:color="auto"/>
        <w:bottom w:val="none" w:sz="0" w:space="0" w:color="auto"/>
        <w:right w:val="none" w:sz="0" w:space="0" w:color="auto"/>
      </w:divBdr>
      <w:divsChild>
        <w:div w:id="1379863141">
          <w:marLeft w:val="0"/>
          <w:marRight w:val="0"/>
          <w:marTop w:val="0"/>
          <w:marBottom w:val="0"/>
          <w:divBdr>
            <w:top w:val="none" w:sz="0" w:space="0" w:color="auto"/>
            <w:left w:val="none" w:sz="0" w:space="0" w:color="auto"/>
            <w:bottom w:val="none" w:sz="0" w:space="0" w:color="auto"/>
            <w:right w:val="none" w:sz="0" w:space="0" w:color="auto"/>
          </w:divBdr>
          <w:divsChild>
            <w:div w:id="1180510523">
              <w:marLeft w:val="0"/>
              <w:marRight w:val="0"/>
              <w:marTop w:val="0"/>
              <w:marBottom w:val="0"/>
              <w:divBdr>
                <w:top w:val="none" w:sz="0" w:space="0" w:color="auto"/>
                <w:left w:val="none" w:sz="0" w:space="0" w:color="auto"/>
                <w:bottom w:val="none" w:sz="0" w:space="0" w:color="auto"/>
                <w:right w:val="none" w:sz="0" w:space="0" w:color="auto"/>
              </w:divBdr>
              <w:divsChild>
                <w:div w:id="1284262388">
                  <w:marLeft w:val="0"/>
                  <w:marRight w:val="0"/>
                  <w:marTop w:val="0"/>
                  <w:marBottom w:val="0"/>
                  <w:divBdr>
                    <w:top w:val="none" w:sz="0" w:space="0" w:color="auto"/>
                    <w:left w:val="none" w:sz="0" w:space="0" w:color="auto"/>
                    <w:bottom w:val="none" w:sz="0" w:space="0" w:color="auto"/>
                    <w:right w:val="none" w:sz="0" w:space="0" w:color="auto"/>
                  </w:divBdr>
                  <w:divsChild>
                    <w:div w:id="364719556">
                      <w:marLeft w:val="0"/>
                      <w:marRight w:val="0"/>
                      <w:marTop w:val="0"/>
                      <w:marBottom w:val="0"/>
                      <w:divBdr>
                        <w:top w:val="none" w:sz="0" w:space="0" w:color="auto"/>
                        <w:left w:val="none" w:sz="0" w:space="0" w:color="auto"/>
                        <w:bottom w:val="none" w:sz="0" w:space="0" w:color="auto"/>
                        <w:right w:val="none" w:sz="0" w:space="0" w:color="auto"/>
                      </w:divBdr>
                      <w:divsChild>
                        <w:div w:id="1554584257">
                          <w:marLeft w:val="0"/>
                          <w:marRight w:val="0"/>
                          <w:marTop w:val="0"/>
                          <w:marBottom w:val="0"/>
                          <w:divBdr>
                            <w:top w:val="none" w:sz="0" w:space="0" w:color="auto"/>
                            <w:left w:val="none" w:sz="0" w:space="0" w:color="auto"/>
                            <w:bottom w:val="none" w:sz="0" w:space="0" w:color="auto"/>
                            <w:right w:val="none" w:sz="0" w:space="0" w:color="auto"/>
                          </w:divBdr>
                          <w:divsChild>
                            <w:div w:id="6633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828537">
      <w:bodyDiv w:val="1"/>
      <w:marLeft w:val="0"/>
      <w:marRight w:val="0"/>
      <w:marTop w:val="0"/>
      <w:marBottom w:val="0"/>
      <w:divBdr>
        <w:top w:val="none" w:sz="0" w:space="0" w:color="auto"/>
        <w:left w:val="none" w:sz="0" w:space="0" w:color="auto"/>
        <w:bottom w:val="none" w:sz="0" w:space="0" w:color="auto"/>
        <w:right w:val="none" w:sz="0" w:space="0" w:color="auto"/>
      </w:divBdr>
    </w:div>
    <w:div w:id="1514688692">
      <w:bodyDiv w:val="1"/>
      <w:marLeft w:val="0"/>
      <w:marRight w:val="0"/>
      <w:marTop w:val="0"/>
      <w:marBottom w:val="0"/>
      <w:divBdr>
        <w:top w:val="none" w:sz="0" w:space="0" w:color="auto"/>
        <w:left w:val="none" w:sz="0" w:space="0" w:color="auto"/>
        <w:bottom w:val="none" w:sz="0" w:space="0" w:color="auto"/>
        <w:right w:val="none" w:sz="0" w:space="0" w:color="auto"/>
      </w:divBdr>
    </w:div>
    <w:div w:id="1515612583">
      <w:bodyDiv w:val="1"/>
      <w:marLeft w:val="0"/>
      <w:marRight w:val="0"/>
      <w:marTop w:val="0"/>
      <w:marBottom w:val="0"/>
      <w:divBdr>
        <w:top w:val="none" w:sz="0" w:space="0" w:color="auto"/>
        <w:left w:val="none" w:sz="0" w:space="0" w:color="auto"/>
        <w:bottom w:val="none" w:sz="0" w:space="0" w:color="auto"/>
        <w:right w:val="none" w:sz="0" w:space="0" w:color="auto"/>
      </w:divBdr>
    </w:div>
    <w:div w:id="1518042286">
      <w:bodyDiv w:val="1"/>
      <w:marLeft w:val="0"/>
      <w:marRight w:val="0"/>
      <w:marTop w:val="0"/>
      <w:marBottom w:val="0"/>
      <w:divBdr>
        <w:top w:val="none" w:sz="0" w:space="0" w:color="auto"/>
        <w:left w:val="none" w:sz="0" w:space="0" w:color="auto"/>
        <w:bottom w:val="none" w:sz="0" w:space="0" w:color="auto"/>
        <w:right w:val="none" w:sz="0" w:space="0" w:color="auto"/>
      </w:divBdr>
    </w:div>
    <w:div w:id="1533493422">
      <w:bodyDiv w:val="1"/>
      <w:marLeft w:val="0"/>
      <w:marRight w:val="0"/>
      <w:marTop w:val="0"/>
      <w:marBottom w:val="0"/>
      <w:divBdr>
        <w:top w:val="none" w:sz="0" w:space="0" w:color="auto"/>
        <w:left w:val="none" w:sz="0" w:space="0" w:color="auto"/>
        <w:bottom w:val="none" w:sz="0" w:space="0" w:color="auto"/>
        <w:right w:val="none" w:sz="0" w:space="0" w:color="auto"/>
      </w:divBdr>
    </w:div>
    <w:div w:id="1534607711">
      <w:bodyDiv w:val="1"/>
      <w:marLeft w:val="0"/>
      <w:marRight w:val="0"/>
      <w:marTop w:val="0"/>
      <w:marBottom w:val="0"/>
      <w:divBdr>
        <w:top w:val="none" w:sz="0" w:space="0" w:color="auto"/>
        <w:left w:val="none" w:sz="0" w:space="0" w:color="auto"/>
        <w:bottom w:val="none" w:sz="0" w:space="0" w:color="auto"/>
        <w:right w:val="none" w:sz="0" w:space="0" w:color="auto"/>
      </w:divBdr>
    </w:div>
    <w:div w:id="1568422347">
      <w:bodyDiv w:val="1"/>
      <w:marLeft w:val="0"/>
      <w:marRight w:val="0"/>
      <w:marTop w:val="0"/>
      <w:marBottom w:val="0"/>
      <w:divBdr>
        <w:top w:val="none" w:sz="0" w:space="0" w:color="auto"/>
        <w:left w:val="none" w:sz="0" w:space="0" w:color="auto"/>
        <w:bottom w:val="none" w:sz="0" w:space="0" w:color="auto"/>
        <w:right w:val="none" w:sz="0" w:space="0" w:color="auto"/>
      </w:divBdr>
    </w:div>
    <w:div w:id="1595701425">
      <w:bodyDiv w:val="1"/>
      <w:marLeft w:val="0"/>
      <w:marRight w:val="0"/>
      <w:marTop w:val="0"/>
      <w:marBottom w:val="0"/>
      <w:divBdr>
        <w:top w:val="none" w:sz="0" w:space="0" w:color="auto"/>
        <w:left w:val="none" w:sz="0" w:space="0" w:color="auto"/>
        <w:bottom w:val="none" w:sz="0" w:space="0" w:color="auto"/>
        <w:right w:val="none" w:sz="0" w:space="0" w:color="auto"/>
      </w:divBdr>
    </w:div>
    <w:div w:id="1608388119">
      <w:bodyDiv w:val="1"/>
      <w:marLeft w:val="0"/>
      <w:marRight w:val="0"/>
      <w:marTop w:val="0"/>
      <w:marBottom w:val="0"/>
      <w:divBdr>
        <w:top w:val="none" w:sz="0" w:space="0" w:color="auto"/>
        <w:left w:val="none" w:sz="0" w:space="0" w:color="auto"/>
        <w:bottom w:val="none" w:sz="0" w:space="0" w:color="auto"/>
        <w:right w:val="none" w:sz="0" w:space="0" w:color="auto"/>
      </w:divBdr>
    </w:div>
    <w:div w:id="1610505270">
      <w:bodyDiv w:val="1"/>
      <w:marLeft w:val="0"/>
      <w:marRight w:val="0"/>
      <w:marTop w:val="0"/>
      <w:marBottom w:val="0"/>
      <w:divBdr>
        <w:top w:val="none" w:sz="0" w:space="0" w:color="auto"/>
        <w:left w:val="none" w:sz="0" w:space="0" w:color="auto"/>
        <w:bottom w:val="none" w:sz="0" w:space="0" w:color="auto"/>
        <w:right w:val="none" w:sz="0" w:space="0" w:color="auto"/>
      </w:divBdr>
    </w:div>
    <w:div w:id="1615674917">
      <w:bodyDiv w:val="1"/>
      <w:marLeft w:val="0"/>
      <w:marRight w:val="0"/>
      <w:marTop w:val="0"/>
      <w:marBottom w:val="0"/>
      <w:divBdr>
        <w:top w:val="none" w:sz="0" w:space="0" w:color="auto"/>
        <w:left w:val="none" w:sz="0" w:space="0" w:color="auto"/>
        <w:bottom w:val="none" w:sz="0" w:space="0" w:color="auto"/>
        <w:right w:val="none" w:sz="0" w:space="0" w:color="auto"/>
      </w:divBdr>
    </w:div>
    <w:div w:id="1640573808">
      <w:bodyDiv w:val="1"/>
      <w:marLeft w:val="0"/>
      <w:marRight w:val="0"/>
      <w:marTop w:val="0"/>
      <w:marBottom w:val="0"/>
      <w:divBdr>
        <w:top w:val="none" w:sz="0" w:space="0" w:color="auto"/>
        <w:left w:val="none" w:sz="0" w:space="0" w:color="auto"/>
        <w:bottom w:val="none" w:sz="0" w:space="0" w:color="auto"/>
        <w:right w:val="none" w:sz="0" w:space="0" w:color="auto"/>
      </w:divBdr>
    </w:div>
    <w:div w:id="1650593117">
      <w:bodyDiv w:val="1"/>
      <w:marLeft w:val="0"/>
      <w:marRight w:val="0"/>
      <w:marTop w:val="0"/>
      <w:marBottom w:val="0"/>
      <w:divBdr>
        <w:top w:val="none" w:sz="0" w:space="0" w:color="auto"/>
        <w:left w:val="none" w:sz="0" w:space="0" w:color="auto"/>
        <w:bottom w:val="none" w:sz="0" w:space="0" w:color="auto"/>
        <w:right w:val="none" w:sz="0" w:space="0" w:color="auto"/>
      </w:divBdr>
    </w:div>
    <w:div w:id="1652169732">
      <w:bodyDiv w:val="1"/>
      <w:marLeft w:val="0"/>
      <w:marRight w:val="0"/>
      <w:marTop w:val="0"/>
      <w:marBottom w:val="0"/>
      <w:divBdr>
        <w:top w:val="none" w:sz="0" w:space="0" w:color="auto"/>
        <w:left w:val="none" w:sz="0" w:space="0" w:color="auto"/>
        <w:bottom w:val="none" w:sz="0" w:space="0" w:color="auto"/>
        <w:right w:val="none" w:sz="0" w:space="0" w:color="auto"/>
      </w:divBdr>
    </w:div>
    <w:div w:id="1671367550">
      <w:bodyDiv w:val="1"/>
      <w:marLeft w:val="0"/>
      <w:marRight w:val="0"/>
      <w:marTop w:val="0"/>
      <w:marBottom w:val="0"/>
      <w:divBdr>
        <w:top w:val="none" w:sz="0" w:space="0" w:color="auto"/>
        <w:left w:val="none" w:sz="0" w:space="0" w:color="auto"/>
        <w:bottom w:val="none" w:sz="0" w:space="0" w:color="auto"/>
        <w:right w:val="none" w:sz="0" w:space="0" w:color="auto"/>
      </w:divBdr>
    </w:div>
    <w:div w:id="1679700404">
      <w:bodyDiv w:val="1"/>
      <w:marLeft w:val="0"/>
      <w:marRight w:val="0"/>
      <w:marTop w:val="0"/>
      <w:marBottom w:val="0"/>
      <w:divBdr>
        <w:top w:val="none" w:sz="0" w:space="0" w:color="auto"/>
        <w:left w:val="none" w:sz="0" w:space="0" w:color="auto"/>
        <w:bottom w:val="none" w:sz="0" w:space="0" w:color="auto"/>
        <w:right w:val="none" w:sz="0" w:space="0" w:color="auto"/>
      </w:divBdr>
    </w:div>
    <w:div w:id="1681659206">
      <w:bodyDiv w:val="1"/>
      <w:marLeft w:val="0"/>
      <w:marRight w:val="0"/>
      <w:marTop w:val="0"/>
      <w:marBottom w:val="0"/>
      <w:divBdr>
        <w:top w:val="none" w:sz="0" w:space="0" w:color="auto"/>
        <w:left w:val="none" w:sz="0" w:space="0" w:color="auto"/>
        <w:bottom w:val="none" w:sz="0" w:space="0" w:color="auto"/>
        <w:right w:val="none" w:sz="0" w:space="0" w:color="auto"/>
      </w:divBdr>
    </w:div>
    <w:div w:id="1685397435">
      <w:bodyDiv w:val="1"/>
      <w:marLeft w:val="0"/>
      <w:marRight w:val="0"/>
      <w:marTop w:val="0"/>
      <w:marBottom w:val="0"/>
      <w:divBdr>
        <w:top w:val="none" w:sz="0" w:space="0" w:color="auto"/>
        <w:left w:val="none" w:sz="0" w:space="0" w:color="auto"/>
        <w:bottom w:val="none" w:sz="0" w:space="0" w:color="auto"/>
        <w:right w:val="none" w:sz="0" w:space="0" w:color="auto"/>
      </w:divBdr>
    </w:div>
    <w:div w:id="1698770350">
      <w:bodyDiv w:val="1"/>
      <w:marLeft w:val="0"/>
      <w:marRight w:val="0"/>
      <w:marTop w:val="0"/>
      <w:marBottom w:val="0"/>
      <w:divBdr>
        <w:top w:val="none" w:sz="0" w:space="0" w:color="auto"/>
        <w:left w:val="none" w:sz="0" w:space="0" w:color="auto"/>
        <w:bottom w:val="none" w:sz="0" w:space="0" w:color="auto"/>
        <w:right w:val="none" w:sz="0" w:space="0" w:color="auto"/>
      </w:divBdr>
    </w:div>
    <w:div w:id="1710302067">
      <w:bodyDiv w:val="1"/>
      <w:marLeft w:val="0"/>
      <w:marRight w:val="0"/>
      <w:marTop w:val="0"/>
      <w:marBottom w:val="0"/>
      <w:divBdr>
        <w:top w:val="none" w:sz="0" w:space="0" w:color="auto"/>
        <w:left w:val="none" w:sz="0" w:space="0" w:color="auto"/>
        <w:bottom w:val="none" w:sz="0" w:space="0" w:color="auto"/>
        <w:right w:val="none" w:sz="0" w:space="0" w:color="auto"/>
      </w:divBdr>
    </w:div>
    <w:div w:id="1718166116">
      <w:bodyDiv w:val="1"/>
      <w:marLeft w:val="0"/>
      <w:marRight w:val="0"/>
      <w:marTop w:val="0"/>
      <w:marBottom w:val="0"/>
      <w:divBdr>
        <w:top w:val="none" w:sz="0" w:space="0" w:color="auto"/>
        <w:left w:val="none" w:sz="0" w:space="0" w:color="auto"/>
        <w:bottom w:val="none" w:sz="0" w:space="0" w:color="auto"/>
        <w:right w:val="none" w:sz="0" w:space="0" w:color="auto"/>
      </w:divBdr>
    </w:div>
    <w:div w:id="1718582532">
      <w:bodyDiv w:val="1"/>
      <w:marLeft w:val="0"/>
      <w:marRight w:val="0"/>
      <w:marTop w:val="0"/>
      <w:marBottom w:val="0"/>
      <w:divBdr>
        <w:top w:val="none" w:sz="0" w:space="0" w:color="auto"/>
        <w:left w:val="none" w:sz="0" w:space="0" w:color="auto"/>
        <w:bottom w:val="none" w:sz="0" w:space="0" w:color="auto"/>
        <w:right w:val="none" w:sz="0" w:space="0" w:color="auto"/>
      </w:divBdr>
    </w:div>
    <w:div w:id="1725330958">
      <w:bodyDiv w:val="1"/>
      <w:marLeft w:val="0"/>
      <w:marRight w:val="0"/>
      <w:marTop w:val="0"/>
      <w:marBottom w:val="0"/>
      <w:divBdr>
        <w:top w:val="none" w:sz="0" w:space="0" w:color="auto"/>
        <w:left w:val="none" w:sz="0" w:space="0" w:color="auto"/>
        <w:bottom w:val="none" w:sz="0" w:space="0" w:color="auto"/>
        <w:right w:val="none" w:sz="0" w:space="0" w:color="auto"/>
      </w:divBdr>
    </w:div>
    <w:div w:id="1730566001">
      <w:bodyDiv w:val="1"/>
      <w:marLeft w:val="0"/>
      <w:marRight w:val="0"/>
      <w:marTop w:val="0"/>
      <w:marBottom w:val="0"/>
      <w:divBdr>
        <w:top w:val="none" w:sz="0" w:space="0" w:color="auto"/>
        <w:left w:val="none" w:sz="0" w:space="0" w:color="auto"/>
        <w:bottom w:val="none" w:sz="0" w:space="0" w:color="auto"/>
        <w:right w:val="none" w:sz="0" w:space="0" w:color="auto"/>
      </w:divBdr>
      <w:divsChild>
        <w:div w:id="1368217645">
          <w:marLeft w:val="0"/>
          <w:marRight w:val="0"/>
          <w:marTop w:val="0"/>
          <w:marBottom w:val="0"/>
          <w:divBdr>
            <w:top w:val="none" w:sz="0" w:space="0" w:color="auto"/>
            <w:left w:val="none" w:sz="0" w:space="0" w:color="auto"/>
            <w:bottom w:val="none" w:sz="0" w:space="0" w:color="auto"/>
            <w:right w:val="none" w:sz="0" w:space="0" w:color="auto"/>
          </w:divBdr>
          <w:divsChild>
            <w:div w:id="9565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1197">
      <w:bodyDiv w:val="1"/>
      <w:marLeft w:val="0"/>
      <w:marRight w:val="0"/>
      <w:marTop w:val="0"/>
      <w:marBottom w:val="0"/>
      <w:divBdr>
        <w:top w:val="none" w:sz="0" w:space="0" w:color="auto"/>
        <w:left w:val="none" w:sz="0" w:space="0" w:color="auto"/>
        <w:bottom w:val="none" w:sz="0" w:space="0" w:color="auto"/>
        <w:right w:val="none" w:sz="0" w:space="0" w:color="auto"/>
      </w:divBdr>
    </w:div>
    <w:div w:id="1771730183">
      <w:bodyDiv w:val="1"/>
      <w:marLeft w:val="0"/>
      <w:marRight w:val="0"/>
      <w:marTop w:val="0"/>
      <w:marBottom w:val="0"/>
      <w:divBdr>
        <w:top w:val="none" w:sz="0" w:space="0" w:color="auto"/>
        <w:left w:val="none" w:sz="0" w:space="0" w:color="auto"/>
        <w:bottom w:val="none" w:sz="0" w:space="0" w:color="auto"/>
        <w:right w:val="none" w:sz="0" w:space="0" w:color="auto"/>
      </w:divBdr>
    </w:div>
    <w:div w:id="1776367684">
      <w:bodyDiv w:val="1"/>
      <w:marLeft w:val="0"/>
      <w:marRight w:val="0"/>
      <w:marTop w:val="0"/>
      <w:marBottom w:val="0"/>
      <w:divBdr>
        <w:top w:val="none" w:sz="0" w:space="0" w:color="auto"/>
        <w:left w:val="none" w:sz="0" w:space="0" w:color="auto"/>
        <w:bottom w:val="none" w:sz="0" w:space="0" w:color="auto"/>
        <w:right w:val="none" w:sz="0" w:space="0" w:color="auto"/>
      </w:divBdr>
    </w:div>
    <w:div w:id="1780294333">
      <w:bodyDiv w:val="1"/>
      <w:marLeft w:val="0"/>
      <w:marRight w:val="0"/>
      <w:marTop w:val="0"/>
      <w:marBottom w:val="0"/>
      <w:divBdr>
        <w:top w:val="none" w:sz="0" w:space="0" w:color="auto"/>
        <w:left w:val="none" w:sz="0" w:space="0" w:color="auto"/>
        <w:bottom w:val="none" w:sz="0" w:space="0" w:color="auto"/>
        <w:right w:val="none" w:sz="0" w:space="0" w:color="auto"/>
      </w:divBdr>
    </w:div>
    <w:div w:id="1780904891">
      <w:bodyDiv w:val="1"/>
      <w:marLeft w:val="0"/>
      <w:marRight w:val="0"/>
      <w:marTop w:val="0"/>
      <w:marBottom w:val="0"/>
      <w:divBdr>
        <w:top w:val="none" w:sz="0" w:space="0" w:color="auto"/>
        <w:left w:val="none" w:sz="0" w:space="0" w:color="auto"/>
        <w:bottom w:val="none" w:sz="0" w:space="0" w:color="auto"/>
        <w:right w:val="none" w:sz="0" w:space="0" w:color="auto"/>
      </w:divBdr>
    </w:div>
    <w:div w:id="1793597456">
      <w:bodyDiv w:val="1"/>
      <w:marLeft w:val="0"/>
      <w:marRight w:val="0"/>
      <w:marTop w:val="0"/>
      <w:marBottom w:val="0"/>
      <w:divBdr>
        <w:top w:val="none" w:sz="0" w:space="0" w:color="auto"/>
        <w:left w:val="none" w:sz="0" w:space="0" w:color="auto"/>
        <w:bottom w:val="none" w:sz="0" w:space="0" w:color="auto"/>
        <w:right w:val="none" w:sz="0" w:space="0" w:color="auto"/>
      </w:divBdr>
    </w:div>
    <w:div w:id="1795371669">
      <w:bodyDiv w:val="1"/>
      <w:marLeft w:val="0"/>
      <w:marRight w:val="0"/>
      <w:marTop w:val="0"/>
      <w:marBottom w:val="0"/>
      <w:divBdr>
        <w:top w:val="none" w:sz="0" w:space="0" w:color="auto"/>
        <w:left w:val="none" w:sz="0" w:space="0" w:color="auto"/>
        <w:bottom w:val="none" w:sz="0" w:space="0" w:color="auto"/>
        <w:right w:val="none" w:sz="0" w:space="0" w:color="auto"/>
      </w:divBdr>
    </w:div>
    <w:div w:id="1795829007">
      <w:bodyDiv w:val="1"/>
      <w:marLeft w:val="0"/>
      <w:marRight w:val="0"/>
      <w:marTop w:val="0"/>
      <w:marBottom w:val="0"/>
      <w:divBdr>
        <w:top w:val="none" w:sz="0" w:space="0" w:color="auto"/>
        <w:left w:val="none" w:sz="0" w:space="0" w:color="auto"/>
        <w:bottom w:val="none" w:sz="0" w:space="0" w:color="auto"/>
        <w:right w:val="none" w:sz="0" w:space="0" w:color="auto"/>
      </w:divBdr>
    </w:div>
    <w:div w:id="1801147225">
      <w:bodyDiv w:val="1"/>
      <w:marLeft w:val="0"/>
      <w:marRight w:val="0"/>
      <w:marTop w:val="0"/>
      <w:marBottom w:val="0"/>
      <w:divBdr>
        <w:top w:val="none" w:sz="0" w:space="0" w:color="auto"/>
        <w:left w:val="none" w:sz="0" w:space="0" w:color="auto"/>
        <w:bottom w:val="none" w:sz="0" w:space="0" w:color="auto"/>
        <w:right w:val="none" w:sz="0" w:space="0" w:color="auto"/>
      </w:divBdr>
    </w:div>
    <w:div w:id="1813908641">
      <w:bodyDiv w:val="1"/>
      <w:marLeft w:val="0"/>
      <w:marRight w:val="0"/>
      <w:marTop w:val="0"/>
      <w:marBottom w:val="0"/>
      <w:divBdr>
        <w:top w:val="none" w:sz="0" w:space="0" w:color="auto"/>
        <w:left w:val="none" w:sz="0" w:space="0" w:color="auto"/>
        <w:bottom w:val="none" w:sz="0" w:space="0" w:color="auto"/>
        <w:right w:val="none" w:sz="0" w:space="0" w:color="auto"/>
      </w:divBdr>
    </w:div>
    <w:div w:id="1823547522">
      <w:bodyDiv w:val="1"/>
      <w:marLeft w:val="0"/>
      <w:marRight w:val="0"/>
      <w:marTop w:val="0"/>
      <w:marBottom w:val="0"/>
      <w:divBdr>
        <w:top w:val="none" w:sz="0" w:space="0" w:color="auto"/>
        <w:left w:val="none" w:sz="0" w:space="0" w:color="auto"/>
        <w:bottom w:val="none" w:sz="0" w:space="0" w:color="auto"/>
        <w:right w:val="none" w:sz="0" w:space="0" w:color="auto"/>
      </w:divBdr>
    </w:div>
    <w:div w:id="1825703972">
      <w:bodyDiv w:val="1"/>
      <w:marLeft w:val="0"/>
      <w:marRight w:val="0"/>
      <w:marTop w:val="0"/>
      <w:marBottom w:val="0"/>
      <w:divBdr>
        <w:top w:val="none" w:sz="0" w:space="0" w:color="auto"/>
        <w:left w:val="none" w:sz="0" w:space="0" w:color="auto"/>
        <w:bottom w:val="none" w:sz="0" w:space="0" w:color="auto"/>
        <w:right w:val="none" w:sz="0" w:space="0" w:color="auto"/>
      </w:divBdr>
    </w:div>
    <w:div w:id="1830754042">
      <w:bodyDiv w:val="1"/>
      <w:marLeft w:val="0"/>
      <w:marRight w:val="0"/>
      <w:marTop w:val="0"/>
      <w:marBottom w:val="0"/>
      <w:divBdr>
        <w:top w:val="none" w:sz="0" w:space="0" w:color="auto"/>
        <w:left w:val="none" w:sz="0" w:space="0" w:color="auto"/>
        <w:bottom w:val="none" w:sz="0" w:space="0" w:color="auto"/>
        <w:right w:val="none" w:sz="0" w:space="0" w:color="auto"/>
      </w:divBdr>
    </w:div>
    <w:div w:id="1841697655">
      <w:bodyDiv w:val="1"/>
      <w:marLeft w:val="0"/>
      <w:marRight w:val="0"/>
      <w:marTop w:val="0"/>
      <w:marBottom w:val="0"/>
      <w:divBdr>
        <w:top w:val="none" w:sz="0" w:space="0" w:color="auto"/>
        <w:left w:val="none" w:sz="0" w:space="0" w:color="auto"/>
        <w:bottom w:val="none" w:sz="0" w:space="0" w:color="auto"/>
        <w:right w:val="none" w:sz="0" w:space="0" w:color="auto"/>
      </w:divBdr>
    </w:div>
    <w:div w:id="1843427170">
      <w:bodyDiv w:val="1"/>
      <w:marLeft w:val="0"/>
      <w:marRight w:val="0"/>
      <w:marTop w:val="0"/>
      <w:marBottom w:val="0"/>
      <w:divBdr>
        <w:top w:val="none" w:sz="0" w:space="0" w:color="auto"/>
        <w:left w:val="none" w:sz="0" w:space="0" w:color="auto"/>
        <w:bottom w:val="none" w:sz="0" w:space="0" w:color="auto"/>
        <w:right w:val="none" w:sz="0" w:space="0" w:color="auto"/>
      </w:divBdr>
      <w:divsChild>
        <w:div w:id="1862814618">
          <w:marLeft w:val="0"/>
          <w:marRight w:val="0"/>
          <w:marTop w:val="0"/>
          <w:marBottom w:val="0"/>
          <w:divBdr>
            <w:top w:val="none" w:sz="0" w:space="0" w:color="auto"/>
            <w:left w:val="none" w:sz="0" w:space="0" w:color="auto"/>
            <w:bottom w:val="none" w:sz="0" w:space="0" w:color="auto"/>
            <w:right w:val="none" w:sz="0" w:space="0" w:color="auto"/>
          </w:divBdr>
          <w:divsChild>
            <w:div w:id="1809975933">
              <w:marLeft w:val="0"/>
              <w:marRight w:val="0"/>
              <w:marTop w:val="0"/>
              <w:marBottom w:val="0"/>
              <w:divBdr>
                <w:top w:val="none" w:sz="0" w:space="0" w:color="auto"/>
                <w:left w:val="none" w:sz="0" w:space="0" w:color="auto"/>
                <w:bottom w:val="none" w:sz="0" w:space="0" w:color="auto"/>
                <w:right w:val="none" w:sz="0" w:space="0" w:color="auto"/>
              </w:divBdr>
              <w:divsChild>
                <w:div w:id="946815253">
                  <w:marLeft w:val="0"/>
                  <w:marRight w:val="0"/>
                  <w:marTop w:val="0"/>
                  <w:marBottom w:val="0"/>
                  <w:divBdr>
                    <w:top w:val="none" w:sz="0" w:space="0" w:color="auto"/>
                    <w:left w:val="none" w:sz="0" w:space="0" w:color="auto"/>
                    <w:bottom w:val="none" w:sz="0" w:space="0" w:color="auto"/>
                    <w:right w:val="none" w:sz="0" w:space="0" w:color="auto"/>
                  </w:divBdr>
                  <w:divsChild>
                    <w:div w:id="980385589">
                      <w:marLeft w:val="0"/>
                      <w:marRight w:val="0"/>
                      <w:marTop w:val="0"/>
                      <w:marBottom w:val="0"/>
                      <w:divBdr>
                        <w:top w:val="none" w:sz="0" w:space="0" w:color="auto"/>
                        <w:left w:val="none" w:sz="0" w:space="0" w:color="auto"/>
                        <w:bottom w:val="none" w:sz="0" w:space="0" w:color="auto"/>
                        <w:right w:val="none" w:sz="0" w:space="0" w:color="auto"/>
                      </w:divBdr>
                      <w:divsChild>
                        <w:div w:id="783382968">
                          <w:marLeft w:val="0"/>
                          <w:marRight w:val="0"/>
                          <w:marTop w:val="0"/>
                          <w:marBottom w:val="0"/>
                          <w:divBdr>
                            <w:top w:val="none" w:sz="0" w:space="0" w:color="auto"/>
                            <w:left w:val="none" w:sz="0" w:space="0" w:color="auto"/>
                            <w:bottom w:val="none" w:sz="0" w:space="0" w:color="auto"/>
                            <w:right w:val="none" w:sz="0" w:space="0" w:color="auto"/>
                          </w:divBdr>
                          <w:divsChild>
                            <w:div w:id="8844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568493">
      <w:bodyDiv w:val="1"/>
      <w:marLeft w:val="0"/>
      <w:marRight w:val="0"/>
      <w:marTop w:val="0"/>
      <w:marBottom w:val="0"/>
      <w:divBdr>
        <w:top w:val="none" w:sz="0" w:space="0" w:color="auto"/>
        <w:left w:val="none" w:sz="0" w:space="0" w:color="auto"/>
        <w:bottom w:val="none" w:sz="0" w:space="0" w:color="auto"/>
        <w:right w:val="none" w:sz="0" w:space="0" w:color="auto"/>
      </w:divBdr>
    </w:div>
    <w:div w:id="1875070066">
      <w:bodyDiv w:val="1"/>
      <w:marLeft w:val="0"/>
      <w:marRight w:val="0"/>
      <w:marTop w:val="0"/>
      <w:marBottom w:val="0"/>
      <w:divBdr>
        <w:top w:val="none" w:sz="0" w:space="0" w:color="auto"/>
        <w:left w:val="none" w:sz="0" w:space="0" w:color="auto"/>
        <w:bottom w:val="none" w:sz="0" w:space="0" w:color="auto"/>
        <w:right w:val="none" w:sz="0" w:space="0" w:color="auto"/>
      </w:divBdr>
    </w:div>
    <w:div w:id="1881670006">
      <w:bodyDiv w:val="1"/>
      <w:marLeft w:val="0"/>
      <w:marRight w:val="0"/>
      <w:marTop w:val="0"/>
      <w:marBottom w:val="0"/>
      <w:divBdr>
        <w:top w:val="none" w:sz="0" w:space="0" w:color="auto"/>
        <w:left w:val="none" w:sz="0" w:space="0" w:color="auto"/>
        <w:bottom w:val="none" w:sz="0" w:space="0" w:color="auto"/>
        <w:right w:val="none" w:sz="0" w:space="0" w:color="auto"/>
      </w:divBdr>
    </w:div>
    <w:div w:id="1888834347">
      <w:bodyDiv w:val="1"/>
      <w:marLeft w:val="0"/>
      <w:marRight w:val="0"/>
      <w:marTop w:val="0"/>
      <w:marBottom w:val="0"/>
      <w:divBdr>
        <w:top w:val="none" w:sz="0" w:space="0" w:color="auto"/>
        <w:left w:val="none" w:sz="0" w:space="0" w:color="auto"/>
        <w:bottom w:val="none" w:sz="0" w:space="0" w:color="auto"/>
        <w:right w:val="none" w:sz="0" w:space="0" w:color="auto"/>
      </w:divBdr>
    </w:div>
    <w:div w:id="1897857221">
      <w:bodyDiv w:val="1"/>
      <w:marLeft w:val="0"/>
      <w:marRight w:val="0"/>
      <w:marTop w:val="0"/>
      <w:marBottom w:val="0"/>
      <w:divBdr>
        <w:top w:val="none" w:sz="0" w:space="0" w:color="auto"/>
        <w:left w:val="none" w:sz="0" w:space="0" w:color="auto"/>
        <w:bottom w:val="none" w:sz="0" w:space="0" w:color="auto"/>
        <w:right w:val="none" w:sz="0" w:space="0" w:color="auto"/>
      </w:divBdr>
    </w:div>
    <w:div w:id="1900626631">
      <w:bodyDiv w:val="1"/>
      <w:marLeft w:val="0"/>
      <w:marRight w:val="0"/>
      <w:marTop w:val="0"/>
      <w:marBottom w:val="0"/>
      <w:divBdr>
        <w:top w:val="none" w:sz="0" w:space="0" w:color="auto"/>
        <w:left w:val="none" w:sz="0" w:space="0" w:color="auto"/>
        <w:bottom w:val="none" w:sz="0" w:space="0" w:color="auto"/>
        <w:right w:val="none" w:sz="0" w:space="0" w:color="auto"/>
      </w:divBdr>
    </w:div>
    <w:div w:id="1900745899">
      <w:bodyDiv w:val="1"/>
      <w:marLeft w:val="0"/>
      <w:marRight w:val="0"/>
      <w:marTop w:val="0"/>
      <w:marBottom w:val="0"/>
      <w:divBdr>
        <w:top w:val="none" w:sz="0" w:space="0" w:color="auto"/>
        <w:left w:val="none" w:sz="0" w:space="0" w:color="auto"/>
        <w:bottom w:val="none" w:sz="0" w:space="0" w:color="auto"/>
        <w:right w:val="none" w:sz="0" w:space="0" w:color="auto"/>
      </w:divBdr>
    </w:div>
    <w:div w:id="1905337944">
      <w:bodyDiv w:val="1"/>
      <w:marLeft w:val="0"/>
      <w:marRight w:val="0"/>
      <w:marTop w:val="0"/>
      <w:marBottom w:val="0"/>
      <w:divBdr>
        <w:top w:val="none" w:sz="0" w:space="0" w:color="auto"/>
        <w:left w:val="none" w:sz="0" w:space="0" w:color="auto"/>
        <w:bottom w:val="none" w:sz="0" w:space="0" w:color="auto"/>
        <w:right w:val="none" w:sz="0" w:space="0" w:color="auto"/>
      </w:divBdr>
    </w:div>
    <w:div w:id="1921597114">
      <w:bodyDiv w:val="1"/>
      <w:marLeft w:val="0"/>
      <w:marRight w:val="0"/>
      <w:marTop w:val="0"/>
      <w:marBottom w:val="0"/>
      <w:divBdr>
        <w:top w:val="none" w:sz="0" w:space="0" w:color="auto"/>
        <w:left w:val="none" w:sz="0" w:space="0" w:color="auto"/>
        <w:bottom w:val="none" w:sz="0" w:space="0" w:color="auto"/>
        <w:right w:val="none" w:sz="0" w:space="0" w:color="auto"/>
      </w:divBdr>
    </w:div>
    <w:div w:id="1966689224">
      <w:bodyDiv w:val="1"/>
      <w:marLeft w:val="0"/>
      <w:marRight w:val="0"/>
      <w:marTop w:val="0"/>
      <w:marBottom w:val="0"/>
      <w:divBdr>
        <w:top w:val="none" w:sz="0" w:space="0" w:color="auto"/>
        <w:left w:val="none" w:sz="0" w:space="0" w:color="auto"/>
        <w:bottom w:val="none" w:sz="0" w:space="0" w:color="auto"/>
        <w:right w:val="none" w:sz="0" w:space="0" w:color="auto"/>
      </w:divBdr>
      <w:divsChild>
        <w:div w:id="1498882347">
          <w:marLeft w:val="0"/>
          <w:marRight w:val="0"/>
          <w:marTop w:val="0"/>
          <w:marBottom w:val="0"/>
          <w:divBdr>
            <w:top w:val="none" w:sz="0" w:space="0" w:color="auto"/>
            <w:left w:val="none" w:sz="0" w:space="0" w:color="auto"/>
            <w:bottom w:val="none" w:sz="0" w:space="0" w:color="auto"/>
            <w:right w:val="none" w:sz="0" w:space="0" w:color="auto"/>
          </w:divBdr>
          <w:divsChild>
            <w:div w:id="2135051915">
              <w:marLeft w:val="0"/>
              <w:marRight w:val="0"/>
              <w:marTop w:val="0"/>
              <w:marBottom w:val="0"/>
              <w:divBdr>
                <w:top w:val="none" w:sz="0" w:space="0" w:color="auto"/>
                <w:left w:val="none" w:sz="0" w:space="0" w:color="auto"/>
                <w:bottom w:val="none" w:sz="0" w:space="0" w:color="auto"/>
                <w:right w:val="none" w:sz="0" w:space="0" w:color="auto"/>
              </w:divBdr>
              <w:divsChild>
                <w:div w:id="1574395403">
                  <w:marLeft w:val="0"/>
                  <w:marRight w:val="0"/>
                  <w:marTop w:val="0"/>
                  <w:marBottom w:val="0"/>
                  <w:divBdr>
                    <w:top w:val="none" w:sz="0" w:space="0" w:color="auto"/>
                    <w:left w:val="none" w:sz="0" w:space="0" w:color="auto"/>
                    <w:bottom w:val="none" w:sz="0" w:space="0" w:color="auto"/>
                    <w:right w:val="none" w:sz="0" w:space="0" w:color="auto"/>
                  </w:divBdr>
                  <w:divsChild>
                    <w:div w:id="1632595481">
                      <w:marLeft w:val="0"/>
                      <w:marRight w:val="0"/>
                      <w:marTop w:val="0"/>
                      <w:marBottom w:val="0"/>
                      <w:divBdr>
                        <w:top w:val="none" w:sz="0" w:space="0" w:color="auto"/>
                        <w:left w:val="none" w:sz="0" w:space="0" w:color="auto"/>
                        <w:bottom w:val="none" w:sz="0" w:space="0" w:color="auto"/>
                        <w:right w:val="none" w:sz="0" w:space="0" w:color="auto"/>
                      </w:divBdr>
                      <w:divsChild>
                        <w:div w:id="12191203">
                          <w:marLeft w:val="0"/>
                          <w:marRight w:val="0"/>
                          <w:marTop w:val="0"/>
                          <w:marBottom w:val="0"/>
                          <w:divBdr>
                            <w:top w:val="none" w:sz="0" w:space="0" w:color="auto"/>
                            <w:left w:val="none" w:sz="0" w:space="0" w:color="auto"/>
                            <w:bottom w:val="none" w:sz="0" w:space="0" w:color="auto"/>
                            <w:right w:val="none" w:sz="0" w:space="0" w:color="auto"/>
                          </w:divBdr>
                          <w:divsChild>
                            <w:div w:id="16199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774892">
      <w:bodyDiv w:val="1"/>
      <w:marLeft w:val="0"/>
      <w:marRight w:val="0"/>
      <w:marTop w:val="0"/>
      <w:marBottom w:val="0"/>
      <w:divBdr>
        <w:top w:val="none" w:sz="0" w:space="0" w:color="auto"/>
        <w:left w:val="none" w:sz="0" w:space="0" w:color="auto"/>
        <w:bottom w:val="none" w:sz="0" w:space="0" w:color="auto"/>
        <w:right w:val="none" w:sz="0" w:space="0" w:color="auto"/>
      </w:divBdr>
    </w:div>
    <w:div w:id="1988822112">
      <w:bodyDiv w:val="1"/>
      <w:marLeft w:val="0"/>
      <w:marRight w:val="0"/>
      <w:marTop w:val="0"/>
      <w:marBottom w:val="0"/>
      <w:divBdr>
        <w:top w:val="none" w:sz="0" w:space="0" w:color="auto"/>
        <w:left w:val="none" w:sz="0" w:space="0" w:color="auto"/>
        <w:bottom w:val="none" w:sz="0" w:space="0" w:color="auto"/>
        <w:right w:val="none" w:sz="0" w:space="0" w:color="auto"/>
      </w:divBdr>
    </w:div>
    <w:div w:id="2011830239">
      <w:bodyDiv w:val="1"/>
      <w:marLeft w:val="0"/>
      <w:marRight w:val="0"/>
      <w:marTop w:val="0"/>
      <w:marBottom w:val="0"/>
      <w:divBdr>
        <w:top w:val="none" w:sz="0" w:space="0" w:color="auto"/>
        <w:left w:val="none" w:sz="0" w:space="0" w:color="auto"/>
        <w:bottom w:val="none" w:sz="0" w:space="0" w:color="auto"/>
        <w:right w:val="none" w:sz="0" w:space="0" w:color="auto"/>
      </w:divBdr>
    </w:div>
    <w:div w:id="2037465085">
      <w:bodyDiv w:val="1"/>
      <w:marLeft w:val="0"/>
      <w:marRight w:val="0"/>
      <w:marTop w:val="0"/>
      <w:marBottom w:val="0"/>
      <w:divBdr>
        <w:top w:val="none" w:sz="0" w:space="0" w:color="auto"/>
        <w:left w:val="none" w:sz="0" w:space="0" w:color="auto"/>
        <w:bottom w:val="none" w:sz="0" w:space="0" w:color="auto"/>
        <w:right w:val="none" w:sz="0" w:space="0" w:color="auto"/>
      </w:divBdr>
    </w:div>
    <w:div w:id="2047899553">
      <w:bodyDiv w:val="1"/>
      <w:marLeft w:val="0"/>
      <w:marRight w:val="0"/>
      <w:marTop w:val="0"/>
      <w:marBottom w:val="0"/>
      <w:divBdr>
        <w:top w:val="none" w:sz="0" w:space="0" w:color="auto"/>
        <w:left w:val="none" w:sz="0" w:space="0" w:color="auto"/>
        <w:bottom w:val="none" w:sz="0" w:space="0" w:color="auto"/>
        <w:right w:val="none" w:sz="0" w:space="0" w:color="auto"/>
      </w:divBdr>
    </w:div>
    <w:div w:id="2065709807">
      <w:bodyDiv w:val="1"/>
      <w:marLeft w:val="0"/>
      <w:marRight w:val="0"/>
      <w:marTop w:val="0"/>
      <w:marBottom w:val="0"/>
      <w:divBdr>
        <w:top w:val="none" w:sz="0" w:space="0" w:color="auto"/>
        <w:left w:val="none" w:sz="0" w:space="0" w:color="auto"/>
        <w:bottom w:val="none" w:sz="0" w:space="0" w:color="auto"/>
        <w:right w:val="none" w:sz="0" w:space="0" w:color="auto"/>
      </w:divBdr>
    </w:div>
    <w:div w:id="2069985503">
      <w:bodyDiv w:val="1"/>
      <w:marLeft w:val="0"/>
      <w:marRight w:val="0"/>
      <w:marTop w:val="0"/>
      <w:marBottom w:val="0"/>
      <w:divBdr>
        <w:top w:val="none" w:sz="0" w:space="0" w:color="auto"/>
        <w:left w:val="none" w:sz="0" w:space="0" w:color="auto"/>
        <w:bottom w:val="none" w:sz="0" w:space="0" w:color="auto"/>
        <w:right w:val="none" w:sz="0" w:space="0" w:color="auto"/>
      </w:divBdr>
    </w:div>
    <w:div w:id="2074499078">
      <w:bodyDiv w:val="1"/>
      <w:marLeft w:val="0"/>
      <w:marRight w:val="0"/>
      <w:marTop w:val="0"/>
      <w:marBottom w:val="0"/>
      <w:divBdr>
        <w:top w:val="none" w:sz="0" w:space="0" w:color="auto"/>
        <w:left w:val="none" w:sz="0" w:space="0" w:color="auto"/>
        <w:bottom w:val="none" w:sz="0" w:space="0" w:color="auto"/>
        <w:right w:val="none" w:sz="0" w:space="0" w:color="auto"/>
      </w:divBdr>
      <w:divsChild>
        <w:div w:id="1545824093">
          <w:marLeft w:val="0"/>
          <w:marRight w:val="0"/>
          <w:marTop w:val="0"/>
          <w:marBottom w:val="0"/>
          <w:divBdr>
            <w:top w:val="none" w:sz="0" w:space="0" w:color="auto"/>
            <w:left w:val="none" w:sz="0" w:space="0" w:color="auto"/>
            <w:bottom w:val="none" w:sz="0" w:space="0" w:color="auto"/>
            <w:right w:val="none" w:sz="0" w:space="0" w:color="auto"/>
          </w:divBdr>
          <w:divsChild>
            <w:div w:id="2081252011">
              <w:marLeft w:val="0"/>
              <w:marRight w:val="0"/>
              <w:marTop w:val="0"/>
              <w:marBottom w:val="0"/>
              <w:divBdr>
                <w:top w:val="none" w:sz="0" w:space="0" w:color="auto"/>
                <w:left w:val="none" w:sz="0" w:space="0" w:color="auto"/>
                <w:bottom w:val="none" w:sz="0" w:space="0" w:color="auto"/>
                <w:right w:val="none" w:sz="0" w:space="0" w:color="auto"/>
              </w:divBdr>
              <w:divsChild>
                <w:div w:id="378211519">
                  <w:marLeft w:val="0"/>
                  <w:marRight w:val="0"/>
                  <w:marTop w:val="0"/>
                  <w:marBottom w:val="0"/>
                  <w:divBdr>
                    <w:top w:val="none" w:sz="0" w:space="0" w:color="auto"/>
                    <w:left w:val="none" w:sz="0" w:space="0" w:color="auto"/>
                    <w:bottom w:val="none" w:sz="0" w:space="0" w:color="auto"/>
                    <w:right w:val="none" w:sz="0" w:space="0" w:color="auto"/>
                  </w:divBdr>
                  <w:divsChild>
                    <w:div w:id="339744667">
                      <w:marLeft w:val="0"/>
                      <w:marRight w:val="0"/>
                      <w:marTop w:val="0"/>
                      <w:marBottom w:val="0"/>
                      <w:divBdr>
                        <w:top w:val="none" w:sz="0" w:space="0" w:color="auto"/>
                        <w:left w:val="none" w:sz="0" w:space="0" w:color="auto"/>
                        <w:bottom w:val="none" w:sz="0" w:space="0" w:color="auto"/>
                        <w:right w:val="none" w:sz="0" w:space="0" w:color="auto"/>
                      </w:divBdr>
                      <w:divsChild>
                        <w:div w:id="2065904287">
                          <w:marLeft w:val="0"/>
                          <w:marRight w:val="0"/>
                          <w:marTop w:val="0"/>
                          <w:marBottom w:val="0"/>
                          <w:divBdr>
                            <w:top w:val="none" w:sz="0" w:space="0" w:color="auto"/>
                            <w:left w:val="none" w:sz="0" w:space="0" w:color="auto"/>
                            <w:bottom w:val="none" w:sz="0" w:space="0" w:color="auto"/>
                            <w:right w:val="none" w:sz="0" w:space="0" w:color="auto"/>
                          </w:divBdr>
                          <w:divsChild>
                            <w:div w:id="1892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264297">
      <w:bodyDiv w:val="1"/>
      <w:marLeft w:val="0"/>
      <w:marRight w:val="0"/>
      <w:marTop w:val="0"/>
      <w:marBottom w:val="0"/>
      <w:divBdr>
        <w:top w:val="none" w:sz="0" w:space="0" w:color="auto"/>
        <w:left w:val="none" w:sz="0" w:space="0" w:color="auto"/>
        <w:bottom w:val="none" w:sz="0" w:space="0" w:color="auto"/>
        <w:right w:val="none" w:sz="0" w:space="0" w:color="auto"/>
      </w:divBdr>
    </w:div>
    <w:div w:id="2095517730">
      <w:bodyDiv w:val="1"/>
      <w:marLeft w:val="0"/>
      <w:marRight w:val="0"/>
      <w:marTop w:val="0"/>
      <w:marBottom w:val="0"/>
      <w:divBdr>
        <w:top w:val="none" w:sz="0" w:space="0" w:color="auto"/>
        <w:left w:val="none" w:sz="0" w:space="0" w:color="auto"/>
        <w:bottom w:val="none" w:sz="0" w:space="0" w:color="auto"/>
        <w:right w:val="none" w:sz="0" w:space="0" w:color="auto"/>
      </w:divBdr>
    </w:div>
    <w:div w:id="2101482064">
      <w:bodyDiv w:val="1"/>
      <w:marLeft w:val="0"/>
      <w:marRight w:val="0"/>
      <w:marTop w:val="0"/>
      <w:marBottom w:val="0"/>
      <w:divBdr>
        <w:top w:val="none" w:sz="0" w:space="0" w:color="auto"/>
        <w:left w:val="none" w:sz="0" w:space="0" w:color="auto"/>
        <w:bottom w:val="none" w:sz="0" w:space="0" w:color="auto"/>
        <w:right w:val="none" w:sz="0" w:space="0" w:color="auto"/>
      </w:divBdr>
      <w:divsChild>
        <w:div w:id="1900555007">
          <w:marLeft w:val="0"/>
          <w:marRight w:val="0"/>
          <w:marTop w:val="0"/>
          <w:marBottom w:val="0"/>
          <w:divBdr>
            <w:top w:val="none" w:sz="0" w:space="0" w:color="auto"/>
            <w:left w:val="none" w:sz="0" w:space="0" w:color="auto"/>
            <w:bottom w:val="none" w:sz="0" w:space="0" w:color="auto"/>
            <w:right w:val="none" w:sz="0" w:space="0" w:color="auto"/>
          </w:divBdr>
          <w:divsChild>
            <w:div w:id="1507282405">
              <w:marLeft w:val="0"/>
              <w:marRight w:val="0"/>
              <w:marTop w:val="0"/>
              <w:marBottom w:val="0"/>
              <w:divBdr>
                <w:top w:val="none" w:sz="0" w:space="0" w:color="auto"/>
                <w:left w:val="none" w:sz="0" w:space="0" w:color="auto"/>
                <w:bottom w:val="none" w:sz="0" w:space="0" w:color="auto"/>
                <w:right w:val="none" w:sz="0" w:space="0" w:color="auto"/>
              </w:divBdr>
              <w:divsChild>
                <w:div w:id="2127919155">
                  <w:marLeft w:val="0"/>
                  <w:marRight w:val="0"/>
                  <w:marTop w:val="0"/>
                  <w:marBottom w:val="0"/>
                  <w:divBdr>
                    <w:top w:val="none" w:sz="0" w:space="0" w:color="auto"/>
                    <w:left w:val="none" w:sz="0" w:space="0" w:color="auto"/>
                    <w:bottom w:val="none" w:sz="0" w:space="0" w:color="auto"/>
                    <w:right w:val="none" w:sz="0" w:space="0" w:color="auto"/>
                  </w:divBdr>
                  <w:divsChild>
                    <w:div w:id="624894101">
                      <w:marLeft w:val="0"/>
                      <w:marRight w:val="0"/>
                      <w:marTop w:val="0"/>
                      <w:marBottom w:val="0"/>
                      <w:divBdr>
                        <w:top w:val="none" w:sz="0" w:space="0" w:color="auto"/>
                        <w:left w:val="none" w:sz="0" w:space="0" w:color="auto"/>
                        <w:bottom w:val="none" w:sz="0" w:space="0" w:color="auto"/>
                        <w:right w:val="none" w:sz="0" w:space="0" w:color="auto"/>
                      </w:divBdr>
                      <w:divsChild>
                        <w:div w:id="1631784808">
                          <w:marLeft w:val="0"/>
                          <w:marRight w:val="0"/>
                          <w:marTop w:val="0"/>
                          <w:marBottom w:val="0"/>
                          <w:divBdr>
                            <w:top w:val="none" w:sz="0" w:space="0" w:color="auto"/>
                            <w:left w:val="none" w:sz="0" w:space="0" w:color="auto"/>
                            <w:bottom w:val="none" w:sz="0" w:space="0" w:color="auto"/>
                            <w:right w:val="none" w:sz="0" w:space="0" w:color="auto"/>
                          </w:divBdr>
                          <w:divsChild>
                            <w:div w:id="421031613">
                              <w:marLeft w:val="0"/>
                              <w:marRight w:val="0"/>
                              <w:marTop w:val="0"/>
                              <w:marBottom w:val="0"/>
                              <w:divBdr>
                                <w:top w:val="none" w:sz="0" w:space="0" w:color="auto"/>
                                <w:left w:val="none" w:sz="0" w:space="0" w:color="auto"/>
                                <w:bottom w:val="none" w:sz="0" w:space="0" w:color="auto"/>
                                <w:right w:val="none" w:sz="0" w:space="0" w:color="auto"/>
                              </w:divBdr>
                              <w:divsChild>
                                <w:div w:id="1676882544">
                                  <w:marLeft w:val="0"/>
                                  <w:marRight w:val="0"/>
                                  <w:marTop w:val="0"/>
                                  <w:marBottom w:val="0"/>
                                  <w:divBdr>
                                    <w:top w:val="none" w:sz="0" w:space="0" w:color="auto"/>
                                    <w:left w:val="none" w:sz="0" w:space="0" w:color="auto"/>
                                    <w:bottom w:val="none" w:sz="0" w:space="0" w:color="auto"/>
                                    <w:right w:val="none" w:sz="0" w:space="0" w:color="auto"/>
                                  </w:divBdr>
                                  <w:divsChild>
                                    <w:div w:id="1692418465">
                                      <w:marLeft w:val="60"/>
                                      <w:marRight w:val="0"/>
                                      <w:marTop w:val="0"/>
                                      <w:marBottom w:val="0"/>
                                      <w:divBdr>
                                        <w:top w:val="none" w:sz="0" w:space="0" w:color="auto"/>
                                        <w:left w:val="none" w:sz="0" w:space="0" w:color="auto"/>
                                        <w:bottom w:val="none" w:sz="0" w:space="0" w:color="auto"/>
                                        <w:right w:val="none" w:sz="0" w:space="0" w:color="auto"/>
                                      </w:divBdr>
                                      <w:divsChild>
                                        <w:div w:id="931857351">
                                          <w:marLeft w:val="0"/>
                                          <w:marRight w:val="0"/>
                                          <w:marTop w:val="0"/>
                                          <w:marBottom w:val="0"/>
                                          <w:divBdr>
                                            <w:top w:val="none" w:sz="0" w:space="0" w:color="auto"/>
                                            <w:left w:val="none" w:sz="0" w:space="0" w:color="auto"/>
                                            <w:bottom w:val="none" w:sz="0" w:space="0" w:color="auto"/>
                                            <w:right w:val="none" w:sz="0" w:space="0" w:color="auto"/>
                                          </w:divBdr>
                                          <w:divsChild>
                                            <w:div w:id="1039159713">
                                              <w:marLeft w:val="0"/>
                                              <w:marRight w:val="0"/>
                                              <w:marTop w:val="0"/>
                                              <w:marBottom w:val="120"/>
                                              <w:divBdr>
                                                <w:top w:val="single" w:sz="6" w:space="0" w:color="F5F5F5"/>
                                                <w:left w:val="single" w:sz="6" w:space="0" w:color="F5F5F5"/>
                                                <w:bottom w:val="single" w:sz="6" w:space="0" w:color="F5F5F5"/>
                                                <w:right w:val="single" w:sz="6" w:space="0" w:color="F5F5F5"/>
                                              </w:divBdr>
                                              <w:divsChild>
                                                <w:div w:id="1493178027">
                                                  <w:marLeft w:val="0"/>
                                                  <w:marRight w:val="0"/>
                                                  <w:marTop w:val="0"/>
                                                  <w:marBottom w:val="0"/>
                                                  <w:divBdr>
                                                    <w:top w:val="none" w:sz="0" w:space="0" w:color="auto"/>
                                                    <w:left w:val="none" w:sz="0" w:space="0" w:color="auto"/>
                                                    <w:bottom w:val="none" w:sz="0" w:space="0" w:color="auto"/>
                                                    <w:right w:val="none" w:sz="0" w:space="0" w:color="auto"/>
                                                  </w:divBdr>
                                                  <w:divsChild>
                                                    <w:div w:id="2072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09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hyperlink" Target="http://www.bb.com.br/portalbb/page206,136,145,0,0,1,8.bb" TargetMode="External"/><Relationship Id="rId17" Type="http://schemas.openxmlformats.org/officeDocument/2006/relationships/image" Target="media/image6.emf"/><Relationship Id="rId25" Type="http://schemas.openxmlformats.org/officeDocument/2006/relationships/hyperlink" Target="http://www.bis.org/publ/bcbs128.pdf"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www.bis.org/publ/bcbs238.pdf"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ww.bis.org/publ/bcbs189.pdf" TargetMode="Externa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www.google.com.br/url?url=http://www.bis.org/bcbs/&amp;rct=j&amp;frm=1&amp;q=&amp;esrc=s&amp;sa=U&amp;ei=8Yi6U5DLJuG2sATumYDICQ&amp;ved=0CBQQFjAA&amp;usg=AFQjCNHYYh2uyNOMsSkJvi1oo617rUlKzw" TargetMode="External"/><Relationship Id="rId14" Type="http://schemas.openxmlformats.org/officeDocument/2006/relationships/hyperlink" Target="http://www.bb.com.br/portalbb/page206,136,145,0,0,1,8.bb" TargetMode="External"/><Relationship Id="rId22" Type="http://schemas.openxmlformats.org/officeDocument/2006/relationships/hyperlink" Target="http://www.bis.org/publ/bcbs04a.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4.bcb.gov.br/top50/port/top50.asp" TargetMode="External"/><Relationship Id="rId2" Type="http://schemas.openxmlformats.org/officeDocument/2006/relationships/hyperlink" Target="http://www4.bcb.gov.br/top50/port/esc_met.asp" TargetMode="External"/><Relationship Id="rId1" Type="http://schemas.openxmlformats.org/officeDocument/2006/relationships/hyperlink" Target="mailto:karinagoes@uol.com.br" TargetMode="External"/><Relationship Id="rId6" Type="http://schemas.openxmlformats.org/officeDocument/2006/relationships/hyperlink" Target="http://www4.bcb.gov.br/top50/port/top50.asp" TargetMode="External"/><Relationship Id="rId5" Type="http://schemas.openxmlformats.org/officeDocument/2006/relationships/hyperlink" Target="http://www.bcb.gov.br/?COSIF" TargetMode="External"/><Relationship Id="rId4" Type="http://schemas.openxmlformats.org/officeDocument/2006/relationships/hyperlink" Target="http://www4.bcb.gov.br/top50/port/top50.as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AD7DD-5DD0-4B87-86BF-0F4B6134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20</Pages>
  <Words>11259</Words>
  <Characters>60803</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Itaú Unibanco S/A</Company>
  <LinksUpToDate>false</LinksUpToDate>
  <CharactersWithSpaces>71919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dc:creator>
  <cp:lastModifiedBy>KARINA</cp:lastModifiedBy>
  <cp:revision>10</cp:revision>
  <cp:lastPrinted>2014-04-24T17:00:00Z</cp:lastPrinted>
  <dcterms:created xsi:type="dcterms:W3CDTF">2014-07-08T03:00:00Z</dcterms:created>
  <dcterms:modified xsi:type="dcterms:W3CDTF">2014-07-13T15:52:00Z</dcterms:modified>
</cp:coreProperties>
</file>