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716" w:rsidRDefault="00CC0716" w:rsidP="00195583">
      <w:pPr>
        <w:spacing w:after="0" w:line="240" w:lineRule="auto"/>
        <w:jc w:val="center"/>
        <w:rPr>
          <w:rFonts w:ascii="Times New Roman" w:hAnsi="Times New Roman" w:cs="Times New Roman"/>
          <w:b/>
          <w:sz w:val="24"/>
          <w:szCs w:val="24"/>
        </w:rPr>
      </w:pPr>
      <w:r w:rsidRPr="00F670C3">
        <w:rPr>
          <w:rFonts w:ascii="Times New Roman" w:hAnsi="Times New Roman" w:cs="Times New Roman"/>
          <w:b/>
          <w:sz w:val="24"/>
          <w:szCs w:val="24"/>
        </w:rPr>
        <w:t>Caminhos para a universalização dos serviços de água e esgotos no Brasil: a atuação das entidades reguladoras para indução da eficiência dos prestadores de serviços.</w:t>
      </w:r>
    </w:p>
    <w:p w:rsidR="006626BF" w:rsidRDefault="006626BF" w:rsidP="00195583">
      <w:pPr>
        <w:spacing w:after="0" w:line="240" w:lineRule="auto"/>
        <w:jc w:val="center"/>
        <w:rPr>
          <w:rFonts w:ascii="Times New Roman" w:hAnsi="Times New Roman" w:cs="Times New Roman"/>
          <w:b/>
          <w:sz w:val="24"/>
          <w:szCs w:val="24"/>
        </w:rPr>
      </w:pPr>
    </w:p>
    <w:p w:rsidR="006626BF" w:rsidRPr="00F670C3" w:rsidRDefault="006626BF" w:rsidP="006626BF">
      <w:pPr>
        <w:spacing w:after="0" w:line="240" w:lineRule="auto"/>
        <w:jc w:val="both"/>
        <w:rPr>
          <w:rFonts w:ascii="Times New Roman" w:hAnsi="Times New Roman" w:cs="Times New Roman"/>
          <w:b/>
          <w:sz w:val="24"/>
          <w:szCs w:val="24"/>
        </w:rPr>
      </w:pPr>
      <w:r w:rsidRPr="00F670C3">
        <w:rPr>
          <w:rFonts w:ascii="Times New Roman" w:hAnsi="Times New Roman" w:cs="Times New Roman"/>
          <w:b/>
          <w:sz w:val="24"/>
          <w:szCs w:val="24"/>
        </w:rPr>
        <w:t>Anne Emília Costa Carvalho</w:t>
      </w:r>
    </w:p>
    <w:p w:rsidR="006626BF" w:rsidRPr="006626BF" w:rsidRDefault="006626BF" w:rsidP="006626BF">
      <w:pPr>
        <w:spacing w:after="0" w:line="240" w:lineRule="auto"/>
        <w:jc w:val="both"/>
        <w:rPr>
          <w:rFonts w:ascii="Times New Roman" w:hAnsi="Times New Roman" w:cs="Times New Roman"/>
          <w:sz w:val="24"/>
          <w:szCs w:val="24"/>
        </w:rPr>
      </w:pPr>
      <w:r w:rsidRPr="006626BF">
        <w:rPr>
          <w:rFonts w:ascii="Times New Roman" w:hAnsi="Times New Roman" w:cs="Times New Roman"/>
          <w:sz w:val="24"/>
          <w:szCs w:val="24"/>
        </w:rPr>
        <w:t>D</w:t>
      </w:r>
      <w:r w:rsidRPr="006626BF">
        <w:rPr>
          <w:rFonts w:ascii="Times New Roman" w:hAnsi="Times New Roman" w:cs="Times New Roman"/>
          <w:sz w:val="24"/>
          <w:szCs w:val="24"/>
        </w:rPr>
        <w:t xml:space="preserve">outoranda </w:t>
      </w:r>
      <w:r w:rsidR="00603355">
        <w:rPr>
          <w:rFonts w:ascii="Times New Roman" w:hAnsi="Times New Roman" w:cs="Times New Roman"/>
          <w:sz w:val="24"/>
          <w:szCs w:val="24"/>
        </w:rPr>
        <w:t>em Administração pelo PPGA/UFRN /</w:t>
      </w:r>
      <w:r w:rsidRPr="006626BF">
        <w:rPr>
          <w:rFonts w:ascii="Times New Roman" w:hAnsi="Times New Roman" w:cs="Times New Roman"/>
          <w:sz w:val="24"/>
          <w:szCs w:val="24"/>
        </w:rPr>
        <w:t xml:space="preserve"> Inspetora de Controle Externo do </w:t>
      </w:r>
      <w:r w:rsidRPr="006626BF">
        <w:rPr>
          <w:rFonts w:ascii="Times New Roman" w:hAnsi="Times New Roman" w:cs="Times New Roman"/>
          <w:sz w:val="24"/>
          <w:szCs w:val="24"/>
        </w:rPr>
        <w:t>TCE-RN</w:t>
      </w:r>
      <w:r w:rsidRPr="006626BF">
        <w:rPr>
          <w:rFonts w:ascii="Times New Roman" w:hAnsi="Times New Roman" w:cs="Times New Roman"/>
          <w:sz w:val="24"/>
          <w:szCs w:val="24"/>
        </w:rPr>
        <w:t>.</w:t>
      </w:r>
    </w:p>
    <w:p w:rsidR="006626BF" w:rsidRPr="00F670C3" w:rsidRDefault="006626BF" w:rsidP="006626BF">
      <w:pPr>
        <w:spacing w:after="0" w:line="240" w:lineRule="auto"/>
        <w:jc w:val="both"/>
        <w:rPr>
          <w:rFonts w:ascii="Times New Roman" w:hAnsi="Times New Roman" w:cs="Times New Roman"/>
          <w:b/>
          <w:sz w:val="24"/>
          <w:szCs w:val="24"/>
        </w:rPr>
      </w:pPr>
      <w:r w:rsidRPr="00F670C3">
        <w:rPr>
          <w:rFonts w:ascii="Times New Roman" w:hAnsi="Times New Roman" w:cs="Times New Roman"/>
          <w:b/>
          <w:sz w:val="24"/>
          <w:szCs w:val="24"/>
        </w:rPr>
        <w:t xml:space="preserve">Luciano Menezes Bezerra Sampaio </w:t>
      </w:r>
    </w:p>
    <w:p w:rsidR="006626BF" w:rsidRPr="006626BF" w:rsidRDefault="006626BF" w:rsidP="006626BF">
      <w:pPr>
        <w:spacing w:after="0" w:line="240" w:lineRule="auto"/>
        <w:jc w:val="both"/>
        <w:rPr>
          <w:rFonts w:ascii="Times New Roman" w:hAnsi="Times New Roman" w:cs="Times New Roman"/>
          <w:sz w:val="24"/>
          <w:szCs w:val="24"/>
        </w:rPr>
      </w:pPr>
      <w:r w:rsidRPr="006626BF">
        <w:rPr>
          <w:rFonts w:ascii="Times New Roman" w:hAnsi="Times New Roman" w:cs="Times New Roman"/>
          <w:sz w:val="24"/>
          <w:szCs w:val="24"/>
        </w:rPr>
        <w:t xml:space="preserve">Professor </w:t>
      </w:r>
      <w:r w:rsidRPr="006626BF">
        <w:rPr>
          <w:rFonts w:ascii="Times New Roman" w:hAnsi="Times New Roman" w:cs="Times New Roman"/>
          <w:sz w:val="24"/>
          <w:szCs w:val="24"/>
        </w:rPr>
        <w:t xml:space="preserve">do </w:t>
      </w:r>
      <w:r w:rsidRPr="006626BF">
        <w:rPr>
          <w:rFonts w:ascii="Times New Roman" w:hAnsi="Times New Roman" w:cs="Times New Roman"/>
          <w:sz w:val="24"/>
          <w:szCs w:val="24"/>
        </w:rPr>
        <w:t>Departamento e Pós-graduação em Administração da UFRN / Bolsista de produtividade em Economia pelo CNPq.</w:t>
      </w:r>
    </w:p>
    <w:p w:rsidR="006626BF" w:rsidRPr="00F670C3" w:rsidRDefault="006626BF" w:rsidP="00195583">
      <w:pPr>
        <w:spacing w:after="0" w:line="240" w:lineRule="auto"/>
        <w:jc w:val="center"/>
        <w:rPr>
          <w:rFonts w:ascii="Times New Roman" w:hAnsi="Times New Roman" w:cs="Times New Roman"/>
          <w:b/>
          <w:sz w:val="24"/>
          <w:szCs w:val="24"/>
        </w:rPr>
      </w:pPr>
    </w:p>
    <w:p w:rsidR="00CC0716" w:rsidRPr="00011A74" w:rsidRDefault="00CC0716" w:rsidP="00195583">
      <w:pPr>
        <w:spacing w:after="0" w:line="240" w:lineRule="auto"/>
        <w:jc w:val="both"/>
        <w:rPr>
          <w:rFonts w:ascii="Times New Roman" w:hAnsi="Times New Roman" w:cs="Times New Roman"/>
          <w:b/>
          <w:sz w:val="24"/>
          <w:szCs w:val="24"/>
        </w:rPr>
      </w:pPr>
      <w:r w:rsidRPr="00011A74">
        <w:rPr>
          <w:rFonts w:ascii="Times New Roman" w:hAnsi="Times New Roman" w:cs="Times New Roman"/>
          <w:b/>
          <w:sz w:val="24"/>
          <w:szCs w:val="24"/>
        </w:rPr>
        <w:t>Resumo</w:t>
      </w:r>
    </w:p>
    <w:p w:rsidR="00CC0716" w:rsidRPr="00CC0716" w:rsidRDefault="00CC0716" w:rsidP="00195583">
      <w:pPr>
        <w:spacing w:after="0" w:line="240" w:lineRule="auto"/>
        <w:jc w:val="both"/>
        <w:rPr>
          <w:rFonts w:ascii="Times New Roman" w:hAnsi="Times New Roman" w:cs="Times New Roman"/>
          <w:sz w:val="24"/>
          <w:szCs w:val="24"/>
        </w:rPr>
      </w:pPr>
      <w:r w:rsidRPr="00CC0716">
        <w:rPr>
          <w:rFonts w:ascii="Times New Roman" w:hAnsi="Times New Roman" w:cs="Times New Roman"/>
          <w:sz w:val="24"/>
          <w:szCs w:val="24"/>
        </w:rPr>
        <w:t xml:space="preserve">O déficit de serviços de água e esgotos é um problema histórico no Brasil. A instituição de um novo marco regulatório, em 2007, </w:t>
      </w:r>
      <w:r w:rsidR="00CA1B3D">
        <w:rPr>
          <w:rFonts w:ascii="Times New Roman" w:hAnsi="Times New Roman" w:cs="Times New Roman"/>
          <w:sz w:val="24"/>
          <w:szCs w:val="24"/>
        </w:rPr>
        <w:t>estabeleceu</w:t>
      </w:r>
      <w:r w:rsidR="00CA1B3D" w:rsidRPr="00CC0716">
        <w:rPr>
          <w:rFonts w:ascii="Times New Roman" w:hAnsi="Times New Roman" w:cs="Times New Roman"/>
          <w:sz w:val="24"/>
          <w:szCs w:val="24"/>
        </w:rPr>
        <w:t xml:space="preserve"> </w:t>
      </w:r>
      <w:r w:rsidRPr="00CC0716">
        <w:rPr>
          <w:rFonts w:ascii="Times New Roman" w:hAnsi="Times New Roman" w:cs="Times New Roman"/>
          <w:sz w:val="24"/>
          <w:szCs w:val="24"/>
        </w:rPr>
        <w:t xml:space="preserve">caminhos para que o déficit fosse superado, </w:t>
      </w:r>
      <w:r w:rsidR="00CA1B3D">
        <w:rPr>
          <w:rFonts w:ascii="Times New Roman" w:hAnsi="Times New Roman" w:cs="Times New Roman"/>
          <w:sz w:val="24"/>
          <w:szCs w:val="24"/>
        </w:rPr>
        <w:t xml:space="preserve">objetivando, </w:t>
      </w:r>
      <w:r w:rsidRPr="00CC0716">
        <w:rPr>
          <w:rFonts w:ascii="Times New Roman" w:hAnsi="Times New Roman" w:cs="Times New Roman"/>
          <w:sz w:val="24"/>
          <w:szCs w:val="24"/>
        </w:rPr>
        <w:t xml:space="preserve">entre </w:t>
      </w:r>
      <w:r w:rsidR="00CA1B3D">
        <w:rPr>
          <w:rFonts w:ascii="Times New Roman" w:hAnsi="Times New Roman" w:cs="Times New Roman"/>
          <w:sz w:val="24"/>
          <w:szCs w:val="24"/>
        </w:rPr>
        <w:t>outras questões</w:t>
      </w:r>
      <w:r w:rsidRPr="00CC0716">
        <w:rPr>
          <w:rFonts w:ascii="Times New Roman" w:hAnsi="Times New Roman" w:cs="Times New Roman"/>
          <w:sz w:val="24"/>
          <w:szCs w:val="24"/>
        </w:rPr>
        <w:t xml:space="preserve">, </w:t>
      </w:r>
      <w:r w:rsidR="00CA1B3D">
        <w:rPr>
          <w:rFonts w:ascii="Times New Roman" w:hAnsi="Times New Roman" w:cs="Times New Roman"/>
          <w:sz w:val="24"/>
          <w:szCs w:val="24"/>
        </w:rPr>
        <w:t xml:space="preserve">uma maior </w:t>
      </w:r>
      <w:r w:rsidRPr="00CC0716">
        <w:rPr>
          <w:rFonts w:ascii="Times New Roman" w:hAnsi="Times New Roman" w:cs="Times New Roman"/>
          <w:sz w:val="24"/>
          <w:szCs w:val="24"/>
        </w:rPr>
        <w:t>eficiência dos prestadores de serviços. Est</w:t>
      </w:r>
      <w:r w:rsidR="00161A76">
        <w:rPr>
          <w:rFonts w:ascii="Times New Roman" w:hAnsi="Times New Roman" w:cs="Times New Roman"/>
          <w:sz w:val="24"/>
          <w:szCs w:val="24"/>
        </w:rPr>
        <w:t>e</w:t>
      </w:r>
      <w:r w:rsidRPr="00CC0716">
        <w:rPr>
          <w:rFonts w:ascii="Times New Roman" w:hAnsi="Times New Roman" w:cs="Times New Roman"/>
          <w:sz w:val="24"/>
          <w:szCs w:val="24"/>
        </w:rPr>
        <w:t xml:space="preserve"> </w:t>
      </w:r>
      <w:r w:rsidR="00161A76">
        <w:rPr>
          <w:rFonts w:ascii="Times New Roman" w:hAnsi="Times New Roman" w:cs="Times New Roman"/>
          <w:sz w:val="24"/>
          <w:szCs w:val="24"/>
        </w:rPr>
        <w:t>artigo</w:t>
      </w:r>
      <w:r w:rsidRPr="00CC0716">
        <w:rPr>
          <w:rFonts w:ascii="Times New Roman" w:hAnsi="Times New Roman" w:cs="Times New Roman"/>
          <w:sz w:val="24"/>
          <w:szCs w:val="24"/>
        </w:rPr>
        <w:t xml:space="preserve"> </w:t>
      </w:r>
      <w:r w:rsidR="00C34F7F">
        <w:rPr>
          <w:rFonts w:ascii="Times New Roman" w:hAnsi="Times New Roman" w:cs="Times New Roman"/>
          <w:sz w:val="24"/>
          <w:szCs w:val="24"/>
        </w:rPr>
        <w:t>analisa</w:t>
      </w:r>
      <w:r w:rsidRPr="00CC0716">
        <w:rPr>
          <w:rFonts w:ascii="Times New Roman" w:hAnsi="Times New Roman" w:cs="Times New Roman"/>
          <w:sz w:val="24"/>
          <w:szCs w:val="24"/>
        </w:rPr>
        <w:t xml:space="preserve"> a atuação das entidades reguladoras no que se refere à indução da eficiência dos prestadores de serviços de abastecimento de água e esgotamento sanitário no Brasil. Para tanto, foi utilizado um enfoque analítico </w:t>
      </w:r>
      <w:r w:rsidR="00161A76">
        <w:rPr>
          <w:rFonts w:ascii="Times New Roman" w:hAnsi="Times New Roman" w:cs="Times New Roman"/>
          <w:sz w:val="24"/>
          <w:szCs w:val="24"/>
        </w:rPr>
        <w:t>composto</w:t>
      </w:r>
      <w:r w:rsidRPr="00CC0716">
        <w:rPr>
          <w:rFonts w:ascii="Times New Roman" w:hAnsi="Times New Roman" w:cs="Times New Roman"/>
          <w:sz w:val="24"/>
          <w:szCs w:val="24"/>
        </w:rPr>
        <w:t xml:space="preserve"> por três etapas. Na primeira etapa, foi utilizada a Análise Envoltória de Dados (DEA) para avaliar a eficiência dos prestadores nos anos de 2006 e 2011. </w:t>
      </w:r>
      <w:r w:rsidR="00CA1B3D">
        <w:rPr>
          <w:rFonts w:ascii="Times New Roman" w:hAnsi="Times New Roman" w:cs="Times New Roman"/>
          <w:sz w:val="24"/>
          <w:szCs w:val="24"/>
        </w:rPr>
        <w:t>Entre os resultados, f</w:t>
      </w:r>
      <w:r w:rsidR="00CA1B3D" w:rsidRPr="00CC0716">
        <w:rPr>
          <w:rFonts w:ascii="Times New Roman" w:hAnsi="Times New Roman" w:cs="Times New Roman"/>
          <w:sz w:val="24"/>
          <w:szCs w:val="24"/>
        </w:rPr>
        <w:t xml:space="preserve">oram </w:t>
      </w:r>
      <w:r w:rsidRPr="00CC0716">
        <w:rPr>
          <w:rFonts w:ascii="Times New Roman" w:hAnsi="Times New Roman" w:cs="Times New Roman"/>
          <w:sz w:val="24"/>
          <w:szCs w:val="24"/>
        </w:rPr>
        <w:t>detectadas ineficiências relevantes entre os 29 prestadores analisados</w:t>
      </w:r>
      <w:r w:rsidR="00CA1B3D">
        <w:rPr>
          <w:rFonts w:ascii="Times New Roman" w:hAnsi="Times New Roman" w:cs="Times New Roman"/>
          <w:sz w:val="24"/>
          <w:szCs w:val="24"/>
        </w:rPr>
        <w:t xml:space="preserve"> e que, nos dois anos, </w:t>
      </w:r>
      <w:r w:rsidRPr="00CC0716">
        <w:rPr>
          <w:rFonts w:ascii="Times New Roman" w:hAnsi="Times New Roman" w:cs="Times New Roman"/>
          <w:sz w:val="24"/>
          <w:szCs w:val="24"/>
        </w:rPr>
        <w:t xml:space="preserve">o desempenho médio foi maior entre os prestadores não regulados. </w:t>
      </w:r>
      <w:r w:rsidR="00652656">
        <w:rPr>
          <w:rFonts w:ascii="Times New Roman" w:hAnsi="Times New Roman" w:cs="Times New Roman"/>
          <w:sz w:val="24"/>
          <w:szCs w:val="24"/>
        </w:rPr>
        <w:t xml:space="preserve">Na </w:t>
      </w:r>
      <w:r w:rsidR="005008F7">
        <w:rPr>
          <w:rFonts w:ascii="Times New Roman" w:hAnsi="Times New Roman" w:cs="Times New Roman"/>
          <w:sz w:val="24"/>
          <w:szCs w:val="24"/>
        </w:rPr>
        <w:t>segunda etapa, por meio</w:t>
      </w:r>
      <w:r w:rsidR="00CA1B3D">
        <w:rPr>
          <w:rFonts w:ascii="Times New Roman" w:hAnsi="Times New Roman" w:cs="Times New Roman"/>
          <w:sz w:val="24"/>
          <w:szCs w:val="24"/>
        </w:rPr>
        <w:t xml:space="preserve"> d</w:t>
      </w:r>
      <w:r w:rsidR="00652656">
        <w:rPr>
          <w:rFonts w:ascii="Times New Roman" w:hAnsi="Times New Roman" w:cs="Times New Roman"/>
          <w:sz w:val="24"/>
          <w:szCs w:val="24"/>
        </w:rPr>
        <w:t xml:space="preserve">o Índice de </w:t>
      </w:r>
      <w:proofErr w:type="spellStart"/>
      <w:r w:rsidR="00652656">
        <w:rPr>
          <w:rFonts w:ascii="Times New Roman" w:hAnsi="Times New Roman" w:cs="Times New Roman"/>
          <w:sz w:val="24"/>
          <w:szCs w:val="24"/>
        </w:rPr>
        <w:t>Malmquist</w:t>
      </w:r>
      <w:proofErr w:type="spellEnd"/>
      <w:r w:rsidR="00CA1B3D">
        <w:rPr>
          <w:rFonts w:ascii="Times New Roman" w:hAnsi="Times New Roman" w:cs="Times New Roman"/>
          <w:sz w:val="24"/>
          <w:szCs w:val="24"/>
        </w:rPr>
        <w:t>,</w:t>
      </w:r>
      <w:r w:rsidR="00161A76" w:rsidRPr="00161A76">
        <w:rPr>
          <w:rFonts w:ascii="Times New Roman" w:hAnsi="Times New Roman" w:cs="Times New Roman"/>
          <w:sz w:val="24"/>
          <w:szCs w:val="24"/>
        </w:rPr>
        <w:t xml:space="preserve"> </w:t>
      </w:r>
      <w:r w:rsidR="00CA1B3D">
        <w:rPr>
          <w:rFonts w:ascii="Times New Roman" w:hAnsi="Times New Roman" w:cs="Times New Roman"/>
          <w:sz w:val="24"/>
          <w:szCs w:val="24"/>
        </w:rPr>
        <w:t xml:space="preserve">observaram-se </w:t>
      </w:r>
      <w:r w:rsidR="00161A76" w:rsidRPr="00161A76">
        <w:rPr>
          <w:rFonts w:ascii="Times New Roman" w:hAnsi="Times New Roman" w:cs="Times New Roman"/>
          <w:sz w:val="24"/>
          <w:szCs w:val="24"/>
        </w:rPr>
        <w:t xml:space="preserve">ganhos de produtividade </w:t>
      </w:r>
      <w:r w:rsidR="00CA1B3D">
        <w:rPr>
          <w:rFonts w:ascii="Times New Roman" w:hAnsi="Times New Roman" w:cs="Times New Roman"/>
          <w:sz w:val="24"/>
          <w:szCs w:val="24"/>
        </w:rPr>
        <w:t>de</w:t>
      </w:r>
      <w:r w:rsidR="00CA1B3D" w:rsidRPr="00161A76">
        <w:rPr>
          <w:rFonts w:ascii="Times New Roman" w:hAnsi="Times New Roman" w:cs="Times New Roman"/>
          <w:sz w:val="24"/>
          <w:szCs w:val="24"/>
        </w:rPr>
        <w:t xml:space="preserve"> </w:t>
      </w:r>
      <w:r w:rsidR="00161A76" w:rsidRPr="00161A76">
        <w:rPr>
          <w:rFonts w:ascii="Times New Roman" w:hAnsi="Times New Roman" w:cs="Times New Roman"/>
          <w:sz w:val="24"/>
          <w:szCs w:val="24"/>
        </w:rPr>
        <w:t xml:space="preserve">2006 </w:t>
      </w:r>
      <w:r w:rsidR="00CA1B3D">
        <w:rPr>
          <w:rFonts w:ascii="Times New Roman" w:hAnsi="Times New Roman" w:cs="Times New Roman"/>
          <w:sz w:val="24"/>
          <w:szCs w:val="24"/>
        </w:rPr>
        <w:t>a</w:t>
      </w:r>
      <w:r w:rsidR="00CA1B3D" w:rsidRPr="00161A76">
        <w:rPr>
          <w:rFonts w:ascii="Times New Roman" w:hAnsi="Times New Roman" w:cs="Times New Roman"/>
          <w:sz w:val="24"/>
          <w:szCs w:val="24"/>
        </w:rPr>
        <w:t xml:space="preserve"> </w:t>
      </w:r>
      <w:r w:rsidR="00161A76" w:rsidRPr="00161A76">
        <w:rPr>
          <w:rFonts w:ascii="Times New Roman" w:hAnsi="Times New Roman" w:cs="Times New Roman"/>
          <w:sz w:val="24"/>
          <w:szCs w:val="24"/>
        </w:rPr>
        <w:t>2011</w:t>
      </w:r>
      <w:r w:rsidR="00CA1B3D">
        <w:rPr>
          <w:rFonts w:ascii="Times New Roman" w:hAnsi="Times New Roman" w:cs="Times New Roman"/>
          <w:sz w:val="24"/>
          <w:szCs w:val="24"/>
        </w:rPr>
        <w:t>, resultantes, segundo a decomposição</w:t>
      </w:r>
      <w:r w:rsidR="00161A76" w:rsidRPr="00161A76">
        <w:rPr>
          <w:rFonts w:ascii="Times New Roman" w:hAnsi="Times New Roman" w:cs="Times New Roman"/>
          <w:sz w:val="24"/>
          <w:szCs w:val="24"/>
        </w:rPr>
        <w:t xml:space="preserve"> do índice</w:t>
      </w:r>
      <w:r w:rsidR="00CA1B3D">
        <w:rPr>
          <w:rFonts w:ascii="Times New Roman" w:hAnsi="Times New Roman" w:cs="Times New Roman"/>
          <w:sz w:val="24"/>
          <w:szCs w:val="24"/>
        </w:rPr>
        <w:t>,</w:t>
      </w:r>
      <w:r w:rsidR="00161A76" w:rsidRPr="00161A76">
        <w:rPr>
          <w:rFonts w:ascii="Times New Roman" w:hAnsi="Times New Roman" w:cs="Times New Roman"/>
          <w:sz w:val="24"/>
          <w:szCs w:val="24"/>
        </w:rPr>
        <w:t xml:space="preserve"> </w:t>
      </w:r>
      <w:r w:rsidR="00CA1B3D">
        <w:rPr>
          <w:rFonts w:ascii="Times New Roman" w:hAnsi="Times New Roman" w:cs="Times New Roman"/>
          <w:sz w:val="24"/>
          <w:szCs w:val="24"/>
        </w:rPr>
        <w:t xml:space="preserve">do </w:t>
      </w:r>
      <w:r w:rsidR="00161A76" w:rsidRPr="00161A76">
        <w:rPr>
          <w:rFonts w:ascii="Times New Roman" w:hAnsi="Times New Roman" w:cs="Times New Roman"/>
          <w:sz w:val="24"/>
          <w:szCs w:val="24"/>
        </w:rPr>
        <w:t xml:space="preserve">deslocamento da fronteira de eficiência, </w:t>
      </w:r>
      <w:r w:rsidR="00CA1B3D">
        <w:rPr>
          <w:rFonts w:ascii="Times New Roman" w:hAnsi="Times New Roman" w:cs="Times New Roman"/>
          <w:sz w:val="24"/>
          <w:szCs w:val="24"/>
        </w:rPr>
        <w:t>isto é, de um avanço tecnológico.</w:t>
      </w:r>
      <w:r w:rsidR="00161A76" w:rsidRPr="00161A76">
        <w:rPr>
          <w:rFonts w:ascii="Times New Roman" w:hAnsi="Times New Roman" w:cs="Times New Roman"/>
          <w:sz w:val="24"/>
          <w:szCs w:val="24"/>
        </w:rPr>
        <w:t xml:space="preserve"> </w:t>
      </w:r>
      <w:r w:rsidR="00CA1B3D">
        <w:rPr>
          <w:rFonts w:ascii="Times New Roman" w:hAnsi="Times New Roman" w:cs="Times New Roman"/>
          <w:sz w:val="24"/>
          <w:szCs w:val="24"/>
        </w:rPr>
        <w:t>Ainda, contatou-se que o</w:t>
      </w:r>
      <w:r w:rsidR="00CA1B3D" w:rsidRPr="00161A76">
        <w:rPr>
          <w:rFonts w:ascii="Times New Roman" w:hAnsi="Times New Roman" w:cs="Times New Roman"/>
          <w:sz w:val="24"/>
          <w:szCs w:val="24"/>
        </w:rPr>
        <w:t xml:space="preserve">s </w:t>
      </w:r>
      <w:r w:rsidR="00161A76" w:rsidRPr="00161A76">
        <w:rPr>
          <w:rFonts w:ascii="Times New Roman" w:hAnsi="Times New Roman" w:cs="Times New Roman"/>
          <w:sz w:val="24"/>
          <w:szCs w:val="24"/>
        </w:rPr>
        <w:t>prestadores regulados a partir de 2007 apresentaram maior</w:t>
      </w:r>
      <w:r w:rsidR="0083088F">
        <w:rPr>
          <w:rFonts w:ascii="Times New Roman" w:hAnsi="Times New Roman" w:cs="Times New Roman"/>
          <w:sz w:val="24"/>
          <w:szCs w:val="24"/>
        </w:rPr>
        <w:t>es</w:t>
      </w:r>
      <w:r w:rsidR="00161A76" w:rsidRPr="00161A76">
        <w:rPr>
          <w:rFonts w:ascii="Times New Roman" w:hAnsi="Times New Roman" w:cs="Times New Roman"/>
          <w:sz w:val="24"/>
          <w:szCs w:val="24"/>
        </w:rPr>
        <w:t xml:space="preserve"> ganho</w:t>
      </w:r>
      <w:r w:rsidR="0083088F">
        <w:rPr>
          <w:rFonts w:ascii="Times New Roman" w:hAnsi="Times New Roman" w:cs="Times New Roman"/>
          <w:sz w:val="24"/>
          <w:szCs w:val="24"/>
        </w:rPr>
        <w:t>s</w:t>
      </w:r>
      <w:r w:rsidR="00161A76" w:rsidRPr="00161A76">
        <w:rPr>
          <w:rFonts w:ascii="Times New Roman" w:hAnsi="Times New Roman" w:cs="Times New Roman"/>
          <w:sz w:val="24"/>
          <w:szCs w:val="24"/>
        </w:rPr>
        <w:t xml:space="preserve"> </w:t>
      </w:r>
      <w:r w:rsidR="0083088F">
        <w:rPr>
          <w:rFonts w:ascii="Times New Roman" w:hAnsi="Times New Roman" w:cs="Times New Roman"/>
          <w:sz w:val="24"/>
          <w:szCs w:val="24"/>
        </w:rPr>
        <w:t>de</w:t>
      </w:r>
      <w:r w:rsidR="00161A76" w:rsidRPr="00161A76">
        <w:rPr>
          <w:rFonts w:ascii="Times New Roman" w:hAnsi="Times New Roman" w:cs="Times New Roman"/>
          <w:sz w:val="24"/>
          <w:szCs w:val="24"/>
        </w:rPr>
        <w:t xml:space="preserve"> produtividade. </w:t>
      </w:r>
      <w:r w:rsidRPr="00CC0716">
        <w:rPr>
          <w:rFonts w:ascii="Times New Roman" w:hAnsi="Times New Roman" w:cs="Times New Roman"/>
          <w:sz w:val="24"/>
          <w:szCs w:val="24"/>
        </w:rPr>
        <w:t xml:space="preserve">Na última etapa, </w:t>
      </w:r>
      <w:r w:rsidR="005008F7">
        <w:rPr>
          <w:rFonts w:ascii="Times New Roman" w:hAnsi="Times New Roman" w:cs="Times New Roman"/>
          <w:sz w:val="24"/>
          <w:szCs w:val="24"/>
        </w:rPr>
        <w:t>foi realizada uma</w:t>
      </w:r>
      <w:r w:rsidRPr="00CC0716">
        <w:rPr>
          <w:rFonts w:ascii="Times New Roman" w:hAnsi="Times New Roman" w:cs="Times New Roman"/>
          <w:sz w:val="24"/>
          <w:szCs w:val="24"/>
        </w:rPr>
        <w:t xml:space="preserve"> análise da atividade de normatização das entidades reguladoras</w:t>
      </w:r>
      <w:r w:rsidR="00CA1B3D">
        <w:rPr>
          <w:rFonts w:ascii="Times New Roman" w:hAnsi="Times New Roman" w:cs="Times New Roman"/>
          <w:sz w:val="24"/>
          <w:szCs w:val="24"/>
        </w:rPr>
        <w:t>.</w:t>
      </w:r>
      <w:r w:rsidRPr="00CC0716">
        <w:rPr>
          <w:rFonts w:ascii="Times New Roman" w:hAnsi="Times New Roman" w:cs="Times New Roman"/>
          <w:sz w:val="24"/>
          <w:szCs w:val="24"/>
        </w:rPr>
        <w:t xml:space="preserve"> </w:t>
      </w:r>
      <w:r w:rsidR="00CA1B3D">
        <w:rPr>
          <w:rFonts w:ascii="Times New Roman" w:hAnsi="Times New Roman" w:cs="Times New Roman"/>
          <w:sz w:val="24"/>
          <w:szCs w:val="24"/>
        </w:rPr>
        <w:t>C</w:t>
      </w:r>
      <w:r w:rsidR="00CA1B3D" w:rsidRPr="00CC0716">
        <w:rPr>
          <w:rFonts w:ascii="Times New Roman" w:hAnsi="Times New Roman" w:cs="Times New Roman"/>
          <w:sz w:val="24"/>
          <w:szCs w:val="24"/>
        </w:rPr>
        <w:t>onstatou</w:t>
      </w:r>
      <w:r w:rsidR="00CA1B3D">
        <w:rPr>
          <w:rFonts w:ascii="Times New Roman" w:hAnsi="Times New Roman" w:cs="Times New Roman"/>
          <w:sz w:val="24"/>
          <w:szCs w:val="24"/>
        </w:rPr>
        <w:t>-se</w:t>
      </w:r>
      <w:r w:rsidR="00CA1B3D" w:rsidRPr="00CC0716">
        <w:rPr>
          <w:rFonts w:ascii="Times New Roman" w:hAnsi="Times New Roman" w:cs="Times New Roman"/>
          <w:sz w:val="24"/>
          <w:szCs w:val="24"/>
        </w:rPr>
        <w:t xml:space="preserve"> </w:t>
      </w:r>
      <w:r w:rsidRPr="00CC0716">
        <w:rPr>
          <w:rFonts w:ascii="Times New Roman" w:hAnsi="Times New Roman" w:cs="Times New Roman"/>
          <w:sz w:val="24"/>
          <w:szCs w:val="24"/>
        </w:rPr>
        <w:t>a existência de entidades que não editaram normas até 2011</w:t>
      </w:r>
      <w:r w:rsidR="005906D1">
        <w:rPr>
          <w:rFonts w:ascii="Times New Roman" w:hAnsi="Times New Roman" w:cs="Times New Roman"/>
          <w:sz w:val="24"/>
          <w:szCs w:val="24"/>
        </w:rPr>
        <w:t xml:space="preserve"> e que a</w:t>
      </w:r>
      <w:r w:rsidRPr="00CC0716">
        <w:rPr>
          <w:rFonts w:ascii="Times New Roman" w:hAnsi="Times New Roman" w:cs="Times New Roman"/>
          <w:sz w:val="24"/>
          <w:szCs w:val="24"/>
        </w:rPr>
        <w:t xml:space="preserve">s entidades reguladoras criadas a partir de 2007 foram proporcionalmente mais atuantes. </w:t>
      </w:r>
      <w:r w:rsidR="00652656">
        <w:rPr>
          <w:rFonts w:ascii="Times New Roman" w:hAnsi="Times New Roman" w:cs="Times New Roman"/>
          <w:sz w:val="24"/>
          <w:szCs w:val="24"/>
        </w:rPr>
        <w:t>A</w:t>
      </w:r>
      <w:r w:rsidR="009819B1">
        <w:rPr>
          <w:rFonts w:ascii="Times New Roman" w:hAnsi="Times New Roman" w:cs="Times New Roman"/>
          <w:sz w:val="24"/>
          <w:szCs w:val="24"/>
        </w:rPr>
        <w:t xml:space="preserve"> análise conjunta dos resultados das três etapas </w:t>
      </w:r>
      <w:r w:rsidRPr="00CC0716">
        <w:rPr>
          <w:rFonts w:ascii="Times New Roman" w:hAnsi="Times New Roman" w:cs="Times New Roman"/>
          <w:sz w:val="24"/>
          <w:szCs w:val="24"/>
        </w:rPr>
        <w:t>evid</w:t>
      </w:r>
      <w:r w:rsidR="005008F7">
        <w:rPr>
          <w:rFonts w:ascii="Times New Roman" w:hAnsi="Times New Roman" w:cs="Times New Roman"/>
          <w:sz w:val="24"/>
          <w:szCs w:val="24"/>
        </w:rPr>
        <w:t xml:space="preserve">encia </w:t>
      </w:r>
      <w:r w:rsidRPr="00CC0716">
        <w:rPr>
          <w:rFonts w:ascii="Times New Roman" w:hAnsi="Times New Roman" w:cs="Times New Roman"/>
          <w:sz w:val="24"/>
          <w:szCs w:val="24"/>
        </w:rPr>
        <w:t xml:space="preserve">uma realidade na qual a atuação </w:t>
      </w:r>
      <w:r w:rsidR="00652656">
        <w:rPr>
          <w:rFonts w:ascii="Times New Roman" w:hAnsi="Times New Roman" w:cs="Times New Roman"/>
          <w:sz w:val="24"/>
          <w:szCs w:val="24"/>
        </w:rPr>
        <w:t>das</w:t>
      </w:r>
      <w:r w:rsidRPr="00CC0716">
        <w:rPr>
          <w:rFonts w:ascii="Times New Roman" w:hAnsi="Times New Roman" w:cs="Times New Roman"/>
          <w:sz w:val="24"/>
          <w:szCs w:val="24"/>
        </w:rPr>
        <w:t xml:space="preserve"> entidades</w:t>
      </w:r>
      <w:r w:rsidR="00652656">
        <w:rPr>
          <w:rFonts w:ascii="Times New Roman" w:hAnsi="Times New Roman" w:cs="Times New Roman"/>
          <w:sz w:val="24"/>
          <w:szCs w:val="24"/>
        </w:rPr>
        <w:t xml:space="preserve"> regul</w:t>
      </w:r>
      <w:r w:rsidR="00A07722">
        <w:rPr>
          <w:rFonts w:ascii="Times New Roman" w:hAnsi="Times New Roman" w:cs="Times New Roman"/>
          <w:sz w:val="24"/>
          <w:szCs w:val="24"/>
        </w:rPr>
        <w:t>a</w:t>
      </w:r>
      <w:r w:rsidR="00652656">
        <w:rPr>
          <w:rFonts w:ascii="Times New Roman" w:hAnsi="Times New Roman" w:cs="Times New Roman"/>
          <w:sz w:val="24"/>
          <w:szCs w:val="24"/>
        </w:rPr>
        <w:t>doras</w:t>
      </w:r>
      <w:r w:rsidRPr="00CC0716">
        <w:rPr>
          <w:rFonts w:ascii="Times New Roman" w:hAnsi="Times New Roman" w:cs="Times New Roman"/>
          <w:sz w:val="24"/>
          <w:szCs w:val="24"/>
        </w:rPr>
        <w:t xml:space="preserve"> não tem sido garantia de que os prestadores de água e esgotos, por elas regulados, alcancem melhor desempenho. </w:t>
      </w:r>
    </w:p>
    <w:p w:rsidR="00CC0716" w:rsidRPr="00AC3D66" w:rsidRDefault="00CC0716" w:rsidP="00195583">
      <w:pPr>
        <w:spacing w:after="0" w:line="240" w:lineRule="auto"/>
        <w:jc w:val="both"/>
        <w:rPr>
          <w:rFonts w:ascii="Times New Roman" w:hAnsi="Times New Roman" w:cs="Times New Roman"/>
          <w:sz w:val="24"/>
          <w:szCs w:val="24"/>
          <w:lang w:val="en-US"/>
        </w:rPr>
      </w:pPr>
      <w:r w:rsidRPr="00011A74">
        <w:rPr>
          <w:rFonts w:ascii="Times New Roman" w:hAnsi="Times New Roman" w:cs="Times New Roman"/>
          <w:b/>
          <w:sz w:val="24"/>
          <w:szCs w:val="24"/>
        </w:rPr>
        <w:t>Palavras-chaves:</w:t>
      </w:r>
      <w:r w:rsidRPr="00CC0716">
        <w:rPr>
          <w:rFonts w:ascii="Times New Roman" w:hAnsi="Times New Roman" w:cs="Times New Roman"/>
          <w:sz w:val="24"/>
          <w:szCs w:val="24"/>
        </w:rPr>
        <w:t xml:space="preserve"> Água e esgotos. Regulação. Eficiência. Análise envoltória de dados (DEA). </w:t>
      </w:r>
      <w:proofErr w:type="spellStart"/>
      <w:r w:rsidRPr="00AC3D66">
        <w:rPr>
          <w:rFonts w:ascii="Times New Roman" w:hAnsi="Times New Roman" w:cs="Times New Roman"/>
          <w:sz w:val="24"/>
          <w:szCs w:val="24"/>
          <w:lang w:val="en-US"/>
        </w:rPr>
        <w:t>Índice</w:t>
      </w:r>
      <w:proofErr w:type="spellEnd"/>
      <w:r w:rsidRPr="00AC3D66">
        <w:rPr>
          <w:rFonts w:ascii="Times New Roman" w:hAnsi="Times New Roman" w:cs="Times New Roman"/>
          <w:sz w:val="24"/>
          <w:szCs w:val="24"/>
          <w:lang w:val="en-US"/>
        </w:rPr>
        <w:t xml:space="preserve"> de </w:t>
      </w:r>
      <w:proofErr w:type="spellStart"/>
      <w:r w:rsidRPr="00AC3D66">
        <w:rPr>
          <w:rFonts w:ascii="Times New Roman" w:hAnsi="Times New Roman" w:cs="Times New Roman"/>
          <w:sz w:val="24"/>
          <w:szCs w:val="24"/>
          <w:lang w:val="en-US"/>
        </w:rPr>
        <w:t>Malmquist</w:t>
      </w:r>
      <w:proofErr w:type="spellEnd"/>
      <w:r w:rsidRPr="00AC3D66">
        <w:rPr>
          <w:rFonts w:ascii="Times New Roman" w:hAnsi="Times New Roman" w:cs="Times New Roman"/>
          <w:sz w:val="24"/>
          <w:szCs w:val="24"/>
          <w:lang w:val="en-US"/>
        </w:rPr>
        <w:t>.</w:t>
      </w:r>
    </w:p>
    <w:p w:rsidR="0005437F" w:rsidRPr="001306E2" w:rsidRDefault="0005437F" w:rsidP="00195583">
      <w:pPr>
        <w:spacing w:after="0" w:line="240" w:lineRule="auto"/>
        <w:jc w:val="both"/>
        <w:rPr>
          <w:rFonts w:ascii="Times New Roman" w:hAnsi="Times New Roman" w:cs="Times New Roman"/>
          <w:sz w:val="16"/>
          <w:szCs w:val="24"/>
          <w:lang w:val="en-US"/>
        </w:rPr>
      </w:pPr>
    </w:p>
    <w:p w:rsidR="0005437F" w:rsidRPr="003F41AE" w:rsidRDefault="0005437F" w:rsidP="00195583">
      <w:pPr>
        <w:spacing w:after="0" w:line="240" w:lineRule="auto"/>
        <w:jc w:val="center"/>
        <w:rPr>
          <w:rFonts w:ascii="Times New Roman" w:eastAsia="Times New Roman" w:hAnsi="Times New Roman" w:cs="Times New Roman"/>
          <w:b/>
          <w:sz w:val="24"/>
          <w:szCs w:val="24"/>
          <w:lang w:val="en-GB" w:eastAsia="pt-BR"/>
        </w:rPr>
      </w:pPr>
      <w:r w:rsidRPr="003F41AE">
        <w:rPr>
          <w:rFonts w:ascii="Times New Roman" w:eastAsia="Times New Roman" w:hAnsi="Times New Roman" w:cs="Times New Roman"/>
          <w:b/>
          <w:sz w:val="24"/>
          <w:szCs w:val="24"/>
          <w:lang w:val="en-GB" w:eastAsia="pt-BR"/>
        </w:rPr>
        <w:t>Universalization of Water and Sewerage services in Brazil: the role of regulators in inducing higher efficiency of service providers</w:t>
      </w:r>
    </w:p>
    <w:p w:rsidR="0005437F" w:rsidRPr="001306E2" w:rsidRDefault="0005437F" w:rsidP="00195583">
      <w:pPr>
        <w:spacing w:after="0" w:line="240" w:lineRule="auto"/>
        <w:jc w:val="both"/>
        <w:rPr>
          <w:rFonts w:ascii="Times New Roman" w:eastAsia="Times New Roman" w:hAnsi="Times New Roman" w:cs="Times New Roman"/>
          <w:sz w:val="12"/>
          <w:szCs w:val="24"/>
          <w:lang w:val="en-GB" w:eastAsia="pt-BR"/>
        </w:rPr>
      </w:pPr>
      <w:r w:rsidRPr="003F41AE">
        <w:rPr>
          <w:rFonts w:ascii="Times New Roman" w:eastAsia="Times New Roman" w:hAnsi="Times New Roman" w:cs="Times New Roman"/>
          <w:sz w:val="24"/>
          <w:szCs w:val="24"/>
          <w:lang w:val="en-GB" w:eastAsia="pt-BR"/>
        </w:rPr>
        <w:t xml:space="preserve"> </w:t>
      </w:r>
    </w:p>
    <w:p w:rsidR="00320350" w:rsidRDefault="0005437F" w:rsidP="00195583">
      <w:pPr>
        <w:spacing w:after="0" w:line="240" w:lineRule="auto"/>
        <w:jc w:val="both"/>
        <w:rPr>
          <w:rFonts w:ascii="Times New Roman" w:eastAsia="Times New Roman" w:hAnsi="Times New Roman" w:cs="Times New Roman"/>
          <w:b/>
          <w:sz w:val="24"/>
          <w:szCs w:val="24"/>
          <w:lang w:val="en-GB" w:eastAsia="pt-BR"/>
        </w:rPr>
      </w:pPr>
      <w:r w:rsidRPr="0005437F">
        <w:rPr>
          <w:rFonts w:ascii="Times New Roman" w:eastAsia="Times New Roman" w:hAnsi="Times New Roman" w:cs="Times New Roman"/>
          <w:b/>
          <w:sz w:val="24"/>
          <w:szCs w:val="24"/>
          <w:lang w:val="en-GB" w:eastAsia="pt-BR"/>
        </w:rPr>
        <w:t>Abstract</w:t>
      </w:r>
      <w:r w:rsidR="006B4833">
        <w:rPr>
          <w:rFonts w:ascii="Times New Roman" w:eastAsia="Times New Roman" w:hAnsi="Times New Roman" w:cs="Times New Roman"/>
          <w:b/>
          <w:sz w:val="24"/>
          <w:szCs w:val="24"/>
          <w:lang w:val="en-GB" w:eastAsia="pt-BR"/>
        </w:rPr>
        <w:t xml:space="preserve"> </w:t>
      </w:r>
    </w:p>
    <w:p w:rsidR="0005437F" w:rsidRPr="0083088F" w:rsidRDefault="0005437F" w:rsidP="00195583">
      <w:pPr>
        <w:spacing w:after="0" w:line="240" w:lineRule="auto"/>
        <w:jc w:val="both"/>
        <w:rPr>
          <w:rFonts w:ascii="Times New Roman" w:eastAsia="Times New Roman" w:hAnsi="Times New Roman" w:cs="Times New Roman"/>
          <w:color w:val="FF0000"/>
          <w:sz w:val="24"/>
          <w:szCs w:val="24"/>
          <w:lang w:val="en-GB" w:eastAsia="pt-BR"/>
        </w:rPr>
      </w:pPr>
      <w:r w:rsidRPr="0083088F">
        <w:rPr>
          <w:rFonts w:ascii="Times New Roman" w:eastAsia="Times New Roman" w:hAnsi="Times New Roman" w:cs="Times New Roman"/>
          <w:sz w:val="24"/>
          <w:szCs w:val="24"/>
          <w:lang w:val="en-GB" w:eastAsia="pt-BR"/>
        </w:rPr>
        <w:t>The deficit of water and sewerage services is a historical problem in Brazil.</w:t>
      </w:r>
      <w:r w:rsidRPr="00320350">
        <w:rPr>
          <w:rFonts w:ascii="Times New Roman" w:eastAsia="Times New Roman" w:hAnsi="Times New Roman" w:cs="Times New Roman"/>
          <w:color w:val="FF0000"/>
          <w:sz w:val="24"/>
          <w:szCs w:val="24"/>
          <w:lang w:val="en-GB" w:eastAsia="pt-BR"/>
        </w:rPr>
        <w:t xml:space="preserve"> </w:t>
      </w:r>
      <w:r w:rsidRPr="0083088F">
        <w:rPr>
          <w:rFonts w:ascii="Times New Roman" w:eastAsia="Times New Roman" w:hAnsi="Times New Roman" w:cs="Times New Roman"/>
          <w:sz w:val="24"/>
          <w:szCs w:val="24"/>
          <w:lang w:val="en-GB" w:eastAsia="pt-BR"/>
        </w:rPr>
        <w:t>The introduction of a new regulatory framework, in 2007, established ways to overcome these deficits - among them, the providers’ efficiency improvement. This paper aims to analyse the regulators performance regarding its ability to induce the improvement of the efficiency of the Brazilian water and sewerage service providers. An analytical approach based on three steps was used. In the first step, a Data Envelopment Analysis (DEA) was used to measure the providers’ efficiency in 2006 and 2011.</w:t>
      </w:r>
      <w:r w:rsidR="001306E2">
        <w:rPr>
          <w:rFonts w:ascii="Times New Roman" w:eastAsia="Times New Roman" w:hAnsi="Times New Roman" w:cs="Times New Roman"/>
          <w:sz w:val="24"/>
          <w:szCs w:val="24"/>
          <w:lang w:val="en-GB" w:eastAsia="pt-BR"/>
        </w:rPr>
        <w:t xml:space="preserve"> A</w:t>
      </w:r>
      <w:r w:rsidR="002D287A">
        <w:rPr>
          <w:rFonts w:ascii="Times New Roman" w:eastAsia="Times New Roman" w:hAnsi="Times New Roman" w:cs="Times New Roman"/>
          <w:sz w:val="24"/>
          <w:szCs w:val="24"/>
          <w:lang w:val="en-GB" w:eastAsia="pt-BR"/>
        </w:rPr>
        <w:t>mong the</w:t>
      </w:r>
      <w:r w:rsidR="001306E2">
        <w:rPr>
          <w:rFonts w:ascii="Times New Roman" w:eastAsia="Times New Roman" w:hAnsi="Times New Roman" w:cs="Times New Roman"/>
          <w:sz w:val="24"/>
          <w:szCs w:val="24"/>
          <w:lang w:val="en-GB" w:eastAsia="pt-BR"/>
        </w:rPr>
        <w:t xml:space="preserve"> results, s</w:t>
      </w:r>
      <w:r w:rsidRPr="0083088F">
        <w:rPr>
          <w:rFonts w:ascii="Times New Roman" w:eastAsia="Times New Roman" w:hAnsi="Times New Roman" w:cs="Times New Roman"/>
          <w:sz w:val="24"/>
          <w:szCs w:val="24"/>
          <w:lang w:val="en-GB" w:eastAsia="pt-BR"/>
        </w:rPr>
        <w:t>ignificant inefficiencies were detected among the 29 providers</w:t>
      </w:r>
      <w:r w:rsidR="001306E2">
        <w:rPr>
          <w:rFonts w:ascii="Times New Roman" w:eastAsia="Times New Roman" w:hAnsi="Times New Roman" w:cs="Times New Roman"/>
          <w:sz w:val="24"/>
          <w:szCs w:val="24"/>
          <w:lang w:val="en-GB" w:eastAsia="pt-BR"/>
        </w:rPr>
        <w:t xml:space="preserve"> and, in both years, </w:t>
      </w:r>
      <w:r w:rsidRPr="0083088F">
        <w:rPr>
          <w:rFonts w:ascii="Times New Roman" w:eastAsia="Times New Roman" w:hAnsi="Times New Roman" w:cs="Times New Roman"/>
          <w:sz w:val="24"/>
          <w:szCs w:val="24"/>
          <w:lang w:val="en-GB" w:eastAsia="pt-BR"/>
        </w:rPr>
        <w:t xml:space="preserve">the average performance was highest among non-regulated providers. </w:t>
      </w:r>
      <w:r w:rsidR="001306E2" w:rsidRPr="001306E2">
        <w:rPr>
          <w:rFonts w:ascii="Times New Roman" w:eastAsia="Times New Roman" w:hAnsi="Times New Roman" w:cs="Times New Roman"/>
          <w:sz w:val="24"/>
          <w:szCs w:val="24"/>
          <w:lang w:val="en-GB" w:eastAsia="pt-BR"/>
        </w:rPr>
        <w:t xml:space="preserve">In the second step, through </w:t>
      </w:r>
      <w:proofErr w:type="spellStart"/>
      <w:r w:rsidR="001306E2" w:rsidRPr="001306E2">
        <w:rPr>
          <w:rFonts w:ascii="Times New Roman" w:eastAsia="Times New Roman" w:hAnsi="Times New Roman" w:cs="Times New Roman"/>
          <w:sz w:val="24"/>
          <w:szCs w:val="24"/>
          <w:lang w:val="en-GB" w:eastAsia="pt-BR"/>
        </w:rPr>
        <w:t>Malmquist</w:t>
      </w:r>
      <w:proofErr w:type="spellEnd"/>
      <w:r w:rsidR="001306E2" w:rsidRPr="001306E2">
        <w:rPr>
          <w:rFonts w:ascii="Times New Roman" w:eastAsia="Times New Roman" w:hAnsi="Times New Roman" w:cs="Times New Roman"/>
          <w:sz w:val="24"/>
          <w:szCs w:val="24"/>
          <w:lang w:val="en-GB" w:eastAsia="pt-BR"/>
        </w:rPr>
        <w:t xml:space="preserve"> Index</w:t>
      </w:r>
      <w:r w:rsidR="001306E2">
        <w:rPr>
          <w:rFonts w:ascii="Times New Roman" w:eastAsia="Times New Roman" w:hAnsi="Times New Roman" w:cs="Times New Roman"/>
          <w:sz w:val="24"/>
          <w:szCs w:val="24"/>
          <w:lang w:val="en-GB" w:eastAsia="pt-BR"/>
        </w:rPr>
        <w:t xml:space="preserve"> (MI)</w:t>
      </w:r>
      <w:r w:rsidR="001306E2" w:rsidRPr="001306E2">
        <w:rPr>
          <w:rFonts w:ascii="Times New Roman" w:eastAsia="Times New Roman" w:hAnsi="Times New Roman" w:cs="Times New Roman"/>
          <w:sz w:val="24"/>
          <w:szCs w:val="24"/>
          <w:lang w:val="en-GB" w:eastAsia="pt-BR"/>
        </w:rPr>
        <w:t xml:space="preserve"> observed </w:t>
      </w:r>
      <w:r w:rsidR="00DB5B93">
        <w:rPr>
          <w:rFonts w:ascii="Times New Roman" w:eastAsia="Times New Roman" w:hAnsi="Times New Roman" w:cs="Times New Roman"/>
          <w:sz w:val="24"/>
          <w:szCs w:val="24"/>
          <w:lang w:val="en-GB" w:eastAsia="pt-BR"/>
        </w:rPr>
        <w:t>a</w:t>
      </w:r>
      <w:r w:rsidR="00DB5B93" w:rsidRPr="0083088F">
        <w:rPr>
          <w:rFonts w:ascii="Times New Roman" w:eastAsia="Times New Roman" w:hAnsi="Times New Roman" w:cs="Times New Roman"/>
          <w:sz w:val="24"/>
          <w:szCs w:val="24"/>
          <w:lang w:val="en-GB" w:eastAsia="pt-BR"/>
        </w:rPr>
        <w:t xml:space="preserve">n improvement in the total factor productivity </w:t>
      </w:r>
      <w:r w:rsidR="00DB5B93">
        <w:rPr>
          <w:rFonts w:ascii="Times New Roman" w:eastAsia="Times New Roman" w:hAnsi="Times New Roman" w:cs="Times New Roman"/>
          <w:sz w:val="24"/>
          <w:szCs w:val="24"/>
          <w:lang w:val="en-GB" w:eastAsia="pt-BR"/>
        </w:rPr>
        <w:t>from 2006 to 2011</w:t>
      </w:r>
      <w:r w:rsidR="001306E2" w:rsidRPr="001306E2">
        <w:rPr>
          <w:rFonts w:ascii="Times New Roman" w:eastAsia="Times New Roman" w:hAnsi="Times New Roman" w:cs="Times New Roman"/>
          <w:sz w:val="24"/>
          <w:szCs w:val="24"/>
          <w:lang w:val="en-GB" w:eastAsia="pt-BR"/>
        </w:rPr>
        <w:t xml:space="preserve">, resulting, according to the </w:t>
      </w:r>
      <w:r w:rsidR="00DB5B93">
        <w:rPr>
          <w:rFonts w:ascii="Times New Roman" w:eastAsia="Times New Roman" w:hAnsi="Times New Roman" w:cs="Times New Roman"/>
          <w:sz w:val="24"/>
          <w:szCs w:val="24"/>
          <w:lang w:val="en-GB" w:eastAsia="pt-BR"/>
        </w:rPr>
        <w:t xml:space="preserve">MI’ </w:t>
      </w:r>
      <w:r w:rsidR="001306E2" w:rsidRPr="001306E2">
        <w:rPr>
          <w:rFonts w:ascii="Times New Roman" w:eastAsia="Times New Roman" w:hAnsi="Times New Roman" w:cs="Times New Roman"/>
          <w:sz w:val="24"/>
          <w:szCs w:val="24"/>
          <w:lang w:val="en-GB" w:eastAsia="pt-BR"/>
        </w:rPr>
        <w:t>decomposition</w:t>
      </w:r>
      <w:r w:rsidR="00DB5B93">
        <w:rPr>
          <w:rFonts w:ascii="Times New Roman" w:eastAsia="Times New Roman" w:hAnsi="Times New Roman" w:cs="Times New Roman"/>
          <w:sz w:val="24"/>
          <w:szCs w:val="24"/>
          <w:lang w:val="en-GB" w:eastAsia="pt-BR"/>
        </w:rPr>
        <w:t>,</w:t>
      </w:r>
      <w:r w:rsidR="001306E2" w:rsidRPr="001306E2">
        <w:rPr>
          <w:rFonts w:ascii="Times New Roman" w:eastAsia="Times New Roman" w:hAnsi="Times New Roman" w:cs="Times New Roman"/>
          <w:sz w:val="24"/>
          <w:szCs w:val="24"/>
          <w:lang w:val="en-GB" w:eastAsia="pt-BR"/>
        </w:rPr>
        <w:t xml:space="preserve"> of </w:t>
      </w:r>
      <w:r w:rsidR="00DB5B93">
        <w:rPr>
          <w:rFonts w:ascii="Times New Roman" w:eastAsia="Times New Roman" w:hAnsi="Times New Roman" w:cs="Times New Roman"/>
          <w:sz w:val="24"/>
          <w:szCs w:val="24"/>
          <w:lang w:val="en-GB" w:eastAsia="pt-BR"/>
        </w:rPr>
        <w:t>frontier-shift effect</w:t>
      </w:r>
      <w:r w:rsidR="001306E2" w:rsidRPr="001306E2">
        <w:rPr>
          <w:rFonts w:ascii="Times New Roman" w:eastAsia="Times New Roman" w:hAnsi="Times New Roman" w:cs="Times New Roman"/>
          <w:sz w:val="24"/>
          <w:szCs w:val="24"/>
          <w:lang w:val="en-GB" w:eastAsia="pt-BR"/>
        </w:rPr>
        <w:t>, that is, a technological advance.</w:t>
      </w:r>
      <w:r w:rsidR="00DB5B93">
        <w:rPr>
          <w:rFonts w:ascii="Times New Roman" w:eastAsia="Times New Roman" w:hAnsi="Times New Roman" w:cs="Times New Roman"/>
          <w:sz w:val="24"/>
          <w:szCs w:val="24"/>
          <w:lang w:val="en-GB" w:eastAsia="pt-BR"/>
        </w:rPr>
        <w:t xml:space="preserve"> </w:t>
      </w:r>
      <w:r w:rsidRPr="0027364D">
        <w:rPr>
          <w:rFonts w:ascii="Times New Roman" w:eastAsia="Times New Roman" w:hAnsi="Times New Roman" w:cs="Times New Roman"/>
          <w:sz w:val="24"/>
          <w:szCs w:val="24"/>
          <w:lang w:val="en-GB" w:eastAsia="pt-BR"/>
        </w:rPr>
        <w:t>The p</w:t>
      </w:r>
      <w:r w:rsidR="0027364D" w:rsidRPr="0027364D">
        <w:rPr>
          <w:rFonts w:ascii="Times New Roman" w:eastAsia="Times New Roman" w:hAnsi="Times New Roman" w:cs="Times New Roman"/>
          <w:sz w:val="24"/>
          <w:szCs w:val="24"/>
          <w:lang w:val="en-GB" w:eastAsia="pt-BR"/>
        </w:rPr>
        <w:t xml:space="preserve">roviders regulated after 2007 </w:t>
      </w:r>
      <w:r w:rsidR="00B0566B" w:rsidRPr="00B0566B">
        <w:rPr>
          <w:rFonts w:ascii="Times New Roman" w:eastAsia="Times New Roman" w:hAnsi="Times New Roman" w:cs="Times New Roman"/>
          <w:sz w:val="24"/>
          <w:szCs w:val="24"/>
          <w:lang w:val="en-GB" w:eastAsia="pt-BR"/>
        </w:rPr>
        <w:t>showed greater gains in productivity.</w:t>
      </w:r>
      <w:r w:rsidRPr="0027364D">
        <w:rPr>
          <w:rFonts w:ascii="Times New Roman" w:eastAsia="Times New Roman" w:hAnsi="Times New Roman" w:cs="Times New Roman"/>
          <w:sz w:val="24"/>
          <w:szCs w:val="24"/>
          <w:lang w:val="en-GB" w:eastAsia="pt-BR"/>
        </w:rPr>
        <w:t xml:space="preserve"> </w:t>
      </w:r>
      <w:r w:rsidRPr="0083088F">
        <w:rPr>
          <w:rFonts w:ascii="Times New Roman" w:eastAsia="Times New Roman" w:hAnsi="Times New Roman" w:cs="Times New Roman"/>
          <w:sz w:val="24"/>
          <w:szCs w:val="24"/>
          <w:lang w:val="en-GB" w:eastAsia="pt-BR"/>
        </w:rPr>
        <w:t xml:space="preserve">In the last step, the relation between regulators’ activities (the regulatory standards) and their service providers’ efficiency were </w:t>
      </w:r>
      <w:proofErr w:type="spellStart"/>
      <w:r w:rsidRPr="0083088F">
        <w:rPr>
          <w:rFonts w:ascii="Times New Roman" w:eastAsia="Times New Roman" w:hAnsi="Times New Roman" w:cs="Times New Roman"/>
          <w:sz w:val="24"/>
          <w:szCs w:val="24"/>
          <w:lang w:val="en-GB" w:eastAsia="pt-BR"/>
        </w:rPr>
        <w:t>analyzed</w:t>
      </w:r>
      <w:proofErr w:type="spellEnd"/>
      <w:r w:rsidRPr="00B0566B">
        <w:rPr>
          <w:rFonts w:ascii="Times New Roman" w:eastAsia="Times New Roman" w:hAnsi="Times New Roman" w:cs="Times New Roman"/>
          <w:sz w:val="24"/>
          <w:szCs w:val="24"/>
          <w:lang w:val="en-GB" w:eastAsia="pt-BR"/>
        </w:rPr>
        <w:t xml:space="preserve">. </w:t>
      </w:r>
      <w:r w:rsidR="00B0566B">
        <w:rPr>
          <w:rFonts w:ascii="Times New Roman" w:eastAsia="Times New Roman" w:hAnsi="Times New Roman" w:cs="Times New Roman"/>
          <w:sz w:val="24"/>
          <w:szCs w:val="24"/>
          <w:lang w:val="en-GB" w:eastAsia="pt-BR"/>
        </w:rPr>
        <w:t>T</w:t>
      </w:r>
      <w:r w:rsidR="00B0566B" w:rsidRPr="00B0566B">
        <w:rPr>
          <w:rFonts w:ascii="Times New Roman" w:eastAsia="Times New Roman" w:hAnsi="Times New Roman" w:cs="Times New Roman"/>
          <w:sz w:val="24"/>
          <w:szCs w:val="24"/>
          <w:lang w:val="en-GB" w:eastAsia="pt-BR"/>
        </w:rPr>
        <w:t>he existence of regulators without regulatory standards until 2011</w:t>
      </w:r>
      <w:r w:rsidR="001306E2">
        <w:rPr>
          <w:rFonts w:ascii="Times New Roman" w:eastAsia="Times New Roman" w:hAnsi="Times New Roman" w:cs="Times New Roman"/>
          <w:sz w:val="24"/>
          <w:szCs w:val="24"/>
          <w:lang w:val="en-GB" w:eastAsia="pt-BR"/>
        </w:rPr>
        <w:t xml:space="preserve"> </w:t>
      </w:r>
      <w:r w:rsidR="00B0566B">
        <w:rPr>
          <w:rFonts w:ascii="Times New Roman" w:eastAsia="Times New Roman" w:hAnsi="Times New Roman" w:cs="Times New Roman"/>
          <w:sz w:val="24"/>
          <w:szCs w:val="24"/>
          <w:lang w:val="en-GB" w:eastAsia="pt-BR"/>
        </w:rPr>
        <w:t>was found</w:t>
      </w:r>
      <w:r w:rsidR="001306E2">
        <w:rPr>
          <w:rFonts w:ascii="Times New Roman" w:eastAsia="Times New Roman" w:hAnsi="Times New Roman" w:cs="Times New Roman"/>
          <w:sz w:val="24"/>
          <w:szCs w:val="24"/>
          <w:lang w:val="en-GB" w:eastAsia="pt-BR"/>
        </w:rPr>
        <w:t>. R</w:t>
      </w:r>
      <w:r w:rsidR="00B0566B" w:rsidRPr="00B0566B">
        <w:rPr>
          <w:rFonts w:ascii="Times New Roman" w:eastAsia="Times New Roman" w:hAnsi="Times New Roman" w:cs="Times New Roman"/>
          <w:sz w:val="24"/>
          <w:szCs w:val="24"/>
          <w:lang w:val="en-GB" w:eastAsia="pt-BR"/>
        </w:rPr>
        <w:t>egulators created after 2007 were proportionately more active.</w:t>
      </w:r>
      <w:r w:rsidR="0027364D" w:rsidRPr="00B0566B">
        <w:rPr>
          <w:rFonts w:ascii="Times New Roman" w:eastAsia="Times New Roman" w:hAnsi="Times New Roman" w:cs="Times New Roman"/>
          <w:sz w:val="24"/>
          <w:szCs w:val="24"/>
          <w:lang w:val="en-GB" w:eastAsia="pt-BR"/>
        </w:rPr>
        <w:t xml:space="preserve"> </w:t>
      </w:r>
      <w:r w:rsidR="001306E2" w:rsidRPr="001306E2">
        <w:rPr>
          <w:rFonts w:ascii="Times New Roman" w:eastAsia="Times New Roman" w:hAnsi="Times New Roman" w:cs="Times New Roman"/>
          <w:sz w:val="24"/>
          <w:szCs w:val="24"/>
          <w:lang w:val="en-GB" w:eastAsia="pt-BR"/>
        </w:rPr>
        <w:t xml:space="preserve">The analysis of </w:t>
      </w:r>
      <w:r w:rsidR="00DB5B93">
        <w:rPr>
          <w:rFonts w:ascii="Times New Roman" w:eastAsia="Times New Roman" w:hAnsi="Times New Roman" w:cs="Times New Roman"/>
          <w:sz w:val="24"/>
          <w:szCs w:val="24"/>
          <w:lang w:val="en-GB" w:eastAsia="pt-BR"/>
        </w:rPr>
        <w:t>all</w:t>
      </w:r>
      <w:r w:rsidR="001306E2" w:rsidRPr="001306E2">
        <w:rPr>
          <w:rFonts w:ascii="Times New Roman" w:eastAsia="Times New Roman" w:hAnsi="Times New Roman" w:cs="Times New Roman"/>
          <w:sz w:val="24"/>
          <w:szCs w:val="24"/>
          <w:lang w:val="en-GB" w:eastAsia="pt-BR"/>
        </w:rPr>
        <w:t xml:space="preserve"> results shows a reality in which</w:t>
      </w:r>
      <w:r w:rsidR="001306E2" w:rsidRPr="00B0566B">
        <w:rPr>
          <w:rFonts w:ascii="Times New Roman" w:eastAsia="Times New Roman" w:hAnsi="Times New Roman" w:cs="Times New Roman"/>
          <w:sz w:val="24"/>
          <w:szCs w:val="24"/>
          <w:lang w:val="en-GB" w:eastAsia="pt-BR"/>
        </w:rPr>
        <w:t xml:space="preserve"> </w:t>
      </w:r>
      <w:r w:rsidR="001306E2">
        <w:rPr>
          <w:rFonts w:ascii="Times New Roman" w:eastAsia="Times New Roman" w:hAnsi="Times New Roman" w:cs="Times New Roman"/>
          <w:sz w:val="24"/>
          <w:szCs w:val="24"/>
          <w:lang w:val="en-GB" w:eastAsia="pt-BR"/>
        </w:rPr>
        <w:t>t</w:t>
      </w:r>
      <w:r w:rsidRPr="00B0566B">
        <w:rPr>
          <w:rFonts w:ascii="Times New Roman" w:eastAsia="Times New Roman" w:hAnsi="Times New Roman" w:cs="Times New Roman"/>
          <w:sz w:val="24"/>
          <w:szCs w:val="24"/>
          <w:lang w:val="en-GB" w:eastAsia="pt-BR"/>
        </w:rPr>
        <w:t xml:space="preserve">he actions of regulators have not ensured </w:t>
      </w:r>
      <w:r w:rsidRPr="0027364D">
        <w:rPr>
          <w:rFonts w:ascii="Times New Roman" w:eastAsia="Times New Roman" w:hAnsi="Times New Roman" w:cs="Times New Roman"/>
          <w:sz w:val="24"/>
          <w:szCs w:val="24"/>
          <w:lang w:val="en-GB" w:eastAsia="pt-BR"/>
        </w:rPr>
        <w:t>that providers of water and sewage services achieve better performances</w:t>
      </w:r>
      <w:r w:rsidR="0027364D" w:rsidRPr="0027364D">
        <w:rPr>
          <w:rFonts w:ascii="Times New Roman" w:eastAsia="Times New Roman" w:hAnsi="Times New Roman" w:cs="Times New Roman"/>
          <w:sz w:val="24"/>
          <w:szCs w:val="24"/>
          <w:lang w:val="en-GB" w:eastAsia="pt-BR"/>
        </w:rPr>
        <w:t>.</w:t>
      </w:r>
      <w:r w:rsidR="001306E2">
        <w:rPr>
          <w:rFonts w:ascii="Times New Roman" w:eastAsia="Times New Roman" w:hAnsi="Times New Roman" w:cs="Times New Roman"/>
          <w:sz w:val="24"/>
          <w:szCs w:val="24"/>
          <w:lang w:val="en-GB" w:eastAsia="pt-BR"/>
        </w:rPr>
        <w:t xml:space="preserve"> </w:t>
      </w:r>
    </w:p>
    <w:p w:rsidR="0005437F" w:rsidRPr="00AC3D66" w:rsidRDefault="0005437F" w:rsidP="00195583">
      <w:pPr>
        <w:spacing w:after="0" w:line="240" w:lineRule="auto"/>
        <w:jc w:val="both"/>
        <w:rPr>
          <w:rFonts w:ascii="Times New Roman" w:hAnsi="Times New Roman" w:cs="Times New Roman"/>
          <w:sz w:val="24"/>
          <w:szCs w:val="24"/>
        </w:rPr>
      </w:pPr>
      <w:r w:rsidRPr="0005437F">
        <w:rPr>
          <w:rFonts w:ascii="Times New Roman" w:hAnsi="Times New Roman" w:cs="Times New Roman"/>
          <w:b/>
          <w:sz w:val="24"/>
          <w:szCs w:val="24"/>
          <w:lang w:val="en-US"/>
        </w:rPr>
        <w:t>Keywords</w:t>
      </w:r>
      <w:r w:rsidRPr="0005437F">
        <w:rPr>
          <w:rFonts w:ascii="Times New Roman" w:hAnsi="Times New Roman" w:cs="Times New Roman"/>
          <w:sz w:val="24"/>
          <w:szCs w:val="24"/>
          <w:lang w:val="en-US"/>
        </w:rPr>
        <w:t xml:space="preserve">: Water and sewerage. </w:t>
      </w:r>
      <w:proofErr w:type="gramStart"/>
      <w:r w:rsidRPr="0005437F">
        <w:rPr>
          <w:rFonts w:ascii="Times New Roman" w:hAnsi="Times New Roman" w:cs="Times New Roman"/>
          <w:sz w:val="24"/>
          <w:szCs w:val="24"/>
          <w:lang w:val="en-US"/>
        </w:rPr>
        <w:t>Regulation.</w:t>
      </w:r>
      <w:proofErr w:type="gramEnd"/>
      <w:r w:rsidRPr="0005437F">
        <w:rPr>
          <w:rFonts w:ascii="Times New Roman" w:hAnsi="Times New Roman" w:cs="Times New Roman"/>
          <w:sz w:val="24"/>
          <w:szCs w:val="24"/>
          <w:lang w:val="en-US"/>
        </w:rPr>
        <w:t xml:space="preserve"> </w:t>
      </w:r>
      <w:proofErr w:type="gramStart"/>
      <w:r w:rsidRPr="0005437F">
        <w:rPr>
          <w:rFonts w:ascii="Times New Roman" w:hAnsi="Times New Roman" w:cs="Times New Roman"/>
          <w:sz w:val="24"/>
          <w:szCs w:val="24"/>
          <w:lang w:val="en-US"/>
        </w:rPr>
        <w:t>Efficiency.</w:t>
      </w:r>
      <w:proofErr w:type="gramEnd"/>
      <w:r w:rsidRPr="0005437F">
        <w:rPr>
          <w:rFonts w:ascii="Times New Roman" w:hAnsi="Times New Roman" w:cs="Times New Roman"/>
          <w:sz w:val="24"/>
          <w:szCs w:val="24"/>
          <w:lang w:val="en-US"/>
        </w:rPr>
        <w:t xml:space="preserve"> </w:t>
      </w:r>
      <w:proofErr w:type="gramStart"/>
      <w:r w:rsidRPr="0005437F">
        <w:rPr>
          <w:rFonts w:ascii="Times New Roman" w:hAnsi="Times New Roman" w:cs="Times New Roman"/>
          <w:sz w:val="24"/>
          <w:szCs w:val="24"/>
          <w:lang w:val="en-US"/>
        </w:rPr>
        <w:t>Data Envelopment Analysis (DEA).</w:t>
      </w:r>
      <w:proofErr w:type="gramEnd"/>
      <w:r w:rsidRPr="0005437F">
        <w:rPr>
          <w:rFonts w:ascii="Times New Roman" w:hAnsi="Times New Roman" w:cs="Times New Roman"/>
          <w:sz w:val="24"/>
          <w:szCs w:val="24"/>
          <w:lang w:val="en-US"/>
        </w:rPr>
        <w:t xml:space="preserve"> </w:t>
      </w:r>
      <w:proofErr w:type="spellStart"/>
      <w:r w:rsidRPr="00AC3D66">
        <w:rPr>
          <w:rFonts w:ascii="Times New Roman" w:hAnsi="Times New Roman" w:cs="Times New Roman"/>
          <w:sz w:val="24"/>
          <w:szCs w:val="24"/>
        </w:rPr>
        <w:t>Malmquist</w:t>
      </w:r>
      <w:proofErr w:type="spellEnd"/>
      <w:r w:rsidRPr="00AC3D66">
        <w:rPr>
          <w:rFonts w:ascii="Times New Roman" w:hAnsi="Times New Roman" w:cs="Times New Roman"/>
          <w:sz w:val="24"/>
          <w:szCs w:val="24"/>
        </w:rPr>
        <w:t xml:space="preserve"> Index.</w:t>
      </w:r>
    </w:p>
    <w:p w:rsidR="006626BF" w:rsidRDefault="006626BF" w:rsidP="0027364D">
      <w:pPr>
        <w:spacing w:after="0" w:line="240" w:lineRule="auto"/>
        <w:jc w:val="both"/>
        <w:rPr>
          <w:rFonts w:ascii="Times New Roman" w:hAnsi="Times New Roman" w:cs="Times New Roman"/>
          <w:b/>
          <w:sz w:val="24"/>
          <w:szCs w:val="24"/>
        </w:rPr>
      </w:pPr>
    </w:p>
    <w:p w:rsidR="0005437F" w:rsidRPr="006626BF" w:rsidRDefault="006626BF" w:rsidP="0027364D">
      <w:pPr>
        <w:spacing w:after="0" w:line="240" w:lineRule="auto"/>
        <w:jc w:val="both"/>
        <w:rPr>
          <w:rFonts w:ascii="Times New Roman" w:hAnsi="Times New Roman" w:cs="Times New Roman"/>
          <w:sz w:val="24"/>
          <w:szCs w:val="24"/>
          <w:lang w:val="en-US"/>
        </w:rPr>
      </w:pPr>
      <w:r w:rsidRPr="00A804C1">
        <w:rPr>
          <w:rFonts w:ascii="Times New Roman" w:hAnsi="Times New Roman" w:cs="Times New Roman"/>
          <w:b/>
          <w:sz w:val="24"/>
          <w:szCs w:val="24"/>
        </w:rPr>
        <w:t xml:space="preserve">Área de interesse: </w:t>
      </w:r>
      <w:r w:rsidRPr="006626BF">
        <w:rPr>
          <w:rFonts w:ascii="Times New Roman" w:hAnsi="Times New Roman" w:cs="Times New Roman"/>
          <w:sz w:val="24"/>
          <w:szCs w:val="24"/>
        </w:rPr>
        <w:t>Área 5 – Economia do Setor Público</w:t>
      </w:r>
      <w:r w:rsidRPr="006626BF">
        <w:rPr>
          <w:rFonts w:ascii="Times New Roman" w:hAnsi="Times New Roman" w:cs="Times New Roman"/>
          <w:sz w:val="24"/>
          <w:szCs w:val="24"/>
        </w:rPr>
        <w:t>.</w:t>
      </w:r>
      <w:r>
        <w:rPr>
          <w:rFonts w:ascii="Times New Roman" w:hAnsi="Times New Roman" w:cs="Times New Roman"/>
          <w:b/>
          <w:sz w:val="24"/>
          <w:szCs w:val="24"/>
        </w:rPr>
        <w:t xml:space="preserve"> </w:t>
      </w:r>
      <w:r w:rsidR="0005437F" w:rsidRPr="006626BF">
        <w:rPr>
          <w:rFonts w:ascii="Times New Roman" w:hAnsi="Times New Roman" w:cs="Times New Roman"/>
          <w:b/>
          <w:sz w:val="24"/>
          <w:szCs w:val="24"/>
          <w:lang w:val="en-US"/>
        </w:rPr>
        <w:t>JEL classification</w:t>
      </w:r>
      <w:r w:rsidR="0005437F" w:rsidRPr="006626BF">
        <w:rPr>
          <w:rFonts w:ascii="Times New Roman" w:hAnsi="Times New Roman" w:cs="Times New Roman"/>
          <w:sz w:val="24"/>
          <w:szCs w:val="24"/>
          <w:lang w:val="en-US"/>
        </w:rPr>
        <w:t>:</w:t>
      </w:r>
      <w:r w:rsidR="009B0A41" w:rsidRPr="006626BF">
        <w:rPr>
          <w:rFonts w:ascii="Times New Roman" w:hAnsi="Times New Roman" w:cs="Times New Roman"/>
          <w:sz w:val="24"/>
          <w:szCs w:val="24"/>
          <w:lang w:val="en-US"/>
        </w:rPr>
        <w:t xml:space="preserve"> </w:t>
      </w:r>
      <w:r w:rsidR="00E77C29" w:rsidRPr="006626BF">
        <w:rPr>
          <w:rFonts w:ascii="Times New Roman" w:hAnsi="Times New Roman" w:cs="Times New Roman"/>
          <w:sz w:val="24"/>
          <w:szCs w:val="24"/>
          <w:lang w:val="en-US"/>
        </w:rPr>
        <w:t xml:space="preserve">L51. L95. </w:t>
      </w:r>
      <w:r w:rsidR="0071629B" w:rsidRPr="006626BF">
        <w:rPr>
          <w:rFonts w:ascii="Times New Roman" w:hAnsi="Times New Roman" w:cs="Times New Roman"/>
          <w:sz w:val="24"/>
          <w:szCs w:val="24"/>
          <w:lang w:val="en-US"/>
        </w:rPr>
        <w:t>Q25.</w:t>
      </w:r>
      <w:r w:rsidR="0005437F" w:rsidRPr="006626BF">
        <w:rPr>
          <w:rFonts w:ascii="Times New Roman" w:hAnsi="Times New Roman" w:cs="Times New Roman"/>
          <w:sz w:val="24"/>
          <w:szCs w:val="24"/>
          <w:lang w:val="en-US"/>
        </w:rPr>
        <w:br w:type="page"/>
      </w:r>
    </w:p>
    <w:p w:rsidR="0005437F" w:rsidRDefault="00C036DA" w:rsidP="00195583">
      <w:pPr>
        <w:spacing w:after="0" w:line="240" w:lineRule="auto"/>
        <w:jc w:val="both"/>
        <w:rPr>
          <w:rFonts w:ascii="Times New Roman" w:hAnsi="Times New Roman" w:cs="Times New Roman"/>
          <w:b/>
          <w:sz w:val="24"/>
          <w:szCs w:val="24"/>
        </w:rPr>
      </w:pPr>
      <w:proofErr w:type="gramStart"/>
      <w:r w:rsidRPr="00C036DA">
        <w:rPr>
          <w:rFonts w:ascii="Times New Roman" w:hAnsi="Times New Roman" w:cs="Times New Roman"/>
          <w:b/>
          <w:sz w:val="24"/>
          <w:szCs w:val="24"/>
        </w:rPr>
        <w:lastRenderedPageBreak/>
        <w:t>1</w:t>
      </w:r>
      <w:proofErr w:type="gramEnd"/>
      <w:r w:rsidRPr="00C036DA">
        <w:rPr>
          <w:rFonts w:ascii="Times New Roman" w:hAnsi="Times New Roman" w:cs="Times New Roman"/>
          <w:b/>
          <w:sz w:val="24"/>
          <w:szCs w:val="24"/>
        </w:rPr>
        <w:t xml:space="preserve"> Introdução</w:t>
      </w:r>
      <w:bookmarkStart w:id="0" w:name="_GoBack"/>
      <w:bookmarkEnd w:id="0"/>
    </w:p>
    <w:p w:rsidR="00C036DA" w:rsidRPr="00C036DA" w:rsidRDefault="00C036DA" w:rsidP="00195583">
      <w:pPr>
        <w:spacing w:after="0" w:line="240" w:lineRule="auto"/>
        <w:jc w:val="both"/>
        <w:rPr>
          <w:rFonts w:ascii="Times New Roman" w:hAnsi="Times New Roman" w:cs="Times New Roman"/>
          <w:b/>
          <w:sz w:val="24"/>
          <w:szCs w:val="24"/>
        </w:rPr>
      </w:pPr>
    </w:p>
    <w:p w:rsidR="00C036DA" w:rsidRPr="00C036DA" w:rsidRDefault="00C036DA"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036DA">
        <w:rPr>
          <w:rFonts w:ascii="Times New Roman" w:hAnsi="Times New Roman" w:cs="Times New Roman"/>
          <w:sz w:val="24"/>
          <w:szCs w:val="24"/>
        </w:rPr>
        <w:t xml:space="preserve">O Brasil tem convivido com um déficit histórico de serviços básicos que alimenta iniquidades e acentua verdadeiros abismos sociais. Cerca de 9,8 milhões de domicílios no país são desprovidos de rede de abastecimento de água e 25,5 milhões de rede de esgotamento sanitário </w:t>
      </w:r>
      <w:r w:rsidRPr="00627D7C">
        <w:rPr>
          <w:rFonts w:ascii="Times New Roman" w:hAnsi="Times New Roman" w:cs="Times New Roman"/>
          <w:sz w:val="24"/>
          <w:szCs w:val="24"/>
        </w:rPr>
        <w:t xml:space="preserve">(IBGE, 2010). </w:t>
      </w:r>
      <w:r w:rsidR="00391152">
        <w:rPr>
          <w:rFonts w:ascii="Times New Roman" w:hAnsi="Times New Roman" w:cs="Times New Roman"/>
          <w:sz w:val="24"/>
          <w:szCs w:val="24"/>
        </w:rPr>
        <w:t xml:space="preserve">Esse déficit </w:t>
      </w:r>
      <w:r w:rsidRPr="00C036DA">
        <w:rPr>
          <w:rFonts w:ascii="Times New Roman" w:hAnsi="Times New Roman" w:cs="Times New Roman"/>
          <w:sz w:val="24"/>
          <w:szCs w:val="24"/>
        </w:rPr>
        <w:t xml:space="preserve">tem um impacto negativo direto sobre a qualidade de vida dos brasileiros, com desdobramentos na saúde, no meio ambiente, </w:t>
      </w:r>
      <w:r w:rsidR="00183CA5">
        <w:rPr>
          <w:rFonts w:ascii="Times New Roman" w:hAnsi="Times New Roman" w:cs="Times New Roman"/>
          <w:sz w:val="24"/>
          <w:szCs w:val="24"/>
        </w:rPr>
        <w:t xml:space="preserve">e </w:t>
      </w:r>
      <w:r w:rsidRPr="00C036DA">
        <w:rPr>
          <w:rFonts w:ascii="Times New Roman" w:hAnsi="Times New Roman" w:cs="Times New Roman"/>
          <w:sz w:val="24"/>
          <w:szCs w:val="24"/>
        </w:rPr>
        <w:t>na economia</w:t>
      </w:r>
      <w:r w:rsidR="00183CA5">
        <w:rPr>
          <w:rFonts w:ascii="Times New Roman" w:hAnsi="Times New Roman" w:cs="Times New Roman"/>
          <w:sz w:val="24"/>
          <w:szCs w:val="24"/>
        </w:rPr>
        <w:t>,</w:t>
      </w:r>
      <w:r w:rsidRPr="00C036DA">
        <w:rPr>
          <w:rFonts w:ascii="Times New Roman" w:hAnsi="Times New Roman" w:cs="Times New Roman"/>
          <w:sz w:val="24"/>
          <w:szCs w:val="24"/>
        </w:rPr>
        <w:t xml:space="preserve"> comprometendo o desenvolvimento sustentável do país. </w:t>
      </w:r>
      <w:r w:rsidRPr="00C036DA">
        <w:rPr>
          <w:rFonts w:ascii="Times New Roman" w:hAnsi="Times New Roman" w:cs="Times New Roman"/>
          <w:sz w:val="24"/>
          <w:szCs w:val="24"/>
        </w:rPr>
        <w:tab/>
      </w:r>
      <w:r w:rsidR="00391152">
        <w:rPr>
          <w:rFonts w:ascii="Times New Roman" w:hAnsi="Times New Roman" w:cs="Times New Roman"/>
          <w:sz w:val="24"/>
          <w:szCs w:val="24"/>
        </w:rPr>
        <w:t xml:space="preserve">Vale </w:t>
      </w:r>
      <w:r w:rsidR="00DD5740" w:rsidRPr="00DD5740">
        <w:rPr>
          <w:rFonts w:ascii="Times New Roman" w:hAnsi="Times New Roman" w:cs="Times New Roman"/>
          <w:sz w:val="24"/>
          <w:szCs w:val="24"/>
        </w:rPr>
        <w:t>ressaltar que o</w:t>
      </w:r>
      <w:r w:rsidR="00391152">
        <w:rPr>
          <w:rFonts w:ascii="Times New Roman" w:hAnsi="Times New Roman" w:cs="Times New Roman"/>
          <w:sz w:val="24"/>
          <w:szCs w:val="24"/>
        </w:rPr>
        <w:t xml:space="preserve">s serviços de </w:t>
      </w:r>
      <w:r w:rsidR="00391152" w:rsidRPr="00DD5740">
        <w:rPr>
          <w:rFonts w:ascii="Times New Roman" w:hAnsi="Times New Roman" w:cs="Times New Roman"/>
          <w:sz w:val="24"/>
          <w:szCs w:val="24"/>
        </w:rPr>
        <w:t>abastecimento de água</w:t>
      </w:r>
      <w:r w:rsidR="00391152">
        <w:rPr>
          <w:rFonts w:ascii="Times New Roman" w:hAnsi="Times New Roman" w:cs="Times New Roman"/>
          <w:sz w:val="24"/>
          <w:szCs w:val="24"/>
        </w:rPr>
        <w:t xml:space="preserve"> e</w:t>
      </w:r>
      <w:r w:rsidR="00391152" w:rsidRPr="00DD5740">
        <w:rPr>
          <w:rFonts w:ascii="Times New Roman" w:hAnsi="Times New Roman" w:cs="Times New Roman"/>
          <w:sz w:val="24"/>
          <w:szCs w:val="24"/>
        </w:rPr>
        <w:t xml:space="preserve"> esgotamento sanitário</w:t>
      </w:r>
      <w:r w:rsidR="00391152">
        <w:rPr>
          <w:rFonts w:ascii="Times New Roman" w:hAnsi="Times New Roman" w:cs="Times New Roman"/>
          <w:sz w:val="24"/>
          <w:szCs w:val="24"/>
        </w:rPr>
        <w:t xml:space="preserve">, juntamente com </w:t>
      </w:r>
      <w:r w:rsidR="00DD5740" w:rsidRPr="00DD5740">
        <w:rPr>
          <w:rFonts w:ascii="Times New Roman" w:hAnsi="Times New Roman" w:cs="Times New Roman"/>
          <w:sz w:val="24"/>
          <w:szCs w:val="24"/>
        </w:rPr>
        <w:t>resíduos sólidos e drenagem urbana</w:t>
      </w:r>
      <w:r w:rsidR="00391152">
        <w:rPr>
          <w:rFonts w:ascii="Times New Roman" w:hAnsi="Times New Roman" w:cs="Times New Roman"/>
          <w:sz w:val="24"/>
          <w:szCs w:val="24"/>
        </w:rPr>
        <w:t xml:space="preserve"> constituem o conceito amplo de saneamento básico</w:t>
      </w:r>
      <w:r w:rsidR="00DD5740" w:rsidRPr="00DD5740">
        <w:rPr>
          <w:rFonts w:ascii="Times New Roman" w:hAnsi="Times New Roman" w:cs="Times New Roman"/>
          <w:sz w:val="24"/>
          <w:szCs w:val="24"/>
        </w:rPr>
        <w:t xml:space="preserve">. Neste estudo, em especial, o saneamento básico </w:t>
      </w:r>
      <w:r w:rsidR="00692D16">
        <w:rPr>
          <w:rFonts w:ascii="Times New Roman" w:hAnsi="Times New Roman" w:cs="Times New Roman"/>
          <w:sz w:val="24"/>
          <w:szCs w:val="24"/>
        </w:rPr>
        <w:t>é</w:t>
      </w:r>
      <w:r w:rsidR="00DD5740" w:rsidRPr="00DD5740">
        <w:rPr>
          <w:rFonts w:ascii="Times New Roman" w:hAnsi="Times New Roman" w:cs="Times New Roman"/>
          <w:sz w:val="24"/>
          <w:szCs w:val="24"/>
        </w:rPr>
        <w:t xml:space="preserve"> abordado de forma estrita, </w:t>
      </w:r>
      <w:r w:rsidR="00183CA5">
        <w:rPr>
          <w:rFonts w:ascii="Times New Roman" w:hAnsi="Times New Roman" w:cs="Times New Roman"/>
          <w:sz w:val="24"/>
          <w:szCs w:val="24"/>
        </w:rPr>
        <w:t xml:space="preserve">limitando-se </w:t>
      </w:r>
      <w:r w:rsidR="00DD5740" w:rsidRPr="00DD5740">
        <w:rPr>
          <w:rFonts w:ascii="Times New Roman" w:hAnsi="Times New Roman" w:cs="Times New Roman"/>
          <w:sz w:val="24"/>
          <w:szCs w:val="24"/>
        </w:rPr>
        <w:t>apenas</w:t>
      </w:r>
      <w:r w:rsidR="00183CA5">
        <w:rPr>
          <w:rFonts w:ascii="Times New Roman" w:hAnsi="Times New Roman" w:cs="Times New Roman"/>
          <w:sz w:val="24"/>
          <w:szCs w:val="24"/>
        </w:rPr>
        <w:t xml:space="preserve"> aos</w:t>
      </w:r>
      <w:r w:rsidR="00DD5740" w:rsidRPr="00DD5740">
        <w:rPr>
          <w:rFonts w:ascii="Times New Roman" w:hAnsi="Times New Roman" w:cs="Times New Roman"/>
          <w:sz w:val="24"/>
          <w:szCs w:val="24"/>
        </w:rPr>
        <w:t xml:space="preserve"> serviços </w:t>
      </w:r>
      <w:r w:rsidR="00391152">
        <w:rPr>
          <w:rFonts w:ascii="Times New Roman" w:hAnsi="Times New Roman" w:cs="Times New Roman"/>
          <w:sz w:val="24"/>
          <w:szCs w:val="24"/>
        </w:rPr>
        <w:t>água e esgotos</w:t>
      </w:r>
      <w:r w:rsidR="00DD5740" w:rsidRPr="00DD5740">
        <w:rPr>
          <w:rFonts w:ascii="Times New Roman" w:hAnsi="Times New Roman" w:cs="Times New Roman"/>
          <w:sz w:val="24"/>
          <w:szCs w:val="24"/>
        </w:rPr>
        <w:t>.</w:t>
      </w:r>
    </w:p>
    <w:p w:rsidR="00C036DA" w:rsidRPr="00C036DA" w:rsidRDefault="00C036DA" w:rsidP="00195583">
      <w:pPr>
        <w:spacing w:after="0" w:line="240" w:lineRule="auto"/>
        <w:jc w:val="both"/>
        <w:rPr>
          <w:rFonts w:ascii="Times New Roman" w:hAnsi="Times New Roman" w:cs="Times New Roman"/>
          <w:sz w:val="24"/>
          <w:szCs w:val="24"/>
        </w:rPr>
      </w:pPr>
      <w:r w:rsidRPr="00C036DA">
        <w:rPr>
          <w:rFonts w:ascii="Times New Roman" w:hAnsi="Times New Roman" w:cs="Times New Roman"/>
          <w:sz w:val="24"/>
          <w:szCs w:val="24"/>
        </w:rPr>
        <w:tab/>
        <w:t xml:space="preserve">A história sanitarista do Brasil mostra que o processo de intensificação da urbanização do território brasileiro, </w:t>
      </w:r>
      <w:r w:rsidR="005E1C9B">
        <w:rPr>
          <w:rFonts w:ascii="Times New Roman" w:hAnsi="Times New Roman" w:cs="Times New Roman"/>
          <w:sz w:val="24"/>
          <w:szCs w:val="24"/>
        </w:rPr>
        <w:t>com</w:t>
      </w:r>
      <w:r w:rsidRPr="00C036DA">
        <w:rPr>
          <w:rFonts w:ascii="Times New Roman" w:hAnsi="Times New Roman" w:cs="Times New Roman"/>
          <w:sz w:val="24"/>
          <w:szCs w:val="24"/>
        </w:rPr>
        <w:t xml:space="preserve"> início na década de 1950, evidenciou a necessidade de políticas com vistas ao desenvolvimento urbano, o que </w:t>
      </w:r>
      <w:r w:rsidR="005E1C9B">
        <w:rPr>
          <w:rFonts w:ascii="Times New Roman" w:hAnsi="Times New Roman" w:cs="Times New Roman"/>
          <w:sz w:val="24"/>
          <w:szCs w:val="24"/>
        </w:rPr>
        <w:t>impulsionou</w:t>
      </w:r>
      <w:r w:rsidRPr="00C036DA">
        <w:rPr>
          <w:rFonts w:ascii="Times New Roman" w:hAnsi="Times New Roman" w:cs="Times New Roman"/>
          <w:sz w:val="24"/>
          <w:szCs w:val="24"/>
        </w:rPr>
        <w:t xml:space="preserve"> a criação do Plano Nacional de Saneamento (PLANASA). O PLANASA, instituído em 1969, foi durante muitos anos a principal iniciativa de uma política pública de saneamento. O fim do PLANASA gerou um vazio institucional, que durou cerca de duas décadas, até que fosse construída uma nova política capaz de retratar uma estratégia nacional para o setor.</w:t>
      </w:r>
    </w:p>
    <w:p w:rsidR="00C036DA" w:rsidRPr="00627D7C" w:rsidRDefault="00C036DA" w:rsidP="00195583">
      <w:pPr>
        <w:spacing w:after="0" w:line="240" w:lineRule="auto"/>
        <w:jc w:val="both"/>
        <w:rPr>
          <w:rFonts w:ascii="Times New Roman" w:hAnsi="Times New Roman" w:cs="Times New Roman"/>
          <w:sz w:val="24"/>
          <w:szCs w:val="24"/>
        </w:rPr>
      </w:pPr>
      <w:r w:rsidRPr="00C036DA">
        <w:rPr>
          <w:rFonts w:ascii="Times New Roman" w:hAnsi="Times New Roman" w:cs="Times New Roman"/>
          <w:sz w:val="24"/>
          <w:szCs w:val="24"/>
        </w:rPr>
        <w:tab/>
        <w:t>Outra questão</w:t>
      </w:r>
      <w:r w:rsidR="004A7B3A">
        <w:rPr>
          <w:rFonts w:ascii="Times New Roman" w:hAnsi="Times New Roman" w:cs="Times New Roman"/>
          <w:sz w:val="24"/>
          <w:szCs w:val="24"/>
        </w:rPr>
        <w:t xml:space="preserve"> relevante</w:t>
      </w:r>
      <w:r w:rsidRPr="00C036DA">
        <w:rPr>
          <w:rFonts w:ascii="Times New Roman" w:hAnsi="Times New Roman" w:cs="Times New Roman"/>
          <w:sz w:val="24"/>
          <w:szCs w:val="24"/>
        </w:rPr>
        <w:t xml:space="preserve"> que tem sido enfrentada pelo setor de saneamento básico no Brasil é a falta de uma regulação adequada. Como ressalta </w:t>
      </w:r>
      <w:r w:rsidRPr="00627D7C">
        <w:rPr>
          <w:rFonts w:ascii="Times New Roman" w:hAnsi="Times New Roman" w:cs="Times New Roman"/>
          <w:sz w:val="24"/>
          <w:szCs w:val="24"/>
        </w:rPr>
        <w:t xml:space="preserve">Marques Neto (2009), </w:t>
      </w:r>
      <w:r w:rsidRPr="00C036DA">
        <w:rPr>
          <w:rFonts w:ascii="Times New Roman" w:hAnsi="Times New Roman" w:cs="Times New Roman"/>
          <w:sz w:val="24"/>
          <w:szCs w:val="24"/>
        </w:rPr>
        <w:t xml:space="preserve">dentre os setores de infraestrutura que </w:t>
      </w:r>
      <w:proofErr w:type="gramStart"/>
      <w:r w:rsidRPr="00C036DA">
        <w:rPr>
          <w:rFonts w:ascii="Times New Roman" w:hAnsi="Times New Roman" w:cs="Times New Roman"/>
          <w:sz w:val="24"/>
          <w:szCs w:val="24"/>
        </w:rPr>
        <w:t>envolvem</w:t>
      </w:r>
      <w:proofErr w:type="gramEnd"/>
      <w:r w:rsidRPr="00C036DA">
        <w:rPr>
          <w:rFonts w:ascii="Times New Roman" w:hAnsi="Times New Roman" w:cs="Times New Roman"/>
          <w:sz w:val="24"/>
          <w:szCs w:val="24"/>
        </w:rPr>
        <w:t xml:space="preserve"> indústrias de rede e serviços de universalização obrigatória, o saneamento é dos mais complexos, uma vez que reúne características de atividades de exploração econômica</w:t>
      </w:r>
      <w:r w:rsidR="00216F08">
        <w:rPr>
          <w:rFonts w:ascii="Times New Roman" w:hAnsi="Times New Roman" w:cs="Times New Roman"/>
          <w:sz w:val="24"/>
          <w:szCs w:val="24"/>
        </w:rPr>
        <w:t xml:space="preserve"> e serviço público, associadas à</w:t>
      </w:r>
      <w:r w:rsidRPr="00C036DA">
        <w:rPr>
          <w:rFonts w:ascii="Times New Roman" w:hAnsi="Times New Roman" w:cs="Times New Roman"/>
          <w:sz w:val="24"/>
          <w:szCs w:val="24"/>
        </w:rPr>
        <w:t xml:space="preserve"> inter-relação com outras políticas públicas. Em um setor tão complexo, o papel da regulação é ainda mais importante</w:t>
      </w:r>
      <w:r w:rsidR="0078289F">
        <w:rPr>
          <w:rFonts w:ascii="Times New Roman" w:hAnsi="Times New Roman" w:cs="Times New Roman"/>
          <w:sz w:val="24"/>
          <w:szCs w:val="24"/>
        </w:rPr>
        <w:t xml:space="preserve"> para a preservação </w:t>
      </w:r>
      <w:r w:rsidR="00D273C1">
        <w:rPr>
          <w:rFonts w:ascii="Times New Roman" w:hAnsi="Times New Roman" w:cs="Times New Roman"/>
          <w:sz w:val="24"/>
          <w:szCs w:val="24"/>
        </w:rPr>
        <w:t xml:space="preserve">do </w:t>
      </w:r>
      <w:r w:rsidR="0078289F">
        <w:rPr>
          <w:rFonts w:ascii="Times New Roman" w:hAnsi="Times New Roman" w:cs="Times New Roman"/>
          <w:sz w:val="24"/>
          <w:szCs w:val="24"/>
        </w:rPr>
        <w:t>int</w:t>
      </w:r>
      <w:r w:rsidRPr="00C036DA">
        <w:rPr>
          <w:rFonts w:ascii="Times New Roman" w:hAnsi="Times New Roman" w:cs="Times New Roman"/>
          <w:sz w:val="24"/>
          <w:szCs w:val="24"/>
        </w:rPr>
        <w:t xml:space="preserve">eresse público. Enfatizando a importância da </w:t>
      </w:r>
      <w:r w:rsidRPr="00627D7C">
        <w:rPr>
          <w:rFonts w:ascii="Times New Roman" w:hAnsi="Times New Roman" w:cs="Times New Roman"/>
          <w:sz w:val="24"/>
          <w:szCs w:val="24"/>
        </w:rPr>
        <w:t xml:space="preserve">regulação para o setor, Galvão Junior e </w:t>
      </w:r>
      <w:proofErr w:type="spellStart"/>
      <w:r w:rsidRPr="00627D7C">
        <w:rPr>
          <w:rFonts w:ascii="Times New Roman" w:hAnsi="Times New Roman" w:cs="Times New Roman"/>
          <w:sz w:val="24"/>
          <w:szCs w:val="24"/>
        </w:rPr>
        <w:t>Paganini</w:t>
      </w:r>
      <w:proofErr w:type="spellEnd"/>
      <w:r w:rsidRPr="00627D7C">
        <w:rPr>
          <w:rFonts w:ascii="Times New Roman" w:hAnsi="Times New Roman" w:cs="Times New Roman"/>
          <w:sz w:val="24"/>
          <w:szCs w:val="24"/>
        </w:rPr>
        <w:t xml:space="preserve"> (2009) destacam, ainda, a sua caracterização como monopólio natural em todos os segmentos da prestação de serviços.</w:t>
      </w:r>
    </w:p>
    <w:p w:rsidR="00C036DA" w:rsidRPr="00627D7C" w:rsidRDefault="00C036DA" w:rsidP="00195583">
      <w:pPr>
        <w:spacing w:after="0" w:line="240" w:lineRule="auto"/>
        <w:jc w:val="both"/>
        <w:rPr>
          <w:rFonts w:ascii="Times New Roman" w:hAnsi="Times New Roman" w:cs="Times New Roman"/>
          <w:sz w:val="24"/>
          <w:szCs w:val="24"/>
        </w:rPr>
      </w:pPr>
      <w:r w:rsidRPr="00627D7C">
        <w:rPr>
          <w:rFonts w:ascii="Times New Roman" w:hAnsi="Times New Roman" w:cs="Times New Roman"/>
          <w:sz w:val="24"/>
          <w:szCs w:val="24"/>
        </w:rPr>
        <w:tab/>
        <w:t xml:space="preserve">Com o advento da Lei nº 11.445, de 05 de janeiro de </w:t>
      </w:r>
      <w:proofErr w:type="gramStart"/>
      <w:r w:rsidRPr="00627D7C">
        <w:rPr>
          <w:rFonts w:ascii="Times New Roman" w:hAnsi="Times New Roman" w:cs="Times New Roman"/>
          <w:sz w:val="24"/>
          <w:szCs w:val="24"/>
        </w:rPr>
        <w:t>2007 – Lei</w:t>
      </w:r>
      <w:proofErr w:type="gramEnd"/>
      <w:r w:rsidRPr="00627D7C">
        <w:rPr>
          <w:rFonts w:ascii="Times New Roman" w:hAnsi="Times New Roman" w:cs="Times New Roman"/>
          <w:sz w:val="24"/>
          <w:szCs w:val="24"/>
        </w:rPr>
        <w:t xml:space="preserve"> de Diretrizes Nacionais do Saneamento Básico (LNSB) – regulamentada pelo Decreto nº 7.217, de 21 de junho de 2010, foram estabelecidas as diretrizes nacionais para o saneamento básico e para </w:t>
      </w:r>
      <w:r w:rsidR="00350469">
        <w:rPr>
          <w:rFonts w:ascii="Times New Roman" w:hAnsi="Times New Roman" w:cs="Times New Roman"/>
          <w:sz w:val="24"/>
          <w:szCs w:val="24"/>
        </w:rPr>
        <w:t>su</w:t>
      </w:r>
      <w:r w:rsidRPr="00627D7C">
        <w:rPr>
          <w:rFonts w:ascii="Times New Roman" w:hAnsi="Times New Roman" w:cs="Times New Roman"/>
          <w:sz w:val="24"/>
          <w:szCs w:val="24"/>
        </w:rPr>
        <w:t>a política federal, constituindo importante avanço para a regulação do setor ao fornecer o marco regulatório básico que serve como alicerce para a atividade regulatória no país. Entre os princípios fundamentais estabelecidos pela Lei para prestação dos serviços públicos de saneamento básico, e que devem ser perseguidos também pelas entidades reguladoras, pode-se destacar a universalização do acesso e a eficiência.</w:t>
      </w:r>
    </w:p>
    <w:p w:rsidR="00DB4A6C" w:rsidRPr="00DB4A6C" w:rsidRDefault="00C036DA" w:rsidP="00195583">
      <w:pPr>
        <w:spacing w:after="0" w:line="240" w:lineRule="auto"/>
        <w:jc w:val="both"/>
        <w:rPr>
          <w:rFonts w:ascii="Times New Roman" w:hAnsi="Times New Roman" w:cs="Times New Roman"/>
          <w:sz w:val="24"/>
          <w:szCs w:val="24"/>
        </w:rPr>
      </w:pPr>
      <w:r w:rsidRPr="00627D7C">
        <w:rPr>
          <w:rFonts w:ascii="Times New Roman" w:hAnsi="Times New Roman" w:cs="Times New Roman"/>
          <w:sz w:val="24"/>
          <w:szCs w:val="24"/>
        </w:rPr>
        <w:tab/>
      </w:r>
      <w:r w:rsidR="00DB4A6C" w:rsidRPr="00627D7C">
        <w:rPr>
          <w:rFonts w:ascii="Times New Roman" w:hAnsi="Times New Roman" w:cs="Times New Roman"/>
          <w:sz w:val="24"/>
          <w:szCs w:val="24"/>
        </w:rPr>
        <w:t>Com relação à universalização, é preciso compreender que ela “pressupõe assegurar os direitos humanos fundamentais de acesso à água potável e aos serviços de esgotamento sanitário em qualidade e quantidade suficientes” (WARTCHOW, 2009, pg. 276</w:t>
      </w:r>
      <w:r w:rsidR="00EE14FE">
        <w:rPr>
          <w:rFonts w:ascii="Times New Roman" w:hAnsi="Times New Roman" w:cs="Times New Roman"/>
          <w:sz w:val="24"/>
          <w:szCs w:val="24"/>
        </w:rPr>
        <w:t>)</w:t>
      </w:r>
      <w:r w:rsidR="0012605A">
        <w:rPr>
          <w:rFonts w:ascii="Times New Roman" w:hAnsi="Times New Roman" w:cs="Times New Roman"/>
          <w:sz w:val="24"/>
          <w:szCs w:val="24"/>
        </w:rPr>
        <w:t>.</w:t>
      </w:r>
      <w:r w:rsidR="00EE14FE">
        <w:rPr>
          <w:rFonts w:ascii="Times New Roman" w:hAnsi="Times New Roman" w:cs="Times New Roman"/>
          <w:sz w:val="24"/>
          <w:szCs w:val="24"/>
        </w:rPr>
        <w:t xml:space="preserve"> </w:t>
      </w:r>
      <w:r w:rsidR="0012605A">
        <w:rPr>
          <w:rFonts w:ascii="Times New Roman" w:hAnsi="Times New Roman" w:cs="Times New Roman"/>
          <w:sz w:val="24"/>
          <w:szCs w:val="24"/>
        </w:rPr>
        <w:t>N</w:t>
      </w:r>
      <w:r w:rsidR="00216F08">
        <w:rPr>
          <w:rFonts w:ascii="Times New Roman" w:hAnsi="Times New Roman" w:cs="Times New Roman"/>
          <w:sz w:val="24"/>
          <w:szCs w:val="24"/>
        </w:rPr>
        <w:t xml:space="preserve">esta pesquisa, é abordada </w:t>
      </w:r>
      <w:r w:rsidR="00DB4A6C" w:rsidRPr="00DB4A6C">
        <w:rPr>
          <w:rFonts w:ascii="Times New Roman" w:hAnsi="Times New Roman" w:cs="Times New Roman"/>
          <w:sz w:val="24"/>
          <w:szCs w:val="24"/>
        </w:rPr>
        <w:t>apenas a questão da ampliação progressiva do acesso a redes de água e esgot</w:t>
      </w:r>
      <w:r w:rsidR="00391152">
        <w:rPr>
          <w:rFonts w:ascii="Times New Roman" w:hAnsi="Times New Roman" w:cs="Times New Roman"/>
          <w:sz w:val="24"/>
          <w:szCs w:val="24"/>
        </w:rPr>
        <w:t>os</w:t>
      </w:r>
      <w:r w:rsidR="00DB4A6C" w:rsidRPr="00DB4A6C">
        <w:rPr>
          <w:rFonts w:ascii="Times New Roman" w:hAnsi="Times New Roman" w:cs="Times New Roman"/>
          <w:sz w:val="24"/>
          <w:szCs w:val="24"/>
        </w:rPr>
        <w:t xml:space="preserve">, </w:t>
      </w:r>
      <w:r w:rsidR="00391152">
        <w:rPr>
          <w:rFonts w:ascii="Times New Roman" w:hAnsi="Times New Roman" w:cs="Times New Roman"/>
          <w:sz w:val="24"/>
          <w:szCs w:val="24"/>
        </w:rPr>
        <w:t>conforme</w:t>
      </w:r>
      <w:r w:rsidR="00DB4A6C" w:rsidRPr="00DB4A6C">
        <w:rPr>
          <w:rFonts w:ascii="Times New Roman" w:hAnsi="Times New Roman" w:cs="Times New Roman"/>
          <w:sz w:val="24"/>
          <w:szCs w:val="24"/>
        </w:rPr>
        <w:t xml:space="preserve"> previsto no Decreto nº 7.217.</w:t>
      </w:r>
    </w:p>
    <w:p w:rsidR="00DB4A6C" w:rsidRPr="00DB4A6C" w:rsidRDefault="00DB4A6C" w:rsidP="00195583">
      <w:pPr>
        <w:spacing w:after="0" w:line="240" w:lineRule="auto"/>
        <w:jc w:val="both"/>
        <w:rPr>
          <w:rFonts w:ascii="Times New Roman" w:hAnsi="Times New Roman" w:cs="Times New Roman"/>
          <w:sz w:val="24"/>
          <w:szCs w:val="24"/>
        </w:rPr>
      </w:pPr>
      <w:r w:rsidRPr="00DB4A6C">
        <w:rPr>
          <w:rFonts w:ascii="Times New Roman" w:hAnsi="Times New Roman" w:cs="Times New Roman"/>
          <w:sz w:val="24"/>
          <w:szCs w:val="24"/>
        </w:rPr>
        <w:tab/>
        <w:t xml:space="preserve">Sobre esse aspecto quantitativo da universalização, o Brasil ainda tem muito que avançar. De acordo com dados do Sistema Nacional de Informações sobre Saneamento (SNIS), no “Diagnóstico dos Serviços de Água e Esgotos – </w:t>
      </w:r>
      <w:r w:rsidRPr="00627D7C">
        <w:rPr>
          <w:rFonts w:ascii="Times New Roman" w:hAnsi="Times New Roman" w:cs="Times New Roman"/>
          <w:sz w:val="24"/>
          <w:szCs w:val="24"/>
        </w:rPr>
        <w:t>2011” (</w:t>
      </w:r>
      <w:r w:rsidR="00D74A1B">
        <w:rPr>
          <w:rFonts w:ascii="Times New Roman" w:hAnsi="Times New Roman" w:cs="Times New Roman"/>
          <w:sz w:val="24"/>
          <w:szCs w:val="24"/>
        </w:rPr>
        <w:t>MINISTÉRIO DAS CIDADES</w:t>
      </w:r>
      <w:r w:rsidR="005647DB" w:rsidRPr="00627D7C">
        <w:rPr>
          <w:rFonts w:ascii="Times New Roman" w:hAnsi="Times New Roman" w:cs="Times New Roman"/>
          <w:sz w:val="24"/>
          <w:szCs w:val="24"/>
        </w:rPr>
        <w:t>, 2013</w:t>
      </w:r>
      <w:r w:rsidRPr="00627D7C">
        <w:rPr>
          <w:rFonts w:ascii="Times New Roman" w:hAnsi="Times New Roman" w:cs="Times New Roman"/>
          <w:sz w:val="24"/>
          <w:szCs w:val="24"/>
        </w:rPr>
        <w:t xml:space="preserve">), as regiões Norte e Nordeste apresentam </w:t>
      </w:r>
      <w:r w:rsidRPr="00DB4A6C">
        <w:rPr>
          <w:rFonts w:ascii="Times New Roman" w:hAnsi="Times New Roman" w:cs="Times New Roman"/>
          <w:sz w:val="24"/>
          <w:szCs w:val="24"/>
        </w:rPr>
        <w:t>os menores índices de atendimento com abastecimento de água e esgotamento sanitário do Brasil. A região Norte apresenta índice de atendimento com água igual a 54,6% e com coleta de esgotos de apenas 9,6%; no caso do Nordeste, o índice para água é de 71,2% e para esgoto de 21,3%. Em ambos os casos, tem-se índices bastante inferiores à média nacional que é de 82,4% para água e de 48,1% para esgotos. Mesmo na região Sudeste, que apresenta os melhores índices (91,5% para água e 73,8% para coleta de esgotos), o índice de tratamento dos esgotos coletados é de apenas 41,2%, revelando que as fragilidades do setor estão presentes em todo território nacional.</w:t>
      </w:r>
    </w:p>
    <w:p w:rsidR="00DB4A6C" w:rsidRPr="00DB4A6C" w:rsidRDefault="00DB4A6C" w:rsidP="00195583">
      <w:pPr>
        <w:spacing w:after="0" w:line="240" w:lineRule="auto"/>
        <w:jc w:val="both"/>
        <w:rPr>
          <w:rFonts w:ascii="Times New Roman" w:hAnsi="Times New Roman" w:cs="Times New Roman"/>
          <w:sz w:val="24"/>
          <w:szCs w:val="24"/>
        </w:rPr>
      </w:pPr>
      <w:r w:rsidRPr="00DB4A6C">
        <w:rPr>
          <w:rFonts w:ascii="Times New Roman" w:hAnsi="Times New Roman" w:cs="Times New Roman"/>
          <w:sz w:val="24"/>
          <w:szCs w:val="24"/>
        </w:rPr>
        <w:tab/>
        <w:t xml:space="preserve">O SNIS também expõe fatores importantes para uma análise da evolução da eficiência geral do setor de saneamento, </w:t>
      </w:r>
      <w:r w:rsidR="00D74A1B">
        <w:rPr>
          <w:rFonts w:ascii="Times New Roman" w:hAnsi="Times New Roman" w:cs="Times New Roman"/>
          <w:sz w:val="24"/>
          <w:szCs w:val="24"/>
        </w:rPr>
        <w:t>por meio</w:t>
      </w:r>
      <w:r w:rsidRPr="00DB4A6C">
        <w:rPr>
          <w:rFonts w:ascii="Times New Roman" w:hAnsi="Times New Roman" w:cs="Times New Roman"/>
          <w:sz w:val="24"/>
          <w:szCs w:val="24"/>
        </w:rPr>
        <w:t xml:space="preserve"> da observação de alguns indicadores de desempenho administrativo-financeiro e operacional dos prestadores de serviços. Ao comparar os anos de 2003 e 2011, percebe-se uma evolução no desempenho dos prestadores em diferentes níveis. No caso dos indicadores operacionais, pode-se destacar o índice de atendimento da população com coleta de esgotos, que aumentou 24,9%, no entanto, o índice de perdas de água na distribuição teve uma melhoria de apenas 9,6%</w:t>
      </w:r>
      <w:r w:rsidR="00726F88">
        <w:rPr>
          <w:rFonts w:ascii="Times New Roman" w:hAnsi="Times New Roman" w:cs="Times New Roman"/>
          <w:sz w:val="24"/>
          <w:szCs w:val="24"/>
        </w:rPr>
        <w:t>, no período citado</w:t>
      </w:r>
      <w:r w:rsidRPr="00DB4A6C">
        <w:rPr>
          <w:rFonts w:ascii="Times New Roman" w:hAnsi="Times New Roman" w:cs="Times New Roman"/>
          <w:sz w:val="24"/>
          <w:szCs w:val="24"/>
        </w:rPr>
        <w:t xml:space="preserve">.  </w:t>
      </w:r>
      <w:r w:rsidR="00066C39" w:rsidRPr="00DB4A6C">
        <w:rPr>
          <w:rFonts w:ascii="Times New Roman" w:hAnsi="Times New Roman" w:cs="Times New Roman"/>
          <w:sz w:val="24"/>
          <w:szCs w:val="24"/>
        </w:rPr>
        <w:t>N</w:t>
      </w:r>
      <w:r w:rsidRPr="00DB4A6C">
        <w:rPr>
          <w:rFonts w:ascii="Times New Roman" w:hAnsi="Times New Roman" w:cs="Times New Roman"/>
          <w:sz w:val="24"/>
          <w:szCs w:val="24"/>
        </w:rPr>
        <w:t xml:space="preserve">esse contexto, é plausível que se questione se o avanço na eficiência dos </w:t>
      </w:r>
      <w:r w:rsidRPr="00DB4A6C">
        <w:rPr>
          <w:rFonts w:ascii="Times New Roman" w:hAnsi="Times New Roman" w:cs="Times New Roman"/>
          <w:sz w:val="24"/>
          <w:szCs w:val="24"/>
        </w:rPr>
        <w:lastRenderedPageBreak/>
        <w:t xml:space="preserve">prestadores de serviços não deveria ou poderia ter sido maior. </w:t>
      </w:r>
      <w:r w:rsidRPr="00627D7C">
        <w:rPr>
          <w:rFonts w:ascii="Times New Roman" w:hAnsi="Times New Roman" w:cs="Times New Roman"/>
          <w:sz w:val="24"/>
          <w:szCs w:val="24"/>
        </w:rPr>
        <w:t xml:space="preserve">Segundo </w:t>
      </w:r>
      <w:proofErr w:type="spellStart"/>
      <w:r w:rsidRPr="00627D7C">
        <w:rPr>
          <w:rFonts w:ascii="Times New Roman" w:hAnsi="Times New Roman" w:cs="Times New Roman"/>
          <w:sz w:val="24"/>
          <w:szCs w:val="24"/>
        </w:rPr>
        <w:t>Bontes</w:t>
      </w:r>
      <w:proofErr w:type="spellEnd"/>
      <w:r w:rsidRPr="00627D7C">
        <w:rPr>
          <w:rFonts w:ascii="Times New Roman" w:hAnsi="Times New Roman" w:cs="Times New Roman"/>
          <w:sz w:val="24"/>
          <w:szCs w:val="24"/>
        </w:rPr>
        <w:t xml:space="preserve">, Aguilera e </w:t>
      </w:r>
      <w:proofErr w:type="spellStart"/>
      <w:r w:rsidRPr="00627D7C">
        <w:rPr>
          <w:rFonts w:ascii="Times New Roman" w:hAnsi="Times New Roman" w:cs="Times New Roman"/>
          <w:sz w:val="24"/>
          <w:szCs w:val="24"/>
        </w:rPr>
        <w:t>Cordero</w:t>
      </w:r>
      <w:proofErr w:type="spellEnd"/>
      <w:r w:rsidRPr="00627D7C">
        <w:rPr>
          <w:rFonts w:ascii="Times New Roman" w:hAnsi="Times New Roman" w:cs="Times New Roman"/>
          <w:sz w:val="24"/>
          <w:szCs w:val="24"/>
        </w:rPr>
        <w:t xml:space="preserve"> (2013, p. 276), com base na teoria econômica, mercados </w:t>
      </w:r>
      <w:r w:rsidRPr="00DB4A6C">
        <w:rPr>
          <w:rFonts w:ascii="Times New Roman" w:hAnsi="Times New Roman" w:cs="Times New Roman"/>
          <w:sz w:val="24"/>
          <w:szCs w:val="24"/>
        </w:rPr>
        <w:t xml:space="preserve">competitivos conduzem os produtores ao </w:t>
      </w:r>
      <w:r w:rsidR="00D74A1B">
        <w:rPr>
          <w:rFonts w:ascii="Times New Roman" w:hAnsi="Times New Roman" w:cs="Times New Roman"/>
          <w:sz w:val="24"/>
          <w:szCs w:val="24"/>
        </w:rPr>
        <w:t>alcance da eficiência, porém, “[</w:t>
      </w:r>
      <w:r w:rsidRPr="00DB4A6C">
        <w:rPr>
          <w:rFonts w:ascii="Times New Roman" w:hAnsi="Times New Roman" w:cs="Times New Roman"/>
          <w:sz w:val="24"/>
          <w:szCs w:val="24"/>
        </w:rPr>
        <w:t>...</w:t>
      </w:r>
      <w:r w:rsidR="00D74A1B">
        <w:rPr>
          <w:rFonts w:ascii="Times New Roman" w:hAnsi="Times New Roman" w:cs="Times New Roman"/>
          <w:sz w:val="24"/>
          <w:szCs w:val="24"/>
        </w:rPr>
        <w:t xml:space="preserve">] </w:t>
      </w:r>
      <w:r w:rsidRPr="00DB4A6C">
        <w:rPr>
          <w:rFonts w:ascii="Times New Roman" w:hAnsi="Times New Roman" w:cs="Times New Roman"/>
          <w:sz w:val="24"/>
          <w:szCs w:val="24"/>
        </w:rPr>
        <w:t>havendo falhas de mercado, é provável que esse mecanismo virtuoso não se manifeste, tal como acontece na presença de monopólios naturais, característicos da prestação dos serviços de água potável e esgotamento sanitário”.</w:t>
      </w:r>
    </w:p>
    <w:p w:rsidR="00DB4A6C" w:rsidRPr="00C036DA" w:rsidRDefault="00DB4A6C"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B4A6C">
        <w:rPr>
          <w:rFonts w:ascii="Times New Roman" w:hAnsi="Times New Roman" w:cs="Times New Roman"/>
          <w:sz w:val="24"/>
          <w:szCs w:val="24"/>
        </w:rPr>
        <w:t xml:space="preserve">Dessa forma, o bom desempenho das atividades regulatórias é essencial para o acompanhamento da evolução da eficiência do setor e para que essa eficiência esteja a serviço do processo de universalização. Tais atividades regulatórias foram previstas na </w:t>
      </w:r>
      <w:r w:rsidR="00912731">
        <w:rPr>
          <w:rFonts w:ascii="Times New Roman" w:hAnsi="Times New Roman" w:cs="Times New Roman"/>
          <w:sz w:val="24"/>
          <w:szCs w:val="24"/>
        </w:rPr>
        <w:t xml:space="preserve">LNSB </w:t>
      </w:r>
      <w:r w:rsidRPr="00627D7C">
        <w:rPr>
          <w:rFonts w:ascii="Times New Roman" w:hAnsi="Times New Roman" w:cs="Times New Roman"/>
          <w:sz w:val="24"/>
          <w:szCs w:val="24"/>
        </w:rPr>
        <w:t xml:space="preserve">e classificadas por Galvão Junior, </w:t>
      </w:r>
      <w:proofErr w:type="spellStart"/>
      <w:r w:rsidRPr="00627D7C">
        <w:rPr>
          <w:rFonts w:ascii="Times New Roman" w:hAnsi="Times New Roman" w:cs="Times New Roman"/>
          <w:sz w:val="24"/>
          <w:szCs w:val="24"/>
        </w:rPr>
        <w:t>Turolla</w:t>
      </w:r>
      <w:proofErr w:type="spellEnd"/>
      <w:r w:rsidRPr="00627D7C">
        <w:rPr>
          <w:rFonts w:ascii="Times New Roman" w:hAnsi="Times New Roman" w:cs="Times New Roman"/>
          <w:sz w:val="24"/>
          <w:szCs w:val="24"/>
        </w:rPr>
        <w:t xml:space="preserve"> e </w:t>
      </w:r>
      <w:proofErr w:type="spellStart"/>
      <w:r w:rsidRPr="00627D7C">
        <w:rPr>
          <w:rFonts w:ascii="Times New Roman" w:hAnsi="Times New Roman" w:cs="Times New Roman"/>
          <w:sz w:val="24"/>
          <w:szCs w:val="24"/>
        </w:rPr>
        <w:t>Paganini</w:t>
      </w:r>
      <w:proofErr w:type="spellEnd"/>
      <w:r w:rsidRPr="00627D7C">
        <w:rPr>
          <w:rFonts w:ascii="Times New Roman" w:hAnsi="Times New Roman" w:cs="Times New Roman"/>
          <w:sz w:val="24"/>
          <w:szCs w:val="24"/>
        </w:rPr>
        <w:t xml:space="preserve"> (2008) </w:t>
      </w:r>
      <w:r w:rsidR="00066C39">
        <w:rPr>
          <w:rFonts w:ascii="Times New Roman" w:hAnsi="Times New Roman" w:cs="Times New Roman"/>
          <w:sz w:val="24"/>
          <w:szCs w:val="24"/>
        </w:rPr>
        <w:t>nos</w:t>
      </w:r>
      <w:r w:rsidRPr="00627D7C">
        <w:rPr>
          <w:rFonts w:ascii="Times New Roman" w:hAnsi="Times New Roman" w:cs="Times New Roman"/>
          <w:sz w:val="24"/>
          <w:szCs w:val="24"/>
        </w:rPr>
        <w:t xml:space="preserve"> grupos: </w:t>
      </w:r>
      <w:r w:rsidRPr="00DB4A6C">
        <w:rPr>
          <w:rFonts w:ascii="Times New Roman" w:hAnsi="Times New Roman" w:cs="Times New Roman"/>
          <w:sz w:val="24"/>
          <w:szCs w:val="24"/>
        </w:rPr>
        <w:t xml:space="preserve">fiscalização, normatização, regulação tarifária e ouvidoria. As atividades de normatização </w:t>
      </w:r>
      <w:r w:rsidR="00912731">
        <w:rPr>
          <w:rFonts w:ascii="Times New Roman" w:hAnsi="Times New Roman" w:cs="Times New Roman"/>
          <w:sz w:val="24"/>
          <w:szCs w:val="24"/>
        </w:rPr>
        <w:t>contemplam a edição de normas</w:t>
      </w:r>
      <w:r w:rsidRPr="00DB4A6C">
        <w:rPr>
          <w:rFonts w:ascii="Times New Roman" w:hAnsi="Times New Roman" w:cs="Times New Roman"/>
          <w:sz w:val="24"/>
          <w:szCs w:val="24"/>
        </w:rPr>
        <w:t xml:space="preserve"> </w:t>
      </w:r>
      <w:r w:rsidR="00912731">
        <w:rPr>
          <w:rFonts w:ascii="Times New Roman" w:hAnsi="Times New Roman" w:cs="Times New Roman"/>
          <w:sz w:val="24"/>
          <w:szCs w:val="24"/>
        </w:rPr>
        <w:t xml:space="preserve">sobre </w:t>
      </w:r>
      <w:r w:rsidRPr="00DB4A6C">
        <w:rPr>
          <w:rFonts w:ascii="Times New Roman" w:hAnsi="Times New Roman" w:cs="Times New Roman"/>
          <w:sz w:val="24"/>
          <w:szCs w:val="24"/>
        </w:rPr>
        <w:t xml:space="preserve">as dimensões técnica, econômica e social da prestação dos serviços, incluindo metas progressivas de expansão e avaliação da eficiência, portanto, a atuação das entidades reguladoras </w:t>
      </w:r>
      <w:r w:rsidR="00692D16">
        <w:rPr>
          <w:rFonts w:ascii="Times New Roman" w:hAnsi="Times New Roman" w:cs="Times New Roman"/>
          <w:sz w:val="24"/>
          <w:szCs w:val="24"/>
        </w:rPr>
        <w:t>é</w:t>
      </w:r>
      <w:r w:rsidRPr="00DB4A6C">
        <w:rPr>
          <w:rFonts w:ascii="Times New Roman" w:hAnsi="Times New Roman" w:cs="Times New Roman"/>
          <w:sz w:val="24"/>
          <w:szCs w:val="24"/>
        </w:rPr>
        <w:t xml:space="preserve"> representada</w:t>
      </w:r>
      <w:r w:rsidR="00066C39">
        <w:rPr>
          <w:rFonts w:ascii="Times New Roman" w:hAnsi="Times New Roman" w:cs="Times New Roman"/>
          <w:sz w:val="24"/>
          <w:szCs w:val="24"/>
        </w:rPr>
        <w:t>,</w:t>
      </w:r>
      <w:r w:rsidRPr="00DB4A6C">
        <w:rPr>
          <w:rFonts w:ascii="Times New Roman" w:hAnsi="Times New Roman" w:cs="Times New Roman"/>
          <w:sz w:val="24"/>
          <w:szCs w:val="24"/>
        </w:rPr>
        <w:t xml:space="preserve"> neste </w:t>
      </w:r>
      <w:r w:rsidR="00066C39">
        <w:rPr>
          <w:rFonts w:ascii="Times New Roman" w:hAnsi="Times New Roman" w:cs="Times New Roman"/>
          <w:sz w:val="24"/>
          <w:szCs w:val="24"/>
        </w:rPr>
        <w:t xml:space="preserve">estudo, pela </w:t>
      </w:r>
      <w:r w:rsidRPr="00DB4A6C">
        <w:rPr>
          <w:rFonts w:ascii="Times New Roman" w:hAnsi="Times New Roman" w:cs="Times New Roman"/>
          <w:sz w:val="24"/>
          <w:szCs w:val="24"/>
        </w:rPr>
        <w:t>normatização.</w:t>
      </w:r>
    </w:p>
    <w:p w:rsidR="00C036DA" w:rsidRDefault="00C036DA" w:rsidP="00195583">
      <w:pPr>
        <w:spacing w:after="0" w:line="240" w:lineRule="auto"/>
        <w:jc w:val="both"/>
        <w:rPr>
          <w:rFonts w:ascii="Times New Roman" w:hAnsi="Times New Roman" w:cs="Times New Roman"/>
          <w:sz w:val="24"/>
          <w:szCs w:val="24"/>
        </w:rPr>
      </w:pPr>
      <w:r w:rsidRPr="00C036DA">
        <w:rPr>
          <w:rFonts w:ascii="Times New Roman" w:hAnsi="Times New Roman" w:cs="Times New Roman"/>
          <w:sz w:val="24"/>
          <w:szCs w:val="24"/>
        </w:rPr>
        <w:t xml:space="preserve"> </w:t>
      </w:r>
      <w:r w:rsidRPr="00C036DA">
        <w:rPr>
          <w:rFonts w:ascii="Times New Roman" w:hAnsi="Times New Roman" w:cs="Times New Roman"/>
          <w:sz w:val="24"/>
          <w:szCs w:val="24"/>
        </w:rPr>
        <w:tab/>
      </w:r>
      <w:r w:rsidR="0093575A">
        <w:rPr>
          <w:rFonts w:ascii="Times New Roman" w:hAnsi="Times New Roman" w:cs="Times New Roman"/>
          <w:sz w:val="24"/>
          <w:szCs w:val="24"/>
        </w:rPr>
        <w:t>C</w:t>
      </w:r>
      <w:r w:rsidRPr="00C036DA">
        <w:rPr>
          <w:rFonts w:ascii="Times New Roman" w:hAnsi="Times New Roman" w:cs="Times New Roman"/>
          <w:sz w:val="24"/>
          <w:szCs w:val="24"/>
        </w:rPr>
        <w:t xml:space="preserve">om o intuito de buscar o entendimento de um dos caminhos que podem levar à universalização do acesso ao saneamento básico, </w:t>
      </w:r>
      <w:r w:rsidR="00692D16">
        <w:rPr>
          <w:rFonts w:ascii="Times New Roman" w:hAnsi="Times New Roman" w:cs="Times New Roman"/>
          <w:sz w:val="24"/>
          <w:szCs w:val="24"/>
        </w:rPr>
        <w:t>n</w:t>
      </w:r>
      <w:r w:rsidRPr="00C036DA">
        <w:rPr>
          <w:rFonts w:ascii="Times New Roman" w:hAnsi="Times New Roman" w:cs="Times New Roman"/>
          <w:sz w:val="24"/>
          <w:szCs w:val="24"/>
        </w:rPr>
        <w:t>est</w:t>
      </w:r>
      <w:r w:rsidR="00066C39">
        <w:rPr>
          <w:rFonts w:ascii="Times New Roman" w:hAnsi="Times New Roman" w:cs="Times New Roman"/>
          <w:sz w:val="24"/>
          <w:szCs w:val="24"/>
        </w:rPr>
        <w:t>a</w:t>
      </w:r>
      <w:r w:rsidRPr="00C036DA">
        <w:rPr>
          <w:rFonts w:ascii="Times New Roman" w:hAnsi="Times New Roman" w:cs="Times New Roman"/>
          <w:sz w:val="24"/>
          <w:szCs w:val="24"/>
        </w:rPr>
        <w:t xml:space="preserve"> </w:t>
      </w:r>
      <w:r w:rsidR="00066C39">
        <w:rPr>
          <w:rFonts w:ascii="Times New Roman" w:hAnsi="Times New Roman" w:cs="Times New Roman"/>
          <w:sz w:val="24"/>
          <w:szCs w:val="24"/>
        </w:rPr>
        <w:t>pesquisa</w:t>
      </w:r>
      <w:r w:rsidR="00692D16">
        <w:rPr>
          <w:rFonts w:ascii="Times New Roman" w:hAnsi="Times New Roman" w:cs="Times New Roman"/>
          <w:sz w:val="24"/>
          <w:szCs w:val="24"/>
        </w:rPr>
        <w:t>,</w:t>
      </w:r>
      <w:r w:rsidRPr="00C036DA">
        <w:rPr>
          <w:rFonts w:ascii="Times New Roman" w:hAnsi="Times New Roman" w:cs="Times New Roman"/>
          <w:sz w:val="24"/>
          <w:szCs w:val="24"/>
        </w:rPr>
        <w:t xml:space="preserve"> </w:t>
      </w:r>
      <w:r w:rsidR="00692D16">
        <w:rPr>
          <w:rFonts w:ascii="Times New Roman" w:hAnsi="Times New Roman" w:cs="Times New Roman"/>
          <w:sz w:val="24"/>
          <w:szCs w:val="24"/>
        </w:rPr>
        <w:t>analisa-se</w:t>
      </w:r>
      <w:r w:rsidR="00692D16" w:rsidRPr="00C036DA">
        <w:rPr>
          <w:rFonts w:ascii="Times New Roman" w:hAnsi="Times New Roman" w:cs="Times New Roman"/>
          <w:sz w:val="24"/>
          <w:szCs w:val="24"/>
        </w:rPr>
        <w:t xml:space="preserve"> a atuação das entidades reguladoras no que se refere à indução da eficiência dos prestadores de serviços de abastecimento de água e esgotamento sanitário no Brasil</w:t>
      </w:r>
      <w:r w:rsidR="00692D16">
        <w:rPr>
          <w:rFonts w:ascii="Times New Roman" w:hAnsi="Times New Roman" w:cs="Times New Roman"/>
          <w:sz w:val="24"/>
          <w:szCs w:val="24"/>
        </w:rPr>
        <w:t>.</w:t>
      </w:r>
      <w:r w:rsidR="00912731">
        <w:rPr>
          <w:rFonts w:ascii="Times New Roman" w:hAnsi="Times New Roman" w:cs="Times New Roman"/>
          <w:sz w:val="24"/>
          <w:szCs w:val="24"/>
        </w:rPr>
        <w:t xml:space="preserve"> </w:t>
      </w:r>
      <w:r w:rsidR="00132878">
        <w:rPr>
          <w:rFonts w:ascii="Times New Roman" w:hAnsi="Times New Roman" w:cs="Times New Roman"/>
          <w:sz w:val="24"/>
          <w:szCs w:val="24"/>
        </w:rPr>
        <w:t>Ratificando a importância d</w:t>
      </w:r>
      <w:r w:rsidR="00912731">
        <w:rPr>
          <w:rFonts w:ascii="Times New Roman" w:hAnsi="Times New Roman" w:cs="Times New Roman"/>
          <w:sz w:val="24"/>
          <w:szCs w:val="24"/>
        </w:rPr>
        <w:t>essa</w:t>
      </w:r>
      <w:r w:rsidR="00132878">
        <w:rPr>
          <w:rFonts w:ascii="Times New Roman" w:hAnsi="Times New Roman" w:cs="Times New Roman"/>
          <w:sz w:val="24"/>
          <w:szCs w:val="24"/>
        </w:rPr>
        <w:t xml:space="preserve"> temática</w:t>
      </w:r>
      <w:r w:rsidR="00132878" w:rsidRPr="00627D7C">
        <w:rPr>
          <w:rFonts w:ascii="Times New Roman" w:hAnsi="Times New Roman" w:cs="Times New Roman"/>
          <w:sz w:val="24"/>
          <w:szCs w:val="24"/>
        </w:rPr>
        <w:t xml:space="preserve">, </w:t>
      </w:r>
      <w:proofErr w:type="spellStart"/>
      <w:r w:rsidRPr="00627D7C">
        <w:rPr>
          <w:rFonts w:ascii="Times New Roman" w:hAnsi="Times New Roman" w:cs="Times New Roman"/>
          <w:sz w:val="24"/>
          <w:szCs w:val="24"/>
        </w:rPr>
        <w:t>Abbott</w:t>
      </w:r>
      <w:proofErr w:type="spellEnd"/>
      <w:r w:rsidRPr="00627D7C">
        <w:rPr>
          <w:rFonts w:ascii="Times New Roman" w:hAnsi="Times New Roman" w:cs="Times New Roman"/>
          <w:sz w:val="24"/>
          <w:szCs w:val="24"/>
        </w:rPr>
        <w:t xml:space="preserve"> e Cohen (2009)</w:t>
      </w:r>
      <w:r w:rsidR="00132878" w:rsidRPr="00627D7C">
        <w:rPr>
          <w:rFonts w:ascii="Times New Roman" w:hAnsi="Times New Roman" w:cs="Times New Roman"/>
          <w:sz w:val="24"/>
          <w:szCs w:val="24"/>
        </w:rPr>
        <w:t xml:space="preserve"> </w:t>
      </w:r>
      <w:r w:rsidR="00132878">
        <w:rPr>
          <w:rFonts w:ascii="Times New Roman" w:hAnsi="Times New Roman" w:cs="Times New Roman"/>
          <w:sz w:val="24"/>
          <w:szCs w:val="24"/>
        </w:rPr>
        <w:t>constataram que</w:t>
      </w:r>
      <w:r w:rsidRPr="00C036DA">
        <w:rPr>
          <w:rFonts w:ascii="Times New Roman" w:hAnsi="Times New Roman" w:cs="Times New Roman"/>
          <w:sz w:val="24"/>
          <w:szCs w:val="24"/>
        </w:rPr>
        <w:t xml:space="preserve"> nos últimos 20 anos houve um crescimento do interesse de pesquisadores sobre a produtividade e a eficiência de prestadore</w:t>
      </w:r>
      <w:r w:rsidR="005D01F8">
        <w:rPr>
          <w:rFonts w:ascii="Times New Roman" w:hAnsi="Times New Roman" w:cs="Times New Roman"/>
          <w:sz w:val="24"/>
          <w:szCs w:val="24"/>
        </w:rPr>
        <w:t>s de serviços de água e esgotos</w:t>
      </w:r>
      <w:r w:rsidR="00132878">
        <w:rPr>
          <w:rFonts w:ascii="Times New Roman" w:hAnsi="Times New Roman" w:cs="Times New Roman"/>
          <w:sz w:val="24"/>
          <w:szCs w:val="24"/>
        </w:rPr>
        <w:t xml:space="preserve"> e </w:t>
      </w:r>
      <w:r w:rsidRPr="00C036DA">
        <w:rPr>
          <w:rFonts w:ascii="Times New Roman" w:hAnsi="Times New Roman" w:cs="Times New Roman"/>
          <w:sz w:val="24"/>
          <w:szCs w:val="24"/>
        </w:rPr>
        <w:t xml:space="preserve">desenvolveram uma revisão da literatura que abordou, entre outros aspectos, os principais resultados desses estudos, particularmente no que se refere a economias de escala, economias de escopo, propriedade e o impacto da regulação. Dos quatro temas principais, o impacto da regulação foi o menos explorado, </w:t>
      </w:r>
      <w:r w:rsidR="00912731">
        <w:rPr>
          <w:rFonts w:ascii="Times New Roman" w:hAnsi="Times New Roman" w:cs="Times New Roman"/>
          <w:sz w:val="24"/>
          <w:szCs w:val="24"/>
        </w:rPr>
        <w:t>com apenas</w:t>
      </w:r>
      <w:r w:rsidRPr="00C036DA">
        <w:rPr>
          <w:rFonts w:ascii="Times New Roman" w:hAnsi="Times New Roman" w:cs="Times New Roman"/>
          <w:sz w:val="24"/>
          <w:szCs w:val="24"/>
        </w:rPr>
        <w:t xml:space="preserve"> </w:t>
      </w:r>
      <w:proofErr w:type="gramStart"/>
      <w:r w:rsidR="00912731">
        <w:rPr>
          <w:rFonts w:ascii="Times New Roman" w:hAnsi="Times New Roman" w:cs="Times New Roman"/>
          <w:sz w:val="24"/>
          <w:szCs w:val="24"/>
        </w:rPr>
        <w:t>7</w:t>
      </w:r>
      <w:proofErr w:type="gramEnd"/>
      <w:r w:rsidRPr="00C036DA">
        <w:rPr>
          <w:rFonts w:ascii="Times New Roman" w:hAnsi="Times New Roman" w:cs="Times New Roman"/>
          <w:sz w:val="24"/>
          <w:szCs w:val="24"/>
        </w:rPr>
        <w:t xml:space="preserve"> estudos, que apontaram </w:t>
      </w:r>
      <w:r w:rsidR="00912731">
        <w:rPr>
          <w:rFonts w:ascii="Times New Roman" w:hAnsi="Times New Roman" w:cs="Times New Roman"/>
          <w:sz w:val="24"/>
          <w:szCs w:val="24"/>
        </w:rPr>
        <w:t>para</w:t>
      </w:r>
      <w:r w:rsidRPr="00C036DA">
        <w:rPr>
          <w:rFonts w:ascii="Times New Roman" w:hAnsi="Times New Roman" w:cs="Times New Roman"/>
          <w:sz w:val="24"/>
          <w:szCs w:val="24"/>
        </w:rPr>
        <w:t xml:space="preserve"> impactos positivos</w:t>
      </w:r>
      <w:r w:rsidR="00912731">
        <w:rPr>
          <w:rFonts w:ascii="Times New Roman" w:hAnsi="Times New Roman" w:cs="Times New Roman"/>
          <w:sz w:val="24"/>
          <w:szCs w:val="24"/>
        </w:rPr>
        <w:t xml:space="preserve"> da regulação</w:t>
      </w:r>
      <w:r w:rsidRPr="00C036DA">
        <w:rPr>
          <w:rFonts w:ascii="Times New Roman" w:hAnsi="Times New Roman" w:cs="Times New Roman"/>
          <w:sz w:val="24"/>
          <w:szCs w:val="24"/>
        </w:rPr>
        <w:t xml:space="preserve"> sobre o nível de produtividade e de eficiência dos prestadores.</w:t>
      </w:r>
    </w:p>
    <w:p w:rsidR="003165EC" w:rsidRDefault="00814267"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165EC">
        <w:rPr>
          <w:rFonts w:ascii="Times New Roman" w:hAnsi="Times New Roman" w:cs="Times New Roman"/>
          <w:sz w:val="24"/>
          <w:szCs w:val="24"/>
        </w:rPr>
        <w:t xml:space="preserve">Nesse contexto, o presente </w:t>
      </w:r>
      <w:r w:rsidR="00132878">
        <w:rPr>
          <w:rFonts w:ascii="Times New Roman" w:hAnsi="Times New Roman" w:cs="Times New Roman"/>
          <w:sz w:val="24"/>
          <w:szCs w:val="24"/>
        </w:rPr>
        <w:t>artigo</w:t>
      </w:r>
      <w:r w:rsidR="003165EC">
        <w:rPr>
          <w:rFonts w:ascii="Times New Roman" w:hAnsi="Times New Roman" w:cs="Times New Roman"/>
          <w:sz w:val="24"/>
          <w:szCs w:val="24"/>
        </w:rPr>
        <w:t xml:space="preserve"> contribui com essa discussão ao mensurar a eficiência dos prestadores de serviços de abastecimento de água e esgotamento sanitário por meio da Análise Envoltória de Dados (DEA) e analisar a evolução da produtividade desses prestadores com a aplicação do Índice de </w:t>
      </w:r>
      <w:proofErr w:type="spellStart"/>
      <w:r w:rsidR="003165EC">
        <w:rPr>
          <w:rFonts w:ascii="Times New Roman" w:hAnsi="Times New Roman" w:cs="Times New Roman"/>
          <w:sz w:val="24"/>
          <w:szCs w:val="24"/>
        </w:rPr>
        <w:t>Malmquist</w:t>
      </w:r>
      <w:proofErr w:type="spellEnd"/>
      <w:r w:rsidR="003165EC">
        <w:rPr>
          <w:rFonts w:ascii="Times New Roman" w:hAnsi="Times New Roman" w:cs="Times New Roman"/>
          <w:sz w:val="24"/>
          <w:szCs w:val="24"/>
        </w:rPr>
        <w:t xml:space="preserve">, além de possibilitar a ampliação e o aprofundamento </w:t>
      </w:r>
      <w:r w:rsidR="003165EC" w:rsidRPr="003165EC">
        <w:rPr>
          <w:rFonts w:ascii="Times New Roman" w:hAnsi="Times New Roman" w:cs="Times New Roman"/>
          <w:sz w:val="24"/>
          <w:szCs w:val="24"/>
        </w:rPr>
        <w:t xml:space="preserve">do debate entre acadêmicos, formuladores de políticas públicas e profissionais da área, ao se utilizar das atividades regulatórias </w:t>
      </w:r>
      <w:r w:rsidR="003165EC" w:rsidRPr="00814267">
        <w:rPr>
          <w:rFonts w:ascii="Times New Roman" w:hAnsi="Times New Roman" w:cs="Times New Roman"/>
          <w:sz w:val="24"/>
          <w:szCs w:val="24"/>
        </w:rPr>
        <w:t>de normatização para avaliar a influência da regulação sobre a eficiência dos prestadores</w:t>
      </w:r>
      <w:r w:rsidR="003165EC">
        <w:rPr>
          <w:rFonts w:ascii="Times New Roman" w:hAnsi="Times New Roman" w:cs="Times New Roman"/>
          <w:sz w:val="24"/>
          <w:szCs w:val="24"/>
        </w:rPr>
        <w:t>.</w:t>
      </w:r>
    </w:p>
    <w:p w:rsidR="0078289F" w:rsidRDefault="0078289F"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32878">
        <w:rPr>
          <w:rFonts w:ascii="Times New Roman" w:hAnsi="Times New Roman" w:cs="Times New Roman"/>
          <w:sz w:val="24"/>
          <w:szCs w:val="24"/>
        </w:rPr>
        <w:t>Assim sendo, este artigo foi dividido em seis seções</w:t>
      </w:r>
      <w:r>
        <w:rPr>
          <w:rFonts w:ascii="Times New Roman" w:hAnsi="Times New Roman" w:cs="Times New Roman"/>
          <w:sz w:val="24"/>
          <w:szCs w:val="24"/>
        </w:rPr>
        <w:t>: esta introdução, a caracterização do</w:t>
      </w:r>
      <w:r w:rsidRPr="00132878">
        <w:rPr>
          <w:rFonts w:ascii="Times New Roman" w:hAnsi="Times New Roman" w:cs="Times New Roman"/>
          <w:sz w:val="24"/>
          <w:szCs w:val="24"/>
        </w:rPr>
        <w:t xml:space="preserve"> setor de saneamento básico brasileiro </w:t>
      </w:r>
      <w:r w:rsidR="00301B85">
        <w:rPr>
          <w:rFonts w:ascii="Times New Roman" w:hAnsi="Times New Roman" w:cs="Times New Roman"/>
          <w:sz w:val="24"/>
          <w:szCs w:val="24"/>
        </w:rPr>
        <w:t>(</w:t>
      </w:r>
      <w:r w:rsidRPr="00132878">
        <w:rPr>
          <w:rFonts w:ascii="Times New Roman" w:hAnsi="Times New Roman" w:cs="Times New Roman"/>
          <w:sz w:val="24"/>
          <w:szCs w:val="24"/>
        </w:rPr>
        <w:t>água e esgotos</w:t>
      </w:r>
      <w:r w:rsidR="00301B85">
        <w:rPr>
          <w:rFonts w:ascii="Times New Roman" w:hAnsi="Times New Roman" w:cs="Times New Roman"/>
          <w:sz w:val="24"/>
          <w:szCs w:val="24"/>
        </w:rPr>
        <w:t>)</w:t>
      </w:r>
      <w:r>
        <w:rPr>
          <w:rFonts w:ascii="Times New Roman" w:hAnsi="Times New Roman" w:cs="Times New Roman"/>
          <w:sz w:val="24"/>
          <w:szCs w:val="24"/>
        </w:rPr>
        <w:t xml:space="preserve">, </w:t>
      </w:r>
      <w:r w:rsidRPr="00132878">
        <w:rPr>
          <w:rFonts w:ascii="Times New Roman" w:hAnsi="Times New Roman" w:cs="Times New Roman"/>
          <w:sz w:val="24"/>
          <w:szCs w:val="24"/>
        </w:rPr>
        <w:t>o embasamento teórico da pesquisa</w:t>
      </w:r>
      <w:r>
        <w:rPr>
          <w:rFonts w:ascii="Times New Roman" w:hAnsi="Times New Roman" w:cs="Times New Roman"/>
          <w:sz w:val="24"/>
          <w:szCs w:val="24"/>
        </w:rPr>
        <w:t xml:space="preserve">, </w:t>
      </w:r>
      <w:r w:rsidRPr="00132878">
        <w:rPr>
          <w:rFonts w:ascii="Times New Roman" w:hAnsi="Times New Roman" w:cs="Times New Roman"/>
          <w:sz w:val="24"/>
          <w:szCs w:val="24"/>
        </w:rPr>
        <w:t xml:space="preserve">as estratégias selecionadas para a operacionalização da pesquisa, </w:t>
      </w:r>
      <w:r>
        <w:rPr>
          <w:rFonts w:ascii="Times New Roman" w:hAnsi="Times New Roman" w:cs="Times New Roman"/>
          <w:sz w:val="24"/>
          <w:szCs w:val="24"/>
        </w:rPr>
        <w:t xml:space="preserve">seus principais resultados e, por fim, as </w:t>
      </w:r>
      <w:r w:rsidRPr="00132878">
        <w:rPr>
          <w:rFonts w:ascii="Times New Roman" w:hAnsi="Times New Roman" w:cs="Times New Roman"/>
          <w:sz w:val="24"/>
          <w:szCs w:val="24"/>
        </w:rPr>
        <w:t>conclusões</w:t>
      </w:r>
      <w:r>
        <w:rPr>
          <w:rFonts w:ascii="Times New Roman" w:hAnsi="Times New Roman" w:cs="Times New Roman"/>
          <w:sz w:val="24"/>
          <w:szCs w:val="24"/>
        </w:rPr>
        <w:t>.</w:t>
      </w:r>
    </w:p>
    <w:p w:rsidR="00A804C1" w:rsidRDefault="00A804C1" w:rsidP="00195583">
      <w:pPr>
        <w:spacing w:after="0" w:line="240" w:lineRule="auto"/>
        <w:jc w:val="both"/>
        <w:rPr>
          <w:rFonts w:ascii="Times New Roman" w:hAnsi="Times New Roman" w:cs="Times New Roman"/>
          <w:sz w:val="24"/>
          <w:szCs w:val="24"/>
        </w:rPr>
      </w:pPr>
    </w:p>
    <w:p w:rsidR="00C036DA" w:rsidRPr="001706EF" w:rsidRDefault="00C036DA" w:rsidP="00195583">
      <w:pPr>
        <w:spacing w:after="0" w:line="240" w:lineRule="auto"/>
        <w:jc w:val="both"/>
        <w:rPr>
          <w:rFonts w:ascii="Times New Roman" w:hAnsi="Times New Roman" w:cs="Times New Roman"/>
          <w:b/>
          <w:sz w:val="24"/>
          <w:szCs w:val="24"/>
        </w:rPr>
      </w:pPr>
      <w:proofErr w:type="gramStart"/>
      <w:r w:rsidRPr="001706EF">
        <w:rPr>
          <w:rFonts w:ascii="Times New Roman" w:hAnsi="Times New Roman" w:cs="Times New Roman"/>
          <w:b/>
          <w:sz w:val="24"/>
          <w:szCs w:val="24"/>
        </w:rPr>
        <w:t>2</w:t>
      </w:r>
      <w:proofErr w:type="gramEnd"/>
      <w:r w:rsidRPr="001706EF">
        <w:rPr>
          <w:rFonts w:ascii="Times New Roman" w:hAnsi="Times New Roman" w:cs="Times New Roman"/>
          <w:b/>
          <w:sz w:val="24"/>
          <w:szCs w:val="24"/>
        </w:rPr>
        <w:t xml:space="preserve"> Saneamento básico no Brasil: </w:t>
      </w:r>
      <w:r w:rsidR="009A5A52">
        <w:rPr>
          <w:rFonts w:ascii="Times New Roman" w:hAnsi="Times New Roman" w:cs="Times New Roman"/>
          <w:b/>
          <w:sz w:val="24"/>
          <w:szCs w:val="24"/>
        </w:rPr>
        <w:t>aspectos institucionais d</w:t>
      </w:r>
      <w:r w:rsidRPr="001706EF">
        <w:rPr>
          <w:rFonts w:ascii="Times New Roman" w:hAnsi="Times New Roman" w:cs="Times New Roman"/>
          <w:b/>
          <w:sz w:val="24"/>
          <w:szCs w:val="24"/>
        </w:rPr>
        <w:t>os serviços de água e esgotos</w:t>
      </w:r>
    </w:p>
    <w:p w:rsidR="00AC6DD1" w:rsidRDefault="00AC6DD1" w:rsidP="00195583">
      <w:pPr>
        <w:spacing w:after="0" w:line="240" w:lineRule="auto"/>
        <w:jc w:val="both"/>
        <w:rPr>
          <w:rFonts w:ascii="Times New Roman" w:hAnsi="Times New Roman" w:cs="Times New Roman"/>
          <w:sz w:val="24"/>
          <w:szCs w:val="24"/>
        </w:rPr>
      </w:pPr>
    </w:p>
    <w:p w:rsidR="009927A2" w:rsidRPr="0046600A" w:rsidRDefault="00EC6463" w:rsidP="00195583">
      <w:pPr>
        <w:spacing w:after="0" w:line="240" w:lineRule="auto"/>
        <w:jc w:val="both"/>
        <w:rPr>
          <w:rFonts w:ascii="Times New Roman" w:hAnsi="Times New Roman" w:cs="Times New Roman"/>
          <w:sz w:val="24"/>
          <w:szCs w:val="24"/>
        </w:rPr>
      </w:pPr>
      <w:r w:rsidRPr="0043521B">
        <w:rPr>
          <w:rFonts w:ascii="Times New Roman" w:hAnsi="Times New Roman" w:cs="Times New Roman"/>
          <w:color w:val="FF0000"/>
          <w:sz w:val="24"/>
          <w:szCs w:val="24"/>
        </w:rPr>
        <w:tab/>
      </w:r>
      <w:r w:rsidR="00761AAD">
        <w:rPr>
          <w:rFonts w:ascii="Times New Roman" w:hAnsi="Times New Roman" w:cs="Times New Roman"/>
          <w:sz w:val="24"/>
          <w:szCs w:val="24"/>
        </w:rPr>
        <w:t>A compr</w:t>
      </w:r>
      <w:r w:rsidR="00761AAD" w:rsidRPr="00761AAD">
        <w:rPr>
          <w:rFonts w:ascii="Times New Roman" w:hAnsi="Times New Roman" w:cs="Times New Roman"/>
          <w:sz w:val="24"/>
          <w:szCs w:val="24"/>
        </w:rPr>
        <w:t xml:space="preserve">eensão do setor de saneamento passa pelo entendimento de </w:t>
      </w:r>
      <w:r w:rsidR="0013341C">
        <w:rPr>
          <w:rFonts w:ascii="Times New Roman" w:hAnsi="Times New Roman" w:cs="Times New Roman"/>
          <w:sz w:val="24"/>
          <w:szCs w:val="24"/>
        </w:rPr>
        <w:t xml:space="preserve">seus </w:t>
      </w:r>
      <w:r w:rsidR="00761AAD" w:rsidRPr="00761AAD">
        <w:rPr>
          <w:rFonts w:ascii="Times New Roman" w:hAnsi="Times New Roman" w:cs="Times New Roman"/>
          <w:sz w:val="24"/>
          <w:szCs w:val="24"/>
        </w:rPr>
        <w:t>aspectos político-institucionais, como os tipos de arranjos dos prestadores de serviços e das entidades reguladoras.</w:t>
      </w:r>
      <w:r w:rsidR="009927A2">
        <w:rPr>
          <w:rFonts w:ascii="Times New Roman" w:hAnsi="Times New Roman" w:cs="Times New Roman"/>
          <w:sz w:val="24"/>
          <w:szCs w:val="24"/>
        </w:rPr>
        <w:t xml:space="preserve"> Para tanto, </w:t>
      </w:r>
      <w:r w:rsidR="009927A2" w:rsidRPr="009927A2">
        <w:rPr>
          <w:rFonts w:ascii="Times New Roman" w:hAnsi="Times New Roman" w:cs="Times New Roman"/>
          <w:sz w:val="24"/>
          <w:szCs w:val="24"/>
        </w:rPr>
        <w:t xml:space="preserve">foram sistematizados dados da Pesquisa Nacional de Saneamento Básico (PNSB), realizada pelo Instituto Brasileiro de Geografia e Estatística (IBGE), tendo o ano de 2008 como referência e contemplando todos </w:t>
      </w:r>
      <w:r w:rsidR="00FA4AB6">
        <w:rPr>
          <w:rFonts w:ascii="Times New Roman" w:hAnsi="Times New Roman" w:cs="Times New Roman"/>
          <w:sz w:val="24"/>
          <w:szCs w:val="24"/>
        </w:rPr>
        <w:t>os municípios do Brasil, e dados</w:t>
      </w:r>
      <w:r w:rsidR="009927A2" w:rsidRPr="009927A2">
        <w:rPr>
          <w:rFonts w:ascii="Times New Roman" w:hAnsi="Times New Roman" w:cs="Times New Roman"/>
          <w:sz w:val="24"/>
          <w:szCs w:val="24"/>
        </w:rPr>
        <w:t xml:space="preserve"> do “Diagnóstico dos Serviços de Água e Esgotos – 2011”, do </w:t>
      </w:r>
      <w:r w:rsidR="00312656">
        <w:rPr>
          <w:rFonts w:ascii="Times New Roman" w:hAnsi="Times New Roman" w:cs="Times New Roman"/>
          <w:sz w:val="24"/>
          <w:szCs w:val="24"/>
        </w:rPr>
        <w:t>SNIS</w:t>
      </w:r>
      <w:r w:rsidR="009927A2" w:rsidRPr="009927A2">
        <w:rPr>
          <w:rFonts w:ascii="Times New Roman" w:hAnsi="Times New Roman" w:cs="Times New Roman"/>
          <w:sz w:val="24"/>
          <w:szCs w:val="24"/>
        </w:rPr>
        <w:t>, que contou com 88,8% dos municípios brasileiros na coleta de informações sobre água referente ao ano de 2011 e 52,6% dos municípios para a coleta sobre es</w:t>
      </w:r>
      <w:r w:rsidR="00696F96">
        <w:rPr>
          <w:rFonts w:ascii="Times New Roman" w:hAnsi="Times New Roman" w:cs="Times New Roman"/>
          <w:sz w:val="24"/>
          <w:szCs w:val="24"/>
        </w:rPr>
        <w:t>goto</w:t>
      </w:r>
      <w:r w:rsidR="00FB457C">
        <w:rPr>
          <w:rFonts w:ascii="Times New Roman" w:hAnsi="Times New Roman" w:cs="Times New Roman"/>
          <w:sz w:val="24"/>
          <w:szCs w:val="24"/>
        </w:rPr>
        <w:t xml:space="preserve">, </w:t>
      </w:r>
      <w:r w:rsidR="00FA4AB6">
        <w:rPr>
          <w:rFonts w:ascii="Times New Roman" w:hAnsi="Times New Roman" w:cs="Times New Roman"/>
          <w:sz w:val="24"/>
          <w:szCs w:val="24"/>
        </w:rPr>
        <w:t xml:space="preserve">além </w:t>
      </w:r>
      <w:r w:rsidR="00FB457C">
        <w:rPr>
          <w:rFonts w:ascii="Times New Roman" w:hAnsi="Times New Roman" w:cs="Times New Roman"/>
          <w:sz w:val="24"/>
          <w:szCs w:val="24"/>
        </w:rPr>
        <w:t>da</w:t>
      </w:r>
      <w:r w:rsidR="00FB457C" w:rsidRPr="00FB457C">
        <w:t xml:space="preserve"> </w:t>
      </w:r>
      <w:r w:rsidR="00FB457C" w:rsidRPr="00FB457C">
        <w:rPr>
          <w:rFonts w:ascii="Times New Roman" w:hAnsi="Times New Roman" w:cs="Times New Roman"/>
          <w:sz w:val="24"/>
          <w:szCs w:val="24"/>
        </w:rPr>
        <w:t>publicação “Saneamento Básico – Regulação 2013” da Associação Brasileira d</w:t>
      </w:r>
      <w:r w:rsidR="00FA4AB6">
        <w:rPr>
          <w:rFonts w:ascii="Times New Roman" w:hAnsi="Times New Roman" w:cs="Times New Roman"/>
          <w:sz w:val="24"/>
          <w:szCs w:val="24"/>
        </w:rPr>
        <w:t xml:space="preserve">as Agências de </w:t>
      </w:r>
      <w:r w:rsidR="00FA4AB6" w:rsidRPr="0046600A">
        <w:rPr>
          <w:rFonts w:ascii="Times New Roman" w:hAnsi="Times New Roman" w:cs="Times New Roman"/>
          <w:sz w:val="24"/>
          <w:szCs w:val="24"/>
        </w:rPr>
        <w:t xml:space="preserve">Regulação (ABAR), que </w:t>
      </w:r>
      <w:r w:rsidR="00FB457C" w:rsidRPr="0046600A">
        <w:rPr>
          <w:rFonts w:ascii="Times New Roman" w:hAnsi="Times New Roman" w:cs="Times New Roman"/>
          <w:sz w:val="24"/>
          <w:szCs w:val="24"/>
        </w:rPr>
        <w:t>contou com a participação de 27 entidades reguladoras, tendo</w:t>
      </w:r>
      <w:r w:rsidR="00FA4AB6" w:rsidRPr="0046600A">
        <w:rPr>
          <w:rFonts w:ascii="Times New Roman" w:hAnsi="Times New Roman" w:cs="Times New Roman"/>
          <w:sz w:val="24"/>
          <w:szCs w:val="24"/>
        </w:rPr>
        <w:t xml:space="preserve"> como referência o ano de 2012.</w:t>
      </w:r>
    </w:p>
    <w:p w:rsidR="009927A2" w:rsidRPr="0046600A" w:rsidRDefault="009927A2" w:rsidP="00195583">
      <w:pPr>
        <w:spacing w:after="0" w:line="240" w:lineRule="auto"/>
        <w:jc w:val="both"/>
        <w:rPr>
          <w:rFonts w:ascii="Times New Roman" w:hAnsi="Times New Roman" w:cs="Times New Roman"/>
          <w:sz w:val="24"/>
          <w:szCs w:val="24"/>
        </w:rPr>
      </w:pPr>
      <w:r w:rsidRPr="0046600A">
        <w:rPr>
          <w:rFonts w:ascii="Times New Roman" w:hAnsi="Times New Roman" w:cs="Times New Roman"/>
          <w:sz w:val="24"/>
          <w:szCs w:val="24"/>
        </w:rPr>
        <w:tab/>
        <w:t xml:space="preserve">De acordo com dados da PNSB (IBGE, 2010) os </w:t>
      </w:r>
      <w:r w:rsidR="00D232E0" w:rsidRPr="0046600A">
        <w:rPr>
          <w:rFonts w:ascii="Times New Roman" w:hAnsi="Times New Roman" w:cs="Times New Roman"/>
          <w:sz w:val="24"/>
          <w:szCs w:val="24"/>
        </w:rPr>
        <w:t>serviços de abastecimento de água (</w:t>
      </w:r>
      <w:r w:rsidRPr="0046600A">
        <w:rPr>
          <w:rFonts w:ascii="Times New Roman" w:hAnsi="Times New Roman" w:cs="Times New Roman"/>
          <w:sz w:val="24"/>
          <w:szCs w:val="24"/>
        </w:rPr>
        <w:t>SAA</w:t>
      </w:r>
      <w:r w:rsidR="00D232E0" w:rsidRPr="0046600A">
        <w:rPr>
          <w:rFonts w:ascii="Times New Roman" w:hAnsi="Times New Roman" w:cs="Times New Roman"/>
          <w:sz w:val="24"/>
          <w:szCs w:val="24"/>
        </w:rPr>
        <w:t>)</w:t>
      </w:r>
      <w:r w:rsidRPr="0046600A">
        <w:rPr>
          <w:rFonts w:ascii="Times New Roman" w:hAnsi="Times New Roman" w:cs="Times New Roman"/>
          <w:sz w:val="24"/>
          <w:szCs w:val="24"/>
        </w:rPr>
        <w:t xml:space="preserve"> de 46,8% dos municípios brasileiros são prestados por entidades classificadas como sociedades de economia mista, em seguida, estão os prestadores da administração direta do poder público em 30,5% dos municípios. Essa relação se inverte quando se trata dos </w:t>
      </w:r>
      <w:r w:rsidR="00D232E0" w:rsidRPr="0046600A">
        <w:rPr>
          <w:rFonts w:ascii="Times New Roman" w:hAnsi="Times New Roman" w:cs="Times New Roman"/>
          <w:sz w:val="24"/>
          <w:szCs w:val="24"/>
        </w:rPr>
        <w:t>serviços de esgotamento sanitário (</w:t>
      </w:r>
      <w:r w:rsidRPr="0046600A">
        <w:rPr>
          <w:rFonts w:ascii="Times New Roman" w:hAnsi="Times New Roman" w:cs="Times New Roman"/>
          <w:sz w:val="24"/>
          <w:szCs w:val="24"/>
        </w:rPr>
        <w:t>SES</w:t>
      </w:r>
      <w:r w:rsidR="00D232E0" w:rsidRPr="0046600A">
        <w:rPr>
          <w:rFonts w:ascii="Times New Roman" w:hAnsi="Times New Roman" w:cs="Times New Roman"/>
          <w:sz w:val="24"/>
          <w:szCs w:val="24"/>
        </w:rPr>
        <w:t>)</w:t>
      </w:r>
      <w:r w:rsidRPr="0046600A">
        <w:rPr>
          <w:rFonts w:ascii="Times New Roman" w:hAnsi="Times New Roman" w:cs="Times New Roman"/>
          <w:sz w:val="24"/>
          <w:szCs w:val="24"/>
        </w:rPr>
        <w:t>, nos quais predominam os prestadores da administração direta do poder público com 55,4%, seguidos pelas sociedade</w:t>
      </w:r>
      <w:r w:rsidR="00DD729E">
        <w:rPr>
          <w:rFonts w:ascii="Times New Roman" w:hAnsi="Times New Roman" w:cs="Times New Roman"/>
          <w:sz w:val="24"/>
          <w:szCs w:val="24"/>
        </w:rPr>
        <w:t>s</w:t>
      </w:r>
      <w:r w:rsidRPr="0046600A">
        <w:rPr>
          <w:rFonts w:ascii="Times New Roman" w:hAnsi="Times New Roman" w:cs="Times New Roman"/>
          <w:sz w:val="24"/>
          <w:szCs w:val="24"/>
        </w:rPr>
        <w:t xml:space="preserve"> de economia mista </w:t>
      </w:r>
      <w:r w:rsidR="00DD729E">
        <w:rPr>
          <w:rFonts w:ascii="Times New Roman" w:hAnsi="Times New Roman" w:cs="Times New Roman"/>
          <w:sz w:val="24"/>
          <w:szCs w:val="24"/>
        </w:rPr>
        <w:t>com</w:t>
      </w:r>
      <w:r w:rsidRPr="0046600A">
        <w:rPr>
          <w:rFonts w:ascii="Times New Roman" w:hAnsi="Times New Roman" w:cs="Times New Roman"/>
          <w:sz w:val="24"/>
          <w:szCs w:val="24"/>
        </w:rPr>
        <w:t xml:space="preserve"> 31,4%.</w:t>
      </w:r>
      <w:r w:rsidR="00DD729E">
        <w:rPr>
          <w:rFonts w:ascii="Times New Roman" w:hAnsi="Times New Roman" w:cs="Times New Roman"/>
          <w:sz w:val="24"/>
          <w:szCs w:val="24"/>
        </w:rPr>
        <w:t xml:space="preserve"> </w:t>
      </w:r>
      <w:r w:rsidR="0087576C" w:rsidRPr="0046600A">
        <w:rPr>
          <w:rFonts w:ascii="Times New Roman" w:hAnsi="Times New Roman" w:cs="Times New Roman"/>
          <w:sz w:val="24"/>
          <w:szCs w:val="24"/>
        </w:rPr>
        <w:t>A</w:t>
      </w:r>
      <w:r w:rsidRPr="0046600A">
        <w:rPr>
          <w:rFonts w:ascii="Times New Roman" w:hAnsi="Times New Roman" w:cs="Times New Roman"/>
          <w:sz w:val="24"/>
          <w:szCs w:val="24"/>
        </w:rPr>
        <w:t xml:space="preserve"> forma de prestação desses serviços ainda é fortemente marcada pelo modelo instituído no PLANASA, prevalecendo </w:t>
      </w:r>
      <w:proofErr w:type="gramStart"/>
      <w:r w:rsidRPr="0046600A">
        <w:rPr>
          <w:rFonts w:ascii="Times New Roman" w:hAnsi="Times New Roman" w:cs="Times New Roman"/>
          <w:sz w:val="24"/>
          <w:szCs w:val="24"/>
        </w:rPr>
        <w:t>a</w:t>
      </w:r>
      <w:proofErr w:type="gramEnd"/>
      <w:r w:rsidRPr="0046600A">
        <w:rPr>
          <w:rFonts w:ascii="Times New Roman" w:hAnsi="Times New Roman" w:cs="Times New Roman"/>
          <w:sz w:val="24"/>
          <w:szCs w:val="24"/>
        </w:rPr>
        <w:t xml:space="preserve"> lógica organizacional das </w:t>
      </w:r>
      <w:r w:rsidR="0087576C" w:rsidRPr="0046600A">
        <w:rPr>
          <w:rFonts w:ascii="Times New Roman" w:hAnsi="Times New Roman" w:cs="Times New Roman"/>
          <w:sz w:val="24"/>
          <w:szCs w:val="24"/>
        </w:rPr>
        <w:t>Companhias Estaduais de Saneamento Básico (</w:t>
      </w:r>
      <w:proofErr w:type="spellStart"/>
      <w:r w:rsidRPr="0046600A">
        <w:rPr>
          <w:rFonts w:ascii="Times New Roman" w:hAnsi="Times New Roman" w:cs="Times New Roman"/>
          <w:sz w:val="24"/>
          <w:szCs w:val="24"/>
        </w:rPr>
        <w:t>CESBs</w:t>
      </w:r>
      <w:proofErr w:type="spellEnd"/>
      <w:r w:rsidR="0087576C" w:rsidRPr="0046600A">
        <w:rPr>
          <w:rFonts w:ascii="Times New Roman" w:hAnsi="Times New Roman" w:cs="Times New Roman"/>
          <w:sz w:val="24"/>
          <w:szCs w:val="24"/>
        </w:rPr>
        <w:t>)</w:t>
      </w:r>
      <w:r w:rsidRPr="0046600A">
        <w:rPr>
          <w:rFonts w:ascii="Times New Roman" w:hAnsi="Times New Roman" w:cs="Times New Roman"/>
          <w:sz w:val="24"/>
          <w:szCs w:val="24"/>
        </w:rPr>
        <w:t xml:space="preserve">, em sua maioria, sociedades de economia mista. </w:t>
      </w:r>
    </w:p>
    <w:p w:rsidR="009927A2" w:rsidRPr="009927A2" w:rsidRDefault="009927A2" w:rsidP="00195583">
      <w:pPr>
        <w:spacing w:after="0" w:line="240" w:lineRule="auto"/>
        <w:jc w:val="both"/>
        <w:rPr>
          <w:rFonts w:ascii="Times New Roman" w:hAnsi="Times New Roman" w:cs="Times New Roman"/>
          <w:sz w:val="24"/>
          <w:szCs w:val="24"/>
        </w:rPr>
      </w:pPr>
      <w:r w:rsidRPr="0046600A">
        <w:rPr>
          <w:rFonts w:ascii="Times New Roman" w:hAnsi="Times New Roman" w:cs="Times New Roman"/>
          <w:sz w:val="24"/>
          <w:szCs w:val="24"/>
        </w:rPr>
        <w:lastRenderedPageBreak/>
        <w:tab/>
        <w:t xml:space="preserve">Os dados da PNSB também apontam a baixa participação de empresas privadas nos </w:t>
      </w:r>
      <w:r w:rsidRPr="009927A2">
        <w:rPr>
          <w:rFonts w:ascii="Times New Roman" w:hAnsi="Times New Roman" w:cs="Times New Roman"/>
          <w:sz w:val="24"/>
          <w:szCs w:val="24"/>
        </w:rPr>
        <w:t xml:space="preserve">SAA (3,2%) e nos SES (2,0%). </w:t>
      </w:r>
      <w:r w:rsidR="00CE4207">
        <w:rPr>
          <w:rFonts w:ascii="Times New Roman" w:hAnsi="Times New Roman" w:cs="Times New Roman"/>
          <w:sz w:val="24"/>
          <w:szCs w:val="24"/>
        </w:rPr>
        <w:t>Apesar disso</w:t>
      </w:r>
      <w:r w:rsidRPr="009927A2">
        <w:rPr>
          <w:rFonts w:ascii="Times New Roman" w:hAnsi="Times New Roman" w:cs="Times New Roman"/>
          <w:sz w:val="24"/>
          <w:szCs w:val="24"/>
        </w:rPr>
        <w:t>, segundo dados da Associação Brasileira das Concessionárias Privadas de Serviços Públicos de Água e Esgoto (ABCON), as empresas privadas já estão presentes em todas as regiões brasileiras, com atuação nos estados do Amazonas, Bahia, Espírito Santo, Mato Grosso, Mato Grosso do Sul, Minas Gerais, Pará, Paraná, Rio de Janeiro, Santa Catarina, São Paulo e Tocantins.</w:t>
      </w:r>
    </w:p>
    <w:p w:rsidR="00FB457C" w:rsidRPr="00FB457C" w:rsidRDefault="009927A2" w:rsidP="00D4259A">
      <w:pPr>
        <w:spacing w:after="0" w:line="240" w:lineRule="auto"/>
        <w:jc w:val="both"/>
        <w:rPr>
          <w:rFonts w:ascii="Times New Roman" w:hAnsi="Times New Roman" w:cs="Times New Roman"/>
          <w:sz w:val="20"/>
        </w:rPr>
      </w:pPr>
      <w:r>
        <w:rPr>
          <w:rFonts w:ascii="Times New Roman" w:hAnsi="Times New Roman" w:cs="Times New Roman"/>
          <w:sz w:val="24"/>
          <w:szCs w:val="24"/>
        </w:rPr>
        <w:tab/>
      </w:r>
      <w:r w:rsidRPr="009927A2">
        <w:rPr>
          <w:rFonts w:ascii="Times New Roman" w:hAnsi="Times New Roman" w:cs="Times New Roman"/>
          <w:sz w:val="24"/>
          <w:szCs w:val="24"/>
        </w:rPr>
        <w:t>Além da distribuição por natureza jurídica, também é possível agrupar os prestadores de SAA e SES de acordo com sua abrangência de atuação. O SNIS separa os prestadores por abrangência regional, microrregional e local, e na amostra de 2011, que contou com a participação de 1.172 prestadores</w:t>
      </w:r>
      <w:r w:rsidR="00CE4207">
        <w:rPr>
          <w:rFonts w:ascii="Times New Roman" w:hAnsi="Times New Roman" w:cs="Times New Roman"/>
          <w:sz w:val="24"/>
          <w:szCs w:val="24"/>
        </w:rPr>
        <w:t>,</w:t>
      </w:r>
      <w:r w:rsidRPr="009927A2">
        <w:rPr>
          <w:rFonts w:ascii="Times New Roman" w:hAnsi="Times New Roman" w:cs="Times New Roman"/>
          <w:sz w:val="24"/>
          <w:szCs w:val="24"/>
        </w:rPr>
        <w:t xml:space="preserve"> ficou evidenciado que a maioria </w:t>
      </w:r>
      <w:r>
        <w:rPr>
          <w:rFonts w:ascii="Times New Roman" w:hAnsi="Times New Roman" w:cs="Times New Roman"/>
          <w:sz w:val="24"/>
          <w:szCs w:val="24"/>
        </w:rPr>
        <w:t xml:space="preserve">é de abrangência local (97,2%). </w:t>
      </w:r>
      <w:r w:rsidRPr="009927A2">
        <w:rPr>
          <w:rFonts w:ascii="Times New Roman" w:hAnsi="Times New Roman" w:cs="Times New Roman"/>
          <w:sz w:val="24"/>
          <w:szCs w:val="24"/>
        </w:rPr>
        <w:t>Mesmo a maior parte dos prestadores sendo de abrangência local, são os prestadores de abrangência regional que atendem ao maior número de municípios</w:t>
      </w:r>
      <w:r>
        <w:rPr>
          <w:rFonts w:ascii="Times New Roman" w:hAnsi="Times New Roman" w:cs="Times New Roman"/>
          <w:sz w:val="24"/>
          <w:szCs w:val="24"/>
        </w:rPr>
        <w:t xml:space="preserve"> (80,8%)</w:t>
      </w:r>
      <w:r w:rsidRPr="009927A2">
        <w:rPr>
          <w:rFonts w:ascii="Times New Roman" w:hAnsi="Times New Roman" w:cs="Times New Roman"/>
          <w:sz w:val="24"/>
          <w:szCs w:val="24"/>
        </w:rPr>
        <w:t xml:space="preserve"> e a maior parte da população</w:t>
      </w:r>
      <w:r>
        <w:rPr>
          <w:rFonts w:ascii="Times New Roman" w:hAnsi="Times New Roman" w:cs="Times New Roman"/>
          <w:sz w:val="24"/>
          <w:szCs w:val="24"/>
        </w:rPr>
        <w:t xml:space="preserve"> (74,6%)</w:t>
      </w:r>
      <w:r w:rsidRPr="009927A2">
        <w:rPr>
          <w:rFonts w:ascii="Times New Roman" w:hAnsi="Times New Roman" w:cs="Times New Roman"/>
          <w:sz w:val="24"/>
          <w:szCs w:val="24"/>
        </w:rPr>
        <w:t xml:space="preserve"> com SAA e SES.</w:t>
      </w:r>
      <w:r w:rsidR="00FB457C" w:rsidRPr="00FB457C">
        <w:rPr>
          <w:rFonts w:ascii="Times New Roman" w:hAnsi="Times New Roman" w:cs="Times New Roman"/>
          <w:sz w:val="24"/>
          <w:szCs w:val="24"/>
        </w:rPr>
        <w:t xml:space="preserve"> </w:t>
      </w:r>
    </w:p>
    <w:p w:rsidR="00EE611B" w:rsidRPr="00EE611B" w:rsidRDefault="0013341C" w:rsidP="00195583">
      <w:pPr>
        <w:spacing w:after="0" w:line="240" w:lineRule="auto"/>
        <w:jc w:val="both"/>
        <w:rPr>
          <w:rFonts w:ascii="Times New Roman" w:hAnsi="Times New Roman" w:cs="Times New Roman"/>
          <w:sz w:val="24"/>
          <w:szCs w:val="24"/>
        </w:rPr>
      </w:pPr>
      <w:r w:rsidRPr="00EE611B">
        <w:rPr>
          <w:rFonts w:ascii="Times New Roman" w:hAnsi="Times New Roman" w:cs="Times New Roman"/>
          <w:sz w:val="24"/>
          <w:szCs w:val="24"/>
        </w:rPr>
        <w:tab/>
      </w:r>
      <w:r w:rsidR="00EE611B">
        <w:rPr>
          <w:rFonts w:ascii="Times New Roman" w:hAnsi="Times New Roman" w:cs="Times New Roman"/>
          <w:sz w:val="24"/>
          <w:szCs w:val="24"/>
        </w:rPr>
        <w:t>No que se refere à regulação, o</w:t>
      </w:r>
      <w:r w:rsidR="00EE611B" w:rsidRPr="00EE611B">
        <w:rPr>
          <w:rFonts w:ascii="Times New Roman" w:hAnsi="Times New Roman" w:cs="Times New Roman"/>
          <w:sz w:val="24"/>
          <w:szCs w:val="24"/>
        </w:rPr>
        <w:t xml:space="preserve"> estudo do </w:t>
      </w:r>
      <w:r w:rsidR="00EE611B" w:rsidRPr="0046600A">
        <w:rPr>
          <w:rFonts w:ascii="Times New Roman" w:hAnsi="Times New Roman" w:cs="Times New Roman"/>
          <w:sz w:val="24"/>
          <w:szCs w:val="24"/>
        </w:rPr>
        <w:t xml:space="preserve">“Panorama do Saneamento Básico no Brasil” </w:t>
      </w:r>
      <w:r w:rsidR="0046600A" w:rsidRPr="0046600A">
        <w:rPr>
          <w:rFonts w:ascii="Times New Roman" w:hAnsi="Times New Roman" w:cs="Times New Roman"/>
          <w:sz w:val="24"/>
          <w:szCs w:val="24"/>
        </w:rPr>
        <w:t xml:space="preserve">(BRITTO, 2011) </w:t>
      </w:r>
      <w:r w:rsidR="00EE611B" w:rsidRPr="0046600A">
        <w:rPr>
          <w:rFonts w:ascii="Times New Roman" w:hAnsi="Times New Roman" w:cs="Times New Roman"/>
          <w:sz w:val="24"/>
          <w:szCs w:val="24"/>
        </w:rPr>
        <w:t>identificou três tipos de</w:t>
      </w:r>
      <w:r w:rsidR="00EE611B" w:rsidRPr="00EE611B">
        <w:rPr>
          <w:rFonts w:ascii="Times New Roman" w:hAnsi="Times New Roman" w:cs="Times New Roman"/>
          <w:sz w:val="24"/>
          <w:szCs w:val="24"/>
        </w:rPr>
        <w:t xml:space="preserve"> arranjos alinhados com a LNSB e adequados para regular os serviços de saneamento básico: entes estaduais, entes municipais e consórcios de regulação.</w:t>
      </w:r>
      <w:r w:rsidR="00DE0D02">
        <w:rPr>
          <w:rFonts w:ascii="Times New Roman" w:hAnsi="Times New Roman" w:cs="Times New Roman"/>
          <w:sz w:val="24"/>
          <w:szCs w:val="24"/>
        </w:rPr>
        <w:t xml:space="preserve"> </w:t>
      </w:r>
      <w:r w:rsidR="00DE0D02" w:rsidRPr="00907A90">
        <w:rPr>
          <w:rFonts w:ascii="Times New Roman" w:hAnsi="Times New Roman" w:cs="Times New Roman"/>
          <w:sz w:val="24"/>
          <w:szCs w:val="24"/>
        </w:rPr>
        <w:t>Vale ressaltar que, como prevê a LNSB, o titular dos serviços poderá “prestar diretamente ou autorizar a delegação dos serviços e definir o ente responsável pela sua regulação e fiscalização, bem como os procedimentos de sua atuação” (BRASIL, 2007, Art. 9º, II). Nesse sentido, o termo delegação se refere ao fato do município (titular do serviço) optar por delegar a terceiros, por meio de um contrato de programa ou contrato de concessão, a prestação dos SAA e SES. Nesse caso, a LNSB exige que seja estabelecida a regulação dessas delegações e, consequentemente, desses prestadores de serviços</w:t>
      </w:r>
      <w:r w:rsidR="00493968">
        <w:rPr>
          <w:rFonts w:ascii="Times New Roman" w:hAnsi="Times New Roman" w:cs="Times New Roman"/>
          <w:sz w:val="24"/>
          <w:szCs w:val="24"/>
        </w:rPr>
        <w:t>, cabendo ao titular do serviço analisar a</w:t>
      </w:r>
      <w:r w:rsidR="00EE611B" w:rsidRPr="00EE611B">
        <w:rPr>
          <w:rFonts w:ascii="Times New Roman" w:hAnsi="Times New Roman" w:cs="Times New Roman"/>
          <w:sz w:val="24"/>
          <w:szCs w:val="24"/>
        </w:rPr>
        <w:t>s vantagens e limitações d</w:t>
      </w:r>
      <w:r w:rsidR="00C83E55">
        <w:rPr>
          <w:rFonts w:ascii="Times New Roman" w:hAnsi="Times New Roman" w:cs="Times New Roman"/>
          <w:sz w:val="24"/>
          <w:szCs w:val="24"/>
        </w:rPr>
        <w:t>os diferentes</w:t>
      </w:r>
      <w:r w:rsidR="00EE611B" w:rsidRPr="00EE611B">
        <w:rPr>
          <w:rFonts w:ascii="Times New Roman" w:hAnsi="Times New Roman" w:cs="Times New Roman"/>
          <w:sz w:val="24"/>
          <w:szCs w:val="24"/>
        </w:rPr>
        <w:t xml:space="preserve"> arranjos</w:t>
      </w:r>
      <w:r w:rsidR="00C83E55">
        <w:rPr>
          <w:rFonts w:ascii="Times New Roman" w:hAnsi="Times New Roman" w:cs="Times New Roman"/>
          <w:sz w:val="24"/>
          <w:szCs w:val="24"/>
        </w:rPr>
        <w:t xml:space="preserve"> institucionais</w:t>
      </w:r>
      <w:r w:rsidR="00493968">
        <w:rPr>
          <w:rFonts w:ascii="Times New Roman" w:hAnsi="Times New Roman" w:cs="Times New Roman"/>
          <w:sz w:val="24"/>
          <w:szCs w:val="24"/>
        </w:rPr>
        <w:t xml:space="preserve"> possíveis.</w:t>
      </w:r>
    </w:p>
    <w:p w:rsidR="001B727D" w:rsidRDefault="00195583"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07A90" w:rsidRPr="00907A90">
        <w:rPr>
          <w:rFonts w:ascii="Times New Roman" w:hAnsi="Times New Roman" w:cs="Times New Roman"/>
          <w:sz w:val="24"/>
          <w:szCs w:val="24"/>
        </w:rPr>
        <w:t>O grupo de 27 entidades reguladoras integrantes da pesquisa</w:t>
      </w:r>
      <w:r w:rsidR="00274A6A">
        <w:rPr>
          <w:rFonts w:ascii="Times New Roman" w:hAnsi="Times New Roman" w:cs="Times New Roman"/>
          <w:sz w:val="24"/>
          <w:szCs w:val="24"/>
        </w:rPr>
        <w:t xml:space="preserve"> </w:t>
      </w:r>
      <w:r w:rsidR="00274A6A" w:rsidRPr="00FB457C">
        <w:rPr>
          <w:rFonts w:ascii="Times New Roman" w:hAnsi="Times New Roman" w:cs="Times New Roman"/>
          <w:sz w:val="24"/>
          <w:szCs w:val="24"/>
        </w:rPr>
        <w:t>“Sane</w:t>
      </w:r>
      <w:r w:rsidR="00274A6A">
        <w:rPr>
          <w:rFonts w:ascii="Times New Roman" w:hAnsi="Times New Roman" w:cs="Times New Roman"/>
          <w:sz w:val="24"/>
          <w:szCs w:val="24"/>
        </w:rPr>
        <w:t>amento Básico – Regulação 2013”</w:t>
      </w:r>
      <w:r w:rsidR="00907A90" w:rsidRPr="00907A90">
        <w:rPr>
          <w:rFonts w:ascii="Times New Roman" w:hAnsi="Times New Roman" w:cs="Times New Roman"/>
          <w:sz w:val="24"/>
          <w:szCs w:val="24"/>
        </w:rPr>
        <w:t xml:space="preserve"> e que “regulam </w:t>
      </w:r>
      <w:proofErr w:type="gramStart"/>
      <w:r w:rsidR="00907A90" w:rsidRPr="00907A90">
        <w:rPr>
          <w:rFonts w:ascii="Times New Roman" w:hAnsi="Times New Roman" w:cs="Times New Roman"/>
          <w:sz w:val="24"/>
          <w:szCs w:val="24"/>
        </w:rPr>
        <w:t>cerca de 95</w:t>
      </w:r>
      <w:proofErr w:type="gramEnd"/>
      <w:r w:rsidR="00907A90" w:rsidRPr="00907A90">
        <w:rPr>
          <w:rFonts w:ascii="Times New Roman" w:hAnsi="Times New Roman" w:cs="Times New Roman"/>
          <w:sz w:val="24"/>
          <w:szCs w:val="24"/>
        </w:rPr>
        <w:t xml:space="preserve">% das delegações no </w:t>
      </w:r>
      <w:r w:rsidR="00907A90" w:rsidRPr="0046600A">
        <w:rPr>
          <w:rFonts w:ascii="Times New Roman" w:hAnsi="Times New Roman" w:cs="Times New Roman"/>
          <w:sz w:val="24"/>
          <w:szCs w:val="24"/>
        </w:rPr>
        <w:t>país” (ABAR, 2013, p. 9)</w:t>
      </w:r>
      <w:r w:rsidR="00A04CB3" w:rsidRPr="0046600A">
        <w:rPr>
          <w:rFonts w:ascii="Times New Roman" w:hAnsi="Times New Roman" w:cs="Times New Roman"/>
          <w:sz w:val="24"/>
          <w:szCs w:val="24"/>
        </w:rPr>
        <w:t xml:space="preserve">, </w:t>
      </w:r>
      <w:r w:rsidR="00A04CB3">
        <w:rPr>
          <w:rFonts w:ascii="Times New Roman" w:hAnsi="Times New Roman" w:cs="Times New Roman"/>
          <w:sz w:val="24"/>
          <w:szCs w:val="24"/>
        </w:rPr>
        <w:t>é composto</w:t>
      </w:r>
      <w:r w:rsidR="00907A90" w:rsidRPr="00907A90">
        <w:rPr>
          <w:rFonts w:ascii="Times New Roman" w:hAnsi="Times New Roman" w:cs="Times New Roman"/>
          <w:sz w:val="24"/>
          <w:szCs w:val="24"/>
        </w:rPr>
        <w:t xml:space="preserve"> por entidades estaduais (59%)</w:t>
      </w:r>
      <w:r w:rsidR="00473275">
        <w:rPr>
          <w:rFonts w:ascii="Times New Roman" w:hAnsi="Times New Roman" w:cs="Times New Roman"/>
          <w:sz w:val="24"/>
          <w:szCs w:val="24"/>
        </w:rPr>
        <w:t>,</w:t>
      </w:r>
      <w:r w:rsidR="00907A90" w:rsidRPr="00907A90">
        <w:rPr>
          <w:rFonts w:ascii="Times New Roman" w:hAnsi="Times New Roman" w:cs="Times New Roman"/>
          <w:sz w:val="24"/>
          <w:szCs w:val="24"/>
        </w:rPr>
        <w:t xml:space="preserve"> seguidas pelas entidades municipais (26%)</w:t>
      </w:r>
      <w:r w:rsidR="00D7719D">
        <w:rPr>
          <w:rFonts w:ascii="Times New Roman" w:hAnsi="Times New Roman" w:cs="Times New Roman"/>
          <w:sz w:val="24"/>
          <w:szCs w:val="24"/>
        </w:rPr>
        <w:t>, consorciadas (11%) e distrital (4%)</w:t>
      </w:r>
      <w:r w:rsidR="00907A90" w:rsidRPr="00907A90">
        <w:rPr>
          <w:rFonts w:ascii="Times New Roman" w:hAnsi="Times New Roman" w:cs="Times New Roman"/>
          <w:sz w:val="24"/>
          <w:szCs w:val="24"/>
        </w:rPr>
        <w:t>. Sobre o número de delegações reguladas, a pesquisa aponta um aumento considerável nos últimos anos</w:t>
      </w:r>
      <w:r w:rsidR="00D7719D">
        <w:rPr>
          <w:rFonts w:ascii="Times New Roman" w:hAnsi="Times New Roman" w:cs="Times New Roman"/>
          <w:sz w:val="24"/>
          <w:szCs w:val="24"/>
        </w:rPr>
        <w:t>, saindo de 884 delegações</w:t>
      </w:r>
      <w:r w:rsidR="00BD48E3">
        <w:rPr>
          <w:rFonts w:ascii="Times New Roman" w:hAnsi="Times New Roman" w:cs="Times New Roman"/>
          <w:sz w:val="24"/>
          <w:szCs w:val="24"/>
        </w:rPr>
        <w:t>,</w:t>
      </w:r>
      <w:r w:rsidR="00D7719D">
        <w:rPr>
          <w:rFonts w:ascii="Times New Roman" w:hAnsi="Times New Roman" w:cs="Times New Roman"/>
          <w:sz w:val="24"/>
          <w:szCs w:val="24"/>
        </w:rPr>
        <w:t xml:space="preserve"> em 2009</w:t>
      </w:r>
      <w:r w:rsidR="00BD48E3">
        <w:rPr>
          <w:rFonts w:ascii="Times New Roman" w:hAnsi="Times New Roman" w:cs="Times New Roman"/>
          <w:sz w:val="24"/>
          <w:szCs w:val="24"/>
        </w:rPr>
        <w:t>,</w:t>
      </w:r>
      <w:r w:rsidR="00D7719D">
        <w:rPr>
          <w:rFonts w:ascii="Times New Roman" w:hAnsi="Times New Roman" w:cs="Times New Roman"/>
          <w:sz w:val="24"/>
          <w:szCs w:val="24"/>
        </w:rPr>
        <w:t xml:space="preserve"> para 2.716 delegações</w:t>
      </w:r>
      <w:r w:rsidR="00BD48E3">
        <w:rPr>
          <w:rFonts w:ascii="Times New Roman" w:hAnsi="Times New Roman" w:cs="Times New Roman"/>
          <w:sz w:val="24"/>
          <w:szCs w:val="24"/>
        </w:rPr>
        <w:t>,</w:t>
      </w:r>
      <w:r w:rsidR="00D7719D">
        <w:rPr>
          <w:rFonts w:ascii="Times New Roman" w:hAnsi="Times New Roman" w:cs="Times New Roman"/>
          <w:sz w:val="24"/>
          <w:szCs w:val="24"/>
        </w:rPr>
        <w:t xml:space="preserve"> em 2013. Tal fato</w:t>
      </w:r>
      <w:r w:rsidR="00907A90" w:rsidRPr="00907A90">
        <w:rPr>
          <w:rFonts w:ascii="Times New Roman" w:hAnsi="Times New Roman" w:cs="Times New Roman"/>
          <w:sz w:val="24"/>
          <w:szCs w:val="24"/>
        </w:rPr>
        <w:t xml:space="preserve"> se justifica pelo</w:t>
      </w:r>
      <w:r w:rsidR="000E3302">
        <w:rPr>
          <w:rFonts w:ascii="Times New Roman" w:hAnsi="Times New Roman" w:cs="Times New Roman"/>
          <w:sz w:val="24"/>
          <w:szCs w:val="24"/>
        </w:rPr>
        <w:t xml:space="preserve"> </w:t>
      </w:r>
      <w:r w:rsidR="000E3302" w:rsidRPr="00907A90">
        <w:rPr>
          <w:rFonts w:ascii="Times New Roman" w:hAnsi="Times New Roman" w:cs="Times New Roman"/>
          <w:sz w:val="24"/>
          <w:szCs w:val="24"/>
        </w:rPr>
        <w:t>aprimoramento institucional</w:t>
      </w:r>
      <w:r w:rsidR="000E3302">
        <w:rPr>
          <w:rFonts w:ascii="Times New Roman" w:hAnsi="Times New Roman" w:cs="Times New Roman"/>
          <w:sz w:val="24"/>
          <w:szCs w:val="24"/>
        </w:rPr>
        <w:t xml:space="preserve"> e</w:t>
      </w:r>
      <w:r w:rsidR="00907A90" w:rsidRPr="00907A90">
        <w:rPr>
          <w:rFonts w:ascii="Times New Roman" w:hAnsi="Times New Roman" w:cs="Times New Roman"/>
          <w:sz w:val="24"/>
          <w:szCs w:val="24"/>
        </w:rPr>
        <w:t xml:space="preserve"> crescimento da regulação após a LNSB (ABAR, 2013).</w:t>
      </w:r>
      <w:r w:rsidR="001B727D">
        <w:rPr>
          <w:rFonts w:ascii="Times New Roman" w:hAnsi="Times New Roman" w:cs="Times New Roman"/>
          <w:sz w:val="24"/>
          <w:szCs w:val="24"/>
        </w:rPr>
        <w:tab/>
      </w:r>
      <w:r w:rsidR="001B727D" w:rsidRPr="001B727D">
        <w:rPr>
          <w:rFonts w:ascii="Times New Roman" w:hAnsi="Times New Roman" w:cs="Times New Roman"/>
          <w:sz w:val="24"/>
          <w:szCs w:val="24"/>
        </w:rPr>
        <w:t>O total de 2.716 delegações que compõe a pesquisa equivale a 48,8% das delegações possíveis</w:t>
      </w:r>
      <w:r w:rsidR="00864080">
        <w:rPr>
          <w:rFonts w:ascii="Times New Roman" w:hAnsi="Times New Roman" w:cs="Times New Roman"/>
          <w:sz w:val="24"/>
          <w:szCs w:val="24"/>
        </w:rPr>
        <w:t xml:space="preserve"> (5.561 municípios brasileiros</w:t>
      </w:r>
      <w:r w:rsidR="001B727D" w:rsidRPr="001B727D">
        <w:rPr>
          <w:rFonts w:ascii="Times New Roman" w:hAnsi="Times New Roman" w:cs="Times New Roman"/>
          <w:sz w:val="24"/>
          <w:szCs w:val="24"/>
        </w:rPr>
        <w:t xml:space="preserve">). </w:t>
      </w:r>
      <w:r w:rsidR="00D7719D">
        <w:rPr>
          <w:rFonts w:ascii="Times New Roman" w:hAnsi="Times New Roman" w:cs="Times New Roman"/>
          <w:sz w:val="24"/>
          <w:szCs w:val="24"/>
        </w:rPr>
        <w:t>A grande parte de</w:t>
      </w:r>
      <w:r w:rsidR="00D7719D" w:rsidRPr="00D7719D">
        <w:rPr>
          <w:rFonts w:ascii="Times New Roman" w:hAnsi="Times New Roman" w:cs="Times New Roman"/>
          <w:sz w:val="24"/>
          <w:szCs w:val="24"/>
        </w:rPr>
        <w:t>s</w:t>
      </w:r>
      <w:r w:rsidR="00D7719D">
        <w:rPr>
          <w:rFonts w:ascii="Times New Roman" w:hAnsi="Times New Roman" w:cs="Times New Roman"/>
          <w:sz w:val="24"/>
          <w:szCs w:val="24"/>
        </w:rPr>
        <w:t>sas</w:t>
      </w:r>
      <w:r w:rsidR="00D7719D" w:rsidRPr="00D7719D">
        <w:rPr>
          <w:rFonts w:ascii="Times New Roman" w:hAnsi="Times New Roman" w:cs="Times New Roman"/>
          <w:sz w:val="24"/>
          <w:szCs w:val="24"/>
        </w:rPr>
        <w:t xml:space="preserve"> delegações é regulada </w:t>
      </w:r>
      <w:r w:rsidR="00864080">
        <w:rPr>
          <w:rFonts w:ascii="Times New Roman" w:hAnsi="Times New Roman" w:cs="Times New Roman"/>
          <w:sz w:val="24"/>
          <w:szCs w:val="24"/>
        </w:rPr>
        <w:t>por</w:t>
      </w:r>
      <w:r w:rsidR="00D7719D" w:rsidRPr="00D7719D">
        <w:rPr>
          <w:rFonts w:ascii="Times New Roman" w:hAnsi="Times New Roman" w:cs="Times New Roman"/>
          <w:sz w:val="24"/>
          <w:szCs w:val="24"/>
        </w:rPr>
        <w:t xml:space="preserve"> entidades estaduais (92,5%)</w:t>
      </w:r>
      <w:r w:rsidR="00D7719D">
        <w:rPr>
          <w:rFonts w:ascii="Times New Roman" w:hAnsi="Times New Roman" w:cs="Times New Roman"/>
          <w:sz w:val="24"/>
          <w:szCs w:val="24"/>
        </w:rPr>
        <w:t xml:space="preserve">, o segundo maior grupo </w:t>
      </w:r>
      <w:r w:rsidR="00864080">
        <w:rPr>
          <w:rFonts w:ascii="Times New Roman" w:hAnsi="Times New Roman" w:cs="Times New Roman"/>
          <w:sz w:val="24"/>
          <w:szCs w:val="24"/>
        </w:rPr>
        <w:t xml:space="preserve">pelas </w:t>
      </w:r>
      <w:r w:rsidR="00D7719D">
        <w:rPr>
          <w:rFonts w:ascii="Times New Roman" w:hAnsi="Times New Roman" w:cs="Times New Roman"/>
          <w:sz w:val="24"/>
          <w:szCs w:val="24"/>
        </w:rPr>
        <w:t>entidades consorciadas (7,3%) e uma pequena parte por entidades municipais (0,3%).</w:t>
      </w:r>
    </w:p>
    <w:p w:rsidR="002F4696" w:rsidRPr="001B727D" w:rsidRDefault="002F4696"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pesquisa </w:t>
      </w:r>
      <w:proofErr w:type="gramStart"/>
      <w:r>
        <w:rPr>
          <w:rFonts w:ascii="Times New Roman" w:hAnsi="Times New Roman" w:cs="Times New Roman"/>
          <w:sz w:val="24"/>
          <w:szCs w:val="24"/>
        </w:rPr>
        <w:t>da ABAR</w:t>
      </w:r>
      <w:proofErr w:type="gramEnd"/>
      <w:r>
        <w:rPr>
          <w:rFonts w:ascii="Times New Roman" w:hAnsi="Times New Roman" w:cs="Times New Roman"/>
          <w:sz w:val="24"/>
          <w:szCs w:val="24"/>
        </w:rPr>
        <w:t xml:space="preserve"> também detalha</w:t>
      </w:r>
      <w:r w:rsidRPr="002F4696">
        <w:rPr>
          <w:rFonts w:ascii="Times New Roman" w:hAnsi="Times New Roman" w:cs="Times New Roman"/>
          <w:sz w:val="24"/>
          <w:szCs w:val="24"/>
        </w:rPr>
        <w:t xml:space="preserve"> a produção de no</w:t>
      </w:r>
      <w:r>
        <w:rPr>
          <w:rFonts w:ascii="Times New Roman" w:hAnsi="Times New Roman" w:cs="Times New Roman"/>
          <w:sz w:val="24"/>
          <w:szCs w:val="24"/>
        </w:rPr>
        <w:t xml:space="preserve">rmas das entidades reguladoras e </w:t>
      </w:r>
      <w:r w:rsidRPr="002F4696">
        <w:rPr>
          <w:rFonts w:ascii="Times New Roman" w:hAnsi="Times New Roman" w:cs="Times New Roman"/>
          <w:sz w:val="24"/>
          <w:szCs w:val="24"/>
        </w:rPr>
        <w:t>conclui que “a regulação do saneamento básico ainda se encontra a meio caminho para a plena execução das competências normativas legalmente definidas pelo art. 23 da LNSB” (ABAR, 2013, p. 81).</w:t>
      </w:r>
      <w:r>
        <w:rPr>
          <w:rFonts w:ascii="Times New Roman" w:hAnsi="Times New Roman" w:cs="Times New Roman"/>
          <w:sz w:val="24"/>
          <w:szCs w:val="24"/>
        </w:rPr>
        <w:t xml:space="preserve"> </w:t>
      </w:r>
      <w:r w:rsidRPr="002F4696">
        <w:rPr>
          <w:rFonts w:ascii="Times New Roman" w:hAnsi="Times New Roman" w:cs="Times New Roman"/>
          <w:sz w:val="24"/>
          <w:szCs w:val="24"/>
        </w:rPr>
        <w:t>O maior númer</w:t>
      </w:r>
      <w:r w:rsidR="00864080">
        <w:rPr>
          <w:rFonts w:ascii="Times New Roman" w:hAnsi="Times New Roman" w:cs="Times New Roman"/>
          <w:sz w:val="24"/>
          <w:szCs w:val="24"/>
        </w:rPr>
        <w:t xml:space="preserve">o de entidades reguladoras </w:t>
      </w:r>
      <w:r w:rsidRPr="002F4696">
        <w:rPr>
          <w:rFonts w:ascii="Times New Roman" w:hAnsi="Times New Roman" w:cs="Times New Roman"/>
          <w:sz w:val="24"/>
          <w:szCs w:val="24"/>
        </w:rPr>
        <w:t>produziu normas sobre as condições para prestação dos serviços, mas importantes temas como a contabilidade regulatória e indicadores de desempenho receberam</w:t>
      </w:r>
      <w:r w:rsidR="00864080">
        <w:rPr>
          <w:rFonts w:ascii="Times New Roman" w:hAnsi="Times New Roman" w:cs="Times New Roman"/>
          <w:sz w:val="24"/>
          <w:szCs w:val="24"/>
        </w:rPr>
        <w:t xml:space="preserve"> menos</w:t>
      </w:r>
      <w:r w:rsidRPr="002F4696">
        <w:rPr>
          <w:rFonts w:ascii="Times New Roman" w:hAnsi="Times New Roman" w:cs="Times New Roman"/>
          <w:sz w:val="24"/>
          <w:szCs w:val="24"/>
        </w:rPr>
        <w:t xml:space="preserve"> atenção.</w:t>
      </w:r>
      <w:r>
        <w:rPr>
          <w:rFonts w:ascii="Times New Roman" w:hAnsi="Times New Roman" w:cs="Times New Roman"/>
          <w:sz w:val="24"/>
          <w:szCs w:val="24"/>
        </w:rPr>
        <w:t xml:space="preserve"> </w:t>
      </w:r>
      <w:r w:rsidRPr="002F4696">
        <w:rPr>
          <w:rFonts w:ascii="Times New Roman" w:hAnsi="Times New Roman" w:cs="Times New Roman"/>
          <w:sz w:val="24"/>
          <w:szCs w:val="24"/>
        </w:rPr>
        <w:t xml:space="preserve">Não foi possível identificar, na pesquisa da ABAR, entidades reguladoras que tenham editado normas sobre metas progressivas de expansão (Art. 23, inciso III) e avaliação de eficiência dos serviços prestados (Art. 23, inciso VII). Esses dois pontos são fundamentais no contexto do desafio da universalização dos SAA e SES e sua ausência das normas regulatórias reforça a questão </w:t>
      </w:r>
      <w:r>
        <w:rPr>
          <w:rFonts w:ascii="Times New Roman" w:hAnsi="Times New Roman" w:cs="Times New Roman"/>
          <w:sz w:val="24"/>
          <w:szCs w:val="24"/>
        </w:rPr>
        <w:t>d</w:t>
      </w:r>
      <w:r w:rsidRPr="002F4696">
        <w:rPr>
          <w:rFonts w:ascii="Times New Roman" w:hAnsi="Times New Roman" w:cs="Times New Roman"/>
          <w:sz w:val="24"/>
          <w:szCs w:val="24"/>
        </w:rPr>
        <w:t xml:space="preserve">a incerteza relacionada à efetividade dos mecanismos </w:t>
      </w:r>
      <w:r w:rsidR="00864080">
        <w:rPr>
          <w:rFonts w:ascii="Times New Roman" w:hAnsi="Times New Roman" w:cs="Times New Roman"/>
          <w:sz w:val="24"/>
          <w:szCs w:val="24"/>
        </w:rPr>
        <w:t xml:space="preserve">regulatórios </w:t>
      </w:r>
      <w:r w:rsidRPr="002F4696">
        <w:rPr>
          <w:rFonts w:ascii="Times New Roman" w:hAnsi="Times New Roman" w:cs="Times New Roman"/>
          <w:sz w:val="24"/>
          <w:szCs w:val="24"/>
        </w:rPr>
        <w:t>previstos na LNSB.</w:t>
      </w:r>
      <w:r w:rsidR="00606D4A">
        <w:rPr>
          <w:rFonts w:ascii="Times New Roman" w:hAnsi="Times New Roman" w:cs="Times New Roman"/>
          <w:sz w:val="24"/>
          <w:szCs w:val="24"/>
        </w:rPr>
        <w:t xml:space="preserve"> </w:t>
      </w:r>
    </w:p>
    <w:p w:rsidR="001706EF" w:rsidRDefault="001706EF" w:rsidP="00195583">
      <w:pPr>
        <w:spacing w:after="0" w:line="240" w:lineRule="auto"/>
        <w:jc w:val="both"/>
        <w:rPr>
          <w:rFonts w:ascii="Times New Roman" w:hAnsi="Times New Roman" w:cs="Times New Roman"/>
          <w:sz w:val="24"/>
          <w:szCs w:val="24"/>
        </w:rPr>
      </w:pPr>
    </w:p>
    <w:p w:rsidR="00C036DA" w:rsidRPr="001706EF" w:rsidRDefault="00C036DA" w:rsidP="00195583">
      <w:pPr>
        <w:spacing w:after="0" w:line="240" w:lineRule="auto"/>
        <w:jc w:val="both"/>
        <w:rPr>
          <w:rFonts w:ascii="Times New Roman" w:hAnsi="Times New Roman" w:cs="Times New Roman"/>
          <w:b/>
          <w:sz w:val="24"/>
          <w:szCs w:val="24"/>
        </w:rPr>
      </w:pPr>
      <w:proofErr w:type="gramStart"/>
      <w:r w:rsidRPr="001706EF">
        <w:rPr>
          <w:rFonts w:ascii="Times New Roman" w:hAnsi="Times New Roman" w:cs="Times New Roman"/>
          <w:b/>
          <w:sz w:val="24"/>
          <w:szCs w:val="24"/>
        </w:rPr>
        <w:t>3</w:t>
      </w:r>
      <w:proofErr w:type="gramEnd"/>
      <w:r w:rsidRPr="001706EF">
        <w:rPr>
          <w:rFonts w:ascii="Times New Roman" w:hAnsi="Times New Roman" w:cs="Times New Roman"/>
          <w:b/>
          <w:sz w:val="24"/>
          <w:szCs w:val="24"/>
        </w:rPr>
        <w:t xml:space="preserve"> Referencial teórico</w:t>
      </w:r>
    </w:p>
    <w:p w:rsidR="00C036DA" w:rsidRDefault="00C036DA" w:rsidP="00195583">
      <w:pPr>
        <w:spacing w:after="0" w:line="240" w:lineRule="auto"/>
        <w:jc w:val="both"/>
        <w:rPr>
          <w:rFonts w:ascii="Times New Roman" w:hAnsi="Times New Roman" w:cs="Times New Roman"/>
          <w:sz w:val="24"/>
          <w:szCs w:val="24"/>
        </w:rPr>
      </w:pPr>
    </w:p>
    <w:p w:rsidR="000533CC" w:rsidRPr="00E844D9" w:rsidRDefault="000533CC" w:rsidP="00195583">
      <w:pPr>
        <w:spacing w:after="0" w:line="240" w:lineRule="auto"/>
        <w:jc w:val="both"/>
        <w:rPr>
          <w:rFonts w:ascii="Times New Roman" w:hAnsi="Times New Roman" w:cs="Times New Roman"/>
          <w:b/>
          <w:sz w:val="24"/>
          <w:szCs w:val="24"/>
        </w:rPr>
      </w:pPr>
      <w:r w:rsidRPr="00E844D9">
        <w:rPr>
          <w:rFonts w:ascii="Times New Roman" w:hAnsi="Times New Roman" w:cs="Times New Roman"/>
          <w:b/>
          <w:sz w:val="24"/>
          <w:szCs w:val="24"/>
        </w:rPr>
        <w:t>3.1 Considerações sobre a teoria da regulação e sua aplicação no setor de saneamento</w:t>
      </w:r>
      <w:r w:rsidR="00C91179">
        <w:rPr>
          <w:rFonts w:ascii="Times New Roman" w:hAnsi="Times New Roman" w:cs="Times New Roman"/>
          <w:b/>
          <w:sz w:val="24"/>
          <w:szCs w:val="24"/>
        </w:rPr>
        <w:t xml:space="preserve"> </w:t>
      </w:r>
      <w:r w:rsidRPr="00E844D9">
        <w:rPr>
          <w:rFonts w:ascii="Times New Roman" w:hAnsi="Times New Roman" w:cs="Times New Roman"/>
          <w:b/>
          <w:sz w:val="24"/>
          <w:szCs w:val="24"/>
        </w:rPr>
        <w:t>brasileiro</w:t>
      </w:r>
    </w:p>
    <w:p w:rsidR="000533CC" w:rsidRPr="000533CC" w:rsidRDefault="000533CC" w:rsidP="00195583">
      <w:pPr>
        <w:spacing w:after="0" w:line="240" w:lineRule="auto"/>
        <w:jc w:val="both"/>
        <w:rPr>
          <w:rFonts w:ascii="Times New Roman" w:hAnsi="Times New Roman" w:cs="Times New Roman"/>
          <w:sz w:val="24"/>
          <w:szCs w:val="24"/>
        </w:rPr>
      </w:pPr>
    </w:p>
    <w:p w:rsidR="000533CC" w:rsidRPr="0046600A" w:rsidRDefault="000533CC" w:rsidP="00195583">
      <w:pPr>
        <w:spacing w:after="0" w:line="240" w:lineRule="auto"/>
        <w:jc w:val="both"/>
        <w:rPr>
          <w:rFonts w:ascii="Times New Roman" w:hAnsi="Times New Roman" w:cs="Times New Roman"/>
          <w:sz w:val="24"/>
          <w:szCs w:val="24"/>
        </w:rPr>
      </w:pPr>
      <w:r w:rsidRPr="000533CC">
        <w:rPr>
          <w:rFonts w:ascii="Times New Roman" w:hAnsi="Times New Roman" w:cs="Times New Roman"/>
          <w:sz w:val="24"/>
          <w:szCs w:val="24"/>
        </w:rPr>
        <w:tab/>
      </w:r>
      <w:r w:rsidR="005648C8">
        <w:rPr>
          <w:rFonts w:ascii="Times New Roman" w:hAnsi="Times New Roman" w:cs="Times New Roman"/>
          <w:sz w:val="24"/>
          <w:szCs w:val="24"/>
        </w:rPr>
        <w:t xml:space="preserve">A regulação está ligada ao debate sobre o </w:t>
      </w:r>
      <w:r w:rsidRPr="000533CC">
        <w:rPr>
          <w:rFonts w:ascii="Times New Roman" w:hAnsi="Times New Roman" w:cs="Times New Roman"/>
          <w:sz w:val="24"/>
          <w:szCs w:val="24"/>
        </w:rPr>
        <w:t xml:space="preserve">as fronteiras estatais. Até que ponto e de que forma o Estado deve intervir na economia e na vida em sociedade? Para </w:t>
      </w:r>
      <w:r w:rsidRPr="0046600A">
        <w:rPr>
          <w:rFonts w:ascii="Times New Roman" w:hAnsi="Times New Roman" w:cs="Times New Roman"/>
          <w:sz w:val="24"/>
          <w:szCs w:val="24"/>
        </w:rPr>
        <w:t>Marques Neto (2009, p. 165), mesmo existindo concepções neoclássicas contrárias à atuação estatal, não é possível “no mundo contemporâneo conceber uma economia desenvolvida sem algum envolvimento estatal na atividade regulatória”.</w:t>
      </w:r>
    </w:p>
    <w:p w:rsidR="005648C8" w:rsidRDefault="000533CC" w:rsidP="005648C8">
      <w:pPr>
        <w:spacing w:after="0" w:line="240" w:lineRule="auto"/>
        <w:jc w:val="both"/>
        <w:rPr>
          <w:rFonts w:ascii="Times New Roman" w:hAnsi="Times New Roman" w:cs="Times New Roman"/>
          <w:sz w:val="24"/>
          <w:szCs w:val="24"/>
        </w:rPr>
      </w:pPr>
      <w:r w:rsidRPr="0046600A">
        <w:rPr>
          <w:rFonts w:ascii="Times New Roman" w:hAnsi="Times New Roman" w:cs="Times New Roman"/>
          <w:sz w:val="24"/>
          <w:szCs w:val="24"/>
        </w:rPr>
        <w:tab/>
        <w:t xml:space="preserve">Ao tratar das origens da regulação, Galvão Junior e </w:t>
      </w:r>
      <w:proofErr w:type="spellStart"/>
      <w:r w:rsidRPr="0046600A">
        <w:rPr>
          <w:rFonts w:ascii="Times New Roman" w:hAnsi="Times New Roman" w:cs="Times New Roman"/>
          <w:sz w:val="24"/>
          <w:szCs w:val="24"/>
        </w:rPr>
        <w:t>Paganini</w:t>
      </w:r>
      <w:proofErr w:type="spellEnd"/>
      <w:r w:rsidRPr="0046600A">
        <w:rPr>
          <w:rFonts w:ascii="Times New Roman" w:hAnsi="Times New Roman" w:cs="Times New Roman"/>
          <w:sz w:val="24"/>
          <w:szCs w:val="24"/>
        </w:rPr>
        <w:t xml:space="preserve"> (2009, p. 80) destacam que</w:t>
      </w:r>
      <w:r w:rsidR="00A82BDC">
        <w:rPr>
          <w:rFonts w:ascii="Times New Roman" w:hAnsi="Times New Roman" w:cs="Times New Roman"/>
          <w:sz w:val="24"/>
          <w:szCs w:val="24"/>
        </w:rPr>
        <w:t>,</w:t>
      </w:r>
      <w:r w:rsidRPr="0046600A">
        <w:rPr>
          <w:rFonts w:ascii="Times New Roman" w:hAnsi="Times New Roman" w:cs="Times New Roman"/>
          <w:sz w:val="24"/>
          <w:szCs w:val="24"/>
        </w:rPr>
        <w:t xml:space="preserve"> segundo os pressupostos da escola neoclássica</w:t>
      </w:r>
      <w:r w:rsidR="00A82BDC">
        <w:rPr>
          <w:rFonts w:ascii="Times New Roman" w:hAnsi="Times New Roman" w:cs="Times New Roman"/>
          <w:sz w:val="24"/>
          <w:szCs w:val="24"/>
        </w:rPr>
        <w:t>,</w:t>
      </w:r>
      <w:r w:rsidRPr="0046600A">
        <w:rPr>
          <w:rFonts w:ascii="Times New Roman" w:hAnsi="Times New Roman" w:cs="Times New Roman"/>
          <w:sz w:val="24"/>
          <w:szCs w:val="24"/>
        </w:rPr>
        <w:t xml:space="preserve"> "o bem-estar social seria atingindo pelas </w:t>
      </w:r>
      <w:r w:rsidRPr="000533CC">
        <w:rPr>
          <w:rFonts w:ascii="Times New Roman" w:hAnsi="Times New Roman" w:cs="Times New Roman"/>
          <w:sz w:val="24"/>
          <w:szCs w:val="24"/>
        </w:rPr>
        <w:t xml:space="preserve">forças econômicas que regulavam livremente a oferta e a demanda do mercado [...] a função primordial do governo era garantir e </w:t>
      </w:r>
      <w:r w:rsidRPr="000533CC">
        <w:rPr>
          <w:rFonts w:ascii="Times New Roman" w:hAnsi="Times New Roman" w:cs="Times New Roman"/>
          <w:sz w:val="24"/>
          <w:szCs w:val="24"/>
        </w:rPr>
        <w:lastRenderedPageBreak/>
        <w:t>promover a livre competição [...]". No entanto, esse paradigma da concorrência perfeita não reflete a realidade, uma vez que existem falhas de mercado</w:t>
      </w:r>
      <w:r>
        <w:rPr>
          <w:rFonts w:ascii="Times New Roman" w:hAnsi="Times New Roman" w:cs="Times New Roman"/>
          <w:sz w:val="24"/>
          <w:szCs w:val="24"/>
        </w:rPr>
        <w:t xml:space="preserve"> – monopólio, bens públicos, externalidades, assimetria de informações – </w:t>
      </w:r>
      <w:r w:rsidRPr="000533CC">
        <w:rPr>
          <w:rFonts w:ascii="Times New Roman" w:hAnsi="Times New Roman" w:cs="Times New Roman"/>
          <w:sz w:val="24"/>
          <w:szCs w:val="24"/>
        </w:rPr>
        <w:t>que justificam a intervenção estatal.</w:t>
      </w:r>
    </w:p>
    <w:p w:rsidR="000533CC" w:rsidRDefault="005648C8" w:rsidP="005648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Vale ressaltar que a</w:t>
      </w:r>
      <w:r w:rsidR="000533CC" w:rsidRPr="000533CC">
        <w:rPr>
          <w:rFonts w:ascii="Times New Roman" w:hAnsi="Times New Roman" w:cs="Times New Roman"/>
          <w:sz w:val="24"/>
          <w:szCs w:val="24"/>
        </w:rPr>
        <w:t xml:space="preserve">nálises promovidas </w:t>
      </w:r>
      <w:r w:rsidR="000533CC" w:rsidRPr="005648C8">
        <w:rPr>
          <w:rFonts w:ascii="Times New Roman" w:hAnsi="Times New Roman" w:cs="Times New Roman"/>
          <w:sz w:val="24"/>
          <w:szCs w:val="24"/>
        </w:rPr>
        <w:t xml:space="preserve">por </w:t>
      </w:r>
      <w:r w:rsidRPr="005648C8">
        <w:rPr>
          <w:rFonts w:ascii="Times New Roman" w:hAnsi="Times New Roman" w:cs="Times New Roman"/>
          <w:sz w:val="24"/>
          <w:szCs w:val="24"/>
        </w:rPr>
        <w:t>George Stigler e</w:t>
      </w:r>
      <w:r w:rsidR="000533CC" w:rsidRPr="005648C8">
        <w:rPr>
          <w:rFonts w:ascii="Times New Roman" w:hAnsi="Times New Roman" w:cs="Times New Roman"/>
          <w:sz w:val="24"/>
          <w:szCs w:val="24"/>
        </w:rPr>
        <w:t xml:space="preserve"> Richard </w:t>
      </w:r>
      <w:proofErr w:type="spellStart"/>
      <w:r w:rsidR="000533CC" w:rsidRPr="005648C8">
        <w:rPr>
          <w:rFonts w:ascii="Times New Roman" w:hAnsi="Times New Roman" w:cs="Times New Roman"/>
          <w:sz w:val="24"/>
          <w:szCs w:val="24"/>
        </w:rPr>
        <w:t>Posner</w:t>
      </w:r>
      <w:proofErr w:type="spellEnd"/>
      <w:r w:rsidRPr="005648C8">
        <w:rPr>
          <w:rFonts w:ascii="Times New Roman" w:hAnsi="Times New Roman" w:cs="Times New Roman"/>
          <w:sz w:val="24"/>
          <w:szCs w:val="24"/>
        </w:rPr>
        <w:t xml:space="preserve"> (</w:t>
      </w:r>
      <w:r w:rsidRPr="005648C8">
        <w:rPr>
          <w:rFonts w:ascii="Times New Roman" w:hAnsi="Times New Roman" w:cs="Times New Roman"/>
          <w:sz w:val="24"/>
          <w:szCs w:val="24"/>
        </w:rPr>
        <w:t>no final da década de 1960 e início da década de 1970</w:t>
      </w:r>
      <w:r w:rsidRPr="005648C8">
        <w:rPr>
          <w:rFonts w:ascii="Times New Roman" w:hAnsi="Times New Roman" w:cs="Times New Roman"/>
          <w:sz w:val="24"/>
          <w:szCs w:val="24"/>
        </w:rPr>
        <w:t xml:space="preserve">) já apontavam aspectos </w:t>
      </w:r>
      <w:r>
        <w:rPr>
          <w:rFonts w:ascii="Times New Roman" w:hAnsi="Times New Roman" w:cs="Times New Roman"/>
          <w:sz w:val="24"/>
          <w:szCs w:val="24"/>
        </w:rPr>
        <w:t xml:space="preserve">que </w:t>
      </w:r>
      <w:r w:rsidR="000533CC" w:rsidRPr="000533CC">
        <w:rPr>
          <w:rFonts w:ascii="Times New Roman" w:hAnsi="Times New Roman" w:cs="Times New Roman"/>
          <w:sz w:val="24"/>
          <w:szCs w:val="24"/>
        </w:rPr>
        <w:t xml:space="preserve">devem ser consideradas para compor uma visão crítica sobre como deveria ser o desempenho da regulação e como ele pode </w:t>
      </w:r>
      <w:proofErr w:type="gramStart"/>
      <w:r w:rsidR="000533CC" w:rsidRPr="000533CC">
        <w:rPr>
          <w:rFonts w:ascii="Times New Roman" w:hAnsi="Times New Roman" w:cs="Times New Roman"/>
          <w:sz w:val="24"/>
          <w:szCs w:val="24"/>
        </w:rPr>
        <w:t>ser,</w:t>
      </w:r>
      <w:proofErr w:type="gramEnd"/>
      <w:r w:rsidR="000533CC" w:rsidRPr="000533CC">
        <w:rPr>
          <w:rFonts w:ascii="Times New Roman" w:hAnsi="Times New Roman" w:cs="Times New Roman"/>
          <w:sz w:val="24"/>
          <w:szCs w:val="24"/>
        </w:rPr>
        <w:t xml:space="preserve"> considerando as distorções possíveis. Nesse sentido, </w:t>
      </w:r>
      <w:r w:rsidR="000533CC" w:rsidRPr="0046600A">
        <w:rPr>
          <w:rFonts w:ascii="Times New Roman" w:hAnsi="Times New Roman" w:cs="Times New Roman"/>
          <w:sz w:val="24"/>
          <w:szCs w:val="24"/>
        </w:rPr>
        <w:t xml:space="preserve">Silva (2013) destaca a importância de entender o equilíbrio de forças que deve ser mediado pela entidade reguladora. O autor apresenta um triângulo que conta com o titular dos serviços, os </w:t>
      </w:r>
      <w:r w:rsidR="000533CC" w:rsidRPr="000533CC">
        <w:rPr>
          <w:rFonts w:ascii="Times New Roman" w:hAnsi="Times New Roman" w:cs="Times New Roman"/>
          <w:sz w:val="24"/>
          <w:szCs w:val="24"/>
        </w:rPr>
        <w:t>usuários e os prestadores nos vértices e a</w:t>
      </w:r>
      <w:r w:rsidR="000533CC">
        <w:rPr>
          <w:rFonts w:ascii="Times New Roman" w:hAnsi="Times New Roman" w:cs="Times New Roman"/>
          <w:sz w:val="24"/>
          <w:szCs w:val="24"/>
        </w:rPr>
        <w:t xml:space="preserve"> entidade reguladora no centro, </w:t>
      </w:r>
      <w:r w:rsidR="000533CC" w:rsidRPr="000533CC">
        <w:rPr>
          <w:rFonts w:ascii="Times New Roman" w:hAnsi="Times New Roman" w:cs="Times New Roman"/>
          <w:sz w:val="24"/>
          <w:szCs w:val="24"/>
        </w:rPr>
        <w:t>demonstra</w:t>
      </w:r>
      <w:r w:rsidR="000533CC">
        <w:rPr>
          <w:rFonts w:ascii="Times New Roman" w:hAnsi="Times New Roman" w:cs="Times New Roman"/>
          <w:sz w:val="24"/>
          <w:szCs w:val="24"/>
        </w:rPr>
        <w:t>ndo</w:t>
      </w:r>
      <w:r w:rsidR="000533CC" w:rsidRPr="000533CC">
        <w:rPr>
          <w:rFonts w:ascii="Times New Roman" w:hAnsi="Times New Roman" w:cs="Times New Roman"/>
          <w:sz w:val="24"/>
          <w:szCs w:val="24"/>
        </w:rPr>
        <w:t xml:space="preserve"> ainda as variações das relações existentes entre o titular e os prestadores de serviços, dependendo do seu arranjo institucional, desde a relação mais próxima (administração direta) até a mais afastada (empresa privada). Trata-se de uma simplificação, mas que já aponta para a complexidade do ambiente regulatório, onde coexistem grupos com interesses distintos que podem impactar no desempenho do regulador.</w:t>
      </w:r>
    </w:p>
    <w:p w:rsidR="004E695D" w:rsidRDefault="00620B01"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20B01">
        <w:rPr>
          <w:rFonts w:ascii="Times New Roman" w:hAnsi="Times New Roman" w:cs="Times New Roman"/>
          <w:sz w:val="24"/>
          <w:szCs w:val="24"/>
        </w:rPr>
        <w:t xml:space="preserve">Considerando as diversas facetas da regulação e partindo do princípio de que o entendimento sobre seu conceito pode variar dependendo da área de estudo ou da abordagem, adota-se neste trabalho a definição ampla de regulação apresentada por </w:t>
      </w:r>
      <w:r w:rsidRPr="0046600A">
        <w:rPr>
          <w:rFonts w:ascii="Times New Roman" w:hAnsi="Times New Roman" w:cs="Times New Roman"/>
          <w:sz w:val="24"/>
          <w:szCs w:val="24"/>
        </w:rPr>
        <w:t xml:space="preserve">Galvão Junior e </w:t>
      </w:r>
      <w:proofErr w:type="spellStart"/>
      <w:r w:rsidRPr="0046600A">
        <w:rPr>
          <w:rFonts w:ascii="Times New Roman" w:hAnsi="Times New Roman" w:cs="Times New Roman"/>
          <w:sz w:val="24"/>
          <w:szCs w:val="24"/>
        </w:rPr>
        <w:t>Paganini</w:t>
      </w:r>
      <w:proofErr w:type="spellEnd"/>
      <w:r w:rsidRPr="0046600A">
        <w:rPr>
          <w:rFonts w:ascii="Times New Roman" w:hAnsi="Times New Roman" w:cs="Times New Roman"/>
          <w:sz w:val="24"/>
          <w:szCs w:val="24"/>
        </w:rPr>
        <w:t xml:space="preserve"> (2009, p. 81): “[...] intervenção do Estado nas ordens econômica e social com a finalidade de se alcançarem eficiência e equidade, traduzidas como universalização na provisão de bens e serviços públicos de natureza essencial</w:t>
      </w:r>
      <w:r w:rsidR="009932CF" w:rsidRPr="0046600A">
        <w:rPr>
          <w:rFonts w:ascii="Times New Roman" w:hAnsi="Times New Roman" w:cs="Times New Roman"/>
          <w:sz w:val="24"/>
          <w:szCs w:val="24"/>
        </w:rPr>
        <w:t xml:space="preserve"> [...]”. Os autores contemplaram no seu conceito as dimensões econômica e social da regulação, o que é essencial para o setor de saneamento, que segundo Marques Neto (2009, p. 178) trata-se de “uma atividade econômica </w:t>
      </w:r>
      <w:r w:rsidR="009932CF" w:rsidRPr="009932CF">
        <w:rPr>
          <w:rFonts w:ascii="Times New Roman" w:hAnsi="Times New Roman" w:cs="Times New Roman"/>
          <w:sz w:val="24"/>
          <w:szCs w:val="24"/>
        </w:rPr>
        <w:t>organizada como serviço público e uma política pública de adesão obrigatória</w:t>
      </w:r>
      <w:r w:rsidR="00A82BDC">
        <w:rPr>
          <w:rFonts w:ascii="Times New Roman" w:hAnsi="Times New Roman" w:cs="Times New Roman"/>
          <w:sz w:val="24"/>
          <w:szCs w:val="24"/>
        </w:rPr>
        <w:t xml:space="preserve"> [...]”.</w:t>
      </w:r>
      <w:r w:rsidR="004E695D">
        <w:rPr>
          <w:rFonts w:ascii="Times New Roman" w:hAnsi="Times New Roman" w:cs="Times New Roman"/>
          <w:sz w:val="24"/>
          <w:szCs w:val="24"/>
        </w:rPr>
        <w:t xml:space="preserve"> </w:t>
      </w:r>
    </w:p>
    <w:p w:rsidR="00525559" w:rsidRPr="0046600A" w:rsidRDefault="004E695D"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5559" w:rsidRPr="0046600A">
        <w:rPr>
          <w:rFonts w:ascii="Times New Roman" w:hAnsi="Times New Roman" w:cs="Times New Roman"/>
          <w:sz w:val="24"/>
          <w:szCs w:val="24"/>
        </w:rPr>
        <w:t>Com a LNSB, o marco regulatório do setor de saneamento passou a ser uma realidade e, de acordo com Marques Neto (2009), está alinhado com o que prevê a moderna regulação, com destaque para a separação entre as funções de planejamento e de prestação d</w:t>
      </w:r>
      <w:r>
        <w:rPr>
          <w:rFonts w:ascii="Times New Roman" w:hAnsi="Times New Roman" w:cs="Times New Roman"/>
          <w:sz w:val="24"/>
          <w:szCs w:val="24"/>
        </w:rPr>
        <w:t>e serviços da função reguladora</w:t>
      </w:r>
      <w:r w:rsidR="00525559" w:rsidRPr="0046600A">
        <w:rPr>
          <w:rFonts w:ascii="Times New Roman" w:hAnsi="Times New Roman" w:cs="Times New Roman"/>
          <w:sz w:val="24"/>
          <w:szCs w:val="24"/>
        </w:rPr>
        <w:t xml:space="preserve">. </w:t>
      </w:r>
      <w:r>
        <w:rPr>
          <w:rFonts w:ascii="Times New Roman" w:hAnsi="Times New Roman" w:cs="Times New Roman"/>
          <w:sz w:val="24"/>
          <w:szCs w:val="24"/>
        </w:rPr>
        <w:t>Nesse sentido,</w:t>
      </w:r>
      <w:r w:rsidR="00525559" w:rsidRPr="00A82BDC">
        <w:rPr>
          <w:rFonts w:ascii="Times New Roman" w:hAnsi="Times New Roman" w:cs="Times New Roman"/>
          <w:color w:val="FF0000"/>
          <w:sz w:val="24"/>
          <w:szCs w:val="24"/>
        </w:rPr>
        <w:t xml:space="preserve"> </w:t>
      </w:r>
      <w:r w:rsidR="00525559" w:rsidRPr="004E695D">
        <w:rPr>
          <w:rFonts w:ascii="Times New Roman" w:hAnsi="Times New Roman" w:cs="Times New Roman"/>
          <w:sz w:val="24"/>
          <w:szCs w:val="24"/>
        </w:rPr>
        <w:t xml:space="preserve">a LNSB </w:t>
      </w:r>
      <w:r w:rsidRPr="004E695D">
        <w:rPr>
          <w:rFonts w:ascii="Times New Roman" w:hAnsi="Times New Roman" w:cs="Times New Roman"/>
          <w:sz w:val="24"/>
          <w:szCs w:val="24"/>
        </w:rPr>
        <w:t xml:space="preserve">também </w:t>
      </w:r>
      <w:r w:rsidR="00525559" w:rsidRPr="004E695D">
        <w:rPr>
          <w:rFonts w:ascii="Times New Roman" w:hAnsi="Times New Roman" w:cs="Times New Roman"/>
          <w:sz w:val="24"/>
          <w:szCs w:val="24"/>
        </w:rPr>
        <w:t>definiu as características das entidades reguladoras do setor: “I- independência decisória, incluindo autonomia administrativa, orçamentária e financeira da entidade reguladora; II- transparência, tecnicidade, celeridade e objetividade das decisões” (BRASIL, 2007, Art. 21).</w:t>
      </w:r>
    </w:p>
    <w:p w:rsidR="00525559" w:rsidRDefault="00525559" w:rsidP="00195583">
      <w:pPr>
        <w:spacing w:after="0" w:line="240" w:lineRule="auto"/>
        <w:jc w:val="both"/>
        <w:rPr>
          <w:rFonts w:ascii="Times New Roman" w:hAnsi="Times New Roman" w:cs="Times New Roman"/>
          <w:sz w:val="24"/>
          <w:szCs w:val="24"/>
        </w:rPr>
      </w:pPr>
      <w:r w:rsidRPr="0046600A">
        <w:rPr>
          <w:rFonts w:ascii="Times New Roman" w:hAnsi="Times New Roman" w:cs="Times New Roman"/>
          <w:sz w:val="24"/>
          <w:szCs w:val="24"/>
        </w:rPr>
        <w:tab/>
        <w:t xml:space="preserve">Mesmo diante </w:t>
      </w:r>
      <w:r w:rsidR="00E32EBE" w:rsidRPr="0046600A">
        <w:rPr>
          <w:rFonts w:ascii="Times New Roman" w:hAnsi="Times New Roman" w:cs="Times New Roman"/>
          <w:sz w:val="24"/>
          <w:szCs w:val="24"/>
        </w:rPr>
        <w:t>da</w:t>
      </w:r>
      <w:r w:rsidRPr="0046600A">
        <w:rPr>
          <w:rFonts w:ascii="Times New Roman" w:hAnsi="Times New Roman" w:cs="Times New Roman"/>
          <w:sz w:val="24"/>
          <w:szCs w:val="24"/>
        </w:rPr>
        <w:t xml:space="preserve"> complexidade que é característica do setor, o marco regulatório brasileiro indica uma pulverização e um consequente enfraquecimento da regulação, na medida em que aponta para a criação de agências reguladoras municipais (</w:t>
      </w:r>
      <w:r w:rsidR="0046600A" w:rsidRPr="0046600A">
        <w:rPr>
          <w:rFonts w:ascii="Times New Roman" w:hAnsi="Times New Roman" w:cs="Times New Roman"/>
          <w:sz w:val="24"/>
          <w:szCs w:val="24"/>
        </w:rPr>
        <w:t>OLIVEIRA; SCAZUFCA; MARCATO, 2011</w:t>
      </w:r>
      <w:r w:rsidRPr="0046600A">
        <w:rPr>
          <w:rFonts w:ascii="Times New Roman" w:hAnsi="Times New Roman" w:cs="Times New Roman"/>
          <w:sz w:val="24"/>
          <w:szCs w:val="24"/>
        </w:rPr>
        <w:t xml:space="preserve">).  A LNSB prevê outros arranjos institucionais (estadual e </w:t>
      </w:r>
      <w:r w:rsidRPr="00525559">
        <w:rPr>
          <w:rFonts w:ascii="Times New Roman" w:hAnsi="Times New Roman" w:cs="Times New Roman"/>
          <w:sz w:val="24"/>
          <w:szCs w:val="24"/>
        </w:rPr>
        <w:t>consórcio), mas existe o risco de que sejam instituídas agências municipais que não sejam viáveis economicamente e que não reúnam a capacidade técnica e a infraestrutura suficientes para executar o conjunto de atividades regulató</w:t>
      </w:r>
      <w:r w:rsidR="00CB0A6F">
        <w:rPr>
          <w:rFonts w:ascii="Times New Roman" w:hAnsi="Times New Roman" w:cs="Times New Roman"/>
          <w:sz w:val="24"/>
          <w:szCs w:val="24"/>
        </w:rPr>
        <w:t>rias previstas na referida lei.</w:t>
      </w:r>
    </w:p>
    <w:p w:rsidR="002541F3" w:rsidRPr="002541F3" w:rsidRDefault="00525559"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Entre as atividades regulatórias, é preciso ressaltar o caráter essencial da</w:t>
      </w:r>
      <w:r w:rsidR="00BF4B0E">
        <w:rPr>
          <w:rFonts w:ascii="Times New Roman" w:hAnsi="Times New Roman" w:cs="Times New Roman"/>
          <w:sz w:val="24"/>
          <w:szCs w:val="24"/>
        </w:rPr>
        <w:t xml:space="preserve"> atividade</w:t>
      </w:r>
      <w:r>
        <w:rPr>
          <w:rFonts w:ascii="Times New Roman" w:hAnsi="Times New Roman" w:cs="Times New Roman"/>
          <w:sz w:val="24"/>
          <w:szCs w:val="24"/>
        </w:rPr>
        <w:t xml:space="preserve"> de normatização, que “[...] pretende ser um ponto de ruptura do paradigma de </w:t>
      </w:r>
      <w:proofErr w:type="spellStart"/>
      <w:r w:rsidR="00311BDB">
        <w:rPr>
          <w:rFonts w:ascii="Times New Roman" w:hAnsi="Times New Roman" w:cs="Times New Roman"/>
          <w:sz w:val="24"/>
          <w:szCs w:val="24"/>
        </w:rPr>
        <w:t>autorregulaç</w:t>
      </w:r>
      <w:r w:rsidR="00342B47">
        <w:rPr>
          <w:rFonts w:ascii="Times New Roman" w:hAnsi="Times New Roman" w:cs="Times New Roman"/>
          <w:sz w:val="24"/>
          <w:szCs w:val="24"/>
        </w:rPr>
        <w:t>ão</w:t>
      </w:r>
      <w:proofErr w:type="spellEnd"/>
      <w:r>
        <w:rPr>
          <w:rFonts w:ascii="Times New Roman" w:hAnsi="Times New Roman" w:cs="Times New Roman"/>
          <w:sz w:val="24"/>
          <w:szCs w:val="24"/>
        </w:rPr>
        <w:t xml:space="preserve"> </w:t>
      </w:r>
      <w:r w:rsidRPr="0046600A">
        <w:rPr>
          <w:rFonts w:ascii="Times New Roman" w:hAnsi="Times New Roman" w:cs="Times New Roman"/>
          <w:sz w:val="24"/>
          <w:szCs w:val="24"/>
        </w:rPr>
        <w:t xml:space="preserve">herdado da cultura do </w:t>
      </w:r>
      <w:proofErr w:type="spellStart"/>
      <w:r w:rsidRPr="0046600A">
        <w:rPr>
          <w:rFonts w:ascii="Times New Roman" w:hAnsi="Times New Roman" w:cs="Times New Roman"/>
          <w:sz w:val="24"/>
          <w:szCs w:val="24"/>
        </w:rPr>
        <w:t>Planasa</w:t>
      </w:r>
      <w:proofErr w:type="spellEnd"/>
      <w:r w:rsidRPr="0046600A">
        <w:rPr>
          <w:rFonts w:ascii="Times New Roman" w:hAnsi="Times New Roman" w:cs="Times New Roman"/>
          <w:sz w:val="24"/>
          <w:szCs w:val="24"/>
        </w:rPr>
        <w:t>” (XIMENES; GALVÃO JUNIOR, 2008, p. 21).</w:t>
      </w:r>
      <w:r w:rsidR="002541F3" w:rsidRPr="0046600A">
        <w:rPr>
          <w:rFonts w:ascii="Times New Roman" w:hAnsi="Times New Roman" w:cs="Times New Roman"/>
          <w:sz w:val="24"/>
          <w:szCs w:val="24"/>
        </w:rPr>
        <w:t xml:space="preserve"> Nesse sentido, </w:t>
      </w:r>
      <w:r w:rsidR="002541F3" w:rsidRPr="002541F3">
        <w:rPr>
          <w:rFonts w:ascii="Times New Roman" w:hAnsi="Times New Roman" w:cs="Times New Roman"/>
          <w:sz w:val="24"/>
          <w:szCs w:val="24"/>
        </w:rPr>
        <w:t>o desenvolvimento dessas atividades deve levar as entidades reguladoras ao alcance dos objetivos regulatórios. Marques Neto (2009, p. 187) identifica no escopo da LNSB “três grandes objetivos a serem perseguidos pelo regulador, a saber: (i) a universalização dos serviços, (</w:t>
      </w:r>
      <w:proofErr w:type="spellStart"/>
      <w:proofErr w:type="gramStart"/>
      <w:r w:rsidR="002541F3" w:rsidRPr="002541F3">
        <w:rPr>
          <w:rFonts w:ascii="Times New Roman" w:hAnsi="Times New Roman" w:cs="Times New Roman"/>
          <w:sz w:val="24"/>
          <w:szCs w:val="24"/>
        </w:rPr>
        <w:t>ii</w:t>
      </w:r>
      <w:proofErr w:type="spellEnd"/>
      <w:proofErr w:type="gramEnd"/>
      <w:r w:rsidR="002541F3" w:rsidRPr="002541F3">
        <w:rPr>
          <w:rFonts w:ascii="Times New Roman" w:hAnsi="Times New Roman" w:cs="Times New Roman"/>
          <w:sz w:val="24"/>
          <w:szCs w:val="24"/>
        </w:rPr>
        <w:t>) a qualidade e eficiência da prestação e (</w:t>
      </w:r>
      <w:proofErr w:type="spellStart"/>
      <w:r w:rsidR="002541F3" w:rsidRPr="002541F3">
        <w:rPr>
          <w:rFonts w:ascii="Times New Roman" w:hAnsi="Times New Roman" w:cs="Times New Roman"/>
          <w:sz w:val="24"/>
          <w:szCs w:val="24"/>
        </w:rPr>
        <w:t>iii</w:t>
      </w:r>
      <w:proofErr w:type="spellEnd"/>
      <w:r w:rsidR="002541F3" w:rsidRPr="002541F3">
        <w:rPr>
          <w:rFonts w:ascii="Times New Roman" w:hAnsi="Times New Roman" w:cs="Times New Roman"/>
          <w:sz w:val="24"/>
          <w:szCs w:val="24"/>
        </w:rPr>
        <w:t>) a modicidade tarifária”. Esses objetivos devem ser encarados como complementares - a eficiência, por exemplo, pode levar à modicidade tarifária e à universalização dos serviços.</w:t>
      </w:r>
    </w:p>
    <w:p w:rsidR="00525559" w:rsidRDefault="002541F3"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541F3">
        <w:rPr>
          <w:rFonts w:ascii="Times New Roman" w:hAnsi="Times New Roman" w:cs="Times New Roman"/>
          <w:sz w:val="24"/>
          <w:szCs w:val="24"/>
        </w:rPr>
        <w:t>Ainda sobre a eficiência, Marques Neto (2009</w:t>
      </w:r>
      <w:r>
        <w:rPr>
          <w:rFonts w:ascii="Times New Roman" w:hAnsi="Times New Roman" w:cs="Times New Roman"/>
          <w:sz w:val="24"/>
          <w:szCs w:val="24"/>
        </w:rPr>
        <w:t>, p. 188</w:t>
      </w:r>
      <w:r w:rsidRPr="002541F3">
        <w:rPr>
          <w:rFonts w:ascii="Times New Roman" w:hAnsi="Times New Roman" w:cs="Times New Roman"/>
          <w:sz w:val="24"/>
          <w:szCs w:val="24"/>
        </w:rPr>
        <w:t>) divide esse objetivo em duas dimensões: a eficiência alocativa</w:t>
      </w:r>
      <w:r>
        <w:rPr>
          <w:rFonts w:ascii="Times New Roman" w:hAnsi="Times New Roman" w:cs="Times New Roman"/>
          <w:sz w:val="24"/>
          <w:szCs w:val="24"/>
        </w:rPr>
        <w:t xml:space="preserve"> como sendo a “</w:t>
      </w:r>
      <w:r w:rsidRPr="002541F3">
        <w:rPr>
          <w:rFonts w:ascii="Times New Roman" w:hAnsi="Times New Roman" w:cs="Times New Roman"/>
          <w:sz w:val="24"/>
          <w:szCs w:val="24"/>
        </w:rPr>
        <w:t>busca da melhor composição econômica, com vistas a atender ao princípio da economicidade</w:t>
      </w:r>
      <w:r>
        <w:rPr>
          <w:rFonts w:ascii="Times New Roman" w:hAnsi="Times New Roman" w:cs="Times New Roman"/>
          <w:sz w:val="24"/>
          <w:szCs w:val="24"/>
        </w:rPr>
        <w:t>”</w:t>
      </w:r>
      <w:r w:rsidRPr="002541F3">
        <w:rPr>
          <w:rFonts w:ascii="Times New Roman" w:hAnsi="Times New Roman" w:cs="Times New Roman"/>
          <w:sz w:val="24"/>
          <w:szCs w:val="24"/>
        </w:rPr>
        <w:t xml:space="preserve"> e a </w:t>
      </w:r>
      <w:proofErr w:type="spellStart"/>
      <w:r w:rsidRPr="002541F3">
        <w:rPr>
          <w:rFonts w:ascii="Times New Roman" w:hAnsi="Times New Roman" w:cs="Times New Roman"/>
          <w:sz w:val="24"/>
          <w:szCs w:val="24"/>
        </w:rPr>
        <w:t>prestacional</w:t>
      </w:r>
      <w:proofErr w:type="spellEnd"/>
      <w:r>
        <w:rPr>
          <w:rFonts w:ascii="Times New Roman" w:hAnsi="Times New Roman" w:cs="Times New Roman"/>
          <w:sz w:val="24"/>
          <w:szCs w:val="24"/>
        </w:rPr>
        <w:t>, que é o “</w:t>
      </w:r>
      <w:r w:rsidRPr="002541F3">
        <w:rPr>
          <w:rFonts w:ascii="Times New Roman" w:hAnsi="Times New Roman" w:cs="Times New Roman"/>
          <w:sz w:val="24"/>
          <w:szCs w:val="24"/>
        </w:rPr>
        <w:t>dever de prestação dos serviços de saneamento com a maior integralidade e qualidade possíveis nas condições específicas de cada ente titular</w:t>
      </w:r>
      <w:r>
        <w:rPr>
          <w:rFonts w:ascii="Times New Roman" w:hAnsi="Times New Roman" w:cs="Times New Roman"/>
          <w:sz w:val="24"/>
          <w:szCs w:val="24"/>
        </w:rPr>
        <w:t>”</w:t>
      </w:r>
      <w:r w:rsidRPr="002541F3">
        <w:rPr>
          <w:rFonts w:ascii="Times New Roman" w:hAnsi="Times New Roman" w:cs="Times New Roman"/>
          <w:sz w:val="24"/>
          <w:szCs w:val="24"/>
        </w:rPr>
        <w:t>.</w:t>
      </w:r>
    </w:p>
    <w:p w:rsidR="00941C1D" w:rsidRDefault="00941C1D" w:rsidP="00195583">
      <w:pPr>
        <w:spacing w:after="0" w:line="240" w:lineRule="auto"/>
        <w:jc w:val="both"/>
        <w:rPr>
          <w:rFonts w:ascii="Times New Roman" w:hAnsi="Times New Roman" w:cs="Times New Roman"/>
          <w:sz w:val="24"/>
          <w:szCs w:val="24"/>
        </w:rPr>
      </w:pPr>
    </w:p>
    <w:p w:rsidR="00962DC6" w:rsidRPr="00962DC6" w:rsidRDefault="00962DC6" w:rsidP="00195583">
      <w:pPr>
        <w:spacing w:after="0" w:line="240" w:lineRule="auto"/>
        <w:jc w:val="both"/>
        <w:rPr>
          <w:rFonts w:ascii="Times New Roman" w:hAnsi="Times New Roman" w:cs="Times New Roman"/>
          <w:b/>
          <w:sz w:val="24"/>
          <w:szCs w:val="24"/>
        </w:rPr>
      </w:pPr>
      <w:proofErr w:type="gramStart"/>
      <w:r w:rsidRPr="00962DC6">
        <w:rPr>
          <w:rFonts w:ascii="Times New Roman" w:hAnsi="Times New Roman" w:cs="Times New Roman"/>
          <w:b/>
          <w:sz w:val="24"/>
          <w:szCs w:val="24"/>
        </w:rPr>
        <w:t>3.2 Mensuração</w:t>
      </w:r>
      <w:proofErr w:type="gramEnd"/>
      <w:r w:rsidRPr="00962DC6">
        <w:rPr>
          <w:rFonts w:ascii="Times New Roman" w:hAnsi="Times New Roman" w:cs="Times New Roman"/>
          <w:b/>
          <w:sz w:val="24"/>
          <w:szCs w:val="24"/>
        </w:rPr>
        <w:t xml:space="preserve"> de eficiência dos prestadores de SAA e SES sob a ótica da regulação</w:t>
      </w:r>
    </w:p>
    <w:p w:rsidR="00962DC6" w:rsidRPr="00962DC6" w:rsidRDefault="00962DC6" w:rsidP="00195583">
      <w:pPr>
        <w:spacing w:after="0" w:line="240" w:lineRule="auto"/>
        <w:jc w:val="both"/>
        <w:rPr>
          <w:rFonts w:ascii="Times New Roman" w:hAnsi="Times New Roman" w:cs="Times New Roman"/>
          <w:sz w:val="24"/>
          <w:szCs w:val="24"/>
        </w:rPr>
      </w:pPr>
    </w:p>
    <w:p w:rsidR="00962DC6" w:rsidRPr="00962DC6" w:rsidRDefault="00962DC6" w:rsidP="00195583">
      <w:pPr>
        <w:spacing w:after="0" w:line="240" w:lineRule="auto"/>
        <w:jc w:val="both"/>
        <w:rPr>
          <w:rFonts w:ascii="Times New Roman" w:hAnsi="Times New Roman" w:cs="Times New Roman"/>
          <w:sz w:val="24"/>
          <w:szCs w:val="24"/>
        </w:rPr>
      </w:pPr>
      <w:r w:rsidRPr="00962DC6">
        <w:rPr>
          <w:rFonts w:ascii="Times New Roman" w:hAnsi="Times New Roman" w:cs="Times New Roman"/>
          <w:sz w:val="24"/>
          <w:szCs w:val="24"/>
        </w:rPr>
        <w:tab/>
        <w:t xml:space="preserve">Conforme foi abordado </w:t>
      </w:r>
      <w:r>
        <w:rPr>
          <w:rFonts w:ascii="Times New Roman" w:hAnsi="Times New Roman" w:cs="Times New Roman"/>
          <w:sz w:val="24"/>
          <w:szCs w:val="24"/>
        </w:rPr>
        <w:t>na seção</w:t>
      </w:r>
      <w:r w:rsidRPr="00962DC6">
        <w:rPr>
          <w:rFonts w:ascii="Times New Roman" w:hAnsi="Times New Roman" w:cs="Times New Roman"/>
          <w:sz w:val="24"/>
          <w:szCs w:val="24"/>
        </w:rPr>
        <w:t xml:space="preserve"> anterior, a eficiência dos prestadores de SAA e SES é um dos objetivos a serem perseguidos pelas entidades reguladoras, sendo tema de vários dispositivos da LNSB. Nesse contexto, os sistemas de regulação por incentivos constituem uma estratégia que tem sido adotada por entidades reguladoras com o intui</w:t>
      </w:r>
      <w:r w:rsidR="00B70B9F">
        <w:rPr>
          <w:rFonts w:ascii="Times New Roman" w:hAnsi="Times New Roman" w:cs="Times New Roman"/>
          <w:sz w:val="24"/>
          <w:szCs w:val="24"/>
        </w:rPr>
        <w:t xml:space="preserve">to de induzir os prestadores </w:t>
      </w:r>
      <w:r w:rsidRPr="00962DC6">
        <w:rPr>
          <w:rFonts w:ascii="Times New Roman" w:hAnsi="Times New Roman" w:cs="Times New Roman"/>
          <w:sz w:val="24"/>
          <w:szCs w:val="24"/>
        </w:rPr>
        <w:t>a melhores níveis de desempenho.</w:t>
      </w:r>
      <w:r w:rsidR="00766F40">
        <w:rPr>
          <w:rFonts w:ascii="Times New Roman" w:hAnsi="Times New Roman" w:cs="Times New Roman"/>
          <w:sz w:val="24"/>
          <w:szCs w:val="24"/>
        </w:rPr>
        <w:t xml:space="preserve"> </w:t>
      </w:r>
      <w:r w:rsidRPr="0046600A">
        <w:rPr>
          <w:rFonts w:ascii="Times New Roman" w:hAnsi="Times New Roman" w:cs="Times New Roman"/>
          <w:sz w:val="24"/>
          <w:szCs w:val="24"/>
        </w:rPr>
        <w:tab/>
        <w:t xml:space="preserve">A </w:t>
      </w:r>
      <w:r w:rsidRPr="0046600A">
        <w:rPr>
          <w:rFonts w:ascii="Times New Roman" w:hAnsi="Times New Roman" w:cs="Times New Roman"/>
          <w:sz w:val="24"/>
          <w:szCs w:val="24"/>
        </w:rPr>
        <w:lastRenderedPageBreak/>
        <w:t>LNSB oferece dispositivos que sustentam a adoção da regulação por incentivos por parte das entidades reguladoras brasileiras, no entanto, essa é uma realidade ainda em construção. Mesquita e Campos (2013) ressaltam qu</w:t>
      </w:r>
      <w:r w:rsidR="00B70B9F">
        <w:rPr>
          <w:rFonts w:ascii="Times New Roman" w:hAnsi="Times New Roman" w:cs="Times New Roman"/>
          <w:sz w:val="24"/>
          <w:szCs w:val="24"/>
        </w:rPr>
        <w:t xml:space="preserve">e, apesar da LNSB ser de </w:t>
      </w:r>
      <w:r w:rsidRPr="00962DC6">
        <w:rPr>
          <w:rFonts w:ascii="Times New Roman" w:hAnsi="Times New Roman" w:cs="Times New Roman"/>
          <w:sz w:val="24"/>
          <w:szCs w:val="24"/>
        </w:rPr>
        <w:t>2007, apenas a Agência Reguladora de Saneamento e Energia do Estado de São Paulo (ARSESP) e a Agência Reguladora de Águas, Energia e Saneamento Básico do Distrito Federal (ADASA) incorporaram a produtividade e a eficiência econômica em seus processos de reajuste e revisão de tarifas. Ainda segundo os autores, no que se refere à experiência in</w:t>
      </w:r>
      <w:r>
        <w:rPr>
          <w:rFonts w:ascii="Times New Roman" w:hAnsi="Times New Roman" w:cs="Times New Roman"/>
          <w:sz w:val="24"/>
          <w:szCs w:val="24"/>
        </w:rPr>
        <w:t>ternacional, podem ser destacado</w:t>
      </w:r>
      <w:r w:rsidRPr="00962DC6">
        <w:rPr>
          <w:rFonts w:ascii="Times New Roman" w:hAnsi="Times New Roman" w:cs="Times New Roman"/>
          <w:sz w:val="24"/>
          <w:szCs w:val="24"/>
        </w:rPr>
        <w:t xml:space="preserve">s os casos da </w:t>
      </w:r>
      <w:proofErr w:type="spellStart"/>
      <w:r w:rsidRPr="00962DC6">
        <w:rPr>
          <w:rFonts w:ascii="Times New Roman" w:hAnsi="Times New Roman" w:cs="Times New Roman"/>
          <w:i/>
          <w:sz w:val="24"/>
          <w:szCs w:val="24"/>
        </w:rPr>
        <w:t>Water</w:t>
      </w:r>
      <w:proofErr w:type="spellEnd"/>
      <w:r w:rsidRPr="00962DC6">
        <w:rPr>
          <w:rFonts w:ascii="Times New Roman" w:hAnsi="Times New Roman" w:cs="Times New Roman"/>
          <w:i/>
          <w:sz w:val="24"/>
          <w:szCs w:val="24"/>
        </w:rPr>
        <w:t xml:space="preserve"> Services </w:t>
      </w:r>
      <w:proofErr w:type="spellStart"/>
      <w:r w:rsidRPr="00962DC6">
        <w:rPr>
          <w:rFonts w:ascii="Times New Roman" w:hAnsi="Times New Roman" w:cs="Times New Roman"/>
          <w:i/>
          <w:sz w:val="24"/>
          <w:szCs w:val="24"/>
        </w:rPr>
        <w:t>Regulation</w:t>
      </w:r>
      <w:proofErr w:type="spellEnd"/>
      <w:r w:rsidRPr="00962DC6">
        <w:rPr>
          <w:rFonts w:ascii="Times New Roman" w:hAnsi="Times New Roman" w:cs="Times New Roman"/>
          <w:i/>
          <w:sz w:val="24"/>
          <w:szCs w:val="24"/>
        </w:rPr>
        <w:t xml:space="preserve"> </w:t>
      </w:r>
      <w:proofErr w:type="spellStart"/>
      <w:r w:rsidRPr="00962DC6">
        <w:rPr>
          <w:rFonts w:ascii="Times New Roman" w:hAnsi="Times New Roman" w:cs="Times New Roman"/>
          <w:i/>
          <w:sz w:val="24"/>
          <w:szCs w:val="24"/>
        </w:rPr>
        <w:t>Authority</w:t>
      </w:r>
      <w:proofErr w:type="spellEnd"/>
      <w:r w:rsidRPr="00962DC6">
        <w:rPr>
          <w:rFonts w:ascii="Times New Roman" w:hAnsi="Times New Roman" w:cs="Times New Roman"/>
          <w:sz w:val="24"/>
          <w:szCs w:val="24"/>
        </w:rPr>
        <w:t xml:space="preserve"> (OFWAT) na Inglaterra e no País de Gales, e da </w:t>
      </w:r>
      <w:proofErr w:type="spellStart"/>
      <w:r w:rsidRPr="00962DC6">
        <w:rPr>
          <w:rFonts w:ascii="Times New Roman" w:hAnsi="Times New Roman" w:cs="Times New Roman"/>
          <w:i/>
          <w:sz w:val="24"/>
          <w:szCs w:val="24"/>
        </w:rPr>
        <w:t>Superintendencia</w:t>
      </w:r>
      <w:proofErr w:type="spellEnd"/>
      <w:r w:rsidRPr="00962DC6">
        <w:rPr>
          <w:rFonts w:ascii="Times New Roman" w:hAnsi="Times New Roman" w:cs="Times New Roman"/>
          <w:i/>
          <w:sz w:val="24"/>
          <w:szCs w:val="24"/>
        </w:rPr>
        <w:t xml:space="preserve"> de </w:t>
      </w:r>
      <w:proofErr w:type="spellStart"/>
      <w:r w:rsidRPr="00962DC6">
        <w:rPr>
          <w:rFonts w:ascii="Times New Roman" w:hAnsi="Times New Roman" w:cs="Times New Roman"/>
          <w:i/>
          <w:sz w:val="24"/>
          <w:szCs w:val="24"/>
        </w:rPr>
        <w:t>Servicios</w:t>
      </w:r>
      <w:proofErr w:type="spellEnd"/>
      <w:r w:rsidRPr="00962DC6">
        <w:rPr>
          <w:rFonts w:ascii="Times New Roman" w:hAnsi="Times New Roman" w:cs="Times New Roman"/>
          <w:i/>
          <w:sz w:val="24"/>
          <w:szCs w:val="24"/>
        </w:rPr>
        <w:t xml:space="preserve"> </w:t>
      </w:r>
      <w:proofErr w:type="spellStart"/>
      <w:r w:rsidRPr="00962DC6">
        <w:rPr>
          <w:rFonts w:ascii="Times New Roman" w:hAnsi="Times New Roman" w:cs="Times New Roman"/>
          <w:i/>
          <w:sz w:val="24"/>
          <w:szCs w:val="24"/>
        </w:rPr>
        <w:t>Sanitarios</w:t>
      </w:r>
      <w:proofErr w:type="spellEnd"/>
      <w:r w:rsidRPr="00962DC6">
        <w:rPr>
          <w:rFonts w:ascii="Times New Roman" w:hAnsi="Times New Roman" w:cs="Times New Roman"/>
          <w:sz w:val="24"/>
          <w:szCs w:val="24"/>
        </w:rPr>
        <w:t xml:space="preserve"> (SISS) no Chile.</w:t>
      </w:r>
    </w:p>
    <w:p w:rsidR="00962DC6" w:rsidRPr="0046600A" w:rsidRDefault="00962DC6"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962DC6">
        <w:rPr>
          <w:rFonts w:ascii="Times New Roman" w:hAnsi="Times New Roman" w:cs="Times New Roman"/>
          <w:sz w:val="24"/>
          <w:szCs w:val="24"/>
        </w:rPr>
        <w:t>Para que as entidades reguladoras passem a induzir a eficiência dos prestadores é essencial que definam um métod</w:t>
      </w:r>
      <w:r w:rsidR="00EA1BEF">
        <w:rPr>
          <w:rFonts w:ascii="Times New Roman" w:hAnsi="Times New Roman" w:cs="Times New Roman"/>
          <w:sz w:val="24"/>
          <w:szCs w:val="24"/>
        </w:rPr>
        <w:t>o adequado para sua mensuração</w:t>
      </w:r>
      <w:r w:rsidRPr="0046600A">
        <w:rPr>
          <w:rFonts w:ascii="Times New Roman" w:hAnsi="Times New Roman" w:cs="Times New Roman"/>
          <w:sz w:val="24"/>
          <w:szCs w:val="24"/>
        </w:rPr>
        <w:t xml:space="preserve">. Ao tratar da eficiência técnica ou produtiva, La </w:t>
      </w:r>
      <w:proofErr w:type="spellStart"/>
      <w:r w:rsidRPr="0046600A">
        <w:rPr>
          <w:rFonts w:ascii="Times New Roman" w:hAnsi="Times New Roman" w:cs="Times New Roman"/>
          <w:sz w:val="24"/>
          <w:szCs w:val="24"/>
        </w:rPr>
        <w:t>Forgia</w:t>
      </w:r>
      <w:proofErr w:type="spellEnd"/>
      <w:r w:rsidRPr="0046600A">
        <w:rPr>
          <w:rFonts w:ascii="Times New Roman" w:hAnsi="Times New Roman" w:cs="Times New Roman"/>
          <w:sz w:val="24"/>
          <w:szCs w:val="24"/>
        </w:rPr>
        <w:t xml:space="preserve"> e </w:t>
      </w:r>
      <w:proofErr w:type="spellStart"/>
      <w:r w:rsidRPr="0046600A">
        <w:rPr>
          <w:rFonts w:ascii="Times New Roman" w:hAnsi="Times New Roman" w:cs="Times New Roman"/>
          <w:sz w:val="24"/>
          <w:szCs w:val="24"/>
        </w:rPr>
        <w:t>Couttolenc</w:t>
      </w:r>
      <w:proofErr w:type="spellEnd"/>
      <w:r w:rsidRPr="0046600A">
        <w:rPr>
          <w:rFonts w:ascii="Times New Roman" w:hAnsi="Times New Roman" w:cs="Times New Roman"/>
          <w:sz w:val="24"/>
          <w:szCs w:val="24"/>
        </w:rPr>
        <w:t xml:space="preserve"> (2009, p. 57) destacam que ela pode ser desagregada em dois componentes: “eficiência técnica pura, ou interna, associada a fatores internos como administração e controle do processo de produção; e eficiência de escala, determinada pela </w:t>
      </w:r>
      <w:r w:rsidR="00766F40">
        <w:rPr>
          <w:rFonts w:ascii="Times New Roman" w:hAnsi="Times New Roman" w:cs="Times New Roman"/>
          <w:sz w:val="24"/>
          <w:szCs w:val="24"/>
        </w:rPr>
        <w:t>escala ou tamanho operacional”.</w:t>
      </w:r>
    </w:p>
    <w:p w:rsidR="00962DC6" w:rsidRDefault="000B5C19" w:rsidP="00195583">
      <w:pPr>
        <w:spacing w:after="0" w:line="240" w:lineRule="auto"/>
        <w:jc w:val="both"/>
        <w:rPr>
          <w:rFonts w:ascii="Times New Roman" w:hAnsi="Times New Roman" w:cs="Times New Roman"/>
          <w:sz w:val="24"/>
          <w:szCs w:val="24"/>
        </w:rPr>
      </w:pPr>
      <w:r w:rsidRPr="0046600A">
        <w:rPr>
          <w:rFonts w:ascii="Times New Roman" w:hAnsi="Times New Roman" w:cs="Times New Roman"/>
          <w:sz w:val="24"/>
          <w:szCs w:val="24"/>
        </w:rPr>
        <w:tab/>
        <w:t xml:space="preserve">No que concerne aos métodos para mensuração da eficiência, </w:t>
      </w:r>
      <w:proofErr w:type="spellStart"/>
      <w:r w:rsidRPr="0046600A">
        <w:rPr>
          <w:rFonts w:ascii="Times New Roman" w:hAnsi="Times New Roman" w:cs="Times New Roman"/>
          <w:sz w:val="24"/>
          <w:szCs w:val="24"/>
        </w:rPr>
        <w:t>Bontes</w:t>
      </w:r>
      <w:proofErr w:type="spellEnd"/>
      <w:r w:rsidRPr="0046600A">
        <w:rPr>
          <w:rFonts w:ascii="Times New Roman" w:hAnsi="Times New Roman" w:cs="Times New Roman"/>
          <w:sz w:val="24"/>
          <w:szCs w:val="24"/>
        </w:rPr>
        <w:t xml:space="preserve">, Aguilera e </w:t>
      </w:r>
      <w:proofErr w:type="spellStart"/>
      <w:r w:rsidRPr="0046600A">
        <w:rPr>
          <w:rFonts w:ascii="Times New Roman" w:hAnsi="Times New Roman" w:cs="Times New Roman"/>
          <w:sz w:val="24"/>
          <w:szCs w:val="24"/>
        </w:rPr>
        <w:t>Cordero</w:t>
      </w:r>
      <w:proofErr w:type="spellEnd"/>
      <w:r w:rsidRPr="0046600A">
        <w:rPr>
          <w:rFonts w:ascii="Times New Roman" w:hAnsi="Times New Roman" w:cs="Times New Roman"/>
          <w:sz w:val="24"/>
          <w:szCs w:val="24"/>
        </w:rPr>
        <w:t xml:space="preserve"> (2013) apresentam duas abordagens principais: abordagens </w:t>
      </w:r>
      <w:proofErr w:type="spellStart"/>
      <w:r w:rsidRPr="0046600A">
        <w:rPr>
          <w:rFonts w:ascii="Times New Roman" w:hAnsi="Times New Roman" w:cs="Times New Roman"/>
          <w:i/>
          <w:sz w:val="24"/>
          <w:szCs w:val="24"/>
        </w:rPr>
        <w:t>bottom-up</w:t>
      </w:r>
      <w:proofErr w:type="spellEnd"/>
      <w:r w:rsidRPr="0046600A">
        <w:rPr>
          <w:rFonts w:ascii="Times New Roman" w:hAnsi="Times New Roman" w:cs="Times New Roman"/>
          <w:sz w:val="24"/>
          <w:szCs w:val="24"/>
        </w:rPr>
        <w:t xml:space="preserve"> (índices de produtividade total e parcial; empresa de referência) e </w:t>
      </w:r>
      <w:r w:rsidRPr="0046600A">
        <w:rPr>
          <w:rFonts w:ascii="Times New Roman" w:hAnsi="Times New Roman" w:cs="Times New Roman"/>
          <w:i/>
          <w:sz w:val="24"/>
          <w:szCs w:val="24"/>
        </w:rPr>
        <w:t>top-</w:t>
      </w:r>
      <w:proofErr w:type="spellStart"/>
      <w:r w:rsidRPr="0046600A">
        <w:rPr>
          <w:rFonts w:ascii="Times New Roman" w:hAnsi="Times New Roman" w:cs="Times New Roman"/>
          <w:i/>
          <w:sz w:val="24"/>
          <w:szCs w:val="24"/>
        </w:rPr>
        <w:t>down</w:t>
      </w:r>
      <w:proofErr w:type="spellEnd"/>
      <w:r w:rsidRPr="0046600A">
        <w:rPr>
          <w:rFonts w:ascii="Times New Roman" w:hAnsi="Times New Roman" w:cs="Times New Roman"/>
          <w:sz w:val="24"/>
          <w:szCs w:val="24"/>
        </w:rPr>
        <w:t xml:space="preserve"> (métodos paramétricos – </w:t>
      </w:r>
      <w:r w:rsidRPr="000B5C19">
        <w:rPr>
          <w:rFonts w:ascii="Times New Roman" w:hAnsi="Times New Roman" w:cs="Times New Roman"/>
          <w:sz w:val="24"/>
          <w:szCs w:val="24"/>
        </w:rPr>
        <w:t>fronteiras estocásticas; mínimos quadrados ordinários – e não paramétricos – análise envoltória de dados).</w:t>
      </w:r>
      <w:r w:rsidR="0051285D">
        <w:rPr>
          <w:rFonts w:ascii="Times New Roman" w:hAnsi="Times New Roman" w:cs="Times New Roman"/>
          <w:sz w:val="24"/>
          <w:szCs w:val="24"/>
        </w:rPr>
        <w:t xml:space="preserve"> </w:t>
      </w:r>
      <w:r w:rsidR="0051285D" w:rsidRPr="0051285D">
        <w:rPr>
          <w:rFonts w:ascii="Times New Roman" w:hAnsi="Times New Roman" w:cs="Times New Roman"/>
          <w:sz w:val="24"/>
          <w:szCs w:val="24"/>
        </w:rPr>
        <w:t>Os autores estabelecem, ainda, uma comparação entre as principais características das duas abordagens no que se refere à determinação de custos operacionais eficientes para processos de revisão tarifária</w:t>
      </w:r>
      <w:r w:rsidR="0051285D">
        <w:rPr>
          <w:rFonts w:ascii="Times New Roman" w:hAnsi="Times New Roman" w:cs="Times New Roman"/>
          <w:sz w:val="24"/>
          <w:szCs w:val="24"/>
        </w:rPr>
        <w:t xml:space="preserve"> de prestadores de SAA e SES.</w:t>
      </w:r>
    </w:p>
    <w:p w:rsidR="00435798" w:rsidRDefault="0051285D"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Tanto o método de empresa de referência (</w:t>
      </w:r>
      <w:proofErr w:type="spellStart"/>
      <w:r w:rsidRPr="0051285D">
        <w:rPr>
          <w:rFonts w:ascii="Times New Roman" w:hAnsi="Times New Roman" w:cs="Times New Roman"/>
          <w:i/>
          <w:sz w:val="24"/>
          <w:szCs w:val="24"/>
        </w:rPr>
        <w:t>bottom-up</w:t>
      </w:r>
      <w:proofErr w:type="spellEnd"/>
      <w:r>
        <w:rPr>
          <w:rFonts w:ascii="Times New Roman" w:hAnsi="Times New Roman" w:cs="Times New Roman"/>
          <w:sz w:val="24"/>
          <w:szCs w:val="24"/>
        </w:rPr>
        <w:t xml:space="preserve">) como os modelos </w:t>
      </w:r>
      <w:r w:rsidRPr="0051285D">
        <w:rPr>
          <w:rFonts w:ascii="Times New Roman" w:hAnsi="Times New Roman" w:cs="Times New Roman"/>
          <w:i/>
          <w:sz w:val="24"/>
          <w:szCs w:val="24"/>
        </w:rPr>
        <w:t xml:space="preserve">top </w:t>
      </w:r>
      <w:proofErr w:type="spellStart"/>
      <w:r w:rsidRPr="0051285D">
        <w:rPr>
          <w:rFonts w:ascii="Times New Roman" w:hAnsi="Times New Roman" w:cs="Times New Roman"/>
          <w:i/>
          <w:sz w:val="24"/>
          <w:szCs w:val="24"/>
        </w:rPr>
        <w:t>down</w:t>
      </w:r>
      <w:proofErr w:type="spellEnd"/>
      <w:r>
        <w:rPr>
          <w:rFonts w:ascii="Times New Roman" w:hAnsi="Times New Roman" w:cs="Times New Roman"/>
          <w:sz w:val="24"/>
          <w:szCs w:val="24"/>
        </w:rPr>
        <w:t xml:space="preserve"> incentivam a melhoria da eficiência do prestador, porém, no primeiro caso, são geradas medidas absolutas de eficiência, enquanto que no segundo permite-se obter medidas de eficiência relativa. Ambos incorporam noções de competição, mas no caso do </w:t>
      </w:r>
      <w:proofErr w:type="spellStart"/>
      <w:r w:rsidRPr="0051285D">
        <w:rPr>
          <w:rFonts w:ascii="Times New Roman" w:hAnsi="Times New Roman" w:cs="Times New Roman"/>
          <w:i/>
          <w:sz w:val="24"/>
          <w:szCs w:val="24"/>
        </w:rPr>
        <w:t>bottom-up</w:t>
      </w:r>
      <w:proofErr w:type="spellEnd"/>
      <w:r>
        <w:rPr>
          <w:rFonts w:ascii="Times New Roman" w:hAnsi="Times New Roman" w:cs="Times New Roman"/>
          <w:sz w:val="24"/>
          <w:szCs w:val="24"/>
        </w:rPr>
        <w:t xml:space="preserve"> a competição</w:t>
      </w:r>
      <w:r w:rsidR="00435798">
        <w:rPr>
          <w:rFonts w:ascii="Times New Roman" w:hAnsi="Times New Roman" w:cs="Times New Roman"/>
          <w:sz w:val="24"/>
          <w:szCs w:val="24"/>
        </w:rPr>
        <w:t xml:space="preserve"> é</w:t>
      </w:r>
      <w:r>
        <w:rPr>
          <w:rFonts w:ascii="Times New Roman" w:hAnsi="Times New Roman" w:cs="Times New Roman"/>
          <w:sz w:val="24"/>
          <w:szCs w:val="24"/>
        </w:rPr>
        <w:t xml:space="preserve"> estabelecida na comparação com a empresa de referência, enquanto que nos modelos </w:t>
      </w:r>
      <w:r w:rsidRPr="0051285D">
        <w:rPr>
          <w:rFonts w:ascii="Times New Roman" w:hAnsi="Times New Roman" w:cs="Times New Roman"/>
          <w:i/>
          <w:sz w:val="24"/>
          <w:szCs w:val="24"/>
        </w:rPr>
        <w:t xml:space="preserve">top </w:t>
      </w:r>
      <w:proofErr w:type="spellStart"/>
      <w:r w:rsidRPr="0051285D">
        <w:rPr>
          <w:rFonts w:ascii="Times New Roman" w:hAnsi="Times New Roman" w:cs="Times New Roman"/>
          <w:i/>
          <w:sz w:val="24"/>
          <w:szCs w:val="24"/>
        </w:rPr>
        <w:t>down</w:t>
      </w:r>
      <w:proofErr w:type="spellEnd"/>
      <w:r>
        <w:rPr>
          <w:rFonts w:ascii="Times New Roman" w:hAnsi="Times New Roman" w:cs="Times New Roman"/>
          <w:sz w:val="24"/>
          <w:szCs w:val="24"/>
        </w:rPr>
        <w:t xml:space="preserve"> a comparação é entre pares.</w:t>
      </w:r>
      <w:r w:rsidR="00334C8A">
        <w:rPr>
          <w:rFonts w:ascii="Times New Roman" w:hAnsi="Times New Roman" w:cs="Times New Roman"/>
          <w:sz w:val="24"/>
          <w:szCs w:val="24"/>
        </w:rPr>
        <w:t xml:space="preserve"> Os modelos </w:t>
      </w:r>
      <w:r w:rsidR="00334C8A">
        <w:rPr>
          <w:rFonts w:ascii="Times New Roman" w:hAnsi="Times New Roman" w:cs="Times New Roman"/>
          <w:i/>
          <w:sz w:val="24"/>
          <w:szCs w:val="24"/>
        </w:rPr>
        <w:t xml:space="preserve">top </w:t>
      </w:r>
      <w:proofErr w:type="spellStart"/>
      <w:r w:rsidR="00334C8A">
        <w:rPr>
          <w:rFonts w:ascii="Times New Roman" w:hAnsi="Times New Roman" w:cs="Times New Roman"/>
          <w:i/>
          <w:sz w:val="24"/>
          <w:szCs w:val="24"/>
        </w:rPr>
        <w:t>down</w:t>
      </w:r>
      <w:proofErr w:type="spellEnd"/>
      <w:r w:rsidR="00334C8A">
        <w:rPr>
          <w:rFonts w:ascii="Times New Roman" w:hAnsi="Times New Roman" w:cs="Times New Roman"/>
          <w:sz w:val="24"/>
          <w:szCs w:val="24"/>
        </w:rPr>
        <w:t xml:space="preserve"> minimizam os problemas derivados de assimetrias de informação, já no </w:t>
      </w:r>
      <w:proofErr w:type="spellStart"/>
      <w:r w:rsidR="00334C8A">
        <w:rPr>
          <w:rFonts w:ascii="Times New Roman" w:hAnsi="Times New Roman" w:cs="Times New Roman"/>
          <w:i/>
          <w:sz w:val="24"/>
          <w:szCs w:val="24"/>
        </w:rPr>
        <w:t>bottom-up</w:t>
      </w:r>
      <w:proofErr w:type="spellEnd"/>
      <w:r w:rsidR="00334C8A">
        <w:rPr>
          <w:rFonts w:ascii="Times New Roman" w:hAnsi="Times New Roman" w:cs="Times New Roman"/>
          <w:sz w:val="24"/>
          <w:szCs w:val="24"/>
        </w:rPr>
        <w:t xml:space="preserve"> as assimetrias não são resolvidas, uma vez que a empresa de referência é construída pelo regulador com um menor nível de informação em relação ao prestador. No que se refere ao custo regulatório, </w:t>
      </w:r>
      <w:proofErr w:type="gramStart"/>
      <w:r w:rsidR="00334C8A">
        <w:rPr>
          <w:rFonts w:ascii="Times New Roman" w:hAnsi="Times New Roman" w:cs="Times New Roman"/>
          <w:sz w:val="24"/>
          <w:szCs w:val="24"/>
        </w:rPr>
        <w:t>a</w:t>
      </w:r>
      <w:proofErr w:type="gramEnd"/>
      <w:r w:rsidR="00334C8A">
        <w:rPr>
          <w:rFonts w:ascii="Times New Roman" w:hAnsi="Times New Roman" w:cs="Times New Roman"/>
          <w:sz w:val="24"/>
          <w:szCs w:val="24"/>
        </w:rPr>
        <w:t xml:space="preserve"> empresa de referência envolve um maior custo em relação aos modelos </w:t>
      </w:r>
      <w:r w:rsidR="00334C8A">
        <w:rPr>
          <w:rFonts w:ascii="Times New Roman" w:hAnsi="Times New Roman" w:cs="Times New Roman"/>
          <w:i/>
          <w:sz w:val="24"/>
          <w:szCs w:val="24"/>
        </w:rPr>
        <w:t xml:space="preserve">top </w:t>
      </w:r>
      <w:proofErr w:type="spellStart"/>
      <w:r w:rsidR="00334C8A">
        <w:rPr>
          <w:rFonts w:ascii="Times New Roman" w:hAnsi="Times New Roman" w:cs="Times New Roman"/>
          <w:i/>
          <w:sz w:val="24"/>
          <w:szCs w:val="24"/>
        </w:rPr>
        <w:t>down</w:t>
      </w:r>
      <w:proofErr w:type="spellEnd"/>
      <w:r w:rsidR="00334C8A">
        <w:rPr>
          <w:rFonts w:ascii="Times New Roman" w:hAnsi="Times New Roman" w:cs="Times New Roman"/>
          <w:sz w:val="24"/>
          <w:szCs w:val="24"/>
        </w:rPr>
        <w:t xml:space="preserve">. Por fim, a validade da comparação é maior no caso da empresa de referência, pois existe grande dificuldade de promover comparações “limpas” entre os pares por atuarem em contextos distintos (BONTES, AGUILERA; CORDERO, </w:t>
      </w:r>
      <w:r w:rsidR="00334C8A" w:rsidRPr="00334C8A">
        <w:rPr>
          <w:rFonts w:ascii="Times New Roman" w:hAnsi="Times New Roman" w:cs="Times New Roman"/>
          <w:sz w:val="24"/>
          <w:szCs w:val="24"/>
        </w:rPr>
        <w:t>2013, p. 287).</w:t>
      </w:r>
    </w:p>
    <w:p w:rsidR="000B5C19" w:rsidRPr="000B5C19" w:rsidRDefault="00435798"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B5C19" w:rsidRPr="000B5C19">
        <w:rPr>
          <w:rFonts w:ascii="Times New Roman" w:hAnsi="Times New Roman" w:cs="Times New Roman"/>
          <w:sz w:val="24"/>
          <w:szCs w:val="24"/>
        </w:rPr>
        <w:t xml:space="preserve">No caso brasileiro, foi possível identificar aplicações </w:t>
      </w:r>
      <w:proofErr w:type="gramStart"/>
      <w:r w:rsidR="000B5C19" w:rsidRPr="000B5C19">
        <w:rPr>
          <w:rFonts w:ascii="Times New Roman" w:hAnsi="Times New Roman" w:cs="Times New Roman"/>
          <w:sz w:val="24"/>
          <w:szCs w:val="24"/>
        </w:rPr>
        <w:t>práticas do método de empresa de referência, utilizado</w:t>
      </w:r>
      <w:proofErr w:type="gramEnd"/>
      <w:r w:rsidR="000B5C19" w:rsidRPr="000B5C19">
        <w:rPr>
          <w:rFonts w:ascii="Times New Roman" w:hAnsi="Times New Roman" w:cs="Times New Roman"/>
          <w:sz w:val="24"/>
          <w:szCs w:val="24"/>
        </w:rPr>
        <w:t xml:space="preserve"> pela ADASA no processo de revisão tarifária da Companhia de Saneamento Ambiental do Distrito Federal (CAESB) e do método de Análise Envoltória de Dados (DEA), escolhido pela ARSESP para compor a primeira revisão tarifária da Companhia de Saneamento Básico do Estado de São Paulo (SABESP). A ARSESP utilizou ainda o Índice de </w:t>
      </w:r>
      <w:proofErr w:type="spellStart"/>
      <w:r w:rsidR="000B5C19" w:rsidRPr="000B5C19">
        <w:rPr>
          <w:rFonts w:ascii="Times New Roman" w:hAnsi="Times New Roman" w:cs="Times New Roman"/>
          <w:sz w:val="24"/>
          <w:szCs w:val="24"/>
        </w:rPr>
        <w:t>Malmquist</w:t>
      </w:r>
      <w:proofErr w:type="spellEnd"/>
      <w:r w:rsidR="000B5C19" w:rsidRPr="000B5C19">
        <w:rPr>
          <w:rFonts w:ascii="Times New Roman" w:hAnsi="Times New Roman" w:cs="Times New Roman"/>
          <w:sz w:val="24"/>
          <w:szCs w:val="24"/>
        </w:rPr>
        <w:t xml:space="preserve"> para avaliar a mudança de produtividade da SABESP no decorrer do período analisado para a revisão de tarifas.</w:t>
      </w:r>
    </w:p>
    <w:p w:rsidR="00962DC6" w:rsidRDefault="00962DC6" w:rsidP="00195583">
      <w:pPr>
        <w:spacing w:after="0" w:line="240" w:lineRule="auto"/>
        <w:jc w:val="both"/>
        <w:rPr>
          <w:rFonts w:ascii="Times New Roman" w:hAnsi="Times New Roman" w:cs="Times New Roman"/>
          <w:sz w:val="24"/>
          <w:szCs w:val="24"/>
        </w:rPr>
      </w:pPr>
    </w:p>
    <w:p w:rsidR="00C036DA" w:rsidRPr="001706EF" w:rsidRDefault="00C036DA" w:rsidP="00195583">
      <w:pPr>
        <w:spacing w:after="0" w:line="240" w:lineRule="auto"/>
        <w:jc w:val="both"/>
        <w:rPr>
          <w:rFonts w:ascii="Times New Roman" w:hAnsi="Times New Roman" w:cs="Times New Roman"/>
          <w:b/>
          <w:sz w:val="24"/>
          <w:szCs w:val="24"/>
        </w:rPr>
      </w:pPr>
      <w:proofErr w:type="gramStart"/>
      <w:r w:rsidRPr="001706EF">
        <w:rPr>
          <w:rFonts w:ascii="Times New Roman" w:hAnsi="Times New Roman" w:cs="Times New Roman"/>
          <w:b/>
          <w:sz w:val="24"/>
          <w:szCs w:val="24"/>
        </w:rPr>
        <w:t>4</w:t>
      </w:r>
      <w:proofErr w:type="gramEnd"/>
      <w:r w:rsidRPr="001706EF">
        <w:rPr>
          <w:rFonts w:ascii="Times New Roman" w:hAnsi="Times New Roman" w:cs="Times New Roman"/>
          <w:b/>
          <w:sz w:val="24"/>
          <w:szCs w:val="24"/>
        </w:rPr>
        <w:t xml:space="preserve"> Dados e metodologia</w:t>
      </w:r>
    </w:p>
    <w:p w:rsidR="001706EF" w:rsidRDefault="001706EF" w:rsidP="00195583">
      <w:pPr>
        <w:spacing w:after="0" w:line="240" w:lineRule="auto"/>
        <w:jc w:val="both"/>
        <w:rPr>
          <w:rFonts w:ascii="Times New Roman" w:hAnsi="Times New Roman" w:cs="Times New Roman"/>
          <w:sz w:val="24"/>
          <w:szCs w:val="24"/>
        </w:rPr>
      </w:pPr>
    </w:p>
    <w:p w:rsidR="00743201" w:rsidRPr="00743201" w:rsidRDefault="00743201"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43201">
        <w:rPr>
          <w:rFonts w:ascii="Times New Roman" w:hAnsi="Times New Roman" w:cs="Times New Roman"/>
          <w:sz w:val="24"/>
          <w:szCs w:val="24"/>
        </w:rPr>
        <w:t xml:space="preserve">Este estudo foi realizado nas 27 capitais brasileiras, por apresentarem mais elementos para a análise da regulação dos serviços e possibilitarem um olhar para todas as regiões do país. De acordo com dados do SNIS e da ABAR, a pesquisa contempla um universo de 32 prestadores de serviços sediados em capitais e 23 entidades reguladoras </w:t>
      </w:r>
      <w:r w:rsidR="00584876">
        <w:rPr>
          <w:rFonts w:ascii="Times New Roman" w:hAnsi="Times New Roman" w:cs="Times New Roman"/>
          <w:sz w:val="24"/>
          <w:szCs w:val="24"/>
        </w:rPr>
        <w:t>(</w:t>
      </w:r>
      <w:r w:rsidRPr="00E13F5D">
        <w:rPr>
          <w:rFonts w:ascii="Times New Roman" w:hAnsi="Times New Roman" w:cs="Times New Roman"/>
          <w:sz w:val="24"/>
          <w:szCs w:val="24"/>
        </w:rPr>
        <w:t>Ap</w:t>
      </w:r>
      <w:r w:rsidR="00CF5C99" w:rsidRPr="00E13F5D">
        <w:rPr>
          <w:rFonts w:ascii="Times New Roman" w:hAnsi="Times New Roman" w:cs="Times New Roman"/>
          <w:sz w:val="24"/>
          <w:szCs w:val="24"/>
        </w:rPr>
        <w:t>êndice A</w:t>
      </w:r>
      <w:r w:rsidR="00887130">
        <w:rPr>
          <w:rFonts w:ascii="Times New Roman" w:hAnsi="Times New Roman" w:cs="Times New Roman"/>
          <w:sz w:val="24"/>
          <w:szCs w:val="24"/>
        </w:rPr>
        <w:t>)</w:t>
      </w:r>
      <w:r w:rsidRPr="00E13F5D">
        <w:rPr>
          <w:rFonts w:ascii="Times New Roman" w:hAnsi="Times New Roman" w:cs="Times New Roman"/>
          <w:sz w:val="24"/>
          <w:szCs w:val="24"/>
        </w:rPr>
        <w:t>.</w:t>
      </w:r>
      <w:r w:rsidRPr="00743201">
        <w:rPr>
          <w:rFonts w:ascii="Times New Roman" w:hAnsi="Times New Roman" w:cs="Times New Roman"/>
          <w:sz w:val="24"/>
          <w:szCs w:val="24"/>
        </w:rPr>
        <w:tab/>
        <w:t xml:space="preserve">No que diz respeito ao período analisado, a pesquisa abrange os anos de 2006 e 2011. Dessa forma, foi avaliado o período imediatamente anterior à aprovação do atual marco regulatório do setor (LNSB) e o último ano </w:t>
      </w:r>
      <w:r w:rsidR="00887130">
        <w:rPr>
          <w:rFonts w:ascii="Times New Roman" w:hAnsi="Times New Roman" w:cs="Times New Roman"/>
          <w:sz w:val="24"/>
          <w:szCs w:val="24"/>
        </w:rPr>
        <w:t>com dados publicados pelo SNIS.</w:t>
      </w:r>
    </w:p>
    <w:p w:rsidR="00743201" w:rsidRDefault="00743201" w:rsidP="00195583">
      <w:pPr>
        <w:spacing w:after="0" w:line="240" w:lineRule="auto"/>
        <w:jc w:val="both"/>
        <w:rPr>
          <w:rFonts w:ascii="Times New Roman" w:hAnsi="Times New Roman" w:cs="Times New Roman"/>
          <w:sz w:val="24"/>
          <w:szCs w:val="24"/>
        </w:rPr>
      </w:pPr>
      <w:r w:rsidRPr="00743201">
        <w:rPr>
          <w:rFonts w:ascii="Times New Roman" w:hAnsi="Times New Roman" w:cs="Times New Roman"/>
          <w:sz w:val="24"/>
          <w:szCs w:val="24"/>
        </w:rPr>
        <w:tab/>
        <w:t xml:space="preserve">Foram incluídos na pesquisa 29 dos 32 prestadores, uma vez que </w:t>
      </w:r>
      <w:r w:rsidR="00584876">
        <w:rPr>
          <w:rFonts w:ascii="Times New Roman" w:hAnsi="Times New Roman" w:cs="Times New Roman"/>
          <w:sz w:val="24"/>
          <w:szCs w:val="24"/>
        </w:rPr>
        <w:t xml:space="preserve">três prestadores </w:t>
      </w:r>
      <w:r w:rsidRPr="00743201">
        <w:rPr>
          <w:rFonts w:ascii="Times New Roman" w:hAnsi="Times New Roman" w:cs="Times New Roman"/>
          <w:sz w:val="24"/>
          <w:szCs w:val="24"/>
        </w:rPr>
        <w:t>não atuaram com serviços de esgotamento sanitário no período pesquisado. A homogeneidade dos prestadores de serviços é essencial para a análise de eficiência, portanto, optou-se por incluir apenas os prestadores que atuam com abastecimento de água e com esgotamento sanitário.</w:t>
      </w:r>
      <w:r w:rsidR="004E695D">
        <w:rPr>
          <w:rFonts w:ascii="Times New Roman" w:hAnsi="Times New Roman" w:cs="Times New Roman"/>
          <w:sz w:val="24"/>
          <w:szCs w:val="24"/>
        </w:rPr>
        <w:t xml:space="preserve"> </w:t>
      </w:r>
      <w:r w:rsidRPr="00743201">
        <w:rPr>
          <w:rFonts w:ascii="Times New Roman" w:hAnsi="Times New Roman" w:cs="Times New Roman"/>
          <w:sz w:val="24"/>
          <w:szCs w:val="24"/>
        </w:rPr>
        <w:t xml:space="preserve">Os dados utilizados na primeira </w:t>
      </w:r>
      <w:r>
        <w:rPr>
          <w:rFonts w:ascii="Times New Roman" w:hAnsi="Times New Roman" w:cs="Times New Roman"/>
          <w:sz w:val="24"/>
          <w:szCs w:val="24"/>
        </w:rPr>
        <w:t xml:space="preserve">e na segunda etapa da pesquisa </w:t>
      </w:r>
      <w:r w:rsidRPr="00743201">
        <w:rPr>
          <w:rFonts w:ascii="Times New Roman" w:hAnsi="Times New Roman" w:cs="Times New Roman"/>
          <w:sz w:val="24"/>
          <w:szCs w:val="24"/>
        </w:rPr>
        <w:t>foram coletados</w:t>
      </w:r>
      <w:r w:rsidR="00C91179">
        <w:rPr>
          <w:rFonts w:ascii="Times New Roman" w:hAnsi="Times New Roman" w:cs="Times New Roman"/>
          <w:sz w:val="24"/>
          <w:szCs w:val="24"/>
        </w:rPr>
        <w:t xml:space="preserve"> na base do SNIS</w:t>
      </w:r>
      <w:r w:rsidR="004E695D">
        <w:rPr>
          <w:rFonts w:ascii="Times New Roman" w:hAnsi="Times New Roman" w:cs="Times New Roman"/>
          <w:sz w:val="24"/>
          <w:szCs w:val="24"/>
        </w:rPr>
        <w:t>.</w:t>
      </w:r>
      <w:r w:rsidR="00584876">
        <w:rPr>
          <w:rFonts w:ascii="Times New Roman" w:hAnsi="Times New Roman" w:cs="Times New Roman"/>
          <w:sz w:val="24"/>
          <w:szCs w:val="24"/>
        </w:rPr>
        <w:t xml:space="preserve"> </w:t>
      </w:r>
      <w:r w:rsidRPr="00743201">
        <w:rPr>
          <w:rFonts w:ascii="Times New Roman" w:hAnsi="Times New Roman" w:cs="Times New Roman"/>
          <w:sz w:val="24"/>
          <w:szCs w:val="24"/>
        </w:rPr>
        <w:t>Na última etapa</w:t>
      </w:r>
      <w:r w:rsidR="00C91179">
        <w:rPr>
          <w:rFonts w:ascii="Times New Roman" w:hAnsi="Times New Roman" w:cs="Times New Roman"/>
          <w:sz w:val="24"/>
          <w:szCs w:val="24"/>
        </w:rPr>
        <w:t>,</w:t>
      </w:r>
      <w:r w:rsidRPr="00743201">
        <w:rPr>
          <w:rFonts w:ascii="Times New Roman" w:hAnsi="Times New Roman" w:cs="Times New Roman"/>
          <w:sz w:val="24"/>
          <w:szCs w:val="24"/>
        </w:rPr>
        <w:t xml:space="preserve"> foi analisada a normatização editada pelas entidades responsáveis pe</w:t>
      </w:r>
      <w:r w:rsidR="00584876">
        <w:rPr>
          <w:rFonts w:ascii="Times New Roman" w:hAnsi="Times New Roman" w:cs="Times New Roman"/>
          <w:sz w:val="24"/>
          <w:szCs w:val="24"/>
        </w:rPr>
        <w:t xml:space="preserve">la regulação dos prestadores </w:t>
      </w:r>
      <w:r w:rsidRPr="00743201">
        <w:rPr>
          <w:rFonts w:ascii="Times New Roman" w:hAnsi="Times New Roman" w:cs="Times New Roman"/>
          <w:sz w:val="24"/>
          <w:szCs w:val="24"/>
        </w:rPr>
        <w:t>pesquisados. Tais documentos foram coletados diretamente nos sites das entidades e no Diário Oficial, quando necessário e possível.</w:t>
      </w:r>
    </w:p>
    <w:p w:rsidR="00743201" w:rsidRDefault="00743201" w:rsidP="00195583">
      <w:pPr>
        <w:spacing w:after="0" w:line="240" w:lineRule="auto"/>
        <w:jc w:val="both"/>
        <w:rPr>
          <w:rFonts w:ascii="Times New Roman" w:hAnsi="Times New Roman" w:cs="Times New Roman"/>
          <w:b/>
          <w:sz w:val="24"/>
          <w:szCs w:val="24"/>
        </w:rPr>
      </w:pPr>
      <w:proofErr w:type="gramStart"/>
      <w:r w:rsidRPr="00743201">
        <w:rPr>
          <w:rFonts w:ascii="Times New Roman" w:hAnsi="Times New Roman" w:cs="Times New Roman"/>
          <w:b/>
          <w:sz w:val="24"/>
          <w:szCs w:val="24"/>
        </w:rPr>
        <w:lastRenderedPageBreak/>
        <w:t>4</w:t>
      </w:r>
      <w:r>
        <w:rPr>
          <w:rFonts w:ascii="Times New Roman" w:hAnsi="Times New Roman" w:cs="Times New Roman"/>
          <w:b/>
          <w:sz w:val="24"/>
          <w:szCs w:val="24"/>
        </w:rPr>
        <w:t>.</w:t>
      </w:r>
      <w:r w:rsidRPr="00743201">
        <w:rPr>
          <w:rFonts w:ascii="Times New Roman" w:hAnsi="Times New Roman" w:cs="Times New Roman"/>
          <w:b/>
          <w:sz w:val="24"/>
          <w:szCs w:val="24"/>
        </w:rPr>
        <w:t xml:space="preserve">1 </w:t>
      </w:r>
      <w:r w:rsidR="00932B87">
        <w:rPr>
          <w:rFonts w:ascii="Times New Roman" w:hAnsi="Times New Roman" w:cs="Times New Roman"/>
          <w:b/>
          <w:sz w:val="24"/>
          <w:szCs w:val="24"/>
        </w:rPr>
        <w:t>Etapa 1</w:t>
      </w:r>
      <w:proofErr w:type="gramEnd"/>
      <w:r w:rsidR="00932B87">
        <w:rPr>
          <w:rFonts w:ascii="Times New Roman" w:hAnsi="Times New Roman" w:cs="Times New Roman"/>
          <w:b/>
          <w:sz w:val="24"/>
          <w:szCs w:val="24"/>
        </w:rPr>
        <w:t xml:space="preserve"> - M</w:t>
      </w:r>
      <w:r w:rsidRPr="00743201">
        <w:rPr>
          <w:rFonts w:ascii="Times New Roman" w:hAnsi="Times New Roman" w:cs="Times New Roman"/>
          <w:b/>
          <w:sz w:val="24"/>
          <w:szCs w:val="24"/>
        </w:rPr>
        <w:t>ensuração da eficiência com Análise envoltória de dados (DEA)</w:t>
      </w:r>
    </w:p>
    <w:p w:rsidR="005647DB" w:rsidRDefault="005647DB" w:rsidP="00195583">
      <w:pPr>
        <w:spacing w:after="0" w:line="240" w:lineRule="auto"/>
        <w:jc w:val="both"/>
        <w:rPr>
          <w:rFonts w:ascii="Times New Roman" w:hAnsi="Times New Roman" w:cs="Times New Roman"/>
          <w:b/>
          <w:sz w:val="24"/>
          <w:szCs w:val="24"/>
        </w:rPr>
      </w:pPr>
    </w:p>
    <w:p w:rsidR="00743201" w:rsidRDefault="00743201" w:rsidP="00195583">
      <w:pPr>
        <w:spacing w:after="0" w:line="240" w:lineRule="auto"/>
        <w:jc w:val="both"/>
        <w:rPr>
          <w:rFonts w:ascii="Times New Roman" w:hAnsi="Times New Roman" w:cs="Times New Roman"/>
          <w:sz w:val="24"/>
          <w:szCs w:val="24"/>
        </w:rPr>
      </w:pPr>
      <w:r w:rsidRPr="00195583">
        <w:rPr>
          <w:rFonts w:ascii="Times New Roman" w:hAnsi="Times New Roman" w:cs="Times New Roman"/>
          <w:color w:val="00B050"/>
          <w:sz w:val="24"/>
          <w:szCs w:val="24"/>
        </w:rPr>
        <w:tab/>
      </w:r>
      <w:r w:rsidR="00832318" w:rsidRPr="00832318">
        <w:rPr>
          <w:rFonts w:ascii="Times New Roman" w:hAnsi="Times New Roman" w:cs="Times New Roman"/>
          <w:sz w:val="24"/>
          <w:szCs w:val="24"/>
        </w:rPr>
        <w:t>Na primeira etapa da pesquisa desenvolve-se</w:t>
      </w:r>
      <w:r w:rsidRPr="00832318">
        <w:rPr>
          <w:rFonts w:ascii="Times New Roman" w:hAnsi="Times New Roman" w:cs="Times New Roman"/>
          <w:sz w:val="24"/>
          <w:szCs w:val="24"/>
        </w:rPr>
        <w:t xml:space="preserve"> uma avaliação da eficiência dos prestadores de SAA e SES, por meio do método de Análise Envoltória de Dados (DEA). Para tanto, foram estruturados três modelos de DEA e aplicados aos anos de 2006 e 2011</w:t>
      </w:r>
      <w:r w:rsidR="007C4F1F">
        <w:rPr>
          <w:rFonts w:ascii="Times New Roman" w:hAnsi="Times New Roman" w:cs="Times New Roman"/>
          <w:sz w:val="24"/>
          <w:szCs w:val="24"/>
        </w:rPr>
        <w:t xml:space="preserve">, tendo como modelo principal o DEA </w:t>
      </w:r>
      <w:r w:rsidR="007C4F1F" w:rsidRPr="007C4F1F">
        <w:rPr>
          <w:rFonts w:ascii="Times New Roman" w:hAnsi="Times New Roman" w:cs="Times New Roman"/>
          <w:sz w:val="24"/>
          <w:szCs w:val="24"/>
        </w:rPr>
        <w:t xml:space="preserve">III, com retornos </w:t>
      </w:r>
      <w:proofErr w:type="gramStart"/>
      <w:r w:rsidR="007C4F1F" w:rsidRPr="007C4F1F">
        <w:rPr>
          <w:rFonts w:ascii="Times New Roman" w:hAnsi="Times New Roman" w:cs="Times New Roman"/>
          <w:sz w:val="24"/>
          <w:szCs w:val="24"/>
        </w:rPr>
        <w:t>variáveis de escala e orientado a insumo</w:t>
      </w:r>
      <w:proofErr w:type="gramEnd"/>
      <w:r w:rsidRPr="007C4F1F">
        <w:rPr>
          <w:rFonts w:ascii="Times New Roman" w:hAnsi="Times New Roman" w:cs="Times New Roman"/>
          <w:sz w:val="24"/>
          <w:szCs w:val="24"/>
        </w:rPr>
        <w:t>.</w:t>
      </w:r>
    </w:p>
    <w:p w:rsidR="00832318" w:rsidRPr="0074750F" w:rsidRDefault="00832318"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32318">
        <w:rPr>
          <w:rFonts w:ascii="Times New Roman" w:hAnsi="Times New Roman" w:cs="Times New Roman"/>
          <w:sz w:val="24"/>
          <w:szCs w:val="24"/>
        </w:rPr>
        <w:t>A Análise Envoltória de Dados (DEA) é um método não paramétrico, baseado em programação linear, que permite a construção de fronteiras de eficiência. Com o uso da DEA é possível obter uma visão global da eficiência relativa de organizações homogêneas, chamadas de unidades tomadoras de decisão (</w:t>
      </w:r>
      <w:proofErr w:type="spellStart"/>
      <w:r w:rsidRPr="00832318">
        <w:rPr>
          <w:rFonts w:ascii="Times New Roman" w:hAnsi="Times New Roman" w:cs="Times New Roman"/>
          <w:i/>
          <w:sz w:val="24"/>
          <w:szCs w:val="24"/>
        </w:rPr>
        <w:t>Decision</w:t>
      </w:r>
      <w:proofErr w:type="spellEnd"/>
      <w:r w:rsidRPr="00832318">
        <w:rPr>
          <w:rFonts w:ascii="Times New Roman" w:hAnsi="Times New Roman" w:cs="Times New Roman"/>
          <w:i/>
          <w:sz w:val="24"/>
          <w:szCs w:val="24"/>
        </w:rPr>
        <w:t xml:space="preserve"> </w:t>
      </w:r>
      <w:proofErr w:type="spellStart"/>
      <w:r w:rsidRPr="00832318">
        <w:rPr>
          <w:rFonts w:ascii="Times New Roman" w:hAnsi="Times New Roman" w:cs="Times New Roman"/>
          <w:i/>
          <w:sz w:val="24"/>
          <w:szCs w:val="24"/>
        </w:rPr>
        <w:t>Making</w:t>
      </w:r>
      <w:proofErr w:type="spellEnd"/>
      <w:r w:rsidRPr="00832318">
        <w:rPr>
          <w:rFonts w:ascii="Times New Roman" w:hAnsi="Times New Roman" w:cs="Times New Roman"/>
          <w:i/>
          <w:sz w:val="24"/>
          <w:szCs w:val="24"/>
        </w:rPr>
        <w:t xml:space="preserve"> </w:t>
      </w:r>
      <w:proofErr w:type="spellStart"/>
      <w:r w:rsidRPr="00832318">
        <w:rPr>
          <w:rFonts w:ascii="Times New Roman" w:hAnsi="Times New Roman" w:cs="Times New Roman"/>
          <w:i/>
          <w:sz w:val="24"/>
          <w:szCs w:val="24"/>
        </w:rPr>
        <w:t>Units</w:t>
      </w:r>
      <w:r w:rsidRPr="00832318">
        <w:rPr>
          <w:rFonts w:ascii="Times New Roman" w:hAnsi="Times New Roman" w:cs="Times New Roman"/>
          <w:sz w:val="24"/>
          <w:szCs w:val="24"/>
        </w:rPr>
        <w:t>-DMUs</w:t>
      </w:r>
      <w:proofErr w:type="spellEnd"/>
      <w:r w:rsidRPr="00832318">
        <w:rPr>
          <w:rFonts w:ascii="Times New Roman" w:hAnsi="Times New Roman" w:cs="Times New Roman"/>
          <w:sz w:val="24"/>
          <w:szCs w:val="24"/>
        </w:rPr>
        <w:t>). Essa eficiência é resumida em apenas uma medida simples (0 a 1)</w:t>
      </w:r>
      <w:r w:rsidR="007123F5">
        <w:rPr>
          <w:rFonts w:ascii="Times New Roman" w:hAnsi="Times New Roman" w:cs="Times New Roman"/>
          <w:sz w:val="24"/>
          <w:szCs w:val="24"/>
        </w:rPr>
        <w:t>, mesmo trabalhando com múltiplo</w:t>
      </w:r>
      <w:r w:rsidRPr="00832318">
        <w:rPr>
          <w:rFonts w:ascii="Times New Roman" w:hAnsi="Times New Roman" w:cs="Times New Roman"/>
          <w:sz w:val="24"/>
          <w:szCs w:val="24"/>
        </w:rPr>
        <w:t xml:space="preserve">s insumos e produtos. O método DEA pode ter uma análise orientada a produto, baseando-se na ideia de que as organizações buscam maximizar seus produtos por unidade de insumo utilizada ou uma análise orientada aos insumos, partindo da ideia que as organizações </w:t>
      </w:r>
      <w:r w:rsidRPr="0074750F">
        <w:rPr>
          <w:rFonts w:ascii="Times New Roman" w:hAnsi="Times New Roman" w:cs="Times New Roman"/>
          <w:sz w:val="24"/>
          <w:szCs w:val="24"/>
        </w:rPr>
        <w:t>buscam minimizar a quantidade de insumos gastos por unidade de produto (COOPER; SEIFORD; TONE, 2007).</w:t>
      </w:r>
    </w:p>
    <w:p w:rsidR="00743201" w:rsidRDefault="004116B8"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4116B8">
        <w:rPr>
          <w:rFonts w:ascii="Times New Roman" w:hAnsi="Times New Roman" w:cs="Times New Roman"/>
          <w:sz w:val="24"/>
          <w:szCs w:val="24"/>
        </w:rPr>
        <w:t>O método DEA tem evoluído, sofrido adaptações e melhorias a partir de trabalhos de diversos pesquisadores, mas o modelo CCR,</w:t>
      </w:r>
      <w:r>
        <w:rPr>
          <w:rFonts w:ascii="Times New Roman" w:hAnsi="Times New Roman" w:cs="Times New Roman"/>
          <w:sz w:val="24"/>
          <w:szCs w:val="24"/>
        </w:rPr>
        <w:t xml:space="preserve"> proposto por </w:t>
      </w:r>
      <w:proofErr w:type="spellStart"/>
      <w:r w:rsidRPr="004116B8">
        <w:rPr>
          <w:rFonts w:ascii="Times New Roman" w:hAnsi="Times New Roman" w:cs="Times New Roman"/>
          <w:sz w:val="24"/>
          <w:szCs w:val="24"/>
        </w:rPr>
        <w:t>Charnes</w:t>
      </w:r>
      <w:proofErr w:type="spellEnd"/>
      <w:r w:rsidRPr="004116B8">
        <w:rPr>
          <w:rFonts w:ascii="Times New Roman" w:hAnsi="Times New Roman" w:cs="Times New Roman"/>
          <w:sz w:val="24"/>
          <w:szCs w:val="24"/>
        </w:rPr>
        <w:t>, Cooper e Rhodes (1978)</w:t>
      </w:r>
      <w:r>
        <w:rPr>
          <w:rFonts w:ascii="Times New Roman" w:hAnsi="Times New Roman" w:cs="Times New Roman"/>
          <w:sz w:val="24"/>
          <w:szCs w:val="24"/>
        </w:rPr>
        <w:t>,</w:t>
      </w:r>
      <w:r w:rsidRPr="004116B8">
        <w:rPr>
          <w:rFonts w:ascii="Times New Roman" w:hAnsi="Times New Roman" w:cs="Times New Roman"/>
          <w:sz w:val="24"/>
          <w:szCs w:val="24"/>
        </w:rPr>
        <w:t xml:space="preserve"> que pressupõe retornos constantes de escala (</w:t>
      </w:r>
      <w:r w:rsidRPr="004116B8">
        <w:rPr>
          <w:rFonts w:ascii="Times New Roman" w:hAnsi="Times New Roman" w:cs="Times New Roman"/>
          <w:i/>
          <w:sz w:val="24"/>
          <w:szCs w:val="24"/>
        </w:rPr>
        <w:t xml:space="preserve">Constant </w:t>
      </w:r>
      <w:proofErr w:type="spellStart"/>
      <w:r w:rsidRPr="004116B8">
        <w:rPr>
          <w:rFonts w:ascii="Times New Roman" w:hAnsi="Times New Roman" w:cs="Times New Roman"/>
          <w:i/>
          <w:sz w:val="24"/>
          <w:szCs w:val="24"/>
        </w:rPr>
        <w:t>Returns</w:t>
      </w:r>
      <w:proofErr w:type="spellEnd"/>
      <w:r w:rsidRPr="004116B8">
        <w:rPr>
          <w:rFonts w:ascii="Times New Roman" w:hAnsi="Times New Roman" w:cs="Times New Roman"/>
          <w:i/>
          <w:sz w:val="24"/>
          <w:szCs w:val="24"/>
        </w:rPr>
        <w:t xml:space="preserve"> </w:t>
      </w:r>
      <w:proofErr w:type="spellStart"/>
      <w:r w:rsidRPr="004116B8">
        <w:rPr>
          <w:rFonts w:ascii="Times New Roman" w:hAnsi="Times New Roman" w:cs="Times New Roman"/>
          <w:i/>
          <w:sz w:val="24"/>
          <w:szCs w:val="24"/>
        </w:rPr>
        <w:t>to</w:t>
      </w:r>
      <w:proofErr w:type="spellEnd"/>
      <w:r w:rsidRPr="004116B8">
        <w:rPr>
          <w:rFonts w:ascii="Times New Roman" w:hAnsi="Times New Roman" w:cs="Times New Roman"/>
          <w:i/>
          <w:sz w:val="24"/>
          <w:szCs w:val="24"/>
        </w:rPr>
        <w:t xml:space="preserve"> </w:t>
      </w:r>
      <w:proofErr w:type="spellStart"/>
      <w:r w:rsidRPr="004116B8">
        <w:rPr>
          <w:rFonts w:ascii="Times New Roman" w:hAnsi="Times New Roman" w:cs="Times New Roman"/>
          <w:i/>
          <w:sz w:val="24"/>
          <w:szCs w:val="24"/>
        </w:rPr>
        <w:t>Scale</w:t>
      </w:r>
      <w:proofErr w:type="spellEnd"/>
      <w:r w:rsidRPr="004116B8">
        <w:rPr>
          <w:rFonts w:ascii="Times New Roman" w:hAnsi="Times New Roman" w:cs="Times New Roman"/>
          <w:sz w:val="24"/>
          <w:szCs w:val="24"/>
        </w:rPr>
        <w:t xml:space="preserve">-CRS), e o modelo BCC, desenvolvido por </w:t>
      </w:r>
      <w:proofErr w:type="spellStart"/>
      <w:r w:rsidRPr="004116B8">
        <w:rPr>
          <w:rFonts w:ascii="Times New Roman" w:hAnsi="Times New Roman" w:cs="Times New Roman"/>
          <w:sz w:val="24"/>
          <w:szCs w:val="24"/>
        </w:rPr>
        <w:t>Banker</w:t>
      </w:r>
      <w:proofErr w:type="spellEnd"/>
      <w:r w:rsidRPr="004116B8">
        <w:rPr>
          <w:rFonts w:ascii="Times New Roman" w:hAnsi="Times New Roman" w:cs="Times New Roman"/>
          <w:sz w:val="24"/>
          <w:szCs w:val="24"/>
        </w:rPr>
        <w:t xml:space="preserve">, </w:t>
      </w:r>
      <w:proofErr w:type="spellStart"/>
      <w:r w:rsidRPr="004116B8">
        <w:rPr>
          <w:rFonts w:ascii="Times New Roman" w:hAnsi="Times New Roman" w:cs="Times New Roman"/>
          <w:sz w:val="24"/>
          <w:szCs w:val="24"/>
        </w:rPr>
        <w:t>Charnes</w:t>
      </w:r>
      <w:proofErr w:type="spellEnd"/>
      <w:r w:rsidRPr="004116B8">
        <w:rPr>
          <w:rFonts w:ascii="Times New Roman" w:hAnsi="Times New Roman" w:cs="Times New Roman"/>
          <w:sz w:val="24"/>
          <w:szCs w:val="24"/>
        </w:rPr>
        <w:t xml:space="preserve"> e Cooper (1984), que assume retornos variáveis de escala (</w:t>
      </w:r>
      <w:proofErr w:type="spellStart"/>
      <w:r w:rsidRPr="004116B8">
        <w:rPr>
          <w:rFonts w:ascii="Times New Roman" w:hAnsi="Times New Roman" w:cs="Times New Roman"/>
          <w:i/>
          <w:sz w:val="24"/>
          <w:szCs w:val="24"/>
        </w:rPr>
        <w:t>Variable</w:t>
      </w:r>
      <w:proofErr w:type="spellEnd"/>
      <w:r w:rsidRPr="004116B8">
        <w:rPr>
          <w:rFonts w:ascii="Times New Roman" w:hAnsi="Times New Roman" w:cs="Times New Roman"/>
          <w:i/>
          <w:sz w:val="24"/>
          <w:szCs w:val="24"/>
        </w:rPr>
        <w:t xml:space="preserve"> </w:t>
      </w:r>
      <w:proofErr w:type="spellStart"/>
      <w:r w:rsidRPr="004116B8">
        <w:rPr>
          <w:rFonts w:ascii="Times New Roman" w:hAnsi="Times New Roman" w:cs="Times New Roman"/>
          <w:i/>
          <w:sz w:val="24"/>
          <w:szCs w:val="24"/>
        </w:rPr>
        <w:t>Returns</w:t>
      </w:r>
      <w:proofErr w:type="spellEnd"/>
      <w:r w:rsidRPr="004116B8">
        <w:rPr>
          <w:rFonts w:ascii="Times New Roman" w:hAnsi="Times New Roman" w:cs="Times New Roman"/>
          <w:i/>
          <w:sz w:val="24"/>
          <w:szCs w:val="24"/>
        </w:rPr>
        <w:t xml:space="preserve"> </w:t>
      </w:r>
      <w:proofErr w:type="spellStart"/>
      <w:r w:rsidRPr="004116B8">
        <w:rPr>
          <w:rFonts w:ascii="Times New Roman" w:hAnsi="Times New Roman" w:cs="Times New Roman"/>
          <w:i/>
          <w:sz w:val="24"/>
          <w:szCs w:val="24"/>
        </w:rPr>
        <w:t>to</w:t>
      </w:r>
      <w:proofErr w:type="spellEnd"/>
      <w:r w:rsidRPr="004116B8">
        <w:rPr>
          <w:rFonts w:ascii="Times New Roman" w:hAnsi="Times New Roman" w:cs="Times New Roman"/>
          <w:i/>
          <w:sz w:val="24"/>
          <w:szCs w:val="24"/>
        </w:rPr>
        <w:t xml:space="preserve"> </w:t>
      </w:r>
      <w:proofErr w:type="spellStart"/>
      <w:proofErr w:type="gramStart"/>
      <w:r w:rsidRPr="004116B8">
        <w:rPr>
          <w:rFonts w:ascii="Times New Roman" w:hAnsi="Times New Roman" w:cs="Times New Roman"/>
          <w:i/>
          <w:sz w:val="24"/>
          <w:szCs w:val="24"/>
        </w:rPr>
        <w:t>Scale</w:t>
      </w:r>
      <w:proofErr w:type="spellEnd"/>
      <w:r w:rsidRPr="004116B8">
        <w:rPr>
          <w:rFonts w:ascii="Times New Roman" w:hAnsi="Times New Roman" w:cs="Times New Roman"/>
          <w:sz w:val="24"/>
          <w:szCs w:val="24"/>
        </w:rPr>
        <w:t>-VRS</w:t>
      </w:r>
      <w:proofErr w:type="gramEnd"/>
      <w:r w:rsidRPr="004116B8">
        <w:rPr>
          <w:rFonts w:ascii="Times New Roman" w:hAnsi="Times New Roman" w:cs="Times New Roman"/>
          <w:sz w:val="24"/>
          <w:szCs w:val="24"/>
        </w:rPr>
        <w:t>), são considerados os modelos clássicos de DEA.</w:t>
      </w:r>
      <w:r w:rsidR="001B2E1C">
        <w:rPr>
          <w:rFonts w:ascii="Times New Roman" w:hAnsi="Times New Roman" w:cs="Times New Roman"/>
          <w:sz w:val="24"/>
          <w:szCs w:val="24"/>
        </w:rPr>
        <w:t xml:space="preserve"> </w:t>
      </w:r>
      <w:r w:rsidR="001B2E1C" w:rsidRPr="0074750F">
        <w:rPr>
          <w:rFonts w:ascii="Times New Roman" w:hAnsi="Times New Roman" w:cs="Times New Roman"/>
          <w:sz w:val="24"/>
          <w:szCs w:val="24"/>
        </w:rPr>
        <w:t xml:space="preserve">Sobre a análise comparativa das duas fronteiras, </w:t>
      </w:r>
      <w:proofErr w:type="spellStart"/>
      <w:r w:rsidR="0074750F" w:rsidRPr="0074750F">
        <w:rPr>
          <w:rFonts w:ascii="Times New Roman" w:hAnsi="Times New Roman" w:cs="Times New Roman"/>
          <w:sz w:val="24"/>
          <w:szCs w:val="24"/>
        </w:rPr>
        <w:t>Thanassoulis</w:t>
      </w:r>
      <w:proofErr w:type="spellEnd"/>
      <w:r w:rsidR="0074750F" w:rsidRPr="0074750F">
        <w:rPr>
          <w:rFonts w:ascii="Times New Roman" w:hAnsi="Times New Roman" w:cs="Times New Roman"/>
          <w:sz w:val="24"/>
          <w:szCs w:val="24"/>
        </w:rPr>
        <w:t xml:space="preserve"> (2000</w:t>
      </w:r>
      <w:r w:rsidR="001B2E1C" w:rsidRPr="0074750F">
        <w:rPr>
          <w:rFonts w:ascii="Times New Roman" w:hAnsi="Times New Roman" w:cs="Times New Roman"/>
          <w:sz w:val="24"/>
          <w:szCs w:val="24"/>
        </w:rPr>
        <w:t xml:space="preserve">, p. 6) destaca que “a </w:t>
      </w:r>
      <w:r w:rsidR="001B2E1C" w:rsidRPr="001B2E1C">
        <w:rPr>
          <w:rFonts w:ascii="Times New Roman" w:hAnsi="Times New Roman" w:cs="Times New Roman"/>
          <w:sz w:val="24"/>
          <w:szCs w:val="24"/>
        </w:rPr>
        <w:t>fronteira VRS está contida dentro da CRS, logo, eficiências estimadas sob VRS sempre serão no mínimo tão altas quanto às estimadas sob CRS”. O autor ainda destaca que a eficiência sob VRS é chamada de eficiência técnica pura, enquanto que sob CRS é chamada de eficiência técnica total. A razão CRS/VRS resulta na eficiência de escala.</w:t>
      </w:r>
    </w:p>
    <w:p w:rsidR="007123F5" w:rsidRDefault="007123F5" w:rsidP="00195583">
      <w:pPr>
        <w:spacing w:after="0" w:line="240" w:lineRule="auto"/>
        <w:jc w:val="both"/>
        <w:rPr>
          <w:rFonts w:ascii="Times New Roman" w:hAnsi="Times New Roman" w:cs="Times New Roman"/>
          <w:sz w:val="24"/>
          <w:szCs w:val="24"/>
        </w:rPr>
      </w:pPr>
    </w:p>
    <w:p w:rsidR="00743201" w:rsidRPr="00743201" w:rsidRDefault="00743201" w:rsidP="00195583">
      <w:pPr>
        <w:spacing w:after="0" w:line="240" w:lineRule="auto"/>
        <w:jc w:val="both"/>
        <w:rPr>
          <w:rFonts w:ascii="Times New Roman" w:hAnsi="Times New Roman" w:cs="Times New Roman"/>
          <w:i/>
          <w:sz w:val="24"/>
          <w:szCs w:val="24"/>
        </w:rPr>
      </w:pPr>
      <w:r w:rsidRPr="00743201">
        <w:rPr>
          <w:rFonts w:ascii="Times New Roman" w:hAnsi="Times New Roman" w:cs="Times New Roman"/>
          <w:i/>
          <w:sz w:val="24"/>
          <w:szCs w:val="24"/>
        </w:rPr>
        <w:t>4.1.1 Especificações do modelo</w:t>
      </w:r>
      <w:r w:rsidRPr="00743201">
        <w:rPr>
          <w:rFonts w:ascii="Times New Roman" w:hAnsi="Times New Roman" w:cs="Times New Roman"/>
          <w:i/>
          <w:sz w:val="24"/>
          <w:szCs w:val="24"/>
        </w:rPr>
        <w:fldChar w:fldCharType="begin"/>
      </w:r>
      <w:r w:rsidRPr="00743201">
        <w:rPr>
          <w:rFonts w:ascii="Times New Roman" w:hAnsi="Times New Roman" w:cs="Times New Roman"/>
          <w:i/>
          <w:sz w:val="24"/>
          <w:szCs w:val="24"/>
        </w:rPr>
        <w:instrText xml:space="preserve"> XE "4.4.1.1 Especificações do modelo" </w:instrText>
      </w:r>
      <w:r w:rsidRPr="00743201">
        <w:rPr>
          <w:rFonts w:ascii="Times New Roman" w:hAnsi="Times New Roman" w:cs="Times New Roman"/>
          <w:i/>
          <w:sz w:val="24"/>
          <w:szCs w:val="24"/>
        </w:rPr>
        <w:fldChar w:fldCharType="end"/>
      </w:r>
    </w:p>
    <w:p w:rsidR="00743201" w:rsidRPr="00743201" w:rsidRDefault="00743201" w:rsidP="00195583">
      <w:pPr>
        <w:spacing w:after="0" w:line="240" w:lineRule="auto"/>
        <w:jc w:val="both"/>
        <w:rPr>
          <w:rFonts w:ascii="Times New Roman" w:hAnsi="Times New Roman" w:cs="Times New Roman"/>
          <w:sz w:val="24"/>
          <w:szCs w:val="24"/>
        </w:rPr>
      </w:pPr>
      <w:r w:rsidRPr="00743201">
        <w:rPr>
          <w:rFonts w:ascii="Times New Roman" w:hAnsi="Times New Roman" w:cs="Times New Roman"/>
          <w:sz w:val="24"/>
          <w:szCs w:val="24"/>
        </w:rPr>
        <w:tab/>
      </w:r>
    </w:p>
    <w:p w:rsidR="00743201" w:rsidRPr="00743201" w:rsidRDefault="00195583"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43201" w:rsidRPr="00743201">
        <w:rPr>
          <w:rFonts w:ascii="Times New Roman" w:hAnsi="Times New Roman" w:cs="Times New Roman"/>
          <w:sz w:val="24"/>
          <w:szCs w:val="24"/>
        </w:rPr>
        <w:t>Da análise da literatura empírica sobre mensuração de eficiência de prestadores de SAA e SES com uso d</w:t>
      </w:r>
      <w:r w:rsidR="002B4287">
        <w:rPr>
          <w:rFonts w:ascii="Times New Roman" w:hAnsi="Times New Roman" w:cs="Times New Roman"/>
          <w:sz w:val="24"/>
          <w:szCs w:val="24"/>
        </w:rPr>
        <w:t xml:space="preserve">a DEA, percebeu-se </w:t>
      </w:r>
      <w:r w:rsidR="00743201" w:rsidRPr="00743201">
        <w:rPr>
          <w:rFonts w:ascii="Times New Roman" w:hAnsi="Times New Roman" w:cs="Times New Roman"/>
          <w:sz w:val="24"/>
          <w:szCs w:val="24"/>
        </w:rPr>
        <w:t xml:space="preserve">a predominância de trabalhos que utilizaram retornos constantes de escala (CRS) e retornos variáveis de escala (VRS) combinados, seguidos por trabalhos que optaram apenas por </w:t>
      </w:r>
      <w:r w:rsidR="002750F4">
        <w:rPr>
          <w:rFonts w:ascii="Times New Roman" w:hAnsi="Times New Roman" w:cs="Times New Roman"/>
          <w:sz w:val="24"/>
          <w:szCs w:val="24"/>
        </w:rPr>
        <w:t>VRS</w:t>
      </w:r>
      <w:r w:rsidR="00743201" w:rsidRPr="00743201">
        <w:rPr>
          <w:rFonts w:ascii="Times New Roman" w:hAnsi="Times New Roman" w:cs="Times New Roman"/>
          <w:sz w:val="24"/>
          <w:szCs w:val="24"/>
        </w:rPr>
        <w:t>, em sua maioria</w:t>
      </w:r>
      <w:r w:rsidR="002750F4">
        <w:rPr>
          <w:rFonts w:ascii="Times New Roman" w:hAnsi="Times New Roman" w:cs="Times New Roman"/>
          <w:sz w:val="24"/>
          <w:szCs w:val="24"/>
        </w:rPr>
        <w:t>,</w:t>
      </w:r>
      <w:r w:rsidR="00743201" w:rsidRPr="00743201">
        <w:rPr>
          <w:rFonts w:ascii="Times New Roman" w:hAnsi="Times New Roman" w:cs="Times New Roman"/>
          <w:sz w:val="24"/>
          <w:szCs w:val="24"/>
        </w:rPr>
        <w:t xml:space="preserve"> orientados a insumo.</w:t>
      </w:r>
      <w:r w:rsidR="002750F4">
        <w:rPr>
          <w:rFonts w:ascii="Times New Roman" w:hAnsi="Times New Roman" w:cs="Times New Roman"/>
          <w:sz w:val="24"/>
          <w:szCs w:val="24"/>
        </w:rPr>
        <w:t xml:space="preserve"> </w:t>
      </w:r>
      <w:r w:rsidR="00743201" w:rsidRPr="00743201">
        <w:rPr>
          <w:rFonts w:ascii="Times New Roman" w:hAnsi="Times New Roman" w:cs="Times New Roman"/>
          <w:sz w:val="24"/>
          <w:szCs w:val="24"/>
        </w:rPr>
        <w:t>Nesta pesquisa</w:t>
      </w:r>
      <w:r w:rsidR="002750F4">
        <w:rPr>
          <w:rFonts w:ascii="Times New Roman" w:hAnsi="Times New Roman" w:cs="Times New Roman"/>
          <w:sz w:val="24"/>
          <w:szCs w:val="24"/>
        </w:rPr>
        <w:t>,</w:t>
      </w:r>
      <w:r w:rsidR="00743201" w:rsidRPr="00743201">
        <w:rPr>
          <w:rFonts w:ascii="Times New Roman" w:hAnsi="Times New Roman" w:cs="Times New Roman"/>
          <w:sz w:val="24"/>
          <w:szCs w:val="24"/>
        </w:rPr>
        <w:t xml:space="preserve"> foram utilizados os modelos clássico</w:t>
      </w:r>
      <w:r w:rsidR="00BF3345">
        <w:rPr>
          <w:rFonts w:ascii="Times New Roman" w:hAnsi="Times New Roman" w:cs="Times New Roman"/>
          <w:sz w:val="24"/>
          <w:szCs w:val="24"/>
        </w:rPr>
        <w:t>s CCR (CRS) e BCC (VRS)</w:t>
      </w:r>
      <w:r w:rsidR="00743201" w:rsidRPr="00743201">
        <w:rPr>
          <w:rFonts w:ascii="Times New Roman" w:hAnsi="Times New Roman" w:cs="Times New Roman"/>
          <w:sz w:val="24"/>
          <w:szCs w:val="24"/>
        </w:rPr>
        <w:t>. Dessa forma, foi possível analisar não apenas a eficiência técnica total (CRS), mas também a eficiência técnica pura (VRS) e a eficiência de escala (CRS/VRS). Em seguida, foi utilizado apenas o modelo BCC como suporte para realização de outras análises.</w:t>
      </w:r>
    </w:p>
    <w:p w:rsidR="00743201" w:rsidRDefault="00195583"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43201" w:rsidRPr="00743201">
        <w:rPr>
          <w:rFonts w:ascii="Times New Roman" w:hAnsi="Times New Roman" w:cs="Times New Roman"/>
          <w:sz w:val="24"/>
          <w:szCs w:val="24"/>
        </w:rPr>
        <w:t xml:space="preserve">Sobre a escolha do BCC como modelo principal, apesar de predominante, não se trata </w:t>
      </w:r>
      <w:r w:rsidR="00743201" w:rsidRPr="0074750F">
        <w:rPr>
          <w:rFonts w:ascii="Times New Roman" w:hAnsi="Times New Roman" w:cs="Times New Roman"/>
          <w:sz w:val="24"/>
          <w:szCs w:val="24"/>
        </w:rPr>
        <w:t xml:space="preserve">de unanimidade, principalmente, no que se refere a questões ligadas à regulação. </w:t>
      </w:r>
      <w:proofErr w:type="spellStart"/>
      <w:r w:rsidR="0074750F" w:rsidRPr="0074750F">
        <w:rPr>
          <w:rFonts w:ascii="Times New Roman" w:hAnsi="Times New Roman" w:cs="Times New Roman"/>
          <w:sz w:val="24"/>
          <w:szCs w:val="24"/>
        </w:rPr>
        <w:t>Thanassoulis</w:t>
      </w:r>
      <w:proofErr w:type="spellEnd"/>
      <w:r w:rsidR="0074750F" w:rsidRPr="0074750F">
        <w:rPr>
          <w:rFonts w:ascii="Times New Roman" w:hAnsi="Times New Roman" w:cs="Times New Roman"/>
          <w:sz w:val="24"/>
          <w:szCs w:val="24"/>
        </w:rPr>
        <w:t xml:space="preserve"> (2000</w:t>
      </w:r>
      <w:r w:rsidR="00743201" w:rsidRPr="0074750F">
        <w:rPr>
          <w:rFonts w:ascii="Times New Roman" w:hAnsi="Times New Roman" w:cs="Times New Roman"/>
          <w:sz w:val="24"/>
          <w:szCs w:val="24"/>
        </w:rPr>
        <w:t xml:space="preserve">, p. 10) destaca que é possível argumentar em nome do interesse público que “as avaliações no contexto regulatório devem estar sempre </w:t>
      </w:r>
      <w:proofErr w:type="gramStart"/>
      <w:r w:rsidR="00743201" w:rsidRPr="0074750F">
        <w:rPr>
          <w:rFonts w:ascii="Times New Roman" w:hAnsi="Times New Roman" w:cs="Times New Roman"/>
          <w:sz w:val="24"/>
          <w:szCs w:val="24"/>
        </w:rPr>
        <w:t>sob retornos</w:t>
      </w:r>
      <w:proofErr w:type="gramEnd"/>
      <w:r w:rsidR="00743201" w:rsidRPr="0074750F">
        <w:rPr>
          <w:rFonts w:ascii="Times New Roman" w:hAnsi="Times New Roman" w:cs="Times New Roman"/>
          <w:sz w:val="24"/>
          <w:szCs w:val="24"/>
        </w:rPr>
        <w:t xml:space="preserve"> constantes de escala </w:t>
      </w:r>
      <w:r w:rsidR="00743201" w:rsidRPr="00743201">
        <w:rPr>
          <w:rFonts w:ascii="Times New Roman" w:hAnsi="Times New Roman" w:cs="Times New Roman"/>
          <w:sz w:val="24"/>
          <w:szCs w:val="24"/>
        </w:rPr>
        <w:t xml:space="preserve">desde que o tamanho de escala seja controlável pela administração, independentemente da verdadeira natureza de rendimentos de escala em que cada firma passe a operar”. </w:t>
      </w:r>
      <w:r w:rsidR="002B4287">
        <w:rPr>
          <w:rFonts w:ascii="Times New Roman" w:hAnsi="Times New Roman" w:cs="Times New Roman"/>
          <w:sz w:val="24"/>
          <w:szCs w:val="24"/>
        </w:rPr>
        <w:t>A</w:t>
      </w:r>
      <w:r w:rsidR="00743201" w:rsidRPr="00743201">
        <w:rPr>
          <w:rFonts w:ascii="Times New Roman" w:hAnsi="Times New Roman" w:cs="Times New Roman"/>
          <w:sz w:val="24"/>
          <w:szCs w:val="24"/>
        </w:rPr>
        <w:t xml:space="preserve"> ideia </w:t>
      </w:r>
      <w:r w:rsidR="002B4287">
        <w:rPr>
          <w:rFonts w:ascii="Times New Roman" w:hAnsi="Times New Roman" w:cs="Times New Roman"/>
          <w:sz w:val="24"/>
          <w:szCs w:val="24"/>
        </w:rPr>
        <w:t>é</w:t>
      </w:r>
      <w:r w:rsidR="00743201" w:rsidRPr="00743201">
        <w:rPr>
          <w:rFonts w:ascii="Times New Roman" w:hAnsi="Times New Roman" w:cs="Times New Roman"/>
          <w:sz w:val="24"/>
          <w:szCs w:val="24"/>
        </w:rPr>
        <w:t xml:space="preserve"> que os custos decorrentes das ineficiências de escala não sejam repassados ao público, no entanto, o próprio autor menciona argumentos contrários como o que a escala também depende de variáveis ambientais que estão fora do controle da firma.</w:t>
      </w:r>
      <w:r w:rsidR="00D85A7B">
        <w:rPr>
          <w:rFonts w:ascii="Times New Roman" w:hAnsi="Times New Roman" w:cs="Times New Roman"/>
          <w:sz w:val="24"/>
          <w:szCs w:val="24"/>
        </w:rPr>
        <w:t xml:space="preserve"> </w:t>
      </w:r>
      <w:r w:rsidR="00743201" w:rsidRPr="0074750F">
        <w:rPr>
          <w:rFonts w:ascii="Times New Roman" w:hAnsi="Times New Roman" w:cs="Times New Roman"/>
          <w:sz w:val="24"/>
          <w:szCs w:val="24"/>
        </w:rPr>
        <w:t xml:space="preserve">Ainda sobre a utilização de </w:t>
      </w:r>
      <w:r w:rsidR="002B4287">
        <w:rPr>
          <w:rFonts w:ascii="Times New Roman" w:hAnsi="Times New Roman" w:cs="Times New Roman"/>
          <w:sz w:val="24"/>
          <w:szCs w:val="24"/>
        </w:rPr>
        <w:t>VRS</w:t>
      </w:r>
      <w:r w:rsidR="00743201" w:rsidRPr="0074750F">
        <w:rPr>
          <w:rFonts w:ascii="Times New Roman" w:hAnsi="Times New Roman" w:cs="Times New Roman"/>
          <w:sz w:val="24"/>
          <w:szCs w:val="24"/>
        </w:rPr>
        <w:t xml:space="preserve">, De </w:t>
      </w:r>
      <w:proofErr w:type="spellStart"/>
      <w:r w:rsidR="00743201" w:rsidRPr="0074750F">
        <w:rPr>
          <w:rFonts w:ascii="Times New Roman" w:hAnsi="Times New Roman" w:cs="Times New Roman"/>
          <w:sz w:val="24"/>
          <w:szCs w:val="24"/>
        </w:rPr>
        <w:t>Witte</w:t>
      </w:r>
      <w:proofErr w:type="spellEnd"/>
      <w:r w:rsidR="00743201" w:rsidRPr="0074750F">
        <w:rPr>
          <w:rFonts w:ascii="Times New Roman" w:hAnsi="Times New Roman" w:cs="Times New Roman"/>
          <w:sz w:val="24"/>
          <w:szCs w:val="24"/>
        </w:rPr>
        <w:t xml:space="preserve"> e Marques (2010, p. 202) </w:t>
      </w:r>
      <w:proofErr w:type="gramStart"/>
      <w:r w:rsidR="00743201" w:rsidRPr="0074750F">
        <w:rPr>
          <w:rFonts w:ascii="Times New Roman" w:hAnsi="Times New Roman" w:cs="Times New Roman"/>
          <w:sz w:val="24"/>
          <w:szCs w:val="24"/>
        </w:rPr>
        <w:t>destacam</w:t>
      </w:r>
      <w:proofErr w:type="gramEnd"/>
      <w:r w:rsidR="00743201" w:rsidRPr="0074750F">
        <w:rPr>
          <w:rFonts w:ascii="Times New Roman" w:hAnsi="Times New Roman" w:cs="Times New Roman"/>
          <w:sz w:val="24"/>
          <w:szCs w:val="24"/>
        </w:rPr>
        <w:t xml:space="preserve"> que se trata de um modelo menos rigoroso, que garante a comparação apenas de </w:t>
      </w:r>
      <w:proofErr w:type="spellStart"/>
      <w:r w:rsidR="00743201" w:rsidRPr="0074750F">
        <w:rPr>
          <w:rFonts w:ascii="Times New Roman" w:hAnsi="Times New Roman" w:cs="Times New Roman"/>
          <w:sz w:val="24"/>
          <w:szCs w:val="24"/>
        </w:rPr>
        <w:t>DMUs</w:t>
      </w:r>
      <w:proofErr w:type="spellEnd"/>
      <w:r w:rsidR="00743201" w:rsidRPr="0074750F">
        <w:rPr>
          <w:rFonts w:ascii="Times New Roman" w:hAnsi="Times New Roman" w:cs="Times New Roman"/>
          <w:sz w:val="24"/>
          <w:szCs w:val="24"/>
        </w:rPr>
        <w:t xml:space="preserve"> semelhantes e se alinha ao fato de que “os prestadores de serviços de água não podem mudar o seu tamanho no curto prazo”. No caso brasileiro, Sampaio e Sampaio (2007) </w:t>
      </w:r>
      <w:r w:rsidR="00743201" w:rsidRPr="00743201">
        <w:rPr>
          <w:rFonts w:ascii="Times New Roman" w:hAnsi="Times New Roman" w:cs="Times New Roman"/>
          <w:sz w:val="24"/>
          <w:szCs w:val="24"/>
        </w:rPr>
        <w:t>ressaltam a grande variação nos tamanhos e características d</w:t>
      </w:r>
      <w:r w:rsidR="00D85A7B">
        <w:rPr>
          <w:rFonts w:ascii="Times New Roman" w:hAnsi="Times New Roman" w:cs="Times New Roman"/>
          <w:sz w:val="24"/>
          <w:szCs w:val="24"/>
        </w:rPr>
        <w:t>as empresas por eles analisadas</w:t>
      </w:r>
      <w:r w:rsidR="00743201" w:rsidRPr="00743201">
        <w:rPr>
          <w:rFonts w:ascii="Times New Roman" w:hAnsi="Times New Roman" w:cs="Times New Roman"/>
          <w:sz w:val="24"/>
          <w:szCs w:val="24"/>
        </w:rPr>
        <w:t>.</w:t>
      </w:r>
      <w:r w:rsidR="00C82F1E">
        <w:rPr>
          <w:rFonts w:ascii="Times New Roman" w:hAnsi="Times New Roman" w:cs="Times New Roman"/>
          <w:sz w:val="24"/>
          <w:szCs w:val="24"/>
        </w:rPr>
        <w:t xml:space="preserve"> </w:t>
      </w:r>
      <w:r w:rsidR="002B4287">
        <w:rPr>
          <w:rFonts w:ascii="Times New Roman" w:hAnsi="Times New Roman" w:cs="Times New Roman"/>
          <w:sz w:val="24"/>
          <w:szCs w:val="24"/>
        </w:rPr>
        <w:t xml:space="preserve">A opção pela </w:t>
      </w:r>
      <w:r w:rsidR="00743201" w:rsidRPr="00743201">
        <w:rPr>
          <w:rFonts w:ascii="Times New Roman" w:hAnsi="Times New Roman" w:cs="Times New Roman"/>
          <w:sz w:val="24"/>
          <w:szCs w:val="24"/>
        </w:rPr>
        <w:t>orien</w:t>
      </w:r>
      <w:r w:rsidR="002B4287">
        <w:rPr>
          <w:rFonts w:ascii="Times New Roman" w:hAnsi="Times New Roman" w:cs="Times New Roman"/>
          <w:sz w:val="24"/>
          <w:szCs w:val="24"/>
        </w:rPr>
        <w:t xml:space="preserve">tação a insumo </w:t>
      </w:r>
      <w:r w:rsidR="00C82F1E">
        <w:rPr>
          <w:rFonts w:ascii="Times New Roman" w:hAnsi="Times New Roman" w:cs="Times New Roman"/>
          <w:sz w:val="24"/>
          <w:szCs w:val="24"/>
        </w:rPr>
        <w:t>se justifica</w:t>
      </w:r>
      <w:r w:rsidR="00743201" w:rsidRPr="00743201">
        <w:rPr>
          <w:rFonts w:ascii="Times New Roman" w:hAnsi="Times New Roman" w:cs="Times New Roman"/>
          <w:sz w:val="24"/>
          <w:szCs w:val="24"/>
        </w:rPr>
        <w:t>, não só pela predominância na literatura, mas pelo fato de que se propõe incentivar o alcance de custo</w:t>
      </w:r>
      <w:r w:rsidR="00C82F1E">
        <w:rPr>
          <w:rFonts w:ascii="Times New Roman" w:hAnsi="Times New Roman" w:cs="Times New Roman"/>
          <w:sz w:val="24"/>
          <w:szCs w:val="24"/>
        </w:rPr>
        <w:t>s operacionais eficientes</w:t>
      </w:r>
      <w:r w:rsidR="008A0406">
        <w:rPr>
          <w:rFonts w:ascii="Times New Roman" w:hAnsi="Times New Roman" w:cs="Times New Roman"/>
          <w:sz w:val="24"/>
          <w:szCs w:val="24"/>
        </w:rPr>
        <w:t>,</w:t>
      </w:r>
      <w:r w:rsidR="00C82F1E">
        <w:rPr>
          <w:rFonts w:ascii="Times New Roman" w:hAnsi="Times New Roman" w:cs="Times New Roman"/>
          <w:sz w:val="24"/>
          <w:szCs w:val="24"/>
        </w:rPr>
        <w:t xml:space="preserve"> seguindo</w:t>
      </w:r>
      <w:r w:rsidR="00743201" w:rsidRPr="00743201">
        <w:rPr>
          <w:rFonts w:ascii="Times New Roman" w:hAnsi="Times New Roman" w:cs="Times New Roman"/>
          <w:sz w:val="24"/>
          <w:szCs w:val="24"/>
        </w:rPr>
        <w:t xml:space="preserve"> a lógica da regulação por incentivos.</w:t>
      </w:r>
    </w:p>
    <w:p w:rsidR="002B4287" w:rsidRPr="00743201" w:rsidRDefault="002B4287" w:rsidP="00195583">
      <w:pPr>
        <w:spacing w:after="0" w:line="240" w:lineRule="auto"/>
        <w:jc w:val="both"/>
        <w:rPr>
          <w:rFonts w:ascii="Times New Roman" w:hAnsi="Times New Roman" w:cs="Times New Roman"/>
          <w:sz w:val="24"/>
          <w:szCs w:val="24"/>
        </w:rPr>
      </w:pPr>
    </w:p>
    <w:p w:rsidR="00743201" w:rsidRPr="00195583" w:rsidRDefault="00195583" w:rsidP="00195583">
      <w:pPr>
        <w:spacing w:after="0" w:line="240" w:lineRule="auto"/>
        <w:jc w:val="both"/>
        <w:rPr>
          <w:rFonts w:ascii="Times New Roman" w:hAnsi="Times New Roman" w:cs="Times New Roman"/>
          <w:i/>
          <w:sz w:val="24"/>
          <w:szCs w:val="24"/>
        </w:rPr>
      </w:pPr>
      <w:r w:rsidRPr="00195583">
        <w:rPr>
          <w:rFonts w:ascii="Times New Roman" w:hAnsi="Times New Roman" w:cs="Times New Roman"/>
          <w:i/>
          <w:sz w:val="24"/>
          <w:szCs w:val="24"/>
        </w:rPr>
        <w:t>4.1</w:t>
      </w:r>
      <w:r w:rsidR="00743201" w:rsidRPr="00195583">
        <w:rPr>
          <w:rFonts w:ascii="Times New Roman" w:hAnsi="Times New Roman" w:cs="Times New Roman"/>
          <w:i/>
          <w:sz w:val="24"/>
          <w:szCs w:val="24"/>
        </w:rPr>
        <w:t>.2 Variáveis selecionadas</w:t>
      </w:r>
      <w:r w:rsidR="00743201" w:rsidRPr="00195583">
        <w:rPr>
          <w:rFonts w:ascii="Times New Roman" w:hAnsi="Times New Roman" w:cs="Times New Roman"/>
          <w:i/>
          <w:sz w:val="24"/>
          <w:szCs w:val="24"/>
        </w:rPr>
        <w:fldChar w:fldCharType="begin"/>
      </w:r>
      <w:r w:rsidR="00743201" w:rsidRPr="00195583">
        <w:rPr>
          <w:rFonts w:ascii="Times New Roman" w:hAnsi="Times New Roman" w:cs="Times New Roman"/>
          <w:i/>
          <w:sz w:val="24"/>
          <w:szCs w:val="24"/>
        </w:rPr>
        <w:instrText xml:space="preserve"> XE "4.4.1.2 Variáveis selecionadas" </w:instrText>
      </w:r>
      <w:r w:rsidR="00743201" w:rsidRPr="00195583">
        <w:rPr>
          <w:rFonts w:ascii="Times New Roman" w:hAnsi="Times New Roman" w:cs="Times New Roman"/>
          <w:i/>
          <w:sz w:val="24"/>
          <w:szCs w:val="24"/>
        </w:rPr>
        <w:fldChar w:fldCharType="end"/>
      </w:r>
    </w:p>
    <w:p w:rsidR="00743201" w:rsidRPr="00743201" w:rsidRDefault="00743201" w:rsidP="00195583">
      <w:pPr>
        <w:spacing w:after="0" w:line="240" w:lineRule="auto"/>
        <w:jc w:val="both"/>
        <w:rPr>
          <w:rFonts w:ascii="Times New Roman" w:hAnsi="Times New Roman" w:cs="Times New Roman"/>
          <w:sz w:val="24"/>
          <w:szCs w:val="24"/>
        </w:rPr>
      </w:pPr>
    </w:p>
    <w:p w:rsidR="00743201" w:rsidRDefault="00743201" w:rsidP="00195583">
      <w:pPr>
        <w:spacing w:after="0" w:line="240" w:lineRule="auto"/>
        <w:jc w:val="both"/>
        <w:rPr>
          <w:rFonts w:ascii="Times New Roman" w:hAnsi="Times New Roman" w:cs="Times New Roman"/>
          <w:sz w:val="24"/>
          <w:szCs w:val="24"/>
        </w:rPr>
      </w:pPr>
      <w:r w:rsidRPr="00743201">
        <w:rPr>
          <w:rFonts w:ascii="Times New Roman" w:hAnsi="Times New Roman" w:cs="Times New Roman"/>
          <w:sz w:val="24"/>
          <w:szCs w:val="24"/>
        </w:rPr>
        <w:tab/>
      </w:r>
      <w:r w:rsidR="00BF3345">
        <w:rPr>
          <w:rFonts w:ascii="Times New Roman" w:hAnsi="Times New Roman" w:cs="Times New Roman"/>
          <w:sz w:val="24"/>
          <w:szCs w:val="24"/>
        </w:rPr>
        <w:t>E</w:t>
      </w:r>
      <w:r w:rsidRPr="00743201">
        <w:rPr>
          <w:rFonts w:ascii="Times New Roman" w:hAnsi="Times New Roman" w:cs="Times New Roman"/>
          <w:sz w:val="24"/>
          <w:szCs w:val="24"/>
        </w:rPr>
        <w:t xml:space="preserve">xiste uma diversidade considerável de variáveis que podem ser usadas como insumos e produtos para avaliação da eficiência de prestadores de SAA e SES. Tomando como base os estudos existentes e </w:t>
      </w:r>
      <w:r w:rsidRPr="00743201">
        <w:rPr>
          <w:rFonts w:ascii="Times New Roman" w:hAnsi="Times New Roman" w:cs="Times New Roman"/>
          <w:sz w:val="24"/>
          <w:szCs w:val="24"/>
        </w:rPr>
        <w:lastRenderedPageBreak/>
        <w:t>considerando as características desta pesquisa</w:t>
      </w:r>
      <w:r w:rsidR="00D85A7B">
        <w:rPr>
          <w:rFonts w:ascii="Times New Roman" w:hAnsi="Times New Roman" w:cs="Times New Roman"/>
          <w:sz w:val="24"/>
          <w:szCs w:val="24"/>
        </w:rPr>
        <w:t>,</w:t>
      </w:r>
      <w:r w:rsidRPr="00743201">
        <w:rPr>
          <w:rFonts w:ascii="Times New Roman" w:hAnsi="Times New Roman" w:cs="Times New Roman"/>
          <w:sz w:val="24"/>
          <w:szCs w:val="24"/>
        </w:rPr>
        <w:t xml:space="preserve"> foram selecionadas seis variáveis para compor três modelos DEA (I, II e II</w:t>
      </w:r>
      <w:r w:rsidR="00BF3345">
        <w:rPr>
          <w:rFonts w:ascii="Times New Roman" w:hAnsi="Times New Roman" w:cs="Times New Roman"/>
          <w:sz w:val="24"/>
          <w:szCs w:val="24"/>
        </w:rPr>
        <w:t xml:space="preserve">I) conforme disposto no Quadro </w:t>
      </w:r>
      <w:proofErr w:type="gramStart"/>
      <w:r w:rsidR="00BF3345">
        <w:rPr>
          <w:rFonts w:ascii="Times New Roman" w:hAnsi="Times New Roman" w:cs="Times New Roman"/>
          <w:sz w:val="24"/>
          <w:szCs w:val="24"/>
        </w:rPr>
        <w:t>1</w:t>
      </w:r>
      <w:proofErr w:type="gramEnd"/>
      <w:r w:rsidRPr="00743201">
        <w:rPr>
          <w:rFonts w:ascii="Times New Roman" w:hAnsi="Times New Roman" w:cs="Times New Roman"/>
          <w:sz w:val="24"/>
          <w:szCs w:val="24"/>
        </w:rPr>
        <w:t>.</w:t>
      </w:r>
    </w:p>
    <w:p w:rsidR="00A804C1" w:rsidRPr="00743201" w:rsidRDefault="00A804C1" w:rsidP="00195583">
      <w:pPr>
        <w:spacing w:after="0" w:line="240" w:lineRule="auto"/>
        <w:jc w:val="both"/>
        <w:rPr>
          <w:rFonts w:ascii="Times New Roman" w:hAnsi="Times New Roman" w:cs="Times New Roman"/>
          <w:sz w:val="24"/>
          <w:szCs w:val="24"/>
        </w:rPr>
      </w:pPr>
    </w:p>
    <w:p w:rsidR="00743201" w:rsidRPr="000B0478" w:rsidRDefault="00743201" w:rsidP="00195583">
      <w:pPr>
        <w:pStyle w:val="Legenda"/>
        <w:rPr>
          <w:sz w:val="24"/>
        </w:rPr>
      </w:pPr>
      <w:bookmarkStart w:id="1" w:name="_Toc377445816"/>
      <w:r w:rsidRPr="000B0478">
        <w:rPr>
          <w:sz w:val="24"/>
        </w:rPr>
        <w:t xml:space="preserve">Quadro </w:t>
      </w:r>
      <w:r w:rsidR="00BF3345">
        <w:rPr>
          <w:sz w:val="24"/>
        </w:rPr>
        <w:t>1</w:t>
      </w:r>
      <w:r w:rsidRPr="000B0478">
        <w:rPr>
          <w:sz w:val="24"/>
        </w:rPr>
        <w:t xml:space="preserve"> – </w:t>
      </w:r>
      <w:r w:rsidRPr="000B0478">
        <w:rPr>
          <w:b w:val="0"/>
          <w:sz w:val="24"/>
        </w:rPr>
        <w:t>Variáveis do modelo DEA</w:t>
      </w:r>
      <w:bookmarkEnd w:id="1"/>
      <w:r w:rsidR="00535BD1">
        <w:rPr>
          <w:b w:val="0"/>
          <w:sz w:val="24"/>
        </w:rPr>
        <w:t>.</w:t>
      </w:r>
    </w:p>
    <w:tbl>
      <w:tblPr>
        <w:tblStyle w:val="Tabelaemlista1"/>
        <w:tblW w:w="10420" w:type="dxa"/>
        <w:jc w:val="center"/>
        <w:tblBorders>
          <w:insideH w:val="single" w:sz="6" w:space="0" w:color="008080"/>
          <w:insideV w:val="single" w:sz="6" w:space="0" w:color="008080"/>
        </w:tblBorders>
        <w:tblLook w:val="04A0" w:firstRow="1" w:lastRow="0" w:firstColumn="1" w:lastColumn="0" w:noHBand="0" w:noVBand="1"/>
      </w:tblPr>
      <w:tblGrid>
        <w:gridCol w:w="1846"/>
        <w:gridCol w:w="639"/>
        <w:gridCol w:w="1304"/>
        <w:gridCol w:w="6631"/>
      </w:tblGrid>
      <w:tr w:rsidR="0087776E" w:rsidRPr="0087776E" w:rsidTr="00A804C1">
        <w:trPr>
          <w:cnfStyle w:val="100000000000" w:firstRow="1" w:lastRow="0" w:firstColumn="0" w:lastColumn="0" w:oddVBand="0" w:evenVBand="0" w:oddHBand="0" w:evenHBand="0" w:firstRowFirstColumn="0" w:firstRowLastColumn="0" w:lastRowFirstColumn="0" w:lastRowLastColumn="0"/>
          <w:jc w:val="center"/>
        </w:trPr>
        <w:tc>
          <w:tcPr>
            <w:tcW w:w="1846" w:type="dxa"/>
            <w:shd w:val="clear" w:color="auto" w:fill="auto"/>
            <w:vAlign w:val="center"/>
          </w:tcPr>
          <w:p w:rsidR="00743201" w:rsidRPr="0087776E" w:rsidRDefault="00743201" w:rsidP="00195583">
            <w:pPr>
              <w:jc w:val="center"/>
              <w:outlineLvl w:val="0"/>
              <w:rPr>
                <w:i w:val="0"/>
                <w:color w:val="auto"/>
              </w:rPr>
            </w:pPr>
            <w:r w:rsidRPr="0087776E">
              <w:rPr>
                <w:i w:val="0"/>
                <w:color w:val="auto"/>
              </w:rPr>
              <w:t>Variáveis</w:t>
            </w:r>
          </w:p>
        </w:tc>
        <w:tc>
          <w:tcPr>
            <w:tcW w:w="639" w:type="dxa"/>
            <w:shd w:val="clear" w:color="auto" w:fill="auto"/>
            <w:vAlign w:val="center"/>
          </w:tcPr>
          <w:p w:rsidR="00743201" w:rsidRPr="0087776E" w:rsidRDefault="00743201" w:rsidP="00195583">
            <w:pPr>
              <w:jc w:val="center"/>
              <w:outlineLvl w:val="0"/>
              <w:rPr>
                <w:i w:val="0"/>
                <w:color w:val="auto"/>
              </w:rPr>
            </w:pPr>
            <w:r w:rsidRPr="0087776E">
              <w:rPr>
                <w:i w:val="0"/>
                <w:color w:val="auto"/>
              </w:rPr>
              <w:t>DEA</w:t>
            </w:r>
          </w:p>
        </w:tc>
        <w:tc>
          <w:tcPr>
            <w:tcW w:w="1304" w:type="dxa"/>
            <w:shd w:val="clear" w:color="auto" w:fill="auto"/>
            <w:vAlign w:val="center"/>
          </w:tcPr>
          <w:p w:rsidR="00743201" w:rsidRPr="0087776E" w:rsidRDefault="00743201" w:rsidP="00195583">
            <w:pPr>
              <w:jc w:val="center"/>
              <w:outlineLvl w:val="0"/>
              <w:rPr>
                <w:i w:val="0"/>
                <w:color w:val="auto"/>
              </w:rPr>
            </w:pPr>
            <w:r w:rsidRPr="0087776E">
              <w:rPr>
                <w:i w:val="0"/>
                <w:color w:val="auto"/>
              </w:rPr>
              <w:t>Sigla / Unidade</w:t>
            </w:r>
          </w:p>
        </w:tc>
        <w:tc>
          <w:tcPr>
            <w:tcW w:w="6631" w:type="dxa"/>
            <w:shd w:val="clear" w:color="auto" w:fill="auto"/>
            <w:vAlign w:val="center"/>
          </w:tcPr>
          <w:p w:rsidR="00743201" w:rsidRPr="0087776E" w:rsidRDefault="00743201" w:rsidP="00195583">
            <w:pPr>
              <w:jc w:val="center"/>
              <w:outlineLvl w:val="0"/>
              <w:rPr>
                <w:i w:val="0"/>
                <w:color w:val="auto"/>
              </w:rPr>
            </w:pPr>
            <w:r w:rsidRPr="0087776E">
              <w:rPr>
                <w:i w:val="0"/>
                <w:color w:val="auto"/>
              </w:rPr>
              <w:t>Definição no SNIS</w:t>
            </w:r>
          </w:p>
        </w:tc>
      </w:tr>
      <w:tr w:rsidR="0087776E" w:rsidRPr="0087776E" w:rsidTr="00A804C1">
        <w:trPr>
          <w:cnfStyle w:val="000000100000" w:firstRow="0" w:lastRow="0" w:firstColumn="0" w:lastColumn="0" w:oddVBand="0" w:evenVBand="0" w:oddHBand="1" w:evenHBand="0" w:firstRowFirstColumn="0" w:firstRowLastColumn="0" w:lastRowFirstColumn="0" w:lastRowLastColumn="0"/>
          <w:jc w:val="center"/>
        </w:trPr>
        <w:tc>
          <w:tcPr>
            <w:tcW w:w="1846" w:type="dxa"/>
            <w:vAlign w:val="center"/>
          </w:tcPr>
          <w:p w:rsidR="00743201" w:rsidRPr="0087776E" w:rsidRDefault="00743201" w:rsidP="00195583">
            <w:pPr>
              <w:jc w:val="center"/>
              <w:outlineLvl w:val="0"/>
              <w:rPr>
                <w:b/>
              </w:rPr>
            </w:pPr>
            <w:r w:rsidRPr="0087776E">
              <w:rPr>
                <w:b/>
              </w:rPr>
              <w:t>Despesas de exploração</w:t>
            </w:r>
            <w:r w:rsidR="0087776E">
              <w:rPr>
                <w:b/>
              </w:rPr>
              <w:t xml:space="preserve"> (I)</w:t>
            </w:r>
          </w:p>
        </w:tc>
        <w:tc>
          <w:tcPr>
            <w:tcW w:w="639" w:type="dxa"/>
            <w:vAlign w:val="center"/>
          </w:tcPr>
          <w:p w:rsidR="00743201" w:rsidRPr="0087776E" w:rsidRDefault="00743201" w:rsidP="00195583">
            <w:pPr>
              <w:jc w:val="center"/>
              <w:outlineLvl w:val="0"/>
            </w:pPr>
            <w:r w:rsidRPr="0087776E">
              <w:t>I, II e III</w:t>
            </w:r>
          </w:p>
        </w:tc>
        <w:tc>
          <w:tcPr>
            <w:tcW w:w="1304" w:type="dxa"/>
            <w:vAlign w:val="center"/>
          </w:tcPr>
          <w:p w:rsidR="00743201" w:rsidRPr="0087776E" w:rsidRDefault="00743201" w:rsidP="00195583">
            <w:pPr>
              <w:jc w:val="center"/>
              <w:outlineLvl w:val="0"/>
            </w:pPr>
            <w:r w:rsidRPr="0087776E">
              <w:t>DEX</w:t>
            </w:r>
          </w:p>
          <w:p w:rsidR="00743201" w:rsidRPr="0087776E" w:rsidRDefault="00743201" w:rsidP="00195583">
            <w:pPr>
              <w:jc w:val="center"/>
              <w:outlineLvl w:val="0"/>
            </w:pPr>
            <w:r w:rsidRPr="0087776E">
              <w:t>(R$/ano)</w:t>
            </w:r>
          </w:p>
        </w:tc>
        <w:tc>
          <w:tcPr>
            <w:tcW w:w="6631" w:type="dxa"/>
            <w:vAlign w:val="center"/>
          </w:tcPr>
          <w:p w:rsidR="00743201" w:rsidRPr="0087776E" w:rsidRDefault="00743201" w:rsidP="00B95BCA">
            <w:pPr>
              <w:jc w:val="both"/>
              <w:outlineLvl w:val="0"/>
            </w:pPr>
            <w:r w:rsidRPr="0087776E">
              <w:t>Valor anual das despesas realizadas para a exploração dos serviços, compreendendo despesas com pessoal, produtos químicos, energia elétrica, serviços de terceiros, água importada, esgoto exportado, despesas fiscais ou tributárias computadas na DEX, além de outras despesas de exploração.</w:t>
            </w:r>
            <w:r w:rsidR="00B95BCA">
              <w:t xml:space="preserve"> </w:t>
            </w:r>
            <w:r w:rsidRPr="0087776E">
              <w:t>Código SNIS: FN015</w:t>
            </w:r>
          </w:p>
        </w:tc>
      </w:tr>
      <w:tr w:rsidR="0087776E" w:rsidRPr="0087776E" w:rsidTr="00A804C1">
        <w:trPr>
          <w:cnfStyle w:val="000000010000" w:firstRow="0" w:lastRow="0" w:firstColumn="0" w:lastColumn="0" w:oddVBand="0" w:evenVBand="0" w:oddHBand="0" w:evenHBand="1" w:firstRowFirstColumn="0" w:firstRowLastColumn="0" w:lastRowFirstColumn="0" w:lastRowLastColumn="0"/>
          <w:jc w:val="center"/>
        </w:trPr>
        <w:tc>
          <w:tcPr>
            <w:tcW w:w="1846" w:type="dxa"/>
            <w:vAlign w:val="center"/>
          </w:tcPr>
          <w:p w:rsidR="00743201" w:rsidRPr="0087776E" w:rsidRDefault="001A7AFE" w:rsidP="00195583">
            <w:pPr>
              <w:jc w:val="center"/>
              <w:outlineLvl w:val="0"/>
              <w:rPr>
                <w:b/>
              </w:rPr>
            </w:pPr>
            <w:r w:rsidRPr="0087776E">
              <w:rPr>
                <w:b/>
              </w:rPr>
              <w:t>Índice bruto de perdas lineares</w:t>
            </w:r>
            <w:r w:rsidR="00E2772A" w:rsidRPr="0087776E">
              <w:rPr>
                <w:b/>
                <w:vertAlign w:val="superscript"/>
              </w:rPr>
              <w:t>1</w:t>
            </w:r>
            <w:r w:rsidRPr="0087776E">
              <w:rPr>
                <w:b/>
              </w:rPr>
              <w:t xml:space="preserve"> </w:t>
            </w:r>
            <w:r w:rsidR="0087776E">
              <w:rPr>
                <w:b/>
              </w:rPr>
              <w:t>(I)</w:t>
            </w:r>
          </w:p>
        </w:tc>
        <w:tc>
          <w:tcPr>
            <w:tcW w:w="639" w:type="dxa"/>
            <w:vAlign w:val="center"/>
          </w:tcPr>
          <w:p w:rsidR="00743201" w:rsidRPr="0087776E" w:rsidRDefault="00743201" w:rsidP="00195583">
            <w:pPr>
              <w:jc w:val="center"/>
              <w:outlineLvl w:val="0"/>
            </w:pPr>
            <w:r w:rsidRPr="0087776E">
              <w:t>II e III</w:t>
            </w:r>
          </w:p>
        </w:tc>
        <w:tc>
          <w:tcPr>
            <w:tcW w:w="1304" w:type="dxa"/>
            <w:vAlign w:val="center"/>
          </w:tcPr>
          <w:p w:rsidR="00743201" w:rsidRPr="0087776E" w:rsidRDefault="00743201" w:rsidP="00195583">
            <w:pPr>
              <w:jc w:val="center"/>
              <w:outlineLvl w:val="0"/>
            </w:pPr>
            <w:r w:rsidRPr="0087776E">
              <w:t>IPD</w:t>
            </w:r>
          </w:p>
          <w:p w:rsidR="00743201" w:rsidRPr="0087776E" w:rsidRDefault="001A7AFE" w:rsidP="00195583">
            <w:pPr>
              <w:jc w:val="center"/>
              <w:outlineLvl w:val="0"/>
            </w:pPr>
            <w:r w:rsidRPr="0087776E">
              <w:t>(m³/</w:t>
            </w:r>
            <w:proofErr w:type="gramStart"/>
            <w:r w:rsidRPr="0087776E">
              <w:t>(</w:t>
            </w:r>
            <w:proofErr w:type="gramEnd"/>
            <w:r w:rsidRPr="0087776E">
              <w:t>dia.km))</w:t>
            </w:r>
          </w:p>
        </w:tc>
        <w:tc>
          <w:tcPr>
            <w:tcW w:w="6631" w:type="dxa"/>
            <w:vAlign w:val="center"/>
          </w:tcPr>
          <w:p w:rsidR="00743201" w:rsidRPr="0087776E" w:rsidRDefault="001A7AFE" w:rsidP="00B95BCA">
            <w:pPr>
              <w:jc w:val="both"/>
              <w:outlineLvl w:val="0"/>
            </w:pPr>
            <w:r w:rsidRPr="0087776E">
              <w:t>O quociente entre o volume de água (produzido + tratado importado - de serviço) menos o volume de água consumido e a extensão de rede de água.</w:t>
            </w:r>
            <w:r w:rsidR="00B95BCA">
              <w:t xml:space="preserve"> </w:t>
            </w:r>
            <w:r w:rsidRPr="0087776E">
              <w:t>Código SNIS: IN050</w:t>
            </w:r>
          </w:p>
        </w:tc>
      </w:tr>
      <w:tr w:rsidR="0087776E" w:rsidRPr="0087776E" w:rsidTr="00A804C1">
        <w:trPr>
          <w:cnfStyle w:val="000000100000" w:firstRow="0" w:lastRow="0" w:firstColumn="0" w:lastColumn="0" w:oddVBand="0" w:evenVBand="0" w:oddHBand="1" w:evenHBand="0" w:firstRowFirstColumn="0" w:firstRowLastColumn="0" w:lastRowFirstColumn="0" w:lastRowLastColumn="0"/>
          <w:jc w:val="center"/>
        </w:trPr>
        <w:tc>
          <w:tcPr>
            <w:tcW w:w="1846" w:type="dxa"/>
            <w:vAlign w:val="center"/>
          </w:tcPr>
          <w:p w:rsidR="00743201" w:rsidRPr="0087776E" w:rsidRDefault="00743201" w:rsidP="00195583">
            <w:pPr>
              <w:jc w:val="center"/>
              <w:outlineLvl w:val="0"/>
              <w:rPr>
                <w:b/>
              </w:rPr>
            </w:pPr>
            <w:r w:rsidRPr="0087776E">
              <w:rPr>
                <w:b/>
              </w:rPr>
              <w:t>Volume de água faturado</w:t>
            </w:r>
            <w:r w:rsidR="0087776E">
              <w:rPr>
                <w:b/>
              </w:rPr>
              <w:t xml:space="preserve"> (P)</w:t>
            </w:r>
          </w:p>
        </w:tc>
        <w:tc>
          <w:tcPr>
            <w:tcW w:w="639" w:type="dxa"/>
            <w:vAlign w:val="center"/>
          </w:tcPr>
          <w:p w:rsidR="00743201" w:rsidRPr="0087776E" w:rsidRDefault="00743201" w:rsidP="00195583">
            <w:pPr>
              <w:jc w:val="center"/>
              <w:outlineLvl w:val="0"/>
            </w:pPr>
            <w:r w:rsidRPr="0087776E">
              <w:t>I e III</w:t>
            </w:r>
          </w:p>
        </w:tc>
        <w:tc>
          <w:tcPr>
            <w:tcW w:w="1304" w:type="dxa"/>
            <w:vAlign w:val="center"/>
          </w:tcPr>
          <w:p w:rsidR="00743201" w:rsidRPr="0087776E" w:rsidRDefault="00743201" w:rsidP="00195583">
            <w:pPr>
              <w:jc w:val="center"/>
              <w:outlineLvl w:val="0"/>
            </w:pPr>
            <w:r w:rsidRPr="0087776E">
              <w:t>VAF</w:t>
            </w:r>
          </w:p>
          <w:p w:rsidR="00743201" w:rsidRPr="0087776E" w:rsidRDefault="00743201" w:rsidP="00195583">
            <w:pPr>
              <w:jc w:val="center"/>
              <w:outlineLvl w:val="0"/>
            </w:pPr>
            <w:r w:rsidRPr="0087776E">
              <w:t>(1.000 m3/ano)</w:t>
            </w:r>
          </w:p>
        </w:tc>
        <w:tc>
          <w:tcPr>
            <w:tcW w:w="6631" w:type="dxa"/>
            <w:vAlign w:val="center"/>
          </w:tcPr>
          <w:p w:rsidR="00743201" w:rsidRPr="0087776E" w:rsidRDefault="00743201" w:rsidP="00B95BCA">
            <w:pPr>
              <w:jc w:val="both"/>
              <w:outlineLvl w:val="0"/>
            </w:pPr>
            <w:r w:rsidRPr="0087776E">
              <w:t>Volume anual de água debitado ao total de economias (medidas e não medidas), para fins de faturamento. Inclui o volume de água tratada exportado para outro prestador de serviços.</w:t>
            </w:r>
            <w:r w:rsidR="00B95BCA">
              <w:t xml:space="preserve"> </w:t>
            </w:r>
            <w:r w:rsidRPr="0087776E">
              <w:t>Código SNIS: AG011</w:t>
            </w:r>
          </w:p>
        </w:tc>
      </w:tr>
      <w:tr w:rsidR="0087776E" w:rsidRPr="0087776E" w:rsidTr="00A804C1">
        <w:trPr>
          <w:cnfStyle w:val="000000010000" w:firstRow="0" w:lastRow="0" w:firstColumn="0" w:lastColumn="0" w:oddVBand="0" w:evenVBand="0" w:oddHBand="0" w:evenHBand="1" w:firstRowFirstColumn="0" w:firstRowLastColumn="0" w:lastRowFirstColumn="0" w:lastRowLastColumn="0"/>
          <w:jc w:val="center"/>
        </w:trPr>
        <w:tc>
          <w:tcPr>
            <w:tcW w:w="1846" w:type="dxa"/>
            <w:vAlign w:val="center"/>
          </w:tcPr>
          <w:p w:rsidR="00743201" w:rsidRPr="0087776E" w:rsidRDefault="00DE1DDC" w:rsidP="00195583">
            <w:pPr>
              <w:jc w:val="center"/>
              <w:outlineLvl w:val="0"/>
              <w:rPr>
                <w:b/>
              </w:rPr>
            </w:pPr>
            <w:r>
              <w:rPr>
                <w:b/>
              </w:rPr>
              <w:t>E</w:t>
            </w:r>
            <w:r w:rsidR="00743201" w:rsidRPr="0087776E">
              <w:rPr>
                <w:b/>
              </w:rPr>
              <w:t>conomias ativas de água</w:t>
            </w:r>
            <w:r w:rsidR="0087776E">
              <w:rPr>
                <w:b/>
              </w:rPr>
              <w:t xml:space="preserve"> (P)</w:t>
            </w:r>
          </w:p>
        </w:tc>
        <w:tc>
          <w:tcPr>
            <w:tcW w:w="639" w:type="dxa"/>
            <w:vAlign w:val="center"/>
          </w:tcPr>
          <w:p w:rsidR="00743201" w:rsidRPr="0087776E" w:rsidRDefault="00743201" w:rsidP="00195583">
            <w:pPr>
              <w:jc w:val="center"/>
              <w:outlineLvl w:val="0"/>
            </w:pPr>
            <w:r w:rsidRPr="0087776E">
              <w:t>I, II e III</w:t>
            </w:r>
          </w:p>
        </w:tc>
        <w:tc>
          <w:tcPr>
            <w:tcW w:w="1304" w:type="dxa"/>
            <w:vAlign w:val="center"/>
          </w:tcPr>
          <w:p w:rsidR="00743201" w:rsidRPr="0087776E" w:rsidRDefault="00743201" w:rsidP="00195583">
            <w:pPr>
              <w:jc w:val="center"/>
              <w:outlineLvl w:val="0"/>
            </w:pPr>
            <w:r w:rsidRPr="0087776E">
              <w:t>EAA</w:t>
            </w:r>
          </w:p>
          <w:p w:rsidR="00743201" w:rsidRPr="0087776E" w:rsidRDefault="00743201" w:rsidP="00195583">
            <w:pPr>
              <w:jc w:val="center"/>
              <w:outlineLvl w:val="0"/>
            </w:pPr>
            <w:r w:rsidRPr="0087776E">
              <w:t>(economias)</w:t>
            </w:r>
          </w:p>
        </w:tc>
        <w:tc>
          <w:tcPr>
            <w:tcW w:w="6631" w:type="dxa"/>
            <w:vAlign w:val="center"/>
          </w:tcPr>
          <w:p w:rsidR="00743201" w:rsidRPr="0087776E" w:rsidRDefault="00743201" w:rsidP="00B95BCA">
            <w:pPr>
              <w:jc w:val="both"/>
              <w:outlineLvl w:val="0"/>
            </w:pPr>
            <w:r w:rsidRPr="0087776E">
              <w:t>Quantidade de economias ativas de água, que estavam em pleno funcionamento no último dia do ano de referência.</w:t>
            </w:r>
            <w:r w:rsidR="00B95BCA">
              <w:t xml:space="preserve"> </w:t>
            </w:r>
            <w:r w:rsidRPr="0087776E">
              <w:t>Código SNIS: AG003</w:t>
            </w:r>
          </w:p>
        </w:tc>
      </w:tr>
      <w:tr w:rsidR="0087776E" w:rsidRPr="0087776E" w:rsidTr="00A804C1">
        <w:trPr>
          <w:cnfStyle w:val="000000100000" w:firstRow="0" w:lastRow="0" w:firstColumn="0" w:lastColumn="0" w:oddVBand="0" w:evenVBand="0" w:oddHBand="1" w:evenHBand="0" w:firstRowFirstColumn="0" w:firstRowLastColumn="0" w:lastRowFirstColumn="0" w:lastRowLastColumn="0"/>
          <w:jc w:val="center"/>
        </w:trPr>
        <w:tc>
          <w:tcPr>
            <w:tcW w:w="1846" w:type="dxa"/>
            <w:vAlign w:val="center"/>
          </w:tcPr>
          <w:p w:rsidR="00743201" w:rsidRPr="0087776E" w:rsidRDefault="00DE1DDC" w:rsidP="00195583">
            <w:pPr>
              <w:jc w:val="center"/>
              <w:outlineLvl w:val="0"/>
              <w:rPr>
                <w:b/>
              </w:rPr>
            </w:pPr>
            <w:r>
              <w:rPr>
                <w:b/>
              </w:rPr>
              <w:t>E</w:t>
            </w:r>
            <w:r w:rsidR="00743201" w:rsidRPr="0087776E">
              <w:rPr>
                <w:b/>
              </w:rPr>
              <w:t>conomias ativas de esgotos</w:t>
            </w:r>
            <w:r w:rsidR="0087776E">
              <w:rPr>
                <w:b/>
              </w:rPr>
              <w:t xml:space="preserve"> (P)</w:t>
            </w:r>
          </w:p>
        </w:tc>
        <w:tc>
          <w:tcPr>
            <w:tcW w:w="639" w:type="dxa"/>
            <w:vAlign w:val="center"/>
          </w:tcPr>
          <w:p w:rsidR="00743201" w:rsidRPr="0087776E" w:rsidRDefault="00743201" w:rsidP="00195583">
            <w:pPr>
              <w:jc w:val="center"/>
              <w:outlineLvl w:val="0"/>
            </w:pPr>
            <w:r w:rsidRPr="0087776E">
              <w:t>I, II e III</w:t>
            </w:r>
          </w:p>
        </w:tc>
        <w:tc>
          <w:tcPr>
            <w:tcW w:w="1304" w:type="dxa"/>
            <w:vAlign w:val="center"/>
          </w:tcPr>
          <w:p w:rsidR="00743201" w:rsidRPr="0087776E" w:rsidRDefault="00743201" w:rsidP="00195583">
            <w:pPr>
              <w:jc w:val="center"/>
              <w:outlineLvl w:val="0"/>
            </w:pPr>
            <w:r w:rsidRPr="0087776E">
              <w:t>EAE</w:t>
            </w:r>
          </w:p>
          <w:p w:rsidR="00743201" w:rsidRPr="0087776E" w:rsidRDefault="00743201" w:rsidP="00195583">
            <w:pPr>
              <w:jc w:val="center"/>
              <w:outlineLvl w:val="0"/>
            </w:pPr>
            <w:r w:rsidRPr="0087776E">
              <w:t>(economias)</w:t>
            </w:r>
          </w:p>
        </w:tc>
        <w:tc>
          <w:tcPr>
            <w:tcW w:w="6631" w:type="dxa"/>
            <w:vAlign w:val="center"/>
          </w:tcPr>
          <w:p w:rsidR="00743201" w:rsidRPr="0087776E" w:rsidRDefault="00743201" w:rsidP="00B95BCA">
            <w:pPr>
              <w:jc w:val="both"/>
              <w:outlineLvl w:val="0"/>
            </w:pPr>
            <w:r w:rsidRPr="0087776E">
              <w:t>Quantidade de economias ativas de esgotos que estavam em pleno funcionamento no último dia do ano de referência.</w:t>
            </w:r>
            <w:r w:rsidR="00B95BCA">
              <w:t xml:space="preserve"> </w:t>
            </w:r>
            <w:r w:rsidRPr="0087776E">
              <w:t>Código SNIS: ES003</w:t>
            </w:r>
          </w:p>
        </w:tc>
      </w:tr>
    </w:tbl>
    <w:p w:rsidR="00743201" w:rsidRDefault="00743201" w:rsidP="00060BFD">
      <w:pPr>
        <w:tabs>
          <w:tab w:val="left" w:pos="1134"/>
        </w:tabs>
        <w:spacing w:after="0" w:line="240" w:lineRule="auto"/>
        <w:ind w:left="708"/>
        <w:jc w:val="both"/>
        <w:rPr>
          <w:rFonts w:ascii="Times New Roman" w:hAnsi="Times New Roman" w:cs="Times New Roman"/>
          <w:sz w:val="20"/>
        </w:rPr>
      </w:pPr>
      <w:r w:rsidRPr="00195583">
        <w:rPr>
          <w:rFonts w:ascii="Times New Roman" w:hAnsi="Times New Roman" w:cs="Times New Roman"/>
          <w:b/>
          <w:sz w:val="20"/>
        </w:rPr>
        <w:t>Fonte</w:t>
      </w:r>
      <w:r w:rsidRPr="00195583">
        <w:rPr>
          <w:rFonts w:ascii="Times New Roman" w:hAnsi="Times New Roman" w:cs="Times New Roman"/>
          <w:sz w:val="20"/>
        </w:rPr>
        <w:t xml:space="preserve">: Elaboração </w:t>
      </w:r>
      <w:r w:rsidR="00195583">
        <w:rPr>
          <w:rFonts w:ascii="Times New Roman" w:hAnsi="Times New Roman" w:cs="Times New Roman"/>
          <w:sz w:val="20"/>
        </w:rPr>
        <w:t>dos autores</w:t>
      </w:r>
      <w:r w:rsidRPr="00195583">
        <w:rPr>
          <w:rFonts w:ascii="Times New Roman" w:hAnsi="Times New Roman" w:cs="Times New Roman"/>
          <w:sz w:val="20"/>
        </w:rPr>
        <w:t xml:space="preserve"> a partir do glossário do</w:t>
      </w:r>
      <w:r w:rsidR="00DD6D15">
        <w:rPr>
          <w:rFonts w:ascii="Times New Roman" w:hAnsi="Times New Roman" w:cs="Times New Roman"/>
          <w:sz w:val="20"/>
        </w:rPr>
        <w:t xml:space="preserve"> SNIS (MINISTÉRIO DAS CIDADES</w:t>
      </w:r>
      <w:r w:rsidRPr="00195583">
        <w:rPr>
          <w:rFonts w:ascii="Times New Roman" w:hAnsi="Times New Roman" w:cs="Times New Roman"/>
          <w:sz w:val="20"/>
        </w:rPr>
        <w:t>, 2013).</w:t>
      </w:r>
    </w:p>
    <w:p w:rsidR="0087776E" w:rsidRDefault="0087776E" w:rsidP="00060BFD">
      <w:pPr>
        <w:tabs>
          <w:tab w:val="left" w:pos="1134"/>
        </w:tabs>
        <w:spacing w:after="0" w:line="240" w:lineRule="auto"/>
        <w:ind w:left="708"/>
        <w:jc w:val="both"/>
        <w:rPr>
          <w:rFonts w:ascii="Times New Roman" w:hAnsi="Times New Roman" w:cs="Times New Roman"/>
          <w:sz w:val="20"/>
        </w:rPr>
      </w:pPr>
      <w:r w:rsidRPr="0087776E">
        <w:rPr>
          <w:rFonts w:ascii="Times New Roman" w:hAnsi="Times New Roman" w:cs="Times New Roman"/>
          <w:b/>
          <w:sz w:val="20"/>
        </w:rPr>
        <w:t>Legenda</w:t>
      </w:r>
      <w:r>
        <w:rPr>
          <w:rFonts w:ascii="Times New Roman" w:hAnsi="Times New Roman" w:cs="Times New Roman"/>
          <w:sz w:val="20"/>
        </w:rPr>
        <w:t>: I – Insumo; P – Produto.</w:t>
      </w:r>
    </w:p>
    <w:p w:rsidR="00E2772A" w:rsidRDefault="00E2772A" w:rsidP="00060BFD">
      <w:pPr>
        <w:tabs>
          <w:tab w:val="left" w:pos="1134"/>
        </w:tabs>
        <w:spacing w:after="0" w:line="240" w:lineRule="auto"/>
        <w:ind w:left="708"/>
        <w:jc w:val="both"/>
        <w:rPr>
          <w:rFonts w:ascii="Times New Roman" w:hAnsi="Times New Roman" w:cs="Times New Roman"/>
          <w:sz w:val="20"/>
        </w:rPr>
      </w:pPr>
      <w:r w:rsidRPr="00E2772A">
        <w:rPr>
          <w:rFonts w:ascii="Times New Roman" w:hAnsi="Times New Roman" w:cs="Times New Roman"/>
          <w:b/>
          <w:sz w:val="20"/>
        </w:rPr>
        <w:t xml:space="preserve">Nota </w:t>
      </w:r>
      <w:proofErr w:type="gramStart"/>
      <w:r w:rsidRPr="00E2772A">
        <w:rPr>
          <w:rFonts w:ascii="Times New Roman" w:hAnsi="Times New Roman" w:cs="Times New Roman"/>
          <w:b/>
          <w:sz w:val="20"/>
        </w:rPr>
        <w:t>1</w:t>
      </w:r>
      <w:proofErr w:type="gramEnd"/>
      <w:r>
        <w:rPr>
          <w:rFonts w:ascii="Times New Roman" w:hAnsi="Times New Roman" w:cs="Times New Roman"/>
          <w:sz w:val="20"/>
        </w:rPr>
        <w:t>: A ARSESP usou o índice percentual de perdas.</w:t>
      </w:r>
    </w:p>
    <w:p w:rsidR="00195583" w:rsidRDefault="00743201" w:rsidP="00195583">
      <w:pPr>
        <w:spacing w:after="0" w:line="240" w:lineRule="auto"/>
        <w:jc w:val="both"/>
        <w:rPr>
          <w:rFonts w:ascii="Times New Roman" w:hAnsi="Times New Roman" w:cs="Times New Roman"/>
          <w:sz w:val="24"/>
          <w:szCs w:val="24"/>
        </w:rPr>
      </w:pPr>
      <w:r w:rsidRPr="00195583">
        <w:rPr>
          <w:rFonts w:ascii="Times New Roman" w:hAnsi="Times New Roman" w:cs="Times New Roman"/>
          <w:sz w:val="24"/>
          <w:szCs w:val="24"/>
        </w:rPr>
        <w:tab/>
      </w:r>
    </w:p>
    <w:p w:rsidR="00743201" w:rsidRPr="00195583" w:rsidRDefault="00195583" w:rsidP="001955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43201" w:rsidRPr="00195583">
        <w:rPr>
          <w:rFonts w:ascii="Times New Roman" w:hAnsi="Times New Roman" w:cs="Times New Roman"/>
          <w:sz w:val="24"/>
          <w:szCs w:val="24"/>
        </w:rPr>
        <w:t>O modelo DEA I foi baseado na análise dos insumos e produtos mais utilizados na literatura e contempla as despesa</w:t>
      </w:r>
      <w:r w:rsidR="00645BB6">
        <w:rPr>
          <w:rFonts w:ascii="Times New Roman" w:hAnsi="Times New Roman" w:cs="Times New Roman"/>
          <w:sz w:val="24"/>
          <w:szCs w:val="24"/>
        </w:rPr>
        <w:t>s de exploração como insumo e o volume faturado de água</w:t>
      </w:r>
      <w:r w:rsidR="00743201" w:rsidRPr="00195583">
        <w:rPr>
          <w:rFonts w:ascii="Times New Roman" w:hAnsi="Times New Roman" w:cs="Times New Roman"/>
          <w:sz w:val="24"/>
          <w:szCs w:val="24"/>
        </w:rPr>
        <w:t xml:space="preserve"> e as economias ativas de água e esgotos como produtos. </w:t>
      </w:r>
      <w:r w:rsidR="00645BB6">
        <w:rPr>
          <w:rFonts w:ascii="Times New Roman" w:hAnsi="Times New Roman" w:cs="Times New Roman"/>
          <w:sz w:val="24"/>
          <w:szCs w:val="24"/>
        </w:rPr>
        <w:t xml:space="preserve">O volume faturado de esgotos não foi incluído nos modelos por se tratar de uma proporção do volume faturado de água. </w:t>
      </w:r>
      <w:r w:rsidR="00743201" w:rsidRPr="00195583">
        <w:rPr>
          <w:rFonts w:ascii="Times New Roman" w:hAnsi="Times New Roman" w:cs="Times New Roman"/>
          <w:sz w:val="24"/>
          <w:szCs w:val="24"/>
        </w:rPr>
        <w:t xml:space="preserve">O DEA II é o modelo proposto pela </w:t>
      </w:r>
      <w:r w:rsidR="002935DB">
        <w:rPr>
          <w:rFonts w:ascii="Times New Roman" w:hAnsi="Times New Roman" w:cs="Times New Roman"/>
          <w:sz w:val="24"/>
          <w:szCs w:val="24"/>
        </w:rPr>
        <w:t>ARSESP</w:t>
      </w:r>
      <w:r w:rsidR="00743201" w:rsidRPr="00195583">
        <w:rPr>
          <w:rFonts w:ascii="Times New Roman" w:hAnsi="Times New Roman" w:cs="Times New Roman"/>
          <w:sz w:val="24"/>
          <w:szCs w:val="24"/>
        </w:rPr>
        <w:t xml:space="preserve"> dentro do contexto da revisão tarifária da </w:t>
      </w:r>
      <w:r w:rsidR="002935DB">
        <w:rPr>
          <w:rFonts w:ascii="Times New Roman" w:hAnsi="Times New Roman" w:cs="Times New Roman"/>
          <w:sz w:val="24"/>
          <w:szCs w:val="24"/>
        </w:rPr>
        <w:t>SABESP,</w:t>
      </w:r>
      <w:r w:rsidR="00743201" w:rsidRPr="00195583">
        <w:rPr>
          <w:rFonts w:ascii="Times New Roman" w:hAnsi="Times New Roman" w:cs="Times New Roman"/>
          <w:sz w:val="24"/>
          <w:szCs w:val="24"/>
        </w:rPr>
        <w:t xml:space="preserve"> não considera os volumes como produtos e inclui o índice de perdas de água como insumo. Vale ressaltar que, como </w:t>
      </w:r>
      <w:r w:rsidR="002935DB">
        <w:rPr>
          <w:rFonts w:ascii="Times New Roman" w:hAnsi="Times New Roman" w:cs="Times New Roman"/>
          <w:sz w:val="24"/>
          <w:szCs w:val="24"/>
        </w:rPr>
        <w:t>já foi dito</w:t>
      </w:r>
      <w:r w:rsidR="00743201" w:rsidRPr="00195583">
        <w:rPr>
          <w:rFonts w:ascii="Times New Roman" w:hAnsi="Times New Roman" w:cs="Times New Roman"/>
          <w:sz w:val="24"/>
          <w:szCs w:val="24"/>
        </w:rPr>
        <w:t>, a ARSESP e a ADASA são as entidades reguladoras brasileiras que efetivamente incorporaram a produtividade e a eficiência econômica em seus processos de reajuste e revisão de tarifas, mas a ADASA optou pela metodo</w:t>
      </w:r>
      <w:r w:rsidR="002E3A0C">
        <w:rPr>
          <w:rFonts w:ascii="Times New Roman" w:hAnsi="Times New Roman" w:cs="Times New Roman"/>
          <w:sz w:val="24"/>
          <w:szCs w:val="24"/>
        </w:rPr>
        <w:t>logia de empresa de referência</w:t>
      </w:r>
      <w:r w:rsidR="00743201" w:rsidRPr="00195583">
        <w:rPr>
          <w:rFonts w:ascii="Times New Roman" w:hAnsi="Times New Roman" w:cs="Times New Roman"/>
          <w:sz w:val="24"/>
          <w:szCs w:val="24"/>
        </w:rPr>
        <w:t>. Por fim, o DEA III é um modelo híbrido, nesse sentido, contempl</w:t>
      </w:r>
      <w:r w:rsidR="00E630D4">
        <w:rPr>
          <w:rFonts w:ascii="Times New Roman" w:hAnsi="Times New Roman" w:cs="Times New Roman"/>
          <w:sz w:val="24"/>
          <w:szCs w:val="24"/>
        </w:rPr>
        <w:t>a todas as variáveis. A Tabela 1</w:t>
      </w:r>
      <w:r w:rsidR="00743201" w:rsidRPr="00195583">
        <w:rPr>
          <w:rFonts w:ascii="Times New Roman" w:hAnsi="Times New Roman" w:cs="Times New Roman"/>
          <w:sz w:val="24"/>
          <w:szCs w:val="24"/>
        </w:rPr>
        <w:t xml:space="preserve"> apresenta a estatística descritiva para os anos de 2006 e 2011 do conjunto de variáveis utilizado.</w:t>
      </w:r>
    </w:p>
    <w:p w:rsidR="00743201" w:rsidRPr="00195583" w:rsidRDefault="00743201" w:rsidP="00195583">
      <w:pPr>
        <w:spacing w:after="0" w:line="240" w:lineRule="auto"/>
        <w:jc w:val="both"/>
        <w:rPr>
          <w:rFonts w:ascii="Times New Roman" w:hAnsi="Times New Roman" w:cs="Times New Roman"/>
          <w:sz w:val="24"/>
          <w:szCs w:val="24"/>
        </w:rPr>
      </w:pPr>
    </w:p>
    <w:p w:rsidR="00743201" w:rsidRPr="000B0478" w:rsidRDefault="00743201" w:rsidP="00195583">
      <w:pPr>
        <w:pStyle w:val="Legenda"/>
        <w:rPr>
          <w:sz w:val="24"/>
        </w:rPr>
      </w:pPr>
      <w:bookmarkStart w:id="2" w:name="_Toc377445868"/>
      <w:r w:rsidRPr="000B0478">
        <w:rPr>
          <w:sz w:val="24"/>
        </w:rPr>
        <w:t xml:space="preserve">Tabela </w:t>
      </w:r>
      <w:r w:rsidR="00E630D4">
        <w:rPr>
          <w:sz w:val="24"/>
        </w:rPr>
        <w:t>1</w:t>
      </w:r>
      <w:r w:rsidRPr="000B0478">
        <w:rPr>
          <w:b w:val="0"/>
          <w:sz w:val="24"/>
        </w:rPr>
        <w:t xml:space="preserve"> – Estatística descritiva das variáveis do modelo DEA</w:t>
      </w:r>
      <w:bookmarkEnd w:id="2"/>
    </w:p>
    <w:tbl>
      <w:tblPr>
        <w:tblStyle w:val="Tabelaemlista1"/>
        <w:tblW w:w="8938" w:type="dxa"/>
        <w:jc w:val="center"/>
        <w:tblLook w:val="04A0" w:firstRow="1" w:lastRow="0" w:firstColumn="1" w:lastColumn="0" w:noHBand="0" w:noVBand="1"/>
      </w:tblPr>
      <w:tblGrid>
        <w:gridCol w:w="2093"/>
        <w:gridCol w:w="939"/>
        <w:gridCol w:w="1480"/>
        <w:gridCol w:w="1695"/>
        <w:gridCol w:w="1360"/>
        <w:gridCol w:w="1371"/>
      </w:tblGrid>
      <w:tr w:rsidR="00743201" w:rsidRPr="00535BD1" w:rsidTr="009E5655">
        <w:trPr>
          <w:cnfStyle w:val="100000000000" w:firstRow="1" w:lastRow="0" w:firstColumn="0" w:lastColumn="0" w:oddVBand="0" w:evenVBand="0" w:oddHBand="0" w:evenHBand="0" w:firstRowFirstColumn="0" w:firstRowLastColumn="0" w:lastRowFirstColumn="0" w:lastRowLastColumn="0"/>
          <w:trHeight w:val="227"/>
          <w:jc w:val="center"/>
        </w:trPr>
        <w:tc>
          <w:tcPr>
            <w:tcW w:w="2093" w:type="dxa"/>
            <w:tcBorders>
              <w:top w:val="single" w:sz="12" w:space="0" w:color="008080"/>
              <w:left w:val="nil"/>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Variáveis</w:t>
            </w:r>
          </w:p>
        </w:tc>
        <w:tc>
          <w:tcPr>
            <w:tcW w:w="939" w:type="dxa"/>
            <w:tcBorders>
              <w:top w:val="single" w:sz="12" w:space="0" w:color="008080"/>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Ano</w:t>
            </w:r>
          </w:p>
        </w:tc>
        <w:tc>
          <w:tcPr>
            <w:tcW w:w="1480" w:type="dxa"/>
            <w:tcBorders>
              <w:top w:val="single" w:sz="12" w:space="0" w:color="008080"/>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Média</w:t>
            </w:r>
          </w:p>
        </w:tc>
        <w:tc>
          <w:tcPr>
            <w:tcW w:w="1695" w:type="dxa"/>
            <w:tcBorders>
              <w:top w:val="single" w:sz="12" w:space="0" w:color="008080"/>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Desvio-padrão</w:t>
            </w:r>
          </w:p>
        </w:tc>
        <w:tc>
          <w:tcPr>
            <w:tcW w:w="1360" w:type="dxa"/>
            <w:tcBorders>
              <w:top w:val="single" w:sz="12" w:space="0" w:color="008080"/>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Mínimo</w:t>
            </w:r>
          </w:p>
        </w:tc>
        <w:tc>
          <w:tcPr>
            <w:tcW w:w="1371" w:type="dxa"/>
            <w:tcBorders>
              <w:top w:val="single" w:sz="12" w:space="0" w:color="008080"/>
              <w:right w:val="nil"/>
            </w:tcBorders>
            <w:shd w:val="clear" w:color="auto" w:fill="auto"/>
            <w:noWrap/>
            <w:vAlign w:val="center"/>
            <w:hideMark/>
          </w:tcPr>
          <w:p w:rsidR="00743201" w:rsidRPr="00535BD1" w:rsidRDefault="00743201" w:rsidP="00195583">
            <w:pPr>
              <w:jc w:val="center"/>
              <w:rPr>
                <w:i w:val="0"/>
                <w:color w:val="000000"/>
              </w:rPr>
            </w:pPr>
            <w:r w:rsidRPr="00535BD1">
              <w:rPr>
                <w:bCs w:val="0"/>
                <w:i w:val="0"/>
                <w:color w:val="000000"/>
              </w:rPr>
              <w:t>Máximo</w:t>
            </w:r>
          </w:p>
        </w:tc>
      </w:tr>
      <w:tr w:rsidR="00743201" w:rsidRPr="00535BD1" w:rsidTr="009E5655">
        <w:trPr>
          <w:cnfStyle w:val="000000100000" w:firstRow="0" w:lastRow="0" w:firstColumn="0" w:lastColumn="0" w:oddVBand="0" w:evenVBand="0" w:oddHBand="1" w:evenHBand="0" w:firstRowFirstColumn="0" w:firstRowLastColumn="0" w:lastRowFirstColumn="0" w:lastRowLastColumn="0"/>
          <w:trHeight w:val="227"/>
          <w:jc w:val="center"/>
        </w:trPr>
        <w:tc>
          <w:tcPr>
            <w:tcW w:w="2093" w:type="dxa"/>
            <w:vMerge w:val="restart"/>
            <w:tcBorders>
              <w:top w:val="single" w:sz="6" w:space="0" w:color="000000"/>
              <w:left w:val="nil"/>
              <w:bottom w:val="nil"/>
            </w:tcBorders>
            <w:shd w:val="clear" w:color="auto" w:fill="auto"/>
            <w:vAlign w:val="center"/>
            <w:hideMark/>
          </w:tcPr>
          <w:p w:rsidR="00743201" w:rsidRPr="00535BD1" w:rsidRDefault="00743201" w:rsidP="00195583">
            <w:pPr>
              <w:jc w:val="center"/>
              <w:rPr>
                <w:b/>
                <w:bCs/>
                <w:color w:val="000000"/>
              </w:rPr>
            </w:pPr>
            <w:r w:rsidRPr="00535BD1">
              <w:rPr>
                <w:b/>
                <w:bCs/>
                <w:color w:val="000000"/>
              </w:rPr>
              <w:t>DEX</w:t>
            </w:r>
            <w:r w:rsidRPr="00535BD1">
              <w:rPr>
                <w:b/>
                <w:bCs/>
                <w:color w:val="000000"/>
              </w:rPr>
              <w:br/>
            </w:r>
            <w:proofErr w:type="gramStart"/>
            <w:r w:rsidRPr="00535BD1">
              <w:rPr>
                <w:bCs/>
                <w:color w:val="000000"/>
              </w:rPr>
              <w:t>(</w:t>
            </w:r>
            <w:proofErr w:type="gramEnd"/>
            <w:r w:rsidRPr="00535BD1">
              <w:rPr>
                <w:bCs/>
                <w:color w:val="000000"/>
              </w:rPr>
              <w:t>R$ 1.000,00/ano)</w:t>
            </w:r>
          </w:p>
        </w:tc>
        <w:tc>
          <w:tcPr>
            <w:tcW w:w="939" w:type="dxa"/>
            <w:tcBorders>
              <w:top w:val="single" w:sz="6" w:space="0" w:color="000000"/>
              <w:bottom w:val="nil"/>
            </w:tcBorders>
            <w:noWrap/>
            <w:vAlign w:val="center"/>
            <w:hideMark/>
          </w:tcPr>
          <w:p w:rsidR="00743201" w:rsidRPr="00535BD1" w:rsidRDefault="00743201" w:rsidP="00195583">
            <w:pPr>
              <w:jc w:val="center"/>
              <w:rPr>
                <w:b/>
                <w:bCs/>
                <w:color w:val="000000"/>
              </w:rPr>
            </w:pPr>
            <w:r w:rsidRPr="00535BD1">
              <w:rPr>
                <w:b/>
                <w:bCs/>
                <w:color w:val="000000"/>
              </w:rPr>
              <w:t>2006</w:t>
            </w:r>
          </w:p>
        </w:tc>
        <w:tc>
          <w:tcPr>
            <w:tcW w:w="1480" w:type="dxa"/>
            <w:tcBorders>
              <w:top w:val="single" w:sz="6" w:space="0" w:color="000000"/>
              <w:bottom w:val="nil"/>
            </w:tcBorders>
            <w:noWrap/>
            <w:hideMark/>
          </w:tcPr>
          <w:p w:rsidR="00743201" w:rsidRPr="00535BD1" w:rsidRDefault="00743201" w:rsidP="00195583">
            <w:pPr>
              <w:jc w:val="right"/>
            </w:pPr>
            <w:r w:rsidRPr="00535BD1">
              <w:t>423.970,97</w:t>
            </w:r>
          </w:p>
        </w:tc>
        <w:tc>
          <w:tcPr>
            <w:tcW w:w="1695" w:type="dxa"/>
            <w:tcBorders>
              <w:top w:val="single" w:sz="6" w:space="0" w:color="000000"/>
              <w:bottom w:val="nil"/>
            </w:tcBorders>
            <w:noWrap/>
            <w:hideMark/>
          </w:tcPr>
          <w:p w:rsidR="00743201" w:rsidRPr="00535BD1" w:rsidRDefault="00743201" w:rsidP="00195583">
            <w:pPr>
              <w:jc w:val="right"/>
            </w:pPr>
            <w:r w:rsidRPr="00535BD1">
              <w:t>629.420,31</w:t>
            </w:r>
          </w:p>
        </w:tc>
        <w:tc>
          <w:tcPr>
            <w:tcW w:w="1360" w:type="dxa"/>
            <w:tcBorders>
              <w:top w:val="single" w:sz="6" w:space="0" w:color="000000"/>
              <w:bottom w:val="nil"/>
            </w:tcBorders>
            <w:noWrap/>
            <w:hideMark/>
          </w:tcPr>
          <w:p w:rsidR="00743201" w:rsidRPr="00535BD1" w:rsidRDefault="00743201" w:rsidP="00195583">
            <w:pPr>
              <w:jc w:val="right"/>
            </w:pPr>
            <w:r w:rsidRPr="00535BD1">
              <w:t>13.197,86</w:t>
            </w:r>
          </w:p>
        </w:tc>
        <w:tc>
          <w:tcPr>
            <w:tcW w:w="1371" w:type="dxa"/>
            <w:tcBorders>
              <w:top w:val="single" w:sz="6" w:space="0" w:color="000000"/>
              <w:bottom w:val="nil"/>
              <w:right w:val="nil"/>
            </w:tcBorders>
            <w:noWrap/>
            <w:hideMark/>
          </w:tcPr>
          <w:p w:rsidR="00743201" w:rsidRPr="00535BD1" w:rsidRDefault="00743201" w:rsidP="00195583">
            <w:pPr>
              <w:jc w:val="right"/>
            </w:pPr>
            <w:r w:rsidRPr="00535BD1">
              <w:t>3.125.947,01</w:t>
            </w:r>
          </w:p>
        </w:tc>
      </w:tr>
      <w:tr w:rsidR="00743201" w:rsidRPr="00535BD1" w:rsidTr="009E5655">
        <w:trPr>
          <w:cnfStyle w:val="000000010000" w:firstRow="0" w:lastRow="0" w:firstColumn="0" w:lastColumn="0" w:oddVBand="0" w:evenVBand="0" w:oddHBand="0" w:evenHBand="1" w:firstRowFirstColumn="0" w:firstRowLastColumn="0" w:lastRowFirstColumn="0" w:lastRowLastColumn="0"/>
          <w:trHeight w:val="227"/>
          <w:jc w:val="center"/>
        </w:trPr>
        <w:tc>
          <w:tcPr>
            <w:tcW w:w="2093" w:type="dxa"/>
            <w:vMerge/>
            <w:tcBorders>
              <w:top w:val="nil"/>
              <w:left w:val="nil"/>
              <w:bottom w:val="single" w:sz="6" w:space="0" w:color="000000"/>
            </w:tcBorders>
            <w:shd w:val="clear" w:color="auto" w:fill="auto"/>
            <w:vAlign w:val="center"/>
            <w:hideMark/>
          </w:tcPr>
          <w:p w:rsidR="00743201" w:rsidRPr="00535BD1" w:rsidRDefault="00743201" w:rsidP="00195583">
            <w:pPr>
              <w:jc w:val="center"/>
              <w:rPr>
                <w:b/>
                <w:bCs/>
                <w:color w:val="000000"/>
              </w:rPr>
            </w:pPr>
          </w:p>
        </w:tc>
        <w:tc>
          <w:tcPr>
            <w:tcW w:w="939" w:type="dxa"/>
            <w:tcBorders>
              <w:top w:val="nil"/>
              <w:bottom w:val="single" w:sz="6" w:space="0" w:color="000000"/>
            </w:tcBorders>
            <w:noWrap/>
            <w:vAlign w:val="center"/>
            <w:hideMark/>
          </w:tcPr>
          <w:p w:rsidR="00743201" w:rsidRPr="00535BD1" w:rsidRDefault="00743201" w:rsidP="00195583">
            <w:pPr>
              <w:jc w:val="center"/>
              <w:rPr>
                <w:b/>
                <w:bCs/>
                <w:color w:val="000000"/>
              </w:rPr>
            </w:pPr>
            <w:r w:rsidRPr="00535BD1">
              <w:rPr>
                <w:b/>
                <w:bCs/>
                <w:color w:val="000000"/>
              </w:rPr>
              <w:t>2011</w:t>
            </w:r>
          </w:p>
        </w:tc>
        <w:tc>
          <w:tcPr>
            <w:tcW w:w="1480" w:type="dxa"/>
            <w:tcBorders>
              <w:top w:val="nil"/>
              <w:bottom w:val="single" w:sz="6" w:space="0" w:color="000000"/>
            </w:tcBorders>
            <w:noWrap/>
            <w:hideMark/>
          </w:tcPr>
          <w:p w:rsidR="00743201" w:rsidRPr="00535BD1" w:rsidRDefault="00743201" w:rsidP="00195583">
            <w:pPr>
              <w:jc w:val="right"/>
            </w:pPr>
            <w:r w:rsidRPr="00535BD1">
              <w:t>631.545,01</w:t>
            </w:r>
          </w:p>
        </w:tc>
        <w:tc>
          <w:tcPr>
            <w:tcW w:w="1695" w:type="dxa"/>
            <w:tcBorders>
              <w:top w:val="nil"/>
              <w:bottom w:val="single" w:sz="6" w:space="0" w:color="000000"/>
            </w:tcBorders>
            <w:noWrap/>
            <w:hideMark/>
          </w:tcPr>
          <w:p w:rsidR="00743201" w:rsidRPr="00535BD1" w:rsidRDefault="00743201" w:rsidP="00195583">
            <w:pPr>
              <w:jc w:val="right"/>
            </w:pPr>
            <w:r w:rsidRPr="00535BD1">
              <w:t>953.404,84</w:t>
            </w:r>
          </w:p>
        </w:tc>
        <w:tc>
          <w:tcPr>
            <w:tcW w:w="1360" w:type="dxa"/>
            <w:tcBorders>
              <w:top w:val="nil"/>
              <w:bottom w:val="single" w:sz="6" w:space="0" w:color="000000"/>
            </w:tcBorders>
            <w:noWrap/>
            <w:hideMark/>
          </w:tcPr>
          <w:p w:rsidR="00743201" w:rsidRPr="00535BD1" w:rsidRDefault="00743201" w:rsidP="00195583">
            <w:pPr>
              <w:jc w:val="right"/>
            </w:pPr>
            <w:r w:rsidRPr="00535BD1">
              <w:t>21.730,00</w:t>
            </w:r>
          </w:p>
        </w:tc>
        <w:tc>
          <w:tcPr>
            <w:tcW w:w="1371" w:type="dxa"/>
            <w:tcBorders>
              <w:top w:val="nil"/>
              <w:bottom w:val="single" w:sz="6" w:space="0" w:color="000000"/>
              <w:right w:val="nil"/>
            </w:tcBorders>
            <w:noWrap/>
            <w:hideMark/>
          </w:tcPr>
          <w:p w:rsidR="00743201" w:rsidRPr="00535BD1" w:rsidRDefault="00743201" w:rsidP="00195583">
            <w:pPr>
              <w:jc w:val="right"/>
            </w:pPr>
            <w:r w:rsidRPr="00535BD1">
              <w:t>5.015.334,03</w:t>
            </w:r>
          </w:p>
        </w:tc>
      </w:tr>
      <w:tr w:rsidR="00214759" w:rsidRPr="00535BD1" w:rsidTr="009E5655">
        <w:trPr>
          <w:cnfStyle w:val="000000100000" w:firstRow="0" w:lastRow="0" w:firstColumn="0" w:lastColumn="0" w:oddVBand="0" w:evenVBand="0" w:oddHBand="1" w:evenHBand="0" w:firstRowFirstColumn="0" w:firstRowLastColumn="0" w:lastRowFirstColumn="0" w:lastRowLastColumn="0"/>
          <w:trHeight w:val="227"/>
          <w:jc w:val="center"/>
        </w:trPr>
        <w:tc>
          <w:tcPr>
            <w:tcW w:w="2093" w:type="dxa"/>
            <w:vMerge w:val="restart"/>
            <w:tcBorders>
              <w:top w:val="single" w:sz="6" w:space="0" w:color="000000"/>
              <w:left w:val="nil"/>
              <w:bottom w:val="nil"/>
            </w:tcBorders>
            <w:shd w:val="clear" w:color="auto" w:fill="auto"/>
            <w:vAlign w:val="center"/>
            <w:hideMark/>
          </w:tcPr>
          <w:p w:rsidR="00214759" w:rsidRPr="00535BD1" w:rsidRDefault="00214759" w:rsidP="00195583">
            <w:pPr>
              <w:jc w:val="center"/>
              <w:rPr>
                <w:b/>
                <w:bCs/>
                <w:color w:val="000000"/>
              </w:rPr>
            </w:pPr>
            <w:r w:rsidRPr="00535BD1">
              <w:rPr>
                <w:b/>
                <w:bCs/>
                <w:color w:val="000000"/>
              </w:rPr>
              <w:t>IPD</w:t>
            </w:r>
            <w:r w:rsidRPr="00535BD1">
              <w:rPr>
                <w:b/>
                <w:bCs/>
                <w:color w:val="000000"/>
              </w:rPr>
              <w:br/>
            </w:r>
            <w:proofErr w:type="gramStart"/>
            <w:r w:rsidRPr="00535BD1">
              <w:t>(</w:t>
            </w:r>
            <w:proofErr w:type="gramEnd"/>
            <w:r w:rsidRPr="00535BD1">
              <w:t>m³/(dia.km))</w:t>
            </w:r>
          </w:p>
        </w:tc>
        <w:tc>
          <w:tcPr>
            <w:tcW w:w="939" w:type="dxa"/>
            <w:tcBorders>
              <w:top w:val="single" w:sz="6" w:space="0" w:color="000000"/>
              <w:bottom w:val="nil"/>
            </w:tcBorders>
            <w:noWrap/>
            <w:vAlign w:val="center"/>
            <w:hideMark/>
          </w:tcPr>
          <w:p w:rsidR="00214759" w:rsidRPr="00535BD1" w:rsidRDefault="00214759" w:rsidP="00195583">
            <w:pPr>
              <w:jc w:val="center"/>
              <w:rPr>
                <w:b/>
                <w:bCs/>
                <w:color w:val="000000"/>
              </w:rPr>
            </w:pPr>
            <w:r w:rsidRPr="00535BD1">
              <w:rPr>
                <w:b/>
                <w:bCs/>
                <w:color w:val="000000"/>
              </w:rPr>
              <w:t>2006</w:t>
            </w:r>
          </w:p>
        </w:tc>
        <w:tc>
          <w:tcPr>
            <w:tcW w:w="1480" w:type="dxa"/>
            <w:tcBorders>
              <w:top w:val="single" w:sz="6" w:space="0" w:color="000000"/>
              <w:bottom w:val="nil"/>
            </w:tcBorders>
            <w:noWrap/>
            <w:vAlign w:val="center"/>
            <w:hideMark/>
          </w:tcPr>
          <w:p w:rsidR="00214759" w:rsidRPr="00535BD1" w:rsidRDefault="00214759">
            <w:pPr>
              <w:jc w:val="right"/>
            </w:pPr>
            <w:r w:rsidRPr="00535BD1">
              <w:t>50,93</w:t>
            </w:r>
          </w:p>
        </w:tc>
        <w:tc>
          <w:tcPr>
            <w:tcW w:w="1695" w:type="dxa"/>
            <w:tcBorders>
              <w:top w:val="single" w:sz="6" w:space="0" w:color="000000"/>
              <w:bottom w:val="nil"/>
            </w:tcBorders>
            <w:noWrap/>
            <w:vAlign w:val="center"/>
            <w:hideMark/>
          </w:tcPr>
          <w:p w:rsidR="00214759" w:rsidRPr="00535BD1" w:rsidRDefault="00214759">
            <w:pPr>
              <w:jc w:val="right"/>
            </w:pPr>
            <w:r w:rsidRPr="00535BD1">
              <w:t>36,49</w:t>
            </w:r>
          </w:p>
        </w:tc>
        <w:tc>
          <w:tcPr>
            <w:tcW w:w="1360" w:type="dxa"/>
            <w:tcBorders>
              <w:top w:val="single" w:sz="6" w:space="0" w:color="000000"/>
              <w:bottom w:val="nil"/>
            </w:tcBorders>
            <w:noWrap/>
            <w:vAlign w:val="center"/>
            <w:hideMark/>
          </w:tcPr>
          <w:p w:rsidR="00214759" w:rsidRPr="00535BD1" w:rsidRDefault="00214759">
            <w:pPr>
              <w:jc w:val="right"/>
            </w:pPr>
            <w:r w:rsidRPr="00535BD1">
              <w:t>9,27</w:t>
            </w:r>
          </w:p>
        </w:tc>
        <w:tc>
          <w:tcPr>
            <w:tcW w:w="1371" w:type="dxa"/>
            <w:tcBorders>
              <w:top w:val="single" w:sz="6" w:space="0" w:color="000000"/>
              <w:bottom w:val="nil"/>
              <w:right w:val="nil"/>
            </w:tcBorders>
            <w:noWrap/>
            <w:vAlign w:val="center"/>
            <w:hideMark/>
          </w:tcPr>
          <w:p w:rsidR="00214759" w:rsidRPr="00535BD1" w:rsidRDefault="00214759">
            <w:pPr>
              <w:jc w:val="right"/>
            </w:pPr>
            <w:r w:rsidRPr="00535BD1">
              <w:t>150,58</w:t>
            </w:r>
          </w:p>
        </w:tc>
      </w:tr>
      <w:tr w:rsidR="00214759" w:rsidRPr="00535BD1" w:rsidTr="009E5655">
        <w:trPr>
          <w:cnfStyle w:val="000000010000" w:firstRow="0" w:lastRow="0" w:firstColumn="0" w:lastColumn="0" w:oddVBand="0" w:evenVBand="0" w:oddHBand="0" w:evenHBand="1" w:firstRowFirstColumn="0" w:firstRowLastColumn="0" w:lastRowFirstColumn="0" w:lastRowLastColumn="0"/>
          <w:trHeight w:val="227"/>
          <w:jc w:val="center"/>
        </w:trPr>
        <w:tc>
          <w:tcPr>
            <w:tcW w:w="2093" w:type="dxa"/>
            <w:vMerge/>
            <w:tcBorders>
              <w:top w:val="nil"/>
              <w:left w:val="nil"/>
              <w:bottom w:val="single" w:sz="6" w:space="0" w:color="000000"/>
            </w:tcBorders>
            <w:shd w:val="clear" w:color="auto" w:fill="auto"/>
            <w:vAlign w:val="center"/>
            <w:hideMark/>
          </w:tcPr>
          <w:p w:rsidR="00214759" w:rsidRPr="00535BD1" w:rsidRDefault="00214759" w:rsidP="00195583">
            <w:pPr>
              <w:jc w:val="center"/>
              <w:rPr>
                <w:b/>
                <w:bCs/>
                <w:color w:val="000000"/>
              </w:rPr>
            </w:pPr>
          </w:p>
        </w:tc>
        <w:tc>
          <w:tcPr>
            <w:tcW w:w="939" w:type="dxa"/>
            <w:tcBorders>
              <w:top w:val="nil"/>
              <w:bottom w:val="single" w:sz="6" w:space="0" w:color="000000"/>
            </w:tcBorders>
            <w:noWrap/>
            <w:vAlign w:val="center"/>
            <w:hideMark/>
          </w:tcPr>
          <w:p w:rsidR="00214759" w:rsidRPr="00535BD1" w:rsidRDefault="00214759" w:rsidP="00195583">
            <w:pPr>
              <w:jc w:val="center"/>
              <w:rPr>
                <w:b/>
                <w:bCs/>
                <w:color w:val="000000"/>
              </w:rPr>
            </w:pPr>
            <w:r w:rsidRPr="00535BD1">
              <w:rPr>
                <w:b/>
                <w:bCs/>
                <w:color w:val="000000"/>
              </w:rPr>
              <w:t>2011</w:t>
            </w:r>
          </w:p>
        </w:tc>
        <w:tc>
          <w:tcPr>
            <w:tcW w:w="1480" w:type="dxa"/>
            <w:tcBorders>
              <w:top w:val="nil"/>
              <w:bottom w:val="single" w:sz="6" w:space="0" w:color="000000"/>
            </w:tcBorders>
            <w:noWrap/>
            <w:vAlign w:val="center"/>
            <w:hideMark/>
          </w:tcPr>
          <w:p w:rsidR="00214759" w:rsidRPr="00535BD1" w:rsidRDefault="00214759">
            <w:pPr>
              <w:jc w:val="right"/>
            </w:pPr>
            <w:r w:rsidRPr="00535BD1">
              <w:t>44,45</w:t>
            </w:r>
          </w:p>
        </w:tc>
        <w:tc>
          <w:tcPr>
            <w:tcW w:w="1695" w:type="dxa"/>
            <w:tcBorders>
              <w:top w:val="nil"/>
              <w:bottom w:val="single" w:sz="6" w:space="0" w:color="000000"/>
            </w:tcBorders>
            <w:noWrap/>
            <w:vAlign w:val="center"/>
            <w:hideMark/>
          </w:tcPr>
          <w:p w:rsidR="00214759" w:rsidRPr="00535BD1" w:rsidRDefault="00214759">
            <w:pPr>
              <w:jc w:val="right"/>
            </w:pPr>
            <w:r w:rsidRPr="00535BD1">
              <w:t>28,68</w:t>
            </w:r>
          </w:p>
        </w:tc>
        <w:tc>
          <w:tcPr>
            <w:tcW w:w="1360" w:type="dxa"/>
            <w:tcBorders>
              <w:top w:val="nil"/>
              <w:bottom w:val="single" w:sz="6" w:space="0" w:color="000000"/>
            </w:tcBorders>
            <w:noWrap/>
            <w:vAlign w:val="center"/>
            <w:hideMark/>
          </w:tcPr>
          <w:p w:rsidR="00214759" w:rsidRPr="00535BD1" w:rsidRDefault="00214759">
            <w:pPr>
              <w:jc w:val="right"/>
            </w:pPr>
            <w:r w:rsidRPr="00535BD1">
              <w:t>11,36</w:t>
            </w:r>
          </w:p>
        </w:tc>
        <w:tc>
          <w:tcPr>
            <w:tcW w:w="1371" w:type="dxa"/>
            <w:tcBorders>
              <w:top w:val="nil"/>
              <w:bottom w:val="single" w:sz="6" w:space="0" w:color="000000"/>
              <w:right w:val="nil"/>
            </w:tcBorders>
            <w:noWrap/>
            <w:vAlign w:val="center"/>
            <w:hideMark/>
          </w:tcPr>
          <w:p w:rsidR="00214759" w:rsidRPr="00535BD1" w:rsidRDefault="00214759">
            <w:pPr>
              <w:jc w:val="right"/>
            </w:pPr>
            <w:r w:rsidRPr="00535BD1">
              <w:t>137,24</w:t>
            </w:r>
          </w:p>
        </w:tc>
      </w:tr>
      <w:tr w:rsidR="00743201" w:rsidRPr="00535BD1" w:rsidTr="009E5655">
        <w:trPr>
          <w:cnfStyle w:val="000000100000" w:firstRow="0" w:lastRow="0" w:firstColumn="0" w:lastColumn="0" w:oddVBand="0" w:evenVBand="0" w:oddHBand="1" w:evenHBand="0" w:firstRowFirstColumn="0" w:firstRowLastColumn="0" w:lastRowFirstColumn="0" w:lastRowLastColumn="0"/>
          <w:trHeight w:val="227"/>
          <w:jc w:val="center"/>
        </w:trPr>
        <w:tc>
          <w:tcPr>
            <w:tcW w:w="2093" w:type="dxa"/>
            <w:vMerge w:val="restart"/>
            <w:tcBorders>
              <w:top w:val="single" w:sz="6" w:space="0" w:color="000000"/>
              <w:left w:val="nil"/>
              <w:bottom w:val="nil"/>
            </w:tcBorders>
            <w:shd w:val="clear" w:color="auto" w:fill="auto"/>
            <w:vAlign w:val="center"/>
            <w:hideMark/>
          </w:tcPr>
          <w:p w:rsidR="00743201" w:rsidRPr="00535BD1" w:rsidRDefault="00743201" w:rsidP="00195583">
            <w:pPr>
              <w:jc w:val="center"/>
              <w:rPr>
                <w:b/>
                <w:bCs/>
                <w:color w:val="000000"/>
              </w:rPr>
            </w:pPr>
            <w:r w:rsidRPr="00535BD1">
              <w:rPr>
                <w:b/>
                <w:bCs/>
                <w:color w:val="000000"/>
              </w:rPr>
              <w:t>VAF</w:t>
            </w:r>
            <w:r w:rsidRPr="00535BD1">
              <w:rPr>
                <w:b/>
                <w:bCs/>
                <w:color w:val="000000"/>
              </w:rPr>
              <w:br/>
            </w:r>
            <w:proofErr w:type="gramStart"/>
            <w:r w:rsidRPr="00535BD1">
              <w:rPr>
                <w:bCs/>
                <w:color w:val="000000"/>
              </w:rPr>
              <w:t>(</w:t>
            </w:r>
            <w:proofErr w:type="gramEnd"/>
            <w:r w:rsidRPr="00535BD1">
              <w:rPr>
                <w:bCs/>
                <w:color w:val="000000"/>
              </w:rPr>
              <w:t>1.000 m</w:t>
            </w:r>
            <w:r w:rsidRPr="00535BD1">
              <w:rPr>
                <w:bCs/>
                <w:color w:val="000000"/>
                <w:vertAlign w:val="superscript"/>
              </w:rPr>
              <w:t>3</w:t>
            </w:r>
            <w:r w:rsidRPr="00535BD1">
              <w:rPr>
                <w:bCs/>
                <w:color w:val="000000"/>
              </w:rPr>
              <w:t>/ano)</w:t>
            </w:r>
          </w:p>
        </w:tc>
        <w:tc>
          <w:tcPr>
            <w:tcW w:w="939" w:type="dxa"/>
            <w:tcBorders>
              <w:top w:val="single" w:sz="6" w:space="0" w:color="000000"/>
              <w:bottom w:val="nil"/>
            </w:tcBorders>
            <w:noWrap/>
            <w:vAlign w:val="center"/>
            <w:hideMark/>
          </w:tcPr>
          <w:p w:rsidR="00743201" w:rsidRPr="00535BD1" w:rsidRDefault="00743201" w:rsidP="00195583">
            <w:pPr>
              <w:jc w:val="center"/>
              <w:rPr>
                <w:b/>
                <w:bCs/>
                <w:color w:val="000000"/>
              </w:rPr>
            </w:pPr>
            <w:r w:rsidRPr="00535BD1">
              <w:rPr>
                <w:b/>
                <w:bCs/>
                <w:color w:val="000000"/>
              </w:rPr>
              <w:t>2006</w:t>
            </w:r>
          </w:p>
        </w:tc>
        <w:tc>
          <w:tcPr>
            <w:tcW w:w="1480" w:type="dxa"/>
            <w:tcBorders>
              <w:top w:val="single" w:sz="6" w:space="0" w:color="000000"/>
              <w:bottom w:val="nil"/>
            </w:tcBorders>
            <w:noWrap/>
            <w:hideMark/>
          </w:tcPr>
          <w:p w:rsidR="00743201" w:rsidRPr="00535BD1" w:rsidRDefault="00743201" w:rsidP="00195583">
            <w:pPr>
              <w:jc w:val="right"/>
            </w:pPr>
            <w:r w:rsidRPr="00535BD1">
              <w:t>222.286,92</w:t>
            </w:r>
          </w:p>
        </w:tc>
        <w:tc>
          <w:tcPr>
            <w:tcW w:w="1695" w:type="dxa"/>
            <w:tcBorders>
              <w:top w:val="single" w:sz="6" w:space="0" w:color="000000"/>
              <w:bottom w:val="nil"/>
            </w:tcBorders>
            <w:noWrap/>
            <w:hideMark/>
          </w:tcPr>
          <w:p w:rsidR="00743201" w:rsidRPr="00535BD1" w:rsidRDefault="00743201" w:rsidP="00195583">
            <w:pPr>
              <w:jc w:val="right"/>
            </w:pPr>
            <w:r w:rsidRPr="00535BD1">
              <w:t>349.908,08</w:t>
            </w:r>
          </w:p>
        </w:tc>
        <w:tc>
          <w:tcPr>
            <w:tcW w:w="1360" w:type="dxa"/>
            <w:tcBorders>
              <w:top w:val="single" w:sz="6" w:space="0" w:color="000000"/>
              <w:bottom w:val="nil"/>
            </w:tcBorders>
            <w:noWrap/>
            <w:hideMark/>
          </w:tcPr>
          <w:p w:rsidR="00743201" w:rsidRPr="00535BD1" w:rsidRDefault="00743201" w:rsidP="00195583">
            <w:pPr>
              <w:jc w:val="right"/>
            </w:pPr>
            <w:r w:rsidRPr="00535BD1">
              <w:t>5.339,80</w:t>
            </w:r>
          </w:p>
        </w:tc>
        <w:tc>
          <w:tcPr>
            <w:tcW w:w="1371" w:type="dxa"/>
            <w:tcBorders>
              <w:top w:val="single" w:sz="6" w:space="0" w:color="000000"/>
              <w:bottom w:val="nil"/>
              <w:right w:val="nil"/>
            </w:tcBorders>
            <w:noWrap/>
            <w:hideMark/>
          </w:tcPr>
          <w:p w:rsidR="00743201" w:rsidRPr="00535BD1" w:rsidRDefault="00743201" w:rsidP="00195583">
            <w:pPr>
              <w:jc w:val="right"/>
            </w:pPr>
            <w:r w:rsidRPr="00535BD1">
              <w:t>1.806.417,00</w:t>
            </w:r>
          </w:p>
        </w:tc>
      </w:tr>
      <w:tr w:rsidR="00743201" w:rsidRPr="00535BD1" w:rsidTr="009E5655">
        <w:trPr>
          <w:cnfStyle w:val="000000010000" w:firstRow="0" w:lastRow="0" w:firstColumn="0" w:lastColumn="0" w:oddVBand="0" w:evenVBand="0" w:oddHBand="0" w:evenHBand="1" w:firstRowFirstColumn="0" w:firstRowLastColumn="0" w:lastRowFirstColumn="0" w:lastRowLastColumn="0"/>
          <w:trHeight w:val="227"/>
          <w:jc w:val="center"/>
        </w:trPr>
        <w:tc>
          <w:tcPr>
            <w:tcW w:w="2093" w:type="dxa"/>
            <w:vMerge/>
            <w:tcBorders>
              <w:top w:val="nil"/>
              <w:left w:val="nil"/>
              <w:bottom w:val="single" w:sz="6" w:space="0" w:color="000000"/>
            </w:tcBorders>
            <w:shd w:val="clear" w:color="auto" w:fill="auto"/>
            <w:vAlign w:val="center"/>
            <w:hideMark/>
          </w:tcPr>
          <w:p w:rsidR="00743201" w:rsidRPr="00535BD1" w:rsidRDefault="00743201" w:rsidP="00195583">
            <w:pPr>
              <w:jc w:val="center"/>
              <w:rPr>
                <w:b/>
                <w:bCs/>
                <w:color w:val="000000"/>
              </w:rPr>
            </w:pPr>
          </w:p>
        </w:tc>
        <w:tc>
          <w:tcPr>
            <w:tcW w:w="939" w:type="dxa"/>
            <w:tcBorders>
              <w:top w:val="nil"/>
              <w:bottom w:val="single" w:sz="6" w:space="0" w:color="000000"/>
            </w:tcBorders>
            <w:noWrap/>
            <w:vAlign w:val="center"/>
            <w:hideMark/>
          </w:tcPr>
          <w:p w:rsidR="00743201" w:rsidRPr="00535BD1" w:rsidRDefault="00743201" w:rsidP="00195583">
            <w:pPr>
              <w:jc w:val="center"/>
              <w:rPr>
                <w:b/>
                <w:bCs/>
                <w:color w:val="000000"/>
              </w:rPr>
            </w:pPr>
            <w:r w:rsidRPr="00535BD1">
              <w:rPr>
                <w:b/>
                <w:bCs/>
                <w:color w:val="000000"/>
              </w:rPr>
              <w:t>2011</w:t>
            </w:r>
          </w:p>
        </w:tc>
        <w:tc>
          <w:tcPr>
            <w:tcW w:w="1480" w:type="dxa"/>
            <w:tcBorders>
              <w:top w:val="nil"/>
              <w:bottom w:val="single" w:sz="6" w:space="0" w:color="000000"/>
            </w:tcBorders>
            <w:noWrap/>
            <w:hideMark/>
          </w:tcPr>
          <w:p w:rsidR="00743201" w:rsidRPr="00535BD1" w:rsidRDefault="00743201" w:rsidP="00195583">
            <w:pPr>
              <w:jc w:val="right"/>
            </w:pPr>
            <w:r w:rsidRPr="00535BD1">
              <w:t>249.063,48</w:t>
            </w:r>
          </w:p>
        </w:tc>
        <w:tc>
          <w:tcPr>
            <w:tcW w:w="1695" w:type="dxa"/>
            <w:tcBorders>
              <w:top w:val="nil"/>
              <w:bottom w:val="single" w:sz="6" w:space="0" w:color="000000"/>
            </w:tcBorders>
            <w:noWrap/>
            <w:hideMark/>
          </w:tcPr>
          <w:p w:rsidR="00743201" w:rsidRPr="00535BD1" w:rsidRDefault="00743201" w:rsidP="00195583">
            <w:pPr>
              <w:jc w:val="right"/>
            </w:pPr>
            <w:r w:rsidRPr="00535BD1">
              <w:t>391.753,62</w:t>
            </w:r>
          </w:p>
        </w:tc>
        <w:tc>
          <w:tcPr>
            <w:tcW w:w="1360" w:type="dxa"/>
            <w:tcBorders>
              <w:top w:val="nil"/>
              <w:bottom w:val="single" w:sz="6" w:space="0" w:color="000000"/>
            </w:tcBorders>
            <w:noWrap/>
            <w:hideMark/>
          </w:tcPr>
          <w:p w:rsidR="00743201" w:rsidRPr="00535BD1" w:rsidRDefault="00743201" w:rsidP="00195583">
            <w:pPr>
              <w:jc w:val="right"/>
            </w:pPr>
            <w:r w:rsidRPr="00535BD1">
              <w:t>9.856,00</w:t>
            </w:r>
          </w:p>
        </w:tc>
        <w:tc>
          <w:tcPr>
            <w:tcW w:w="1371" w:type="dxa"/>
            <w:tcBorders>
              <w:top w:val="nil"/>
              <w:bottom w:val="single" w:sz="6" w:space="0" w:color="000000"/>
              <w:right w:val="nil"/>
            </w:tcBorders>
            <w:noWrap/>
            <w:hideMark/>
          </w:tcPr>
          <w:p w:rsidR="00743201" w:rsidRPr="00535BD1" w:rsidRDefault="00743201" w:rsidP="00195583">
            <w:pPr>
              <w:jc w:val="right"/>
            </w:pPr>
            <w:r w:rsidRPr="00535BD1">
              <w:t>2.044.640,00</w:t>
            </w:r>
          </w:p>
        </w:tc>
      </w:tr>
      <w:tr w:rsidR="00743201" w:rsidRPr="00535BD1" w:rsidTr="009E5655">
        <w:trPr>
          <w:cnfStyle w:val="000000100000" w:firstRow="0" w:lastRow="0" w:firstColumn="0" w:lastColumn="0" w:oddVBand="0" w:evenVBand="0" w:oddHBand="1" w:evenHBand="0" w:firstRowFirstColumn="0" w:firstRowLastColumn="0" w:lastRowFirstColumn="0" w:lastRowLastColumn="0"/>
          <w:trHeight w:val="227"/>
          <w:jc w:val="center"/>
        </w:trPr>
        <w:tc>
          <w:tcPr>
            <w:tcW w:w="2093" w:type="dxa"/>
            <w:vMerge w:val="restart"/>
            <w:tcBorders>
              <w:top w:val="single" w:sz="6" w:space="0" w:color="000000"/>
              <w:left w:val="nil"/>
              <w:bottom w:val="nil"/>
            </w:tcBorders>
            <w:shd w:val="clear" w:color="auto" w:fill="auto"/>
            <w:vAlign w:val="center"/>
            <w:hideMark/>
          </w:tcPr>
          <w:p w:rsidR="00743201" w:rsidRPr="00535BD1" w:rsidRDefault="00743201" w:rsidP="00195583">
            <w:pPr>
              <w:jc w:val="center"/>
              <w:rPr>
                <w:b/>
                <w:bCs/>
                <w:color w:val="000000"/>
              </w:rPr>
            </w:pPr>
            <w:r w:rsidRPr="00535BD1">
              <w:rPr>
                <w:b/>
                <w:bCs/>
                <w:color w:val="000000"/>
              </w:rPr>
              <w:t>EAA</w:t>
            </w:r>
            <w:r w:rsidRPr="00535BD1">
              <w:rPr>
                <w:b/>
                <w:bCs/>
                <w:color w:val="000000"/>
              </w:rPr>
              <w:br/>
            </w:r>
            <w:proofErr w:type="gramStart"/>
            <w:r w:rsidRPr="00535BD1">
              <w:rPr>
                <w:bCs/>
                <w:color w:val="000000"/>
              </w:rPr>
              <w:t>(</w:t>
            </w:r>
            <w:proofErr w:type="gramEnd"/>
            <w:r w:rsidRPr="00535BD1">
              <w:rPr>
                <w:bCs/>
                <w:color w:val="000000"/>
              </w:rPr>
              <w:t>economias)</w:t>
            </w:r>
          </w:p>
        </w:tc>
        <w:tc>
          <w:tcPr>
            <w:tcW w:w="939" w:type="dxa"/>
            <w:tcBorders>
              <w:top w:val="single" w:sz="6" w:space="0" w:color="000000"/>
              <w:bottom w:val="nil"/>
            </w:tcBorders>
            <w:noWrap/>
            <w:vAlign w:val="center"/>
            <w:hideMark/>
          </w:tcPr>
          <w:p w:rsidR="00743201" w:rsidRPr="00535BD1" w:rsidRDefault="00743201" w:rsidP="00195583">
            <w:pPr>
              <w:jc w:val="center"/>
              <w:rPr>
                <w:b/>
                <w:bCs/>
                <w:color w:val="000000"/>
              </w:rPr>
            </w:pPr>
            <w:r w:rsidRPr="00535BD1">
              <w:rPr>
                <w:b/>
                <w:bCs/>
                <w:color w:val="000000"/>
              </w:rPr>
              <w:t>2006</w:t>
            </w:r>
          </w:p>
        </w:tc>
        <w:tc>
          <w:tcPr>
            <w:tcW w:w="1480" w:type="dxa"/>
            <w:tcBorders>
              <w:top w:val="single" w:sz="6" w:space="0" w:color="000000"/>
              <w:bottom w:val="nil"/>
            </w:tcBorders>
            <w:noWrap/>
            <w:hideMark/>
          </w:tcPr>
          <w:p w:rsidR="00743201" w:rsidRPr="00535BD1" w:rsidRDefault="00743201" w:rsidP="00195583">
            <w:pPr>
              <w:jc w:val="right"/>
            </w:pPr>
            <w:r w:rsidRPr="00535BD1">
              <w:t>1.167.830,28</w:t>
            </w:r>
          </w:p>
        </w:tc>
        <w:tc>
          <w:tcPr>
            <w:tcW w:w="1695" w:type="dxa"/>
            <w:tcBorders>
              <w:top w:val="single" w:sz="6" w:space="0" w:color="000000"/>
              <w:bottom w:val="nil"/>
            </w:tcBorders>
            <w:noWrap/>
            <w:hideMark/>
          </w:tcPr>
          <w:p w:rsidR="00743201" w:rsidRPr="00535BD1" w:rsidRDefault="00743201" w:rsidP="00195583">
            <w:pPr>
              <w:jc w:val="right"/>
            </w:pPr>
            <w:r w:rsidRPr="00535BD1">
              <w:t>1.620.158,82</w:t>
            </w:r>
          </w:p>
        </w:tc>
        <w:tc>
          <w:tcPr>
            <w:tcW w:w="1360" w:type="dxa"/>
            <w:tcBorders>
              <w:top w:val="single" w:sz="6" w:space="0" w:color="000000"/>
              <w:bottom w:val="nil"/>
            </w:tcBorders>
            <w:noWrap/>
            <w:hideMark/>
          </w:tcPr>
          <w:p w:rsidR="00743201" w:rsidRPr="00535BD1" w:rsidRDefault="00743201" w:rsidP="00195583">
            <w:pPr>
              <w:jc w:val="right"/>
            </w:pPr>
            <w:r w:rsidRPr="00535BD1">
              <w:t>36.229,00</w:t>
            </w:r>
          </w:p>
        </w:tc>
        <w:tc>
          <w:tcPr>
            <w:tcW w:w="1371" w:type="dxa"/>
            <w:tcBorders>
              <w:top w:val="single" w:sz="6" w:space="0" w:color="000000"/>
              <w:bottom w:val="nil"/>
              <w:right w:val="nil"/>
            </w:tcBorders>
            <w:noWrap/>
            <w:hideMark/>
          </w:tcPr>
          <w:p w:rsidR="00743201" w:rsidRPr="00535BD1" w:rsidRDefault="00743201" w:rsidP="00195583">
            <w:pPr>
              <w:jc w:val="right"/>
            </w:pPr>
            <w:r w:rsidRPr="00535BD1">
              <w:t>8.176.048,00</w:t>
            </w:r>
          </w:p>
        </w:tc>
      </w:tr>
      <w:tr w:rsidR="00743201" w:rsidRPr="00535BD1" w:rsidTr="009E5655">
        <w:trPr>
          <w:cnfStyle w:val="000000010000" w:firstRow="0" w:lastRow="0" w:firstColumn="0" w:lastColumn="0" w:oddVBand="0" w:evenVBand="0" w:oddHBand="0" w:evenHBand="1" w:firstRowFirstColumn="0" w:firstRowLastColumn="0" w:lastRowFirstColumn="0" w:lastRowLastColumn="0"/>
          <w:trHeight w:val="227"/>
          <w:jc w:val="center"/>
        </w:trPr>
        <w:tc>
          <w:tcPr>
            <w:tcW w:w="2093" w:type="dxa"/>
            <w:vMerge/>
            <w:tcBorders>
              <w:top w:val="nil"/>
              <w:left w:val="nil"/>
              <w:bottom w:val="single" w:sz="6" w:space="0" w:color="008080"/>
            </w:tcBorders>
            <w:shd w:val="clear" w:color="auto" w:fill="auto"/>
            <w:vAlign w:val="center"/>
            <w:hideMark/>
          </w:tcPr>
          <w:p w:rsidR="00743201" w:rsidRPr="00535BD1" w:rsidRDefault="00743201" w:rsidP="00195583">
            <w:pPr>
              <w:jc w:val="center"/>
              <w:rPr>
                <w:b/>
                <w:bCs/>
                <w:color w:val="000000"/>
              </w:rPr>
            </w:pPr>
          </w:p>
        </w:tc>
        <w:tc>
          <w:tcPr>
            <w:tcW w:w="939" w:type="dxa"/>
            <w:tcBorders>
              <w:top w:val="nil"/>
              <w:bottom w:val="single" w:sz="6" w:space="0" w:color="008080"/>
            </w:tcBorders>
            <w:noWrap/>
            <w:vAlign w:val="center"/>
            <w:hideMark/>
          </w:tcPr>
          <w:p w:rsidR="00743201" w:rsidRPr="00535BD1" w:rsidRDefault="00743201" w:rsidP="00195583">
            <w:pPr>
              <w:jc w:val="center"/>
              <w:rPr>
                <w:b/>
                <w:bCs/>
                <w:color w:val="000000"/>
              </w:rPr>
            </w:pPr>
            <w:r w:rsidRPr="00535BD1">
              <w:rPr>
                <w:b/>
                <w:bCs/>
                <w:color w:val="000000"/>
              </w:rPr>
              <w:t>2011</w:t>
            </w:r>
          </w:p>
        </w:tc>
        <w:tc>
          <w:tcPr>
            <w:tcW w:w="1480" w:type="dxa"/>
            <w:tcBorders>
              <w:top w:val="nil"/>
              <w:bottom w:val="single" w:sz="6" w:space="0" w:color="008080"/>
            </w:tcBorders>
            <w:noWrap/>
            <w:hideMark/>
          </w:tcPr>
          <w:p w:rsidR="00743201" w:rsidRPr="00535BD1" w:rsidRDefault="00743201" w:rsidP="00195583">
            <w:pPr>
              <w:jc w:val="right"/>
            </w:pPr>
            <w:r w:rsidRPr="00535BD1">
              <w:t>1.406.522,97</w:t>
            </w:r>
          </w:p>
        </w:tc>
        <w:tc>
          <w:tcPr>
            <w:tcW w:w="1695" w:type="dxa"/>
            <w:tcBorders>
              <w:top w:val="nil"/>
              <w:bottom w:val="single" w:sz="6" w:space="0" w:color="008080"/>
            </w:tcBorders>
            <w:noWrap/>
            <w:hideMark/>
          </w:tcPr>
          <w:p w:rsidR="00743201" w:rsidRPr="00535BD1" w:rsidRDefault="00743201" w:rsidP="00195583">
            <w:pPr>
              <w:jc w:val="right"/>
            </w:pPr>
            <w:r w:rsidRPr="00535BD1">
              <w:t>1.893.229,22</w:t>
            </w:r>
          </w:p>
        </w:tc>
        <w:tc>
          <w:tcPr>
            <w:tcW w:w="1360" w:type="dxa"/>
            <w:tcBorders>
              <w:top w:val="nil"/>
              <w:bottom w:val="single" w:sz="6" w:space="0" w:color="008080"/>
            </w:tcBorders>
            <w:noWrap/>
            <w:hideMark/>
          </w:tcPr>
          <w:p w:rsidR="00743201" w:rsidRPr="00535BD1" w:rsidRDefault="00743201" w:rsidP="00195583">
            <w:pPr>
              <w:jc w:val="right"/>
            </w:pPr>
            <w:r w:rsidRPr="00535BD1">
              <w:t>54.458,00</w:t>
            </w:r>
          </w:p>
        </w:tc>
        <w:tc>
          <w:tcPr>
            <w:tcW w:w="1371" w:type="dxa"/>
            <w:tcBorders>
              <w:top w:val="nil"/>
              <w:bottom w:val="single" w:sz="6" w:space="0" w:color="008080"/>
              <w:right w:val="nil"/>
            </w:tcBorders>
            <w:noWrap/>
            <w:hideMark/>
          </w:tcPr>
          <w:p w:rsidR="00743201" w:rsidRPr="00535BD1" w:rsidRDefault="00743201" w:rsidP="00195583">
            <w:pPr>
              <w:jc w:val="right"/>
            </w:pPr>
            <w:r w:rsidRPr="00535BD1">
              <w:t>9.290.035,00</w:t>
            </w:r>
          </w:p>
        </w:tc>
      </w:tr>
      <w:tr w:rsidR="00743201" w:rsidRPr="00535BD1" w:rsidTr="009E5655">
        <w:trPr>
          <w:cnfStyle w:val="000000100000" w:firstRow="0" w:lastRow="0" w:firstColumn="0" w:lastColumn="0" w:oddVBand="0" w:evenVBand="0" w:oddHBand="1" w:evenHBand="0" w:firstRowFirstColumn="0" w:firstRowLastColumn="0" w:lastRowFirstColumn="0" w:lastRowLastColumn="0"/>
          <w:trHeight w:val="227"/>
          <w:jc w:val="center"/>
        </w:trPr>
        <w:tc>
          <w:tcPr>
            <w:tcW w:w="2093" w:type="dxa"/>
            <w:vMerge w:val="restart"/>
            <w:tcBorders>
              <w:top w:val="single" w:sz="6" w:space="0" w:color="008080"/>
              <w:left w:val="nil"/>
            </w:tcBorders>
            <w:shd w:val="clear" w:color="auto" w:fill="auto"/>
            <w:vAlign w:val="center"/>
            <w:hideMark/>
          </w:tcPr>
          <w:p w:rsidR="00743201" w:rsidRPr="00535BD1" w:rsidRDefault="00743201" w:rsidP="00195583">
            <w:pPr>
              <w:jc w:val="center"/>
              <w:rPr>
                <w:b/>
                <w:bCs/>
                <w:color w:val="000000"/>
              </w:rPr>
            </w:pPr>
            <w:r w:rsidRPr="00535BD1">
              <w:rPr>
                <w:b/>
                <w:bCs/>
                <w:color w:val="000000"/>
              </w:rPr>
              <w:t>EAE</w:t>
            </w:r>
            <w:r w:rsidRPr="00535BD1">
              <w:rPr>
                <w:b/>
                <w:bCs/>
                <w:color w:val="000000"/>
              </w:rPr>
              <w:br/>
            </w:r>
            <w:proofErr w:type="gramStart"/>
            <w:r w:rsidRPr="00535BD1">
              <w:rPr>
                <w:bCs/>
                <w:color w:val="000000"/>
              </w:rPr>
              <w:t>(</w:t>
            </w:r>
            <w:proofErr w:type="gramEnd"/>
            <w:r w:rsidRPr="00535BD1">
              <w:rPr>
                <w:bCs/>
                <w:color w:val="000000"/>
              </w:rPr>
              <w:t>economias)</w:t>
            </w:r>
          </w:p>
        </w:tc>
        <w:tc>
          <w:tcPr>
            <w:tcW w:w="939" w:type="dxa"/>
            <w:tcBorders>
              <w:top w:val="single" w:sz="6" w:space="0" w:color="008080"/>
            </w:tcBorders>
            <w:noWrap/>
            <w:vAlign w:val="center"/>
            <w:hideMark/>
          </w:tcPr>
          <w:p w:rsidR="00743201" w:rsidRPr="00535BD1" w:rsidRDefault="00743201" w:rsidP="00195583">
            <w:pPr>
              <w:jc w:val="center"/>
              <w:rPr>
                <w:b/>
                <w:bCs/>
                <w:color w:val="000000"/>
              </w:rPr>
            </w:pPr>
            <w:r w:rsidRPr="00535BD1">
              <w:rPr>
                <w:b/>
                <w:bCs/>
                <w:color w:val="000000"/>
              </w:rPr>
              <w:t>2006</w:t>
            </w:r>
          </w:p>
        </w:tc>
        <w:tc>
          <w:tcPr>
            <w:tcW w:w="1480" w:type="dxa"/>
            <w:tcBorders>
              <w:top w:val="single" w:sz="6" w:space="0" w:color="008080"/>
            </w:tcBorders>
            <w:noWrap/>
            <w:hideMark/>
          </w:tcPr>
          <w:p w:rsidR="00743201" w:rsidRPr="00535BD1" w:rsidRDefault="00743201" w:rsidP="00195583">
            <w:pPr>
              <w:jc w:val="right"/>
            </w:pPr>
            <w:r w:rsidRPr="00535BD1">
              <w:t>560.545,69</w:t>
            </w:r>
          </w:p>
        </w:tc>
        <w:tc>
          <w:tcPr>
            <w:tcW w:w="1695" w:type="dxa"/>
            <w:tcBorders>
              <w:top w:val="single" w:sz="6" w:space="0" w:color="008080"/>
            </w:tcBorders>
            <w:noWrap/>
            <w:hideMark/>
          </w:tcPr>
          <w:p w:rsidR="00743201" w:rsidRPr="00535BD1" w:rsidRDefault="00743201" w:rsidP="00195583">
            <w:pPr>
              <w:jc w:val="right"/>
            </w:pPr>
            <w:r w:rsidRPr="00535BD1">
              <w:t>1.232.623,05</w:t>
            </w:r>
          </w:p>
        </w:tc>
        <w:tc>
          <w:tcPr>
            <w:tcW w:w="1360" w:type="dxa"/>
            <w:tcBorders>
              <w:top w:val="single" w:sz="6" w:space="0" w:color="008080"/>
            </w:tcBorders>
            <w:noWrap/>
            <w:hideMark/>
          </w:tcPr>
          <w:p w:rsidR="00743201" w:rsidRPr="00535BD1" w:rsidRDefault="00743201" w:rsidP="00195583">
            <w:pPr>
              <w:jc w:val="right"/>
            </w:pPr>
            <w:r w:rsidRPr="00535BD1">
              <w:t>2.835,00</w:t>
            </w:r>
          </w:p>
        </w:tc>
        <w:tc>
          <w:tcPr>
            <w:tcW w:w="1371" w:type="dxa"/>
            <w:tcBorders>
              <w:top w:val="single" w:sz="6" w:space="0" w:color="008080"/>
              <w:right w:val="nil"/>
            </w:tcBorders>
            <w:noWrap/>
            <w:hideMark/>
          </w:tcPr>
          <w:p w:rsidR="00743201" w:rsidRPr="00535BD1" w:rsidRDefault="00743201" w:rsidP="00195583">
            <w:pPr>
              <w:jc w:val="right"/>
            </w:pPr>
            <w:r w:rsidRPr="00535BD1">
              <w:t>6.542.197,00</w:t>
            </w:r>
          </w:p>
        </w:tc>
      </w:tr>
      <w:tr w:rsidR="00743201" w:rsidRPr="00535BD1" w:rsidTr="009E5655">
        <w:trPr>
          <w:cnfStyle w:val="000000010000" w:firstRow="0" w:lastRow="0" w:firstColumn="0" w:lastColumn="0" w:oddVBand="0" w:evenVBand="0" w:oddHBand="0" w:evenHBand="1" w:firstRowFirstColumn="0" w:firstRowLastColumn="0" w:lastRowFirstColumn="0" w:lastRowLastColumn="0"/>
          <w:trHeight w:val="227"/>
          <w:jc w:val="center"/>
        </w:trPr>
        <w:tc>
          <w:tcPr>
            <w:tcW w:w="2093" w:type="dxa"/>
            <w:vMerge/>
            <w:tcBorders>
              <w:left w:val="nil"/>
              <w:bottom w:val="single" w:sz="12" w:space="0" w:color="008080"/>
            </w:tcBorders>
            <w:shd w:val="clear" w:color="auto" w:fill="auto"/>
            <w:vAlign w:val="center"/>
            <w:hideMark/>
          </w:tcPr>
          <w:p w:rsidR="00743201" w:rsidRPr="00535BD1" w:rsidRDefault="00743201" w:rsidP="00195583">
            <w:pPr>
              <w:jc w:val="center"/>
              <w:rPr>
                <w:b/>
                <w:bCs/>
                <w:color w:val="000000"/>
              </w:rPr>
            </w:pPr>
          </w:p>
        </w:tc>
        <w:tc>
          <w:tcPr>
            <w:tcW w:w="939" w:type="dxa"/>
            <w:tcBorders>
              <w:bottom w:val="single" w:sz="12" w:space="0" w:color="008080"/>
            </w:tcBorders>
            <w:noWrap/>
            <w:vAlign w:val="center"/>
            <w:hideMark/>
          </w:tcPr>
          <w:p w:rsidR="00743201" w:rsidRPr="00535BD1" w:rsidRDefault="00743201" w:rsidP="00195583">
            <w:pPr>
              <w:jc w:val="center"/>
              <w:rPr>
                <w:b/>
                <w:bCs/>
                <w:color w:val="000000"/>
              </w:rPr>
            </w:pPr>
            <w:r w:rsidRPr="00535BD1">
              <w:rPr>
                <w:b/>
                <w:bCs/>
                <w:color w:val="000000"/>
              </w:rPr>
              <w:t>2011</w:t>
            </w:r>
          </w:p>
        </w:tc>
        <w:tc>
          <w:tcPr>
            <w:tcW w:w="1480" w:type="dxa"/>
            <w:tcBorders>
              <w:bottom w:val="single" w:sz="12" w:space="0" w:color="008080"/>
            </w:tcBorders>
            <w:noWrap/>
            <w:hideMark/>
          </w:tcPr>
          <w:p w:rsidR="00743201" w:rsidRPr="00535BD1" w:rsidRDefault="00743201" w:rsidP="00195583">
            <w:pPr>
              <w:jc w:val="right"/>
            </w:pPr>
            <w:r w:rsidRPr="00535BD1">
              <w:t>723.613,03</w:t>
            </w:r>
          </w:p>
        </w:tc>
        <w:tc>
          <w:tcPr>
            <w:tcW w:w="1695" w:type="dxa"/>
            <w:tcBorders>
              <w:bottom w:val="single" w:sz="12" w:space="0" w:color="008080"/>
            </w:tcBorders>
            <w:noWrap/>
            <w:hideMark/>
          </w:tcPr>
          <w:p w:rsidR="00743201" w:rsidRPr="00535BD1" w:rsidRDefault="00743201" w:rsidP="00195583">
            <w:pPr>
              <w:jc w:val="right"/>
            </w:pPr>
            <w:r w:rsidRPr="00535BD1">
              <w:t>1.496.765,77</w:t>
            </w:r>
          </w:p>
        </w:tc>
        <w:tc>
          <w:tcPr>
            <w:tcW w:w="1360" w:type="dxa"/>
            <w:tcBorders>
              <w:bottom w:val="single" w:sz="12" w:space="0" w:color="008080"/>
            </w:tcBorders>
            <w:noWrap/>
            <w:hideMark/>
          </w:tcPr>
          <w:p w:rsidR="00743201" w:rsidRPr="00535BD1" w:rsidRDefault="00743201" w:rsidP="00195583">
            <w:pPr>
              <w:jc w:val="right"/>
            </w:pPr>
            <w:r w:rsidRPr="00535BD1">
              <w:t>4.264,00</w:t>
            </w:r>
          </w:p>
        </w:tc>
        <w:tc>
          <w:tcPr>
            <w:tcW w:w="1371" w:type="dxa"/>
            <w:tcBorders>
              <w:bottom w:val="single" w:sz="12" w:space="0" w:color="008080"/>
              <w:right w:val="nil"/>
            </w:tcBorders>
            <w:noWrap/>
            <w:hideMark/>
          </w:tcPr>
          <w:p w:rsidR="00743201" w:rsidRPr="00535BD1" w:rsidRDefault="00743201" w:rsidP="00195583">
            <w:pPr>
              <w:jc w:val="right"/>
            </w:pPr>
            <w:r w:rsidRPr="00535BD1">
              <w:t>7.738.278,00</w:t>
            </w:r>
          </w:p>
        </w:tc>
      </w:tr>
    </w:tbl>
    <w:p w:rsidR="00743201" w:rsidRPr="00195583" w:rsidRDefault="00743201" w:rsidP="00DD6D15">
      <w:pPr>
        <w:tabs>
          <w:tab w:val="left" w:pos="1134"/>
        </w:tabs>
        <w:spacing w:after="0" w:line="240" w:lineRule="auto"/>
        <w:ind w:left="708"/>
        <w:jc w:val="both"/>
        <w:rPr>
          <w:rFonts w:ascii="Times New Roman" w:hAnsi="Times New Roman" w:cs="Times New Roman"/>
          <w:sz w:val="20"/>
        </w:rPr>
      </w:pPr>
      <w:r w:rsidRPr="00195583">
        <w:rPr>
          <w:rFonts w:ascii="Times New Roman" w:hAnsi="Times New Roman" w:cs="Times New Roman"/>
          <w:b/>
          <w:sz w:val="20"/>
        </w:rPr>
        <w:t>Fonte</w:t>
      </w:r>
      <w:r w:rsidRPr="00195583">
        <w:rPr>
          <w:rFonts w:ascii="Times New Roman" w:hAnsi="Times New Roman" w:cs="Times New Roman"/>
          <w:sz w:val="20"/>
        </w:rPr>
        <w:t>: Elaboração d</w:t>
      </w:r>
      <w:r w:rsidR="00195583">
        <w:rPr>
          <w:rFonts w:ascii="Times New Roman" w:hAnsi="Times New Roman" w:cs="Times New Roman"/>
          <w:sz w:val="20"/>
        </w:rPr>
        <w:t>os autores</w:t>
      </w:r>
      <w:r w:rsidRPr="00195583">
        <w:rPr>
          <w:rFonts w:ascii="Times New Roman" w:hAnsi="Times New Roman" w:cs="Times New Roman"/>
          <w:sz w:val="20"/>
        </w:rPr>
        <w:t>.</w:t>
      </w:r>
    </w:p>
    <w:p w:rsidR="00A804C1" w:rsidRDefault="00A804C1" w:rsidP="00195583">
      <w:pPr>
        <w:spacing w:after="0" w:line="240" w:lineRule="auto"/>
        <w:jc w:val="both"/>
        <w:rPr>
          <w:rFonts w:ascii="Times New Roman" w:hAnsi="Times New Roman" w:cs="Times New Roman"/>
          <w:b/>
          <w:sz w:val="24"/>
          <w:szCs w:val="24"/>
        </w:rPr>
      </w:pPr>
    </w:p>
    <w:p w:rsidR="00743201" w:rsidRPr="00FA7908" w:rsidRDefault="00743201" w:rsidP="00195583">
      <w:pPr>
        <w:spacing w:after="0" w:line="240" w:lineRule="auto"/>
        <w:jc w:val="both"/>
      </w:pPr>
      <w:r w:rsidRPr="00195583">
        <w:rPr>
          <w:rFonts w:ascii="Times New Roman" w:hAnsi="Times New Roman" w:cs="Times New Roman"/>
          <w:b/>
          <w:sz w:val="24"/>
          <w:szCs w:val="24"/>
        </w:rPr>
        <w:t xml:space="preserve">4.4.2 </w:t>
      </w:r>
      <w:r w:rsidR="00820F1A">
        <w:rPr>
          <w:rFonts w:ascii="Times New Roman" w:hAnsi="Times New Roman" w:cs="Times New Roman"/>
          <w:b/>
          <w:sz w:val="24"/>
          <w:szCs w:val="24"/>
        </w:rPr>
        <w:t xml:space="preserve">Etapa 2 - </w:t>
      </w:r>
      <w:r w:rsidRPr="00195583">
        <w:rPr>
          <w:rFonts w:ascii="Times New Roman" w:hAnsi="Times New Roman" w:cs="Times New Roman"/>
          <w:b/>
          <w:sz w:val="24"/>
          <w:szCs w:val="24"/>
        </w:rPr>
        <w:t xml:space="preserve">Variação da produtividade com Índice de </w:t>
      </w:r>
      <w:proofErr w:type="spellStart"/>
      <w:r w:rsidRPr="00195583">
        <w:rPr>
          <w:rFonts w:ascii="Times New Roman" w:hAnsi="Times New Roman" w:cs="Times New Roman"/>
          <w:b/>
          <w:sz w:val="24"/>
          <w:szCs w:val="24"/>
        </w:rPr>
        <w:t>Malmquist</w:t>
      </w:r>
      <w:proofErr w:type="spellEnd"/>
    </w:p>
    <w:p w:rsidR="00743201" w:rsidRPr="00431098" w:rsidRDefault="00743201" w:rsidP="00195583">
      <w:pPr>
        <w:spacing w:after="0" w:line="240" w:lineRule="auto"/>
        <w:jc w:val="both"/>
        <w:outlineLvl w:val="0"/>
      </w:pPr>
    </w:p>
    <w:p w:rsidR="00743201" w:rsidRDefault="00195583" w:rsidP="00195583">
      <w:pPr>
        <w:spacing w:after="0" w:line="240" w:lineRule="auto"/>
        <w:jc w:val="both"/>
        <w:rPr>
          <w:rFonts w:ascii="Times New Roman" w:hAnsi="Times New Roman" w:cs="Times New Roman"/>
          <w:sz w:val="24"/>
          <w:szCs w:val="24"/>
        </w:rPr>
      </w:pPr>
      <w:r w:rsidRPr="00820F1A">
        <w:rPr>
          <w:rFonts w:ascii="Times New Roman" w:hAnsi="Times New Roman" w:cs="Times New Roman"/>
          <w:sz w:val="24"/>
          <w:szCs w:val="24"/>
        </w:rPr>
        <w:tab/>
      </w:r>
      <w:r w:rsidR="00743201" w:rsidRPr="00820F1A">
        <w:rPr>
          <w:rFonts w:ascii="Times New Roman" w:hAnsi="Times New Roman" w:cs="Times New Roman"/>
          <w:sz w:val="24"/>
          <w:szCs w:val="24"/>
        </w:rPr>
        <w:t>Nesta segunda etapa, foi examinada a variação da produtividade dos prestadores de SAA e SES entre 2006 e 2011</w:t>
      </w:r>
      <w:r w:rsidR="00662CBA">
        <w:rPr>
          <w:rFonts w:ascii="Times New Roman" w:hAnsi="Times New Roman" w:cs="Times New Roman"/>
          <w:sz w:val="24"/>
          <w:szCs w:val="24"/>
        </w:rPr>
        <w:t xml:space="preserve"> com aplicação do </w:t>
      </w:r>
      <w:r w:rsidR="00743201" w:rsidRPr="00820F1A">
        <w:rPr>
          <w:rFonts w:ascii="Times New Roman" w:hAnsi="Times New Roman" w:cs="Times New Roman"/>
          <w:sz w:val="24"/>
          <w:szCs w:val="24"/>
        </w:rPr>
        <w:t xml:space="preserve">Índice de </w:t>
      </w:r>
      <w:proofErr w:type="spellStart"/>
      <w:r w:rsidR="00743201" w:rsidRPr="00820F1A">
        <w:rPr>
          <w:rFonts w:ascii="Times New Roman" w:hAnsi="Times New Roman" w:cs="Times New Roman"/>
          <w:sz w:val="24"/>
          <w:szCs w:val="24"/>
        </w:rPr>
        <w:t>Malmquist</w:t>
      </w:r>
      <w:proofErr w:type="spellEnd"/>
      <w:r w:rsidR="00743201" w:rsidRPr="00820F1A">
        <w:rPr>
          <w:rFonts w:ascii="Times New Roman" w:hAnsi="Times New Roman" w:cs="Times New Roman"/>
          <w:sz w:val="24"/>
          <w:szCs w:val="24"/>
        </w:rPr>
        <w:t>. As mesmas variáveis utilizadas no modelo DEA III,</w:t>
      </w:r>
      <w:r w:rsidR="000D35F7">
        <w:rPr>
          <w:rFonts w:ascii="Times New Roman" w:hAnsi="Times New Roman" w:cs="Times New Roman"/>
          <w:sz w:val="24"/>
          <w:szCs w:val="24"/>
        </w:rPr>
        <w:t xml:space="preserve"> considerando valores constantes a 2011 para a DEX,</w:t>
      </w:r>
      <w:r w:rsidR="00743201" w:rsidRPr="00820F1A">
        <w:rPr>
          <w:rFonts w:ascii="Times New Roman" w:hAnsi="Times New Roman" w:cs="Times New Roman"/>
          <w:sz w:val="24"/>
          <w:szCs w:val="24"/>
        </w:rPr>
        <w:t xml:space="preserve"> foram aplicadas para </w:t>
      </w:r>
      <w:r w:rsidR="00250B7F">
        <w:rPr>
          <w:rFonts w:ascii="Times New Roman" w:hAnsi="Times New Roman" w:cs="Times New Roman"/>
          <w:sz w:val="24"/>
          <w:szCs w:val="24"/>
        </w:rPr>
        <w:t xml:space="preserve">o </w:t>
      </w:r>
      <w:r w:rsidR="00743201" w:rsidRPr="00820F1A">
        <w:rPr>
          <w:rFonts w:ascii="Times New Roman" w:hAnsi="Times New Roman" w:cs="Times New Roman"/>
          <w:sz w:val="24"/>
          <w:szCs w:val="24"/>
        </w:rPr>
        <w:t xml:space="preserve">cálculo do </w:t>
      </w:r>
      <w:proofErr w:type="spellStart"/>
      <w:r w:rsidR="00743201" w:rsidRPr="00820F1A">
        <w:rPr>
          <w:rFonts w:ascii="Times New Roman" w:hAnsi="Times New Roman" w:cs="Times New Roman"/>
          <w:sz w:val="24"/>
          <w:szCs w:val="24"/>
        </w:rPr>
        <w:t>Malmquist</w:t>
      </w:r>
      <w:proofErr w:type="spellEnd"/>
      <w:r w:rsidR="00743201" w:rsidRPr="00820F1A">
        <w:rPr>
          <w:rFonts w:ascii="Times New Roman" w:hAnsi="Times New Roman" w:cs="Times New Roman"/>
          <w:sz w:val="24"/>
          <w:szCs w:val="24"/>
        </w:rPr>
        <w:t xml:space="preserve"> com retornos variáveis de escala e orienta</w:t>
      </w:r>
      <w:r w:rsidR="000D35F7">
        <w:rPr>
          <w:rFonts w:ascii="Times New Roman" w:hAnsi="Times New Roman" w:cs="Times New Roman"/>
          <w:sz w:val="24"/>
          <w:szCs w:val="24"/>
        </w:rPr>
        <w:t>do</w:t>
      </w:r>
      <w:r w:rsidR="00743201" w:rsidRPr="00820F1A">
        <w:rPr>
          <w:rFonts w:ascii="Times New Roman" w:hAnsi="Times New Roman" w:cs="Times New Roman"/>
          <w:sz w:val="24"/>
          <w:szCs w:val="24"/>
        </w:rPr>
        <w:t xml:space="preserve"> a insumo.</w:t>
      </w:r>
    </w:p>
    <w:p w:rsidR="003A0480" w:rsidRPr="003A0480" w:rsidRDefault="00820F1A" w:rsidP="003A0480">
      <w:pPr>
        <w:spacing w:after="0" w:line="240" w:lineRule="auto"/>
        <w:jc w:val="both"/>
        <w:rPr>
          <w:rFonts w:ascii="Times New Roman" w:hAnsi="Times New Roman" w:cs="Times New Roman"/>
          <w:sz w:val="24"/>
          <w:szCs w:val="24"/>
        </w:rPr>
      </w:pPr>
      <w:r w:rsidRPr="0074750F">
        <w:rPr>
          <w:rFonts w:ascii="Times New Roman" w:hAnsi="Times New Roman" w:cs="Times New Roman"/>
          <w:sz w:val="24"/>
          <w:szCs w:val="24"/>
        </w:rPr>
        <w:lastRenderedPageBreak/>
        <w:tab/>
        <w:t xml:space="preserve">De acordo com Cooper, </w:t>
      </w:r>
      <w:proofErr w:type="spellStart"/>
      <w:r w:rsidRPr="0074750F">
        <w:rPr>
          <w:rFonts w:ascii="Times New Roman" w:hAnsi="Times New Roman" w:cs="Times New Roman"/>
          <w:sz w:val="24"/>
          <w:szCs w:val="24"/>
        </w:rPr>
        <w:t>Seiford</w:t>
      </w:r>
      <w:proofErr w:type="spellEnd"/>
      <w:r w:rsidRPr="0074750F">
        <w:rPr>
          <w:rFonts w:ascii="Times New Roman" w:hAnsi="Times New Roman" w:cs="Times New Roman"/>
          <w:sz w:val="24"/>
          <w:szCs w:val="24"/>
        </w:rPr>
        <w:t xml:space="preserve"> e </w:t>
      </w:r>
      <w:proofErr w:type="spellStart"/>
      <w:r w:rsidRPr="0074750F">
        <w:rPr>
          <w:rFonts w:ascii="Times New Roman" w:hAnsi="Times New Roman" w:cs="Times New Roman"/>
          <w:sz w:val="24"/>
          <w:szCs w:val="24"/>
        </w:rPr>
        <w:t>Tone</w:t>
      </w:r>
      <w:proofErr w:type="spellEnd"/>
      <w:r w:rsidRPr="0074750F">
        <w:rPr>
          <w:rFonts w:ascii="Times New Roman" w:hAnsi="Times New Roman" w:cs="Times New Roman"/>
          <w:sz w:val="24"/>
          <w:szCs w:val="24"/>
        </w:rPr>
        <w:t xml:space="preserve"> (2007, p. 328), o Índice de </w:t>
      </w:r>
      <w:proofErr w:type="spellStart"/>
      <w:r w:rsidRPr="0074750F">
        <w:rPr>
          <w:rFonts w:ascii="Times New Roman" w:hAnsi="Times New Roman" w:cs="Times New Roman"/>
          <w:sz w:val="24"/>
          <w:szCs w:val="24"/>
        </w:rPr>
        <w:t>Malmquist</w:t>
      </w:r>
      <w:proofErr w:type="spellEnd"/>
      <w:r w:rsidRPr="0074750F">
        <w:rPr>
          <w:rFonts w:ascii="Times New Roman" w:hAnsi="Times New Roman" w:cs="Times New Roman"/>
          <w:sz w:val="24"/>
          <w:szCs w:val="24"/>
        </w:rPr>
        <w:t xml:space="preserve"> avalia a </w:t>
      </w:r>
      <w:r w:rsidRPr="00820F1A">
        <w:rPr>
          <w:rFonts w:ascii="Times New Roman" w:hAnsi="Times New Roman" w:cs="Times New Roman"/>
          <w:sz w:val="24"/>
          <w:szCs w:val="24"/>
        </w:rPr>
        <w:t xml:space="preserve">mudança da produtividade de uma DMU entre dois períodos de tempo e é definido como produto do emparelhamento (efeito </w:t>
      </w:r>
      <w:r w:rsidRPr="00820F1A">
        <w:rPr>
          <w:rFonts w:ascii="Times New Roman" w:hAnsi="Times New Roman" w:cs="Times New Roman"/>
          <w:i/>
          <w:sz w:val="24"/>
          <w:szCs w:val="24"/>
        </w:rPr>
        <w:t>catch-</w:t>
      </w:r>
      <w:proofErr w:type="spellStart"/>
      <w:r w:rsidRPr="00820F1A">
        <w:rPr>
          <w:rFonts w:ascii="Times New Roman" w:hAnsi="Times New Roman" w:cs="Times New Roman"/>
          <w:i/>
          <w:sz w:val="24"/>
          <w:szCs w:val="24"/>
        </w:rPr>
        <w:t>up</w:t>
      </w:r>
      <w:proofErr w:type="spellEnd"/>
      <w:r w:rsidRPr="00820F1A">
        <w:rPr>
          <w:rFonts w:ascii="Times New Roman" w:hAnsi="Times New Roman" w:cs="Times New Roman"/>
          <w:sz w:val="24"/>
          <w:szCs w:val="24"/>
        </w:rPr>
        <w:t xml:space="preserve">) e do deslocamento da fronteira de eficiência (efeito </w:t>
      </w:r>
      <w:proofErr w:type="spellStart"/>
      <w:r w:rsidRPr="00820F1A">
        <w:rPr>
          <w:rFonts w:ascii="Times New Roman" w:hAnsi="Times New Roman" w:cs="Times New Roman"/>
          <w:i/>
          <w:sz w:val="24"/>
          <w:szCs w:val="24"/>
        </w:rPr>
        <w:t>frontier</w:t>
      </w:r>
      <w:proofErr w:type="spellEnd"/>
      <w:r w:rsidRPr="00820F1A">
        <w:rPr>
          <w:rFonts w:ascii="Times New Roman" w:hAnsi="Times New Roman" w:cs="Times New Roman"/>
          <w:i/>
          <w:sz w:val="24"/>
          <w:szCs w:val="24"/>
        </w:rPr>
        <w:t>-shift</w:t>
      </w:r>
      <w:r w:rsidRPr="00820F1A">
        <w:rPr>
          <w:rFonts w:ascii="Times New Roman" w:hAnsi="Times New Roman" w:cs="Times New Roman"/>
          <w:sz w:val="24"/>
          <w:szCs w:val="24"/>
        </w:rPr>
        <w:t xml:space="preserve">). Nesse contexto, o </w:t>
      </w:r>
      <w:r w:rsidRPr="00820F1A">
        <w:rPr>
          <w:rFonts w:ascii="Times New Roman" w:hAnsi="Times New Roman" w:cs="Times New Roman"/>
          <w:i/>
          <w:sz w:val="24"/>
          <w:szCs w:val="24"/>
        </w:rPr>
        <w:t>catch-</w:t>
      </w:r>
      <w:proofErr w:type="spellStart"/>
      <w:r w:rsidRPr="00820F1A">
        <w:rPr>
          <w:rFonts w:ascii="Times New Roman" w:hAnsi="Times New Roman" w:cs="Times New Roman"/>
          <w:i/>
          <w:sz w:val="24"/>
          <w:szCs w:val="24"/>
        </w:rPr>
        <w:t>up</w:t>
      </w:r>
      <w:proofErr w:type="spellEnd"/>
      <w:r w:rsidRPr="00820F1A">
        <w:rPr>
          <w:rFonts w:ascii="Times New Roman" w:hAnsi="Times New Roman" w:cs="Times New Roman"/>
          <w:sz w:val="24"/>
          <w:szCs w:val="24"/>
        </w:rPr>
        <w:t xml:space="preserve"> refere-se ao grau em que uma DMU melhora ou piora sua eficiência produtiva e, consequentemente se aproxima da fronteira, enquanto que o </w:t>
      </w:r>
      <w:proofErr w:type="spellStart"/>
      <w:r w:rsidRPr="00820F1A">
        <w:rPr>
          <w:rFonts w:ascii="Times New Roman" w:hAnsi="Times New Roman" w:cs="Times New Roman"/>
          <w:i/>
          <w:sz w:val="24"/>
          <w:szCs w:val="24"/>
        </w:rPr>
        <w:t>frontier</w:t>
      </w:r>
      <w:proofErr w:type="spellEnd"/>
      <w:r w:rsidRPr="00820F1A">
        <w:rPr>
          <w:rFonts w:ascii="Times New Roman" w:hAnsi="Times New Roman" w:cs="Times New Roman"/>
          <w:i/>
          <w:sz w:val="24"/>
          <w:szCs w:val="24"/>
        </w:rPr>
        <w:t>-shift</w:t>
      </w:r>
      <w:r w:rsidRPr="00820F1A">
        <w:rPr>
          <w:rFonts w:ascii="Times New Roman" w:hAnsi="Times New Roman" w:cs="Times New Roman"/>
          <w:sz w:val="24"/>
          <w:szCs w:val="24"/>
        </w:rPr>
        <w:t xml:space="preserve"> reflete a mudança nas fronteiras eficientes entre os dois períodos de tempo, que pode estar r</w:t>
      </w:r>
      <w:r>
        <w:rPr>
          <w:rFonts w:ascii="Times New Roman" w:hAnsi="Times New Roman" w:cs="Times New Roman"/>
          <w:sz w:val="24"/>
          <w:szCs w:val="24"/>
        </w:rPr>
        <w:t>elacionada à inovação no setor.</w:t>
      </w:r>
      <w:r w:rsidR="003A0480">
        <w:rPr>
          <w:rFonts w:ascii="Times New Roman" w:hAnsi="Times New Roman" w:cs="Times New Roman"/>
          <w:sz w:val="24"/>
          <w:szCs w:val="24"/>
        </w:rPr>
        <w:t xml:space="preserve"> A</w:t>
      </w:r>
      <w:r w:rsidR="003A0480" w:rsidRPr="003A0480">
        <w:rPr>
          <w:rFonts w:ascii="Times New Roman" w:hAnsi="Times New Roman" w:cs="Times New Roman"/>
          <w:sz w:val="24"/>
          <w:szCs w:val="24"/>
        </w:rPr>
        <w:t xml:space="preserve"> interpretação do Índice de </w:t>
      </w:r>
      <w:proofErr w:type="spellStart"/>
      <w:r w:rsidR="003A0480" w:rsidRPr="003A0480">
        <w:rPr>
          <w:rFonts w:ascii="Times New Roman" w:hAnsi="Times New Roman" w:cs="Times New Roman"/>
          <w:sz w:val="24"/>
          <w:szCs w:val="24"/>
        </w:rPr>
        <w:t>Malmquist</w:t>
      </w:r>
      <w:proofErr w:type="spellEnd"/>
      <w:r w:rsidR="003A0480" w:rsidRPr="003A0480">
        <w:rPr>
          <w:rFonts w:ascii="Times New Roman" w:hAnsi="Times New Roman" w:cs="Times New Roman"/>
          <w:sz w:val="24"/>
          <w:szCs w:val="24"/>
        </w:rPr>
        <w:t xml:space="preserve"> é feita da seguinte forma:</w:t>
      </w:r>
    </w:p>
    <w:p w:rsidR="003A0480" w:rsidRPr="003A0480" w:rsidRDefault="003A0480" w:rsidP="003A0480">
      <w:pPr>
        <w:spacing w:after="0" w:line="240" w:lineRule="auto"/>
        <w:jc w:val="both"/>
        <w:rPr>
          <w:rFonts w:ascii="Times New Roman" w:hAnsi="Times New Roman" w:cs="Times New Roman"/>
          <w:sz w:val="24"/>
          <w:szCs w:val="24"/>
        </w:rPr>
      </w:pPr>
    </w:p>
    <w:p w:rsidR="003A0480" w:rsidRPr="003A0480" w:rsidRDefault="001729B1" w:rsidP="003A0480">
      <w:pPr>
        <w:pStyle w:val="PargrafodaLista"/>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Malmquist</w:t>
      </w:r>
      <w:proofErr w:type="spellEnd"/>
      <w:r>
        <w:rPr>
          <w:rFonts w:ascii="Times New Roman" w:hAnsi="Times New Roman" w:cs="Times New Roman"/>
          <w:sz w:val="24"/>
          <w:szCs w:val="24"/>
        </w:rPr>
        <w:t xml:space="preserve"> &gt; 1: </w:t>
      </w:r>
      <w:r w:rsidR="003A0480" w:rsidRPr="003A0480">
        <w:rPr>
          <w:rFonts w:ascii="Times New Roman" w:hAnsi="Times New Roman" w:cs="Times New Roman"/>
          <w:sz w:val="24"/>
          <w:szCs w:val="24"/>
        </w:rPr>
        <w:t xml:space="preserve">progresso no fator de produtividade total da </w:t>
      </w:r>
      <w:proofErr w:type="spellStart"/>
      <w:proofErr w:type="gramStart"/>
      <w:r w:rsidR="003A0480" w:rsidRPr="003A0480">
        <w:rPr>
          <w:rFonts w:ascii="Times New Roman" w:hAnsi="Times New Roman" w:cs="Times New Roman"/>
          <w:sz w:val="24"/>
          <w:szCs w:val="24"/>
        </w:rPr>
        <w:t>DMU</w:t>
      </w:r>
      <w:r w:rsidR="003A0480" w:rsidRPr="007F09AC">
        <w:rPr>
          <w:rFonts w:ascii="Times New Roman" w:hAnsi="Times New Roman" w:cs="Times New Roman"/>
          <w:sz w:val="24"/>
          <w:szCs w:val="24"/>
          <w:vertAlign w:val="subscript"/>
        </w:rPr>
        <w:t>o</w:t>
      </w:r>
      <w:proofErr w:type="spellEnd"/>
      <w:proofErr w:type="gramEnd"/>
      <w:r w:rsidR="003A0480" w:rsidRPr="003A0480">
        <w:rPr>
          <w:rFonts w:ascii="Times New Roman" w:hAnsi="Times New Roman" w:cs="Times New Roman"/>
          <w:sz w:val="24"/>
          <w:szCs w:val="24"/>
        </w:rPr>
        <w:t xml:space="preserve"> entre os períodos t e  t+1;</w:t>
      </w:r>
    </w:p>
    <w:p w:rsidR="003A0480" w:rsidRPr="003A0480" w:rsidRDefault="001729B1" w:rsidP="003A0480">
      <w:pPr>
        <w:pStyle w:val="PargrafodaLista"/>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Malmquist</w:t>
      </w:r>
      <w:proofErr w:type="spellEnd"/>
      <w:r>
        <w:rPr>
          <w:rFonts w:ascii="Times New Roman" w:hAnsi="Times New Roman" w:cs="Times New Roman"/>
          <w:sz w:val="24"/>
          <w:szCs w:val="24"/>
        </w:rPr>
        <w:t xml:space="preserve"> = 1: </w:t>
      </w:r>
      <w:r w:rsidR="003A0480" w:rsidRPr="003A0480">
        <w:rPr>
          <w:rFonts w:ascii="Times New Roman" w:hAnsi="Times New Roman" w:cs="Times New Roman"/>
          <w:sz w:val="24"/>
          <w:szCs w:val="24"/>
        </w:rPr>
        <w:t>indica que não houve alteração entre os dois períodos;</w:t>
      </w:r>
    </w:p>
    <w:p w:rsidR="00820F1A" w:rsidRPr="003A0480" w:rsidRDefault="001729B1" w:rsidP="003A0480">
      <w:pPr>
        <w:pStyle w:val="PargrafodaLista"/>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Malmquist</w:t>
      </w:r>
      <w:proofErr w:type="spellEnd"/>
      <w:r>
        <w:rPr>
          <w:rFonts w:ascii="Times New Roman" w:hAnsi="Times New Roman" w:cs="Times New Roman"/>
          <w:sz w:val="24"/>
          <w:szCs w:val="24"/>
        </w:rPr>
        <w:t xml:space="preserve"> &lt; 1: </w:t>
      </w:r>
      <w:r w:rsidR="003A0480" w:rsidRPr="003A0480">
        <w:rPr>
          <w:rFonts w:ascii="Times New Roman" w:hAnsi="Times New Roman" w:cs="Times New Roman"/>
          <w:sz w:val="24"/>
          <w:szCs w:val="24"/>
        </w:rPr>
        <w:t xml:space="preserve">diminuição do fator de produtividade total da </w:t>
      </w:r>
      <w:proofErr w:type="spellStart"/>
      <w:proofErr w:type="gramStart"/>
      <w:r w:rsidR="003A0480" w:rsidRPr="003A0480">
        <w:rPr>
          <w:rFonts w:ascii="Times New Roman" w:hAnsi="Times New Roman" w:cs="Times New Roman"/>
          <w:sz w:val="24"/>
          <w:szCs w:val="24"/>
        </w:rPr>
        <w:t>DMU</w:t>
      </w:r>
      <w:r w:rsidR="003A0480" w:rsidRPr="007F09AC">
        <w:rPr>
          <w:rFonts w:ascii="Times New Roman" w:hAnsi="Times New Roman" w:cs="Times New Roman"/>
          <w:sz w:val="24"/>
          <w:szCs w:val="24"/>
          <w:vertAlign w:val="subscript"/>
        </w:rPr>
        <w:t>o</w:t>
      </w:r>
      <w:proofErr w:type="spellEnd"/>
      <w:proofErr w:type="gramEnd"/>
      <w:r w:rsidR="003A0480" w:rsidRPr="003A0480">
        <w:rPr>
          <w:rFonts w:ascii="Times New Roman" w:hAnsi="Times New Roman" w:cs="Times New Roman"/>
          <w:sz w:val="24"/>
          <w:szCs w:val="24"/>
        </w:rPr>
        <w:t xml:space="preserve"> entre os períodos t e  t+1.</w:t>
      </w:r>
    </w:p>
    <w:p w:rsidR="00820F1A" w:rsidRPr="00820F1A" w:rsidRDefault="00820F1A" w:rsidP="00195583">
      <w:pPr>
        <w:spacing w:after="0" w:line="240" w:lineRule="auto"/>
        <w:jc w:val="both"/>
        <w:rPr>
          <w:rFonts w:ascii="Times New Roman" w:hAnsi="Times New Roman" w:cs="Times New Roman"/>
          <w:sz w:val="24"/>
          <w:szCs w:val="24"/>
        </w:rPr>
      </w:pPr>
    </w:p>
    <w:p w:rsidR="00743201" w:rsidRPr="00195583" w:rsidRDefault="00743201" w:rsidP="00195583">
      <w:pPr>
        <w:spacing w:after="0" w:line="240" w:lineRule="auto"/>
        <w:jc w:val="both"/>
        <w:rPr>
          <w:rFonts w:ascii="Times New Roman" w:hAnsi="Times New Roman" w:cs="Times New Roman"/>
          <w:b/>
          <w:sz w:val="24"/>
          <w:szCs w:val="24"/>
        </w:rPr>
      </w:pPr>
      <w:r w:rsidRPr="00195583">
        <w:rPr>
          <w:rFonts w:ascii="Times New Roman" w:hAnsi="Times New Roman" w:cs="Times New Roman"/>
          <w:b/>
          <w:sz w:val="24"/>
          <w:szCs w:val="24"/>
        </w:rPr>
        <w:t xml:space="preserve">4.4.3 </w:t>
      </w:r>
      <w:r w:rsidR="007F09AC">
        <w:rPr>
          <w:rFonts w:ascii="Times New Roman" w:hAnsi="Times New Roman" w:cs="Times New Roman"/>
          <w:b/>
          <w:sz w:val="24"/>
          <w:szCs w:val="24"/>
        </w:rPr>
        <w:t xml:space="preserve">Etapa 3 - </w:t>
      </w:r>
      <w:r w:rsidRPr="00195583">
        <w:rPr>
          <w:rFonts w:ascii="Times New Roman" w:hAnsi="Times New Roman" w:cs="Times New Roman"/>
          <w:b/>
          <w:sz w:val="24"/>
          <w:szCs w:val="24"/>
        </w:rPr>
        <w:t>Análise documental das normas regulatórias</w:t>
      </w:r>
      <w:r w:rsidRPr="00195583">
        <w:rPr>
          <w:rFonts w:ascii="Times New Roman" w:hAnsi="Times New Roman" w:cs="Times New Roman"/>
          <w:b/>
          <w:sz w:val="24"/>
          <w:szCs w:val="24"/>
        </w:rPr>
        <w:fldChar w:fldCharType="begin"/>
      </w:r>
      <w:r w:rsidRPr="00195583">
        <w:rPr>
          <w:rFonts w:ascii="Times New Roman" w:hAnsi="Times New Roman" w:cs="Times New Roman"/>
          <w:b/>
          <w:sz w:val="24"/>
          <w:szCs w:val="24"/>
        </w:rPr>
        <w:instrText xml:space="preserve"> XE "4.4.3 Análise documental das normas regulatórias" </w:instrText>
      </w:r>
      <w:r w:rsidRPr="00195583">
        <w:rPr>
          <w:rFonts w:ascii="Times New Roman" w:hAnsi="Times New Roman" w:cs="Times New Roman"/>
          <w:b/>
          <w:sz w:val="24"/>
          <w:szCs w:val="24"/>
        </w:rPr>
        <w:fldChar w:fldCharType="end"/>
      </w:r>
    </w:p>
    <w:p w:rsidR="00743201" w:rsidRDefault="00743201" w:rsidP="00195583">
      <w:pPr>
        <w:spacing w:after="0" w:line="240" w:lineRule="auto"/>
        <w:jc w:val="both"/>
        <w:outlineLvl w:val="0"/>
      </w:pPr>
    </w:p>
    <w:p w:rsidR="00743201" w:rsidRPr="00195583" w:rsidRDefault="00743201" w:rsidP="00195583">
      <w:pPr>
        <w:spacing w:after="0" w:line="240" w:lineRule="auto"/>
        <w:jc w:val="both"/>
        <w:rPr>
          <w:rFonts w:ascii="Times New Roman" w:hAnsi="Times New Roman" w:cs="Times New Roman"/>
          <w:sz w:val="24"/>
          <w:szCs w:val="24"/>
        </w:rPr>
      </w:pPr>
      <w:r w:rsidRPr="00195583">
        <w:rPr>
          <w:rFonts w:ascii="Times New Roman" w:hAnsi="Times New Roman" w:cs="Times New Roman"/>
          <w:sz w:val="24"/>
          <w:szCs w:val="24"/>
        </w:rPr>
        <w:tab/>
        <w:t xml:space="preserve">Para investigar a influência das atividades regulatórias de normatização sobre o nível de eficiência e a variação da produtividade dos prestadores de SAA e SES, foi realizada uma análise documental das normas editadas por entidades reguladoras incluídas nesta pesquisa. Essa etapa, realizada a partir dos resultados obtidos nas etapas anteriores, buscou estruturar um entendimento sobre a forma como as entidades reguladoras estão utilizando </w:t>
      </w:r>
      <w:r w:rsidR="00B95BCA">
        <w:rPr>
          <w:rFonts w:ascii="Times New Roman" w:hAnsi="Times New Roman" w:cs="Times New Roman"/>
          <w:sz w:val="24"/>
          <w:szCs w:val="24"/>
        </w:rPr>
        <w:t xml:space="preserve">a </w:t>
      </w:r>
      <w:r w:rsidRPr="00195583">
        <w:rPr>
          <w:rFonts w:ascii="Times New Roman" w:hAnsi="Times New Roman" w:cs="Times New Roman"/>
          <w:sz w:val="24"/>
          <w:szCs w:val="24"/>
        </w:rPr>
        <w:t>normatização para incentivar a eficiên</w:t>
      </w:r>
      <w:r w:rsidR="00B95BCA">
        <w:rPr>
          <w:rFonts w:ascii="Times New Roman" w:hAnsi="Times New Roman" w:cs="Times New Roman"/>
          <w:sz w:val="24"/>
          <w:szCs w:val="24"/>
        </w:rPr>
        <w:t>cia dos prestadores</w:t>
      </w:r>
      <w:r w:rsidRPr="00195583">
        <w:rPr>
          <w:rFonts w:ascii="Times New Roman" w:hAnsi="Times New Roman" w:cs="Times New Roman"/>
          <w:sz w:val="24"/>
          <w:szCs w:val="24"/>
        </w:rPr>
        <w:t>.</w:t>
      </w:r>
    </w:p>
    <w:p w:rsidR="00743201" w:rsidRPr="00195583" w:rsidRDefault="00743201" w:rsidP="00195583">
      <w:pPr>
        <w:spacing w:after="0" w:line="240" w:lineRule="auto"/>
        <w:jc w:val="both"/>
        <w:rPr>
          <w:rFonts w:ascii="Times New Roman" w:hAnsi="Times New Roman" w:cs="Times New Roman"/>
          <w:sz w:val="24"/>
          <w:szCs w:val="24"/>
        </w:rPr>
      </w:pPr>
      <w:r w:rsidRPr="00195583">
        <w:rPr>
          <w:rFonts w:ascii="Times New Roman" w:hAnsi="Times New Roman" w:cs="Times New Roman"/>
          <w:sz w:val="24"/>
          <w:szCs w:val="24"/>
        </w:rPr>
        <w:tab/>
        <w:t xml:space="preserve">As normas analisadas contemplaram resoluções, deliberações e notas técnicas e sua seleção foi feita com base na classificação desenvolvida por Marques Neto (2009). O autor classificou a eficiência a ser incentivada pelas entidades reguladoras em alocativa e </w:t>
      </w:r>
      <w:proofErr w:type="spellStart"/>
      <w:r w:rsidRPr="00195583">
        <w:rPr>
          <w:rFonts w:ascii="Times New Roman" w:hAnsi="Times New Roman" w:cs="Times New Roman"/>
          <w:sz w:val="24"/>
          <w:szCs w:val="24"/>
        </w:rPr>
        <w:t>prestacional</w:t>
      </w:r>
      <w:proofErr w:type="spellEnd"/>
      <w:r w:rsidRPr="00195583">
        <w:rPr>
          <w:rFonts w:ascii="Times New Roman" w:hAnsi="Times New Roman" w:cs="Times New Roman"/>
          <w:sz w:val="24"/>
          <w:szCs w:val="24"/>
        </w:rPr>
        <w:t>. A primeira se refere basicamente a mecanismos tarifários de indução à eficiência econômica, já a segunda diz respeito às condições de prestação de serviços, ao uso de novas tecnologias e à avaliação sistemática da eficiência técnica dos prestadores. Nesse sentido, foram incluídas na análise normas que contemplassem esses aspectos.</w:t>
      </w:r>
    </w:p>
    <w:p w:rsidR="00C036DA" w:rsidRDefault="00C036DA" w:rsidP="00195583">
      <w:pPr>
        <w:spacing w:after="0" w:line="240" w:lineRule="auto"/>
        <w:jc w:val="both"/>
        <w:rPr>
          <w:rFonts w:ascii="Times New Roman" w:hAnsi="Times New Roman" w:cs="Times New Roman"/>
          <w:sz w:val="24"/>
          <w:szCs w:val="24"/>
        </w:rPr>
      </w:pPr>
    </w:p>
    <w:p w:rsidR="00C036DA" w:rsidRPr="001706EF" w:rsidRDefault="00C036DA" w:rsidP="00195583">
      <w:pPr>
        <w:spacing w:after="0" w:line="240" w:lineRule="auto"/>
        <w:jc w:val="both"/>
        <w:rPr>
          <w:rFonts w:ascii="Times New Roman" w:hAnsi="Times New Roman" w:cs="Times New Roman"/>
          <w:b/>
          <w:sz w:val="24"/>
          <w:szCs w:val="24"/>
        </w:rPr>
      </w:pPr>
      <w:proofErr w:type="gramStart"/>
      <w:r w:rsidRPr="001706EF">
        <w:rPr>
          <w:rFonts w:ascii="Times New Roman" w:hAnsi="Times New Roman" w:cs="Times New Roman"/>
          <w:b/>
          <w:sz w:val="24"/>
          <w:szCs w:val="24"/>
        </w:rPr>
        <w:t>5</w:t>
      </w:r>
      <w:proofErr w:type="gramEnd"/>
      <w:r w:rsidRPr="001706EF">
        <w:rPr>
          <w:rFonts w:ascii="Times New Roman" w:hAnsi="Times New Roman" w:cs="Times New Roman"/>
          <w:b/>
          <w:sz w:val="24"/>
          <w:szCs w:val="24"/>
        </w:rPr>
        <w:t xml:space="preserve"> Análise e discussão dos resultados</w:t>
      </w:r>
    </w:p>
    <w:p w:rsidR="00C036DA" w:rsidRDefault="00C036DA" w:rsidP="00195583">
      <w:pPr>
        <w:spacing w:after="0" w:line="240" w:lineRule="auto"/>
        <w:jc w:val="both"/>
        <w:rPr>
          <w:rFonts w:ascii="Times New Roman" w:hAnsi="Times New Roman" w:cs="Times New Roman"/>
          <w:sz w:val="24"/>
          <w:szCs w:val="24"/>
        </w:rPr>
      </w:pPr>
    </w:p>
    <w:p w:rsidR="00AB0CF8" w:rsidRPr="00AB0CF8" w:rsidRDefault="00AB0CF8" w:rsidP="00AB0CF8">
      <w:pPr>
        <w:spacing w:after="0" w:line="240" w:lineRule="auto"/>
        <w:jc w:val="both"/>
        <w:rPr>
          <w:rFonts w:ascii="Times New Roman" w:hAnsi="Times New Roman" w:cs="Times New Roman"/>
          <w:b/>
          <w:sz w:val="24"/>
          <w:szCs w:val="24"/>
        </w:rPr>
      </w:pPr>
      <w:proofErr w:type="gramStart"/>
      <w:r w:rsidRPr="00AB0CF8">
        <w:rPr>
          <w:rFonts w:ascii="Times New Roman" w:hAnsi="Times New Roman" w:cs="Times New Roman"/>
          <w:b/>
          <w:sz w:val="24"/>
          <w:szCs w:val="24"/>
        </w:rPr>
        <w:t>5.1 Avaliação</w:t>
      </w:r>
      <w:proofErr w:type="gramEnd"/>
      <w:r w:rsidRPr="00AB0CF8">
        <w:rPr>
          <w:rFonts w:ascii="Times New Roman" w:hAnsi="Times New Roman" w:cs="Times New Roman"/>
          <w:b/>
          <w:sz w:val="24"/>
          <w:szCs w:val="24"/>
        </w:rPr>
        <w:t xml:space="preserve"> da eficiência dos prestadores de SAA e SES por meio da DEA</w:t>
      </w:r>
    </w:p>
    <w:p w:rsidR="00AB0CF8" w:rsidRPr="00AB0CF8" w:rsidRDefault="00AB0CF8" w:rsidP="00AB0CF8">
      <w:pPr>
        <w:spacing w:after="0" w:line="240" w:lineRule="auto"/>
        <w:jc w:val="both"/>
        <w:rPr>
          <w:rFonts w:ascii="Times New Roman" w:hAnsi="Times New Roman" w:cs="Times New Roman"/>
          <w:sz w:val="24"/>
          <w:szCs w:val="24"/>
        </w:rPr>
      </w:pPr>
    </w:p>
    <w:p w:rsidR="001706EF" w:rsidRDefault="00AB0CF8" w:rsidP="00AB0CF8">
      <w:pPr>
        <w:spacing w:after="0" w:line="240" w:lineRule="auto"/>
        <w:jc w:val="both"/>
        <w:rPr>
          <w:rFonts w:ascii="Times New Roman" w:hAnsi="Times New Roman" w:cs="Times New Roman"/>
          <w:sz w:val="24"/>
          <w:szCs w:val="24"/>
        </w:rPr>
      </w:pPr>
      <w:r w:rsidRPr="00AB0CF8">
        <w:rPr>
          <w:rFonts w:ascii="Times New Roman" w:hAnsi="Times New Roman" w:cs="Times New Roman"/>
          <w:sz w:val="24"/>
          <w:szCs w:val="24"/>
        </w:rPr>
        <w:tab/>
      </w:r>
      <w:r w:rsidR="00AC3688">
        <w:rPr>
          <w:rFonts w:ascii="Times New Roman" w:hAnsi="Times New Roman" w:cs="Times New Roman"/>
          <w:sz w:val="24"/>
          <w:szCs w:val="24"/>
        </w:rPr>
        <w:t xml:space="preserve">A Tabela 2 apresenta </w:t>
      </w:r>
      <w:r w:rsidR="00AF499C">
        <w:rPr>
          <w:rFonts w:ascii="Times New Roman" w:hAnsi="Times New Roman" w:cs="Times New Roman"/>
          <w:sz w:val="24"/>
          <w:szCs w:val="24"/>
        </w:rPr>
        <w:t xml:space="preserve">os resultados da DEA para eficiência de escala (ES), eficiência técnica pura (ETP) e eficiência técnica total (ETT). </w:t>
      </w:r>
      <w:r w:rsidRPr="00AB0CF8">
        <w:rPr>
          <w:rFonts w:ascii="Times New Roman" w:hAnsi="Times New Roman" w:cs="Times New Roman"/>
          <w:sz w:val="24"/>
          <w:szCs w:val="24"/>
        </w:rPr>
        <w:t xml:space="preserve">Analisando o ano de 2006, percebe-se que, a média da ES foi a mais alta, no entanto, o maior número de </w:t>
      </w:r>
      <w:proofErr w:type="spellStart"/>
      <w:r w:rsidRPr="00AB0CF8">
        <w:rPr>
          <w:rFonts w:ascii="Times New Roman" w:hAnsi="Times New Roman" w:cs="Times New Roman"/>
          <w:sz w:val="24"/>
          <w:szCs w:val="24"/>
        </w:rPr>
        <w:t>DMUs</w:t>
      </w:r>
      <w:proofErr w:type="spellEnd"/>
      <w:r w:rsidRPr="00AB0CF8">
        <w:rPr>
          <w:rFonts w:ascii="Times New Roman" w:hAnsi="Times New Roman" w:cs="Times New Roman"/>
          <w:sz w:val="24"/>
          <w:szCs w:val="24"/>
        </w:rPr>
        <w:t xml:space="preserve"> eficientes foi verificado na</w:t>
      </w:r>
      <w:r w:rsidR="009E5655">
        <w:rPr>
          <w:rFonts w:ascii="Times New Roman" w:hAnsi="Times New Roman" w:cs="Times New Roman"/>
          <w:sz w:val="24"/>
          <w:szCs w:val="24"/>
        </w:rPr>
        <w:t xml:space="preserve"> </w:t>
      </w:r>
      <w:r w:rsidR="00AC3688">
        <w:rPr>
          <w:rFonts w:ascii="Times New Roman" w:hAnsi="Times New Roman" w:cs="Times New Roman"/>
          <w:sz w:val="24"/>
          <w:szCs w:val="24"/>
        </w:rPr>
        <w:t>ETP</w:t>
      </w:r>
      <w:r w:rsidRPr="00AB0CF8">
        <w:rPr>
          <w:rFonts w:ascii="Times New Roman" w:hAnsi="Times New Roman" w:cs="Times New Roman"/>
          <w:sz w:val="24"/>
          <w:szCs w:val="24"/>
        </w:rPr>
        <w:t>. O modelo DEA III apresentou a maior média de ETP (84,</w:t>
      </w:r>
      <w:r w:rsidR="006911FF">
        <w:rPr>
          <w:rFonts w:ascii="Times New Roman" w:hAnsi="Times New Roman" w:cs="Times New Roman"/>
          <w:sz w:val="24"/>
          <w:szCs w:val="24"/>
        </w:rPr>
        <w:t>03%),</w:t>
      </w:r>
      <w:r w:rsidRPr="00AB0CF8">
        <w:rPr>
          <w:rFonts w:ascii="Times New Roman" w:hAnsi="Times New Roman" w:cs="Times New Roman"/>
          <w:sz w:val="24"/>
          <w:szCs w:val="24"/>
        </w:rPr>
        <w:t xml:space="preserve"> ETT (7</w:t>
      </w:r>
      <w:r w:rsidR="006911FF">
        <w:rPr>
          <w:rFonts w:ascii="Times New Roman" w:hAnsi="Times New Roman" w:cs="Times New Roman"/>
          <w:sz w:val="24"/>
          <w:szCs w:val="24"/>
        </w:rPr>
        <w:t>7</w:t>
      </w:r>
      <w:r w:rsidRPr="00AB0CF8">
        <w:rPr>
          <w:rFonts w:ascii="Times New Roman" w:hAnsi="Times New Roman" w:cs="Times New Roman"/>
          <w:sz w:val="24"/>
          <w:szCs w:val="24"/>
        </w:rPr>
        <w:t>,</w:t>
      </w:r>
      <w:r w:rsidR="006911FF">
        <w:rPr>
          <w:rFonts w:ascii="Times New Roman" w:hAnsi="Times New Roman" w:cs="Times New Roman"/>
          <w:sz w:val="24"/>
          <w:szCs w:val="24"/>
        </w:rPr>
        <w:t>80%) e</w:t>
      </w:r>
      <w:r w:rsidRPr="00AB0CF8">
        <w:rPr>
          <w:rFonts w:ascii="Times New Roman" w:hAnsi="Times New Roman" w:cs="Times New Roman"/>
          <w:sz w:val="24"/>
          <w:szCs w:val="24"/>
        </w:rPr>
        <w:t xml:space="preserve"> ES (93,</w:t>
      </w:r>
      <w:r w:rsidR="006911FF">
        <w:rPr>
          <w:rFonts w:ascii="Times New Roman" w:hAnsi="Times New Roman" w:cs="Times New Roman"/>
          <w:sz w:val="24"/>
          <w:szCs w:val="24"/>
        </w:rPr>
        <w:t>37</w:t>
      </w:r>
      <w:r w:rsidRPr="00AB0CF8">
        <w:rPr>
          <w:rFonts w:ascii="Times New Roman" w:hAnsi="Times New Roman" w:cs="Times New Roman"/>
          <w:sz w:val="24"/>
          <w:szCs w:val="24"/>
        </w:rPr>
        <w:t>%).</w:t>
      </w:r>
      <w:r w:rsidR="00ED0278">
        <w:rPr>
          <w:rFonts w:ascii="Times New Roman" w:hAnsi="Times New Roman" w:cs="Times New Roman"/>
          <w:sz w:val="24"/>
          <w:szCs w:val="24"/>
        </w:rPr>
        <w:t xml:space="preserve"> </w:t>
      </w:r>
      <w:r w:rsidR="00ED0278" w:rsidRPr="00AB0CF8">
        <w:rPr>
          <w:rFonts w:ascii="Times New Roman" w:hAnsi="Times New Roman" w:cs="Times New Roman"/>
          <w:sz w:val="24"/>
          <w:szCs w:val="24"/>
        </w:rPr>
        <w:t>No que se refere ao ano de 2011 percebe-se um avan</w:t>
      </w:r>
      <w:r w:rsidR="00ED0278">
        <w:rPr>
          <w:rFonts w:ascii="Times New Roman" w:hAnsi="Times New Roman" w:cs="Times New Roman"/>
          <w:sz w:val="24"/>
          <w:szCs w:val="24"/>
        </w:rPr>
        <w:t>ço apenas na média da ETP no modelo</w:t>
      </w:r>
      <w:r w:rsidR="00ED0278" w:rsidRPr="00AB0CF8">
        <w:rPr>
          <w:rFonts w:ascii="Times New Roman" w:hAnsi="Times New Roman" w:cs="Times New Roman"/>
          <w:sz w:val="24"/>
          <w:szCs w:val="24"/>
        </w:rPr>
        <w:t xml:space="preserve"> DEA II (</w:t>
      </w:r>
      <w:r w:rsidR="00ED0278">
        <w:rPr>
          <w:rFonts w:ascii="Times New Roman" w:hAnsi="Times New Roman" w:cs="Times New Roman"/>
          <w:sz w:val="24"/>
          <w:szCs w:val="24"/>
        </w:rPr>
        <w:t>78</w:t>
      </w:r>
      <w:r w:rsidR="00ED0278" w:rsidRPr="00AB0CF8">
        <w:rPr>
          <w:rFonts w:ascii="Times New Roman" w:hAnsi="Times New Roman" w:cs="Times New Roman"/>
          <w:sz w:val="24"/>
          <w:szCs w:val="24"/>
        </w:rPr>
        <w:t>,</w:t>
      </w:r>
      <w:r w:rsidR="00ED0278">
        <w:rPr>
          <w:rFonts w:ascii="Times New Roman" w:hAnsi="Times New Roman" w:cs="Times New Roman"/>
          <w:sz w:val="24"/>
          <w:szCs w:val="24"/>
        </w:rPr>
        <w:t>78</w:t>
      </w:r>
      <w:r w:rsidR="00ED0278" w:rsidRPr="00AB0CF8">
        <w:rPr>
          <w:rFonts w:ascii="Times New Roman" w:hAnsi="Times New Roman" w:cs="Times New Roman"/>
          <w:sz w:val="24"/>
          <w:szCs w:val="24"/>
        </w:rPr>
        <w:t>%)</w:t>
      </w:r>
      <w:r w:rsidR="00ED0278">
        <w:rPr>
          <w:rFonts w:ascii="Times New Roman" w:hAnsi="Times New Roman" w:cs="Times New Roman"/>
          <w:sz w:val="24"/>
          <w:szCs w:val="24"/>
        </w:rPr>
        <w:t>, enquanto que os demais apresentaram níveis mais baixos de eficiência</w:t>
      </w:r>
      <w:r w:rsidR="00AC3688">
        <w:rPr>
          <w:rFonts w:ascii="Times New Roman" w:hAnsi="Times New Roman" w:cs="Times New Roman"/>
          <w:sz w:val="24"/>
          <w:szCs w:val="24"/>
        </w:rPr>
        <w:t xml:space="preserve"> e</w:t>
      </w:r>
      <w:r w:rsidR="0020745E">
        <w:rPr>
          <w:rFonts w:ascii="Times New Roman" w:hAnsi="Times New Roman" w:cs="Times New Roman"/>
          <w:sz w:val="24"/>
          <w:szCs w:val="24"/>
        </w:rPr>
        <w:t xml:space="preserve"> queda no número de </w:t>
      </w:r>
      <w:proofErr w:type="spellStart"/>
      <w:r w:rsidR="0020745E">
        <w:rPr>
          <w:rFonts w:ascii="Times New Roman" w:hAnsi="Times New Roman" w:cs="Times New Roman"/>
          <w:sz w:val="24"/>
          <w:szCs w:val="24"/>
        </w:rPr>
        <w:t>DMUs</w:t>
      </w:r>
      <w:proofErr w:type="spellEnd"/>
      <w:r w:rsidR="0020745E">
        <w:rPr>
          <w:rFonts w:ascii="Times New Roman" w:hAnsi="Times New Roman" w:cs="Times New Roman"/>
          <w:sz w:val="24"/>
          <w:szCs w:val="24"/>
        </w:rPr>
        <w:t xml:space="preserve"> eficientes,</w:t>
      </w:r>
      <w:r w:rsidR="00ED0278">
        <w:rPr>
          <w:rFonts w:ascii="Times New Roman" w:hAnsi="Times New Roman" w:cs="Times New Roman"/>
          <w:sz w:val="24"/>
          <w:szCs w:val="24"/>
        </w:rPr>
        <w:t xml:space="preserve"> quando comparados a 2006. </w:t>
      </w:r>
      <w:r w:rsidR="00ED0278" w:rsidRPr="00AB0CF8">
        <w:rPr>
          <w:rFonts w:ascii="Times New Roman" w:hAnsi="Times New Roman" w:cs="Times New Roman"/>
          <w:sz w:val="24"/>
          <w:szCs w:val="24"/>
        </w:rPr>
        <w:t xml:space="preserve">O modelo DEA I </w:t>
      </w:r>
      <w:r w:rsidR="00ED0278">
        <w:rPr>
          <w:rFonts w:ascii="Times New Roman" w:hAnsi="Times New Roman" w:cs="Times New Roman"/>
          <w:sz w:val="24"/>
          <w:szCs w:val="24"/>
        </w:rPr>
        <w:t xml:space="preserve">passou a apresentar </w:t>
      </w:r>
      <w:r w:rsidR="00ED0278" w:rsidRPr="00AB0CF8">
        <w:rPr>
          <w:rFonts w:ascii="Times New Roman" w:hAnsi="Times New Roman" w:cs="Times New Roman"/>
          <w:sz w:val="24"/>
          <w:szCs w:val="24"/>
        </w:rPr>
        <w:t>melhor resultado no que se refere à ES (9</w:t>
      </w:r>
      <w:r w:rsidR="00ED0278">
        <w:rPr>
          <w:rFonts w:ascii="Times New Roman" w:hAnsi="Times New Roman" w:cs="Times New Roman"/>
          <w:sz w:val="24"/>
          <w:szCs w:val="24"/>
        </w:rPr>
        <w:t>0</w:t>
      </w:r>
      <w:r w:rsidR="00ED0278" w:rsidRPr="00AB0CF8">
        <w:rPr>
          <w:rFonts w:ascii="Times New Roman" w:hAnsi="Times New Roman" w:cs="Times New Roman"/>
          <w:sz w:val="24"/>
          <w:szCs w:val="24"/>
        </w:rPr>
        <w:t>,</w:t>
      </w:r>
      <w:r w:rsidR="00ED0278">
        <w:rPr>
          <w:rFonts w:ascii="Times New Roman" w:hAnsi="Times New Roman" w:cs="Times New Roman"/>
          <w:sz w:val="24"/>
          <w:szCs w:val="24"/>
        </w:rPr>
        <w:t>06</w:t>
      </w:r>
      <w:r w:rsidR="00AC3688">
        <w:rPr>
          <w:rFonts w:ascii="Times New Roman" w:hAnsi="Times New Roman" w:cs="Times New Roman"/>
          <w:sz w:val="24"/>
          <w:szCs w:val="24"/>
        </w:rPr>
        <w:t xml:space="preserve">%) e o DEA III </w:t>
      </w:r>
      <w:proofErr w:type="gramStart"/>
      <w:r w:rsidR="00AC3688">
        <w:rPr>
          <w:rFonts w:ascii="Times New Roman" w:hAnsi="Times New Roman" w:cs="Times New Roman"/>
          <w:sz w:val="24"/>
          <w:szCs w:val="24"/>
        </w:rPr>
        <w:t>continuou</w:t>
      </w:r>
      <w:proofErr w:type="gramEnd"/>
      <w:r w:rsidR="00AC3688">
        <w:rPr>
          <w:rFonts w:ascii="Times New Roman" w:hAnsi="Times New Roman" w:cs="Times New Roman"/>
          <w:sz w:val="24"/>
          <w:szCs w:val="24"/>
        </w:rPr>
        <w:t xml:space="preserve"> com melhor desempenho para ETP (81,19%) e ETT (70,81%).</w:t>
      </w:r>
    </w:p>
    <w:p w:rsidR="00A804C1" w:rsidRDefault="00A804C1" w:rsidP="00AB0CF8">
      <w:pPr>
        <w:pStyle w:val="Legenda"/>
        <w:rPr>
          <w:sz w:val="24"/>
        </w:rPr>
      </w:pPr>
      <w:bookmarkStart w:id="3" w:name="_Toc377445869"/>
    </w:p>
    <w:p w:rsidR="00AB0CF8" w:rsidRPr="004A5090" w:rsidRDefault="00AB0CF8" w:rsidP="00AB0CF8">
      <w:pPr>
        <w:pStyle w:val="Legenda"/>
        <w:rPr>
          <w:b w:val="0"/>
          <w:sz w:val="24"/>
        </w:rPr>
      </w:pPr>
      <w:r w:rsidRPr="004A5090">
        <w:rPr>
          <w:sz w:val="24"/>
        </w:rPr>
        <w:t xml:space="preserve">Tabela </w:t>
      </w:r>
      <w:r w:rsidR="00AE778C">
        <w:rPr>
          <w:sz w:val="24"/>
        </w:rPr>
        <w:t>2</w:t>
      </w:r>
      <w:r w:rsidRPr="004A5090">
        <w:rPr>
          <w:sz w:val="24"/>
        </w:rPr>
        <w:t xml:space="preserve"> – </w:t>
      </w:r>
      <w:r w:rsidRPr="004A5090">
        <w:rPr>
          <w:b w:val="0"/>
          <w:sz w:val="24"/>
        </w:rPr>
        <w:t>Resumo dos resultados dos modelos DEA para prestadores de SAA e SES</w:t>
      </w:r>
      <w:bookmarkEnd w:id="3"/>
    </w:p>
    <w:tbl>
      <w:tblPr>
        <w:tblStyle w:val="Tabelaemlista1"/>
        <w:tblW w:w="10466" w:type="dxa"/>
        <w:jc w:val="center"/>
        <w:tblLook w:val="04A0" w:firstRow="1" w:lastRow="0" w:firstColumn="1" w:lastColumn="0" w:noHBand="0" w:noVBand="1"/>
      </w:tblPr>
      <w:tblGrid>
        <w:gridCol w:w="1588"/>
        <w:gridCol w:w="1677"/>
        <w:gridCol w:w="792"/>
        <w:gridCol w:w="851"/>
        <w:gridCol w:w="766"/>
        <w:gridCol w:w="822"/>
        <w:gridCol w:w="766"/>
        <w:gridCol w:w="821"/>
        <w:gridCol w:w="851"/>
        <w:gridCol w:w="766"/>
        <w:gridCol w:w="766"/>
      </w:tblGrid>
      <w:tr w:rsidR="00B95BCA" w:rsidRPr="008B4021" w:rsidTr="00B95BCA">
        <w:trPr>
          <w:cnfStyle w:val="100000000000" w:firstRow="1" w:lastRow="0" w:firstColumn="0" w:lastColumn="0" w:oddVBand="0" w:evenVBand="0" w:oddHBand="0" w:evenHBand="0" w:firstRowFirstColumn="0" w:firstRowLastColumn="0" w:lastRowFirstColumn="0" w:lastRowLastColumn="0"/>
          <w:trHeight w:val="227"/>
          <w:jc w:val="center"/>
        </w:trPr>
        <w:tc>
          <w:tcPr>
            <w:tcW w:w="1588" w:type="dxa"/>
            <w:tcBorders>
              <w:top w:val="single" w:sz="12" w:space="0" w:color="008080"/>
              <w:left w:val="nil"/>
            </w:tcBorders>
          </w:tcPr>
          <w:p w:rsidR="00B95BCA" w:rsidRPr="008B4021" w:rsidRDefault="00B95BCA" w:rsidP="00436A0D">
            <w:pPr>
              <w:jc w:val="center"/>
              <w:rPr>
                <w:i w:val="0"/>
                <w:color w:val="000000"/>
              </w:rPr>
            </w:pPr>
          </w:p>
        </w:tc>
        <w:tc>
          <w:tcPr>
            <w:tcW w:w="1677" w:type="dxa"/>
            <w:tcBorders>
              <w:top w:val="single" w:sz="12" w:space="0" w:color="008080"/>
              <w:left w:val="nil"/>
            </w:tcBorders>
            <w:noWrap/>
            <w:vAlign w:val="center"/>
            <w:hideMark/>
          </w:tcPr>
          <w:p w:rsidR="00B95BCA" w:rsidRPr="008B4021" w:rsidRDefault="00B95BCA" w:rsidP="00436A0D">
            <w:pPr>
              <w:jc w:val="center"/>
              <w:rPr>
                <w:i w:val="0"/>
                <w:color w:val="000000"/>
              </w:rPr>
            </w:pPr>
          </w:p>
        </w:tc>
        <w:tc>
          <w:tcPr>
            <w:tcW w:w="2409" w:type="dxa"/>
            <w:gridSpan w:val="3"/>
            <w:tcBorders>
              <w:top w:val="single" w:sz="12" w:space="0" w:color="008080"/>
            </w:tcBorders>
            <w:noWrap/>
            <w:vAlign w:val="center"/>
            <w:hideMark/>
          </w:tcPr>
          <w:p w:rsidR="00B95BCA" w:rsidRPr="008B4021" w:rsidRDefault="00B95BCA" w:rsidP="00436A0D">
            <w:pPr>
              <w:jc w:val="center"/>
              <w:rPr>
                <w:i w:val="0"/>
                <w:color w:val="000000"/>
              </w:rPr>
            </w:pPr>
            <w:r w:rsidRPr="008B4021">
              <w:rPr>
                <w:i w:val="0"/>
                <w:color w:val="000000"/>
              </w:rPr>
              <w:t>Eficiência Técnica Pura</w:t>
            </w:r>
          </w:p>
        </w:tc>
        <w:tc>
          <w:tcPr>
            <w:tcW w:w="2409" w:type="dxa"/>
            <w:gridSpan w:val="3"/>
            <w:tcBorders>
              <w:top w:val="single" w:sz="12" w:space="0" w:color="008080"/>
              <w:bottom w:val="single" w:sz="2" w:space="0" w:color="auto"/>
            </w:tcBorders>
            <w:noWrap/>
            <w:vAlign w:val="center"/>
            <w:hideMark/>
          </w:tcPr>
          <w:p w:rsidR="00B95BCA" w:rsidRPr="008B4021" w:rsidRDefault="00B95BCA" w:rsidP="00436A0D">
            <w:pPr>
              <w:jc w:val="center"/>
              <w:rPr>
                <w:i w:val="0"/>
                <w:color w:val="000000"/>
              </w:rPr>
            </w:pPr>
            <w:r w:rsidRPr="008B4021">
              <w:rPr>
                <w:i w:val="0"/>
                <w:color w:val="000000"/>
              </w:rPr>
              <w:t>Eficiência de Escala</w:t>
            </w:r>
          </w:p>
        </w:tc>
        <w:tc>
          <w:tcPr>
            <w:tcW w:w="2383" w:type="dxa"/>
            <w:gridSpan w:val="3"/>
            <w:tcBorders>
              <w:top w:val="single" w:sz="12" w:space="0" w:color="008080"/>
              <w:right w:val="nil"/>
            </w:tcBorders>
            <w:noWrap/>
            <w:vAlign w:val="center"/>
            <w:hideMark/>
          </w:tcPr>
          <w:p w:rsidR="00B95BCA" w:rsidRPr="008B4021" w:rsidRDefault="00B95BCA" w:rsidP="00436A0D">
            <w:pPr>
              <w:jc w:val="center"/>
              <w:rPr>
                <w:i w:val="0"/>
                <w:color w:val="000000"/>
              </w:rPr>
            </w:pPr>
            <w:r w:rsidRPr="008B4021">
              <w:rPr>
                <w:i w:val="0"/>
                <w:color w:val="000000"/>
              </w:rPr>
              <w:t>Eficiência Técnica Total</w:t>
            </w:r>
          </w:p>
        </w:tc>
      </w:tr>
      <w:tr w:rsidR="00B95BCA" w:rsidRPr="008B4021" w:rsidTr="00B95BCA">
        <w:trPr>
          <w:cnfStyle w:val="000000100000" w:firstRow="0" w:lastRow="0" w:firstColumn="0" w:lastColumn="0" w:oddVBand="0" w:evenVBand="0" w:oddHBand="1" w:evenHBand="0" w:firstRowFirstColumn="0" w:firstRowLastColumn="0" w:lastRowFirstColumn="0" w:lastRowLastColumn="0"/>
          <w:trHeight w:val="227"/>
          <w:jc w:val="center"/>
        </w:trPr>
        <w:tc>
          <w:tcPr>
            <w:tcW w:w="3265" w:type="dxa"/>
            <w:gridSpan w:val="2"/>
            <w:tcBorders>
              <w:top w:val="single" w:sz="6" w:space="0" w:color="000000"/>
              <w:left w:val="nil"/>
              <w:bottom w:val="single" w:sz="4" w:space="0" w:color="008080"/>
              <w:right w:val="single" w:sz="8" w:space="0" w:color="008080"/>
            </w:tcBorders>
            <w:shd w:val="clear" w:color="auto" w:fill="auto"/>
            <w:vAlign w:val="center"/>
          </w:tcPr>
          <w:p w:rsidR="00B95BCA" w:rsidRPr="008B4021" w:rsidRDefault="00B95BCA" w:rsidP="00436A0D">
            <w:pPr>
              <w:jc w:val="center"/>
              <w:rPr>
                <w:b/>
                <w:color w:val="000000"/>
              </w:rPr>
            </w:pPr>
            <w:r w:rsidRPr="008B4021">
              <w:rPr>
                <w:b/>
                <w:color w:val="000000"/>
              </w:rPr>
              <w:t>Modelos DEA</w:t>
            </w:r>
          </w:p>
        </w:tc>
        <w:tc>
          <w:tcPr>
            <w:tcW w:w="792" w:type="dxa"/>
            <w:tcBorders>
              <w:left w:val="single" w:sz="8" w:space="0" w:color="008080"/>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w:t>
            </w:r>
          </w:p>
        </w:tc>
        <w:tc>
          <w:tcPr>
            <w:tcW w:w="851" w:type="dxa"/>
            <w:tcBorders>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II</w:t>
            </w:r>
          </w:p>
        </w:tc>
        <w:tc>
          <w:tcPr>
            <w:tcW w:w="766" w:type="dxa"/>
            <w:tcBorders>
              <w:bottom w:val="single" w:sz="4" w:space="0" w:color="008080"/>
              <w:right w:val="single" w:sz="2"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III</w:t>
            </w:r>
          </w:p>
        </w:tc>
        <w:tc>
          <w:tcPr>
            <w:tcW w:w="822" w:type="dxa"/>
            <w:tcBorders>
              <w:top w:val="single" w:sz="2" w:space="0" w:color="auto"/>
              <w:left w:val="single" w:sz="2" w:space="0" w:color="008080"/>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w:t>
            </w:r>
          </w:p>
        </w:tc>
        <w:tc>
          <w:tcPr>
            <w:tcW w:w="766" w:type="dxa"/>
            <w:tcBorders>
              <w:top w:val="single" w:sz="2" w:space="0" w:color="auto"/>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II</w:t>
            </w:r>
          </w:p>
        </w:tc>
        <w:tc>
          <w:tcPr>
            <w:tcW w:w="821" w:type="dxa"/>
            <w:tcBorders>
              <w:top w:val="single" w:sz="2" w:space="0" w:color="auto"/>
              <w:bottom w:val="single" w:sz="4" w:space="0" w:color="008080"/>
              <w:right w:val="single" w:sz="2"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III</w:t>
            </w:r>
          </w:p>
        </w:tc>
        <w:tc>
          <w:tcPr>
            <w:tcW w:w="851" w:type="dxa"/>
            <w:tcBorders>
              <w:left w:val="single" w:sz="2" w:space="0" w:color="008080"/>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w:t>
            </w:r>
          </w:p>
        </w:tc>
        <w:tc>
          <w:tcPr>
            <w:tcW w:w="766" w:type="dxa"/>
            <w:tcBorders>
              <w:bottom w:val="single" w:sz="4" w:space="0" w:color="008080"/>
            </w:tcBorders>
            <w:shd w:val="clear" w:color="auto" w:fill="auto"/>
            <w:noWrap/>
            <w:vAlign w:val="center"/>
          </w:tcPr>
          <w:p w:rsidR="00B95BCA" w:rsidRPr="008B4021" w:rsidRDefault="00B95BCA" w:rsidP="00436A0D">
            <w:pPr>
              <w:jc w:val="center"/>
              <w:rPr>
                <w:b/>
                <w:color w:val="000000"/>
              </w:rPr>
            </w:pPr>
            <w:r w:rsidRPr="008B4021">
              <w:rPr>
                <w:b/>
                <w:color w:val="000000"/>
              </w:rPr>
              <w:t>II</w:t>
            </w:r>
          </w:p>
        </w:tc>
        <w:tc>
          <w:tcPr>
            <w:tcW w:w="766" w:type="dxa"/>
            <w:tcBorders>
              <w:bottom w:val="single" w:sz="4" w:space="0" w:color="008080"/>
              <w:right w:val="nil"/>
            </w:tcBorders>
            <w:shd w:val="clear" w:color="auto" w:fill="auto"/>
            <w:noWrap/>
            <w:vAlign w:val="center"/>
          </w:tcPr>
          <w:p w:rsidR="00B95BCA" w:rsidRPr="008B4021" w:rsidRDefault="00B95BCA" w:rsidP="00436A0D">
            <w:pPr>
              <w:jc w:val="center"/>
              <w:rPr>
                <w:b/>
                <w:color w:val="000000"/>
              </w:rPr>
            </w:pPr>
            <w:r w:rsidRPr="008B4021">
              <w:rPr>
                <w:b/>
                <w:color w:val="000000"/>
              </w:rPr>
              <w:t>III</w:t>
            </w: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val="restart"/>
            <w:tcBorders>
              <w:top w:val="single" w:sz="4" w:space="0" w:color="008080"/>
              <w:left w:val="nil"/>
              <w:right w:val="single" w:sz="8" w:space="0" w:color="008080"/>
            </w:tcBorders>
            <w:shd w:val="clear" w:color="auto" w:fill="auto"/>
            <w:vAlign w:val="center"/>
          </w:tcPr>
          <w:p w:rsidR="00B95BCA" w:rsidRDefault="00B95BCA" w:rsidP="00B95BCA">
            <w:pPr>
              <w:jc w:val="center"/>
              <w:rPr>
                <w:b/>
                <w:color w:val="000000"/>
              </w:rPr>
            </w:pPr>
            <w:r w:rsidRPr="008B4021">
              <w:rPr>
                <w:b/>
                <w:color w:val="000000"/>
              </w:rPr>
              <w:t>2006</w:t>
            </w:r>
          </w:p>
          <w:p w:rsidR="00B95BCA" w:rsidRPr="008B4021" w:rsidRDefault="00B95BCA" w:rsidP="00B95BCA">
            <w:pPr>
              <w:rPr>
                <w:color w:val="000000"/>
              </w:rPr>
            </w:pPr>
            <w:r>
              <w:rPr>
                <w:b/>
                <w:color w:val="000000"/>
              </w:rPr>
              <w:t>29 observações</w:t>
            </w:r>
          </w:p>
        </w:tc>
        <w:tc>
          <w:tcPr>
            <w:tcW w:w="1677" w:type="dxa"/>
            <w:tcBorders>
              <w:top w:val="single" w:sz="4" w:space="0" w:color="008080"/>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Média</w:t>
            </w:r>
          </w:p>
        </w:tc>
        <w:tc>
          <w:tcPr>
            <w:tcW w:w="792" w:type="dxa"/>
            <w:tcBorders>
              <w:top w:val="single" w:sz="4" w:space="0" w:color="008080"/>
              <w:left w:val="single" w:sz="8"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0,8079</w:t>
            </w:r>
          </w:p>
        </w:tc>
        <w:tc>
          <w:tcPr>
            <w:tcW w:w="851" w:type="dxa"/>
            <w:tcBorders>
              <w:top w:val="single" w:sz="4"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0,7750</w:t>
            </w:r>
          </w:p>
        </w:tc>
        <w:tc>
          <w:tcPr>
            <w:tcW w:w="766" w:type="dxa"/>
            <w:tcBorders>
              <w:top w:val="single" w:sz="4" w:space="0" w:color="008080"/>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0,8303</w:t>
            </w:r>
          </w:p>
        </w:tc>
        <w:tc>
          <w:tcPr>
            <w:tcW w:w="822" w:type="dxa"/>
            <w:tcBorders>
              <w:top w:val="single" w:sz="4" w:space="0" w:color="008080"/>
              <w:left w:val="single" w:sz="2" w:space="0" w:color="008080"/>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0,9258</w:t>
            </w:r>
          </w:p>
        </w:tc>
        <w:tc>
          <w:tcPr>
            <w:tcW w:w="766" w:type="dxa"/>
            <w:tcBorders>
              <w:top w:val="single" w:sz="4" w:space="0" w:color="008080"/>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0,9066</w:t>
            </w:r>
          </w:p>
        </w:tc>
        <w:tc>
          <w:tcPr>
            <w:tcW w:w="821" w:type="dxa"/>
            <w:tcBorders>
              <w:top w:val="single" w:sz="4" w:space="0" w:color="008080"/>
              <w:bottom w:val="nil"/>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0,9337</w:t>
            </w:r>
          </w:p>
        </w:tc>
        <w:tc>
          <w:tcPr>
            <w:tcW w:w="851" w:type="dxa"/>
            <w:tcBorders>
              <w:top w:val="single" w:sz="4" w:space="0" w:color="008080"/>
              <w:lef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0,7440</w:t>
            </w:r>
          </w:p>
        </w:tc>
        <w:tc>
          <w:tcPr>
            <w:tcW w:w="766" w:type="dxa"/>
            <w:tcBorders>
              <w:top w:val="single" w:sz="4"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0,7053</w:t>
            </w:r>
          </w:p>
        </w:tc>
        <w:tc>
          <w:tcPr>
            <w:tcW w:w="766" w:type="dxa"/>
            <w:tcBorders>
              <w:top w:val="single" w:sz="4" w:space="0" w:color="008080"/>
              <w:right w:val="nil"/>
            </w:tcBorders>
            <w:shd w:val="clear" w:color="auto" w:fill="auto"/>
            <w:noWrap/>
            <w:vAlign w:val="center"/>
            <w:hideMark/>
          </w:tcPr>
          <w:p w:rsidR="00B95BCA" w:rsidRPr="008B4021" w:rsidRDefault="00B95BCA" w:rsidP="00ED530B">
            <w:pPr>
              <w:jc w:val="center"/>
              <w:rPr>
                <w:color w:val="000000"/>
              </w:rPr>
            </w:pPr>
            <w:r w:rsidRPr="008B4021">
              <w:rPr>
                <w:color w:val="000000"/>
              </w:rPr>
              <w:t>0,7780</w:t>
            </w:r>
          </w:p>
        </w:tc>
      </w:tr>
      <w:tr w:rsidR="00B95BCA" w:rsidRPr="008B4021" w:rsidTr="00B95BCA">
        <w:trPr>
          <w:cnfStyle w:val="000000100000" w:firstRow="0" w:lastRow="0" w:firstColumn="0" w:lastColumn="0" w:oddVBand="0" w:evenVBand="0" w:oddHBand="1" w:evenHBand="0"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B95BCA">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Desvio-padrão</w:t>
            </w:r>
          </w:p>
        </w:tc>
        <w:tc>
          <w:tcPr>
            <w:tcW w:w="792" w:type="dxa"/>
            <w:tcBorders>
              <w:left w:val="single" w:sz="8"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0,1747</w:t>
            </w:r>
          </w:p>
        </w:tc>
        <w:tc>
          <w:tcPr>
            <w:tcW w:w="851" w:type="dxa"/>
            <w:shd w:val="clear" w:color="auto" w:fill="auto"/>
            <w:noWrap/>
            <w:vAlign w:val="center"/>
            <w:hideMark/>
          </w:tcPr>
          <w:p w:rsidR="00B95BCA" w:rsidRPr="008B4021" w:rsidRDefault="00B95BCA" w:rsidP="00ED530B">
            <w:pPr>
              <w:jc w:val="center"/>
              <w:rPr>
                <w:color w:val="000000"/>
              </w:rPr>
            </w:pPr>
            <w:r w:rsidRPr="008B4021">
              <w:rPr>
                <w:color w:val="000000"/>
              </w:rPr>
              <w:t>0,1678</w:t>
            </w:r>
          </w:p>
        </w:tc>
        <w:tc>
          <w:tcPr>
            <w:tcW w:w="766" w:type="dxa"/>
            <w:tcBorders>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0,1560</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0,0829</w:t>
            </w:r>
          </w:p>
        </w:tc>
        <w:tc>
          <w:tcPr>
            <w:tcW w:w="766" w:type="dxa"/>
            <w:tcBorders>
              <w:top w:val="nil"/>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0,1129</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0,0907</w:t>
            </w:r>
          </w:p>
        </w:tc>
        <w:tc>
          <w:tcPr>
            <w:tcW w:w="851" w:type="dxa"/>
            <w:tcBorders>
              <w:lef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0,1620</w:t>
            </w:r>
          </w:p>
        </w:tc>
        <w:tc>
          <w:tcPr>
            <w:tcW w:w="766" w:type="dxa"/>
            <w:shd w:val="clear" w:color="auto" w:fill="auto"/>
            <w:noWrap/>
            <w:vAlign w:val="center"/>
            <w:hideMark/>
          </w:tcPr>
          <w:p w:rsidR="00B95BCA" w:rsidRPr="008B4021" w:rsidRDefault="00B95BCA" w:rsidP="00ED530B">
            <w:pPr>
              <w:jc w:val="center"/>
              <w:rPr>
                <w:color w:val="000000"/>
              </w:rPr>
            </w:pPr>
            <w:r w:rsidRPr="008B4021">
              <w:rPr>
                <w:color w:val="000000"/>
              </w:rPr>
              <w:t>0,1852</w:t>
            </w:r>
          </w:p>
        </w:tc>
        <w:tc>
          <w:tcPr>
            <w:tcW w:w="766" w:type="dxa"/>
            <w:tcBorders>
              <w:right w:val="nil"/>
            </w:tcBorders>
            <w:shd w:val="clear" w:color="auto" w:fill="auto"/>
            <w:noWrap/>
            <w:vAlign w:val="center"/>
            <w:hideMark/>
          </w:tcPr>
          <w:p w:rsidR="00B95BCA" w:rsidRPr="008B4021" w:rsidRDefault="00B95BCA" w:rsidP="00ED530B">
            <w:pPr>
              <w:jc w:val="center"/>
              <w:rPr>
                <w:color w:val="000000"/>
              </w:rPr>
            </w:pPr>
            <w:r w:rsidRPr="008B4021">
              <w:rPr>
                <w:color w:val="000000"/>
              </w:rPr>
              <w:t>0,1736</w:t>
            </w: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Máximo</w:t>
            </w:r>
          </w:p>
        </w:tc>
        <w:tc>
          <w:tcPr>
            <w:tcW w:w="792" w:type="dxa"/>
            <w:tcBorders>
              <w:left w:val="single" w:sz="8"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851" w:type="dxa"/>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766" w:type="dxa"/>
            <w:tcBorders>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766" w:type="dxa"/>
            <w:tcBorders>
              <w:top w:val="nil"/>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851" w:type="dxa"/>
            <w:tcBorders>
              <w:lef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766" w:type="dxa"/>
            <w:shd w:val="clear" w:color="auto" w:fill="auto"/>
            <w:noWrap/>
            <w:vAlign w:val="center"/>
            <w:hideMark/>
          </w:tcPr>
          <w:p w:rsidR="00B95BCA" w:rsidRPr="008B4021" w:rsidRDefault="00B95BCA" w:rsidP="00ED530B">
            <w:pPr>
              <w:jc w:val="center"/>
              <w:rPr>
                <w:color w:val="000000"/>
              </w:rPr>
            </w:pPr>
            <w:r w:rsidRPr="008B4021">
              <w:rPr>
                <w:color w:val="000000"/>
              </w:rPr>
              <w:t>1,0000</w:t>
            </w:r>
          </w:p>
        </w:tc>
        <w:tc>
          <w:tcPr>
            <w:tcW w:w="766" w:type="dxa"/>
            <w:tcBorders>
              <w:right w:val="nil"/>
            </w:tcBorders>
            <w:shd w:val="clear" w:color="auto" w:fill="auto"/>
            <w:noWrap/>
            <w:vAlign w:val="center"/>
            <w:hideMark/>
          </w:tcPr>
          <w:p w:rsidR="00B95BCA" w:rsidRPr="008B4021" w:rsidRDefault="00B95BCA" w:rsidP="00ED530B">
            <w:pPr>
              <w:jc w:val="center"/>
              <w:rPr>
                <w:color w:val="000000"/>
              </w:rPr>
            </w:pPr>
            <w:r w:rsidRPr="008B4021">
              <w:rPr>
                <w:color w:val="000000"/>
              </w:rPr>
              <w:t>1,0000</w:t>
            </w:r>
          </w:p>
        </w:tc>
      </w:tr>
      <w:tr w:rsidR="00B95BCA" w:rsidRPr="008B4021" w:rsidTr="00B95BCA">
        <w:trPr>
          <w:cnfStyle w:val="000000100000" w:firstRow="0" w:lastRow="0" w:firstColumn="0" w:lastColumn="0" w:oddVBand="0" w:evenVBand="0" w:oddHBand="1" w:evenHBand="0"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Mínimo</w:t>
            </w:r>
          </w:p>
        </w:tc>
        <w:tc>
          <w:tcPr>
            <w:tcW w:w="792" w:type="dxa"/>
            <w:tcBorders>
              <w:left w:val="single" w:sz="8"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0,3908</w:t>
            </w:r>
          </w:p>
        </w:tc>
        <w:tc>
          <w:tcPr>
            <w:tcW w:w="851" w:type="dxa"/>
            <w:shd w:val="clear" w:color="auto" w:fill="auto"/>
            <w:noWrap/>
            <w:vAlign w:val="center"/>
            <w:hideMark/>
          </w:tcPr>
          <w:p w:rsidR="00B95BCA" w:rsidRPr="008B4021" w:rsidRDefault="00B95BCA" w:rsidP="00ED530B">
            <w:pPr>
              <w:jc w:val="center"/>
              <w:rPr>
                <w:color w:val="000000"/>
              </w:rPr>
            </w:pPr>
            <w:r w:rsidRPr="008B4021">
              <w:rPr>
                <w:color w:val="000000"/>
              </w:rPr>
              <w:t>0,5148</w:t>
            </w:r>
          </w:p>
        </w:tc>
        <w:tc>
          <w:tcPr>
            <w:tcW w:w="766" w:type="dxa"/>
            <w:tcBorders>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0,5215</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0,6310</w:t>
            </w:r>
          </w:p>
        </w:tc>
        <w:tc>
          <w:tcPr>
            <w:tcW w:w="766" w:type="dxa"/>
            <w:tcBorders>
              <w:top w:val="nil"/>
              <w:bottom w:val="nil"/>
            </w:tcBorders>
            <w:shd w:val="clear" w:color="auto" w:fill="auto"/>
            <w:noWrap/>
            <w:vAlign w:val="center"/>
            <w:hideMark/>
          </w:tcPr>
          <w:p w:rsidR="00B95BCA" w:rsidRPr="008B4021" w:rsidRDefault="00B95BCA" w:rsidP="00ED530B">
            <w:pPr>
              <w:jc w:val="center"/>
              <w:rPr>
                <w:color w:val="000000"/>
              </w:rPr>
            </w:pPr>
            <w:r w:rsidRPr="008B4021">
              <w:rPr>
                <w:color w:val="000000"/>
              </w:rPr>
              <w:t>0,5706</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0,6310</w:t>
            </w:r>
          </w:p>
        </w:tc>
        <w:tc>
          <w:tcPr>
            <w:tcW w:w="851" w:type="dxa"/>
            <w:tcBorders>
              <w:lef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0,3498</w:t>
            </w:r>
          </w:p>
        </w:tc>
        <w:tc>
          <w:tcPr>
            <w:tcW w:w="766" w:type="dxa"/>
            <w:shd w:val="clear" w:color="auto" w:fill="auto"/>
            <w:noWrap/>
            <w:vAlign w:val="center"/>
            <w:hideMark/>
          </w:tcPr>
          <w:p w:rsidR="00B95BCA" w:rsidRPr="008B4021" w:rsidRDefault="00B95BCA" w:rsidP="00ED530B">
            <w:pPr>
              <w:jc w:val="center"/>
              <w:rPr>
                <w:color w:val="000000"/>
              </w:rPr>
            </w:pPr>
            <w:r w:rsidRPr="008B4021">
              <w:rPr>
                <w:color w:val="000000"/>
              </w:rPr>
              <w:t>0,2976</w:t>
            </w:r>
          </w:p>
        </w:tc>
        <w:tc>
          <w:tcPr>
            <w:tcW w:w="766" w:type="dxa"/>
            <w:tcBorders>
              <w:right w:val="nil"/>
            </w:tcBorders>
            <w:shd w:val="clear" w:color="auto" w:fill="auto"/>
            <w:noWrap/>
            <w:vAlign w:val="center"/>
            <w:hideMark/>
          </w:tcPr>
          <w:p w:rsidR="00B95BCA" w:rsidRPr="008B4021" w:rsidRDefault="00B95BCA" w:rsidP="00ED530B">
            <w:pPr>
              <w:jc w:val="center"/>
              <w:rPr>
                <w:color w:val="000000"/>
              </w:rPr>
            </w:pPr>
            <w:r w:rsidRPr="008B4021">
              <w:rPr>
                <w:color w:val="000000"/>
              </w:rPr>
              <w:t>0,3498</w:t>
            </w: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tcBorders>
              <w:left w:val="nil"/>
              <w:bottom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proofErr w:type="spellStart"/>
            <w:r w:rsidRPr="008B4021">
              <w:rPr>
                <w:color w:val="000000"/>
              </w:rPr>
              <w:t>DMUs</w:t>
            </w:r>
            <w:proofErr w:type="spellEnd"/>
            <w:r w:rsidRPr="008B4021">
              <w:rPr>
                <w:color w:val="000000"/>
              </w:rPr>
              <w:t xml:space="preserve"> eficientes</w:t>
            </w:r>
          </w:p>
        </w:tc>
        <w:tc>
          <w:tcPr>
            <w:tcW w:w="792" w:type="dxa"/>
            <w:tcBorders>
              <w:left w:val="single" w:sz="8" w:space="0" w:color="008080"/>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9</w:t>
            </w:r>
            <w:proofErr w:type="gramEnd"/>
          </w:p>
        </w:tc>
        <w:tc>
          <w:tcPr>
            <w:tcW w:w="851" w:type="dxa"/>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9</w:t>
            </w:r>
            <w:proofErr w:type="gramEnd"/>
          </w:p>
        </w:tc>
        <w:tc>
          <w:tcPr>
            <w:tcW w:w="766" w:type="dxa"/>
            <w:tcBorders>
              <w:right w:val="single" w:sz="2" w:space="0" w:color="008080"/>
            </w:tcBorders>
            <w:shd w:val="clear" w:color="auto" w:fill="auto"/>
            <w:noWrap/>
            <w:vAlign w:val="center"/>
            <w:hideMark/>
          </w:tcPr>
          <w:p w:rsidR="00B95BCA" w:rsidRPr="008B4021" w:rsidRDefault="00B95BCA" w:rsidP="00ED530B">
            <w:pPr>
              <w:jc w:val="center"/>
              <w:rPr>
                <w:color w:val="000000"/>
              </w:rPr>
            </w:pPr>
            <w:r w:rsidRPr="008B4021">
              <w:rPr>
                <w:color w:val="000000"/>
              </w:rPr>
              <w:t>11</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3</w:t>
            </w:r>
            <w:proofErr w:type="gramEnd"/>
          </w:p>
        </w:tc>
        <w:tc>
          <w:tcPr>
            <w:tcW w:w="766" w:type="dxa"/>
            <w:tcBorders>
              <w:top w:val="nil"/>
              <w:bottom w:val="nil"/>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6</w:t>
            </w:r>
            <w:proofErr w:type="gramEnd"/>
          </w:p>
        </w:tc>
        <w:tc>
          <w:tcPr>
            <w:tcW w:w="821" w:type="dxa"/>
            <w:tcBorders>
              <w:top w:val="nil"/>
              <w:bottom w:val="nil"/>
              <w:right w:val="single" w:sz="2" w:space="0" w:color="008080"/>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7</w:t>
            </w:r>
            <w:proofErr w:type="gramEnd"/>
          </w:p>
        </w:tc>
        <w:tc>
          <w:tcPr>
            <w:tcW w:w="851" w:type="dxa"/>
            <w:tcBorders>
              <w:left w:val="single" w:sz="2" w:space="0" w:color="008080"/>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3</w:t>
            </w:r>
            <w:proofErr w:type="gramEnd"/>
          </w:p>
        </w:tc>
        <w:tc>
          <w:tcPr>
            <w:tcW w:w="766" w:type="dxa"/>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6</w:t>
            </w:r>
            <w:proofErr w:type="gramEnd"/>
          </w:p>
        </w:tc>
        <w:tc>
          <w:tcPr>
            <w:tcW w:w="766" w:type="dxa"/>
            <w:tcBorders>
              <w:right w:val="nil"/>
            </w:tcBorders>
            <w:shd w:val="clear" w:color="auto" w:fill="auto"/>
            <w:noWrap/>
            <w:vAlign w:val="center"/>
            <w:hideMark/>
          </w:tcPr>
          <w:p w:rsidR="00B95BCA" w:rsidRPr="008B4021" w:rsidRDefault="00B95BCA" w:rsidP="00ED530B">
            <w:pPr>
              <w:jc w:val="center"/>
              <w:rPr>
                <w:color w:val="000000"/>
              </w:rPr>
            </w:pPr>
            <w:proofErr w:type="gramStart"/>
            <w:r w:rsidRPr="008B4021">
              <w:rPr>
                <w:color w:val="000000"/>
              </w:rPr>
              <w:t>7</w:t>
            </w:r>
            <w:proofErr w:type="gramEnd"/>
          </w:p>
        </w:tc>
      </w:tr>
      <w:tr w:rsidR="00B95BCA" w:rsidRPr="00B95BCA" w:rsidTr="00B95BCA">
        <w:trPr>
          <w:cnfStyle w:val="000000100000" w:firstRow="0" w:lastRow="0" w:firstColumn="0" w:lastColumn="0" w:oddVBand="0" w:evenVBand="0" w:oddHBand="1" w:evenHBand="0" w:firstRowFirstColumn="0" w:firstRowLastColumn="0" w:lastRowFirstColumn="0" w:lastRowLastColumn="0"/>
          <w:trHeight w:val="20"/>
          <w:jc w:val="center"/>
        </w:trPr>
        <w:tc>
          <w:tcPr>
            <w:tcW w:w="1588" w:type="dxa"/>
            <w:tcBorders>
              <w:top w:val="nil"/>
              <w:left w:val="nil"/>
              <w:bottom w:val="nil"/>
              <w:right w:val="single" w:sz="8" w:space="0" w:color="008080"/>
            </w:tcBorders>
            <w:shd w:val="clear" w:color="auto" w:fill="BFBFBF" w:themeFill="background1" w:themeFillShade="BF"/>
          </w:tcPr>
          <w:p w:rsidR="00B95BCA" w:rsidRPr="00B95BCA" w:rsidRDefault="00B95BCA" w:rsidP="008B4021">
            <w:pPr>
              <w:rPr>
                <w:b/>
                <w:color w:val="000000"/>
                <w:sz w:val="4"/>
              </w:rPr>
            </w:pPr>
          </w:p>
        </w:tc>
        <w:tc>
          <w:tcPr>
            <w:tcW w:w="8878" w:type="dxa"/>
            <w:gridSpan w:val="10"/>
            <w:tcBorders>
              <w:top w:val="nil"/>
              <w:left w:val="nil"/>
              <w:bottom w:val="nil"/>
              <w:right w:val="single" w:sz="8" w:space="0" w:color="008080"/>
            </w:tcBorders>
            <w:shd w:val="clear" w:color="auto" w:fill="BFBFBF" w:themeFill="background1" w:themeFillShade="BF"/>
            <w:noWrap/>
            <w:vAlign w:val="center"/>
            <w:hideMark/>
          </w:tcPr>
          <w:p w:rsidR="00B95BCA" w:rsidRPr="00B95BCA" w:rsidRDefault="00B95BCA" w:rsidP="008B4021">
            <w:pPr>
              <w:rPr>
                <w:color w:val="000000"/>
                <w:sz w:val="4"/>
              </w:rPr>
            </w:pP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val="restart"/>
            <w:tcBorders>
              <w:top w:val="nil"/>
              <w:left w:val="nil"/>
              <w:right w:val="single" w:sz="8" w:space="0" w:color="008080"/>
            </w:tcBorders>
            <w:shd w:val="clear" w:color="auto" w:fill="auto"/>
            <w:vAlign w:val="center"/>
          </w:tcPr>
          <w:p w:rsidR="00B95BCA" w:rsidRDefault="00B95BCA" w:rsidP="00B95BCA">
            <w:pPr>
              <w:jc w:val="center"/>
              <w:rPr>
                <w:b/>
                <w:color w:val="000000"/>
              </w:rPr>
            </w:pPr>
            <w:r>
              <w:rPr>
                <w:b/>
                <w:color w:val="000000"/>
              </w:rPr>
              <w:t>2011</w:t>
            </w:r>
          </w:p>
          <w:p w:rsidR="00B95BCA" w:rsidRPr="008B4021" w:rsidRDefault="00B95BCA" w:rsidP="00B95BCA">
            <w:pPr>
              <w:jc w:val="center"/>
              <w:rPr>
                <w:color w:val="000000"/>
              </w:rPr>
            </w:pPr>
            <w:r>
              <w:rPr>
                <w:b/>
                <w:color w:val="000000"/>
              </w:rPr>
              <w:t>29 observações</w:t>
            </w: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Média</w:t>
            </w:r>
          </w:p>
        </w:tc>
        <w:tc>
          <w:tcPr>
            <w:tcW w:w="792" w:type="dxa"/>
            <w:tcBorders>
              <w:left w:val="single" w:sz="8"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0,7404</w:t>
            </w:r>
          </w:p>
        </w:tc>
        <w:tc>
          <w:tcPr>
            <w:tcW w:w="851" w:type="dxa"/>
            <w:shd w:val="clear" w:color="auto" w:fill="auto"/>
            <w:noWrap/>
            <w:vAlign w:val="center"/>
            <w:hideMark/>
          </w:tcPr>
          <w:p w:rsidR="00B95BCA" w:rsidRPr="008B4021" w:rsidRDefault="00B95BCA" w:rsidP="00A223BD">
            <w:pPr>
              <w:jc w:val="center"/>
              <w:rPr>
                <w:color w:val="000000"/>
              </w:rPr>
            </w:pPr>
            <w:r w:rsidRPr="008B4021">
              <w:rPr>
                <w:color w:val="000000"/>
              </w:rPr>
              <w:t>0,7878</w:t>
            </w:r>
          </w:p>
        </w:tc>
        <w:tc>
          <w:tcPr>
            <w:tcW w:w="766" w:type="dxa"/>
            <w:tcBorders>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0,8119</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0,9006</w:t>
            </w:r>
          </w:p>
        </w:tc>
        <w:tc>
          <w:tcPr>
            <w:tcW w:w="766" w:type="dxa"/>
            <w:tcBorders>
              <w:top w:val="nil"/>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0,8360</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0,8720</w:t>
            </w:r>
          </w:p>
        </w:tc>
        <w:tc>
          <w:tcPr>
            <w:tcW w:w="851" w:type="dxa"/>
            <w:tcBorders>
              <w:lef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0,6627</w:t>
            </w:r>
          </w:p>
        </w:tc>
        <w:tc>
          <w:tcPr>
            <w:tcW w:w="766" w:type="dxa"/>
            <w:shd w:val="clear" w:color="auto" w:fill="auto"/>
            <w:noWrap/>
            <w:vAlign w:val="center"/>
            <w:hideMark/>
          </w:tcPr>
          <w:p w:rsidR="00B95BCA" w:rsidRPr="008B4021" w:rsidRDefault="00B95BCA" w:rsidP="00A223BD">
            <w:pPr>
              <w:jc w:val="center"/>
              <w:rPr>
                <w:color w:val="000000"/>
              </w:rPr>
            </w:pPr>
            <w:r w:rsidRPr="008B4021">
              <w:rPr>
                <w:color w:val="000000"/>
              </w:rPr>
              <w:t>0,6583</w:t>
            </w:r>
          </w:p>
        </w:tc>
        <w:tc>
          <w:tcPr>
            <w:tcW w:w="766" w:type="dxa"/>
            <w:tcBorders>
              <w:right w:val="nil"/>
            </w:tcBorders>
            <w:shd w:val="clear" w:color="auto" w:fill="auto"/>
            <w:noWrap/>
            <w:vAlign w:val="center"/>
            <w:hideMark/>
          </w:tcPr>
          <w:p w:rsidR="00B95BCA" w:rsidRPr="008B4021" w:rsidRDefault="00B95BCA" w:rsidP="00A223BD">
            <w:pPr>
              <w:jc w:val="center"/>
              <w:rPr>
                <w:color w:val="000000"/>
              </w:rPr>
            </w:pPr>
            <w:r w:rsidRPr="008B4021">
              <w:rPr>
                <w:color w:val="000000"/>
              </w:rPr>
              <w:t>0,7081</w:t>
            </w:r>
          </w:p>
        </w:tc>
      </w:tr>
      <w:tr w:rsidR="00B95BCA" w:rsidRPr="008B4021" w:rsidTr="00B95BCA">
        <w:trPr>
          <w:cnfStyle w:val="000000100000" w:firstRow="0" w:lastRow="0" w:firstColumn="0" w:lastColumn="0" w:oddVBand="0" w:evenVBand="0" w:oddHBand="1" w:evenHBand="0"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Desvio-padrão</w:t>
            </w:r>
          </w:p>
        </w:tc>
        <w:tc>
          <w:tcPr>
            <w:tcW w:w="792" w:type="dxa"/>
            <w:tcBorders>
              <w:left w:val="single" w:sz="8"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0,1989</w:t>
            </w:r>
          </w:p>
        </w:tc>
        <w:tc>
          <w:tcPr>
            <w:tcW w:w="851" w:type="dxa"/>
            <w:shd w:val="clear" w:color="auto" w:fill="auto"/>
            <w:noWrap/>
            <w:vAlign w:val="center"/>
            <w:hideMark/>
          </w:tcPr>
          <w:p w:rsidR="00B95BCA" w:rsidRPr="008B4021" w:rsidRDefault="00B95BCA" w:rsidP="00A223BD">
            <w:pPr>
              <w:jc w:val="center"/>
              <w:rPr>
                <w:color w:val="000000"/>
              </w:rPr>
            </w:pPr>
            <w:r w:rsidRPr="008B4021">
              <w:rPr>
                <w:color w:val="000000"/>
              </w:rPr>
              <w:t>0,1850</w:t>
            </w:r>
          </w:p>
        </w:tc>
        <w:tc>
          <w:tcPr>
            <w:tcW w:w="766" w:type="dxa"/>
            <w:tcBorders>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0,1713</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0,0949</w:t>
            </w:r>
          </w:p>
        </w:tc>
        <w:tc>
          <w:tcPr>
            <w:tcW w:w="766" w:type="dxa"/>
            <w:tcBorders>
              <w:top w:val="nil"/>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0,1617</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0,1335</w:t>
            </w:r>
          </w:p>
        </w:tc>
        <w:tc>
          <w:tcPr>
            <w:tcW w:w="851" w:type="dxa"/>
            <w:tcBorders>
              <w:lef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0,1809</w:t>
            </w:r>
          </w:p>
        </w:tc>
        <w:tc>
          <w:tcPr>
            <w:tcW w:w="766" w:type="dxa"/>
            <w:shd w:val="clear" w:color="auto" w:fill="auto"/>
            <w:noWrap/>
            <w:vAlign w:val="center"/>
            <w:hideMark/>
          </w:tcPr>
          <w:p w:rsidR="00B95BCA" w:rsidRPr="008B4021" w:rsidRDefault="00B95BCA" w:rsidP="00A223BD">
            <w:pPr>
              <w:jc w:val="center"/>
              <w:rPr>
                <w:color w:val="000000"/>
              </w:rPr>
            </w:pPr>
            <w:r w:rsidRPr="008B4021">
              <w:rPr>
                <w:color w:val="000000"/>
              </w:rPr>
              <w:t>0,2076</w:t>
            </w:r>
          </w:p>
        </w:tc>
        <w:tc>
          <w:tcPr>
            <w:tcW w:w="766" w:type="dxa"/>
            <w:tcBorders>
              <w:right w:val="nil"/>
            </w:tcBorders>
            <w:shd w:val="clear" w:color="auto" w:fill="auto"/>
            <w:noWrap/>
            <w:vAlign w:val="center"/>
            <w:hideMark/>
          </w:tcPr>
          <w:p w:rsidR="00B95BCA" w:rsidRPr="008B4021" w:rsidRDefault="00B95BCA" w:rsidP="00A223BD">
            <w:pPr>
              <w:jc w:val="center"/>
              <w:rPr>
                <w:color w:val="000000"/>
              </w:rPr>
            </w:pPr>
            <w:r w:rsidRPr="008B4021">
              <w:rPr>
                <w:color w:val="000000"/>
              </w:rPr>
              <w:t>0,1919</w:t>
            </w: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Máximo</w:t>
            </w:r>
          </w:p>
        </w:tc>
        <w:tc>
          <w:tcPr>
            <w:tcW w:w="792" w:type="dxa"/>
            <w:tcBorders>
              <w:left w:val="single" w:sz="8"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851" w:type="dxa"/>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766" w:type="dxa"/>
            <w:tcBorders>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766" w:type="dxa"/>
            <w:tcBorders>
              <w:top w:val="nil"/>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851" w:type="dxa"/>
            <w:tcBorders>
              <w:lef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766" w:type="dxa"/>
            <w:shd w:val="clear" w:color="auto" w:fill="auto"/>
            <w:noWrap/>
            <w:vAlign w:val="center"/>
            <w:hideMark/>
          </w:tcPr>
          <w:p w:rsidR="00B95BCA" w:rsidRPr="008B4021" w:rsidRDefault="00B95BCA" w:rsidP="00A223BD">
            <w:pPr>
              <w:jc w:val="center"/>
              <w:rPr>
                <w:color w:val="000000"/>
              </w:rPr>
            </w:pPr>
            <w:r w:rsidRPr="008B4021">
              <w:rPr>
                <w:color w:val="000000"/>
              </w:rPr>
              <w:t>1,0000</w:t>
            </w:r>
          </w:p>
        </w:tc>
        <w:tc>
          <w:tcPr>
            <w:tcW w:w="766" w:type="dxa"/>
            <w:tcBorders>
              <w:right w:val="nil"/>
            </w:tcBorders>
            <w:shd w:val="clear" w:color="auto" w:fill="auto"/>
            <w:noWrap/>
            <w:vAlign w:val="center"/>
            <w:hideMark/>
          </w:tcPr>
          <w:p w:rsidR="00B95BCA" w:rsidRPr="008B4021" w:rsidRDefault="00B95BCA" w:rsidP="00A223BD">
            <w:pPr>
              <w:jc w:val="center"/>
              <w:rPr>
                <w:color w:val="000000"/>
              </w:rPr>
            </w:pPr>
            <w:r w:rsidRPr="008B4021">
              <w:rPr>
                <w:color w:val="000000"/>
              </w:rPr>
              <w:t>1,0000</w:t>
            </w:r>
          </w:p>
        </w:tc>
      </w:tr>
      <w:tr w:rsidR="00B95BCA" w:rsidRPr="008B4021" w:rsidTr="00B95BCA">
        <w:trPr>
          <w:cnfStyle w:val="000000100000" w:firstRow="0" w:lastRow="0" w:firstColumn="0" w:lastColumn="0" w:oddVBand="0" w:evenVBand="0" w:oddHBand="1" w:evenHBand="0" w:firstRowFirstColumn="0" w:firstRowLastColumn="0" w:lastRowFirstColumn="0" w:lastRowLastColumn="0"/>
          <w:trHeight w:val="227"/>
          <w:jc w:val="center"/>
        </w:trPr>
        <w:tc>
          <w:tcPr>
            <w:tcW w:w="1588" w:type="dxa"/>
            <w:vMerge/>
            <w:tcBorders>
              <w:left w:val="nil"/>
              <w:right w:val="single" w:sz="8" w:space="0" w:color="008080"/>
            </w:tcBorders>
            <w:shd w:val="clear" w:color="auto" w:fill="auto"/>
          </w:tcPr>
          <w:p w:rsidR="00B95BCA" w:rsidRPr="008B4021" w:rsidRDefault="00B95BCA" w:rsidP="00436A0D">
            <w:pPr>
              <w:rPr>
                <w:color w:val="000000"/>
              </w:rPr>
            </w:pPr>
          </w:p>
        </w:tc>
        <w:tc>
          <w:tcPr>
            <w:tcW w:w="1677" w:type="dxa"/>
            <w:tcBorders>
              <w:top w:val="nil"/>
              <w:left w:val="nil"/>
              <w:bottom w:val="nil"/>
              <w:right w:val="single" w:sz="8" w:space="0" w:color="008080"/>
            </w:tcBorders>
            <w:shd w:val="clear" w:color="auto" w:fill="auto"/>
            <w:noWrap/>
            <w:vAlign w:val="center"/>
            <w:hideMark/>
          </w:tcPr>
          <w:p w:rsidR="00B95BCA" w:rsidRPr="008B4021" w:rsidRDefault="00B95BCA" w:rsidP="00436A0D">
            <w:pPr>
              <w:rPr>
                <w:color w:val="000000"/>
              </w:rPr>
            </w:pPr>
            <w:r w:rsidRPr="008B4021">
              <w:rPr>
                <w:color w:val="000000"/>
              </w:rPr>
              <w:t>Mínimo</w:t>
            </w:r>
          </w:p>
        </w:tc>
        <w:tc>
          <w:tcPr>
            <w:tcW w:w="792" w:type="dxa"/>
            <w:tcBorders>
              <w:left w:val="single" w:sz="8"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0,4240</w:t>
            </w:r>
          </w:p>
        </w:tc>
        <w:tc>
          <w:tcPr>
            <w:tcW w:w="851" w:type="dxa"/>
            <w:shd w:val="clear" w:color="auto" w:fill="auto"/>
            <w:noWrap/>
            <w:vAlign w:val="center"/>
            <w:hideMark/>
          </w:tcPr>
          <w:p w:rsidR="00B95BCA" w:rsidRPr="008B4021" w:rsidRDefault="00B95BCA" w:rsidP="00A223BD">
            <w:pPr>
              <w:jc w:val="center"/>
              <w:rPr>
                <w:color w:val="000000"/>
              </w:rPr>
            </w:pPr>
            <w:r w:rsidRPr="008B4021">
              <w:rPr>
                <w:color w:val="000000"/>
              </w:rPr>
              <w:t>0,4907</w:t>
            </w:r>
          </w:p>
        </w:tc>
        <w:tc>
          <w:tcPr>
            <w:tcW w:w="766" w:type="dxa"/>
            <w:tcBorders>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0,5034</w:t>
            </w:r>
          </w:p>
        </w:tc>
        <w:tc>
          <w:tcPr>
            <w:tcW w:w="822" w:type="dxa"/>
            <w:tcBorders>
              <w:top w:val="nil"/>
              <w:left w:val="single" w:sz="2" w:space="0" w:color="008080"/>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0,6614</w:t>
            </w:r>
          </w:p>
        </w:tc>
        <w:tc>
          <w:tcPr>
            <w:tcW w:w="766" w:type="dxa"/>
            <w:tcBorders>
              <w:top w:val="nil"/>
              <w:bottom w:val="nil"/>
            </w:tcBorders>
            <w:shd w:val="clear" w:color="auto" w:fill="auto"/>
            <w:noWrap/>
            <w:vAlign w:val="center"/>
            <w:hideMark/>
          </w:tcPr>
          <w:p w:rsidR="00B95BCA" w:rsidRPr="008B4021" w:rsidRDefault="00B95BCA" w:rsidP="00A223BD">
            <w:pPr>
              <w:jc w:val="center"/>
              <w:rPr>
                <w:color w:val="000000"/>
              </w:rPr>
            </w:pPr>
            <w:r w:rsidRPr="008B4021">
              <w:rPr>
                <w:color w:val="000000"/>
              </w:rPr>
              <w:t>0,4321</w:t>
            </w:r>
          </w:p>
        </w:tc>
        <w:tc>
          <w:tcPr>
            <w:tcW w:w="821" w:type="dxa"/>
            <w:tcBorders>
              <w:top w:val="nil"/>
              <w:bottom w:val="nil"/>
              <w:righ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0,5458</w:t>
            </w:r>
          </w:p>
        </w:tc>
        <w:tc>
          <w:tcPr>
            <w:tcW w:w="851" w:type="dxa"/>
            <w:tcBorders>
              <w:left w:val="single" w:sz="2" w:space="0" w:color="008080"/>
            </w:tcBorders>
            <w:shd w:val="clear" w:color="auto" w:fill="auto"/>
            <w:noWrap/>
            <w:vAlign w:val="center"/>
            <w:hideMark/>
          </w:tcPr>
          <w:p w:rsidR="00B95BCA" w:rsidRPr="008B4021" w:rsidRDefault="00B95BCA" w:rsidP="00A223BD">
            <w:pPr>
              <w:jc w:val="center"/>
              <w:rPr>
                <w:color w:val="000000"/>
              </w:rPr>
            </w:pPr>
            <w:r w:rsidRPr="008B4021">
              <w:rPr>
                <w:color w:val="000000"/>
              </w:rPr>
              <w:t>0,3614</w:t>
            </w:r>
          </w:p>
        </w:tc>
        <w:tc>
          <w:tcPr>
            <w:tcW w:w="766" w:type="dxa"/>
            <w:shd w:val="clear" w:color="auto" w:fill="auto"/>
            <w:noWrap/>
            <w:vAlign w:val="center"/>
            <w:hideMark/>
          </w:tcPr>
          <w:p w:rsidR="00B95BCA" w:rsidRPr="008B4021" w:rsidRDefault="00B95BCA" w:rsidP="00A223BD">
            <w:pPr>
              <w:jc w:val="center"/>
              <w:rPr>
                <w:color w:val="000000"/>
              </w:rPr>
            </w:pPr>
            <w:r w:rsidRPr="008B4021">
              <w:rPr>
                <w:color w:val="000000"/>
              </w:rPr>
              <w:t>0,2861</w:t>
            </w:r>
          </w:p>
        </w:tc>
        <w:tc>
          <w:tcPr>
            <w:tcW w:w="766" w:type="dxa"/>
            <w:tcBorders>
              <w:right w:val="nil"/>
            </w:tcBorders>
            <w:shd w:val="clear" w:color="auto" w:fill="auto"/>
            <w:noWrap/>
            <w:vAlign w:val="center"/>
            <w:hideMark/>
          </w:tcPr>
          <w:p w:rsidR="00B95BCA" w:rsidRPr="008B4021" w:rsidRDefault="00B95BCA" w:rsidP="00A223BD">
            <w:pPr>
              <w:jc w:val="center"/>
              <w:rPr>
                <w:color w:val="000000"/>
              </w:rPr>
            </w:pPr>
            <w:r w:rsidRPr="008B4021">
              <w:rPr>
                <w:color w:val="000000"/>
              </w:rPr>
              <w:t>0,3614</w:t>
            </w:r>
          </w:p>
        </w:tc>
      </w:tr>
      <w:tr w:rsidR="00B95BCA" w:rsidRPr="008B4021" w:rsidTr="00B95BCA">
        <w:trPr>
          <w:cnfStyle w:val="000000010000" w:firstRow="0" w:lastRow="0" w:firstColumn="0" w:lastColumn="0" w:oddVBand="0" w:evenVBand="0" w:oddHBand="0" w:evenHBand="1" w:firstRowFirstColumn="0" w:firstRowLastColumn="0" w:lastRowFirstColumn="0" w:lastRowLastColumn="0"/>
          <w:trHeight w:val="227"/>
          <w:jc w:val="center"/>
        </w:trPr>
        <w:tc>
          <w:tcPr>
            <w:tcW w:w="1588" w:type="dxa"/>
            <w:vMerge/>
            <w:tcBorders>
              <w:left w:val="nil"/>
              <w:bottom w:val="single" w:sz="12" w:space="0" w:color="008080"/>
              <w:right w:val="single" w:sz="8" w:space="0" w:color="008080"/>
            </w:tcBorders>
          </w:tcPr>
          <w:p w:rsidR="00B95BCA" w:rsidRPr="008B4021" w:rsidRDefault="00B95BCA" w:rsidP="00436A0D">
            <w:pPr>
              <w:rPr>
                <w:color w:val="000000"/>
              </w:rPr>
            </w:pPr>
          </w:p>
        </w:tc>
        <w:tc>
          <w:tcPr>
            <w:tcW w:w="1677" w:type="dxa"/>
            <w:tcBorders>
              <w:top w:val="nil"/>
              <w:left w:val="nil"/>
              <w:bottom w:val="single" w:sz="12" w:space="0" w:color="008080"/>
              <w:right w:val="single" w:sz="8" w:space="0" w:color="008080"/>
            </w:tcBorders>
            <w:shd w:val="clear" w:color="auto" w:fill="auto"/>
            <w:noWrap/>
            <w:vAlign w:val="center"/>
            <w:hideMark/>
          </w:tcPr>
          <w:p w:rsidR="00B95BCA" w:rsidRPr="008B4021" w:rsidRDefault="00B95BCA" w:rsidP="00436A0D">
            <w:pPr>
              <w:rPr>
                <w:color w:val="000000"/>
              </w:rPr>
            </w:pPr>
            <w:proofErr w:type="spellStart"/>
            <w:r w:rsidRPr="008B4021">
              <w:rPr>
                <w:color w:val="000000"/>
              </w:rPr>
              <w:t>DMUs</w:t>
            </w:r>
            <w:proofErr w:type="spellEnd"/>
            <w:r w:rsidRPr="008B4021">
              <w:rPr>
                <w:color w:val="000000"/>
              </w:rPr>
              <w:t xml:space="preserve"> eficientes</w:t>
            </w:r>
          </w:p>
        </w:tc>
        <w:tc>
          <w:tcPr>
            <w:tcW w:w="792" w:type="dxa"/>
            <w:tcBorders>
              <w:left w:val="single" w:sz="8" w:space="0" w:color="008080"/>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7</w:t>
            </w:r>
            <w:proofErr w:type="gramEnd"/>
          </w:p>
        </w:tc>
        <w:tc>
          <w:tcPr>
            <w:tcW w:w="851" w:type="dxa"/>
            <w:tcBorders>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9</w:t>
            </w:r>
            <w:proofErr w:type="gramEnd"/>
          </w:p>
        </w:tc>
        <w:tc>
          <w:tcPr>
            <w:tcW w:w="766" w:type="dxa"/>
            <w:tcBorders>
              <w:bottom w:val="single" w:sz="12" w:space="0" w:color="008080"/>
              <w:right w:val="single" w:sz="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9</w:t>
            </w:r>
            <w:proofErr w:type="gramEnd"/>
          </w:p>
        </w:tc>
        <w:tc>
          <w:tcPr>
            <w:tcW w:w="822" w:type="dxa"/>
            <w:tcBorders>
              <w:top w:val="nil"/>
              <w:left w:val="single" w:sz="2" w:space="0" w:color="008080"/>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2</w:t>
            </w:r>
            <w:proofErr w:type="gramEnd"/>
          </w:p>
        </w:tc>
        <w:tc>
          <w:tcPr>
            <w:tcW w:w="766" w:type="dxa"/>
            <w:tcBorders>
              <w:top w:val="nil"/>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5</w:t>
            </w:r>
            <w:proofErr w:type="gramEnd"/>
          </w:p>
        </w:tc>
        <w:tc>
          <w:tcPr>
            <w:tcW w:w="821" w:type="dxa"/>
            <w:tcBorders>
              <w:top w:val="nil"/>
              <w:bottom w:val="single" w:sz="12" w:space="0" w:color="008080"/>
              <w:right w:val="single" w:sz="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5</w:t>
            </w:r>
            <w:proofErr w:type="gramEnd"/>
          </w:p>
        </w:tc>
        <w:tc>
          <w:tcPr>
            <w:tcW w:w="851" w:type="dxa"/>
            <w:tcBorders>
              <w:left w:val="single" w:sz="2" w:space="0" w:color="008080"/>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2</w:t>
            </w:r>
            <w:proofErr w:type="gramEnd"/>
          </w:p>
        </w:tc>
        <w:tc>
          <w:tcPr>
            <w:tcW w:w="766" w:type="dxa"/>
            <w:tcBorders>
              <w:bottom w:val="single" w:sz="12" w:space="0" w:color="008080"/>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5</w:t>
            </w:r>
            <w:proofErr w:type="gramEnd"/>
          </w:p>
        </w:tc>
        <w:tc>
          <w:tcPr>
            <w:tcW w:w="766" w:type="dxa"/>
            <w:tcBorders>
              <w:bottom w:val="single" w:sz="12" w:space="0" w:color="008080"/>
              <w:right w:val="nil"/>
            </w:tcBorders>
            <w:shd w:val="clear" w:color="auto" w:fill="auto"/>
            <w:noWrap/>
            <w:vAlign w:val="center"/>
            <w:hideMark/>
          </w:tcPr>
          <w:p w:rsidR="00B95BCA" w:rsidRPr="008B4021" w:rsidRDefault="00B95BCA" w:rsidP="00A223BD">
            <w:pPr>
              <w:jc w:val="center"/>
              <w:rPr>
                <w:color w:val="000000"/>
              </w:rPr>
            </w:pPr>
            <w:proofErr w:type="gramStart"/>
            <w:r w:rsidRPr="008B4021">
              <w:rPr>
                <w:color w:val="000000"/>
              </w:rPr>
              <w:t>5</w:t>
            </w:r>
            <w:proofErr w:type="gramEnd"/>
          </w:p>
        </w:tc>
      </w:tr>
    </w:tbl>
    <w:p w:rsidR="00AB0CF8" w:rsidRPr="00AB0CF8" w:rsidRDefault="00AB0CF8" w:rsidP="00311BDB">
      <w:pPr>
        <w:spacing w:after="0" w:line="240" w:lineRule="auto"/>
        <w:ind w:firstLine="708"/>
        <w:jc w:val="both"/>
        <w:outlineLvl w:val="0"/>
        <w:rPr>
          <w:rFonts w:ascii="Times New Roman" w:hAnsi="Times New Roman" w:cs="Times New Roman"/>
          <w:sz w:val="20"/>
        </w:rPr>
      </w:pPr>
      <w:r w:rsidRPr="00AB0CF8">
        <w:rPr>
          <w:rFonts w:ascii="Times New Roman" w:hAnsi="Times New Roman" w:cs="Times New Roman"/>
          <w:b/>
          <w:sz w:val="20"/>
        </w:rPr>
        <w:t>Fonte</w:t>
      </w:r>
      <w:r w:rsidRPr="00AB0CF8">
        <w:rPr>
          <w:rFonts w:ascii="Times New Roman" w:hAnsi="Times New Roman" w:cs="Times New Roman"/>
          <w:sz w:val="20"/>
        </w:rPr>
        <w:t>: Elaboração d</w:t>
      </w:r>
      <w:r w:rsidR="0020745E">
        <w:rPr>
          <w:rFonts w:ascii="Times New Roman" w:hAnsi="Times New Roman" w:cs="Times New Roman"/>
          <w:sz w:val="20"/>
        </w:rPr>
        <w:t>os autores</w:t>
      </w:r>
      <w:r w:rsidRPr="00AB0CF8">
        <w:rPr>
          <w:rFonts w:ascii="Times New Roman" w:hAnsi="Times New Roman" w:cs="Times New Roman"/>
          <w:sz w:val="20"/>
        </w:rPr>
        <w:t>.</w:t>
      </w:r>
    </w:p>
    <w:p w:rsidR="00AB0CF8" w:rsidRPr="00AB0CF8" w:rsidRDefault="00AB0CF8" w:rsidP="00AB0C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31E00" w:rsidRPr="000A0E12">
        <w:rPr>
          <w:rFonts w:ascii="Times New Roman" w:hAnsi="Times New Roman" w:cs="Times New Roman"/>
          <w:sz w:val="24"/>
          <w:szCs w:val="24"/>
        </w:rPr>
        <w:t xml:space="preserve">Analisando </w:t>
      </w:r>
      <w:r w:rsidR="00C8393A">
        <w:rPr>
          <w:rFonts w:ascii="Times New Roman" w:hAnsi="Times New Roman" w:cs="Times New Roman"/>
          <w:sz w:val="24"/>
          <w:szCs w:val="24"/>
        </w:rPr>
        <w:t>a ETP n</w:t>
      </w:r>
      <w:r w:rsidR="00231E00" w:rsidRPr="000A0E12">
        <w:rPr>
          <w:rFonts w:ascii="Times New Roman" w:hAnsi="Times New Roman" w:cs="Times New Roman"/>
          <w:sz w:val="24"/>
          <w:szCs w:val="24"/>
        </w:rPr>
        <w:t xml:space="preserve">os </w:t>
      </w:r>
      <w:r w:rsidR="005032F2" w:rsidRPr="000A0E12">
        <w:rPr>
          <w:rFonts w:ascii="Times New Roman" w:hAnsi="Times New Roman" w:cs="Times New Roman"/>
          <w:sz w:val="24"/>
          <w:szCs w:val="24"/>
        </w:rPr>
        <w:t xml:space="preserve">dois períodos, foram identificadas </w:t>
      </w:r>
      <w:proofErr w:type="gramStart"/>
      <w:r w:rsidR="000A0E12" w:rsidRPr="000A0E12">
        <w:rPr>
          <w:rFonts w:ascii="Times New Roman" w:hAnsi="Times New Roman" w:cs="Times New Roman"/>
          <w:sz w:val="24"/>
          <w:szCs w:val="24"/>
        </w:rPr>
        <w:t>9</w:t>
      </w:r>
      <w:proofErr w:type="gramEnd"/>
      <w:r w:rsidR="005032F2" w:rsidRPr="000A0E12">
        <w:rPr>
          <w:rFonts w:ascii="Times New Roman" w:hAnsi="Times New Roman" w:cs="Times New Roman"/>
          <w:sz w:val="24"/>
          <w:szCs w:val="24"/>
        </w:rPr>
        <w:t xml:space="preserve"> </w:t>
      </w:r>
      <w:proofErr w:type="spellStart"/>
      <w:r w:rsidR="005032F2" w:rsidRPr="000A0E12">
        <w:rPr>
          <w:rFonts w:ascii="Times New Roman" w:hAnsi="Times New Roman" w:cs="Times New Roman"/>
          <w:sz w:val="24"/>
          <w:szCs w:val="24"/>
        </w:rPr>
        <w:t>DMUs</w:t>
      </w:r>
      <w:proofErr w:type="spellEnd"/>
      <w:r w:rsidR="005032F2" w:rsidRPr="000A0E12">
        <w:rPr>
          <w:rFonts w:ascii="Times New Roman" w:hAnsi="Times New Roman" w:cs="Times New Roman"/>
          <w:sz w:val="24"/>
          <w:szCs w:val="24"/>
        </w:rPr>
        <w:t xml:space="preserve"> </w:t>
      </w:r>
      <w:r w:rsidRPr="000A0E12">
        <w:rPr>
          <w:rFonts w:ascii="Times New Roman" w:hAnsi="Times New Roman" w:cs="Times New Roman"/>
          <w:sz w:val="24"/>
          <w:szCs w:val="24"/>
        </w:rPr>
        <w:t xml:space="preserve">eficientes nos 3 modelos DEA, sendo que </w:t>
      </w:r>
      <w:r w:rsidR="000A0E12" w:rsidRPr="000A0E12">
        <w:rPr>
          <w:rFonts w:ascii="Times New Roman" w:hAnsi="Times New Roman" w:cs="Times New Roman"/>
          <w:sz w:val="24"/>
          <w:szCs w:val="24"/>
        </w:rPr>
        <w:t xml:space="preserve">CAGECE, DMAE, SABESP, SAERB e SANEPAR </w:t>
      </w:r>
      <w:r w:rsidRPr="000A0E12">
        <w:rPr>
          <w:rFonts w:ascii="Times New Roman" w:hAnsi="Times New Roman" w:cs="Times New Roman"/>
          <w:sz w:val="24"/>
          <w:szCs w:val="24"/>
        </w:rPr>
        <w:t xml:space="preserve">foram eficientes nos dois anos. </w:t>
      </w:r>
      <w:r w:rsidR="00C8393A">
        <w:rPr>
          <w:rFonts w:ascii="Times New Roman" w:hAnsi="Times New Roman" w:cs="Times New Roman"/>
          <w:sz w:val="24"/>
          <w:szCs w:val="24"/>
        </w:rPr>
        <w:t>Cabe</w:t>
      </w:r>
      <w:r w:rsidR="00096B4C">
        <w:rPr>
          <w:rFonts w:ascii="Times New Roman" w:hAnsi="Times New Roman" w:cs="Times New Roman"/>
          <w:sz w:val="24"/>
          <w:szCs w:val="24"/>
        </w:rPr>
        <w:t xml:space="preserve"> destacar as </w:t>
      </w:r>
      <w:proofErr w:type="spellStart"/>
      <w:r w:rsidR="00096B4C">
        <w:rPr>
          <w:rFonts w:ascii="Times New Roman" w:hAnsi="Times New Roman" w:cs="Times New Roman"/>
          <w:sz w:val="24"/>
          <w:szCs w:val="24"/>
        </w:rPr>
        <w:t>DMUs</w:t>
      </w:r>
      <w:proofErr w:type="spellEnd"/>
      <w:r w:rsidR="00096B4C">
        <w:rPr>
          <w:rFonts w:ascii="Times New Roman" w:hAnsi="Times New Roman" w:cs="Times New Roman"/>
          <w:sz w:val="24"/>
          <w:szCs w:val="24"/>
        </w:rPr>
        <w:t xml:space="preserve"> que permaneceram entre os 10 piores níve</w:t>
      </w:r>
      <w:r w:rsidR="005462AB">
        <w:rPr>
          <w:rFonts w:ascii="Times New Roman" w:hAnsi="Times New Roman" w:cs="Times New Roman"/>
          <w:sz w:val="24"/>
          <w:szCs w:val="24"/>
        </w:rPr>
        <w:t>is</w:t>
      </w:r>
      <w:r w:rsidR="00096B4C">
        <w:rPr>
          <w:rFonts w:ascii="Times New Roman" w:hAnsi="Times New Roman" w:cs="Times New Roman"/>
          <w:sz w:val="24"/>
          <w:szCs w:val="24"/>
        </w:rPr>
        <w:t xml:space="preserve"> de eficiência, independentemente d</w:t>
      </w:r>
      <w:r w:rsidR="00C8393A">
        <w:rPr>
          <w:rFonts w:ascii="Times New Roman" w:hAnsi="Times New Roman" w:cs="Times New Roman"/>
          <w:sz w:val="24"/>
          <w:szCs w:val="24"/>
        </w:rPr>
        <w:t>o modelo ou do período</w:t>
      </w:r>
      <w:r w:rsidR="00096B4C">
        <w:rPr>
          <w:rFonts w:ascii="Times New Roman" w:hAnsi="Times New Roman" w:cs="Times New Roman"/>
          <w:sz w:val="24"/>
          <w:szCs w:val="24"/>
        </w:rPr>
        <w:t>, são elas:</w:t>
      </w:r>
      <w:r w:rsidR="005462AB">
        <w:rPr>
          <w:rFonts w:ascii="Times New Roman" w:hAnsi="Times New Roman" w:cs="Times New Roman"/>
          <w:sz w:val="24"/>
          <w:szCs w:val="24"/>
        </w:rPr>
        <w:t xml:space="preserve"> </w:t>
      </w:r>
      <w:r w:rsidR="005462AB" w:rsidRPr="005462AB">
        <w:rPr>
          <w:rFonts w:ascii="Times New Roman" w:hAnsi="Times New Roman" w:cs="Times New Roman"/>
          <w:sz w:val="24"/>
          <w:szCs w:val="24"/>
        </w:rPr>
        <w:t>AGESPISA, CAESB, CAGEPA e DESO</w:t>
      </w:r>
      <w:r w:rsidR="005462AB">
        <w:rPr>
          <w:rFonts w:ascii="Times New Roman" w:hAnsi="Times New Roman" w:cs="Times New Roman"/>
          <w:sz w:val="24"/>
          <w:szCs w:val="24"/>
        </w:rPr>
        <w:t xml:space="preserve">. </w:t>
      </w:r>
      <w:r w:rsidR="00096B4C">
        <w:rPr>
          <w:rFonts w:ascii="Times New Roman" w:hAnsi="Times New Roman" w:cs="Times New Roman"/>
          <w:sz w:val="24"/>
          <w:szCs w:val="24"/>
        </w:rPr>
        <w:t xml:space="preserve"> </w:t>
      </w:r>
      <w:r w:rsidR="005462AB">
        <w:rPr>
          <w:rFonts w:ascii="Times New Roman" w:hAnsi="Times New Roman" w:cs="Times New Roman"/>
          <w:sz w:val="24"/>
          <w:szCs w:val="24"/>
        </w:rPr>
        <w:t>O</w:t>
      </w:r>
      <w:r w:rsidR="005462AB" w:rsidRPr="005462AB">
        <w:rPr>
          <w:rFonts w:ascii="Times New Roman" w:hAnsi="Times New Roman" w:cs="Times New Roman"/>
          <w:sz w:val="24"/>
          <w:szCs w:val="24"/>
        </w:rPr>
        <w:t xml:space="preserve"> nível mais baixo de ETP foi de 39,08%, atribuído à CAERD no DEA I para o ano de 2006.</w:t>
      </w:r>
      <w:r w:rsidR="00096B4C">
        <w:rPr>
          <w:rFonts w:ascii="Times New Roman" w:hAnsi="Times New Roman" w:cs="Times New Roman"/>
          <w:sz w:val="24"/>
          <w:szCs w:val="24"/>
        </w:rPr>
        <w:t xml:space="preserve"> </w:t>
      </w:r>
      <w:r w:rsidRPr="005462AB">
        <w:rPr>
          <w:rFonts w:ascii="Times New Roman" w:hAnsi="Times New Roman" w:cs="Times New Roman"/>
          <w:sz w:val="24"/>
          <w:szCs w:val="24"/>
        </w:rPr>
        <w:t xml:space="preserve">Os casos extremos quanto ao </w:t>
      </w:r>
      <w:r w:rsidRPr="00617612">
        <w:rPr>
          <w:rFonts w:ascii="Times New Roman" w:hAnsi="Times New Roman" w:cs="Times New Roman"/>
          <w:i/>
          <w:sz w:val="24"/>
          <w:szCs w:val="24"/>
        </w:rPr>
        <w:t>ranking</w:t>
      </w:r>
      <w:r w:rsidRPr="005462AB">
        <w:rPr>
          <w:rFonts w:ascii="Times New Roman" w:hAnsi="Times New Roman" w:cs="Times New Roman"/>
          <w:sz w:val="24"/>
          <w:szCs w:val="24"/>
        </w:rPr>
        <w:t xml:space="preserve"> ficam com os desempenhos da EMBASA e da CEDAE: a EMBASA foi eficiente nos </w:t>
      </w:r>
      <w:proofErr w:type="gramStart"/>
      <w:r w:rsidRPr="005462AB">
        <w:rPr>
          <w:rFonts w:ascii="Times New Roman" w:hAnsi="Times New Roman" w:cs="Times New Roman"/>
          <w:sz w:val="24"/>
          <w:szCs w:val="24"/>
        </w:rPr>
        <w:t>3</w:t>
      </w:r>
      <w:proofErr w:type="gramEnd"/>
      <w:r w:rsidRPr="005462AB">
        <w:rPr>
          <w:rFonts w:ascii="Times New Roman" w:hAnsi="Times New Roman" w:cs="Times New Roman"/>
          <w:sz w:val="24"/>
          <w:szCs w:val="24"/>
        </w:rPr>
        <w:t xml:space="preserve"> modelos em 2006, mas ficou fora da fronteira também nos 3 modelos em 2011; já </w:t>
      </w:r>
      <w:r w:rsidR="000D6CF5">
        <w:rPr>
          <w:rFonts w:ascii="Times New Roman" w:hAnsi="Times New Roman" w:cs="Times New Roman"/>
          <w:sz w:val="24"/>
          <w:szCs w:val="24"/>
        </w:rPr>
        <w:t xml:space="preserve">com </w:t>
      </w:r>
      <w:r w:rsidRPr="005462AB">
        <w:rPr>
          <w:rFonts w:ascii="Times New Roman" w:hAnsi="Times New Roman" w:cs="Times New Roman"/>
          <w:sz w:val="24"/>
          <w:szCs w:val="24"/>
        </w:rPr>
        <w:t>a CEDAE</w:t>
      </w:r>
      <w:r w:rsidR="000D6CF5">
        <w:rPr>
          <w:rFonts w:ascii="Times New Roman" w:hAnsi="Times New Roman" w:cs="Times New Roman"/>
          <w:sz w:val="24"/>
          <w:szCs w:val="24"/>
        </w:rPr>
        <w:t xml:space="preserve"> ocorreu o oposto</w:t>
      </w:r>
      <w:r w:rsidRPr="005462AB">
        <w:rPr>
          <w:rFonts w:ascii="Times New Roman" w:hAnsi="Times New Roman" w:cs="Times New Roman"/>
          <w:sz w:val="24"/>
          <w:szCs w:val="24"/>
        </w:rPr>
        <w:t>.</w:t>
      </w:r>
    </w:p>
    <w:p w:rsidR="00AB0CF8" w:rsidRDefault="000A1569" w:rsidP="000A1569">
      <w:pPr>
        <w:spacing w:after="0" w:line="240" w:lineRule="auto"/>
        <w:jc w:val="both"/>
        <w:rPr>
          <w:rFonts w:ascii="Times New Roman" w:hAnsi="Times New Roman" w:cs="Times New Roman"/>
          <w:sz w:val="24"/>
          <w:szCs w:val="24"/>
        </w:rPr>
      </w:pPr>
      <w:r w:rsidRPr="00617612">
        <w:rPr>
          <w:rFonts w:ascii="Times New Roman" w:hAnsi="Times New Roman" w:cs="Times New Roman"/>
          <w:sz w:val="24"/>
          <w:szCs w:val="24"/>
        </w:rPr>
        <w:tab/>
        <w:t xml:space="preserve">Concluída a análise geral dos resultados dos </w:t>
      </w:r>
      <w:proofErr w:type="gramStart"/>
      <w:r w:rsidRPr="00617612">
        <w:rPr>
          <w:rFonts w:ascii="Times New Roman" w:hAnsi="Times New Roman" w:cs="Times New Roman"/>
          <w:sz w:val="24"/>
          <w:szCs w:val="24"/>
        </w:rPr>
        <w:t>3</w:t>
      </w:r>
      <w:proofErr w:type="gramEnd"/>
      <w:r w:rsidRPr="00617612">
        <w:rPr>
          <w:rFonts w:ascii="Times New Roman" w:hAnsi="Times New Roman" w:cs="Times New Roman"/>
          <w:sz w:val="24"/>
          <w:szCs w:val="24"/>
        </w:rPr>
        <w:t xml:space="preserve"> modelos DEA, as próximas análises</w:t>
      </w:r>
      <w:r w:rsidR="00617612" w:rsidRPr="00617612">
        <w:rPr>
          <w:rFonts w:ascii="Times New Roman" w:hAnsi="Times New Roman" w:cs="Times New Roman"/>
          <w:sz w:val="24"/>
          <w:szCs w:val="24"/>
        </w:rPr>
        <w:t xml:space="preserve"> se baseiam no modelo DEA III. </w:t>
      </w:r>
      <w:r w:rsidRPr="00617612">
        <w:rPr>
          <w:rFonts w:ascii="Times New Roman" w:hAnsi="Times New Roman" w:cs="Times New Roman"/>
          <w:sz w:val="24"/>
          <w:szCs w:val="24"/>
        </w:rPr>
        <w:t xml:space="preserve">Conforme o disposto na Tabela </w:t>
      </w:r>
      <w:r w:rsidR="00617612">
        <w:rPr>
          <w:rFonts w:ascii="Times New Roman" w:hAnsi="Times New Roman" w:cs="Times New Roman"/>
          <w:sz w:val="24"/>
          <w:szCs w:val="24"/>
        </w:rPr>
        <w:t>3</w:t>
      </w:r>
      <w:r w:rsidRPr="00617612">
        <w:rPr>
          <w:rFonts w:ascii="Times New Roman" w:hAnsi="Times New Roman" w:cs="Times New Roman"/>
          <w:sz w:val="24"/>
          <w:szCs w:val="24"/>
        </w:rPr>
        <w:t xml:space="preserve">, tanto em 2006 como em 2011 os </w:t>
      </w:r>
      <w:r w:rsidRPr="000A1569">
        <w:rPr>
          <w:rFonts w:ascii="Times New Roman" w:hAnsi="Times New Roman" w:cs="Times New Roman"/>
          <w:sz w:val="24"/>
          <w:szCs w:val="24"/>
        </w:rPr>
        <w:t>prestadores da região Sudeste apresentaram um melhor desempenho em relação à ETP com médias de 95,47% e 9</w:t>
      </w:r>
      <w:r>
        <w:rPr>
          <w:rFonts w:ascii="Times New Roman" w:hAnsi="Times New Roman" w:cs="Times New Roman"/>
          <w:sz w:val="24"/>
          <w:szCs w:val="24"/>
        </w:rPr>
        <w:t>6</w:t>
      </w:r>
      <w:r w:rsidRPr="000A1569">
        <w:rPr>
          <w:rFonts w:ascii="Times New Roman" w:hAnsi="Times New Roman" w:cs="Times New Roman"/>
          <w:sz w:val="24"/>
          <w:szCs w:val="24"/>
        </w:rPr>
        <w:t>,</w:t>
      </w:r>
      <w:r>
        <w:rPr>
          <w:rFonts w:ascii="Times New Roman" w:hAnsi="Times New Roman" w:cs="Times New Roman"/>
          <w:sz w:val="24"/>
          <w:szCs w:val="24"/>
        </w:rPr>
        <w:t>74</w:t>
      </w:r>
      <w:r w:rsidRPr="000A1569">
        <w:rPr>
          <w:rFonts w:ascii="Times New Roman" w:hAnsi="Times New Roman" w:cs="Times New Roman"/>
          <w:sz w:val="24"/>
          <w:szCs w:val="24"/>
        </w:rPr>
        <w:t>%, respectivamente. A região que teve o desempenho mais baixo foi a Nordeste com média de ETP de 7</w:t>
      </w:r>
      <w:r>
        <w:rPr>
          <w:rFonts w:ascii="Times New Roman" w:hAnsi="Times New Roman" w:cs="Times New Roman"/>
          <w:sz w:val="24"/>
          <w:szCs w:val="24"/>
        </w:rPr>
        <w:t>7</w:t>
      </w:r>
      <w:r w:rsidRPr="000A1569">
        <w:rPr>
          <w:rFonts w:ascii="Times New Roman" w:hAnsi="Times New Roman" w:cs="Times New Roman"/>
          <w:sz w:val="24"/>
          <w:szCs w:val="24"/>
        </w:rPr>
        <w:t>,</w:t>
      </w:r>
      <w:r>
        <w:rPr>
          <w:rFonts w:ascii="Times New Roman" w:hAnsi="Times New Roman" w:cs="Times New Roman"/>
          <w:sz w:val="24"/>
          <w:szCs w:val="24"/>
        </w:rPr>
        <w:t>03</w:t>
      </w:r>
      <w:r w:rsidRPr="000A1569">
        <w:rPr>
          <w:rFonts w:ascii="Times New Roman" w:hAnsi="Times New Roman" w:cs="Times New Roman"/>
          <w:sz w:val="24"/>
          <w:szCs w:val="24"/>
        </w:rPr>
        <w:t>% em 2006 e 7</w:t>
      </w:r>
      <w:r>
        <w:rPr>
          <w:rFonts w:ascii="Times New Roman" w:hAnsi="Times New Roman" w:cs="Times New Roman"/>
          <w:sz w:val="24"/>
          <w:szCs w:val="24"/>
        </w:rPr>
        <w:t>2</w:t>
      </w:r>
      <w:r w:rsidRPr="000A1569">
        <w:rPr>
          <w:rFonts w:ascii="Times New Roman" w:hAnsi="Times New Roman" w:cs="Times New Roman"/>
          <w:sz w:val="24"/>
          <w:szCs w:val="24"/>
        </w:rPr>
        <w:t>,</w:t>
      </w:r>
      <w:r>
        <w:rPr>
          <w:rFonts w:ascii="Times New Roman" w:hAnsi="Times New Roman" w:cs="Times New Roman"/>
          <w:sz w:val="24"/>
          <w:szCs w:val="24"/>
        </w:rPr>
        <w:t>18</w:t>
      </w:r>
      <w:r w:rsidRPr="000A1569">
        <w:rPr>
          <w:rFonts w:ascii="Times New Roman" w:hAnsi="Times New Roman" w:cs="Times New Roman"/>
          <w:sz w:val="24"/>
          <w:szCs w:val="24"/>
        </w:rPr>
        <w:t>% em 2011</w:t>
      </w:r>
      <w:r w:rsidR="00D06CDF">
        <w:rPr>
          <w:rFonts w:ascii="Times New Roman" w:hAnsi="Times New Roman" w:cs="Times New Roman"/>
          <w:sz w:val="24"/>
          <w:szCs w:val="24"/>
        </w:rPr>
        <w:t xml:space="preserve">, indicando </w:t>
      </w:r>
      <w:r w:rsidR="00D06CDF" w:rsidRPr="000A1569">
        <w:rPr>
          <w:rFonts w:ascii="Times New Roman" w:hAnsi="Times New Roman" w:cs="Times New Roman"/>
          <w:sz w:val="24"/>
          <w:szCs w:val="24"/>
        </w:rPr>
        <w:t xml:space="preserve">que, </w:t>
      </w:r>
      <w:r w:rsidR="00D06CDF">
        <w:rPr>
          <w:rFonts w:ascii="Times New Roman" w:hAnsi="Times New Roman" w:cs="Times New Roman"/>
          <w:sz w:val="24"/>
          <w:szCs w:val="24"/>
        </w:rPr>
        <w:t>no ano de 2011</w:t>
      </w:r>
      <w:r w:rsidR="00D06CDF" w:rsidRPr="000A1569">
        <w:rPr>
          <w:rFonts w:ascii="Times New Roman" w:hAnsi="Times New Roman" w:cs="Times New Roman"/>
          <w:sz w:val="24"/>
          <w:szCs w:val="24"/>
        </w:rPr>
        <w:t xml:space="preserve">, o prestador médio do Nordeste poderia </w:t>
      </w:r>
      <w:r w:rsidR="00D06CDF">
        <w:rPr>
          <w:rFonts w:ascii="Times New Roman" w:hAnsi="Times New Roman" w:cs="Times New Roman"/>
          <w:sz w:val="24"/>
          <w:szCs w:val="24"/>
        </w:rPr>
        <w:t>reduzir seus insumos</w:t>
      </w:r>
      <w:r w:rsidR="00D06CDF" w:rsidRPr="000A1569">
        <w:rPr>
          <w:rFonts w:ascii="Times New Roman" w:hAnsi="Times New Roman" w:cs="Times New Roman"/>
          <w:sz w:val="24"/>
          <w:szCs w:val="24"/>
        </w:rPr>
        <w:t>, proporcionalmente, em 2</w:t>
      </w:r>
      <w:r w:rsidR="00D06CDF">
        <w:rPr>
          <w:rFonts w:ascii="Times New Roman" w:hAnsi="Times New Roman" w:cs="Times New Roman"/>
          <w:sz w:val="24"/>
          <w:szCs w:val="24"/>
        </w:rPr>
        <w:t>7</w:t>
      </w:r>
      <w:r w:rsidR="00D06CDF" w:rsidRPr="000A1569">
        <w:rPr>
          <w:rFonts w:ascii="Times New Roman" w:hAnsi="Times New Roman" w:cs="Times New Roman"/>
          <w:sz w:val="24"/>
          <w:szCs w:val="24"/>
        </w:rPr>
        <w:t>,</w:t>
      </w:r>
      <w:r w:rsidR="00D06CDF">
        <w:rPr>
          <w:rFonts w:ascii="Times New Roman" w:hAnsi="Times New Roman" w:cs="Times New Roman"/>
          <w:sz w:val="24"/>
          <w:szCs w:val="24"/>
        </w:rPr>
        <w:t>82</w:t>
      </w:r>
      <w:r w:rsidR="00D06CDF" w:rsidRPr="000A1569">
        <w:rPr>
          <w:rFonts w:ascii="Times New Roman" w:hAnsi="Times New Roman" w:cs="Times New Roman"/>
          <w:sz w:val="24"/>
          <w:szCs w:val="24"/>
        </w:rPr>
        <w:t xml:space="preserve">% gerando a mesma </w:t>
      </w:r>
      <w:r w:rsidR="00D06CDF">
        <w:rPr>
          <w:rFonts w:ascii="Times New Roman" w:hAnsi="Times New Roman" w:cs="Times New Roman"/>
          <w:sz w:val="24"/>
          <w:szCs w:val="24"/>
        </w:rPr>
        <w:t>quantidade de produtos.</w:t>
      </w:r>
      <w:r w:rsidR="00D06CDF" w:rsidRPr="0074750F">
        <w:rPr>
          <w:rFonts w:ascii="Times New Roman" w:hAnsi="Times New Roman" w:cs="Times New Roman"/>
          <w:sz w:val="24"/>
          <w:szCs w:val="24"/>
        </w:rPr>
        <w:t xml:space="preserve"> Os estudos de Carmo e Távora Junior (2003) e Sato (2011) também </w:t>
      </w:r>
      <w:r w:rsidR="00D06CDF" w:rsidRPr="00FE159C">
        <w:rPr>
          <w:rFonts w:ascii="Times New Roman" w:hAnsi="Times New Roman" w:cs="Times New Roman"/>
          <w:sz w:val="24"/>
          <w:szCs w:val="24"/>
        </w:rPr>
        <w:t>apontaram a região Sudeste como mais eficiente e a região Nordeste com n</w:t>
      </w:r>
      <w:r w:rsidR="00D06CDF">
        <w:rPr>
          <w:rFonts w:ascii="Times New Roman" w:hAnsi="Times New Roman" w:cs="Times New Roman"/>
          <w:sz w:val="24"/>
          <w:szCs w:val="24"/>
        </w:rPr>
        <w:t>íveis mais baixos de eficiência</w:t>
      </w:r>
      <w:r w:rsidR="00617612">
        <w:rPr>
          <w:rFonts w:ascii="Times New Roman" w:hAnsi="Times New Roman" w:cs="Times New Roman"/>
          <w:sz w:val="24"/>
          <w:szCs w:val="24"/>
        </w:rPr>
        <w:t>.</w:t>
      </w:r>
      <w:r w:rsidRPr="000A1569">
        <w:rPr>
          <w:rFonts w:ascii="Times New Roman" w:hAnsi="Times New Roman" w:cs="Times New Roman"/>
          <w:sz w:val="24"/>
          <w:szCs w:val="24"/>
        </w:rPr>
        <w:t xml:space="preserve"> </w:t>
      </w:r>
    </w:p>
    <w:p w:rsidR="008C557F" w:rsidRDefault="008C557F" w:rsidP="000A1569">
      <w:pPr>
        <w:spacing w:after="0" w:line="240" w:lineRule="auto"/>
        <w:jc w:val="both"/>
        <w:rPr>
          <w:rFonts w:ascii="Times New Roman" w:hAnsi="Times New Roman" w:cs="Times New Roman"/>
          <w:sz w:val="24"/>
          <w:szCs w:val="24"/>
        </w:rPr>
      </w:pPr>
    </w:p>
    <w:p w:rsidR="008C557F" w:rsidRPr="004A5090" w:rsidRDefault="008C557F" w:rsidP="005B651D">
      <w:pPr>
        <w:pStyle w:val="Legenda"/>
        <w:jc w:val="both"/>
        <w:rPr>
          <w:b w:val="0"/>
          <w:sz w:val="24"/>
        </w:rPr>
      </w:pPr>
      <w:r w:rsidRPr="004A5090">
        <w:rPr>
          <w:sz w:val="24"/>
        </w:rPr>
        <w:t xml:space="preserve">Tabela </w:t>
      </w:r>
      <w:r>
        <w:rPr>
          <w:sz w:val="24"/>
        </w:rPr>
        <w:t>3</w:t>
      </w:r>
      <w:r w:rsidRPr="004A5090">
        <w:rPr>
          <w:sz w:val="24"/>
        </w:rPr>
        <w:t xml:space="preserve"> </w:t>
      </w:r>
      <w:proofErr w:type="gramStart"/>
      <w:r w:rsidRPr="004A5090">
        <w:rPr>
          <w:sz w:val="24"/>
        </w:rPr>
        <w:t>–</w:t>
      </w:r>
      <w:r w:rsidRPr="004A5090">
        <w:rPr>
          <w:b w:val="0"/>
          <w:sz w:val="24"/>
        </w:rPr>
        <w:t>ETP</w:t>
      </w:r>
      <w:proofErr w:type="gramEnd"/>
      <w:r w:rsidRPr="004A5090">
        <w:rPr>
          <w:b w:val="0"/>
          <w:sz w:val="24"/>
        </w:rPr>
        <w:t xml:space="preserve"> dos prestadores de SAA e SES por </w:t>
      </w:r>
      <w:r>
        <w:rPr>
          <w:b w:val="0"/>
          <w:sz w:val="24"/>
        </w:rPr>
        <w:t xml:space="preserve">região, </w:t>
      </w:r>
      <w:r w:rsidR="005B651D">
        <w:rPr>
          <w:b w:val="0"/>
          <w:sz w:val="24"/>
        </w:rPr>
        <w:t>abrangência e</w:t>
      </w:r>
      <w:r w:rsidRPr="004A5090">
        <w:rPr>
          <w:b w:val="0"/>
          <w:sz w:val="24"/>
        </w:rPr>
        <w:t xml:space="preserve"> propriedade</w:t>
      </w:r>
      <w:r>
        <w:rPr>
          <w:b w:val="0"/>
          <w:sz w:val="24"/>
        </w:rPr>
        <w:t>.</w:t>
      </w:r>
    </w:p>
    <w:tbl>
      <w:tblPr>
        <w:tblStyle w:val="Tabelaemlista1"/>
        <w:tblW w:w="6797" w:type="dxa"/>
        <w:jc w:val="center"/>
        <w:tblLook w:val="04A0" w:firstRow="1" w:lastRow="0" w:firstColumn="1" w:lastColumn="0" w:noHBand="0" w:noVBand="1"/>
      </w:tblPr>
      <w:tblGrid>
        <w:gridCol w:w="1585"/>
        <w:gridCol w:w="805"/>
        <w:gridCol w:w="2003"/>
        <w:gridCol w:w="1140"/>
        <w:gridCol w:w="1264"/>
      </w:tblGrid>
      <w:tr w:rsidR="008C557F" w:rsidRPr="008C557F" w:rsidTr="008C557F">
        <w:trPr>
          <w:cnfStyle w:val="100000000000" w:firstRow="1" w:lastRow="0" w:firstColumn="0" w:lastColumn="0" w:oddVBand="0" w:evenVBand="0" w:oddHBand="0" w:evenHBand="0" w:firstRowFirstColumn="0" w:firstRowLastColumn="0" w:lastRowFirstColumn="0" w:lastRowLastColumn="0"/>
          <w:trHeight w:val="227"/>
          <w:jc w:val="center"/>
        </w:trPr>
        <w:tc>
          <w:tcPr>
            <w:tcW w:w="1585" w:type="dxa"/>
            <w:vMerge w:val="restart"/>
            <w:tcBorders>
              <w:top w:val="single" w:sz="12" w:space="0" w:color="008080"/>
              <w:left w:val="nil"/>
            </w:tcBorders>
            <w:shd w:val="clear" w:color="auto" w:fill="auto"/>
            <w:noWrap/>
            <w:vAlign w:val="center"/>
            <w:hideMark/>
          </w:tcPr>
          <w:p w:rsidR="008C557F" w:rsidRPr="008C557F" w:rsidRDefault="008C557F" w:rsidP="008C557F">
            <w:pPr>
              <w:jc w:val="center"/>
              <w:rPr>
                <w:i w:val="0"/>
                <w:color w:val="000000"/>
              </w:rPr>
            </w:pPr>
          </w:p>
        </w:tc>
        <w:tc>
          <w:tcPr>
            <w:tcW w:w="2808" w:type="dxa"/>
            <w:gridSpan w:val="2"/>
            <w:tcBorders>
              <w:top w:val="single" w:sz="12" w:space="0" w:color="008080"/>
            </w:tcBorders>
            <w:shd w:val="clear" w:color="auto" w:fill="auto"/>
            <w:noWrap/>
            <w:vAlign w:val="center"/>
            <w:hideMark/>
          </w:tcPr>
          <w:p w:rsidR="008C557F" w:rsidRPr="008C557F" w:rsidRDefault="008C557F" w:rsidP="008C557F">
            <w:pPr>
              <w:jc w:val="center"/>
              <w:rPr>
                <w:i w:val="0"/>
                <w:color w:val="000000"/>
              </w:rPr>
            </w:pPr>
            <w:r w:rsidRPr="008C557F">
              <w:rPr>
                <w:bCs w:val="0"/>
                <w:i w:val="0"/>
                <w:color w:val="000000"/>
              </w:rPr>
              <w:t>Prestadores de SAA e SES</w:t>
            </w:r>
          </w:p>
        </w:tc>
        <w:tc>
          <w:tcPr>
            <w:tcW w:w="2404" w:type="dxa"/>
            <w:gridSpan w:val="2"/>
            <w:tcBorders>
              <w:top w:val="single" w:sz="12" w:space="0" w:color="008080"/>
              <w:right w:val="nil"/>
            </w:tcBorders>
            <w:shd w:val="clear" w:color="auto" w:fill="auto"/>
            <w:noWrap/>
            <w:vAlign w:val="center"/>
            <w:hideMark/>
          </w:tcPr>
          <w:p w:rsidR="008C557F" w:rsidRPr="008C557F" w:rsidRDefault="008C557F" w:rsidP="008C557F">
            <w:pPr>
              <w:jc w:val="center"/>
              <w:rPr>
                <w:i w:val="0"/>
                <w:color w:val="000000"/>
              </w:rPr>
            </w:pPr>
            <w:r w:rsidRPr="008C557F">
              <w:rPr>
                <w:bCs w:val="0"/>
                <w:i w:val="0"/>
                <w:color w:val="000000"/>
              </w:rPr>
              <w:t>Média ETP – DEA III</w:t>
            </w: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vMerge/>
            <w:tcBorders>
              <w:left w:val="nil"/>
            </w:tcBorders>
            <w:shd w:val="clear" w:color="auto" w:fill="auto"/>
            <w:hideMark/>
          </w:tcPr>
          <w:p w:rsidR="008C557F" w:rsidRPr="008C557F" w:rsidRDefault="008C557F" w:rsidP="008C557F">
            <w:pPr>
              <w:rPr>
                <w:b/>
                <w:bCs/>
                <w:color w:val="000000"/>
              </w:rPr>
            </w:pPr>
          </w:p>
        </w:tc>
        <w:tc>
          <w:tcPr>
            <w:tcW w:w="805" w:type="dxa"/>
            <w:shd w:val="clear" w:color="auto" w:fill="auto"/>
            <w:noWrap/>
            <w:hideMark/>
          </w:tcPr>
          <w:p w:rsidR="008C557F" w:rsidRPr="008C557F" w:rsidRDefault="008C557F" w:rsidP="008C557F">
            <w:pPr>
              <w:jc w:val="center"/>
              <w:rPr>
                <w:b/>
                <w:bCs/>
                <w:color w:val="000000"/>
              </w:rPr>
            </w:pPr>
            <w:r w:rsidRPr="008C557F">
              <w:rPr>
                <w:b/>
                <w:bCs/>
                <w:color w:val="000000"/>
              </w:rPr>
              <w:t>Nº</w:t>
            </w:r>
          </w:p>
        </w:tc>
        <w:tc>
          <w:tcPr>
            <w:tcW w:w="2003" w:type="dxa"/>
            <w:shd w:val="clear" w:color="auto" w:fill="auto"/>
            <w:noWrap/>
            <w:hideMark/>
          </w:tcPr>
          <w:p w:rsidR="008C557F" w:rsidRPr="008C557F" w:rsidRDefault="008C557F" w:rsidP="008C557F">
            <w:pPr>
              <w:jc w:val="center"/>
              <w:rPr>
                <w:b/>
                <w:bCs/>
                <w:color w:val="000000"/>
              </w:rPr>
            </w:pPr>
            <w:r w:rsidRPr="008C557F">
              <w:rPr>
                <w:b/>
                <w:bCs/>
                <w:color w:val="000000"/>
              </w:rPr>
              <w:t>% da amostra</w:t>
            </w:r>
          </w:p>
        </w:tc>
        <w:tc>
          <w:tcPr>
            <w:tcW w:w="1140" w:type="dxa"/>
            <w:shd w:val="clear" w:color="auto" w:fill="auto"/>
            <w:noWrap/>
            <w:hideMark/>
          </w:tcPr>
          <w:p w:rsidR="008C557F" w:rsidRPr="008C557F" w:rsidRDefault="008C557F" w:rsidP="008C557F">
            <w:pPr>
              <w:jc w:val="center"/>
              <w:rPr>
                <w:b/>
                <w:bCs/>
                <w:color w:val="000000"/>
              </w:rPr>
            </w:pPr>
            <w:r w:rsidRPr="008C557F">
              <w:rPr>
                <w:b/>
                <w:bCs/>
                <w:color w:val="000000"/>
              </w:rPr>
              <w:t>2006</w:t>
            </w:r>
          </w:p>
        </w:tc>
        <w:tc>
          <w:tcPr>
            <w:tcW w:w="1264" w:type="dxa"/>
            <w:tcBorders>
              <w:right w:val="nil"/>
            </w:tcBorders>
            <w:shd w:val="clear" w:color="auto" w:fill="auto"/>
            <w:noWrap/>
            <w:hideMark/>
          </w:tcPr>
          <w:p w:rsidR="008C557F" w:rsidRPr="008C557F" w:rsidRDefault="008C557F" w:rsidP="008C557F">
            <w:pPr>
              <w:jc w:val="center"/>
              <w:rPr>
                <w:b/>
                <w:bCs/>
                <w:color w:val="000000"/>
              </w:rPr>
            </w:pPr>
            <w:r w:rsidRPr="008C557F">
              <w:rPr>
                <w:b/>
                <w:bCs/>
                <w:color w:val="000000"/>
              </w:rPr>
              <w:t>2011</w:t>
            </w: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BFBFBF" w:themeFill="background1" w:themeFillShade="BF"/>
          </w:tcPr>
          <w:p w:rsidR="008C557F" w:rsidRPr="008C557F" w:rsidRDefault="008C557F" w:rsidP="008C557F">
            <w:pPr>
              <w:rPr>
                <w:b/>
                <w:bCs/>
                <w:color w:val="000000"/>
              </w:rPr>
            </w:pPr>
            <w:r w:rsidRPr="008C557F">
              <w:rPr>
                <w:b/>
                <w:bCs/>
                <w:color w:val="000000"/>
              </w:rPr>
              <w:t>Região</w:t>
            </w:r>
          </w:p>
        </w:tc>
        <w:tc>
          <w:tcPr>
            <w:tcW w:w="805" w:type="dxa"/>
            <w:shd w:val="clear" w:color="auto" w:fill="BFBFBF" w:themeFill="background1" w:themeFillShade="BF"/>
            <w:noWrap/>
          </w:tcPr>
          <w:p w:rsidR="008C557F" w:rsidRPr="008C557F" w:rsidRDefault="008C557F" w:rsidP="008C557F">
            <w:pPr>
              <w:rPr>
                <w:b/>
                <w:bCs/>
                <w:color w:val="000000"/>
              </w:rPr>
            </w:pPr>
          </w:p>
        </w:tc>
        <w:tc>
          <w:tcPr>
            <w:tcW w:w="2003" w:type="dxa"/>
            <w:shd w:val="clear" w:color="auto" w:fill="BFBFBF" w:themeFill="background1" w:themeFillShade="BF"/>
            <w:noWrap/>
          </w:tcPr>
          <w:p w:rsidR="008C557F" w:rsidRPr="008C557F" w:rsidRDefault="008C557F" w:rsidP="008C557F">
            <w:pPr>
              <w:rPr>
                <w:b/>
                <w:bCs/>
                <w:color w:val="000000"/>
              </w:rPr>
            </w:pPr>
          </w:p>
        </w:tc>
        <w:tc>
          <w:tcPr>
            <w:tcW w:w="1140" w:type="dxa"/>
            <w:shd w:val="clear" w:color="auto" w:fill="BFBFBF" w:themeFill="background1" w:themeFillShade="BF"/>
            <w:noWrap/>
          </w:tcPr>
          <w:p w:rsidR="008C557F" w:rsidRPr="008C557F" w:rsidRDefault="008C557F" w:rsidP="008C557F">
            <w:pPr>
              <w:rPr>
                <w:b/>
                <w:bCs/>
                <w:color w:val="000000"/>
              </w:rPr>
            </w:pPr>
          </w:p>
        </w:tc>
        <w:tc>
          <w:tcPr>
            <w:tcW w:w="1264" w:type="dxa"/>
            <w:tcBorders>
              <w:right w:val="nil"/>
            </w:tcBorders>
            <w:shd w:val="clear" w:color="auto" w:fill="BFBFBF" w:themeFill="background1" w:themeFillShade="BF"/>
            <w:noWrap/>
          </w:tcPr>
          <w:p w:rsidR="008C557F" w:rsidRPr="008C557F" w:rsidRDefault="008C557F" w:rsidP="008C557F">
            <w:pPr>
              <w:rPr>
                <w:b/>
                <w:bCs/>
                <w:color w:val="000000"/>
              </w:rPr>
            </w:pP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shd w:val="clear" w:color="auto" w:fill="auto"/>
            <w:vAlign w:val="center"/>
          </w:tcPr>
          <w:p w:rsidR="008C557F" w:rsidRPr="008C557F" w:rsidRDefault="008C557F" w:rsidP="008C557F">
            <w:pPr>
              <w:rPr>
                <w:b/>
                <w:bCs/>
                <w:color w:val="000000"/>
              </w:rPr>
            </w:pPr>
            <w:r w:rsidRPr="008C557F">
              <w:rPr>
                <w:b/>
                <w:bCs/>
                <w:color w:val="000000"/>
              </w:rPr>
              <w:t>Norte</w:t>
            </w:r>
          </w:p>
        </w:tc>
        <w:tc>
          <w:tcPr>
            <w:tcW w:w="805" w:type="dxa"/>
            <w:shd w:val="clear" w:color="auto" w:fill="auto"/>
            <w:noWrap/>
            <w:vAlign w:val="center"/>
          </w:tcPr>
          <w:p w:rsidR="008C557F" w:rsidRPr="008C557F" w:rsidRDefault="008C557F" w:rsidP="008C557F">
            <w:pPr>
              <w:jc w:val="center"/>
              <w:rPr>
                <w:color w:val="000000"/>
              </w:rPr>
            </w:pPr>
            <w:proofErr w:type="gramStart"/>
            <w:r w:rsidRPr="008C557F">
              <w:rPr>
                <w:color w:val="000000"/>
              </w:rPr>
              <w:t>7</w:t>
            </w:r>
            <w:proofErr w:type="gramEnd"/>
          </w:p>
        </w:tc>
        <w:tc>
          <w:tcPr>
            <w:tcW w:w="2003" w:type="dxa"/>
            <w:shd w:val="clear" w:color="auto" w:fill="auto"/>
            <w:noWrap/>
            <w:vAlign w:val="center"/>
          </w:tcPr>
          <w:p w:rsidR="008C557F" w:rsidRPr="008C557F" w:rsidRDefault="008C557F" w:rsidP="008C557F">
            <w:pPr>
              <w:jc w:val="center"/>
              <w:rPr>
                <w:color w:val="000000"/>
              </w:rPr>
            </w:pPr>
            <w:r w:rsidRPr="008C557F">
              <w:rPr>
                <w:color w:val="000000"/>
              </w:rPr>
              <w:t>24,1%</w:t>
            </w:r>
          </w:p>
        </w:tc>
        <w:tc>
          <w:tcPr>
            <w:tcW w:w="1140" w:type="dxa"/>
            <w:shd w:val="clear" w:color="auto" w:fill="auto"/>
            <w:noWrap/>
            <w:vAlign w:val="center"/>
          </w:tcPr>
          <w:p w:rsidR="008C557F" w:rsidRPr="008C557F" w:rsidRDefault="008C557F" w:rsidP="008C557F">
            <w:pPr>
              <w:jc w:val="center"/>
            </w:pPr>
            <w:r w:rsidRPr="008C557F">
              <w:t>0,8507</w:t>
            </w:r>
          </w:p>
        </w:tc>
        <w:tc>
          <w:tcPr>
            <w:tcW w:w="1264" w:type="dxa"/>
            <w:tcBorders>
              <w:right w:val="nil"/>
            </w:tcBorders>
            <w:shd w:val="clear" w:color="auto" w:fill="auto"/>
            <w:noWrap/>
            <w:vAlign w:val="center"/>
          </w:tcPr>
          <w:p w:rsidR="008C557F" w:rsidRPr="008C557F" w:rsidRDefault="008C557F" w:rsidP="008C557F">
            <w:pPr>
              <w:jc w:val="center"/>
            </w:pPr>
            <w:r w:rsidRPr="008C557F">
              <w:t>0,8214</w:t>
            </w: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auto"/>
            <w:vAlign w:val="center"/>
          </w:tcPr>
          <w:p w:rsidR="008C557F" w:rsidRPr="008C557F" w:rsidRDefault="008C557F" w:rsidP="008C557F">
            <w:pPr>
              <w:rPr>
                <w:b/>
                <w:bCs/>
                <w:color w:val="000000"/>
              </w:rPr>
            </w:pPr>
            <w:r w:rsidRPr="008C557F">
              <w:rPr>
                <w:b/>
                <w:bCs/>
                <w:color w:val="000000"/>
              </w:rPr>
              <w:t>Nordeste</w:t>
            </w:r>
          </w:p>
        </w:tc>
        <w:tc>
          <w:tcPr>
            <w:tcW w:w="805" w:type="dxa"/>
            <w:shd w:val="clear" w:color="auto" w:fill="auto"/>
            <w:noWrap/>
            <w:vAlign w:val="center"/>
          </w:tcPr>
          <w:p w:rsidR="008C557F" w:rsidRPr="008C557F" w:rsidRDefault="008C557F" w:rsidP="008C557F">
            <w:pPr>
              <w:jc w:val="center"/>
              <w:rPr>
                <w:color w:val="000000"/>
              </w:rPr>
            </w:pPr>
            <w:proofErr w:type="gramStart"/>
            <w:r w:rsidRPr="008C557F">
              <w:rPr>
                <w:color w:val="000000"/>
              </w:rPr>
              <w:t>9</w:t>
            </w:r>
            <w:proofErr w:type="gramEnd"/>
          </w:p>
        </w:tc>
        <w:tc>
          <w:tcPr>
            <w:tcW w:w="2003" w:type="dxa"/>
            <w:shd w:val="clear" w:color="auto" w:fill="auto"/>
            <w:noWrap/>
            <w:vAlign w:val="center"/>
          </w:tcPr>
          <w:p w:rsidR="008C557F" w:rsidRPr="008C557F" w:rsidRDefault="008C557F" w:rsidP="008C557F">
            <w:pPr>
              <w:jc w:val="center"/>
              <w:rPr>
                <w:color w:val="000000"/>
              </w:rPr>
            </w:pPr>
            <w:r w:rsidRPr="008C557F">
              <w:rPr>
                <w:color w:val="000000"/>
              </w:rPr>
              <w:t>31,0%</w:t>
            </w:r>
          </w:p>
        </w:tc>
        <w:tc>
          <w:tcPr>
            <w:tcW w:w="1140" w:type="dxa"/>
            <w:shd w:val="clear" w:color="auto" w:fill="auto"/>
            <w:noWrap/>
            <w:vAlign w:val="center"/>
          </w:tcPr>
          <w:p w:rsidR="008C557F" w:rsidRPr="008C557F" w:rsidRDefault="008C557F" w:rsidP="008C557F">
            <w:pPr>
              <w:jc w:val="center"/>
              <w:rPr>
                <w:b/>
                <w:color w:val="FF0000"/>
              </w:rPr>
            </w:pPr>
            <w:r w:rsidRPr="008C557F">
              <w:rPr>
                <w:b/>
                <w:color w:val="FF0000"/>
              </w:rPr>
              <w:t>0,7703</w:t>
            </w:r>
          </w:p>
        </w:tc>
        <w:tc>
          <w:tcPr>
            <w:tcW w:w="1264" w:type="dxa"/>
            <w:tcBorders>
              <w:right w:val="nil"/>
            </w:tcBorders>
            <w:shd w:val="clear" w:color="auto" w:fill="auto"/>
            <w:noWrap/>
            <w:vAlign w:val="center"/>
          </w:tcPr>
          <w:p w:rsidR="008C557F" w:rsidRPr="008C557F" w:rsidRDefault="008C557F" w:rsidP="008C557F">
            <w:pPr>
              <w:jc w:val="center"/>
              <w:rPr>
                <w:b/>
                <w:color w:val="FF0000"/>
              </w:rPr>
            </w:pPr>
            <w:r w:rsidRPr="008C557F">
              <w:rPr>
                <w:b/>
                <w:color w:val="FF0000"/>
              </w:rPr>
              <w:t>0,7218</w:t>
            </w: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shd w:val="clear" w:color="auto" w:fill="auto"/>
            <w:vAlign w:val="center"/>
          </w:tcPr>
          <w:p w:rsidR="008C557F" w:rsidRPr="008C557F" w:rsidRDefault="008C557F" w:rsidP="008C557F">
            <w:pPr>
              <w:rPr>
                <w:b/>
                <w:bCs/>
                <w:color w:val="000000"/>
              </w:rPr>
            </w:pPr>
            <w:r w:rsidRPr="008C557F">
              <w:rPr>
                <w:b/>
                <w:bCs/>
                <w:color w:val="000000"/>
              </w:rPr>
              <w:t>Centro-Oeste</w:t>
            </w:r>
          </w:p>
        </w:tc>
        <w:tc>
          <w:tcPr>
            <w:tcW w:w="805" w:type="dxa"/>
            <w:shd w:val="clear" w:color="auto" w:fill="auto"/>
            <w:noWrap/>
            <w:vAlign w:val="center"/>
          </w:tcPr>
          <w:p w:rsidR="008C557F" w:rsidRPr="008C557F" w:rsidRDefault="008C557F" w:rsidP="008C557F">
            <w:pPr>
              <w:jc w:val="center"/>
              <w:rPr>
                <w:color w:val="000000"/>
              </w:rPr>
            </w:pPr>
            <w:proofErr w:type="gramStart"/>
            <w:r w:rsidRPr="008C557F">
              <w:rPr>
                <w:color w:val="000000"/>
              </w:rPr>
              <w:t>5</w:t>
            </w:r>
            <w:proofErr w:type="gramEnd"/>
          </w:p>
        </w:tc>
        <w:tc>
          <w:tcPr>
            <w:tcW w:w="2003" w:type="dxa"/>
            <w:shd w:val="clear" w:color="auto" w:fill="auto"/>
            <w:noWrap/>
            <w:vAlign w:val="center"/>
          </w:tcPr>
          <w:p w:rsidR="008C557F" w:rsidRPr="008C557F" w:rsidRDefault="008C557F" w:rsidP="008C557F">
            <w:pPr>
              <w:jc w:val="center"/>
              <w:rPr>
                <w:color w:val="000000"/>
              </w:rPr>
            </w:pPr>
            <w:r w:rsidRPr="008C557F">
              <w:rPr>
                <w:color w:val="000000"/>
              </w:rPr>
              <w:t>17,2%</w:t>
            </w:r>
          </w:p>
        </w:tc>
        <w:tc>
          <w:tcPr>
            <w:tcW w:w="1140" w:type="dxa"/>
            <w:shd w:val="clear" w:color="auto" w:fill="auto"/>
            <w:noWrap/>
            <w:vAlign w:val="center"/>
          </w:tcPr>
          <w:p w:rsidR="008C557F" w:rsidRPr="008C557F" w:rsidRDefault="008C557F" w:rsidP="008C557F">
            <w:pPr>
              <w:jc w:val="center"/>
            </w:pPr>
            <w:r w:rsidRPr="008C557F">
              <w:t>0,7769</w:t>
            </w:r>
          </w:p>
        </w:tc>
        <w:tc>
          <w:tcPr>
            <w:tcW w:w="1264" w:type="dxa"/>
            <w:tcBorders>
              <w:right w:val="nil"/>
            </w:tcBorders>
            <w:shd w:val="clear" w:color="auto" w:fill="auto"/>
            <w:noWrap/>
            <w:vAlign w:val="center"/>
          </w:tcPr>
          <w:p w:rsidR="008C557F" w:rsidRPr="008C557F" w:rsidRDefault="008C557F" w:rsidP="008C557F">
            <w:pPr>
              <w:jc w:val="center"/>
            </w:pPr>
            <w:r w:rsidRPr="008C557F">
              <w:t>0,8279</w:t>
            </w: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auto"/>
            <w:vAlign w:val="center"/>
          </w:tcPr>
          <w:p w:rsidR="008C557F" w:rsidRPr="008C557F" w:rsidRDefault="008C557F" w:rsidP="008C557F">
            <w:pPr>
              <w:rPr>
                <w:b/>
                <w:bCs/>
                <w:color w:val="000000"/>
              </w:rPr>
            </w:pPr>
            <w:r w:rsidRPr="008C557F">
              <w:rPr>
                <w:b/>
                <w:bCs/>
                <w:color w:val="000000"/>
              </w:rPr>
              <w:t>Sudeste</w:t>
            </w:r>
          </w:p>
        </w:tc>
        <w:tc>
          <w:tcPr>
            <w:tcW w:w="805" w:type="dxa"/>
            <w:shd w:val="clear" w:color="auto" w:fill="auto"/>
            <w:noWrap/>
            <w:vAlign w:val="center"/>
          </w:tcPr>
          <w:p w:rsidR="008C557F" w:rsidRPr="008C557F" w:rsidRDefault="008C557F" w:rsidP="008C557F">
            <w:pPr>
              <w:jc w:val="center"/>
              <w:rPr>
                <w:color w:val="000000"/>
              </w:rPr>
            </w:pPr>
            <w:proofErr w:type="gramStart"/>
            <w:r w:rsidRPr="008C557F">
              <w:rPr>
                <w:color w:val="000000"/>
              </w:rPr>
              <w:t>4</w:t>
            </w:r>
            <w:proofErr w:type="gramEnd"/>
          </w:p>
        </w:tc>
        <w:tc>
          <w:tcPr>
            <w:tcW w:w="2003" w:type="dxa"/>
            <w:shd w:val="clear" w:color="auto" w:fill="auto"/>
            <w:noWrap/>
            <w:vAlign w:val="center"/>
          </w:tcPr>
          <w:p w:rsidR="008C557F" w:rsidRPr="008C557F" w:rsidRDefault="008C557F" w:rsidP="008C557F">
            <w:pPr>
              <w:jc w:val="center"/>
              <w:rPr>
                <w:color w:val="000000"/>
              </w:rPr>
            </w:pPr>
            <w:r w:rsidRPr="008C557F">
              <w:rPr>
                <w:color w:val="000000"/>
              </w:rPr>
              <w:t>13,8%</w:t>
            </w:r>
          </w:p>
        </w:tc>
        <w:tc>
          <w:tcPr>
            <w:tcW w:w="1140" w:type="dxa"/>
            <w:shd w:val="clear" w:color="auto" w:fill="auto"/>
            <w:noWrap/>
            <w:vAlign w:val="center"/>
          </w:tcPr>
          <w:p w:rsidR="008C557F" w:rsidRPr="008C557F" w:rsidRDefault="008C557F" w:rsidP="008C557F">
            <w:pPr>
              <w:jc w:val="center"/>
              <w:rPr>
                <w:b/>
                <w:color w:val="00B050"/>
              </w:rPr>
            </w:pPr>
            <w:r w:rsidRPr="008C557F">
              <w:rPr>
                <w:b/>
                <w:color w:val="00B050"/>
              </w:rPr>
              <w:t>0,9547</w:t>
            </w:r>
          </w:p>
        </w:tc>
        <w:tc>
          <w:tcPr>
            <w:tcW w:w="1264" w:type="dxa"/>
            <w:tcBorders>
              <w:right w:val="nil"/>
            </w:tcBorders>
            <w:shd w:val="clear" w:color="auto" w:fill="auto"/>
            <w:noWrap/>
            <w:vAlign w:val="center"/>
          </w:tcPr>
          <w:p w:rsidR="008C557F" w:rsidRPr="008C557F" w:rsidRDefault="008C557F" w:rsidP="008C557F">
            <w:pPr>
              <w:jc w:val="center"/>
              <w:rPr>
                <w:b/>
                <w:color w:val="00B050"/>
              </w:rPr>
            </w:pPr>
            <w:r w:rsidRPr="008C557F">
              <w:rPr>
                <w:b/>
                <w:color w:val="00B050"/>
              </w:rPr>
              <w:t>0,9674</w:t>
            </w: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shd w:val="clear" w:color="auto" w:fill="auto"/>
            <w:vAlign w:val="center"/>
          </w:tcPr>
          <w:p w:rsidR="008C557F" w:rsidRPr="008C557F" w:rsidRDefault="008C557F" w:rsidP="008C557F">
            <w:pPr>
              <w:rPr>
                <w:b/>
                <w:bCs/>
                <w:color w:val="000000"/>
              </w:rPr>
            </w:pPr>
            <w:r w:rsidRPr="008C557F">
              <w:rPr>
                <w:b/>
                <w:bCs/>
                <w:color w:val="000000"/>
              </w:rPr>
              <w:t>Sul</w:t>
            </w:r>
          </w:p>
        </w:tc>
        <w:tc>
          <w:tcPr>
            <w:tcW w:w="805" w:type="dxa"/>
            <w:shd w:val="clear" w:color="auto" w:fill="auto"/>
            <w:noWrap/>
            <w:vAlign w:val="center"/>
          </w:tcPr>
          <w:p w:rsidR="008C557F" w:rsidRPr="008C557F" w:rsidRDefault="008C557F" w:rsidP="008C557F">
            <w:pPr>
              <w:jc w:val="center"/>
              <w:rPr>
                <w:color w:val="000000"/>
              </w:rPr>
            </w:pPr>
            <w:proofErr w:type="gramStart"/>
            <w:r w:rsidRPr="008C557F">
              <w:rPr>
                <w:color w:val="000000"/>
              </w:rPr>
              <w:t>4</w:t>
            </w:r>
            <w:proofErr w:type="gramEnd"/>
          </w:p>
        </w:tc>
        <w:tc>
          <w:tcPr>
            <w:tcW w:w="2003" w:type="dxa"/>
            <w:shd w:val="clear" w:color="auto" w:fill="auto"/>
            <w:noWrap/>
            <w:vAlign w:val="center"/>
          </w:tcPr>
          <w:p w:rsidR="008C557F" w:rsidRPr="008C557F" w:rsidRDefault="008C557F" w:rsidP="008C557F">
            <w:pPr>
              <w:jc w:val="center"/>
              <w:rPr>
                <w:color w:val="000000"/>
              </w:rPr>
            </w:pPr>
            <w:r w:rsidRPr="008C557F">
              <w:rPr>
                <w:color w:val="000000"/>
              </w:rPr>
              <w:t>13,8%</w:t>
            </w:r>
          </w:p>
        </w:tc>
        <w:tc>
          <w:tcPr>
            <w:tcW w:w="1140" w:type="dxa"/>
            <w:shd w:val="clear" w:color="auto" w:fill="auto"/>
            <w:noWrap/>
            <w:vAlign w:val="center"/>
          </w:tcPr>
          <w:p w:rsidR="008C557F" w:rsidRPr="008C557F" w:rsidRDefault="008C557F" w:rsidP="008C557F">
            <w:pPr>
              <w:jc w:val="center"/>
            </w:pPr>
            <w:r w:rsidRPr="008C557F">
              <w:t>0,8724</w:t>
            </w:r>
          </w:p>
        </w:tc>
        <w:tc>
          <w:tcPr>
            <w:tcW w:w="1264" w:type="dxa"/>
            <w:tcBorders>
              <w:right w:val="nil"/>
            </w:tcBorders>
            <w:shd w:val="clear" w:color="auto" w:fill="auto"/>
            <w:noWrap/>
            <w:vAlign w:val="center"/>
          </w:tcPr>
          <w:p w:rsidR="008C557F" w:rsidRPr="008C557F" w:rsidRDefault="008C557F" w:rsidP="008C557F">
            <w:pPr>
              <w:jc w:val="center"/>
            </w:pPr>
            <w:r w:rsidRPr="008C557F">
              <w:t>0,8227</w:t>
            </w: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BFBFBF" w:themeFill="background1" w:themeFillShade="BF"/>
          </w:tcPr>
          <w:p w:rsidR="008C557F" w:rsidRPr="008C557F" w:rsidRDefault="008C557F" w:rsidP="008C557F">
            <w:pPr>
              <w:rPr>
                <w:b/>
                <w:bCs/>
                <w:color w:val="000000"/>
              </w:rPr>
            </w:pPr>
            <w:r w:rsidRPr="008C557F">
              <w:rPr>
                <w:b/>
                <w:bCs/>
                <w:color w:val="000000"/>
              </w:rPr>
              <w:t>Abrangência</w:t>
            </w:r>
          </w:p>
        </w:tc>
        <w:tc>
          <w:tcPr>
            <w:tcW w:w="805" w:type="dxa"/>
            <w:shd w:val="clear" w:color="auto" w:fill="BFBFBF" w:themeFill="background1" w:themeFillShade="BF"/>
            <w:noWrap/>
          </w:tcPr>
          <w:p w:rsidR="008C557F" w:rsidRPr="008C557F" w:rsidRDefault="008C557F" w:rsidP="008C557F">
            <w:pPr>
              <w:jc w:val="center"/>
              <w:rPr>
                <w:b/>
                <w:bCs/>
                <w:color w:val="000000"/>
              </w:rPr>
            </w:pPr>
          </w:p>
        </w:tc>
        <w:tc>
          <w:tcPr>
            <w:tcW w:w="2003" w:type="dxa"/>
            <w:shd w:val="clear" w:color="auto" w:fill="BFBFBF" w:themeFill="background1" w:themeFillShade="BF"/>
            <w:noWrap/>
          </w:tcPr>
          <w:p w:rsidR="008C557F" w:rsidRPr="008C557F" w:rsidRDefault="008C557F" w:rsidP="008C557F">
            <w:pPr>
              <w:jc w:val="center"/>
              <w:rPr>
                <w:b/>
                <w:bCs/>
                <w:color w:val="000000"/>
              </w:rPr>
            </w:pPr>
          </w:p>
        </w:tc>
        <w:tc>
          <w:tcPr>
            <w:tcW w:w="1140" w:type="dxa"/>
            <w:shd w:val="clear" w:color="auto" w:fill="BFBFBF" w:themeFill="background1" w:themeFillShade="BF"/>
            <w:noWrap/>
          </w:tcPr>
          <w:p w:rsidR="008C557F" w:rsidRPr="008C557F" w:rsidRDefault="008C557F" w:rsidP="008C557F">
            <w:pPr>
              <w:jc w:val="center"/>
              <w:rPr>
                <w:b/>
                <w:bCs/>
                <w:color w:val="000000"/>
              </w:rPr>
            </w:pPr>
          </w:p>
        </w:tc>
        <w:tc>
          <w:tcPr>
            <w:tcW w:w="1264" w:type="dxa"/>
            <w:tcBorders>
              <w:right w:val="nil"/>
            </w:tcBorders>
            <w:shd w:val="clear" w:color="auto" w:fill="BFBFBF" w:themeFill="background1" w:themeFillShade="BF"/>
            <w:noWrap/>
          </w:tcPr>
          <w:p w:rsidR="008C557F" w:rsidRPr="008C557F" w:rsidRDefault="008C557F" w:rsidP="008C557F">
            <w:pPr>
              <w:jc w:val="center"/>
              <w:rPr>
                <w:b/>
                <w:bCs/>
                <w:color w:val="000000"/>
              </w:rPr>
            </w:pP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shd w:val="clear" w:color="auto" w:fill="auto"/>
            <w:noWrap/>
            <w:hideMark/>
          </w:tcPr>
          <w:p w:rsidR="008C557F" w:rsidRPr="008C557F" w:rsidRDefault="008C557F" w:rsidP="008C557F">
            <w:pPr>
              <w:rPr>
                <w:b/>
                <w:bCs/>
                <w:color w:val="000000"/>
              </w:rPr>
            </w:pPr>
            <w:r w:rsidRPr="008C557F">
              <w:rPr>
                <w:b/>
                <w:bCs/>
                <w:color w:val="000000"/>
              </w:rPr>
              <w:t>Local</w:t>
            </w:r>
          </w:p>
        </w:tc>
        <w:tc>
          <w:tcPr>
            <w:tcW w:w="805" w:type="dxa"/>
            <w:shd w:val="clear" w:color="auto" w:fill="auto"/>
            <w:noWrap/>
            <w:hideMark/>
          </w:tcPr>
          <w:p w:rsidR="008C557F" w:rsidRPr="008C557F" w:rsidRDefault="008C557F" w:rsidP="008C557F">
            <w:pPr>
              <w:jc w:val="center"/>
            </w:pPr>
            <w:proofErr w:type="gramStart"/>
            <w:r w:rsidRPr="008C557F">
              <w:t>5</w:t>
            </w:r>
            <w:proofErr w:type="gramEnd"/>
          </w:p>
        </w:tc>
        <w:tc>
          <w:tcPr>
            <w:tcW w:w="2003" w:type="dxa"/>
            <w:shd w:val="clear" w:color="auto" w:fill="auto"/>
            <w:noWrap/>
            <w:hideMark/>
          </w:tcPr>
          <w:p w:rsidR="008C557F" w:rsidRPr="008C557F" w:rsidRDefault="008C557F" w:rsidP="008C557F">
            <w:pPr>
              <w:jc w:val="center"/>
            </w:pPr>
            <w:r w:rsidRPr="008C557F">
              <w:t>17,24%</w:t>
            </w:r>
          </w:p>
        </w:tc>
        <w:tc>
          <w:tcPr>
            <w:tcW w:w="1140" w:type="dxa"/>
            <w:shd w:val="clear" w:color="auto" w:fill="auto"/>
            <w:noWrap/>
            <w:vAlign w:val="center"/>
            <w:hideMark/>
          </w:tcPr>
          <w:p w:rsidR="008C557F" w:rsidRPr="008C557F" w:rsidRDefault="008C557F" w:rsidP="008C557F">
            <w:pPr>
              <w:jc w:val="center"/>
              <w:rPr>
                <w:b/>
                <w:color w:val="00B050"/>
              </w:rPr>
            </w:pPr>
            <w:r w:rsidRPr="008C557F">
              <w:rPr>
                <w:b/>
                <w:color w:val="00B050"/>
              </w:rPr>
              <w:t>0,8800</w:t>
            </w:r>
          </w:p>
        </w:tc>
        <w:tc>
          <w:tcPr>
            <w:tcW w:w="1264" w:type="dxa"/>
            <w:tcBorders>
              <w:right w:val="nil"/>
            </w:tcBorders>
            <w:shd w:val="clear" w:color="auto" w:fill="auto"/>
            <w:noWrap/>
            <w:vAlign w:val="center"/>
            <w:hideMark/>
          </w:tcPr>
          <w:p w:rsidR="008C557F" w:rsidRPr="008C557F" w:rsidRDefault="008C557F" w:rsidP="008C557F">
            <w:pPr>
              <w:jc w:val="center"/>
              <w:rPr>
                <w:b/>
                <w:color w:val="00B050"/>
              </w:rPr>
            </w:pPr>
            <w:r w:rsidRPr="008C557F">
              <w:rPr>
                <w:b/>
                <w:color w:val="00B050"/>
              </w:rPr>
              <w:t>0,9339</w:t>
            </w: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auto"/>
            <w:noWrap/>
            <w:hideMark/>
          </w:tcPr>
          <w:p w:rsidR="008C557F" w:rsidRPr="008C557F" w:rsidRDefault="008C557F" w:rsidP="008C557F">
            <w:pPr>
              <w:rPr>
                <w:b/>
                <w:bCs/>
                <w:color w:val="000000"/>
              </w:rPr>
            </w:pPr>
            <w:r w:rsidRPr="008C557F">
              <w:rPr>
                <w:b/>
                <w:bCs/>
                <w:color w:val="000000"/>
              </w:rPr>
              <w:t>Regional</w:t>
            </w:r>
          </w:p>
        </w:tc>
        <w:tc>
          <w:tcPr>
            <w:tcW w:w="805" w:type="dxa"/>
            <w:shd w:val="clear" w:color="auto" w:fill="auto"/>
            <w:noWrap/>
            <w:hideMark/>
          </w:tcPr>
          <w:p w:rsidR="008C557F" w:rsidRPr="008C557F" w:rsidRDefault="008C557F" w:rsidP="008C557F">
            <w:pPr>
              <w:jc w:val="center"/>
            </w:pPr>
            <w:r w:rsidRPr="008C557F">
              <w:t>24</w:t>
            </w:r>
          </w:p>
        </w:tc>
        <w:tc>
          <w:tcPr>
            <w:tcW w:w="2003" w:type="dxa"/>
            <w:shd w:val="clear" w:color="auto" w:fill="auto"/>
            <w:noWrap/>
            <w:hideMark/>
          </w:tcPr>
          <w:p w:rsidR="008C557F" w:rsidRPr="008C557F" w:rsidRDefault="008C557F" w:rsidP="008C557F">
            <w:pPr>
              <w:jc w:val="center"/>
            </w:pPr>
            <w:r w:rsidRPr="008C557F">
              <w:t>82,76%</w:t>
            </w:r>
          </w:p>
        </w:tc>
        <w:tc>
          <w:tcPr>
            <w:tcW w:w="1140" w:type="dxa"/>
            <w:shd w:val="clear" w:color="auto" w:fill="auto"/>
            <w:noWrap/>
            <w:vAlign w:val="center"/>
            <w:hideMark/>
          </w:tcPr>
          <w:p w:rsidR="008C557F" w:rsidRPr="008C557F" w:rsidRDefault="008C557F" w:rsidP="008C557F">
            <w:pPr>
              <w:jc w:val="center"/>
            </w:pPr>
            <w:r w:rsidRPr="008C557F">
              <w:t>0,8200</w:t>
            </w:r>
          </w:p>
        </w:tc>
        <w:tc>
          <w:tcPr>
            <w:tcW w:w="1264" w:type="dxa"/>
            <w:tcBorders>
              <w:right w:val="nil"/>
            </w:tcBorders>
            <w:shd w:val="clear" w:color="auto" w:fill="auto"/>
            <w:noWrap/>
            <w:vAlign w:val="center"/>
            <w:hideMark/>
          </w:tcPr>
          <w:p w:rsidR="008C557F" w:rsidRPr="008C557F" w:rsidRDefault="008C557F" w:rsidP="008C557F">
            <w:pPr>
              <w:jc w:val="center"/>
            </w:pPr>
            <w:r w:rsidRPr="008C557F">
              <w:t>0,7865</w:t>
            </w: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tcPr>
          <w:p w:rsidR="008C557F" w:rsidRPr="008C557F" w:rsidRDefault="008C557F" w:rsidP="005B651D">
            <w:pPr>
              <w:rPr>
                <w:b/>
                <w:iCs/>
                <w:color w:val="000000"/>
              </w:rPr>
            </w:pPr>
            <w:r w:rsidRPr="008C557F">
              <w:rPr>
                <w:b/>
                <w:iCs/>
                <w:color w:val="000000"/>
              </w:rPr>
              <w:t>Propriedade</w:t>
            </w:r>
          </w:p>
        </w:tc>
        <w:tc>
          <w:tcPr>
            <w:tcW w:w="805" w:type="dxa"/>
            <w:noWrap/>
          </w:tcPr>
          <w:p w:rsidR="008C557F" w:rsidRPr="008C557F" w:rsidRDefault="008C557F" w:rsidP="008C557F">
            <w:pPr>
              <w:jc w:val="center"/>
              <w:rPr>
                <w:b/>
                <w:iCs/>
                <w:color w:val="000000"/>
              </w:rPr>
            </w:pPr>
          </w:p>
        </w:tc>
        <w:tc>
          <w:tcPr>
            <w:tcW w:w="2003" w:type="dxa"/>
            <w:noWrap/>
          </w:tcPr>
          <w:p w:rsidR="008C557F" w:rsidRPr="008C557F" w:rsidRDefault="008C557F" w:rsidP="008C557F">
            <w:pPr>
              <w:jc w:val="center"/>
              <w:rPr>
                <w:b/>
                <w:bCs/>
                <w:color w:val="000000"/>
              </w:rPr>
            </w:pPr>
          </w:p>
        </w:tc>
        <w:tc>
          <w:tcPr>
            <w:tcW w:w="1140" w:type="dxa"/>
            <w:noWrap/>
          </w:tcPr>
          <w:p w:rsidR="008C557F" w:rsidRPr="008C557F" w:rsidRDefault="008C557F" w:rsidP="008C557F">
            <w:pPr>
              <w:jc w:val="center"/>
              <w:rPr>
                <w:b/>
                <w:bCs/>
                <w:color w:val="000000"/>
              </w:rPr>
            </w:pPr>
          </w:p>
        </w:tc>
        <w:tc>
          <w:tcPr>
            <w:tcW w:w="1264" w:type="dxa"/>
            <w:tcBorders>
              <w:right w:val="nil"/>
            </w:tcBorders>
            <w:noWrap/>
          </w:tcPr>
          <w:p w:rsidR="008C557F" w:rsidRPr="008C557F" w:rsidRDefault="008C557F" w:rsidP="008C557F">
            <w:pPr>
              <w:jc w:val="center"/>
              <w:rPr>
                <w:b/>
                <w:bCs/>
                <w:color w:val="000000"/>
              </w:rPr>
            </w:pPr>
          </w:p>
        </w:tc>
      </w:tr>
      <w:tr w:rsidR="008C557F" w:rsidRPr="008C557F" w:rsidTr="008C557F">
        <w:trPr>
          <w:cnfStyle w:val="000000010000" w:firstRow="0" w:lastRow="0" w:firstColumn="0" w:lastColumn="0" w:oddVBand="0" w:evenVBand="0" w:oddHBand="0" w:evenHBand="1" w:firstRowFirstColumn="0" w:firstRowLastColumn="0" w:lastRowFirstColumn="0" w:lastRowLastColumn="0"/>
          <w:trHeight w:val="227"/>
          <w:jc w:val="center"/>
        </w:trPr>
        <w:tc>
          <w:tcPr>
            <w:tcW w:w="1585" w:type="dxa"/>
            <w:tcBorders>
              <w:left w:val="nil"/>
            </w:tcBorders>
            <w:shd w:val="clear" w:color="auto" w:fill="auto"/>
            <w:noWrap/>
            <w:hideMark/>
          </w:tcPr>
          <w:p w:rsidR="008C557F" w:rsidRPr="008C557F" w:rsidRDefault="008C557F" w:rsidP="008C557F">
            <w:pPr>
              <w:rPr>
                <w:b/>
                <w:bCs/>
                <w:color w:val="000000"/>
              </w:rPr>
            </w:pPr>
            <w:r w:rsidRPr="008C557F">
              <w:rPr>
                <w:b/>
                <w:bCs/>
                <w:color w:val="000000"/>
              </w:rPr>
              <w:t>Pública</w:t>
            </w:r>
          </w:p>
        </w:tc>
        <w:tc>
          <w:tcPr>
            <w:tcW w:w="805" w:type="dxa"/>
            <w:shd w:val="clear" w:color="auto" w:fill="auto"/>
            <w:noWrap/>
            <w:vAlign w:val="center"/>
            <w:hideMark/>
          </w:tcPr>
          <w:p w:rsidR="008C557F" w:rsidRPr="008C557F" w:rsidRDefault="008C557F" w:rsidP="008C557F">
            <w:pPr>
              <w:jc w:val="center"/>
              <w:rPr>
                <w:color w:val="000000"/>
              </w:rPr>
            </w:pPr>
            <w:r w:rsidRPr="008C557F">
              <w:rPr>
                <w:color w:val="000000"/>
              </w:rPr>
              <w:t>26</w:t>
            </w:r>
          </w:p>
        </w:tc>
        <w:tc>
          <w:tcPr>
            <w:tcW w:w="2003" w:type="dxa"/>
            <w:shd w:val="clear" w:color="auto" w:fill="auto"/>
            <w:noWrap/>
            <w:vAlign w:val="center"/>
            <w:hideMark/>
          </w:tcPr>
          <w:p w:rsidR="008C557F" w:rsidRPr="008C557F" w:rsidRDefault="008C557F" w:rsidP="008C557F">
            <w:pPr>
              <w:jc w:val="center"/>
              <w:rPr>
                <w:color w:val="000000"/>
              </w:rPr>
            </w:pPr>
            <w:r w:rsidRPr="008C557F">
              <w:rPr>
                <w:color w:val="000000"/>
              </w:rPr>
              <w:t>89,66%</w:t>
            </w:r>
          </w:p>
        </w:tc>
        <w:tc>
          <w:tcPr>
            <w:tcW w:w="1140" w:type="dxa"/>
            <w:shd w:val="clear" w:color="auto" w:fill="auto"/>
            <w:noWrap/>
            <w:vAlign w:val="center"/>
            <w:hideMark/>
          </w:tcPr>
          <w:p w:rsidR="008C557F" w:rsidRPr="008C557F" w:rsidRDefault="008C557F" w:rsidP="008C557F">
            <w:pPr>
              <w:jc w:val="center"/>
            </w:pPr>
            <w:r w:rsidRPr="008C557F">
              <w:t>0,8288</w:t>
            </w:r>
          </w:p>
        </w:tc>
        <w:tc>
          <w:tcPr>
            <w:tcW w:w="1264" w:type="dxa"/>
            <w:tcBorders>
              <w:right w:val="nil"/>
            </w:tcBorders>
            <w:shd w:val="clear" w:color="auto" w:fill="auto"/>
            <w:noWrap/>
            <w:vAlign w:val="center"/>
            <w:hideMark/>
          </w:tcPr>
          <w:p w:rsidR="008C557F" w:rsidRPr="008C557F" w:rsidRDefault="008C557F" w:rsidP="008C557F">
            <w:pPr>
              <w:jc w:val="center"/>
            </w:pPr>
            <w:r w:rsidRPr="008C557F">
              <w:t>0,8012</w:t>
            </w:r>
          </w:p>
        </w:tc>
      </w:tr>
      <w:tr w:rsidR="008C557F" w:rsidRPr="008C557F" w:rsidTr="008C557F">
        <w:trPr>
          <w:cnfStyle w:val="000000100000" w:firstRow="0" w:lastRow="0" w:firstColumn="0" w:lastColumn="0" w:oddVBand="0" w:evenVBand="0" w:oddHBand="1" w:evenHBand="0" w:firstRowFirstColumn="0" w:firstRowLastColumn="0" w:lastRowFirstColumn="0" w:lastRowLastColumn="0"/>
          <w:trHeight w:val="227"/>
          <w:jc w:val="center"/>
        </w:trPr>
        <w:tc>
          <w:tcPr>
            <w:tcW w:w="1585" w:type="dxa"/>
            <w:tcBorders>
              <w:left w:val="nil"/>
            </w:tcBorders>
            <w:shd w:val="clear" w:color="auto" w:fill="auto"/>
            <w:noWrap/>
            <w:hideMark/>
          </w:tcPr>
          <w:p w:rsidR="008C557F" w:rsidRPr="008C557F" w:rsidRDefault="008C557F" w:rsidP="008C557F">
            <w:pPr>
              <w:rPr>
                <w:b/>
                <w:bCs/>
                <w:color w:val="000000"/>
              </w:rPr>
            </w:pPr>
            <w:r w:rsidRPr="008C557F">
              <w:rPr>
                <w:b/>
                <w:bCs/>
                <w:color w:val="000000"/>
              </w:rPr>
              <w:t>Privada</w:t>
            </w:r>
          </w:p>
        </w:tc>
        <w:tc>
          <w:tcPr>
            <w:tcW w:w="805" w:type="dxa"/>
            <w:shd w:val="clear" w:color="auto" w:fill="auto"/>
            <w:noWrap/>
            <w:vAlign w:val="center"/>
            <w:hideMark/>
          </w:tcPr>
          <w:p w:rsidR="008C557F" w:rsidRPr="008C557F" w:rsidRDefault="008C557F" w:rsidP="008C557F">
            <w:pPr>
              <w:jc w:val="center"/>
              <w:rPr>
                <w:color w:val="000000"/>
              </w:rPr>
            </w:pPr>
            <w:proofErr w:type="gramStart"/>
            <w:r w:rsidRPr="008C557F">
              <w:rPr>
                <w:color w:val="000000"/>
              </w:rPr>
              <w:t>3</w:t>
            </w:r>
            <w:proofErr w:type="gramEnd"/>
          </w:p>
        </w:tc>
        <w:tc>
          <w:tcPr>
            <w:tcW w:w="2003" w:type="dxa"/>
            <w:shd w:val="clear" w:color="auto" w:fill="auto"/>
            <w:noWrap/>
            <w:vAlign w:val="center"/>
            <w:hideMark/>
          </w:tcPr>
          <w:p w:rsidR="008C557F" w:rsidRPr="008C557F" w:rsidRDefault="008C557F" w:rsidP="008C557F">
            <w:pPr>
              <w:jc w:val="center"/>
              <w:rPr>
                <w:color w:val="000000"/>
              </w:rPr>
            </w:pPr>
            <w:r w:rsidRPr="008C557F">
              <w:rPr>
                <w:color w:val="000000"/>
              </w:rPr>
              <w:t>10,34%</w:t>
            </w:r>
          </w:p>
        </w:tc>
        <w:tc>
          <w:tcPr>
            <w:tcW w:w="1140" w:type="dxa"/>
            <w:shd w:val="clear" w:color="auto" w:fill="auto"/>
            <w:noWrap/>
            <w:vAlign w:val="center"/>
            <w:hideMark/>
          </w:tcPr>
          <w:p w:rsidR="008C557F" w:rsidRPr="008C557F" w:rsidRDefault="008C557F" w:rsidP="008C557F">
            <w:pPr>
              <w:jc w:val="center"/>
              <w:rPr>
                <w:b/>
                <w:color w:val="00B050"/>
              </w:rPr>
            </w:pPr>
            <w:r w:rsidRPr="008C557F">
              <w:rPr>
                <w:b/>
                <w:color w:val="00B050"/>
              </w:rPr>
              <w:t>0,8437</w:t>
            </w:r>
          </w:p>
        </w:tc>
        <w:tc>
          <w:tcPr>
            <w:tcW w:w="1264" w:type="dxa"/>
            <w:tcBorders>
              <w:right w:val="nil"/>
            </w:tcBorders>
            <w:shd w:val="clear" w:color="auto" w:fill="auto"/>
            <w:noWrap/>
            <w:vAlign w:val="center"/>
            <w:hideMark/>
          </w:tcPr>
          <w:p w:rsidR="008C557F" w:rsidRPr="008C557F" w:rsidRDefault="008C557F" w:rsidP="008C557F">
            <w:pPr>
              <w:jc w:val="center"/>
              <w:rPr>
                <w:b/>
                <w:color w:val="00B050"/>
              </w:rPr>
            </w:pPr>
            <w:r w:rsidRPr="008C557F">
              <w:rPr>
                <w:b/>
                <w:color w:val="00B050"/>
              </w:rPr>
              <w:t>0,9049</w:t>
            </w:r>
          </w:p>
        </w:tc>
      </w:tr>
    </w:tbl>
    <w:p w:rsidR="008C557F" w:rsidRDefault="008C557F" w:rsidP="00311BDB">
      <w:pPr>
        <w:spacing w:after="0" w:line="240" w:lineRule="auto"/>
        <w:ind w:left="708" w:firstLine="708"/>
        <w:jc w:val="both"/>
        <w:outlineLvl w:val="0"/>
        <w:rPr>
          <w:rFonts w:ascii="Times New Roman" w:hAnsi="Times New Roman" w:cs="Times New Roman"/>
          <w:sz w:val="20"/>
        </w:rPr>
      </w:pPr>
      <w:r w:rsidRPr="00562002">
        <w:rPr>
          <w:rFonts w:ascii="Times New Roman" w:hAnsi="Times New Roman" w:cs="Times New Roman"/>
          <w:b/>
          <w:sz w:val="20"/>
        </w:rPr>
        <w:t>Fonte</w:t>
      </w:r>
      <w:r>
        <w:rPr>
          <w:rFonts w:ascii="Times New Roman" w:hAnsi="Times New Roman" w:cs="Times New Roman"/>
          <w:sz w:val="20"/>
        </w:rPr>
        <w:t>: Elaboração dos autores</w:t>
      </w:r>
      <w:r w:rsidRPr="00562002">
        <w:rPr>
          <w:rFonts w:ascii="Times New Roman" w:hAnsi="Times New Roman" w:cs="Times New Roman"/>
          <w:sz w:val="20"/>
        </w:rPr>
        <w:t>.</w:t>
      </w:r>
    </w:p>
    <w:p w:rsidR="008C557F" w:rsidRPr="00562002" w:rsidRDefault="008C557F" w:rsidP="008C557F">
      <w:pPr>
        <w:spacing w:after="0" w:line="240" w:lineRule="auto"/>
        <w:jc w:val="both"/>
        <w:outlineLvl w:val="0"/>
        <w:rPr>
          <w:rFonts w:ascii="Times New Roman" w:hAnsi="Times New Roman" w:cs="Times New Roman"/>
          <w:sz w:val="20"/>
        </w:rPr>
      </w:pPr>
    </w:p>
    <w:p w:rsidR="000A1569" w:rsidRDefault="00562002" w:rsidP="00AB0C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62002">
        <w:rPr>
          <w:rFonts w:ascii="Times New Roman" w:hAnsi="Times New Roman" w:cs="Times New Roman"/>
          <w:sz w:val="24"/>
          <w:szCs w:val="24"/>
        </w:rPr>
        <w:t>Outras importantes características dos prestadores de SAA e SES</w:t>
      </w:r>
      <w:r w:rsidR="00D06CDF">
        <w:rPr>
          <w:rFonts w:ascii="Times New Roman" w:hAnsi="Times New Roman" w:cs="Times New Roman"/>
          <w:sz w:val="24"/>
          <w:szCs w:val="24"/>
        </w:rPr>
        <w:t xml:space="preserve"> apresentadas na Tabela 3</w:t>
      </w:r>
      <w:r w:rsidRPr="00562002">
        <w:rPr>
          <w:rFonts w:ascii="Times New Roman" w:hAnsi="Times New Roman" w:cs="Times New Roman"/>
          <w:sz w:val="24"/>
          <w:szCs w:val="24"/>
        </w:rPr>
        <w:t xml:space="preserve"> se re</w:t>
      </w:r>
      <w:r w:rsidR="00D06CDF">
        <w:rPr>
          <w:rFonts w:ascii="Times New Roman" w:hAnsi="Times New Roman" w:cs="Times New Roman"/>
          <w:sz w:val="24"/>
          <w:szCs w:val="24"/>
        </w:rPr>
        <w:t xml:space="preserve">ferem à abrangência de atuação </w:t>
      </w:r>
      <w:r w:rsidRPr="00562002">
        <w:rPr>
          <w:rFonts w:ascii="Times New Roman" w:hAnsi="Times New Roman" w:cs="Times New Roman"/>
          <w:sz w:val="24"/>
          <w:szCs w:val="24"/>
        </w:rPr>
        <w:t>e ao tipo</w:t>
      </w:r>
      <w:r w:rsidR="00C8393A">
        <w:rPr>
          <w:rFonts w:ascii="Times New Roman" w:hAnsi="Times New Roman" w:cs="Times New Roman"/>
          <w:sz w:val="24"/>
          <w:szCs w:val="24"/>
        </w:rPr>
        <w:t xml:space="preserve"> de</w:t>
      </w:r>
      <w:r w:rsidRPr="00562002">
        <w:rPr>
          <w:rFonts w:ascii="Times New Roman" w:hAnsi="Times New Roman" w:cs="Times New Roman"/>
          <w:sz w:val="24"/>
          <w:szCs w:val="24"/>
        </w:rPr>
        <w:t xml:space="preserve"> propriedade. </w:t>
      </w:r>
      <w:r w:rsidR="00D06CDF">
        <w:rPr>
          <w:rFonts w:ascii="Times New Roman" w:hAnsi="Times New Roman" w:cs="Times New Roman"/>
          <w:sz w:val="24"/>
          <w:szCs w:val="24"/>
        </w:rPr>
        <w:t xml:space="preserve">Nesse sentido, </w:t>
      </w:r>
      <w:r w:rsidR="00C8393A">
        <w:rPr>
          <w:rFonts w:ascii="Times New Roman" w:hAnsi="Times New Roman" w:cs="Times New Roman"/>
          <w:sz w:val="24"/>
          <w:szCs w:val="24"/>
        </w:rPr>
        <w:t>verifica-se</w:t>
      </w:r>
      <w:r w:rsidRPr="00562002">
        <w:rPr>
          <w:rFonts w:ascii="Times New Roman" w:hAnsi="Times New Roman" w:cs="Times New Roman"/>
          <w:sz w:val="24"/>
          <w:szCs w:val="24"/>
        </w:rPr>
        <w:t xml:space="preserve"> que os prestadores de abrangência local e propriedade privada foram mais eficientes na média para os anos de 2006 e 2011. Também em relação à média, houve uma queda no nível de ETP para os prestadores regionais </w:t>
      </w:r>
      <w:r w:rsidR="00FE159C">
        <w:rPr>
          <w:rFonts w:ascii="Times New Roman" w:hAnsi="Times New Roman" w:cs="Times New Roman"/>
          <w:sz w:val="24"/>
          <w:szCs w:val="24"/>
        </w:rPr>
        <w:t>e</w:t>
      </w:r>
      <w:r w:rsidRPr="00562002">
        <w:rPr>
          <w:rFonts w:ascii="Times New Roman" w:hAnsi="Times New Roman" w:cs="Times New Roman"/>
          <w:sz w:val="24"/>
          <w:szCs w:val="24"/>
        </w:rPr>
        <w:t xml:space="preserve"> públicos.</w:t>
      </w:r>
    </w:p>
    <w:p w:rsidR="00562002" w:rsidRDefault="008657EE" w:rsidP="00AB0C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657EE">
        <w:rPr>
          <w:rFonts w:ascii="Times New Roman" w:hAnsi="Times New Roman" w:cs="Times New Roman"/>
          <w:sz w:val="24"/>
          <w:szCs w:val="24"/>
        </w:rPr>
        <w:t>Quanto à situação da regulação</w:t>
      </w:r>
      <w:r w:rsidR="00D06CDF">
        <w:rPr>
          <w:rFonts w:ascii="Times New Roman" w:hAnsi="Times New Roman" w:cs="Times New Roman"/>
          <w:sz w:val="24"/>
          <w:szCs w:val="24"/>
        </w:rPr>
        <w:t>, da análise da Tabela 4</w:t>
      </w:r>
      <w:r w:rsidRPr="008657EE">
        <w:rPr>
          <w:rFonts w:ascii="Times New Roman" w:hAnsi="Times New Roman" w:cs="Times New Roman"/>
          <w:sz w:val="24"/>
          <w:szCs w:val="24"/>
        </w:rPr>
        <w:t xml:space="preserve"> percebe-se que houve um crescimento no número de prestadores regulados de 12 em 2006 para 20 em 2011, o que pode ser consequência do surgimento de novas entidades reguladoras após a aprovação do marco regulatório </w:t>
      </w:r>
      <w:r w:rsidR="00C8393A">
        <w:rPr>
          <w:rFonts w:ascii="Times New Roman" w:hAnsi="Times New Roman" w:cs="Times New Roman"/>
          <w:sz w:val="24"/>
          <w:szCs w:val="24"/>
        </w:rPr>
        <w:t>do setor</w:t>
      </w:r>
      <w:r w:rsidRPr="00FE159C">
        <w:rPr>
          <w:rFonts w:ascii="Times New Roman" w:hAnsi="Times New Roman" w:cs="Times New Roman"/>
          <w:sz w:val="24"/>
          <w:szCs w:val="24"/>
        </w:rPr>
        <w:t xml:space="preserve">. </w:t>
      </w:r>
      <w:r w:rsidRPr="008657EE">
        <w:rPr>
          <w:rFonts w:ascii="Times New Roman" w:hAnsi="Times New Roman" w:cs="Times New Roman"/>
          <w:sz w:val="24"/>
          <w:szCs w:val="24"/>
        </w:rPr>
        <w:t xml:space="preserve">No entanto, a média de ETP foi maior entre os prestadores não regulados tanto em 2006 como em 2011, </w:t>
      </w:r>
      <w:r w:rsidRPr="00FE159C">
        <w:rPr>
          <w:rFonts w:ascii="Times New Roman" w:hAnsi="Times New Roman" w:cs="Times New Roman"/>
          <w:sz w:val="24"/>
          <w:szCs w:val="24"/>
        </w:rPr>
        <w:t xml:space="preserve">o que representa o oposto do que se poderia esperar diante do que propõe a regulação por incentivos e diante de </w:t>
      </w:r>
      <w:r w:rsidRPr="0074750F">
        <w:rPr>
          <w:rFonts w:ascii="Times New Roman" w:hAnsi="Times New Roman" w:cs="Times New Roman"/>
          <w:sz w:val="24"/>
          <w:szCs w:val="24"/>
        </w:rPr>
        <w:t xml:space="preserve">resultados de estudos empíricos que apontam para efeitos positivos da regulação sobre a eficiência (ERBETTA; </w:t>
      </w:r>
      <w:proofErr w:type="gramStart"/>
      <w:r w:rsidRPr="0074750F">
        <w:rPr>
          <w:rFonts w:ascii="Times New Roman" w:hAnsi="Times New Roman" w:cs="Times New Roman"/>
          <w:sz w:val="24"/>
          <w:szCs w:val="24"/>
        </w:rPr>
        <w:t>CAVE,</w:t>
      </w:r>
      <w:proofErr w:type="gramEnd"/>
      <w:r w:rsidRPr="0074750F">
        <w:rPr>
          <w:rFonts w:ascii="Times New Roman" w:hAnsi="Times New Roman" w:cs="Times New Roman"/>
          <w:sz w:val="24"/>
          <w:szCs w:val="24"/>
        </w:rPr>
        <w:t xml:space="preserve"> 2007; DE WITTE; MARQUES, 2010; BYRNES ET AL, 2010; CARVALHO; MARQUES, 2011; PORTELA ET AL, 2011; MBUVI; DE WITTE; PERELMAN, 2012).</w:t>
      </w:r>
    </w:p>
    <w:p w:rsidR="000A1569" w:rsidRDefault="000A1569" w:rsidP="00AB0CF8">
      <w:pPr>
        <w:spacing w:after="0" w:line="240" w:lineRule="auto"/>
        <w:jc w:val="both"/>
        <w:rPr>
          <w:rFonts w:ascii="Times New Roman" w:hAnsi="Times New Roman" w:cs="Times New Roman"/>
          <w:sz w:val="24"/>
          <w:szCs w:val="24"/>
        </w:rPr>
      </w:pPr>
    </w:p>
    <w:p w:rsidR="008657EE" w:rsidRPr="004A5090" w:rsidRDefault="008657EE" w:rsidP="008657EE">
      <w:pPr>
        <w:pStyle w:val="Legenda"/>
        <w:rPr>
          <w:b w:val="0"/>
          <w:sz w:val="24"/>
        </w:rPr>
      </w:pPr>
      <w:bookmarkStart w:id="4" w:name="_Toc377445872"/>
      <w:r w:rsidRPr="004A5090">
        <w:rPr>
          <w:sz w:val="24"/>
        </w:rPr>
        <w:t xml:space="preserve">Tabela </w:t>
      </w:r>
      <w:r w:rsidR="005B651D">
        <w:rPr>
          <w:sz w:val="24"/>
        </w:rPr>
        <w:t>4</w:t>
      </w:r>
      <w:r w:rsidRPr="004A5090">
        <w:rPr>
          <w:sz w:val="24"/>
        </w:rPr>
        <w:t xml:space="preserve"> – </w:t>
      </w:r>
      <w:r w:rsidRPr="004A5090">
        <w:rPr>
          <w:b w:val="0"/>
          <w:sz w:val="24"/>
        </w:rPr>
        <w:t>Média de ETP dos prestadores de SAA e SES regulados e não regulados</w:t>
      </w:r>
      <w:bookmarkEnd w:id="4"/>
      <w:r w:rsidR="005B651D">
        <w:rPr>
          <w:b w:val="0"/>
          <w:sz w:val="24"/>
        </w:rPr>
        <w:t>.</w:t>
      </w:r>
    </w:p>
    <w:tbl>
      <w:tblPr>
        <w:tblStyle w:val="Tabelaemlista1"/>
        <w:tblW w:w="7011" w:type="dxa"/>
        <w:jc w:val="center"/>
        <w:tblLook w:val="04A0" w:firstRow="1" w:lastRow="0" w:firstColumn="1" w:lastColumn="0" w:noHBand="0" w:noVBand="1"/>
      </w:tblPr>
      <w:tblGrid>
        <w:gridCol w:w="1799"/>
        <w:gridCol w:w="805"/>
        <w:gridCol w:w="2003"/>
        <w:gridCol w:w="2404"/>
      </w:tblGrid>
      <w:tr w:rsidR="008657EE" w:rsidRPr="002B1281" w:rsidTr="005B651D">
        <w:trPr>
          <w:cnfStyle w:val="100000000000" w:firstRow="1" w:lastRow="0" w:firstColumn="0" w:lastColumn="0" w:oddVBand="0" w:evenVBand="0" w:oddHBand="0" w:evenHBand="0" w:firstRowFirstColumn="0" w:firstRowLastColumn="0" w:lastRowFirstColumn="0" w:lastRowLastColumn="0"/>
          <w:trHeight w:val="227"/>
          <w:jc w:val="center"/>
        </w:trPr>
        <w:tc>
          <w:tcPr>
            <w:tcW w:w="1799" w:type="dxa"/>
            <w:vMerge w:val="restart"/>
            <w:tcBorders>
              <w:top w:val="single" w:sz="12" w:space="0" w:color="008080"/>
              <w:left w:val="nil"/>
            </w:tcBorders>
            <w:shd w:val="clear" w:color="auto" w:fill="auto"/>
            <w:noWrap/>
            <w:vAlign w:val="center"/>
            <w:hideMark/>
          </w:tcPr>
          <w:p w:rsidR="008657EE" w:rsidRPr="002B1281" w:rsidRDefault="008657EE" w:rsidP="00436A0D">
            <w:pPr>
              <w:jc w:val="center"/>
              <w:rPr>
                <w:i w:val="0"/>
                <w:color w:val="000000"/>
                <w:szCs w:val="22"/>
              </w:rPr>
            </w:pPr>
          </w:p>
        </w:tc>
        <w:tc>
          <w:tcPr>
            <w:tcW w:w="2808" w:type="dxa"/>
            <w:gridSpan w:val="2"/>
            <w:tcBorders>
              <w:top w:val="single" w:sz="12" w:space="0" w:color="008080"/>
            </w:tcBorders>
            <w:shd w:val="clear" w:color="auto" w:fill="auto"/>
            <w:noWrap/>
            <w:vAlign w:val="center"/>
            <w:hideMark/>
          </w:tcPr>
          <w:p w:rsidR="008657EE" w:rsidRPr="002B1281" w:rsidRDefault="008657EE" w:rsidP="00436A0D">
            <w:pPr>
              <w:jc w:val="center"/>
              <w:rPr>
                <w:i w:val="0"/>
                <w:color w:val="000000"/>
                <w:szCs w:val="22"/>
              </w:rPr>
            </w:pPr>
            <w:r w:rsidRPr="002B1281">
              <w:rPr>
                <w:bCs w:val="0"/>
                <w:i w:val="0"/>
                <w:color w:val="000000"/>
                <w:szCs w:val="22"/>
              </w:rPr>
              <w:t>Prestadores de SAA e SES</w:t>
            </w:r>
          </w:p>
        </w:tc>
        <w:tc>
          <w:tcPr>
            <w:tcW w:w="2404" w:type="dxa"/>
            <w:vMerge w:val="restart"/>
            <w:tcBorders>
              <w:top w:val="single" w:sz="12" w:space="0" w:color="008080"/>
              <w:right w:val="nil"/>
            </w:tcBorders>
            <w:shd w:val="clear" w:color="auto" w:fill="auto"/>
            <w:vAlign w:val="center"/>
          </w:tcPr>
          <w:p w:rsidR="008657EE" w:rsidRPr="002B1281" w:rsidRDefault="008657EE" w:rsidP="00436A0D">
            <w:pPr>
              <w:jc w:val="center"/>
              <w:rPr>
                <w:b w:val="0"/>
                <w:bCs w:val="0"/>
                <w:color w:val="000000"/>
                <w:szCs w:val="22"/>
              </w:rPr>
            </w:pPr>
            <w:r w:rsidRPr="002B1281">
              <w:rPr>
                <w:bCs w:val="0"/>
                <w:i w:val="0"/>
                <w:color w:val="000000"/>
                <w:szCs w:val="22"/>
              </w:rPr>
              <w:t>Média ETP – DEA III</w:t>
            </w:r>
          </w:p>
        </w:tc>
      </w:tr>
      <w:tr w:rsidR="008657EE" w:rsidRPr="002B1281" w:rsidTr="005B651D">
        <w:trPr>
          <w:cnfStyle w:val="000000100000" w:firstRow="0" w:lastRow="0" w:firstColumn="0" w:lastColumn="0" w:oddVBand="0" w:evenVBand="0" w:oddHBand="1" w:evenHBand="0" w:firstRowFirstColumn="0" w:firstRowLastColumn="0" w:lastRowFirstColumn="0" w:lastRowLastColumn="0"/>
          <w:trHeight w:val="227"/>
          <w:jc w:val="center"/>
        </w:trPr>
        <w:tc>
          <w:tcPr>
            <w:tcW w:w="1799" w:type="dxa"/>
            <w:vMerge/>
            <w:tcBorders>
              <w:left w:val="nil"/>
            </w:tcBorders>
            <w:shd w:val="clear" w:color="auto" w:fill="auto"/>
            <w:vAlign w:val="center"/>
            <w:hideMark/>
          </w:tcPr>
          <w:p w:rsidR="008657EE" w:rsidRPr="002B1281" w:rsidRDefault="008657EE" w:rsidP="00436A0D">
            <w:pPr>
              <w:jc w:val="center"/>
              <w:rPr>
                <w:b/>
                <w:bCs/>
                <w:color w:val="000000"/>
                <w:szCs w:val="22"/>
              </w:rPr>
            </w:pPr>
          </w:p>
        </w:tc>
        <w:tc>
          <w:tcPr>
            <w:tcW w:w="805" w:type="dxa"/>
            <w:shd w:val="clear" w:color="auto" w:fill="auto"/>
            <w:noWrap/>
            <w:vAlign w:val="center"/>
            <w:hideMark/>
          </w:tcPr>
          <w:p w:rsidR="008657EE" w:rsidRPr="002B1281" w:rsidRDefault="008657EE" w:rsidP="00436A0D">
            <w:pPr>
              <w:jc w:val="center"/>
              <w:rPr>
                <w:b/>
                <w:bCs/>
                <w:color w:val="000000"/>
                <w:szCs w:val="22"/>
              </w:rPr>
            </w:pPr>
            <w:r w:rsidRPr="002B1281">
              <w:rPr>
                <w:b/>
                <w:bCs/>
                <w:color w:val="000000"/>
                <w:szCs w:val="22"/>
              </w:rPr>
              <w:t>Nº</w:t>
            </w:r>
          </w:p>
        </w:tc>
        <w:tc>
          <w:tcPr>
            <w:tcW w:w="2003" w:type="dxa"/>
            <w:shd w:val="clear" w:color="auto" w:fill="auto"/>
            <w:noWrap/>
            <w:vAlign w:val="center"/>
            <w:hideMark/>
          </w:tcPr>
          <w:p w:rsidR="008657EE" w:rsidRPr="002B1281" w:rsidRDefault="008657EE" w:rsidP="00436A0D">
            <w:pPr>
              <w:jc w:val="center"/>
              <w:rPr>
                <w:b/>
                <w:bCs/>
                <w:color w:val="000000"/>
                <w:szCs w:val="22"/>
              </w:rPr>
            </w:pPr>
            <w:r w:rsidRPr="002B1281">
              <w:rPr>
                <w:b/>
                <w:bCs/>
                <w:color w:val="000000"/>
                <w:szCs w:val="22"/>
              </w:rPr>
              <w:t>% da amostra</w:t>
            </w:r>
          </w:p>
        </w:tc>
        <w:tc>
          <w:tcPr>
            <w:tcW w:w="2404" w:type="dxa"/>
            <w:vMerge/>
            <w:tcBorders>
              <w:right w:val="nil"/>
            </w:tcBorders>
            <w:shd w:val="clear" w:color="auto" w:fill="auto"/>
            <w:vAlign w:val="center"/>
          </w:tcPr>
          <w:p w:rsidR="008657EE" w:rsidRPr="002B1281" w:rsidRDefault="008657EE" w:rsidP="00436A0D">
            <w:pPr>
              <w:jc w:val="center"/>
              <w:rPr>
                <w:b/>
                <w:bCs/>
                <w:color w:val="000000"/>
                <w:szCs w:val="22"/>
              </w:rPr>
            </w:pPr>
          </w:p>
        </w:tc>
      </w:tr>
      <w:tr w:rsidR="008657EE" w:rsidRPr="002B1281" w:rsidTr="005B651D">
        <w:trPr>
          <w:cnfStyle w:val="000000010000" w:firstRow="0" w:lastRow="0" w:firstColumn="0" w:lastColumn="0" w:oddVBand="0" w:evenVBand="0" w:oddHBand="0" w:evenHBand="1" w:firstRowFirstColumn="0" w:firstRowLastColumn="0" w:lastRowFirstColumn="0" w:lastRowLastColumn="0"/>
          <w:trHeight w:val="227"/>
          <w:jc w:val="center"/>
        </w:trPr>
        <w:tc>
          <w:tcPr>
            <w:tcW w:w="1799" w:type="dxa"/>
            <w:tcBorders>
              <w:left w:val="nil"/>
            </w:tcBorders>
            <w:shd w:val="clear" w:color="auto" w:fill="BFBFBF" w:themeFill="background1" w:themeFillShade="BF"/>
            <w:vAlign w:val="center"/>
          </w:tcPr>
          <w:p w:rsidR="008657EE" w:rsidRPr="002B1281" w:rsidRDefault="008657EE" w:rsidP="00436A0D">
            <w:pPr>
              <w:jc w:val="center"/>
              <w:rPr>
                <w:b/>
                <w:bCs/>
                <w:color w:val="000000"/>
                <w:szCs w:val="22"/>
              </w:rPr>
            </w:pPr>
            <w:r w:rsidRPr="002B1281">
              <w:rPr>
                <w:b/>
                <w:bCs/>
                <w:color w:val="000000"/>
                <w:szCs w:val="22"/>
              </w:rPr>
              <w:t>Regulação 2006</w:t>
            </w:r>
          </w:p>
        </w:tc>
        <w:tc>
          <w:tcPr>
            <w:tcW w:w="805" w:type="dxa"/>
            <w:shd w:val="clear" w:color="auto" w:fill="BFBFBF" w:themeFill="background1" w:themeFillShade="BF"/>
            <w:noWrap/>
            <w:vAlign w:val="center"/>
          </w:tcPr>
          <w:p w:rsidR="008657EE" w:rsidRPr="002B1281" w:rsidRDefault="008657EE" w:rsidP="00436A0D">
            <w:pPr>
              <w:jc w:val="center"/>
              <w:rPr>
                <w:b/>
                <w:bCs/>
                <w:color w:val="000000"/>
                <w:szCs w:val="22"/>
              </w:rPr>
            </w:pPr>
          </w:p>
        </w:tc>
        <w:tc>
          <w:tcPr>
            <w:tcW w:w="2003" w:type="dxa"/>
            <w:shd w:val="clear" w:color="auto" w:fill="BFBFBF" w:themeFill="background1" w:themeFillShade="BF"/>
            <w:noWrap/>
            <w:vAlign w:val="center"/>
          </w:tcPr>
          <w:p w:rsidR="008657EE" w:rsidRPr="002B1281" w:rsidRDefault="008657EE" w:rsidP="00436A0D">
            <w:pPr>
              <w:jc w:val="center"/>
              <w:rPr>
                <w:b/>
                <w:bCs/>
                <w:color w:val="000000"/>
                <w:szCs w:val="22"/>
              </w:rPr>
            </w:pPr>
          </w:p>
        </w:tc>
        <w:tc>
          <w:tcPr>
            <w:tcW w:w="2404" w:type="dxa"/>
            <w:tcBorders>
              <w:right w:val="nil"/>
            </w:tcBorders>
            <w:shd w:val="clear" w:color="auto" w:fill="BFBFBF" w:themeFill="background1" w:themeFillShade="BF"/>
            <w:vAlign w:val="center"/>
          </w:tcPr>
          <w:p w:rsidR="008657EE" w:rsidRPr="002B1281" w:rsidRDefault="008657EE" w:rsidP="00436A0D">
            <w:pPr>
              <w:jc w:val="center"/>
              <w:rPr>
                <w:b/>
                <w:bCs/>
                <w:color w:val="000000"/>
                <w:szCs w:val="22"/>
              </w:rPr>
            </w:pPr>
          </w:p>
        </w:tc>
      </w:tr>
      <w:tr w:rsidR="008657EE" w:rsidRPr="002B1281" w:rsidTr="005B651D">
        <w:trPr>
          <w:cnfStyle w:val="000000100000" w:firstRow="0" w:lastRow="0" w:firstColumn="0" w:lastColumn="0" w:oddVBand="0" w:evenVBand="0" w:oddHBand="1" w:evenHBand="0" w:firstRowFirstColumn="0" w:firstRowLastColumn="0" w:lastRowFirstColumn="0" w:lastRowLastColumn="0"/>
          <w:trHeight w:val="227"/>
          <w:jc w:val="center"/>
        </w:trPr>
        <w:tc>
          <w:tcPr>
            <w:tcW w:w="1799" w:type="dxa"/>
            <w:tcBorders>
              <w:left w:val="nil"/>
            </w:tcBorders>
            <w:shd w:val="clear" w:color="auto" w:fill="auto"/>
            <w:noWrap/>
            <w:hideMark/>
          </w:tcPr>
          <w:p w:rsidR="008657EE" w:rsidRPr="002B1281" w:rsidRDefault="008657EE" w:rsidP="00436A0D">
            <w:pPr>
              <w:rPr>
                <w:b/>
                <w:bCs/>
                <w:color w:val="000000"/>
                <w:szCs w:val="22"/>
              </w:rPr>
            </w:pPr>
            <w:r w:rsidRPr="002B1281">
              <w:rPr>
                <w:b/>
                <w:bCs/>
                <w:color w:val="000000"/>
                <w:szCs w:val="22"/>
              </w:rPr>
              <w:t>Sim</w:t>
            </w:r>
          </w:p>
        </w:tc>
        <w:tc>
          <w:tcPr>
            <w:tcW w:w="805" w:type="dxa"/>
            <w:shd w:val="clear" w:color="auto" w:fill="auto"/>
            <w:noWrap/>
            <w:vAlign w:val="center"/>
          </w:tcPr>
          <w:p w:rsidR="008657EE" w:rsidRPr="002B1281" w:rsidRDefault="008657EE" w:rsidP="00436A0D">
            <w:pPr>
              <w:jc w:val="center"/>
              <w:rPr>
                <w:color w:val="000000"/>
                <w:szCs w:val="22"/>
              </w:rPr>
            </w:pPr>
            <w:r w:rsidRPr="002B1281">
              <w:rPr>
                <w:color w:val="000000"/>
                <w:szCs w:val="22"/>
              </w:rPr>
              <w:t>12</w:t>
            </w:r>
          </w:p>
        </w:tc>
        <w:tc>
          <w:tcPr>
            <w:tcW w:w="2003" w:type="dxa"/>
            <w:shd w:val="clear" w:color="auto" w:fill="auto"/>
            <w:noWrap/>
            <w:vAlign w:val="center"/>
          </w:tcPr>
          <w:p w:rsidR="008657EE" w:rsidRPr="002B1281" w:rsidRDefault="008657EE" w:rsidP="00436A0D">
            <w:pPr>
              <w:jc w:val="center"/>
              <w:rPr>
                <w:color w:val="000000"/>
                <w:szCs w:val="22"/>
              </w:rPr>
            </w:pPr>
            <w:r w:rsidRPr="002B1281">
              <w:rPr>
                <w:color w:val="000000"/>
                <w:szCs w:val="22"/>
              </w:rPr>
              <w:t>41,4%</w:t>
            </w:r>
          </w:p>
        </w:tc>
        <w:tc>
          <w:tcPr>
            <w:tcW w:w="2404" w:type="dxa"/>
            <w:tcBorders>
              <w:right w:val="nil"/>
            </w:tcBorders>
            <w:shd w:val="clear" w:color="auto" w:fill="auto"/>
            <w:vAlign w:val="center"/>
          </w:tcPr>
          <w:p w:rsidR="008657EE" w:rsidRPr="002B1281" w:rsidRDefault="008657EE">
            <w:pPr>
              <w:jc w:val="center"/>
              <w:rPr>
                <w:szCs w:val="22"/>
              </w:rPr>
            </w:pPr>
            <w:r w:rsidRPr="002B1281">
              <w:rPr>
                <w:szCs w:val="22"/>
              </w:rPr>
              <w:t>0,7753</w:t>
            </w:r>
          </w:p>
        </w:tc>
      </w:tr>
      <w:tr w:rsidR="008657EE" w:rsidRPr="002B1281" w:rsidTr="005B651D">
        <w:trPr>
          <w:cnfStyle w:val="000000010000" w:firstRow="0" w:lastRow="0" w:firstColumn="0" w:lastColumn="0" w:oddVBand="0" w:evenVBand="0" w:oddHBand="0" w:evenHBand="1" w:firstRowFirstColumn="0" w:firstRowLastColumn="0" w:lastRowFirstColumn="0" w:lastRowLastColumn="0"/>
          <w:trHeight w:val="227"/>
          <w:jc w:val="center"/>
        </w:trPr>
        <w:tc>
          <w:tcPr>
            <w:tcW w:w="1799" w:type="dxa"/>
            <w:tcBorders>
              <w:left w:val="nil"/>
            </w:tcBorders>
            <w:shd w:val="clear" w:color="auto" w:fill="auto"/>
            <w:noWrap/>
            <w:hideMark/>
          </w:tcPr>
          <w:p w:rsidR="008657EE" w:rsidRPr="002B1281" w:rsidRDefault="008657EE" w:rsidP="00436A0D">
            <w:pPr>
              <w:rPr>
                <w:b/>
                <w:bCs/>
                <w:color w:val="000000"/>
                <w:szCs w:val="22"/>
              </w:rPr>
            </w:pPr>
            <w:r w:rsidRPr="002B1281">
              <w:rPr>
                <w:b/>
                <w:bCs/>
                <w:color w:val="000000"/>
                <w:szCs w:val="22"/>
              </w:rPr>
              <w:t>Não</w:t>
            </w:r>
          </w:p>
        </w:tc>
        <w:tc>
          <w:tcPr>
            <w:tcW w:w="805" w:type="dxa"/>
            <w:shd w:val="clear" w:color="auto" w:fill="auto"/>
            <w:noWrap/>
            <w:vAlign w:val="center"/>
          </w:tcPr>
          <w:p w:rsidR="008657EE" w:rsidRPr="002B1281" w:rsidRDefault="008657EE" w:rsidP="00436A0D">
            <w:pPr>
              <w:jc w:val="center"/>
              <w:rPr>
                <w:color w:val="000000"/>
                <w:szCs w:val="22"/>
              </w:rPr>
            </w:pPr>
            <w:r w:rsidRPr="002B1281">
              <w:rPr>
                <w:color w:val="000000"/>
                <w:szCs w:val="22"/>
              </w:rPr>
              <w:t>17</w:t>
            </w:r>
          </w:p>
        </w:tc>
        <w:tc>
          <w:tcPr>
            <w:tcW w:w="2003" w:type="dxa"/>
            <w:shd w:val="clear" w:color="auto" w:fill="auto"/>
            <w:noWrap/>
            <w:vAlign w:val="center"/>
          </w:tcPr>
          <w:p w:rsidR="008657EE" w:rsidRPr="002B1281" w:rsidRDefault="008657EE" w:rsidP="00436A0D">
            <w:pPr>
              <w:jc w:val="center"/>
              <w:rPr>
                <w:color w:val="000000"/>
                <w:szCs w:val="22"/>
              </w:rPr>
            </w:pPr>
            <w:r w:rsidRPr="002B1281">
              <w:rPr>
                <w:color w:val="000000"/>
                <w:szCs w:val="22"/>
              </w:rPr>
              <w:t>58,6%</w:t>
            </w:r>
          </w:p>
        </w:tc>
        <w:tc>
          <w:tcPr>
            <w:tcW w:w="2404" w:type="dxa"/>
            <w:tcBorders>
              <w:right w:val="nil"/>
            </w:tcBorders>
            <w:vAlign w:val="center"/>
          </w:tcPr>
          <w:p w:rsidR="008657EE" w:rsidRPr="002B1281" w:rsidRDefault="008657EE">
            <w:pPr>
              <w:jc w:val="center"/>
              <w:rPr>
                <w:szCs w:val="22"/>
              </w:rPr>
            </w:pPr>
            <w:r w:rsidRPr="002B1281">
              <w:rPr>
                <w:b/>
                <w:color w:val="00B050"/>
                <w:szCs w:val="22"/>
              </w:rPr>
              <w:t>0,8692</w:t>
            </w:r>
          </w:p>
        </w:tc>
      </w:tr>
      <w:tr w:rsidR="008657EE" w:rsidRPr="002B1281" w:rsidTr="005B651D">
        <w:trPr>
          <w:cnfStyle w:val="000000100000" w:firstRow="0" w:lastRow="0" w:firstColumn="0" w:lastColumn="0" w:oddVBand="0" w:evenVBand="0" w:oddHBand="1" w:evenHBand="0" w:firstRowFirstColumn="0" w:firstRowLastColumn="0" w:lastRowFirstColumn="0" w:lastRowLastColumn="0"/>
          <w:trHeight w:val="227"/>
          <w:jc w:val="center"/>
        </w:trPr>
        <w:tc>
          <w:tcPr>
            <w:tcW w:w="1799" w:type="dxa"/>
            <w:tcBorders>
              <w:left w:val="nil"/>
            </w:tcBorders>
          </w:tcPr>
          <w:p w:rsidR="008657EE" w:rsidRPr="002B1281" w:rsidRDefault="008657EE" w:rsidP="00436A0D">
            <w:pPr>
              <w:jc w:val="center"/>
              <w:rPr>
                <w:b/>
                <w:iCs/>
                <w:color w:val="000000"/>
                <w:szCs w:val="22"/>
              </w:rPr>
            </w:pPr>
            <w:r w:rsidRPr="002B1281">
              <w:rPr>
                <w:b/>
                <w:iCs/>
                <w:color w:val="000000"/>
                <w:szCs w:val="22"/>
              </w:rPr>
              <w:t>Regulação 2011</w:t>
            </w:r>
          </w:p>
        </w:tc>
        <w:tc>
          <w:tcPr>
            <w:tcW w:w="805" w:type="dxa"/>
            <w:noWrap/>
          </w:tcPr>
          <w:p w:rsidR="008657EE" w:rsidRPr="002B1281" w:rsidRDefault="008657EE" w:rsidP="00436A0D">
            <w:pPr>
              <w:jc w:val="center"/>
              <w:rPr>
                <w:b/>
                <w:iCs/>
                <w:color w:val="000000"/>
                <w:szCs w:val="22"/>
              </w:rPr>
            </w:pPr>
          </w:p>
        </w:tc>
        <w:tc>
          <w:tcPr>
            <w:tcW w:w="2003" w:type="dxa"/>
            <w:noWrap/>
          </w:tcPr>
          <w:p w:rsidR="008657EE" w:rsidRPr="002B1281" w:rsidRDefault="008657EE" w:rsidP="00436A0D">
            <w:pPr>
              <w:jc w:val="center"/>
              <w:rPr>
                <w:b/>
                <w:bCs/>
                <w:color w:val="000000"/>
                <w:szCs w:val="22"/>
              </w:rPr>
            </w:pPr>
          </w:p>
        </w:tc>
        <w:tc>
          <w:tcPr>
            <w:tcW w:w="2404" w:type="dxa"/>
            <w:tcBorders>
              <w:right w:val="nil"/>
            </w:tcBorders>
          </w:tcPr>
          <w:p w:rsidR="008657EE" w:rsidRPr="002B1281" w:rsidRDefault="008657EE" w:rsidP="00436A0D">
            <w:pPr>
              <w:jc w:val="center"/>
              <w:rPr>
                <w:b/>
                <w:bCs/>
                <w:color w:val="000000"/>
                <w:szCs w:val="22"/>
              </w:rPr>
            </w:pPr>
          </w:p>
        </w:tc>
      </w:tr>
      <w:tr w:rsidR="00A14B55" w:rsidRPr="002B1281" w:rsidTr="005B651D">
        <w:trPr>
          <w:cnfStyle w:val="000000010000" w:firstRow="0" w:lastRow="0" w:firstColumn="0" w:lastColumn="0" w:oddVBand="0" w:evenVBand="0" w:oddHBand="0" w:evenHBand="1" w:firstRowFirstColumn="0" w:firstRowLastColumn="0" w:lastRowFirstColumn="0" w:lastRowLastColumn="0"/>
          <w:trHeight w:val="227"/>
          <w:jc w:val="center"/>
        </w:trPr>
        <w:tc>
          <w:tcPr>
            <w:tcW w:w="1799" w:type="dxa"/>
            <w:tcBorders>
              <w:left w:val="nil"/>
            </w:tcBorders>
            <w:shd w:val="clear" w:color="auto" w:fill="auto"/>
            <w:noWrap/>
            <w:hideMark/>
          </w:tcPr>
          <w:p w:rsidR="00A14B55" w:rsidRPr="002B1281" w:rsidRDefault="00A14B55" w:rsidP="00436A0D">
            <w:pPr>
              <w:rPr>
                <w:b/>
                <w:bCs/>
                <w:color w:val="000000"/>
                <w:szCs w:val="22"/>
              </w:rPr>
            </w:pPr>
            <w:r w:rsidRPr="002B1281">
              <w:rPr>
                <w:b/>
                <w:bCs/>
                <w:color w:val="000000"/>
                <w:szCs w:val="22"/>
              </w:rPr>
              <w:t>Sim</w:t>
            </w:r>
          </w:p>
        </w:tc>
        <w:tc>
          <w:tcPr>
            <w:tcW w:w="805" w:type="dxa"/>
            <w:shd w:val="clear" w:color="auto" w:fill="auto"/>
            <w:noWrap/>
            <w:vAlign w:val="center"/>
          </w:tcPr>
          <w:p w:rsidR="00A14B55" w:rsidRPr="002B1281" w:rsidRDefault="00A14B55" w:rsidP="00436A0D">
            <w:pPr>
              <w:jc w:val="center"/>
              <w:rPr>
                <w:color w:val="000000"/>
                <w:szCs w:val="22"/>
              </w:rPr>
            </w:pPr>
            <w:r w:rsidRPr="002B1281">
              <w:rPr>
                <w:color w:val="000000"/>
                <w:szCs w:val="22"/>
              </w:rPr>
              <w:t>20</w:t>
            </w:r>
          </w:p>
        </w:tc>
        <w:tc>
          <w:tcPr>
            <w:tcW w:w="2003" w:type="dxa"/>
            <w:shd w:val="clear" w:color="auto" w:fill="auto"/>
            <w:noWrap/>
            <w:vAlign w:val="center"/>
          </w:tcPr>
          <w:p w:rsidR="00A14B55" w:rsidRPr="002B1281" w:rsidRDefault="00A14B55" w:rsidP="00436A0D">
            <w:pPr>
              <w:jc w:val="center"/>
              <w:rPr>
                <w:color w:val="000000"/>
                <w:szCs w:val="22"/>
              </w:rPr>
            </w:pPr>
            <w:r w:rsidRPr="002B1281">
              <w:rPr>
                <w:color w:val="000000"/>
                <w:szCs w:val="22"/>
              </w:rPr>
              <w:t>69,0%</w:t>
            </w:r>
          </w:p>
        </w:tc>
        <w:tc>
          <w:tcPr>
            <w:tcW w:w="2404" w:type="dxa"/>
            <w:tcBorders>
              <w:right w:val="nil"/>
            </w:tcBorders>
            <w:vAlign w:val="center"/>
          </w:tcPr>
          <w:p w:rsidR="00A14B55" w:rsidRPr="002B1281" w:rsidRDefault="00A14B55">
            <w:pPr>
              <w:jc w:val="center"/>
              <w:rPr>
                <w:szCs w:val="22"/>
              </w:rPr>
            </w:pPr>
            <w:r w:rsidRPr="002B1281">
              <w:rPr>
                <w:szCs w:val="22"/>
              </w:rPr>
              <w:t>0,8054</w:t>
            </w:r>
          </w:p>
        </w:tc>
      </w:tr>
      <w:tr w:rsidR="00A14B55" w:rsidRPr="002B1281" w:rsidTr="005B651D">
        <w:trPr>
          <w:cnfStyle w:val="000000100000" w:firstRow="0" w:lastRow="0" w:firstColumn="0" w:lastColumn="0" w:oddVBand="0" w:evenVBand="0" w:oddHBand="1" w:evenHBand="0" w:firstRowFirstColumn="0" w:firstRowLastColumn="0" w:lastRowFirstColumn="0" w:lastRowLastColumn="0"/>
          <w:trHeight w:val="227"/>
          <w:jc w:val="center"/>
        </w:trPr>
        <w:tc>
          <w:tcPr>
            <w:tcW w:w="1799" w:type="dxa"/>
            <w:tcBorders>
              <w:left w:val="nil"/>
              <w:bottom w:val="single" w:sz="12" w:space="0" w:color="008080"/>
            </w:tcBorders>
            <w:shd w:val="clear" w:color="auto" w:fill="auto"/>
            <w:noWrap/>
            <w:hideMark/>
          </w:tcPr>
          <w:p w:rsidR="00A14B55" w:rsidRPr="002B1281" w:rsidRDefault="00A14B55" w:rsidP="00436A0D">
            <w:pPr>
              <w:rPr>
                <w:b/>
                <w:bCs/>
                <w:color w:val="000000"/>
                <w:szCs w:val="22"/>
              </w:rPr>
            </w:pPr>
            <w:r w:rsidRPr="002B1281">
              <w:rPr>
                <w:b/>
                <w:bCs/>
                <w:color w:val="000000"/>
                <w:szCs w:val="22"/>
              </w:rPr>
              <w:t>Não</w:t>
            </w:r>
          </w:p>
        </w:tc>
        <w:tc>
          <w:tcPr>
            <w:tcW w:w="805" w:type="dxa"/>
            <w:tcBorders>
              <w:bottom w:val="single" w:sz="12" w:space="0" w:color="008080"/>
            </w:tcBorders>
            <w:shd w:val="clear" w:color="auto" w:fill="auto"/>
            <w:noWrap/>
            <w:vAlign w:val="center"/>
          </w:tcPr>
          <w:p w:rsidR="00A14B55" w:rsidRPr="002B1281" w:rsidRDefault="00A14B55" w:rsidP="00436A0D">
            <w:pPr>
              <w:jc w:val="center"/>
              <w:rPr>
                <w:color w:val="000000"/>
                <w:szCs w:val="22"/>
              </w:rPr>
            </w:pPr>
            <w:proofErr w:type="gramStart"/>
            <w:r w:rsidRPr="002B1281">
              <w:rPr>
                <w:color w:val="000000"/>
                <w:szCs w:val="22"/>
              </w:rPr>
              <w:t>9</w:t>
            </w:r>
            <w:proofErr w:type="gramEnd"/>
          </w:p>
        </w:tc>
        <w:tc>
          <w:tcPr>
            <w:tcW w:w="2003" w:type="dxa"/>
            <w:tcBorders>
              <w:bottom w:val="single" w:sz="12" w:space="0" w:color="008080"/>
            </w:tcBorders>
            <w:shd w:val="clear" w:color="auto" w:fill="auto"/>
            <w:noWrap/>
            <w:vAlign w:val="center"/>
          </w:tcPr>
          <w:p w:rsidR="00A14B55" w:rsidRPr="002B1281" w:rsidRDefault="00A14B55" w:rsidP="00436A0D">
            <w:pPr>
              <w:jc w:val="center"/>
              <w:rPr>
                <w:color w:val="000000"/>
                <w:szCs w:val="22"/>
              </w:rPr>
            </w:pPr>
            <w:r w:rsidRPr="002B1281">
              <w:rPr>
                <w:color w:val="000000"/>
                <w:szCs w:val="22"/>
              </w:rPr>
              <w:t>31,0%</w:t>
            </w:r>
          </w:p>
        </w:tc>
        <w:tc>
          <w:tcPr>
            <w:tcW w:w="2404" w:type="dxa"/>
            <w:tcBorders>
              <w:bottom w:val="single" w:sz="12" w:space="0" w:color="008080"/>
              <w:right w:val="nil"/>
            </w:tcBorders>
            <w:shd w:val="clear" w:color="auto" w:fill="auto"/>
            <w:vAlign w:val="center"/>
          </w:tcPr>
          <w:p w:rsidR="00A14B55" w:rsidRPr="002B1281" w:rsidRDefault="00A14B55">
            <w:pPr>
              <w:jc w:val="center"/>
              <w:rPr>
                <w:szCs w:val="22"/>
              </w:rPr>
            </w:pPr>
            <w:r w:rsidRPr="002B1281">
              <w:rPr>
                <w:b/>
                <w:color w:val="00B050"/>
                <w:szCs w:val="22"/>
              </w:rPr>
              <w:t>0,8263</w:t>
            </w:r>
          </w:p>
        </w:tc>
      </w:tr>
    </w:tbl>
    <w:p w:rsidR="008657EE" w:rsidRPr="008657EE" w:rsidRDefault="008657EE" w:rsidP="00311BDB">
      <w:pPr>
        <w:spacing w:after="0" w:line="240" w:lineRule="auto"/>
        <w:ind w:left="708" w:firstLine="708"/>
        <w:jc w:val="both"/>
        <w:outlineLvl w:val="0"/>
        <w:rPr>
          <w:rFonts w:ascii="Times New Roman" w:hAnsi="Times New Roman" w:cs="Times New Roman"/>
          <w:sz w:val="20"/>
        </w:rPr>
      </w:pPr>
      <w:r w:rsidRPr="008657EE">
        <w:rPr>
          <w:rFonts w:ascii="Times New Roman" w:hAnsi="Times New Roman" w:cs="Times New Roman"/>
          <w:b/>
          <w:sz w:val="20"/>
        </w:rPr>
        <w:t>Fonte</w:t>
      </w:r>
      <w:r w:rsidRPr="008657EE">
        <w:rPr>
          <w:rFonts w:ascii="Times New Roman" w:hAnsi="Times New Roman" w:cs="Times New Roman"/>
          <w:sz w:val="20"/>
        </w:rPr>
        <w:t>: Elaboração da autora.</w:t>
      </w:r>
    </w:p>
    <w:p w:rsidR="000C36BC" w:rsidRPr="000C36BC" w:rsidRDefault="00A80D51" w:rsidP="008E20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47EF6">
        <w:rPr>
          <w:rFonts w:ascii="Times New Roman" w:hAnsi="Times New Roman" w:cs="Times New Roman"/>
          <w:sz w:val="24"/>
          <w:szCs w:val="24"/>
        </w:rPr>
        <w:t>É</w:t>
      </w:r>
      <w:r w:rsidRPr="00A80D51">
        <w:rPr>
          <w:rFonts w:ascii="Times New Roman" w:hAnsi="Times New Roman" w:cs="Times New Roman"/>
          <w:sz w:val="24"/>
          <w:szCs w:val="24"/>
        </w:rPr>
        <w:t xml:space="preserve"> preciso considerar que os estudos empíricos que foram mencionados dizem respeito à experiência internacional</w:t>
      </w:r>
      <w:r w:rsidR="00250B7F">
        <w:rPr>
          <w:rFonts w:ascii="Times New Roman" w:hAnsi="Times New Roman" w:cs="Times New Roman"/>
          <w:sz w:val="24"/>
          <w:szCs w:val="24"/>
        </w:rPr>
        <w:t>;</w:t>
      </w:r>
      <w:r w:rsidR="00A47EF6">
        <w:rPr>
          <w:rFonts w:ascii="Times New Roman" w:hAnsi="Times New Roman" w:cs="Times New Roman"/>
          <w:sz w:val="24"/>
          <w:szCs w:val="24"/>
        </w:rPr>
        <w:t xml:space="preserve"> e</w:t>
      </w:r>
      <w:r w:rsidRPr="00A80D51">
        <w:rPr>
          <w:rFonts w:ascii="Times New Roman" w:hAnsi="Times New Roman" w:cs="Times New Roman"/>
          <w:sz w:val="24"/>
          <w:szCs w:val="24"/>
        </w:rPr>
        <w:t>m estudo realizado por Barbosa (2012) para o Brasil, a variável "experiência da agência reguladora", medida em anos de existência da entidade, não foi estatisticamente significativa para explicar o escore de desempenho econômico-financeiro dos prestadores de SAA e SES. O caso brasileiro apresenta particularidades: o marco regulatório é muito recente e não foi instituída uma entidade reguladora central, mas sim diversas entidades reguladoras estaduais, municipais, consorciadas que</w:t>
      </w:r>
      <w:r w:rsidR="00D06CDF">
        <w:rPr>
          <w:rFonts w:ascii="Times New Roman" w:hAnsi="Times New Roman" w:cs="Times New Roman"/>
          <w:sz w:val="24"/>
          <w:szCs w:val="24"/>
        </w:rPr>
        <w:t>,</w:t>
      </w:r>
      <w:r w:rsidRPr="00A80D51">
        <w:rPr>
          <w:rFonts w:ascii="Times New Roman" w:hAnsi="Times New Roman" w:cs="Times New Roman"/>
          <w:sz w:val="24"/>
          <w:szCs w:val="24"/>
        </w:rPr>
        <w:t xml:space="preserve"> em alguns casos</w:t>
      </w:r>
      <w:r w:rsidR="00D06CDF">
        <w:rPr>
          <w:rFonts w:ascii="Times New Roman" w:hAnsi="Times New Roman" w:cs="Times New Roman"/>
          <w:sz w:val="24"/>
          <w:szCs w:val="24"/>
        </w:rPr>
        <w:t>,</w:t>
      </w:r>
      <w:r w:rsidR="00A47EF6">
        <w:rPr>
          <w:rFonts w:ascii="Times New Roman" w:hAnsi="Times New Roman" w:cs="Times New Roman"/>
          <w:sz w:val="24"/>
          <w:szCs w:val="24"/>
        </w:rPr>
        <w:t xml:space="preserve"> ainda estão se estruturando.</w:t>
      </w:r>
    </w:p>
    <w:p w:rsidR="000C36BC" w:rsidRPr="000C36BC" w:rsidRDefault="000C36BC" w:rsidP="000C36BC">
      <w:pPr>
        <w:spacing w:after="0" w:line="240" w:lineRule="auto"/>
        <w:jc w:val="both"/>
        <w:rPr>
          <w:rFonts w:ascii="Times New Roman" w:hAnsi="Times New Roman" w:cs="Times New Roman"/>
          <w:sz w:val="24"/>
          <w:szCs w:val="24"/>
        </w:rPr>
      </w:pPr>
    </w:p>
    <w:p w:rsidR="000C36BC" w:rsidRPr="000C36BC" w:rsidRDefault="000C36BC" w:rsidP="000C36BC">
      <w:pPr>
        <w:spacing w:after="0" w:line="240" w:lineRule="auto"/>
        <w:jc w:val="both"/>
        <w:rPr>
          <w:rFonts w:ascii="Times New Roman" w:hAnsi="Times New Roman" w:cs="Times New Roman"/>
          <w:b/>
          <w:sz w:val="24"/>
          <w:szCs w:val="24"/>
        </w:rPr>
      </w:pPr>
      <w:proofErr w:type="gramStart"/>
      <w:r w:rsidRPr="000C36BC">
        <w:rPr>
          <w:rFonts w:ascii="Times New Roman" w:hAnsi="Times New Roman" w:cs="Times New Roman"/>
          <w:b/>
          <w:sz w:val="24"/>
          <w:szCs w:val="24"/>
        </w:rPr>
        <w:t>5.2 Análise</w:t>
      </w:r>
      <w:proofErr w:type="gramEnd"/>
      <w:r w:rsidRPr="000C36BC">
        <w:rPr>
          <w:rFonts w:ascii="Times New Roman" w:hAnsi="Times New Roman" w:cs="Times New Roman"/>
          <w:b/>
          <w:sz w:val="24"/>
          <w:szCs w:val="24"/>
        </w:rPr>
        <w:t xml:space="preserve"> da variação da produtividade dos prestadores de SAA e SES: uma aplicação do Índice de </w:t>
      </w:r>
      <w:proofErr w:type="spellStart"/>
      <w:r w:rsidRPr="000C36BC">
        <w:rPr>
          <w:rFonts w:ascii="Times New Roman" w:hAnsi="Times New Roman" w:cs="Times New Roman"/>
          <w:b/>
          <w:sz w:val="24"/>
          <w:szCs w:val="24"/>
        </w:rPr>
        <w:t>Malmquist</w:t>
      </w:r>
      <w:proofErr w:type="spellEnd"/>
    </w:p>
    <w:p w:rsidR="000C36BC" w:rsidRPr="000C36BC" w:rsidRDefault="000C36BC" w:rsidP="000C36BC">
      <w:pPr>
        <w:spacing w:after="0" w:line="240" w:lineRule="auto"/>
        <w:jc w:val="both"/>
        <w:rPr>
          <w:rFonts w:ascii="Times New Roman" w:hAnsi="Times New Roman" w:cs="Times New Roman"/>
          <w:sz w:val="24"/>
          <w:szCs w:val="24"/>
        </w:rPr>
      </w:pPr>
    </w:p>
    <w:p w:rsidR="00B1356F" w:rsidRDefault="000C36BC" w:rsidP="002A45E1">
      <w:pPr>
        <w:spacing w:after="0" w:line="240" w:lineRule="auto"/>
        <w:jc w:val="both"/>
        <w:rPr>
          <w:rFonts w:ascii="Times New Roman" w:hAnsi="Times New Roman" w:cs="Times New Roman"/>
          <w:sz w:val="24"/>
          <w:szCs w:val="24"/>
        </w:rPr>
      </w:pPr>
      <w:r w:rsidRPr="004914E9">
        <w:rPr>
          <w:rFonts w:ascii="Times New Roman" w:hAnsi="Times New Roman" w:cs="Times New Roman"/>
          <w:sz w:val="24"/>
          <w:szCs w:val="24"/>
        </w:rPr>
        <w:tab/>
        <w:t>Os resultados</w:t>
      </w:r>
      <w:r w:rsidR="007B0856">
        <w:rPr>
          <w:rFonts w:ascii="Times New Roman" w:hAnsi="Times New Roman" w:cs="Times New Roman"/>
          <w:sz w:val="24"/>
          <w:szCs w:val="24"/>
        </w:rPr>
        <w:t xml:space="preserve"> do Índice de </w:t>
      </w:r>
      <w:proofErr w:type="spellStart"/>
      <w:r w:rsidR="007B0856">
        <w:rPr>
          <w:rFonts w:ascii="Times New Roman" w:hAnsi="Times New Roman" w:cs="Times New Roman"/>
          <w:sz w:val="24"/>
          <w:szCs w:val="24"/>
        </w:rPr>
        <w:t>Malmquist</w:t>
      </w:r>
      <w:proofErr w:type="spellEnd"/>
      <w:r w:rsidRPr="004914E9">
        <w:rPr>
          <w:rFonts w:ascii="Times New Roman" w:hAnsi="Times New Roman" w:cs="Times New Roman"/>
          <w:sz w:val="24"/>
          <w:szCs w:val="24"/>
        </w:rPr>
        <w:t xml:space="preserve"> encontrados para cada prestador de SAA e SES estão dis</w:t>
      </w:r>
      <w:r w:rsidR="002A45E1">
        <w:rPr>
          <w:rFonts w:ascii="Times New Roman" w:hAnsi="Times New Roman" w:cs="Times New Roman"/>
          <w:sz w:val="24"/>
          <w:szCs w:val="24"/>
        </w:rPr>
        <w:t>postos no Apêndice B</w:t>
      </w:r>
      <w:r w:rsidRPr="004914E9">
        <w:rPr>
          <w:rFonts w:ascii="Times New Roman" w:hAnsi="Times New Roman" w:cs="Times New Roman"/>
          <w:sz w:val="24"/>
          <w:szCs w:val="24"/>
        </w:rPr>
        <w:t>.</w:t>
      </w:r>
      <w:r w:rsidR="002A45E1">
        <w:rPr>
          <w:rFonts w:ascii="Times New Roman" w:hAnsi="Times New Roman" w:cs="Times New Roman"/>
          <w:sz w:val="24"/>
          <w:szCs w:val="24"/>
        </w:rPr>
        <w:t xml:space="preserve"> P</w:t>
      </w:r>
      <w:r w:rsidR="00B1356F" w:rsidRPr="00436A0D">
        <w:rPr>
          <w:rFonts w:ascii="Times New Roman" w:hAnsi="Times New Roman" w:cs="Times New Roman"/>
          <w:sz w:val="24"/>
          <w:szCs w:val="24"/>
        </w:rPr>
        <w:t xml:space="preserve">ode-se verificar que </w:t>
      </w:r>
      <w:r w:rsidR="00B1356F">
        <w:rPr>
          <w:rFonts w:ascii="Times New Roman" w:hAnsi="Times New Roman" w:cs="Times New Roman"/>
          <w:sz w:val="24"/>
          <w:szCs w:val="24"/>
        </w:rPr>
        <w:t>17 (58,62%)</w:t>
      </w:r>
      <w:r w:rsidR="00B1356F" w:rsidRPr="00436A0D">
        <w:rPr>
          <w:rFonts w:ascii="Times New Roman" w:hAnsi="Times New Roman" w:cs="Times New Roman"/>
          <w:sz w:val="24"/>
          <w:szCs w:val="24"/>
        </w:rPr>
        <w:t xml:space="preserve"> dos 29 prestadores de SAA e SES analisados tiveram aumento na sua produtividade total, obtendo um Ín</w:t>
      </w:r>
      <w:r w:rsidR="00B1356F">
        <w:rPr>
          <w:rFonts w:ascii="Times New Roman" w:hAnsi="Times New Roman" w:cs="Times New Roman"/>
          <w:sz w:val="24"/>
          <w:szCs w:val="24"/>
        </w:rPr>
        <w:t xml:space="preserve">dice de </w:t>
      </w:r>
      <w:proofErr w:type="spellStart"/>
      <w:r w:rsidR="00B1356F">
        <w:rPr>
          <w:rFonts w:ascii="Times New Roman" w:hAnsi="Times New Roman" w:cs="Times New Roman"/>
          <w:sz w:val="24"/>
          <w:szCs w:val="24"/>
        </w:rPr>
        <w:t>Malmquist</w:t>
      </w:r>
      <w:proofErr w:type="spellEnd"/>
      <w:r w:rsidR="00B1356F">
        <w:rPr>
          <w:rFonts w:ascii="Times New Roman" w:hAnsi="Times New Roman" w:cs="Times New Roman"/>
          <w:sz w:val="24"/>
          <w:szCs w:val="24"/>
        </w:rPr>
        <w:t xml:space="preserve"> maior que </w:t>
      </w:r>
      <w:proofErr w:type="gramStart"/>
      <w:r w:rsidR="00B1356F">
        <w:rPr>
          <w:rFonts w:ascii="Times New Roman" w:hAnsi="Times New Roman" w:cs="Times New Roman"/>
          <w:sz w:val="24"/>
          <w:szCs w:val="24"/>
        </w:rPr>
        <w:t>1</w:t>
      </w:r>
      <w:proofErr w:type="gramEnd"/>
      <w:r w:rsidR="00B1356F">
        <w:rPr>
          <w:rFonts w:ascii="Times New Roman" w:hAnsi="Times New Roman" w:cs="Times New Roman"/>
          <w:sz w:val="24"/>
          <w:szCs w:val="24"/>
        </w:rPr>
        <w:t>, o outro grupo de 12 prestadores (41,38%)</w:t>
      </w:r>
      <w:r w:rsidR="00B1356F" w:rsidRPr="00436A0D">
        <w:rPr>
          <w:rFonts w:ascii="Times New Roman" w:hAnsi="Times New Roman" w:cs="Times New Roman"/>
          <w:sz w:val="24"/>
          <w:szCs w:val="24"/>
        </w:rPr>
        <w:t xml:space="preserve"> apresentou queda de produtividade. O maior avanço para o período foi alcançado pela CAEMA (1,</w:t>
      </w:r>
      <w:r w:rsidR="00B1356F">
        <w:rPr>
          <w:rFonts w:ascii="Times New Roman" w:hAnsi="Times New Roman" w:cs="Times New Roman"/>
          <w:sz w:val="24"/>
          <w:szCs w:val="24"/>
        </w:rPr>
        <w:t>9406</w:t>
      </w:r>
      <w:r w:rsidR="00B1356F" w:rsidRPr="00436A0D">
        <w:rPr>
          <w:rFonts w:ascii="Times New Roman" w:hAnsi="Times New Roman" w:cs="Times New Roman"/>
          <w:sz w:val="24"/>
          <w:szCs w:val="24"/>
        </w:rPr>
        <w:t>) e o índice mais baixo</w:t>
      </w:r>
      <w:r w:rsidR="00B1356F">
        <w:rPr>
          <w:rFonts w:ascii="Times New Roman" w:hAnsi="Times New Roman" w:cs="Times New Roman"/>
          <w:sz w:val="24"/>
          <w:szCs w:val="24"/>
        </w:rPr>
        <w:t xml:space="preserve"> foi</w:t>
      </w:r>
      <w:r w:rsidR="00B1356F" w:rsidRPr="00436A0D">
        <w:rPr>
          <w:rFonts w:ascii="Times New Roman" w:hAnsi="Times New Roman" w:cs="Times New Roman"/>
          <w:sz w:val="24"/>
          <w:szCs w:val="24"/>
        </w:rPr>
        <w:t xml:space="preserve"> atribuído à CAERN (0,</w:t>
      </w:r>
      <w:r w:rsidR="00B1356F">
        <w:rPr>
          <w:rFonts w:ascii="Times New Roman" w:hAnsi="Times New Roman" w:cs="Times New Roman"/>
          <w:sz w:val="24"/>
          <w:szCs w:val="24"/>
        </w:rPr>
        <w:t>7041</w:t>
      </w:r>
      <w:r w:rsidR="00B1356F" w:rsidRPr="00436A0D">
        <w:rPr>
          <w:rFonts w:ascii="Times New Roman" w:hAnsi="Times New Roman" w:cs="Times New Roman"/>
          <w:sz w:val="24"/>
          <w:szCs w:val="24"/>
        </w:rPr>
        <w:t>).</w:t>
      </w:r>
    </w:p>
    <w:p w:rsidR="00436A0D" w:rsidRDefault="00436A0D" w:rsidP="00436A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436A0D">
        <w:rPr>
          <w:rFonts w:ascii="Times New Roman" w:hAnsi="Times New Roman" w:cs="Times New Roman"/>
          <w:sz w:val="24"/>
          <w:szCs w:val="24"/>
        </w:rPr>
        <w:t xml:space="preserve">Analisando o resultado decomposto, percebe-se que o efeito </w:t>
      </w:r>
      <w:proofErr w:type="spellStart"/>
      <w:r w:rsidR="00D554C8" w:rsidRPr="00D554C8">
        <w:rPr>
          <w:rFonts w:ascii="Times New Roman" w:hAnsi="Times New Roman" w:cs="Times New Roman"/>
          <w:i/>
          <w:sz w:val="24"/>
          <w:szCs w:val="24"/>
        </w:rPr>
        <w:t>frontier</w:t>
      </w:r>
      <w:proofErr w:type="spellEnd"/>
      <w:r w:rsidR="00D554C8" w:rsidRPr="00D554C8">
        <w:rPr>
          <w:rFonts w:ascii="Times New Roman" w:hAnsi="Times New Roman" w:cs="Times New Roman"/>
          <w:i/>
          <w:sz w:val="24"/>
          <w:szCs w:val="24"/>
        </w:rPr>
        <w:t>-shift</w:t>
      </w:r>
      <w:r w:rsidRPr="00436A0D">
        <w:rPr>
          <w:rFonts w:ascii="Times New Roman" w:hAnsi="Times New Roman" w:cs="Times New Roman"/>
          <w:sz w:val="24"/>
          <w:szCs w:val="24"/>
        </w:rPr>
        <w:t xml:space="preserve"> </w:t>
      </w:r>
      <w:r w:rsidR="00D554C8">
        <w:rPr>
          <w:rFonts w:ascii="Times New Roman" w:hAnsi="Times New Roman" w:cs="Times New Roman"/>
          <w:sz w:val="24"/>
          <w:szCs w:val="24"/>
        </w:rPr>
        <w:t xml:space="preserve">(deslocamento da fronteira) </w:t>
      </w:r>
      <w:r w:rsidRPr="00436A0D">
        <w:rPr>
          <w:rFonts w:ascii="Times New Roman" w:hAnsi="Times New Roman" w:cs="Times New Roman"/>
          <w:sz w:val="24"/>
          <w:szCs w:val="24"/>
        </w:rPr>
        <w:t>teve um peso considerável para que a maioria dos prestadores apresentasse aumento da produtividade, já que em 8</w:t>
      </w:r>
      <w:r w:rsidR="000F28C9">
        <w:rPr>
          <w:rFonts w:ascii="Times New Roman" w:hAnsi="Times New Roman" w:cs="Times New Roman"/>
          <w:sz w:val="24"/>
          <w:szCs w:val="24"/>
        </w:rPr>
        <w:t>2</w:t>
      </w:r>
      <w:r w:rsidRPr="00436A0D">
        <w:rPr>
          <w:rFonts w:ascii="Times New Roman" w:hAnsi="Times New Roman" w:cs="Times New Roman"/>
          <w:sz w:val="24"/>
          <w:szCs w:val="24"/>
        </w:rPr>
        <w:t>,</w:t>
      </w:r>
      <w:r w:rsidR="000F28C9">
        <w:rPr>
          <w:rFonts w:ascii="Times New Roman" w:hAnsi="Times New Roman" w:cs="Times New Roman"/>
          <w:sz w:val="24"/>
          <w:szCs w:val="24"/>
        </w:rPr>
        <w:t>76</w:t>
      </w:r>
      <w:r w:rsidRPr="00436A0D">
        <w:rPr>
          <w:rFonts w:ascii="Times New Roman" w:hAnsi="Times New Roman" w:cs="Times New Roman"/>
          <w:sz w:val="24"/>
          <w:szCs w:val="24"/>
        </w:rPr>
        <w:t>% (2</w:t>
      </w:r>
      <w:r w:rsidR="000F28C9">
        <w:rPr>
          <w:rFonts w:ascii="Times New Roman" w:hAnsi="Times New Roman" w:cs="Times New Roman"/>
          <w:sz w:val="24"/>
          <w:szCs w:val="24"/>
        </w:rPr>
        <w:t>4</w:t>
      </w:r>
      <w:r w:rsidRPr="00436A0D">
        <w:rPr>
          <w:rFonts w:ascii="Times New Roman" w:hAnsi="Times New Roman" w:cs="Times New Roman"/>
          <w:sz w:val="24"/>
          <w:szCs w:val="24"/>
        </w:rPr>
        <w:t xml:space="preserve"> prestadores) dos casos o índice de </w:t>
      </w:r>
      <w:proofErr w:type="spellStart"/>
      <w:r w:rsidR="00D554C8" w:rsidRPr="00D554C8">
        <w:rPr>
          <w:rFonts w:ascii="Times New Roman" w:hAnsi="Times New Roman" w:cs="Times New Roman"/>
          <w:i/>
          <w:sz w:val="24"/>
          <w:szCs w:val="24"/>
        </w:rPr>
        <w:t>frontier</w:t>
      </w:r>
      <w:proofErr w:type="spellEnd"/>
      <w:r w:rsidR="00D554C8" w:rsidRPr="00D554C8">
        <w:rPr>
          <w:rFonts w:ascii="Times New Roman" w:hAnsi="Times New Roman" w:cs="Times New Roman"/>
          <w:i/>
          <w:sz w:val="24"/>
          <w:szCs w:val="24"/>
        </w:rPr>
        <w:t>-shift</w:t>
      </w:r>
      <w:r w:rsidR="00D554C8" w:rsidRPr="00436A0D">
        <w:rPr>
          <w:rFonts w:ascii="Times New Roman" w:hAnsi="Times New Roman" w:cs="Times New Roman"/>
          <w:sz w:val="24"/>
          <w:szCs w:val="24"/>
        </w:rPr>
        <w:t xml:space="preserve"> </w:t>
      </w:r>
      <w:r w:rsidRPr="00436A0D">
        <w:rPr>
          <w:rFonts w:ascii="Times New Roman" w:hAnsi="Times New Roman" w:cs="Times New Roman"/>
          <w:sz w:val="24"/>
          <w:szCs w:val="24"/>
        </w:rPr>
        <w:t xml:space="preserve">foi </w:t>
      </w:r>
      <w:r w:rsidR="000F28C9">
        <w:rPr>
          <w:rFonts w:ascii="Times New Roman" w:hAnsi="Times New Roman" w:cs="Times New Roman"/>
          <w:sz w:val="24"/>
          <w:szCs w:val="24"/>
        </w:rPr>
        <w:t>maior</w:t>
      </w:r>
      <w:r w:rsidRPr="00436A0D">
        <w:rPr>
          <w:rFonts w:ascii="Times New Roman" w:hAnsi="Times New Roman" w:cs="Times New Roman"/>
          <w:sz w:val="24"/>
          <w:szCs w:val="24"/>
        </w:rPr>
        <w:t xml:space="preserve"> que </w:t>
      </w:r>
      <w:proofErr w:type="gramStart"/>
      <w:r w:rsidRPr="00436A0D">
        <w:rPr>
          <w:rFonts w:ascii="Times New Roman" w:hAnsi="Times New Roman" w:cs="Times New Roman"/>
          <w:sz w:val="24"/>
          <w:szCs w:val="24"/>
        </w:rPr>
        <w:t>1</w:t>
      </w:r>
      <w:proofErr w:type="gramEnd"/>
      <w:r w:rsidR="000F28C9">
        <w:rPr>
          <w:rFonts w:ascii="Times New Roman" w:hAnsi="Times New Roman" w:cs="Times New Roman"/>
          <w:sz w:val="24"/>
          <w:szCs w:val="24"/>
        </w:rPr>
        <w:t>,</w:t>
      </w:r>
      <w:r w:rsidRPr="00436A0D">
        <w:rPr>
          <w:rFonts w:ascii="Times New Roman" w:hAnsi="Times New Roman" w:cs="Times New Roman"/>
          <w:sz w:val="24"/>
          <w:szCs w:val="24"/>
        </w:rPr>
        <w:t xml:space="preserve"> </w:t>
      </w:r>
      <w:r w:rsidR="00D554C8">
        <w:rPr>
          <w:rFonts w:ascii="Times New Roman" w:hAnsi="Times New Roman" w:cs="Times New Roman"/>
          <w:sz w:val="24"/>
          <w:szCs w:val="24"/>
        </w:rPr>
        <w:t>contribuindo para</w:t>
      </w:r>
      <w:r w:rsidRPr="00436A0D">
        <w:rPr>
          <w:rFonts w:ascii="Times New Roman" w:hAnsi="Times New Roman" w:cs="Times New Roman"/>
          <w:sz w:val="24"/>
          <w:szCs w:val="24"/>
        </w:rPr>
        <w:t xml:space="preserve"> </w:t>
      </w:r>
      <w:r w:rsidR="000F28C9">
        <w:rPr>
          <w:rFonts w:ascii="Times New Roman" w:hAnsi="Times New Roman" w:cs="Times New Roman"/>
          <w:sz w:val="24"/>
          <w:szCs w:val="24"/>
        </w:rPr>
        <w:t>ganhos n</w:t>
      </w:r>
      <w:r w:rsidRPr="00436A0D">
        <w:rPr>
          <w:rFonts w:ascii="Times New Roman" w:hAnsi="Times New Roman" w:cs="Times New Roman"/>
          <w:sz w:val="24"/>
          <w:szCs w:val="24"/>
        </w:rPr>
        <w:t xml:space="preserve">a produtividade total. Já para o índice de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00D554C8">
        <w:rPr>
          <w:rFonts w:ascii="Times New Roman" w:hAnsi="Times New Roman" w:cs="Times New Roman"/>
          <w:sz w:val="24"/>
          <w:szCs w:val="24"/>
        </w:rPr>
        <w:t xml:space="preserve"> (emparelhamento) </w:t>
      </w:r>
      <w:r w:rsidRPr="00436A0D">
        <w:rPr>
          <w:rFonts w:ascii="Times New Roman" w:hAnsi="Times New Roman" w:cs="Times New Roman"/>
          <w:sz w:val="24"/>
          <w:szCs w:val="24"/>
        </w:rPr>
        <w:t xml:space="preserve">os resultados foram mais equilibrados, com </w:t>
      </w:r>
      <w:proofErr w:type="gramStart"/>
      <w:r w:rsidR="000F28C9">
        <w:rPr>
          <w:rFonts w:ascii="Times New Roman" w:hAnsi="Times New Roman" w:cs="Times New Roman"/>
          <w:sz w:val="24"/>
          <w:szCs w:val="24"/>
        </w:rPr>
        <w:t>8</w:t>
      </w:r>
      <w:proofErr w:type="gramEnd"/>
      <w:r w:rsidR="000F28C9">
        <w:rPr>
          <w:rFonts w:ascii="Times New Roman" w:hAnsi="Times New Roman" w:cs="Times New Roman"/>
          <w:sz w:val="24"/>
          <w:szCs w:val="24"/>
        </w:rPr>
        <w:t xml:space="preserve"> (27,59%)</w:t>
      </w:r>
      <w:r w:rsidRPr="00436A0D">
        <w:rPr>
          <w:rFonts w:ascii="Times New Roman" w:hAnsi="Times New Roman" w:cs="Times New Roman"/>
          <w:sz w:val="24"/>
          <w:szCs w:val="24"/>
        </w:rPr>
        <w:t xml:space="preserve"> prestadores alcançando índices maiores que 1, o que representa uma aproximação </w:t>
      </w:r>
      <w:r w:rsidR="00D554C8">
        <w:rPr>
          <w:rFonts w:ascii="Times New Roman" w:hAnsi="Times New Roman" w:cs="Times New Roman"/>
          <w:sz w:val="24"/>
          <w:szCs w:val="24"/>
        </w:rPr>
        <w:t xml:space="preserve">desses prestadores da fronteira </w:t>
      </w:r>
      <w:r w:rsidRPr="00436A0D">
        <w:rPr>
          <w:rFonts w:ascii="Times New Roman" w:hAnsi="Times New Roman" w:cs="Times New Roman"/>
          <w:sz w:val="24"/>
          <w:szCs w:val="24"/>
        </w:rPr>
        <w:t>ou uma variação pura de eficiência</w:t>
      </w:r>
      <w:r w:rsidR="000F28C9">
        <w:rPr>
          <w:rFonts w:ascii="Times New Roman" w:hAnsi="Times New Roman" w:cs="Times New Roman"/>
          <w:sz w:val="24"/>
          <w:szCs w:val="24"/>
        </w:rPr>
        <w:t>, 8 prestadores mantendo o seu nível de desempenho e 13 (44,83%) prestadores com queda de desempenho</w:t>
      </w:r>
      <w:r w:rsidRPr="00436A0D">
        <w:rPr>
          <w:rFonts w:ascii="Times New Roman" w:hAnsi="Times New Roman" w:cs="Times New Roman"/>
          <w:sz w:val="24"/>
          <w:szCs w:val="24"/>
        </w:rPr>
        <w:t>.</w:t>
      </w:r>
      <w:r w:rsidR="00D554C8">
        <w:rPr>
          <w:rFonts w:ascii="Times New Roman" w:hAnsi="Times New Roman" w:cs="Times New Roman"/>
          <w:sz w:val="24"/>
          <w:szCs w:val="24"/>
        </w:rPr>
        <w:t xml:space="preserve"> </w:t>
      </w:r>
      <w:r w:rsidR="00D554C8" w:rsidRPr="00D554C8">
        <w:rPr>
          <w:rFonts w:ascii="Times New Roman" w:hAnsi="Times New Roman" w:cs="Times New Roman"/>
          <w:sz w:val="24"/>
          <w:szCs w:val="24"/>
        </w:rPr>
        <w:t xml:space="preserve">Esses resultados contrariam a tendência apontada por Motta e Moreira (2006) de que, como o setor não está tecnologicamente orientado, os movimentos em direção à fronteira (efeito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00D554C8" w:rsidRPr="00D554C8">
        <w:rPr>
          <w:rFonts w:ascii="Times New Roman" w:hAnsi="Times New Roman" w:cs="Times New Roman"/>
          <w:sz w:val="24"/>
          <w:szCs w:val="24"/>
        </w:rPr>
        <w:t>) devem prevalecer em relação a movimentos de fronteira (</w:t>
      </w:r>
      <w:proofErr w:type="spellStart"/>
      <w:r w:rsidR="00D554C8" w:rsidRPr="00D554C8">
        <w:rPr>
          <w:rFonts w:ascii="Times New Roman" w:hAnsi="Times New Roman" w:cs="Times New Roman"/>
          <w:i/>
          <w:sz w:val="24"/>
          <w:szCs w:val="24"/>
        </w:rPr>
        <w:t>frontier</w:t>
      </w:r>
      <w:proofErr w:type="spellEnd"/>
      <w:r w:rsidR="00D554C8" w:rsidRPr="00D554C8">
        <w:rPr>
          <w:rFonts w:ascii="Times New Roman" w:hAnsi="Times New Roman" w:cs="Times New Roman"/>
          <w:i/>
          <w:sz w:val="24"/>
          <w:szCs w:val="24"/>
        </w:rPr>
        <w:t>-shift</w:t>
      </w:r>
      <w:r w:rsidR="00D554C8" w:rsidRPr="00D554C8">
        <w:rPr>
          <w:rFonts w:ascii="Times New Roman" w:hAnsi="Times New Roman" w:cs="Times New Roman"/>
          <w:sz w:val="24"/>
          <w:szCs w:val="24"/>
        </w:rPr>
        <w:t>).</w:t>
      </w:r>
      <w:r w:rsidR="00531593">
        <w:rPr>
          <w:rFonts w:ascii="Times New Roman" w:hAnsi="Times New Roman" w:cs="Times New Roman"/>
          <w:sz w:val="24"/>
          <w:szCs w:val="24"/>
        </w:rPr>
        <w:t xml:space="preserve"> </w:t>
      </w:r>
      <w:r w:rsidRPr="00436A0D">
        <w:rPr>
          <w:rFonts w:ascii="Times New Roman" w:hAnsi="Times New Roman" w:cs="Times New Roman"/>
          <w:sz w:val="24"/>
          <w:szCs w:val="24"/>
        </w:rPr>
        <w:tab/>
        <w:t>De uma maneira geral</w:t>
      </w:r>
      <w:r w:rsidR="004F20E2">
        <w:rPr>
          <w:rFonts w:ascii="Times New Roman" w:hAnsi="Times New Roman" w:cs="Times New Roman"/>
          <w:sz w:val="24"/>
          <w:szCs w:val="24"/>
        </w:rPr>
        <w:t>,</w:t>
      </w:r>
      <w:r w:rsidRPr="00436A0D">
        <w:rPr>
          <w:rFonts w:ascii="Times New Roman" w:hAnsi="Times New Roman" w:cs="Times New Roman"/>
          <w:sz w:val="24"/>
          <w:szCs w:val="24"/>
        </w:rPr>
        <w:t xml:space="preserve"> o conjunto dos prestadores de SAA</w:t>
      </w:r>
      <w:r w:rsidR="000F28C9">
        <w:rPr>
          <w:rFonts w:ascii="Times New Roman" w:hAnsi="Times New Roman" w:cs="Times New Roman"/>
          <w:sz w:val="24"/>
          <w:szCs w:val="24"/>
        </w:rPr>
        <w:t xml:space="preserve"> e SES apresentou ganho</w:t>
      </w:r>
      <w:r w:rsidRPr="00436A0D">
        <w:rPr>
          <w:rFonts w:ascii="Times New Roman" w:hAnsi="Times New Roman" w:cs="Times New Roman"/>
          <w:sz w:val="24"/>
          <w:szCs w:val="24"/>
        </w:rPr>
        <w:t xml:space="preserve"> de produtividade entre 2006 e 2011 com um Índice de </w:t>
      </w:r>
      <w:proofErr w:type="spellStart"/>
      <w:r w:rsidRPr="00436A0D">
        <w:rPr>
          <w:rFonts w:ascii="Times New Roman" w:hAnsi="Times New Roman" w:cs="Times New Roman"/>
          <w:sz w:val="24"/>
          <w:szCs w:val="24"/>
        </w:rPr>
        <w:t>Malmquist</w:t>
      </w:r>
      <w:proofErr w:type="spellEnd"/>
      <w:r w:rsidRPr="00436A0D">
        <w:rPr>
          <w:rFonts w:ascii="Times New Roman" w:hAnsi="Times New Roman" w:cs="Times New Roman"/>
          <w:sz w:val="24"/>
          <w:szCs w:val="24"/>
        </w:rPr>
        <w:t xml:space="preserve"> médio de </w:t>
      </w:r>
      <w:r w:rsidR="000F28C9">
        <w:rPr>
          <w:rFonts w:ascii="Times New Roman" w:hAnsi="Times New Roman" w:cs="Times New Roman"/>
          <w:sz w:val="24"/>
          <w:szCs w:val="24"/>
        </w:rPr>
        <w:t>1,0683</w:t>
      </w:r>
      <w:r w:rsidRPr="00436A0D">
        <w:rPr>
          <w:rFonts w:ascii="Times New Roman" w:hAnsi="Times New Roman" w:cs="Times New Roman"/>
          <w:sz w:val="24"/>
          <w:szCs w:val="24"/>
        </w:rPr>
        <w:t>. No entanto</w:t>
      </w:r>
      <w:r w:rsidR="00531593">
        <w:rPr>
          <w:rFonts w:ascii="Times New Roman" w:hAnsi="Times New Roman" w:cs="Times New Roman"/>
          <w:sz w:val="24"/>
          <w:szCs w:val="24"/>
        </w:rPr>
        <w:t>,</w:t>
      </w:r>
      <w:r w:rsidRPr="00436A0D">
        <w:rPr>
          <w:rFonts w:ascii="Times New Roman" w:hAnsi="Times New Roman" w:cs="Times New Roman"/>
          <w:sz w:val="24"/>
          <w:szCs w:val="24"/>
        </w:rPr>
        <w:t xml:space="preserve"> foi detectado um </w:t>
      </w:r>
      <w:r w:rsidR="000F28C9">
        <w:rPr>
          <w:rFonts w:ascii="Times New Roman" w:hAnsi="Times New Roman" w:cs="Times New Roman"/>
          <w:sz w:val="24"/>
          <w:szCs w:val="24"/>
        </w:rPr>
        <w:t>retrocesso</w:t>
      </w:r>
      <w:r w:rsidRPr="00436A0D">
        <w:rPr>
          <w:rFonts w:ascii="Times New Roman" w:hAnsi="Times New Roman" w:cs="Times New Roman"/>
          <w:sz w:val="24"/>
          <w:szCs w:val="24"/>
        </w:rPr>
        <w:t xml:space="preserve"> </w:t>
      </w:r>
      <w:r w:rsidR="000F28C9">
        <w:rPr>
          <w:rFonts w:ascii="Times New Roman" w:hAnsi="Times New Roman" w:cs="Times New Roman"/>
          <w:sz w:val="24"/>
          <w:szCs w:val="24"/>
        </w:rPr>
        <w:t>n</w:t>
      </w:r>
      <w:r w:rsidRPr="00436A0D">
        <w:rPr>
          <w:rFonts w:ascii="Times New Roman" w:hAnsi="Times New Roman" w:cs="Times New Roman"/>
          <w:sz w:val="24"/>
          <w:szCs w:val="24"/>
        </w:rPr>
        <w:t xml:space="preserve">o índice médio de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00531593">
        <w:rPr>
          <w:rFonts w:ascii="Times New Roman" w:hAnsi="Times New Roman" w:cs="Times New Roman"/>
          <w:i/>
          <w:sz w:val="24"/>
          <w:szCs w:val="24"/>
        </w:rPr>
        <w:t>,</w:t>
      </w:r>
      <w:r w:rsidRPr="00436A0D">
        <w:rPr>
          <w:rFonts w:ascii="Times New Roman" w:hAnsi="Times New Roman" w:cs="Times New Roman"/>
          <w:sz w:val="24"/>
          <w:szCs w:val="24"/>
        </w:rPr>
        <w:t xml:space="preserve"> que foi de </w:t>
      </w:r>
      <w:r w:rsidR="000F28C9">
        <w:rPr>
          <w:rFonts w:ascii="Times New Roman" w:hAnsi="Times New Roman" w:cs="Times New Roman"/>
          <w:sz w:val="24"/>
          <w:szCs w:val="24"/>
        </w:rPr>
        <w:t>0,9917</w:t>
      </w:r>
      <w:r w:rsidR="007B0856">
        <w:rPr>
          <w:rFonts w:ascii="Times New Roman" w:hAnsi="Times New Roman" w:cs="Times New Roman"/>
          <w:sz w:val="24"/>
          <w:szCs w:val="24"/>
        </w:rPr>
        <w:t>,</w:t>
      </w:r>
      <w:r w:rsidR="000F28C9">
        <w:rPr>
          <w:rFonts w:ascii="Times New Roman" w:hAnsi="Times New Roman" w:cs="Times New Roman"/>
          <w:sz w:val="24"/>
          <w:szCs w:val="24"/>
        </w:rPr>
        <w:t xml:space="preserve"> </w:t>
      </w:r>
      <w:r w:rsidRPr="00436A0D">
        <w:rPr>
          <w:rFonts w:ascii="Times New Roman" w:hAnsi="Times New Roman" w:cs="Times New Roman"/>
          <w:sz w:val="24"/>
          <w:szCs w:val="24"/>
        </w:rPr>
        <w:t>como</w:t>
      </w:r>
      <w:r w:rsidR="004F20E2">
        <w:rPr>
          <w:rFonts w:ascii="Times New Roman" w:hAnsi="Times New Roman" w:cs="Times New Roman"/>
          <w:sz w:val="24"/>
          <w:szCs w:val="24"/>
        </w:rPr>
        <w:t xml:space="preserve"> pode ser observado na Tabela </w:t>
      </w:r>
      <w:r w:rsidR="00EC43CA">
        <w:rPr>
          <w:rFonts w:ascii="Times New Roman" w:hAnsi="Times New Roman" w:cs="Times New Roman"/>
          <w:sz w:val="24"/>
          <w:szCs w:val="24"/>
        </w:rPr>
        <w:t>5</w:t>
      </w:r>
      <w:r w:rsidRPr="00436A0D">
        <w:rPr>
          <w:rFonts w:ascii="Times New Roman" w:hAnsi="Times New Roman" w:cs="Times New Roman"/>
          <w:sz w:val="24"/>
          <w:szCs w:val="24"/>
        </w:rPr>
        <w:t>.</w:t>
      </w:r>
    </w:p>
    <w:p w:rsidR="002A45E1" w:rsidRDefault="002A45E1" w:rsidP="00436A0D">
      <w:pPr>
        <w:spacing w:after="0" w:line="240" w:lineRule="auto"/>
        <w:jc w:val="both"/>
        <w:rPr>
          <w:rFonts w:ascii="Times New Roman" w:hAnsi="Times New Roman" w:cs="Times New Roman"/>
          <w:sz w:val="24"/>
          <w:szCs w:val="24"/>
        </w:rPr>
      </w:pPr>
    </w:p>
    <w:p w:rsidR="00436A0D" w:rsidRPr="002A692E" w:rsidRDefault="00436A0D" w:rsidP="00436A0D">
      <w:pPr>
        <w:pStyle w:val="Legenda"/>
        <w:rPr>
          <w:sz w:val="24"/>
        </w:rPr>
      </w:pPr>
      <w:bookmarkStart w:id="5" w:name="_Toc377445875"/>
      <w:r w:rsidRPr="002A692E">
        <w:rPr>
          <w:sz w:val="24"/>
        </w:rPr>
        <w:t xml:space="preserve">Tabela </w:t>
      </w:r>
      <w:r w:rsidR="00EC43CA">
        <w:rPr>
          <w:sz w:val="24"/>
        </w:rPr>
        <w:t>5</w:t>
      </w:r>
      <w:r w:rsidRPr="002A692E">
        <w:rPr>
          <w:sz w:val="24"/>
        </w:rPr>
        <w:t xml:space="preserve"> – </w:t>
      </w:r>
      <w:r w:rsidRPr="002A692E">
        <w:rPr>
          <w:b w:val="0"/>
          <w:sz w:val="24"/>
        </w:rPr>
        <w:t xml:space="preserve">Resumo dos resultados do Índice de </w:t>
      </w:r>
      <w:proofErr w:type="spellStart"/>
      <w:r w:rsidRPr="002A692E">
        <w:rPr>
          <w:b w:val="0"/>
          <w:sz w:val="24"/>
        </w:rPr>
        <w:t>Malmquist</w:t>
      </w:r>
      <w:proofErr w:type="spellEnd"/>
      <w:r w:rsidRPr="002A692E">
        <w:rPr>
          <w:b w:val="0"/>
          <w:sz w:val="24"/>
        </w:rPr>
        <w:t xml:space="preserve"> para 2006 =&gt; 2011</w:t>
      </w:r>
      <w:bookmarkEnd w:id="5"/>
    </w:p>
    <w:tbl>
      <w:tblPr>
        <w:tblStyle w:val="Tabelaemlista1"/>
        <w:tblW w:w="8881" w:type="dxa"/>
        <w:jc w:val="center"/>
        <w:tblLook w:val="04A0" w:firstRow="1" w:lastRow="0" w:firstColumn="1" w:lastColumn="0" w:noHBand="0" w:noVBand="1"/>
      </w:tblPr>
      <w:tblGrid>
        <w:gridCol w:w="1561"/>
        <w:gridCol w:w="1946"/>
        <w:gridCol w:w="2711"/>
        <w:gridCol w:w="2663"/>
      </w:tblGrid>
      <w:tr w:rsidR="00436A0D" w:rsidRPr="002A45E1" w:rsidTr="00EC43CA">
        <w:trPr>
          <w:cnfStyle w:val="100000000000" w:firstRow="1" w:lastRow="0" w:firstColumn="0" w:lastColumn="0" w:oddVBand="0" w:evenVBand="0" w:oddHBand="0" w:evenHBand="0" w:firstRowFirstColumn="0" w:firstRowLastColumn="0" w:lastRowFirstColumn="0" w:lastRowLastColumn="0"/>
          <w:trHeight w:val="20"/>
          <w:jc w:val="center"/>
        </w:trPr>
        <w:tc>
          <w:tcPr>
            <w:tcW w:w="1561" w:type="dxa"/>
            <w:tcBorders>
              <w:top w:val="single" w:sz="12" w:space="0" w:color="008080"/>
              <w:left w:val="nil"/>
            </w:tcBorders>
            <w:shd w:val="clear" w:color="auto" w:fill="auto"/>
            <w:noWrap/>
            <w:vAlign w:val="center"/>
            <w:hideMark/>
          </w:tcPr>
          <w:p w:rsidR="00436A0D" w:rsidRPr="002A45E1" w:rsidRDefault="00436A0D" w:rsidP="00436A0D">
            <w:pPr>
              <w:jc w:val="center"/>
              <w:rPr>
                <w:i w:val="0"/>
                <w:color w:val="000000"/>
              </w:rPr>
            </w:pPr>
          </w:p>
        </w:tc>
        <w:tc>
          <w:tcPr>
            <w:tcW w:w="1946" w:type="dxa"/>
            <w:tcBorders>
              <w:top w:val="single" w:sz="12" w:space="0" w:color="008080"/>
            </w:tcBorders>
            <w:shd w:val="clear" w:color="auto" w:fill="auto"/>
            <w:noWrap/>
            <w:vAlign w:val="center"/>
            <w:hideMark/>
          </w:tcPr>
          <w:p w:rsidR="00436A0D" w:rsidRPr="002A45E1" w:rsidRDefault="00436A0D" w:rsidP="00436A0D">
            <w:pPr>
              <w:jc w:val="center"/>
              <w:rPr>
                <w:i w:val="0"/>
                <w:color w:val="000000"/>
              </w:rPr>
            </w:pPr>
            <w:proofErr w:type="spellStart"/>
            <w:r w:rsidRPr="002A45E1">
              <w:rPr>
                <w:i w:val="0"/>
                <w:color w:val="000000"/>
              </w:rPr>
              <w:t>Malmquist</w:t>
            </w:r>
            <w:proofErr w:type="spellEnd"/>
          </w:p>
        </w:tc>
        <w:tc>
          <w:tcPr>
            <w:tcW w:w="2711" w:type="dxa"/>
            <w:tcBorders>
              <w:top w:val="single" w:sz="12" w:space="0" w:color="008080"/>
            </w:tcBorders>
            <w:shd w:val="clear" w:color="auto" w:fill="auto"/>
            <w:vAlign w:val="center"/>
            <w:hideMark/>
          </w:tcPr>
          <w:p w:rsidR="00436A0D" w:rsidRPr="002A45E1" w:rsidRDefault="00D554C8" w:rsidP="00EC43CA">
            <w:pPr>
              <w:jc w:val="center"/>
              <w:rPr>
                <w:i w:val="0"/>
                <w:color w:val="000000"/>
              </w:rPr>
            </w:pPr>
            <w:r>
              <w:rPr>
                <w:iCs w:val="0"/>
                <w:color w:val="000000"/>
              </w:rPr>
              <w:t>C</w:t>
            </w:r>
            <w:r w:rsidR="00436A0D" w:rsidRPr="002A45E1">
              <w:rPr>
                <w:iCs w:val="0"/>
                <w:color w:val="000000"/>
              </w:rPr>
              <w:t>atch-</w:t>
            </w:r>
            <w:proofErr w:type="spellStart"/>
            <w:r w:rsidR="00436A0D" w:rsidRPr="002A45E1">
              <w:rPr>
                <w:iCs w:val="0"/>
                <w:color w:val="000000"/>
              </w:rPr>
              <w:t>up</w:t>
            </w:r>
            <w:proofErr w:type="spellEnd"/>
          </w:p>
        </w:tc>
        <w:tc>
          <w:tcPr>
            <w:tcW w:w="2663" w:type="dxa"/>
            <w:tcBorders>
              <w:top w:val="single" w:sz="12" w:space="0" w:color="008080"/>
              <w:right w:val="nil"/>
            </w:tcBorders>
            <w:shd w:val="clear" w:color="auto" w:fill="auto"/>
            <w:vAlign w:val="center"/>
            <w:hideMark/>
          </w:tcPr>
          <w:p w:rsidR="00436A0D" w:rsidRPr="002A45E1" w:rsidRDefault="00D554C8" w:rsidP="00436A0D">
            <w:pPr>
              <w:jc w:val="center"/>
              <w:rPr>
                <w:i w:val="0"/>
                <w:color w:val="000000"/>
              </w:rPr>
            </w:pPr>
            <w:proofErr w:type="spellStart"/>
            <w:r>
              <w:rPr>
                <w:iCs w:val="0"/>
                <w:color w:val="000000"/>
              </w:rPr>
              <w:t>F</w:t>
            </w:r>
            <w:r w:rsidR="00436A0D" w:rsidRPr="002A45E1">
              <w:rPr>
                <w:iCs w:val="0"/>
                <w:color w:val="000000"/>
              </w:rPr>
              <w:t>rontier</w:t>
            </w:r>
            <w:proofErr w:type="spellEnd"/>
            <w:r w:rsidR="00436A0D" w:rsidRPr="002A45E1">
              <w:rPr>
                <w:iCs w:val="0"/>
                <w:color w:val="000000"/>
              </w:rPr>
              <w:t>-shift</w:t>
            </w:r>
          </w:p>
        </w:tc>
      </w:tr>
      <w:tr w:rsidR="00436A0D" w:rsidRPr="002A45E1" w:rsidTr="00EC43CA">
        <w:trPr>
          <w:cnfStyle w:val="000000100000" w:firstRow="0" w:lastRow="0" w:firstColumn="0" w:lastColumn="0" w:oddVBand="0" w:evenVBand="0" w:oddHBand="1" w:evenHBand="0" w:firstRowFirstColumn="0" w:firstRowLastColumn="0" w:lastRowFirstColumn="0" w:lastRowLastColumn="0"/>
          <w:trHeight w:val="20"/>
          <w:jc w:val="center"/>
        </w:trPr>
        <w:tc>
          <w:tcPr>
            <w:tcW w:w="1561" w:type="dxa"/>
            <w:tcBorders>
              <w:left w:val="nil"/>
            </w:tcBorders>
            <w:noWrap/>
            <w:vAlign w:val="center"/>
            <w:hideMark/>
          </w:tcPr>
          <w:p w:rsidR="00436A0D" w:rsidRPr="002A45E1" w:rsidRDefault="00436A0D" w:rsidP="00436A0D">
            <w:pPr>
              <w:jc w:val="center"/>
              <w:rPr>
                <w:b/>
                <w:color w:val="000000"/>
              </w:rPr>
            </w:pPr>
            <w:r w:rsidRPr="002A45E1">
              <w:rPr>
                <w:b/>
                <w:color w:val="000000"/>
              </w:rPr>
              <w:t>Média</w:t>
            </w:r>
          </w:p>
        </w:tc>
        <w:tc>
          <w:tcPr>
            <w:tcW w:w="1946" w:type="dxa"/>
            <w:noWrap/>
            <w:hideMark/>
          </w:tcPr>
          <w:p w:rsidR="00436A0D" w:rsidRPr="002A45E1" w:rsidRDefault="00436A0D" w:rsidP="00436A0D">
            <w:pPr>
              <w:jc w:val="center"/>
            </w:pPr>
            <w:r w:rsidRPr="002A45E1">
              <w:t>1,0683</w:t>
            </w:r>
          </w:p>
        </w:tc>
        <w:tc>
          <w:tcPr>
            <w:tcW w:w="2711" w:type="dxa"/>
            <w:noWrap/>
            <w:hideMark/>
          </w:tcPr>
          <w:p w:rsidR="00436A0D" w:rsidRPr="002A45E1" w:rsidRDefault="00436A0D" w:rsidP="00436A0D">
            <w:pPr>
              <w:jc w:val="center"/>
            </w:pPr>
            <w:r w:rsidRPr="002A45E1">
              <w:t>0,9917</w:t>
            </w:r>
          </w:p>
        </w:tc>
        <w:tc>
          <w:tcPr>
            <w:tcW w:w="2663" w:type="dxa"/>
            <w:tcBorders>
              <w:right w:val="nil"/>
            </w:tcBorders>
            <w:noWrap/>
            <w:hideMark/>
          </w:tcPr>
          <w:p w:rsidR="00436A0D" w:rsidRPr="002A45E1" w:rsidRDefault="00436A0D" w:rsidP="00436A0D">
            <w:pPr>
              <w:jc w:val="center"/>
            </w:pPr>
            <w:r w:rsidRPr="002A45E1">
              <w:t>1,0803</w:t>
            </w:r>
          </w:p>
        </w:tc>
      </w:tr>
      <w:tr w:rsidR="00436A0D" w:rsidRPr="002A45E1" w:rsidTr="00EC43CA">
        <w:trPr>
          <w:cnfStyle w:val="000000010000" w:firstRow="0" w:lastRow="0" w:firstColumn="0" w:lastColumn="0" w:oddVBand="0" w:evenVBand="0" w:oddHBand="0" w:evenHBand="1" w:firstRowFirstColumn="0" w:firstRowLastColumn="0" w:lastRowFirstColumn="0" w:lastRowLastColumn="0"/>
          <w:trHeight w:val="20"/>
          <w:jc w:val="center"/>
        </w:trPr>
        <w:tc>
          <w:tcPr>
            <w:tcW w:w="1561" w:type="dxa"/>
            <w:tcBorders>
              <w:left w:val="nil"/>
            </w:tcBorders>
            <w:noWrap/>
            <w:vAlign w:val="center"/>
            <w:hideMark/>
          </w:tcPr>
          <w:p w:rsidR="00436A0D" w:rsidRPr="002A45E1" w:rsidRDefault="00436A0D" w:rsidP="00436A0D">
            <w:pPr>
              <w:jc w:val="center"/>
              <w:rPr>
                <w:b/>
                <w:color w:val="000000"/>
              </w:rPr>
            </w:pPr>
            <w:r w:rsidRPr="002A45E1">
              <w:rPr>
                <w:b/>
                <w:color w:val="000000"/>
              </w:rPr>
              <w:t>Desvio-padrão</w:t>
            </w:r>
          </w:p>
        </w:tc>
        <w:tc>
          <w:tcPr>
            <w:tcW w:w="1946" w:type="dxa"/>
            <w:noWrap/>
            <w:hideMark/>
          </w:tcPr>
          <w:p w:rsidR="00436A0D" w:rsidRPr="002A45E1" w:rsidRDefault="00436A0D" w:rsidP="00436A0D">
            <w:pPr>
              <w:jc w:val="center"/>
            </w:pPr>
            <w:r w:rsidRPr="002A45E1">
              <w:t>0,2422</w:t>
            </w:r>
          </w:p>
        </w:tc>
        <w:tc>
          <w:tcPr>
            <w:tcW w:w="2711" w:type="dxa"/>
            <w:noWrap/>
            <w:hideMark/>
          </w:tcPr>
          <w:p w:rsidR="00436A0D" w:rsidRPr="002A45E1" w:rsidRDefault="00436A0D" w:rsidP="00436A0D">
            <w:pPr>
              <w:jc w:val="center"/>
            </w:pPr>
            <w:r w:rsidRPr="002A45E1">
              <w:t>0,2038</w:t>
            </w:r>
          </w:p>
        </w:tc>
        <w:tc>
          <w:tcPr>
            <w:tcW w:w="2663" w:type="dxa"/>
            <w:tcBorders>
              <w:right w:val="nil"/>
            </w:tcBorders>
            <w:noWrap/>
            <w:hideMark/>
          </w:tcPr>
          <w:p w:rsidR="00436A0D" w:rsidRPr="002A45E1" w:rsidRDefault="00436A0D" w:rsidP="00436A0D">
            <w:pPr>
              <w:jc w:val="center"/>
            </w:pPr>
            <w:r w:rsidRPr="002A45E1">
              <w:t>0,1152</w:t>
            </w:r>
          </w:p>
        </w:tc>
      </w:tr>
      <w:tr w:rsidR="00436A0D" w:rsidRPr="002A45E1" w:rsidTr="00EC43CA">
        <w:trPr>
          <w:cnfStyle w:val="000000100000" w:firstRow="0" w:lastRow="0" w:firstColumn="0" w:lastColumn="0" w:oddVBand="0" w:evenVBand="0" w:oddHBand="1" w:evenHBand="0" w:firstRowFirstColumn="0" w:firstRowLastColumn="0" w:lastRowFirstColumn="0" w:lastRowLastColumn="0"/>
          <w:trHeight w:val="20"/>
          <w:jc w:val="center"/>
        </w:trPr>
        <w:tc>
          <w:tcPr>
            <w:tcW w:w="1561" w:type="dxa"/>
            <w:tcBorders>
              <w:left w:val="nil"/>
            </w:tcBorders>
            <w:noWrap/>
            <w:vAlign w:val="center"/>
            <w:hideMark/>
          </w:tcPr>
          <w:p w:rsidR="00436A0D" w:rsidRPr="002A45E1" w:rsidRDefault="00436A0D" w:rsidP="00436A0D">
            <w:pPr>
              <w:jc w:val="center"/>
              <w:rPr>
                <w:b/>
                <w:color w:val="000000"/>
              </w:rPr>
            </w:pPr>
            <w:r w:rsidRPr="002A45E1">
              <w:rPr>
                <w:b/>
                <w:color w:val="000000"/>
              </w:rPr>
              <w:t>Máximo</w:t>
            </w:r>
          </w:p>
        </w:tc>
        <w:tc>
          <w:tcPr>
            <w:tcW w:w="1946" w:type="dxa"/>
            <w:noWrap/>
            <w:hideMark/>
          </w:tcPr>
          <w:p w:rsidR="00436A0D" w:rsidRPr="002A45E1" w:rsidRDefault="00436A0D" w:rsidP="00436A0D">
            <w:pPr>
              <w:jc w:val="center"/>
            </w:pPr>
            <w:r w:rsidRPr="002A45E1">
              <w:t>1,9406</w:t>
            </w:r>
          </w:p>
        </w:tc>
        <w:tc>
          <w:tcPr>
            <w:tcW w:w="2711" w:type="dxa"/>
            <w:noWrap/>
            <w:hideMark/>
          </w:tcPr>
          <w:p w:rsidR="00436A0D" w:rsidRPr="002A45E1" w:rsidRDefault="00436A0D" w:rsidP="00436A0D">
            <w:pPr>
              <w:jc w:val="center"/>
            </w:pPr>
            <w:r w:rsidRPr="002A45E1">
              <w:t>1,6784</w:t>
            </w:r>
          </w:p>
        </w:tc>
        <w:tc>
          <w:tcPr>
            <w:tcW w:w="2663" w:type="dxa"/>
            <w:tcBorders>
              <w:right w:val="nil"/>
            </w:tcBorders>
            <w:noWrap/>
            <w:hideMark/>
          </w:tcPr>
          <w:p w:rsidR="00436A0D" w:rsidRPr="002A45E1" w:rsidRDefault="00436A0D" w:rsidP="00436A0D">
            <w:pPr>
              <w:jc w:val="center"/>
            </w:pPr>
            <w:r w:rsidRPr="002A45E1">
              <w:t>1,2622</w:t>
            </w:r>
          </w:p>
        </w:tc>
      </w:tr>
      <w:tr w:rsidR="00436A0D" w:rsidRPr="002A45E1" w:rsidTr="00EC43CA">
        <w:trPr>
          <w:cnfStyle w:val="000000010000" w:firstRow="0" w:lastRow="0" w:firstColumn="0" w:lastColumn="0" w:oddVBand="0" w:evenVBand="0" w:oddHBand="0" w:evenHBand="1" w:firstRowFirstColumn="0" w:firstRowLastColumn="0" w:lastRowFirstColumn="0" w:lastRowLastColumn="0"/>
          <w:trHeight w:val="20"/>
          <w:jc w:val="center"/>
        </w:trPr>
        <w:tc>
          <w:tcPr>
            <w:tcW w:w="1561" w:type="dxa"/>
            <w:tcBorders>
              <w:left w:val="nil"/>
            </w:tcBorders>
            <w:noWrap/>
            <w:vAlign w:val="center"/>
            <w:hideMark/>
          </w:tcPr>
          <w:p w:rsidR="00436A0D" w:rsidRPr="002A45E1" w:rsidRDefault="00436A0D" w:rsidP="00436A0D">
            <w:pPr>
              <w:jc w:val="center"/>
              <w:rPr>
                <w:b/>
                <w:color w:val="000000"/>
              </w:rPr>
            </w:pPr>
            <w:r w:rsidRPr="002A45E1">
              <w:rPr>
                <w:b/>
                <w:color w:val="000000"/>
              </w:rPr>
              <w:t>Mínimo</w:t>
            </w:r>
          </w:p>
        </w:tc>
        <w:tc>
          <w:tcPr>
            <w:tcW w:w="1946" w:type="dxa"/>
            <w:noWrap/>
            <w:hideMark/>
          </w:tcPr>
          <w:p w:rsidR="00436A0D" w:rsidRPr="002A45E1" w:rsidRDefault="00436A0D" w:rsidP="00436A0D">
            <w:pPr>
              <w:jc w:val="center"/>
            </w:pPr>
            <w:r w:rsidRPr="002A45E1">
              <w:t>0,7041</w:t>
            </w:r>
          </w:p>
        </w:tc>
        <w:tc>
          <w:tcPr>
            <w:tcW w:w="2711" w:type="dxa"/>
            <w:noWrap/>
            <w:hideMark/>
          </w:tcPr>
          <w:p w:rsidR="00436A0D" w:rsidRPr="002A45E1" w:rsidRDefault="00436A0D" w:rsidP="00436A0D">
            <w:pPr>
              <w:jc w:val="center"/>
            </w:pPr>
            <w:r w:rsidRPr="002A45E1">
              <w:t>0,6196</w:t>
            </w:r>
          </w:p>
        </w:tc>
        <w:tc>
          <w:tcPr>
            <w:tcW w:w="2663" w:type="dxa"/>
            <w:tcBorders>
              <w:right w:val="nil"/>
            </w:tcBorders>
            <w:noWrap/>
            <w:hideMark/>
          </w:tcPr>
          <w:p w:rsidR="00436A0D" w:rsidRPr="002A45E1" w:rsidRDefault="00436A0D" w:rsidP="00436A0D">
            <w:pPr>
              <w:jc w:val="center"/>
            </w:pPr>
            <w:r w:rsidRPr="002A45E1">
              <w:t>0,7999</w:t>
            </w:r>
          </w:p>
        </w:tc>
      </w:tr>
    </w:tbl>
    <w:p w:rsidR="00436A0D" w:rsidRPr="00436A0D" w:rsidRDefault="00436A0D" w:rsidP="00DD6D15">
      <w:pPr>
        <w:spacing w:after="0" w:line="240" w:lineRule="auto"/>
        <w:ind w:left="708"/>
        <w:jc w:val="both"/>
        <w:outlineLvl w:val="0"/>
        <w:rPr>
          <w:rFonts w:ascii="Times New Roman" w:hAnsi="Times New Roman" w:cs="Times New Roman"/>
          <w:sz w:val="20"/>
        </w:rPr>
      </w:pPr>
      <w:r w:rsidRPr="00436A0D">
        <w:rPr>
          <w:rFonts w:ascii="Times New Roman" w:hAnsi="Times New Roman" w:cs="Times New Roman"/>
          <w:b/>
          <w:sz w:val="20"/>
        </w:rPr>
        <w:t>Fonte</w:t>
      </w:r>
      <w:r>
        <w:rPr>
          <w:rFonts w:ascii="Times New Roman" w:hAnsi="Times New Roman" w:cs="Times New Roman"/>
          <w:sz w:val="20"/>
        </w:rPr>
        <w:t>: Elaboração dos</w:t>
      </w:r>
      <w:r w:rsidRPr="00436A0D">
        <w:rPr>
          <w:rFonts w:ascii="Times New Roman" w:hAnsi="Times New Roman" w:cs="Times New Roman"/>
          <w:sz w:val="20"/>
        </w:rPr>
        <w:t xml:space="preserve"> autor</w:t>
      </w:r>
      <w:r>
        <w:rPr>
          <w:rFonts w:ascii="Times New Roman" w:hAnsi="Times New Roman" w:cs="Times New Roman"/>
          <w:sz w:val="20"/>
        </w:rPr>
        <w:t>es</w:t>
      </w:r>
      <w:r w:rsidRPr="00436A0D">
        <w:rPr>
          <w:rFonts w:ascii="Times New Roman" w:hAnsi="Times New Roman" w:cs="Times New Roman"/>
          <w:sz w:val="20"/>
        </w:rPr>
        <w:t>.</w:t>
      </w:r>
    </w:p>
    <w:p w:rsidR="006E5D24" w:rsidRPr="00431098" w:rsidRDefault="006E5D24" w:rsidP="006E5D24">
      <w:pPr>
        <w:spacing w:after="0" w:line="240" w:lineRule="auto"/>
        <w:jc w:val="both"/>
        <w:outlineLvl w:val="0"/>
      </w:pPr>
    </w:p>
    <w:p w:rsidR="006E5D24" w:rsidRDefault="00B3464F" w:rsidP="00AB0C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3464F">
        <w:rPr>
          <w:rFonts w:ascii="Times New Roman" w:hAnsi="Times New Roman" w:cs="Times New Roman"/>
          <w:sz w:val="24"/>
          <w:szCs w:val="24"/>
        </w:rPr>
        <w:t>No que se refere à variação de produtividade nas regiões geográficas de atuação dos prestadores de SAA e SES, c</w:t>
      </w:r>
      <w:r w:rsidR="004F20E2">
        <w:rPr>
          <w:rFonts w:ascii="Times New Roman" w:hAnsi="Times New Roman" w:cs="Times New Roman"/>
          <w:sz w:val="24"/>
          <w:szCs w:val="24"/>
        </w:rPr>
        <w:t xml:space="preserve">onforme demonstrado na Tabela </w:t>
      </w:r>
      <w:r w:rsidR="00D554C8">
        <w:rPr>
          <w:rFonts w:ascii="Times New Roman" w:hAnsi="Times New Roman" w:cs="Times New Roman"/>
          <w:sz w:val="24"/>
          <w:szCs w:val="24"/>
        </w:rPr>
        <w:t>6</w:t>
      </w:r>
      <w:r w:rsidRPr="00B3464F">
        <w:rPr>
          <w:rFonts w:ascii="Times New Roman" w:hAnsi="Times New Roman" w:cs="Times New Roman"/>
          <w:sz w:val="24"/>
          <w:szCs w:val="24"/>
        </w:rPr>
        <w:t xml:space="preserve">, apenas a região </w:t>
      </w:r>
      <w:r w:rsidR="00D33745">
        <w:rPr>
          <w:rFonts w:ascii="Times New Roman" w:hAnsi="Times New Roman" w:cs="Times New Roman"/>
          <w:sz w:val="24"/>
          <w:szCs w:val="24"/>
        </w:rPr>
        <w:t xml:space="preserve">Norte registrou </w:t>
      </w:r>
      <w:r w:rsidRPr="00B3464F">
        <w:rPr>
          <w:rFonts w:ascii="Times New Roman" w:hAnsi="Times New Roman" w:cs="Times New Roman"/>
          <w:sz w:val="24"/>
          <w:szCs w:val="24"/>
        </w:rPr>
        <w:t xml:space="preserve">queda de produtividade, no entanto, merece destaque que o menor índice registrado para o efeito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Pr="00B3464F">
        <w:rPr>
          <w:rFonts w:ascii="Times New Roman" w:hAnsi="Times New Roman" w:cs="Times New Roman"/>
          <w:sz w:val="24"/>
          <w:szCs w:val="24"/>
        </w:rPr>
        <w:t xml:space="preserve"> foi o da região </w:t>
      </w:r>
      <w:r w:rsidR="005402A9">
        <w:rPr>
          <w:rFonts w:ascii="Times New Roman" w:hAnsi="Times New Roman" w:cs="Times New Roman"/>
          <w:sz w:val="24"/>
          <w:szCs w:val="24"/>
        </w:rPr>
        <w:t>Sul</w:t>
      </w:r>
      <w:r w:rsidRPr="00B3464F">
        <w:rPr>
          <w:rFonts w:ascii="Times New Roman" w:hAnsi="Times New Roman" w:cs="Times New Roman"/>
          <w:sz w:val="24"/>
          <w:szCs w:val="24"/>
        </w:rPr>
        <w:t xml:space="preserve"> (0,9</w:t>
      </w:r>
      <w:r w:rsidR="005402A9">
        <w:rPr>
          <w:rFonts w:ascii="Times New Roman" w:hAnsi="Times New Roman" w:cs="Times New Roman"/>
          <w:sz w:val="24"/>
          <w:szCs w:val="24"/>
        </w:rPr>
        <w:t>349</w:t>
      </w:r>
      <w:r w:rsidRPr="00B3464F">
        <w:rPr>
          <w:rFonts w:ascii="Times New Roman" w:hAnsi="Times New Roman" w:cs="Times New Roman"/>
          <w:sz w:val="24"/>
          <w:szCs w:val="24"/>
        </w:rPr>
        <w:t xml:space="preserve">). </w:t>
      </w:r>
      <w:r w:rsidR="005402A9">
        <w:rPr>
          <w:rFonts w:ascii="Times New Roman" w:hAnsi="Times New Roman" w:cs="Times New Roman"/>
          <w:sz w:val="24"/>
          <w:szCs w:val="24"/>
        </w:rPr>
        <w:t>O maior avanço da produtividade total ocorreu na região Sudeste (1,1733), enquanto que os prestadores da região Centro-Oeste apresentaram maior avanço em direção à fronteira de eficiência</w:t>
      </w:r>
      <w:r w:rsidR="00D554C8">
        <w:rPr>
          <w:rFonts w:ascii="Times New Roman" w:hAnsi="Times New Roman" w:cs="Times New Roman"/>
          <w:sz w:val="24"/>
          <w:szCs w:val="24"/>
        </w:rPr>
        <w:t xml:space="preserve">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00D554C8" w:rsidRPr="00B3464F">
        <w:rPr>
          <w:rFonts w:ascii="Times New Roman" w:hAnsi="Times New Roman" w:cs="Times New Roman"/>
          <w:sz w:val="24"/>
          <w:szCs w:val="24"/>
        </w:rPr>
        <w:t xml:space="preserve"> </w:t>
      </w:r>
      <w:r w:rsidR="00D554C8">
        <w:rPr>
          <w:rFonts w:ascii="Times New Roman" w:hAnsi="Times New Roman" w:cs="Times New Roman"/>
          <w:sz w:val="24"/>
          <w:szCs w:val="24"/>
        </w:rPr>
        <w:t>igual a</w:t>
      </w:r>
      <w:r w:rsidR="005402A9">
        <w:rPr>
          <w:rFonts w:ascii="Times New Roman" w:hAnsi="Times New Roman" w:cs="Times New Roman"/>
          <w:sz w:val="24"/>
          <w:szCs w:val="24"/>
        </w:rPr>
        <w:t xml:space="preserve"> 1,0729</w:t>
      </w:r>
      <w:r w:rsidR="00D554C8">
        <w:rPr>
          <w:rFonts w:ascii="Times New Roman" w:hAnsi="Times New Roman" w:cs="Times New Roman"/>
          <w:sz w:val="24"/>
          <w:szCs w:val="24"/>
        </w:rPr>
        <w:t>)</w:t>
      </w:r>
      <w:r w:rsidR="005402A9">
        <w:rPr>
          <w:rFonts w:ascii="Times New Roman" w:hAnsi="Times New Roman" w:cs="Times New Roman"/>
          <w:sz w:val="24"/>
          <w:szCs w:val="24"/>
        </w:rPr>
        <w:t>.</w:t>
      </w:r>
    </w:p>
    <w:p w:rsidR="00BA34ED" w:rsidRDefault="00BA34ED" w:rsidP="00AB0C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A34ED">
        <w:rPr>
          <w:rFonts w:ascii="Times New Roman" w:hAnsi="Times New Roman" w:cs="Times New Roman"/>
          <w:sz w:val="24"/>
          <w:szCs w:val="24"/>
        </w:rPr>
        <w:t xml:space="preserve">Com relação à abrangência e tipo de propriedade dos prestadores, de uma maneira geral, </w:t>
      </w:r>
      <w:r w:rsidR="00531593">
        <w:rPr>
          <w:rFonts w:ascii="Times New Roman" w:hAnsi="Times New Roman" w:cs="Times New Roman"/>
          <w:sz w:val="24"/>
          <w:szCs w:val="24"/>
        </w:rPr>
        <w:t>todos</w:t>
      </w:r>
      <w:r w:rsidRPr="00BA34ED">
        <w:rPr>
          <w:rFonts w:ascii="Times New Roman" w:hAnsi="Times New Roman" w:cs="Times New Roman"/>
          <w:sz w:val="24"/>
          <w:szCs w:val="24"/>
        </w:rPr>
        <w:t xml:space="preserve"> apresentaram </w:t>
      </w:r>
      <w:r w:rsidR="0020477B">
        <w:rPr>
          <w:rFonts w:ascii="Times New Roman" w:hAnsi="Times New Roman" w:cs="Times New Roman"/>
          <w:sz w:val="24"/>
          <w:szCs w:val="24"/>
        </w:rPr>
        <w:t>ganhos</w:t>
      </w:r>
      <w:r w:rsidRPr="00BA34ED">
        <w:rPr>
          <w:rFonts w:ascii="Times New Roman" w:hAnsi="Times New Roman" w:cs="Times New Roman"/>
          <w:sz w:val="24"/>
          <w:szCs w:val="24"/>
        </w:rPr>
        <w:t xml:space="preserve"> de produtividade, como</w:t>
      </w:r>
      <w:r w:rsidR="00D554C8">
        <w:rPr>
          <w:rFonts w:ascii="Times New Roman" w:hAnsi="Times New Roman" w:cs="Times New Roman"/>
          <w:sz w:val="24"/>
          <w:szCs w:val="24"/>
        </w:rPr>
        <w:t xml:space="preserve"> pode ser observado na Tabela 6</w:t>
      </w:r>
      <w:r w:rsidRPr="00BA34ED">
        <w:rPr>
          <w:rFonts w:ascii="Times New Roman" w:hAnsi="Times New Roman" w:cs="Times New Roman"/>
          <w:sz w:val="24"/>
          <w:szCs w:val="24"/>
        </w:rPr>
        <w:t>. Entr</w:t>
      </w:r>
      <w:r w:rsidR="0020477B">
        <w:rPr>
          <w:rFonts w:ascii="Times New Roman" w:hAnsi="Times New Roman" w:cs="Times New Roman"/>
          <w:sz w:val="24"/>
          <w:szCs w:val="24"/>
        </w:rPr>
        <w:t>etanto, é importante notar que o</w:t>
      </w:r>
      <w:r w:rsidRPr="00BA34ED">
        <w:rPr>
          <w:rFonts w:ascii="Times New Roman" w:hAnsi="Times New Roman" w:cs="Times New Roman"/>
          <w:sz w:val="24"/>
          <w:szCs w:val="24"/>
        </w:rPr>
        <w:t xml:space="preserve"> </w:t>
      </w:r>
      <w:r w:rsidR="0020477B">
        <w:rPr>
          <w:rFonts w:ascii="Times New Roman" w:hAnsi="Times New Roman" w:cs="Times New Roman"/>
          <w:sz w:val="24"/>
          <w:szCs w:val="24"/>
        </w:rPr>
        <w:t>ganho</w:t>
      </w:r>
      <w:r w:rsidRPr="00BA34ED">
        <w:rPr>
          <w:rFonts w:ascii="Times New Roman" w:hAnsi="Times New Roman" w:cs="Times New Roman"/>
          <w:sz w:val="24"/>
          <w:szCs w:val="24"/>
        </w:rPr>
        <w:t xml:space="preserve"> de produtividade foi maior entre os </w:t>
      </w:r>
      <w:r w:rsidRPr="0074750F">
        <w:rPr>
          <w:rFonts w:ascii="Times New Roman" w:hAnsi="Times New Roman" w:cs="Times New Roman"/>
          <w:sz w:val="24"/>
          <w:szCs w:val="24"/>
        </w:rPr>
        <w:t xml:space="preserve">prestadores de abrangência </w:t>
      </w:r>
      <w:r w:rsidR="0020477B" w:rsidRPr="0074750F">
        <w:rPr>
          <w:rFonts w:ascii="Times New Roman" w:hAnsi="Times New Roman" w:cs="Times New Roman"/>
          <w:sz w:val="24"/>
          <w:szCs w:val="24"/>
        </w:rPr>
        <w:t>local</w:t>
      </w:r>
      <w:r w:rsidRPr="0074750F">
        <w:rPr>
          <w:rFonts w:ascii="Times New Roman" w:hAnsi="Times New Roman" w:cs="Times New Roman"/>
          <w:sz w:val="24"/>
          <w:szCs w:val="24"/>
        </w:rPr>
        <w:t xml:space="preserve">, resultado que está alinhado com o encontrado por Motta e Moreira (2006) </w:t>
      </w:r>
      <w:r w:rsidR="00531593">
        <w:rPr>
          <w:rFonts w:ascii="Times New Roman" w:hAnsi="Times New Roman" w:cs="Times New Roman"/>
          <w:sz w:val="24"/>
          <w:szCs w:val="24"/>
        </w:rPr>
        <w:t>entre</w:t>
      </w:r>
      <w:r w:rsidRPr="0074750F">
        <w:rPr>
          <w:rFonts w:ascii="Times New Roman" w:hAnsi="Times New Roman" w:cs="Times New Roman"/>
          <w:sz w:val="24"/>
          <w:szCs w:val="24"/>
        </w:rPr>
        <w:t xml:space="preserve"> 199</w:t>
      </w:r>
      <w:r w:rsidR="00531593">
        <w:rPr>
          <w:rFonts w:ascii="Times New Roman" w:hAnsi="Times New Roman" w:cs="Times New Roman"/>
          <w:sz w:val="24"/>
          <w:szCs w:val="24"/>
        </w:rPr>
        <w:t>8 e</w:t>
      </w:r>
      <w:r w:rsidRPr="0074750F">
        <w:rPr>
          <w:rFonts w:ascii="Times New Roman" w:hAnsi="Times New Roman" w:cs="Times New Roman"/>
          <w:sz w:val="24"/>
          <w:szCs w:val="24"/>
        </w:rPr>
        <w:t xml:space="preserve"> 2002. Outro aspecto destacado por esses autores e que pode ser verificado nesta pesquisa é o de que os prestadores com abrangência local e </w:t>
      </w:r>
      <w:r w:rsidRPr="00BA34ED">
        <w:rPr>
          <w:rFonts w:ascii="Times New Roman" w:hAnsi="Times New Roman" w:cs="Times New Roman"/>
          <w:sz w:val="24"/>
          <w:szCs w:val="24"/>
        </w:rPr>
        <w:t xml:space="preserve">propriedade privada se moveram mais rapidamente para a fronteira. Isso pode ser evidenciado pelo resultado médio do efeito </w:t>
      </w:r>
      <w:r w:rsidR="00D554C8" w:rsidRPr="00D554C8">
        <w:rPr>
          <w:rFonts w:ascii="Times New Roman" w:hAnsi="Times New Roman" w:cs="Times New Roman"/>
          <w:i/>
          <w:sz w:val="24"/>
          <w:szCs w:val="24"/>
        </w:rPr>
        <w:t>catch-</w:t>
      </w:r>
      <w:proofErr w:type="spellStart"/>
      <w:r w:rsidR="00D554C8" w:rsidRPr="00D554C8">
        <w:rPr>
          <w:rFonts w:ascii="Times New Roman" w:hAnsi="Times New Roman" w:cs="Times New Roman"/>
          <w:i/>
          <w:sz w:val="24"/>
          <w:szCs w:val="24"/>
        </w:rPr>
        <w:t>up</w:t>
      </w:r>
      <w:proofErr w:type="spellEnd"/>
      <w:r w:rsidR="00D554C8" w:rsidRPr="00B3464F">
        <w:rPr>
          <w:rFonts w:ascii="Times New Roman" w:hAnsi="Times New Roman" w:cs="Times New Roman"/>
          <w:sz w:val="24"/>
          <w:szCs w:val="24"/>
        </w:rPr>
        <w:t xml:space="preserve"> </w:t>
      </w:r>
      <w:r w:rsidRPr="00BA34ED">
        <w:rPr>
          <w:rFonts w:ascii="Times New Roman" w:hAnsi="Times New Roman" w:cs="Times New Roman"/>
          <w:sz w:val="24"/>
          <w:szCs w:val="24"/>
        </w:rPr>
        <w:t>que foi maior para os prestadores locais de propriedade privada.</w:t>
      </w:r>
    </w:p>
    <w:p w:rsidR="00BA34ED" w:rsidRDefault="00BA34ED" w:rsidP="00AB0CF8">
      <w:pPr>
        <w:spacing w:after="0" w:line="240" w:lineRule="auto"/>
        <w:jc w:val="both"/>
        <w:rPr>
          <w:rFonts w:ascii="Times New Roman" w:hAnsi="Times New Roman" w:cs="Times New Roman"/>
          <w:sz w:val="24"/>
          <w:szCs w:val="24"/>
        </w:rPr>
      </w:pPr>
    </w:p>
    <w:p w:rsidR="00D22147" w:rsidRDefault="00D22147" w:rsidP="00AB0CF8">
      <w:pPr>
        <w:spacing w:after="0" w:line="240" w:lineRule="auto"/>
        <w:jc w:val="both"/>
        <w:rPr>
          <w:rFonts w:ascii="Times New Roman" w:hAnsi="Times New Roman" w:cs="Times New Roman"/>
          <w:sz w:val="24"/>
          <w:szCs w:val="24"/>
        </w:rPr>
      </w:pPr>
    </w:p>
    <w:p w:rsidR="00BA34ED" w:rsidRPr="002A692E" w:rsidRDefault="00BA34ED" w:rsidP="00BA34ED">
      <w:pPr>
        <w:pStyle w:val="Legenda"/>
        <w:jc w:val="both"/>
        <w:rPr>
          <w:sz w:val="24"/>
        </w:rPr>
      </w:pPr>
      <w:bookmarkStart w:id="6" w:name="_Toc377445877"/>
      <w:r w:rsidRPr="002A692E">
        <w:rPr>
          <w:sz w:val="24"/>
        </w:rPr>
        <w:lastRenderedPageBreak/>
        <w:t xml:space="preserve">Tabela </w:t>
      </w:r>
      <w:r w:rsidR="00B61420">
        <w:rPr>
          <w:sz w:val="24"/>
        </w:rPr>
        <w:t>6</w:t>
      </w:r>
      <w:r w:rsidRPr="002A692E">
        <w:rPr>
          <w:b w:val="0"/>
          <w:sz w:val="24"/>
        </w:rPr>
        <w:t xml:space="preserve"> – Resultados do Índice de </w:t>
      </w:r>
      <w:proofErr w:type="spellStart"/>
      <w:r w:rsidRPr="002A692E">
        <w:rPr>
          <w:b w:val="0"/>
          <w:sz w:val="24"/>
        </w:rPr>
        <w:t>Malmquist</w:t>
      </w:r>
      <w:proofErr w:type="spellEnd"/>
      <w:r w:rsidRPr="002A692E">
        <w:rPr>
          <w:b w:val="0"/>
          <w:sz w:val="24"/>
        </w:rPr>
        <w:t xml:space="preserve"> para 2006 =&gt; 2011</w:t>
      </w:r>
      <w:r w:rsidR="00D22147">
        <w:rPr>
          <w:b w:val="0"/>
          <w:sz w:val="24"/>
        </w:rPr>
        <w:t>:</w:t>
      </w:r>
      <w:r w:rsidRPr="002A692E">
        <w:rPr>
          <w:b w:val="0"/>
          <w:sz w:val="24"/>
        </w:rPr>
        <w:t xml:space="preserve"> </w:t>
      </w:r>
      <w:r w:rsidR="00B61420">
        <w:rPr>
          <w:b w:val="0"/>
          <w:sz w:val="24"/>
        </w:rPr>
        <w:t xml:space="preserve">região, </w:t>
      </w:r>
      <w:r w:rsidRPr="002A692E">
        <w:rPr>
          <w:b w:val="0"/>
          <w:sz w:val="24"/>
        </w:rPr>
        <w:t>abrangência e propriedade</w:t>
      </w:r>
      <w:bookmarkEnd w:id="6"/>
      <w:r w:rsidR="00B61420">
        <w:rPr>
          <w:b w:val="0"/>
          <w:sz w:val="24"/>
        </w:rPr>
        <w:t>.</w:t>
      </w:r>
    </w:p>
    <w:tbl>
      <w:tblPr>
        <w:tblStyle w:val="Tabelaemlista1"/>
        <w:tblW w:w="9260" w:type="dxa"/>
        <w:jc w:val="center"/>
        <w:tblLook w:val="04A0" w:firstRow="1" w:lastRow="0" w:firstColumn="1" w:lastColumn="0" w:noHBand="0" w:noVBand="1"/>
      </w:tblPr>
      <w:tblGrid>
        <w:gridCol w:w="1426"/>
        <w:gridCol w:w="869"/>
        <w:gridCol w:w="1851"/>
        <w:gridCol w:w="1300"/>
        <w:gridCol w:w="1854"/>
        <w:gridCol w:w="1960"/>
      </w:tblGrid>
      <w:tr w:rsidR="00BA34ED" w:rsidRPr="00B61420" w:rsidTr="00A804C1">
        <w:trPr>
          <w:cnfStyle w:val="100000000000" w:firstRow="1" w:lastRow="0" w:firstColumn="0" w:lastColumn="0" w:oddVBand="0" w:evenVBand="0" w:oddHBand="0" w:evenHBand="0" w:firstRowFirstColumn="0" w:firstRowLastColumn="0" w:lastRowFirstColumn="0" w:lastRowLastColumn="0"/>
          <w:trHeight w:val="20"/>
          <w:jc w:val="center"/>
        </w:trPr>
        <w:tc>
          <w:tcPr>
            <w:tcW w:w="1426" w:type="dxa"/>
            <w:vMerge w:val="restart"/>
            <w:tcBorders>
              <w:top w:val="single" w:sz="12" w:space="0" w:color="008080"/>
              <w:left w:val="nil"/>
            </w:tcBorders>
            <w:shd w:val="clear" w:color="auto" w:fill="auto"/>
            <w:noWrap/>
            <w:vAlign w:val="center"/>
            <w:hideMark/>
          </w:tcPr>
          <w:p w:rsidR="00BA34ED" w:rsidRPr="00B61420" w:rsidRDefault="00BA34ED" w:rsidP="00D728C9">
            <w:pPr>
              <w:jc w:val="center"/>
              <w:rPr>
                <w:i w:val="0"/>
                <w:color w:val="000000"/>
              </w:rPr>
            </w:pPr>
          </w:p>
        </w:tc>
        <w:tc>
          <w:tcPr>
            <w:tcW w:w="2720" w:type="dxa"/>
            <w:gridSpan w:val="2"/>
            <w:tcBorders>
              <w:top w:val="single" w:sz="12" w:space="0" w:color="008080"/>
            </w:tcBorders>
            <w:shd w:val="clear" w:color="auto" w:fill="auto"/>
            <w:noWrap/>
            <w:vAlign w:val="center"/>
            <w:hideMark/>
          </w:tcPr>
          <w:p w:rsidR="00BA34ED" w:rsidRPr="00B61420" w:rsidRDefault="00BA34ED" w:rsidP="00D728C9">
            <w:pPr>
              <w:jc w:val="center"/>
              <w:rPr>
                <w:i w:val="0"/>
                <w:color w:val="000000"/>
              </w:rPr>
            </w:pPr>
            <w:r w:rsidRPr="00B61420">
              <w:rPr>
                <w:bCs w:val="0"/>
                <w:i w:val="0"/>
                <w:color w:val="000000"/>
              </w:rPr>
              <w:t>Prestadores de SAA e SES</w:t>
            </w:r>
          </w:p>
        </w:tc>
        <w:tc>
          <w:tcPr>
            <w:tcW w:w="5114" w:type="dxa"/>
            <w:gridSpan w:val="3"/>
            <w:tcBorders>
              <w:top w:val="single" w:sz="12" w:space="0" w:color="008080"/>
              <w:right w:val="nil"/>
            </w:tcBorders>
            <w:shd w:val="clear" w:color="auto" w:fill="auto"/>
            <w:noWrap/>
            <w:vAlign w:val="center"/>
            <w:hideMark/>
          </w:tcPr>
          <w:p w:rsidR="00BA34ED" w:rsidRPr="00B61420" w:rsidRDefault="00BA34ED" w:rsidP="00D728C9">
            <w:pPr>
              <w:jc w:val="center"/>
              <w:rPr>
                <w:i w:val="0"/>
                <w:color w:val="000000"/>
              </w:rPr>
            </w:pPr>
            <w:r w:rsidRPr="00B61420">
              <w:rPr>
                <w:bCs w:val="0"/>
                <w:i w:val="0"/>
                <w:color w:val="000000"/>
              </w:rPr>
              <w:t>Variação na produtividade - 2006 =&gt; 2011</w:t>
            </w:r>
          </w:p>
        </w:tc>
      </w:tr>
      <w:tr w:rsidR="00BA34ED"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vMerge/>
            <w:tcBorders>
              <w:left w:val="nil"/>
            </w:tcBorders>
            <w:shd w:val="clear" w:color="auto" w:fill="auto"/>
            <w:vAlign w:val="center"/>
            <w:hideMark/>
          </w:tcPr>
          <w:p w:rsidR="00BA34ED" w:rsidRPr="00B61420" w:rsidRDefault="00BA34ED" w:rsidP="00D728C9">
            <w:pPr>
              <w:jc w:val="center"/>
              <w:rPr>
                <w:b/>
                <w:bCs/>
                <w:color w:val="000000"/>
              </w:rPr>
            </w:pPr>
          </w:p>
        </w:tc>
        <w:tc>
          <w:tcPr>
            <w:tcW w:w="869" w:type="dxa"/>
            <w:shd w:val="clear" w:color="auto" w:fill="auto"/>
            <w:noWrap/>
            <w:vAlign w:val="center"/>
            <w:hideMark/>
          </w:tcPr>
          <w:p w:rsidR="00BA34ED" w:rsidRPr="00B61420" w:rsidRDefault="00BA34ED" w:rsidP="00D728C9">
            <w:pPr>
              <w:jc w:val="center"/>
              <w:rPr>
                <w:b/>
                <w:bCs/>
                <w:color w:val="000000"/>
              </w:rPr>
            </w:pPr>
            <w:r w:rsidRPr="00B61420">
              <w:rPr>
                <w:b/>
                <w:bCs/>
                <w:color w:val="000000"/>
              </w:rPr>
              <w:t>Nº</w:t>
            </w:r>
          </w:p>
        </w:tc>
        <w:tc>
          <w:tcPr>
            <w:tcW w:w="1851" w:type="dxa"/>
            <w:shd w:val="clear" w:color="auto" w:fill="auto"/>
            <w:noWrap/>
            <w:vAlign w:val="center"/>
            <w:hideMark/>
          </w:tcPr>
          <w:p w:rsidR="00BA34ED" w:rsidRPr="00B61420" w:rsidRDefault="00BA34ED" w:rsidP="00D728C9">
            <w:pPr>
              <w:jc w:val="center"/>
              <w:rPr>
                <w:b/>
                <w:bCs/>
                <w:color w:val="000000"/>
              </w:rPr>
            </w:pPr>
            <w:r w:rsidRPr="00B61420">
              <w:rPr>
                <w:b/>
                <w:bCs/>
                <w:color w:val="000000"/>
              </w:rPr>
              <w:t>% da amostra</w:t>
            </w:r>
          </w:p>
        </w:tc>
        <w:tc>
          <w:tcPr>
            <w:tcW w:w="1300" w:type="dxa"/>
            <w:shd w:val="clear" w:color="auto" w:fill="auto"/>
            <w:vAlign w:val="center"/>
            <w:hideMark/>
          </w:tcPr>
          <w:p w:rsidR="00BA34ED" w:rsidRPr="00B61420" w:rsidRDefault="00BA34ED" w:rsidP="00D728C9">
            <w:pPr>
              <w:jc w:val="center"/>
              <w:rPr>
                <w:b/>
                <w:bCs/>
                <w:color w:val="000000"/>
              </w:rPr>
            </w:pPr>
            <w:proofErr w:type="spellStart"/>
            <w:r w:rsidRPr="00B61420">
              <w:rPr>
                <w:b/>
                <w:bCs/>
                <w:color w:val="000000"/>
              </w:rPr>
              <w:t>Malmquist</w:t>
            </w:r>
            <w:proofErr w:type="spellEnd"/>
          </w:p>
        </w:tc>
        <w:tc>
          <w:tcPr>
            <w:tcW w:w="1854" w:type="dxa"/>
            <w:shd w:val="clear" w:color="auto" w:fill="auto"/>
            <w:vAlign w:val="center"/>
            <w:hideMark/>
          </w:tcPr>
          <w:p w:rsidR="00BA34ED" w:rsidRPr="00B61420" w:rsidRDefault="00B61420" w:rsidP="00B61420">
            <w:pPr>
              <w:jc w:val="center"/>
              <w:rPr>
                <w:b/>
                <w:bCs/>
                <w:color w:val="000000"/>
              </w:rPr>
            </w:pPr>
            <w:r w:rsidRPr="00B61420">
              <w:rPr>
                <w:b/>
                <w:bCs/>
                <w:i/>
                <w:color w:val="000000"/>
              </w:rPr>
              <w:t>C</w:t>
            </w:r>
            <w:r>
              <w:rPr>
                <w:b/>
                <w:bCs/>
                <w:i/>
                <w:iCs/>
                <w:color w:val="000000"/>
              </w:rPr>
              <w:t>atch-</w:t>
            </w:r>
            <w:proofErr w:type="spellStart"/>
            <w:r>
              <w:rPr>
                <w:b/>
                <w:bCs/>
                <w:i/>
                <w:iCs/>
                <w:color w:val="000000"/>
              </w:rPr>
              <w:t>up</w:t>
            </w:r>
            <w:proofErr w:type="spellEnd"/>
          </w:p>
        </w:tc>
        <w:tc>
          <w:tcPr>
            <w:tcW w:w="1960" w:type="dxa"/>
            <w:tcBorders>
              <w:right w:val="nil"/>
            </w:tcBorders>
            <w:shd w:val="clear" w:color="auto" w:fill="auto"/>
            <w:vAlign w:val="center"/>
            <w:hideMark/>
          </w:tcPr>
          <w:p w:rsidR="00BA34ED" w:rsidRPr="00B61420" w:rsidRDefault="00B61420" w:rsidP="00B61420">
            <w:pPr>
              <w:jc w:val="center"/>
              <w:rPr>
                <w:b/>
                <w:bCs/>
                <w:color w:val="000000"/>
              </w:rPr>
            </w:pPr>
            <w:proofErr w:type="spellStart"/>
            <w:r w:rsidRPr="00B61420">
              <w:rPr>
                <w:b/>
                <w:bCs/>
                <w:i/>
                <w:color w:val="000000"/>
              </w:rPr>
              <w:t>F</w:t>
            </w:r>
            <w:r w:rsidR="00BA34ED" w:rsidRPr="00B61420">
              <w:rPr>
                <w:b/>
                <w:bCs/>
                <w:i/>
                <w:iCs/>
                <w:color w:val="000000"/>
              </w:rPr>
              <w:t>rontier</w:t>
            </w:r>
            <w:proofErr w:type="spellEnd"/>
            <w:r w:rsidR="00BA34ED" w:rsidRPr="00B61420">
              <w:rPr>
                <w:b/>
                <w:bCs/>
                <w:i/>
                <w:iCs/>
                <w:color w:val="000000"/>
              </w:rPr>
              <w:t>-shift</w:t>
            </w: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9260" w:type="dxa"/>
            <w:gridSpan w:val="6"/>
            <w:tcBorders>
              <w:left w:val="nil"/>
            </w:tcBorders>
            <w:shd w:val="clear" w:color="auto" w:fill="BFBFBF" w:themeFill="background1" w:themeFillShade="BF"/>
            <w:vAlign w:val="center"/>
          </w:tcPr>
          <w:p w:rsidR="00B61420" w:rsidRPr="00B61420" w:rsidRDefault="00B61420" w:rsidP="00B61420">
            <w:pPr>
              <w:rPr>
                <w:b/>
                <w:bCs/>
                <w:color w:val="000000"/>
              </w:rPr>
            </w:pPr>
            <w:r w:rsidRPr="00B61420">
              <w:rPr>
                <w:b/>
                <w:bCs/>
                <w:color w:val="000000"/>
              </w:rPr>
              <w:t>Região</w:t>
            </w: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tcBorders>
            <w:shd w:val="clear" w:color="auto" w:fill="auto"/>
            <w:vAlign w:val="center"/>
          </w:tcPr>
          <w:p w:rsidR="00B61420" w:rsidRPr="00B61420" w:rsidRDefault="00B61420" w:rsidP="00226068">
            <w:pPr>
              <w:rPr>
                <w:b/>
                <w:bCs/>
                <w:color w:val="000000"/>
              </w:rPr>
            </w:pPr>
            <w:r w:rsidRPr="00B61420">
              <w:rPr>
                <w:b/>
                <w:bCs/>
                <w:color w:val="000000"/>
              </w:rPr>
              <w:t>Norte</w:t>
            </w:r>
          </w:p>
        </w:tc>
        <w:tc>
          <w:tcPr>
            <w:tcW w:w="869" w:type="dxa"/>
            <w:shd w:val="clear" w:color="auto" w:fill="auto"/>
            <w:noWrap/>
            <w:vAlign w:val="center"/>
          </w:tcPr>
          <w:p w:rsidR="00B61420" w:rsidRPr="00B61420" w:rsidRDefault="00B61420" w:rsidP="00226068">
            <w:pPr>
              <w:jc w:val="center"/>
              <w:rPr>
                <w:color w:val="000000"/>
              </w:rPr>
            </w:pPr>
            <w:proofErr w:type="gramStart"/>
            <w:r w:rsidRPr="00B61420">
              <w:rPr>
                <w:color w:val="000000"/>
              </w:rPr>
              <w:t>7</w:t>
            </w:r>
            <w:proofErr w:type="gramEnd"/>
          </w:p>
        </w:tc>
        <w:tc>
          <w:tcPr>
            <w:tcW w:w="1851" w:type="dxa"/>
            <w:shd w:val="clear" w:color="auto" w:fill="auto"/>
            <w:noWrap/>
            <w:vAlign w:val="center"/>
          </w:tcPr>
          <w:p w:rsidR="00B61420" w:rsidRPr="00B61420" w:rsidRDefault="00B61420" w:rsidP="00226068">
            <w:pPr>
              <w:jc w:val="center"/>
              <w:rPr>
                <w:color w:val="000000"/>
              </w:rPr>
            </w:pPr>
            <w:r w:rsidRPr="00B61420">
              <w:rPr>
                <w:color w:val="000000"/>
              </w:rPr>
              <w:t>24,1%</w:t>
            </w:r>
          </w:p>
        </w:tc>
        <w:tc>
          <w:tcPr>
            <w:tcW w:w="1300" w:type="dxa"/>
            <w:shd w:val="clear" w:color="auto" w:fill="auto"/>
          </w:tcPr>
          <w:p w:rsidR="00B61420" w:rsidRPr="00B61420" w:rsidRDefault="00B61420" w:rsidP="00226068">
            <w:pPr>
              <w:jc w:val="center"/>
              <w:rPr>
                <w:b/>
              </w:rPr>
            </w:pPr>
            <w:r w:rsidRPr="00B61420">
              <w:rPr>
                <w:b/>
                <w:color w:val="FF0000"/>
              </w:rPr>
              <w:t>0,9299</w:t>
            </w:r>
          </w:p>
        </w:tc>
        <w:tc>
          <w:tcPr>
            <w:tcW w:w="1854" w:type="dxa"/>
            <w:shd w:val="clear" w:color="auto" w:fill="auto"/>
          </w:tcPr>
          <w:p w:rsidR="00B61420" w:rsidRPr="00B61420" w:rsidRDefault="00B61420" w:rsidP="00226068">
            <w:pPr>
              <w:jc w:val="center"/>
            </w:pPr>
            <w:r w:rsidRPr="00B61420">
              <w:t>0,9798</w:t>
            </w:r>
          </w:p>
        </w:tc>
        <w:tc>
          <w:tcPr>
            <w:tcW w:w="1960" w:type="dxa"/>
            <w:tcBorders>
              <w:right w:val="nil"/>
            </w:tcBorders>
            <w:shd w:val="clear" w:color="auto" w:fill="auto"/>
          </w:tcPr>
          <w:p w:rsidR="00B61420" w:rsidRPr="00B61420" w:rsidRDefault="00B61420" w:rsidP="00226068">
            <w:pPr>
              <w:jc w:val="center"/>
              <w:rPr>
                <w:b/>
              </w:rPr>
            </w:pPr>
            <w:r w:rsidRPr="00B61420">
              <w:rPr>
                <w:b/>
                <w:color w:val="FF0000"/>
              </w:rPr>
              <w:t>0,9600</w:t>
            </w: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1426" w:type="dxa"/>
            <w:tcBorders>
              <w:left w:val="nil"/>
            </w:tcBorders>
            <w:shd w:val="clear" w:color="auto" w:fill="auto"/>
            <w:vAlign w:val="center"/>
          </w:tcPr>
          <w:p w:rsidR="00B61420" w:rsidRPr="00B61420" w:rsidRDefault="00B61420" w:rsidP="00226068">
            <w:pPr>
              <w:rPr>
                <w:b/>
                <w:bCs/>
                <w:color w:val="000000"/>
              </w:rPr>
            </w:pPr>
            <w:r w:rsidRPr="00B61420">
              <w:rPr>
                <w:b/>
                <w:bCs/>
                <w:color w:val="000000"/>
              </w:rPr>
              <w:t>Nordeste</w:t>
            </w:r>
          </w:p>
        </w:tc>
        <w:tc>
          <w:tcPr>
            <w:tcW w:w="869" w:type="dxa"/>
            <w:shd w:val="clear" w:color="auto" w:fill="auto"/>
            <w:noWrap/>
            <w:vAlign w:val="center"/>
          </w:tcPr>
          <w:p w:rsidR="00B61420" w:rsidRPr="00B61420" w:rsidRDefault="00B61420" w:rsidP="00226068">
            <w:pPr>
              <w:jc w:val="center"/>
              <w:rPr>
                <w:color w:val="000000"/>
              </w:rPr>
            </w:pPr>
            <w:proofErr w:type="gramStart"/>
            <w:r w:rsidRPr="00B61420">
              <w:rPr>
                <w:color w:val="000000"/>
              </w:rPr>
              <w:t>9</w:t>
            </w:r>
            <w:proofErr w:type="gramEnd"/>
          </w:p>
        </w:tc>
        <w:tc>
          <w:tcPr>
            <w:tcW w:w="1851" w:type="dxa"/>
            <w:shd w:val="clear" w:color="auto" w:fill="auto"/>
            <w:noWrap/>
            <w:vAlign w:val="center"/>
          </w:tcPr>
          <w:p w:rsidR="00B61420" w:rsidRPr="00B61420" w:rsidRDefault="00B61420" w:rsidP="00226068">
            <w:pPr>
              <w:jc w:val="center"/>
              <w:rPr>
                <w:color w:val="000000"/>
              </w:rPr>
            </w:pPr>
            <w:r w:rsidRPr="00B61420">
              <w:rPr>
                <w:color w:val="000000"/>
              </w:rPr>
              <w:t>31,0%</w:t>
            </w:r>
          </w:p>
        </w:tc>
        <w:tc>
          <w:tcPr>
            <w:tcW w:w="1300" w:type="dxa"/>
            <w:shd w:val="clear" w:color="auto" w:fill="auto"/>
          </w:tcPr>
          <w:p w:rsidR="00B61420" w:rsidRPr="00B61420" w:rsidRDefault="00B61420" w:rsidP="00226068">
            <w:pPr>
              <w:jc w:val="center"/>
            </w:pPr>
            <w:r w:rsidRPr="00B61420">
              <w:t>1,1180</w:t>
            </w:r>
          </w:p>
        </w:tc>
        <w:tc>
          <w:tcPr>
            <w:tcW w:w="1854" w:type="dxa"/>
            <w:shd w:val="clear" w:color="auto" w:fill="auto"/>
          </w:tcPr>
          <w:p w:rsidR="00B61420" w:rsidRPr="00B61420" w:rsidRDefault="00B61420" w:rsidP="00226068">
            <w:pPr>
              <w:jc w:val="center"/>
              <w:rPr>
                <w:color w:val="FF0000"/>
              </w:rPr>
            </w:pPr>
            <w:r w:rsidRPr="00B61420">
              <w:t>0,9673</w:t>
            </w:r>
          </w:p>
        </w:tc>
        <w:tc>
          <w:tcPr>
            <w:tcW w:w="1960" w:type="dxa"/>
            <w:tcBorders>
              <w:right w:val="nil"/>
            </w:tcBorders>
            <w:shd w:val="clear" w:color="auto" w:fill="auto"/>
          </w:tcPr>
          <w:p w:rsidR="00B61420" w:rsidRPr="00B61420" w:rsidRDefault="00B61420" w:rsidP="00226068">
            <w:pPr>
              <w:jc w:val="center"/>
              <w:rPr>
                <w:b/>
              </w:rPr>
            </w:pPr>
            <w:r w:rsidRPr="00B61420">
              <w:rPr>
                <w:b/>
                <w:color w:val="00B050"/>
              </w:rPr>
              <w:t>1,1555</w:t>
            </w: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tcBorders>
            <w:shd w:val="clear" w:color="auto" w:fill="auto"/>
            <w:vAlign w:val="center"/>
          </w:tcPr>
          <w:p w:rsidR="00B61420" w:rsidRPr="00B61420" w:rsidRDefault="00B61420" w:rsidP="00226068">
            <w:pPr>
              <w:rPr>
                <w:b/>
                <w:bCs/>
                <w:color w:val="000000"/>
              </w:rPr>
            </w:pPr>
            <w:r w:rsidRPr="00B61420">
              <w:rPr>
                <w:b/>
                <w:bCs/>
                <w:color w:val="000000"/>
              </w:rPr>
              <w:t>Centro-Oeste</w:t>
            </w:r>
          </w:p>
        </w:tc>
        <w:tc>
          <w:tcPr>
            <w:tcW w:w="869" w:type="dxa"/>
            <w:shd w:val="clear" w:color="auto" w:fill="auto"/>
            <w:noWrap/>
            <w:vAlign w:val="center"/>
          </w:tcPr>
          <w:p w:rsidR="00B61420" w:rsidRPr="00B61420" w:rsidRDefault="00B61420" w:rsidP="00226068">
            <w:pPr>
              <w:jc w:val="center"/>
              <w:rPr>
                <w:color w:val="000000"/>
              </w:rPr>
            </w:pPr>
            <w:proofErr w:type="gramStart"/>
            <w:r w:rsidRPr="00B61420">
              <w:rPr>
                <w:color w:val="000000"/>
              </w:rPr>
              <w:t>5</w:t>
            </w:r>
            <w:proofErr w:type="gramEnd"/>
          </w:p>
        </w:tc>
        <w:tc>
          <w:tcPr>
            <w:tcW w:w="1851" w:type="dxa"/>
            <w:shd w:val="clear" w:color="auto" w:fill="auto"/>
            <w:noWrap/>
            <w:vAlign w:val="center"/>
          </w:tcPr>
          <w:p w:rsidR="00B61420" w:rsidRPr="00B61420" w:rsidRDefault="00B61420" w:rsidP="00226068">
            <w:pPr>
              <w:jc w:val="center"/>
              <w:rPr>
                <w:color w:val="000000"/>
              </w:rPr>
            </w:pPr>
            <w:r w:rsidRPr="00B61420">
              <w:rPr>
                <w:color w:val="000000"/>
              </w:rPr>
              <w:t>17,2%</w:t>
            </w:r>
          </w:p>
        </w:tc>
        <w:tc>
          <w:tcPr>
            <w:tcW w:w="1300" w:type="dxa"/>
            <w:shd w:val="clear" w:color="auto" w:fill="auto"/>
          </w:tcPr>
          <w:p w:rsidR="00B61420" w:rsidRPr="00B61420" w:rsidRDefault="00B61420" w:rsidP="00226068">
            <w:pPr>
              <w:jc w:val="center"/>
            </w:pPr>
            <w:r w:rsidRPr="00B61420">
              <w:t>1,1240</w:t>
            </w:r>
          </w:p>
        </w:tc>
        <w:tc>
          <w:tcPr>
            <w:tcW w:w="1854" w:type="dxa"/>
            <w:shd w:val="clear" w:color="auto" w:fill="auto"/>
          </w:tcPr>
          <w:p w:rsidR="00B61420" w:rsidRPr="00B61420" w:rsidRDefault="00B61420" w:rsidP="00226068">
            <w:pPr>
              <w:jc w:val="center"/>
              <w:rPr>
                <w:b/>
              </w:rPr>
            </w:pPr>
            <w:r w:rsidRPr="00B61420">
              <w:rPr>
                <w:b/>
                <w:color w:val="00B050"/>
              </w:rPr>
              <w:t>1,0729</w:t>
            </w:r>
          </w:p>
        </w:tc>
        <w:tc>
          <w:tcPr>
            <w:tcW w:w="1960" w:type="dxa"/>
            <w:tcBorders>
              <w:right w:val="nil"/>
            </w:tcBorders>
            <w:shd w:val="clear" w:color="auto" w:fill="auto"/>
          </w:tcPr>
          <w:p w:rsidR="00B61420" w:rsidRPr="00B61420" w:rsidRDefault="00B61420" w:rsidP="00226068">
            <w:pPr>
              <w:jc w:val="center"/>
            </w:pPr>
            <w:r w:rsidRPr="00B61420">
              <w:t>1,0511</w:t>
            </w: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1426" w:type="dxa"/>
            <w:tcBorders>
              <w:left w:val="nil"/>
            </w:tcBorders>
            <w:shd w:val="clear" w:color="auto" w:fill="auto"/>
            <w:vAlign w:val="center"/>
          </w:tcPr>
          <w:p w:rsidR="00B61420" w:rsidRPr="00B61420" w:rsidRDefault="00B61420" w:rsidP="00226068">
            <w:pPr>
              <w:rPr>
                <w:b/>
                <w:bCs/>
                <w:color w:val="000000"/>
              </w:rPr>
            </w:pPr>
            <w:r w:rsidRPr="00B61420">
              <w:rPr>
                <w:b/>
                <w:bCs/>
                <w:color w:val="000000"/>
              </w:rPr>
              <w:t>Sudeste</w:t>
            </w:r>
          </w:p>
        </w:tc>
        <w:tc>
          <w:tcPr>
            <w:tcW w:w="869" w:type="dxa"/>
            <w:shd w:val="clear" w:color="auto" w:fill="auto"/>
            <w:noWrap/>
            <w:vAlign w:val="center"/>
          </w:tcPr>
          <w:p w:rsidR="00B61420" w:rsidRPr="00B61420" w:rsidRDefault="00B61420" w:rsidP="00226068">
            <w:pPr>
              <w:jc w:val="center"/>
              <w:rPr>
                <w:color w:val="000000"/>
              </w:rPr>
            </w:pPr>
            <w:proofErr w:type="gramStart"/>
            <w:r w:rsidRPr="00B61420">
              <w:rPr>
                <w:color w:val="000000"/>
              </w:rPr>
              <w:t>4</w:t>
            </w:r>
            <w:proofErr w:type="gramEnd"/>
          </w:p>
        </w:tc>
        <w:tc>
          <w:tcPr>
            <w:tcW w:w="1851" w:type="dxa"/>
            <w:shd w:val="clear" w:color="auto" w:fill="auto"/>
            <w:noWrap/>
            <w:vAlign w:val="center"/>
          </w:tcPr>
          <w:p w:rsidR="00B61420" w:rsidRPr="00B61420" w:rsidRDefault="00B61420" w:rsidP="00226068">
            <w:pPr>
              <w:jc w:val="center"/>
              <w:rPr>
                <w:color w:val="000000"/>
              </w:rPr>
            </w:pPr>
            <w:r w:rsidRPr="00B61420">
              <w:rPr>
                <w:color w:val="000000"/>
              </w:rPr>
              <w:t>13,8%</w:t>
            </w:r>
          </w:p>
        </w:tc>
        <w:tc>
          <w:tcPr>
            <w:tcW w:w="1300" w:type="dxa"/>
            <w:shd w:val="clear" w:color="auto" w:fill="auto"/>
          </w:tcPr>
          <w:p w:rsidR="00B61420" w:rsidRPr="00B61420" w:rsidRDefault="00B61420" w:rsidP="00226068">
            <w:pPr>
              <w:jc w:val="center"/>
              <w:rPr>
                <w:b/>
              </w:rPr>
            </w:pPr>
            <w:r w:rsidRPr="00B61420">
              <w:rPr>
                <w:b/>
                <w:color w:val="00B050"/>
              </w:rPr>
              <w:t>1,1733</w:t>
            </w:r>
          </w:p>
        </w:tc>
        <w:tc>
          <w:tcPr>
            <w:tcW w:w="1854" w:type="dxa"/>
            <w:shd w:val="clear" w:color="auto" w:fill="auto"/>
          </w:tcPr>
          <w:p w:rsidR="00B61420" w:rsidRPr="00B61420" w:rsidRDefault="00B61420" w:rsidP="00226068">
            <w:pPr>
              <w:jc w:val="center"/>
            </w:pPr>
            <w:r w:rsidRPr="00B61420">
              <w:t>1,0227</w:t>
            </w:r>
          </w:p>
        </w:tc>
        <w:tc>
          <w:tcPr>
            <w:tcW w:w="1960" w:type="dxa"/>
            <w:tcBorders>
              <w:right w:val="nil"/>
            </w:tcBorders>
            <w:shd w:val="clear" w:color="auto" w:fill="auto"/>
          </w:tcPr>
          <w:p w:rsidR="00B61420" w:rsidRPr="00B61420" w:rsidRDefault="00B61420" w:rsidP="00226068">
            <w:pPr>
              <w:jc w:val="center"/>
            </w:pPr>
            <w:r w:rsidRPr="00B61420">
              <w:t>1,1459</w:t>
            </w: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tcBorders>
            <w:shd w:val="clear" w:color="auto" w:fill="auto"/>
            <w:vAlign w:val="center"/>
          </w:tcPr>
          <w:p w:rsidR="00B61420" w:rsidRPr="00B61420" w:rsidRDefault="00B61420" w:rsidP="00226068">
            <w:pPr>
              <w:rPr>
                <w:b/>
                <w:bCs/>
                <w:color w:val="000000"/>
              </w:rPr>
            </w:pPr>
            <w:r w:rsidRPr="00B61420">
              <w:rPr>
                <w:b/>
                <w:bCs/>
                <w:color w:val="000000"/>
              </w:rPr>
              <w:t>Sul</w:t>
            </w:r>
          </w:p>
        </w:tc>
        <w:tc>
          <w:tcPr>
            <w:tcW w:w="869" w:type="dxa"/>
            <w:shd w:val="clear" w:color="auto" w:fill="auto"/>
            <w:noWrap/>
            <w:vAlign w:val="center"/>
          </w:tcPr>
          <w:p w:rsidR="00B61420" w:rsidRPr="00B61420" w:rsidRDefault="00B61420" w:rsidP="00226068">
            <w:pPr>
              <w:jc w:val="center"/>
              <w:rPr>
                <w:color w:val="000000"/>
              </w:rPr>
            </w:pPr>
            <w:proofErr w:type="gramStart"/>
            <w:r w:rsidRPr="00B61420">
              <w:rPr>
                <w:color w:val="000000"/>
              </w:rPr>
              <w:t>4</w:t>
            </w:r>
            <w:proofErr w:type="gramEnd"/>
          </w:p>
        </w:tc>
        <w:tc>
          <w:tcPr>
            <w:tcW w:w="1851" w:type="dxa"/>
            <w:shd w:val="clear" w:color="auto" w:fill="auto"/>
            <w:noWrap/>
            <w:vAlign w:val="center"/>
          </w:tcPr>
          <w:p w:rsidR="00B61420" w:rsidRPr="00B61420" w:rsidRDefault="00B61420" w:rsidP="00226068">
            <w:pPr>
              <w:jc w:val="center"/>
              <w:rPr>
                <w:color w:val="000000"/>
              </w:rPr>
            </w:pPr>
            <w:r w:rsidRPr="00B61420">
              <w:rPr>
                <w:color w:val="000000"/>
              </w:rPr>
              <w:t>13,8%</w:t>
            </w:r>
          </w:p>
        </w:tc>
        <w:tc>
          <w:tcPr>
            <w:tcW w:w="1300" w:type="dxa"/>
            <w:shd w:val="clear" w:color="auto" w:fill="auto"/>
          </w:tcPr>
          <w:p w:rsidR="00B61420" w:rsidRPr="00B61420" w:rsidRDefault="00B61420" w:rsidP="00226068">
            <w:pPr>
              <w:jc w:val="center"/>
            </w:pPr>
            <w:r w:rsidRPr="00B61420">
              <w:t>1,0239</w:t>
            </w:r>
          </w:p>
        </w:tc>
        <w:tc>
          <w:tcPr>
            <w:tcW w:w="1854" w:type="dxa"/>
            <w:shd w:val="clear" w:color="auto" w:fill="auto"/>
          </w:tcPr>
          <w:p w:rsidR="00B61420" w:rsidRPr="00B61420" w:rsidRDefault="00B61420" w:rsidP="00226068">
            <w:pPr>
              <w:jc w:val="center"/>
              <w:rPr>
                <w:b/>
              </w:rPr>
            </w:pPr>
            <w:r w:rsidRPr="00B61420">
              <w:rPr>
                <w:b/>
                <w:color w:val="FF0000"/>
              </w:rPr>
              <w:t>0,9349</w:t>
            </w:r>
          </w:p>
        </w:tc>
        <w:tc>
          <w:tcPr>
            <w:tcW w:w="1960" w:type="dxa"/>
            <w:tcBorders>
              <w:right w:val="nil"/>
            </w:tcBorders>
            <w:shd w:val="clear" w:color="auto" w:fill="auto"/>
          </w:tcPr>
          <w:p w:rsidR="00B61420" w:rsidRPr="00B61420" w:rsidRDefault="00B61420" w:rsidP="00226068">
            <w:pPr>
              <w:jc w:val="center"/>
            </w:pPr>
            <w:r w:rsidRPr="00B61420">
              <w:t>1,0923</w:t>
            </w: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1426" w:type="dxa"/>
            <w:tcBorders>
              <w:left w:val="nil"/>
            </w:tcBorders>
            <w:shd w:val="clear" w:color="auto" w:fill="BFBFBF" w:themeFill="background1" w:themeFillShade="BF"/>
            <w:noWrap/>
            <w:vAlign w:val="center"/>
            <w:hideMark/>
          </w:tcPr>
          <w:p w:rsidR="00B61420" w:rsidRPr="00B61420" w:rsidRDefault="00B61420" w:rsidP="00226068">
            <w:pPr>
              <w:rPr>
                <w:b/>
                <w:bCs/>
                <w:color w:val="000000"/>
              </w:rPr>
            </w:pPr>
            <w:r w:rsidRPr="00B61420">
              <w:rPr>
                <w:b/>
                <w:bCs/>
                <w:color w:val="000000"/>
              </w:rPr>
              <w:t>Abrangência</w:t>
            </w:r>
          </w:p>
        </w:tc>
        <w:tc>
          <w:tcPr>
            <w:tcW w:w="869"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851"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300"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854"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960" w:type="dxa"/>
            <w:tcBorders>
              <w:right w:val="nil"/>
            </w:tcBorders>
            <w:shd w:val="clear" w:color="auto" w:fill="BFBFBF" w:themeFill="background1" w:themeFillShade="BF"/>
            <w:noWrap/>
            <w:vAlign w:val="center"/>
            <w:hideMark/>
          </w:tcPr>
          <w:p w:rsidR="00B61420" w:rsidRPr="00B61420" w:rsidRDefault="00B61420" w:rsidP="00D728C9">
            <w:pPr>
              <w:jc w:val="center"/>
              <w:rPr>
                <w:color w:val="000000"/>
              </w:rPr>
            </w:pP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tcBorders>
            <w:shd w:val="clear" w:color="auto" w:fill="auto"/>
            <w:noWrap/>
            <w:vAlign w:val="center"/>
            <w:hideMark/>
          </w:tcPr>
          <w:p w:rsidR="00B61420" w:rsidRPr="00B61420" w:rsidRDefault="00B61420" w:rsidP="00226068">
            <w:pPr>
              <w:rPr>
                <w:b/>
                <w:bCs/>
                <w:color w:val="000000"/>
              </w:rPr>
            </w:pPr>
            <w:r w:rsidRPr="00B61420">
              <w:rPr>
                <w:b/>
                <w:bCs/>
                <w:color w:val="000000"/>
              </w:rPr>
              <w:t>Local</w:t>
            </w:r>
          </w:p>
        </w:tc>
        <w:tc>
          <w:tcPr>
            <w:tcW w:w="869" w:type="dxa"/>
            <w:shd w:val="clear" w:color="auto" w:fill="auto"/>
            <w:noWrap/>
            <w:vAlign w:val="center"/>
            <w:hideMark/>
          </w:tcPr>
          <w:p w:rsidR="00B61420" w:rsidRPr="00B61420" w:rsidRDefault="00B61420" w:rsidP="00D728C9">
            <w:pPr>
              <w:jc w:val="center"/>
              <w:rPr>
                <w:color w:val="000000"/>
              </w:rPr>
            </w:pPr>
            <w:proofErr w:type="gramStart"/>
            <w:r w:rsidRPr="00B61420">
              <w:rPr>
                <w:color w:val="000000"/>
              </w:rPr>
              <w:t>5</w:t>
            </w:r>
            <w:proofErr w:type="gramEnd"/>
          </w:p>
        </w:tc>
        <w:tc>
          <w:tcPr>
            <w:tcW w:w="1851" w:type="dxa"/>
            <w:shd w:val="clear" w:color="auto" w:fill="auto"/>
            <w:noWrap/>
            <w:vAlign w:val="center"/>
            <w:hideMark/>
          </w:tcPr>
          <w:p w:rsidR="00B61420" w:rsidRPr="00B61420" w:rsidRDefault="00B61420" w:rsidP="00D728C9">
            <w:pPr>
              <w:jc w:val="center"/>
              <w:rPr>
                <w:color w:val="000000"/>
              </w:rPr>
            </w:pPr>
            <w:r w:rsidRPr="00B61420">
              <w:rPr>
                <w:color w:val="000000"/>
              </w:rPr>
              <w:t>17,2%</w:t>
            </w:r>
          </w:p>
        </w:tc>
        <w:tc>
          <w:tcPr>
            <w:tcW w:w="1300" w:type="dxa"/>
            <w:shd w:val="clear" w:color="auto" w:fill="auto"/>
            <w:noWrap/>
            <w:hideMark/>
          </w:tcPr>
          <w:p w:rsidR="00B61420" w:rsidRPr="00B61420" w:rsidRDefault="00B61420" w:rsidP="00BA34ED">
            <w:pPr>
              <w:jc w:val="center"/>
              <w:rPr>
                <w:b/>
              </w:rPr>
            </w:pPr>
            <w:r w:rsidRPr="00B61420">
              <w:rPr>
                <w:b/>
                <w:color w:val="00B050"/>
              </w:rPr>
              <w:t>1,1055</w:t>
            </w:r>
          </w:p>
        </w:tc>
        <w:tc>
          <w:tcPr>
            <w:tcW w:w="1854" w:type="dxa"/>
            <w:shd w:val="clear" w:color="auto" w:fill="auto"/>
            <w:noWrap/>
            <w:hideMark/>
          </w:tcPr>
          <w:p w:rsidR="00B61420" w:rsidRPr="00B61420" w:rsidRDefault="00B61420" w:rsidP="00BA34ED">
            <w:pPr>
              <w:jc w:val="center"/>
              <w:rPr>
                <w:b/>
              </w:rPr>
            </w:pPr>
            <w:r w:rsidRPr="00B61420">
              <w:rPr>
                <w:b/>
                <w:color w:val="00B050"/>
              </w:rPr>
              <w:t>1,0698</w:t>
            </w:r>
          </w:p>
        </w:tc>
        <w:tc>
          <w:tcPr>
            <w:tcW w:w="1960" w:type="dxa"/>
            <w:tcBorders>
              <w:right w:val="nil"/>
            </w:tcBorders>
            <w:shd w:val="clear" w:color="auto" w:fill="auto"/>
            <w:noWrap/>
            <w:hideMark/>
          </w:tcPr>
          <w:p w:rsidR="00B61420" w:rsidRPr="00B61420" w:rsidRDefault="00B61420" w:rsidP="00BA34ED">
            <w:pPr>
              <w:jc w:val="center"/>
            </w:pPr>
            <w:r w:rsidRPr="00B61420">
              <w:t>1,0355</w:t>
            </w: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1426" w:type="dxa"/>
            <w:tcBorders>
              <w:left w:val="nil"/>
            </w:tcBorders>
            <w:shd w:val="clear" w:color="auto" w:fill="auto"/>
            <w:noWrap/>
            <w:vAlign w:val="center"/>
            <w:hideMark/>
          </w:tcPr>
          <w:p w:rsidR="00B61420" w:rsidRPr="00B61420" w:rsidRDefault="00B61420" w:rsidP="00226068">
            <w:pPr>
              <w:rPr>
                <w:b/>
                <w:bCs/>
                <w:color w:val="000000"/>
              </w:rPr>
            </w:pPr>
            <w:r w:rsidRPr="00B61420">
              <w:rPr>
                <w:b/>
                <w:bCs/>
                <w:color w:val="000000"/>
              </w:rPr>
              <w:t>Regional</w:t>
            </w:r>
          </w:p>
        </w:tc>
        <w:tc>
          <w:tcPr>
            <w:tcW w:w="869" w:type="dxa"/>
            <w:shd w:val="clear" w:color="auto" w:fill="auto"/>
            <w:noWrap/>
            <w:vAlign w:val="center"/>
            <w:hideMark/>
          </w:tcPr>
          <w:p w:rsidR="00B61420" w:rsidRPr="00B61420" w:rsidRDefault="00B61420" w:rsidP="00D728C9">
            <w:pPr>
              <w:jc w:val="center"/>
              <w:rPr>
                <w:color w:val="000000"/>
              </w:rPr>
            </w:pPr>
            <w:r w:rsidRPr="00B61420">
              <w:rPr>
                <w:color w:val="000000"/>
              </w:rPr>
              <w:t>24</w:t>
            </w:r>
          </w:p>
        </w:tc>
        <w:tc>
          <w:tcPr>
            <w:tcW w:w="1851" w:type="dxa"/>
            <w:shd w:val="clear" w:color="auto" w:fill="auto"/>
            <w:noWrap/>
            <w:vAlign w:val="center"/>
            <w:hideMark/>
          </w:tcPr>
          <w:p w:rsidR="00B61420" w:rsidRPr="00B61420" w:rsidRDefault="00B61420" w:rsidP="00D728C9">
            <w:pPr>
              <w:jc w:val="center"/>
              <w:rPr>
                <w:color w:val="000000"/>
              </w:rPr>
            </w:pPr>
            <w:r w:rsidRPr="00B61420">
              <w:rPr>
                <w:color w:val="000000"/>
              </w:rPr>
              <w:t>82,8%</w:t>
            </w:r>
          </w:p>
        </w:tc>
        <w:tc>
          <w:tcPr>
            <w:tcW w:w="1300" w:type="dxa"/>
            <w:shd w:val="clear" w:color="auto" w:fill="auto"/>
            <w:noWrap/>
            <w:hideMark/>
          </w:tcPr>
          <w:p w:rsidR="00B61420" w:rsidRPr="00B61420" w:rsidRDefault="00B61420" w:rsidP="00BA34ED">
            <w:pPr>
              <w:jc w:val="center"/>
            </w:pPr>
            <w:r w:rsidRPr="00B61420">
              <w:t>1,0605</w:t>
            </w:r>
          </w:p>
        </w:tc>
        <w:tc>
          <w:tcPr>
            <w:tcW w:w="1854" w:type="dxa"/>
            <w:shd w:val="clear" w:color="auto" w:fill="auto"/>
            <w:noWrap/>
            <w:hideMark/>
          </w:tcPr>
          <w:p w:rsidR="00B61420" w:rsidRPr="00B61420" w:rsidRDefault="00B61420" w:rsidP="00BA34ED">
            <w:pPr>
              <w:jc w:val="center"/>
            </w:pPr>
            <w:r w:rsidRPr="00B61420">
              <w:t>0,9754</w:t>
            </w:r>
          </w:p>
        </w:tc>
        <w:tc>
          <w:tcPr>
            <w:tcW w:w="1960" w:type="dxa"/>
            <w:tcBorders>
              <w:right w:val="nil"/>
            </w:tcBorders>
            <w:shd w:val="clear" w:color="auto" w:fill="auto"/>
            <w:noWrap/>
            <w:hideMark/>
          </w:tcPr>
          <w:p w:rsidR="00B61420" w:rsidRPr="00B61420" w:rsidRDefault="00B61420" w:rsidP="00BA34ED">
            <w:pPr>
              <w:jc w:val="center"/>
            </w:pPr>
            <w:r w:rsidRPr="00B61420">
              <w:t>1,0896</w:t>
            </w: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tcBorders>
            <w:shd w:val="clear" w:color="auto" w:fill="BFBFBF" w:themeFill="background1" w:themeFillShade="BF"/>
            <w:noWrap/>
            <w:vAlign w:val="center"/>
            <w:hideMark/>
          </w:tcPr>
          <w:p w:rsidR="00B61420" w:rsidRPr="00B61420" w:rsidRDefault="00B61420" w:rsidP="00226068">
            <w:pPr>
              <w:rPr>
                <w:b/>
                <w:bCs/>
                <w:color w:val="000000"/>
              </w:rPr>
            </w:pPr>
            <w:r w:rsidRPr="00B61420">
              <w:rPr>
                <w:b/>
                <w:bCs/>
                <w:color w:val="000000"/>
              </w:rPr>
              <w:t>Propriedade</w:t>
            </w:r>
          </w:p>
        </w:tc>
        <w:tc>
          <w:tcPr>
            <w:tcW w:w="869"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851"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300"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854" w:type="dxa"/>
            <w:shd w:val="clear" w:color="auto" w:fill="BFBFBF" w:themeFill="background1" w:themeFillShade="BF"/>
            <w:noWrap/>
            <w:vAlign w:val="center"/>
            <w:hideMark/>
          </w:tcPr>
          <w:p w:rsidR="00B61420" w:rsidRPr="00B61420" w:rsidRDefault="00B61420" w:rsidP="00D728C9">
            <w:pPr>
              <w:jc w:val="center"/>
              <w:rPr>
                <w:color w:val="000000"/>
              </w:rPr>
            </w:pPr>
          </w:p>
        </w:tc>
        <w:tc>
          <w:tcPr>
            <w:tcW w:w="1960" w:type="dxa"/>
            <w:tcBorders>
              <w:right w:val="nil"/>
            </w:tcBorders>
            <w:shd w:val="clear" w:color="auto" w:fill="BFBFBF" w:themeFill="background1" w:themeFillShade="BF"/>
            <w:noWrap/>
            <w:vAlign w:val="center"/>
            <w:hideMark/>
          </w:tcPr>
          <w:p w:rsidR="00B61420" w:rsidRPr="00B61420" w:rsidRDefault="00B61420" w:rsidP="00D728C9">
            <w:pPr>
              <w:jc w:val="center"/>
              <w:rPr>
                <w:color w:val="000000"/>
              </w:rPr>
            </w:pPr>
          </w:p>
        </w:tc>
      </w:tr>
      <w:tr w:rsidR="00B61420" w:rsidRPr="00B61420" w:rsidTr="00A804C1">
        <w:trPr>
          <w:cnfStyle w:val="000000010000" w:firstRow="0" w:lastRow="0" w:firstColumn="0" w:lastColumn="0" w:oddVBand="0" w:evenVBand="0" w:oddHBand="0" w:evenHBand="1" w:firstRowFirstColumn="0" w:firstRowLastColumn="0" w:lastRowFirstColumn="0" w:lastRowLastColumn="0"/>
          <w:trHeight w:val="20"/>
          <w:jc w:val="center"/>
        </w:trPr>
        <w:tc>
          <w:tcPr>
            <w:tcW w:w="1426" w:type="dxa"/>
            <w:tcBorders>
              <w:left w:val="nil"/>
            </w:tcBorders>
            <w:shd w:val="clear" w:color="auto" w:fill="auto"/>
            <w:noWrap/>
            <w:vAlign w:val="center"/>
            <w:hideMark/>
          </w:tcPr>
          <w:p w:rsidR="00B61420" w:rsidRPr="00B61420" w:rsidRDefault="00B61420" w:rsidP="00226068">
            <w:pPr>
              <w:rPr>
                <w:b/>
                <w:bCs/>
                <w:color w:val="000000"/>
              </w:rPr>
            </w:pPr>
            <w:r w:rsidRPr="00B61420">
              <w:rPr>
                <w:b/>
                <w:bCs/>
                <w:color w:val="000000"/>
              </w:rPr>
              <w:t>Pública</w:t>
            </w:r>
          </w:p>
        </w:tc>
        <w:tc>
          <w:tcPr>
            <w:tcW w:w="869" w:type="dxa"/>
            <w:shd w:val="clear" w:color="auto" w:fill="auto"/>
            <w:noWrap/>
            <w:vAlign w:val="center"/>
            <w:hideMark/>
          </w:tcPr>
          <w:p w:rsidR="00B61420" w:rsidRPr="00B61420" w:rsidRDefault="00B61420" w:rsidP="00D728C9">
            <w:pPr>
              <w:jc w:val="center"/>
              <w:rPr>
                <w:color w:val="000000"/>
              </w:rPr>
            </w:pPr>
            <w:r w:rsidRPr="00B61420">
              <w:rPr>
                <w:color w:val="000000"/>
              </w:rPr>
              <w:t>26</w:t>
            </w:r>
          </w:p>
        </w:tc>
        <w:tc>
          <w:tcPr>
            <w:tcW w:w="1851" w:type="dxa"/>
            <w:shd w:val="clear" w:color="auto" w:fill="auto"/>
            <w:noWrap/>
            <w:vAlign w:val="center"/>
            <w:hideMark/>
          </w:tcPr>
          <w:p w:rsidR="00B61420" w:rsidRPr="00B61420" w:rsidRDefault="00B61420" w:rsidP="00D728C9">
            <w:pPr>
              <w:jc w:val="center"/>
              <w:rPr>
                <w:color w:val="000000"/>
              </w:rPr>
            </w:pPr>
            <w:r w:rsidRPr="00B61420">
              <w:rPr>
                <w:color w:val="000000"/>
              </w:rPr>
              <w:t>89,7%</w:t>
            </w:r>
          </w:p>
        </w:tc>
        <w:tc>
          <w:tcPr>
            <w:tcW w:w="1300" w:type="dxa"/>
            <w:shd w:val="clear" w:color="auto" w:fill="auto"/>
            <w:noWrap/>
            <w:hideMark/>
          </w:tcPr>
          <w:p w:rsidR="00B61420" w:rsidRPr="00B61420" w:rsidRDefault="00B61420" w:rsidP="00370BD9">
            <w:pPr>
              <w:jc w:val="center"/>
            </w:pPr>
            <w:r w:rsidRPr="00B61420">
              <w:t>1,0641</w:t>
            </w:r>
          </w:p>
        </w:tc>
        <w:tc>
          <w:tcPr>
            <w:tcW w:w="1854" w:type="dxa"/>
            <w:shd w:val="clear" w:color="auto" w:fill="auto"/>
            <w:noWrap/>
            <w:hideMark/>
          </w:tcPr>
          <w:p w:rsidR="00B61420" w:rsidRPr="00B61420" w:rsidRDefault="00B61420" w:rsidP="00370BD9">
            <w:pPr>
              <w:jc w:val="center"/>
            </w:pPr>
            <w:r w:rsidRPr="00B61420">
              <w:t>0,9812</w:t>
            </w:r>
          </w:p>
        </w:tc>
        <w:tc>
          <w:tcPr>
            <w:tcW w:w="1960" w:type="dxa"/>
            <w:tcBorders>
              <w:right w:val="nil"/>
            </w:tcBorders>
            <w:shd w:val="clear" w:color="auto" w:fill="auto"/>
            <w:noWrap/>
            <w:hideMark/>
          </w:tcPr>
          <w:p w:rsidR="00B61420" w:rsidRPr="00B61420" w:rsidRDefault="00B61420" w:rsidP="00370BD9">
            <w:pPr>
              <w:jc w:val="center"/>
            </w:pPr>
            <w:r w:rsidRPr="00B61420">
              <w:t>1,0870</w:t>
            </w:r>
          </w:p>
        </w:tc>
      </w:tr>
      <w:tr w:rsidR="00B61420" w:rsidRPr="00B61420" w:rsidTr="00A804C1">
        <w:trPr>
          <w:cnfStyle w:val="000000100000" w:firstRow="0" w:lastRow="0" w:firstColumn="0" w:lastColumn="0" w:oddVBand="0" w:evenVBand="0" w:oddHBand="1" w:evenHBand="0" w:firstRowFirstColumn="0" w:firstRowLastColumn="0" w:lastRowFirstColumn="0" w:lastRowLastColumn="0"/>
          <w:trHeight w:val="20"/>
          <w:jc w:val="center"/>
        </w:trPr>
        <w:tc>
          <w:tcPr>
            <w:tcW w:w="1426" w:type="dxa"/>
            <w:tcBorders>
              <w:left w:val="nil"/>
              <w:bottom w:val="single" w:sz="12" w:space="0" w:color="008080"/>
            </w:tcBorders>
            <w:shd w:val="clear" w:color="auto" w:fill="auto"/>
            <w:noWrap/>
            <w:vAlign w:val="center"/>
            <w:hideMark/>
          </w:tcPr>
          <w:p w:rsidR="00B61420" w:rsidRPr="00B61420" w:rsidRDefault="00B61420" w:rsidP="00226068">
            <w:pPr>
              <w:rPr>
                <w:b/>
                <w:bCs/>
                <w:color w:val="000000"/>
              </w:rPr>
            </w:pPr>
            <w:r w:rsidRPr="00B61420">
              <w:rPr>
                <w:b/>
                <w:bCs/>
                <w:color w:val="000000"/>
              </w:rPr>
              <w:t>Privada</w:t>
            </w:r>
          </w:p>
        </w:tc>
        <w:tc>
          <w:tcPr>
            <w:tcW w:w="869" w:type="dxa"/>
            <w:tcBorders>
              <w:bottom w:val="single" w:sz="12" w:space="0" w:color="008080"/>
            </w:tcBorders>
            <w:shd w:val="clear" w:color="auto" w:fill="auto"/>
            <w:noWrap/>
            <w:vAlign w:val="center"/>
            <w:hideMark/>
          </w:tcPr>
          <w:p w:rsidR="00B61420" w:rsidRPr="00B61420" w:rsidRDefault="00B61420" w:rsidP="00D728C9">
            <w:pPr>
              <w:jc w:val="center"/>
              <w:rPr>
                <w:color w:val="000000"/>
              </w:rPr>
            </w:pPr>
            <w:proofErr w:type="gramStart"/>
            <w:r w:rsidRPr="00B61420">
              <w:rPr>
                <w:color w:val="000000"/>
              </w:rPr>
              <w:t>3</w:t>
            </w:r>
            <w:proofErr w:type="gramEnd"/>
          </w:p>
        </w:tc>
        <w:tc>
          <w:tcPr>
            <w:tcW w:w="1851" w:type="dxa"/>
            <w:tcBorders>
              <w:bottom w:val="single" w:sz="12" w:space="0" w:color="008080"/>
            </w:tcBorders>
            <w:shd w:val="clear" w:color="auto" w:fill="auto"/>
            <w:noWrap/>
            <w:vAlign w:val="center"/>
            <w:hideMark/>
          </w:tcPr>
          <w:p w:rsidR="00B61420" w:rsidRPr="00B61420" w:rsidRDefault="00B61420" w:rsidP="00D728C9">
            <w:pPr>
              <w:jc w:val="center"/>
              <w:rPr>
                <w:color w:val="000000"/>
              </w:rPr>
            </w:pPr>
            <w:r w:rsidRPr="00B61420">
              <w:rPr>
                <w:color w:val="000000"/>
              </w:rPr>
              <w:t>10,3%</w:t>
            </w:r>
          </w:p>
        </w:tc>
        <w:tc>
          <w:tcPr>
            <w:tcW w:w="1300" w:type="dxa"/>
            <w:tcBorders>
              <w:bottom w:val="single" w:sz="12" w:space="0" w:color="008080"/>
            </w:tcBorders>
            <w:shd w:val="clear" w:color="auto" w:fill="auto"/>
            <w:noWrap/>
            <w:hideMark/>
          </w:tcPr>
          <w:p w:rsidR="00B61420" w:rsidRPr="00B61420" w:rsidRDefault="00B61420" w:rsidP="00370BD9">
            <w:pPr>
              <w:jc w:val="center"/>
              <w:rPr>
                <w:b/>
              </w:rPr>
            </w:pPr>
            <w:r w:rsidRPr="00B61420">
              <w:rPr>
                <w:b/>
                <w:color w:val="00B050"/>
              </w:rPr>
              <w:t>1,1045</w:t>
            </w:r>
          </w:p>
        </w:tc>
        <w:tc>
          <w:tcPr>
            <w:tcW w:w="1854" w:type="dxa"/>
            <w:tcBorders>
              <w:bottom w:val="single" w:sz="12" w:space="0" w:color="008080"/>
            </w:tcBorders>
            <w:shd w:val="clear" w:color="auto" w:fill="auto"/>
            <w:noWrap/>
            <w:hideMark/>
          </w:tcPr>
          <w:p w:rsidR="00B61420" w:rsidRPr="00B61420" w:rsidRDefault="00B61420" w:rsidP="00370BD9">
            <w:pPr>
              <w:jc w:val="center"/>
              <w:rPr>
                <w:b/>
              </w:rPr>
            </w:pPr>
            <w:r w:rsidRPr="00B61420">
              <w:rPr>
                <w:b/>
                <w:color w:val="00B050"/>
              </w:rPr>
              <w:t>1,0832</w:t>
            </w:r>
          </w:p>
        </w:tc>
        <w:tc>
          <w:tcPr>
            <w:tcW w:w="1960" w:type="dxa"/>
            <w:tcBorders>
              <w:bottom w:val="single" w:sz="12" w:space="0" w:color="008080"/>
              <w:right w:val="nil"/>
            </w:tcBorders>
            <w:shd w:val="clear" w:color="auto" w:fill="auto"/>
            <w:noWrap/>
            <w:hideMark/>
          </w:tcPr>
          <w:p w:rsidR="00B61420" w:rsidRPr="00B61420" w:rsidRDefault="00B61420" w:rsidP="00370BD9">
            <w:pPr>
              <w:jc w:val="center"/>
            </w:pPr>
            <w:r w:rsidRPr="00B61420">
              <w:t>1,0216</w:t>
            </w:r>
          </w:p>
        </w:tc>
      </w:tr>
    </w:tbl>
    <w:p w:rsidR="00BA34ED" w:rsidRPr="00BA34ED" w:rsidRDefault="00BA34ED" w:rsidP="00DD6D15">
      <w:pPr>
        <w:spacing w:after="0" w:line="240" w:lineRule="auto"/>
        <w:ind w:left="708"/>
        <w:jc w:val="both"/>
        <w:outlineLvl w:val="0"/>
        <w:rPr>
          <w:rFonts w:ascii="Times New Roman" w:hAnsi="Times New Roman" w:cs="Times New Roman"/>
          <w:b/>
          <w:sz w:val="20"/>
        </w:rPr>
      </w:pPr>
      <w:r w:rsidRPr="00BA34ED">
        <w:rPr>
          <w:rFonts w:ascii="Times New Roman" w:hAnsi="Times New Roman" w:cs="Times New Roman"/>
          <w:b/>
          <w:sz w:val="20"/>
        </w:rPr>
        <w:t xml:space="preserve">Fonte: </w:t>
      </w:r>
      <w:r>
        <w:rPr>
          <w:rFonts w:ascii="Times New Roman" w:hAnsi="Times New Roman" w:cs="Times New Roman"/>
          <w:sz w:val="20"/>
        </w:rPr>
        <w:t>Elaboração dos</w:t>
      </w:r>
      <w:r w:rsidRPr="00BA34ED">
        <w:rPr>
          <w:rFonts w:ascii="Times New Roman" w:hAnsi="Times New Roman" w:cs="Times New Roman"/>
          <w:sz w:val="20"/>
        </w:rPr>
        <w:t xml:space="preserve"> autor</w:t>
      </w:r>
      <w:r>
        <w:rPr>
          <w:rFonts w:ascii="Times New Roman" w:hAnsi="Times New Roman" w:cs="Times New Roman"/>
          <w:sz w:val="20"/>
        </w:rPr>
        <w:t>es</w:t>
      </w:r>
      <w:r w:rsidRPr="00BA34ED">
        <w:rPr>
          <w:rFonts w:ascii="Times New Roman" w:hAnsi="Times New Roman" w:cs="Times New Roman"/>
          <w:sz w:val="20"/>
        </w:rPr>
        <w:t>.</w:t>
      </w:r>
    </w:p>
    <w:p w:rsidR="00BA34ED" w:rsidRDefault="00BA34ED" w:rsidP="00AB0CF8">
      <w:pPr>
        <w:spacing w:after="0" w:line="240" w:lineRule="auto"/>
        <w:jc w:val="both"/>
        <w:rPr>
          <w:rFonts w:ascii="Times New Roman" w:hAnsi="Times New Roman" w:cs="Times New Roman"/>
          <w:sz w:val="24"/>
          <w:szCs w:val="24"/>
        </w:rPr>
      </w:pPr>
    </w:p>
    <w:p w:rsidR="00F03088" w:rsidRPr="00B70A7B" w:rsidRDefault="0020477B" w:rsidP="0020477B">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00B70A7B" w:rsidRPr="00226068">
        <w:rPr>
          <w:rFonts w:ascii="Times New Roman" w:hAnsi="Times New Roman" w:cs="Times New Roman"/>
          <w:sz w:val="24"/>
          <w:szCs w:val="24"/>
        </w:rPr>
        <w:t>C</w:t>
      </w:r>
      <w:r w:rsidR="005838AD" w:rsidRPr="00226068">
        <w:rPr>
          <w:rFonts w:ascii="Times New Roman" w:hAnsi="Times New Roman" w:cs="Times New Roman"/>
          <w:sz w:val="24"/>
          <w:szCs w:val="24"/>
        </w:rPr>
        <w:t xml:space="preserve">omo </w:t>
      </w:r>
      <w:proofErr w:type="gramStart"/>
      <w:r w:rsidR="005838AD" w:rsidRPr="00226068">
        <w:rPr>
          <w:rFonts w:ascii="Times New Roman" w:hAnsi="Times New Roman" w:cs="Times New Roman"/>
          <w:sz w:val="24"/>
          <w:szCs w:val="24"/>
        </w:rPr>
        <w:t>pode</w:t>
      </w:r>
      <w:proofErr w:type="gramEnd"/>
      <w:r w:rsidR="00F03088" w:rsidRPr="00226068">
        <w:rPr>
          <w:rFonts w:ascii="Times New Roman" w:hAnsi="Times New Roman" w:cs="Times New Roman"/>
          <w:sz w:val="24"/>
          <w:szCs w:val="24"/>
        </w:rPr>
        <w:t xml:space="preserve"> ser observado na Tabela 7</w:t>
      </w:r>
      <w:r w:rsidR="00B70A7B" w:rsidRPr="00226068">
        <w:rPr>
          <w:rFonts w:ascii="Times New Roman" w:hAnsi="Times New Roman" w:cs="Times New Roman"/>
          <w:sz w:val="24"/>
          <w:szCs w:val="24"/>
        </w:rPr>
        <w:t xml:space="preserve">, </w:t>
      </w:r>
      <w:r w:rsidR="00B70A7B">
        <w:rPr>
          <w:rFonts w:ascii="Times New Roman" w:hAnsi="Times New Roman" w:cs="Times New Roman"/>
          <w:sz w:val="24"/>
          <w:szCs w:val="24"/>
        </w:rPr>
        <w:t>o</w:t>
      </w:r>
      <w:r w:rsidR="00B70A7B" w:rsidRPr="0020477B">
        <w:rPr>
          <w:rFonts w:ascii="Times New Roman" w:hAnsi="Times New Roman" w:cs="Times New Roman"/>
          <w:sz w:val="24"/>
          <w:szCs w:val="24"/>
        </w:rPr>
        <w:t xml:space="preserve">s prestadores que passaram a ser regulados a partir de 2007, após a aprovação do </w:t>
      </w:r>
      <w:r w:rsidR="00B70A7B">
        <w:rPr>
          <w:rFonts w:ascii="Times New Roman" w:hAnsi="Times New Roman" w:cs="Times New Roman"/>
          <w:sz w:val="24"/>
          <w:szCs w:val="24"/>
        </w:rPr>
        <w:t xml:space="preserve">novo </w:t>
      </w:r>
      <w:r w:rsidR="00B70A7B" w:rsidRPr="0020477B">
        <w:rPr>
          <w:rFonts w:ascii="Times New Roman" w:hAnsi="Times New Roman" w:cs="Times New Roman"/>
          <w:sz w:val="24"/>
          <w:szCs w:val="24"/>
        </w:rPr>
        <w:t>marco regulatório</w:t>
      </w:r>
      <w:r w:rsidR="00B70A7B">
        <w:rPr>
          <w:rFonts w:ascii="Times New Roman" w:hAnsi="Times New Roman" w:cs="Times New Roman"/>
          <w:sz w:val="24"/>
          <w:szCs w:val="24"/>
        </w:rPr>
        <w:t>, apresentaram um</w:t>
      </w:r>
      <w:r w:rsidR="00B70A7B" w:rsidRPr="0020477B">
        <w:rPr>
          <w:rFonts w:ascii="Times New Roman" w:hAnsi="Times New Roman" w:cs="Times New Roman"/>
          <w:sz w:val="24"/>
          <w:szCs w:val="24"/>
        </w:rPr>
        <w:t xml:space="preserve"> </w:t>
      </w:r>
      <w:r w:rsidR="00B70A7B">
        <w:rPr>
          <w:rFonts w:ascii="Times New Roman" w:hAnsi="Times New Roman" w:cs="Times New Roman"/>
          <w:sz w:val="24"/>
          <w:szCs w:val="24"/>
        </w:rPr>
        <w:t>maior</w:t>
      </w:r>
      <w:r w:rsidR="00B70A7B" w:rsidRPr="0020477B">
        <w:rPr>
          <w:rFonts w:ascii="Times New Roman" w:hAnsi="Times New Roman" w:cs="Times New Roman"/>
          <w:sz w:val="24"/>
          <w:szCs w:val="24"/>
        </w:rPr>
        <w:t xml:space="preserve"> </w:t>
      </w:r>
      <w:r w:rsidR="00B70A7B">
        <w:rPr>
          <w:rFonts w:ascii="Times New Roman" w:hAnsi="Times New Roman" w:cs="Times New Roman"/>
          <w:sz w:val="24"/>
          <w:szCs w:val="24"/>
        </w:rPr>
        <w:t>ganho</w:t>
      </w:r>
      <w:r w:rsidR="00B70A7B" w:rsidRPr="0020477B">
        <w:rPr>
          <w:rFonts w:ascii="Times New Roman" w:hAnsi="Times New Roman" w:cs="Times New Roman"/>
          <w:sz w:val="24"/>
          <w:szCs w:val="24"/>
        </w:rPr>
        <w:t xml:space="preserve"> em relação à produtividade total (</w:t>
      </w:r>
      <w:r w:rsidR="00B70A7B">
        <w:rPr>
          <w:rFonts w:ascii="Times New Roman" w:hAnsi="Times New Roman" w:cs="Times New Roman"/>
          <w:sz w:val="24"/>
          <w:szCs w:val="24"/>
        </w:rPr>
        <w:t>1,1609</w:t>
      </w:r>
      <w:r w:rsidR="00B70A7B" w:rsidRPr="0020477B">
        <w:rPr>
          <w:rFonts w:ascii="Times New Roman" w:hAnsi="Times New Roman" w:cs="Times New Roman"/>
          <w:sz w:val="24"/>
          <w:szCs w:val="24"/>
        </w:rPr>
        <w:t xml:space="preserve">) e um maior efeito </w:t>
      </w:r>
      <w:r w:rsidR="00B70A7B" w:rsidRPr="00D554C8">
        <w:rPr>
          <w:rFonts w:ascii="Times New Roman" w:hAnsi="Times New Roman" w:cs="Times New Roman"/>
          <w:i/>
          <w:sz w:val="24"/>
          <w:szCs w:val="24"/>
        </w:rPr>
        <w:t>catch-</w:t>
      </w:r>
      <w:proofErr w:type="spellStart"/>
      <w:r w:rsidR="00B70A7B" w:rsidRPr="00D554C8">
        <w:rPr>
          <w:rFonts w:ascii="Times New Roman" w:hAnsi="Times New Roman" w:cs="Times New Roman"/>
          <w:i/>
          <w:sz w:val="24"/>
          <w:szCs w:val="24"/>
        </w:rPr>
        <w:t>up</w:t>
      </w:r>
      <w:proofErr w:type="spellEnd"/>
      <w:r w:rsidR="00B70A7B" w:rsidRPr="00B3464F">
        <w:rPr>
          <w:rFonts w:ascii="Times New Roman" w:hAnsi="Times New Roman" w:cs="Times New Roman"/>
          <w:sz w:val="24"/>
          <w:szCs w:val="24"/>
        </w:rPr>
        <w:t xml:space="preserve"> </w:t>
      </w:r>
      <w:r w:rsidR="00B70A7B" w:rsidRPr="0020477B">
        <w:rPr>
          <w:rFonts w:ascii="Times New Roman" w:hAnsi="Times New Roman" w:cs="Times New Roman"/>
          <w:sz w:val="24"/>
          <w:szCs w:val="24"/>
        </w:rPr>
        <w:t>(1,05</w:t>
      </w:r>
      <w:r w:rsidR="00B70A7B">
        <w:rPr>
          <w:rFonts w:ascii="Times New Roman" w:hAnsi="Times New Roman" w:cs="Times New Roman"/>
          <w:sz w:val="24"/>
          <w:szCs w:val="24"/>
        </w:rPr>
        <w:t>18</w:t>
      </w:r>
      <w:r w:rsidR="00B70A7B" w:rsidRPr="0020477B">
        <w:rPr>
          <w:rFonts w:ascii="Times New Roman" w:hAnsi="Times New Roman" w:cs="Times New Roman"/>
          <w:sz w:val="24"/>
          <w:szCs w:val="24"/>
        </w:rPr>
        <w:t>), significando que os referidos prestadores estão alcançando uma melhoria pura de eficiência, se aproximando da fronteira.</w:t>
      </w:r>
      <w:r w:rsidR="00B70A7B">
        <w:rPr>
          <w:rFonts w:ascii="Times New Roman" w:hAnsi="Times New Roman" w:cs="Times New Roman"/>
          <w:sz w:val="24"/>
          <w:szCs w:val="24"/>
        </w:rPr>
        <w:t xml:space="preserve"> </w:t>
      </w:r>
      <w:r w:rsidR="00B70A7B" w:rsidRPr="0025596B">
        <w:rPr>
          <w:rFonts w:ascii="Times New Roman" w:hAnsi="Times New Roman" w:cs="Times New Roman"/>
          <w:sz w:val="24"/>
          <w:szCs w:val="24"/>
        </w:rPr>
        <w:t>Esse resultado pode ser um indício de que a nova geração de entidades reguladoras tem atuado com estratégias mais adequadas para indução da eficiência dos prestadores de SAA e SES</w:t>
      </w:r>
      <w:r w:rsidR="00B70A7B">
        <w:rPr>
          <w:rFonts w:ascii="Times New Roman" w:hAnsi="Times New Roman" w:cs="Times New Roman"/>
          <w:sz w:val="24"/>
          <w:szCs w:val="24"/>
        </w:rPr>
        <w:t>, mas não é suficiente para sustentar tal conclusão, o que reforça a importância de se promover um aprofundamento da análise.</w:t>
      </w:r>
    </w:p>
    <w:p w:rsidR="00F03088" w:rsidRPr="00B70A7B" w:rsidRDefault="00F03088" w:rsidP="0020477B">
      <w:pPr>
        <w:spacing w:after="0" w:line="240" w:lineRule="auto"/>
        <w:jc w:val="both"/>
        <w:rPr>
          <w:rFonts w:ascii="Times New Roman" w:hAnsi="Times New Roman" w:cs="Times New Roman"/>
          <w:color w:val="FF0000"/>
          <w:sz w:val="24"/>
          <w:szCs w:val="24"/>
        </w:rPr>
      </w:pPr>
    </w:p>
    <w:p w:rsidR="00F03088" w:rsidRPr="002A692E" w:rsidRDefault="00F03088" w:rsidP="00F03088">
      <w:pPr>
        <w:pStyle w:val="Legenda"/>
        <w:jc w:val="both"/>
        <w:rPr>
          <w:sz w:val="24"/>
        </w:rPr>
      </w:pPr>
      <w:bookmarkStart w:id="7" w:name="_Toc377445878"/>
      <w:r w:rsidRPr="002A692E">
        <w:rPr>
          <w:sz w:val="24"/>
        </w:rPr>
        <w:t xml:space="preserve">Tabela </w:t>
      </w:r>
      <w:r>
        <w:rPr>
          <w:sz w:val="24"/>
        </w:rPr>
        <w:t>7</w:t>
      </w:r>
      <w:r w:rsidRPr="002A692E">
        <w:rPr>
          <w:b w:val="0"/>
          <w:sz w:val="24"/>
        </w:rPr>
        <w:t xml:space="preserve"> – Índice </w:t>
      </w:r>
      <w:proofErr w:type="spellStart"/>
      <w:r w:rsidRPr="002A692E">
        <w:rPr>
          <w:b w:val="0"/>
          <w:sz w:val="24"/>
        </w:rPr>
        <w:t>Malmquist</w:t>
      </w:r>
      <w:proofErr w:type="spellEnd"/>
      <w:r w:rsidRPr="002A692E">
        <w:rPr>
          <w:b w:val="0"/>
          <w:sz w:val="24"/>
        </w:rPr>
        <w:t xml:space="preserve"> dos prestadores de SAA e SES regulados e não regulados</w:t>
      </w:r>
      <w:bookmarkEnd w:id="7"/>
      <w:r>
        <w:rPr>
          <w:b w:val="0"/>
          <w:sz w:val="24"/>
        </w:rPr>
        <w:t>.</w:t>
      </w:r>
    </w:p>
    <w:tbl>
      <w:tblPr>
        <w:tblStyle w:val="Tabelaemlista1"/>
        <w:tblW w:w="8441" w:type="dxa"/>
        <w:jc w:val="center"/>
        <w:tblLook w:val="04A0" w:firstRow="1" w:lastRow="0" w:firstColumn="1" w:lastColumn="0" w:noHBand="0" w:noVBand="1"/>
      </w:tblPr>
      <w:tblGrid>
        <w:gridCol w:w="1722"/>
        <w:gridCol w:w="837"/>
        <w:gridCol w:w="1971"/>
        <w:gridCol w:w="1250"/>
        <w:gridCol w:w="1083"/>
        <w:gridCol w:w="1578"/>
      </w:tblGrid>
      <w:tr w:rsidR="00F03088" w:rsidRPr="00B61420" w:rsidTr="00226068">
        <w:trPr>
          <w:cnfStyle w:val="100000000000" w:firstRow="1" w:lastRow="0" w:firstColumn="0" w:lastColumn="0" w:oddVBand="0" w:evenVBand="0" w:oddHBand="0" w:evenHBand="0" w:firstRowFirstColumn="0" w:firstRowLastColumn="0" w:lastRowFirstColumn="0" w:lastRowLastColumn="0"/>
          <w:trHeight w:val="20"/>
          <w:jc w:val="center"/>
        </w:trPr>
        <w:tc>
          <w:tcPr>
            <w:tcW w:w="1722" w:type="dxa"/>
            <w:vMerge w:val="restart"/>
            <w:tcBorders>
              <w:top w:val="single" w:sz="12" w:space="0" w:color="008080"/>
              <w:left w:val="nil"/>
            </w:tcBorders>
            <w:shd w:val="clear" w:color="auto" w:fill="auto"/>
            <w:vAlign w:val="center"/>
            <w:hideMark/>
          </w:tcPr>
          <w:p w:rsidR="00F03088" w:rsidRPr="00B61420" w:rsidRDefault="00F03088" w:rsidP="00226068">
            <w:pPr>
              <w:jc w:val="center"/>
              <w:rPr>
                <w:i w:val="0"/>
                <w:color w:val="000000"/>
              </w:rPr>
            </w:pPr>
            <w:r w:rsidRPr="00B61420">
              <w:rPr>
                <w:bCs w:val="0"/>
                <w:i w:val="0"/>
                <w:color w:val="000000"/>
              </w:rPr>
              <w:t>Regulação</w:t>
            </w:r>
          </w:p>
        </w:tc>
        <w:tc>
          <w:tcPr>
            <w:tcW w:w="2808" w:type="dxa"/>
            <w:gridSpan w:val="2"/>
            <w:tcBorders>
              <w:top w:val="single" w:sz="12" w:space="0" w:color="008080"/>
            </w:tcBorders>
            <w:shd w:val="clear" w:color="auto" w:fill="auto"/>
            <w:noWrap/>
            <w:vAlign w:val="center"/>
            <w:hideMark/>
          </w:tcPr>
          <w:p w:rsidR="00F03088" w:rsidRPr="00B61420" w:rsidRDefault="00F03088" w:rsidP="00226068">
            <w:pPr>
              <w:jc w:val="center"/>
              <w:rPr>
                <w:i w:val="0"/>
                <w:color w:val="000000"/>
              </w:rPr>
            </w:pPr>
            <w:r w:rsidRPr="00B61420">
              <w:rPr>
                <w:bCs w:val="0"/>
                <w:i w:val="0"/>
                <w:color w:val="000000"/>
              </w:rPr>
              <w:t>Prestadores de SAA e SES</w:t>
            </w:r>
          </w:p>
        </w:tc>
        <w:tc>
          <w:tcPr>
            <w:tcW w:w="3911" w:type="dxa"/>
            <w:gridSpan w:val="3"/>
            <w:tcBorders>
              <w:top w:val="single" w:sz="12" w:space="0" w:color="008080"/>
              <w:right w:val="nil"/>
            </w:tcBorders>
            <w:shd w:val="clear" w:color="auto" w:fill="auto"/>
            <w:noWrap/>
            <w:vAlign w:val="center"/>
            <w:hideMark/>
          </w:tcPr>
          <w:p w:rsidR="00F03088" w:rsidRPr="00B61420" w:rsidRDefault="00F03088" w:rsidP="00226068">
            <w:pPr>
              <w:jc w:val="center"/>
              <w:rPr>
                <w:i w:val="0"/>
                <w:color w:val="000000"/>
              </w:rPr>
            </w:pPr>
            <w:r w:rsidRPr="00B61420">
              <w:rPr>
                <w:bCs w:val="0"/>
                <w:i w:val="0"/>
                <w:color w:val="000000"/>
              </w:rPr>
              <w:t>Variação na produtividade - 2006 =&gt; 2011</w:t>
            </w:r>
          </w:p>
        </w:tc>
      </w:tr>
      <w:tr w:rsidR="00F03088" w:rsidRPr="00B61420" w:rsidTr="00226068">
        <w:trPr>
          <w:cnfStyle w:val="000000100000" w:firstRow="0" w:lastRow="0" w:firstColumn="0" w:lastColumn="0" w:oddVBand="0" w:evenVBand="0" w:oddHBand="1" w:evenHBand="0" w:firstRowFirstColumn="0" w:firstRowLastColumn="0" w:lastRowFirstColumn="0" w:lastRowLastColumn="0"/>
          <w:trHeight w:val="20"/>
          <w:jc w:val="center"/>
        </w:trPr>
        <w:tc>
          <w:tcPr>
            <w:tcW w:w="1722" w:type="dxa"/>
            <w:vMerge/>
            <w:tcBorders>
              <w:left w:val="nil"/>
            </w:tcBorders>
            <w:shd w:val="clear" w:color="auto" w:fill="auto"/>
            <w:vAlign w:val="center"/>
            <w:hideMark/>
          </w:tcPr>
          <w:p w:rsidR="00F03088" w:rsidRPr="00B61420" w:rsidRDefault="00F03088" w:rsidP="00226068">
            <w:pPr>
              <w:jc w:val="center"/>
              <w:rPr>
                <w:b/>
                <w:bCs/>
                <w:color w:val="000000"/>
              </w:rPr>
            </w:pPr>
          </w:p>
        </w:tc>
        <w:tc>
          <w:tcPr>
            <w:tcW w:w="837" w:type="dxa"/>
            <w:shd w:val="clear" w:color="auto" w:fill="auto"/>
            <w:noWrap/>
            <w:vAlign w:val="center"/>
            <w:hideMark/>
          </w:tcPr>
          <w:p w:rsidR="00F03088" w:rsidRPr="00B61420" w:rsidRDefault="00F03088" w:rsidP="00226068">
            <w:pPr>
              <w:jc w:val="center"/>
              <w:rPr>
                <w:b/>
                <w:bCs/>
                <w:color w:val="000000"/>
              </w:rPr>
            </w:pPr>
            <w:r w:rsidRPr="00B61420">
              <w:rPr>
                <w:b/>
                <w:bCs/>
                <w:color w:val="000000"/>
              </w:rPr>
              <w:t>Nº</w:t>
            </w:r>
          </w:p>
        </w:tc>
        <w:tc>
          <w:tcPr>
            <w:tcW w:w="1971" w:type="dxa"/>
            <w:shd w:val="clear" w:color="auto" w:fill="auto"/>
            <w:noWrap/>
            <w:vAlign w:val="center"/>
            <w:hideMark/>
          </w:tcPr>
          <w:p w:rsidR="00F03088" w:rsidRPr="00B61420" w:rsidRDefault="00F03088" w:rsidP="00226068">
            <w:pPr>
              <w:jc w:val="center"/>
              <w:rPr>
                <w:b/>
                <w:bCs/>
                <w:color w:val="000000"/>
              </w:rPr>
            </w:pPr>
            <w:r w:rsidRPr="00B61420">
              <w:rPr>
                <w:b/>
                <w:bCs/>
                <w:color w:val="000000"/>
              </w:rPr>
              <w:t>% da amostra</w:t>
            </w:r>
          </w:p>
        </w:tc>
        <w:tc>
          <w:tcPr>
            <w:tcW w:w="1250" w:type="dxa"/>
            <w:shd w:val="clear" w:color="auto" w:fill="auto"/>
            <w:vAlign w:val="center"/>
            <w:hideMark/>
          </w:tcPr>
          <w:p w:rsidR="00F03088" w:rsidRPr="00B61420" w:rsidRDefault="00F03088" w:rsidP="00226068">
            <w:pPr>
              <w:jc w:val="center"/>
              <w:rPr>
                <w:b/>
                <w:bCs/>
                <w:color w:val="000000"/>
              </w:rPr>
            </w:pPr>
            <w:proofErr w:type="spellStart"/>
            <w:r w:rsidRPr="00B61420">
              <w:rPr>
                <w:b/>
                <w:bCs/>
                <w:color w:val="000000"/>
              </w:rPr>
              <w:t>Malmquist</w:t>
            </w:r>
            <w:proofErr w:type="spellEnd"/>
          </w:p>
        </w:tc>
        <w:tc>
          <w:tcPr>
            <w:tcW w:w="1083" w:type="dxa"/>
            <w:shd w:val="clear" w:color="auto" w:fill="auto"/>
            <w:vAlign w:val="center"/>
            <w:hideMark/>
          </w:tcPr>
          <w:p w:rsidR="00F03088" w:rsidRPr="00B61420" w:rsidRDefault="00F03088" w:rsidP="00226068">
            <w:pPr>
              <w:jc w:val="center"/>
              <w:rPr>
                <w:b/>
                <w:bCs/>
                <w:color w:val="000000"/>
              </w:rPr>
            </w:pPr>
            <w:r w:rsidRPr="00B61420">
              <w:rPr>
                <w:b/>
                <w:bCs/>
                <w:i/>
                <w:iCs/>
                <w:color w:val="000000"/>
              </w:rPr>
              <w:t>Catch-</w:t>
            </w:r>
            <w:proofErr w:type="spellStart"/>
            <w:r w:rsidRPr="00B61420">
              <w:rPr>
                <w:b/>
                <w:bCs/>
                <w:i/>
                <w:iCs/>
                <w:color w:val="000000"/>
              </w:rPr>
              <w:t>up</w:t>
            </w:r>
            <w:proofErr w:type="spellEnd"/>
          </w:p>
        </w:tc>
        <w:tc>
          <w:tcPr>
            <w:tcW w:w="1578" w:type="dxa"/>
            <w:tcBorders>
              <w:right w:val="nil"/>
            </w:tcBorders>
            <w:shd w:val="clear" w:color="auto" w:fill="auto"/>
            <w:vAlign w:val="center"/>
            <w:hideMark/>
          </w:tcPr>
          <w:p w:rsidR="00F03088" w:rsidRPr="00B61420" w:rsidRDefault="00F03088" w:rsidP="00226068">
            <w:pPr>
              <w:jc w:val="center"/>
              <w:rPr>
                <w:b/>
                <w:bCs/>
                <w:color w:val="000000"/>
              </w:rPr>
            </w:pPr>
            <w:proofErr w:type="spellStart"/>
            <w:r w:rsidRPr="00B61420">
              <w:rPr>
                <w:b/>
                <w:bCs/>
                <w:i/>
                <w:iCs/>
                <w:color w:val="000000"/>
              </w:rPr>
              <w:t>Frontier</w:t>
            </w:r>
            <w:proofErr w:type="spellEnd"/>
            <w:r w:rsidRPr="00B61420">
              <w:rPr>
                <w:b/>
                <w:bCs/>
                <w:i/>
                <w:iCs/>
                <w:color w:val="000000"/>
              </w:rPr>
              <w:t>-shift</w:t>
            </w:r>
          </w:p>
        </w:tc>
      </w:tr>
      <w:tr w:rsidR="00F03088" w:rsidRPr="00B61420" w:rsidTr="00226068">
        <w:trPr>
          <w:cnfStyle w:val="000000010000" w:firstRow="0" w:lastRow="0" w:firstColumn="0" w:lastColumn="0" w:oddVBand="0" w:evenVBand="0" w:oddHBand="0" w:evenHBand="1" w:firstRowFirstColumn="0" w:firstRowLastColumn="0" w:lastRowFirstColumn="0" w:lastRowLastColumn="0"/>
          <w:trHeight w:val="20"/>
          <w:jc w:val="center"/>
        </w:trPr>
        <w:tc>
          <w:tcPr>
            <w:tcW w:w="1722" w:type="dxa"/>
            <w:tcBorders>
              <w:left w:val="nil"/>
            </w:tcBorders>
            <w:shd w:val="clear" w:color="auto" w:fill="BFBFBF" w:themeFill="background1" w:themeFillShade="BF"/>
            <w:noWrap/>
            <w:vAlign w:val="center"/>
          </w:tcPr>
          <w:p w:rsidR="00F03088" w:rsidRPr="00B61420" w:rsidRDefault="00F03088" w:rsidP="00226068">
            <w:pPr>
              <w:jc w:val="center"/>
              <w:rPr>
                <w:b/>
                <w:bCs/>
                <w:color w:val="000000"/>
              </w:rPr>
            </w:pPr>
            <w:r w:rsidRPr="00B61420">
              <w:rPr>
                <w:b/>
                <w:bCs/>
                <w:color w:val="000000"/>
              </w:rPr>
              <w:t>Anterior a 2007</w:t>
            </w:r>
          </w:p>
        </w:tc>
        <w:tc>
          <w:tcPr>
            <w:tcW w:w="837" w:type="dxa"/>
            <w:shd w:val="clear" w:color="auto" w:fill="BFBFBF" w:themeFill="background1" w:themeFillShade="BF"/>
            <w:noWrap/>
            <w:vAlign w:val="center"/>
          </w:tcPr>
          <w:p w:rsidR="00F03088" w:rsidRPr="00B61420" w:rsidRDefault="00F03088" w:rsidP="00226068">
            <w:pPr>
              <w:jc w:val="center"/>
              <w:rPr>
                <w:color w:val="000000"/>
              </w:rPr>
            </w:pPr>
            <w:r w:rsidRPr="00B61420">
              <w:rPr>
                <w:color w:val="000000"/>
              </w:rPr>
              <w:t>12</w:t>
            </w:r>
          </w:p>
        </w:tc>
        <w:tc>
          <w:tcPr>
            <w:tcW w:w="1971" w:type="dxa"/>
            <w:shd w:val="clear" w:color="auto" w:fill="BFBFBF" w:themeFill="background1" w:themeFillShade="BF"/>
            <w:noWrap/>
            <w:vAlign w:val="center"/>
          </w:tcPr>
          <w:p w:rsidR="00F03088" w:rsidRPr="00B61420" w:rsidRDefault="00F03088" w:rsidP="00226068">
            <w:pPr>
              <w:jc w:val="center"/>
              <w:rPr>
                <w:color w:val="000000"/>
              </w:rPr>
            </w:pPr>
            <w:r w:rsidRPr="00B61420">
              <w:rPr>
                <w:color w:val="000000"/>
              </w:rPr>
              <w:t>41,4%</w:t>
            </w:r>
          </w:p>
        </w:tc>
        <w:tc>
          <w:tcPr>
            <w:tcW w:w="1250" w:type="dxa"/>
            <w:shd w:val="clear" w:color="auto" w:fill="BFBFBF" w:themeFill="background1" w:themeFillShade="BF"/>
            <w:noWrap/>
            <w:vAlign w:val="center"/>
          </w:tcPr>
          <w:p w:rsidR="00F03088" w:rsidRPr="00B61420" w:rsidRDefault="00F03088" w:rsidP="00226068">
            <w:pPr>
              <w:jc w:val="center"/>
            </w:pPr>
            <w:r w:rsidRPr="00B61420">
              <w:t>1,0557</w:t>
            </w:r>
          </w:p>
        </w:tc>
        <w:tc>
          <w:tcPr>
            <w:tcW w:w="1083" w:type="dxa"/>
            <w:shd w:val="clear" w:color="auto" w:fill="BFBFBF" w:themeFill="background1" w:themeFillShade="BF"/>
            <w:noWrap/>
            <w:vAlign w:val="center"/>
          </w:tcPr>
          <w:p w:rsidR="00F03088" w:rsidRPr="00B61420" w:rsidRDefault="00F03088" w:rsidP="00226068">
            <w:pPr>
              <w:jc w:val="center"/>
            </w:pPr>
            <w:r w:rsidRPr="00B61420">
              <w:t>0,9462</w:t>
            </w:r>
          </w:p>
        </w:tc>
        <w:tc>
          <w:tcPr>
            <w:tcW w:w="1578" w:type="dxa"/>
            <w:tcBorders>
              <w:right w:val="nil"/>
            </w:tcBorders>
            <w:shd w:val="clear" w:color="auto" w:fill="BFBFBF" w:themeFill="background1" w:themeFillShade="BF"/>
            <w:noWrap/>
            <w:vAlign w:val="center"/>
          </w:tcPr>
          <w:p w:rsidR="00F03088" w:rsidRPr="00B61420" w:rsidRDefault="00F03088" w:rsidP="00226068">
            <w:pPr>
              <w:jc w:val="center"/>
            </w:pPr>
            <w:r w:rsidRPr="00B61420">
              <w:t>1,1207</w:t>
            </w:r>
          </w:p>
        </w:tc>
      </w:tr>
      <w:tr w:rsidR="00F03088" w:rsidRPr="00B61420" w:rsidTr="00226068">
        <w:trPr>
          <w:cnfStyle w:val="000000100000" w:firstRow="0" w:lastRow="0" w:firstColumn="0" w:lastColumn="0" w:oddVBand="0" w:evenVBand="0" w:oddHBand="1" w:evenHBand="0" w:firstRowFirstColumn="0" w:firstRowLastColumn="0" w:lastRowFirstColumn="0" w:lastRowLastColumn="0"/>
          <w:trHeight w:val="20"/>
          <w:jc w:val="center"/>
        </w:trPr>
        <w:tc>
          <w:tcPr>
            <w:tcW w:w="1722" w:type="dxa"/>
            <w:tcBorders>
              <w:left w:val="nil"/>
            </w:tcBorders>
            <w:shd w:val="clear" w:color="auto" w:fill="auto"/>
            <w:noWrap/>
            <w:vAlign w:val="center"/>
          </w:tcPr>
          <w:p w:rsidR="00F03088" w:rsidRPr="00B61420" w:rsidRDefault="00F03088" w:rsidP="00226068">
            <w:pPr>
              <w:jc w:val="center"/>
              <w:rPr>
                <w:b/>
                <w:bCs/>
                <w:color w:val="000000"/>
              </w:rPr>
            </w:pPr>
            <w:r w:rsidRPr="00B61420">
              <w:rPr>
                <w:b/>
                <w:bCs/>
                <w:color w:val="000000"/>
              </w:rPr>
              <w:t>A partir de 2007</w:t>
            </w:r>
          </w:p>
        </w:tc>
        <w:tc>
          <w:tcPr>
            <w:tcW w:w="837" w:type="dxa"/>
            <w:shd w:val="clear" w:color="auto" w:fill="auto"/>
            <w:noWrap/>
            <w:vAlign w:val="center"/>
          </w:tcPr>
          <w:p w:rsidR="00F03088" w:rsidRPr="00B61420" w:rsidRDefault="00F03088" w:rsidP="00226068">
            <w:pPr>
              <w:jc w:val="center"/>
              <w:rPr>
                <w:color w:val="000000"/>
              </w:rPr>
            </w:pPr>
            <w:proofErr w:type="gramStart"/>
            <w:r w:rsidRPr="00B61420">
              <w:rPr>
                <w:color w:val="000000"/>
              </w:rPr>
              <w:t>8</w:t>
            </w:r>
            <w:proofErr w:type="gramEnd"/>
          </w:p>
        </w:tc>
        <w:tc>
          <w:tcPr>
            <w:tcW w:w="1971" w:type="dxa"/>
            <w:shd w:val="clear" w:color="auto" w:fill="auto"/>
            <w:noWrap/>
            <w:vAlign w:val="center"/>
          </w:tcPr>
          <w:p w:rsidR="00F03088" w:rsidRPr="00B61420" w:rsidRDefault="00F03088" w:rsidP="00226068">
            <w:pPr>
              <w:jc w:val="center"/>
              <w:rPr>
                <w:color w:val="000000"/>
              </w:rPr>
            </w:pPr>
            <w:r w:rsidRPr="00B61420">
              <w:rPr>
                <w:color w:val="000000"/>
              </w:rPr>
              <w:t>27,6%</w:t>
            </w:r>
          </w:p>
        </w:tc>
        <w:tc>
          <w:tcPr>
            <w:tcW w:w="1250" w:type="dxa"/>
            <w:shd w:val="clear" w:color="auto" w:fill="auto"/>
            <w:noWrap/>
            <w:vAlign w:val="center"/>
          </w:tcPr>
          <w:p w:rsidR="00F03088" w:rsidRPr="00B61420" w:rsidRDefault="00F03088" w:rsidP="00226068">
            <w:pPr>
              <w:jc w:val="center"/>
              <w:rPr>
                <w:b/>
              </w:rPr>
            </w:pPr>
            <w:r w:rsidRPr="00B61420">
              <w:rPr>
                <w:b/>
                <w:color w:val="00B050"/>
              </w:rPr>
              <w:t>1,1609</w:t>
            </w:r>
          </w:p>
        </w:tc>
        <w:tc>
          <w:tcPr>
            <w:tcW w:w="1083" w:type="dxa"/>
            <w:shd w:val="clear" w:color="auto" w:fill="auto"/>
            <w:noWrap/>
            <w:vAlign w:val="center"/>
          </w:tcPr>
          <w:p w:rsidR="00F03088" w:rsidRPr="00B61420" w:rsidRDefault="00F03088" w:rsidP="00226068">
            <w:pPr>
              <w:jc w:val="center"/>
              <w:rPr>
                <w:b/>
              </w:rPr>
            </w:pPr>
            <w:r w:rsidRPr="00B61420">
              <w:rPr>
                <w:b/>
                <w:color w:val="00B050"/>
              </w:rPr>
              <w:t>1,0518</w:t>
            </w:r>
          </w:p>
        </w:tc>
        <w:tc>
          <w:tcPr>
            <w:tcW w:w="1578" w:type="dxa"/>
            <w:tcBorders>
              <w:right w:val="nil"/>
            </w:tcBorders>
            <w:shd w:val="clear" w:color="auto" w:fill="auto"/>
            <w:noWrap/>
            <w:vAlign w:val="center"/>
          </w:tcPr>
          <w:p w:rsidR="00F03088" w:rsidRPr="00B61420" w:rsidRDefault="00F03088" w:rsidP="00226068">
            <w:pPr>
              <w:jc w:val="center"/>
            </w:pPr>
            <w:r w:rsidRPr="00B61420">
              <w:t>1,0997</w:t>
            </w:r>
          </w:p>
        </w:tc>
      </w:tr>
      <w:tr w:rsidR="00F03088" w:rsidRPr="00B61420" w:rsidTr="00226068">
        <w:trPr>
          <w:cnfStyle w:val="000000010000" w:firstRow="0" w:lastRow="0" w:firstColumn="0" w:lastColumn="0" w:oddVBand="0" w:evenVBand="0" w:oddHBand="0" w:evenHBand="1" w:firstRowFirstColumn="0" w:firstRowLastColumn="0" w:lastRowFirstColumn="0" w:lastRowLastColumn="0"/>
          <w:trHeight w:val="20"/>
          <w:jc w:val="center"/>
        </w:trPr>
        <w:tc>
          <w:tcPr>
            <w:tcW w:w="1722" w:type="dxa"/>
            <w:tcBorders>
              <w:left w:val="nil"/>
              <w:bottom w:val="single" w:sz="12" w:space="0" w:color="008080"/>
            </w:tcBorders>
            <w:shd w:val="clear" w:color="auto" w:fill="BFBFBF" w:themeFill="background1" w:themeFillShade="BF"/>
            <w:noWrap/>
            <w:vAlign w:val="center"/>
          </w:tcPr>
          <w:p w:rsidR="00F03088" w:rsidRPr="00B61420" w:rsidRDefault="00F03088" w:rsidP="00226068">
            <w:pPr>
              <w:jc w:val="center"/>
              <w:rPr>
                <w:b/>
                <w:bCs/>
                <w:color w:val="000000"/>
              </w:rPr>
            </w:pPr>
            <w:r w:rsidRPr="00B61420">
              <w:rPr>
                <w:b/>
                <w:bCs/>
                <w:color w:val="000000"/>
              </w:rPr>
              <w:t>Não regulados</w:t>
            </w:r>
          </w:p>
        </w:tc>
        <w:tc>
          <w:tcPr>
            <w:tcW w:w="837" w:type="dxa"/>
            <w:tcBorders>
              <w:bottom w:val="single" w:sz="12" w:space="0" w:color="008080"/>
            </w:tcBorders>
            <w:shd w:val="clear" w:color="auto" w:fill="BFBFBF" w:themeFill="background1" w:themeFillShade="BF"/>
            <w:noWrap/>
            <w:vAlign w:val="center"/>
          </w:tcPr>
          <w:p w:rsidR="00F03088" w:rsidRPr="00B61420" w:rsidRDefault="00F03088" w:rsidP="00226068">
            <w:pPr>
              <w:jc w:val="center"/>
              <w:rPr>
                <w:color w:val="000000"/>
              </w:rPr>
            </w:pPr>
            <w:proofErr w:type="gramStart"/>
            <w:r w:rsidRPr="00B61420">
              <w:rPr>
                <w:color w:val="000000"/>
              </w:rPr>
              <w:t>9</w:t>
            </w:r>
            <w:proofErr w:type="gramEnd"/>
          </w:p>
        </w:tc>
        <w:tc>
          <w:tcPr>
            <w:tcW w:w="1971" w:type="dxa"/>
            <w:tcBorders>
              <w:bottom w:val="single" w:sz="12" w:space="0" w:color="008080"/>
            </w:tcBorders>
            <w:shd w:val="clear" w:color="auto" w:fill="BFBFBF" w:themeFill="background1" w:themeFillShade="BF"/>
            <w:noWrap/>
            <w:vAlign w:val="center"/>
          </w:tcPr>
          <w:p w:rsidR="00F03088" w:rsidRPr="00B61420" w:rsidRDefault="00F03088" w:rsidP="00226068">
            <w:pPr>
              <w:jc w:val="center"/>
              <w:rPr>
                <w:color w:val="000000"/>
              </w:rPr>
            </w:pPr>
            <w:r w:rsidRPr="00B61420">
              <w:rPr>
                <w:color w:val="000000"/>
              </w:rPr>
              <w:t>31,0%</w:t>
            </w:r>
          </w:p>
        </w:tc>
        <w:tc>
          <w:tcPr>
            <w:tcW w:w="1250" w:type="dxa"/>
            <w:tcBorders>
              <w:bottom w:val="single" w:sz="12" w:space="0" w:color="008080"/>
            </w:tcBorders>
            <w:shd w:val="clear" w:color="auto" w:fill="BFBFBF" w:themeFill="background1" w:themeFillShade="BF"/>
            <w:noWrap/>
            <w:vAlign w:val="center"/>
          </w:tcPr>
          <w:p w:rsidR="00F03088" w:rsidRPr="00B61420" w:rsidRDefault="00F03088" w:rsidP="00226068">
            <w:pPr>
              <w:jc w:val="center"/>
            </w:pPr>
            <w:r w:rsidRPr="00B61420">
              <w:t>1,0028</w:t>
            </w:r>
          </w:p>
        </w:tc>
        <w:tc>
          <w:tcPr>
            <w:tcW w:w="1083" w:type="dxa"/>
            <w:tcBorders>
              <w:bottom w:val="single" w:sz="12" w:space="0" w:color="008080"/>
            </w:tcBorders>
            <w:shd w:val="clear" w:color="auto" w:fill="BFBFBF" w:themeFill="background1" w:themeFillShade="BF"/>
            <w:noWrap/>
            <w:vAlign w:val="center"/>
          </w:tcPr>
          <w:p w:rsidR="00F03088" w:rsidRPr="00B61420" w:rsidRDefault="00F03088" w:rsidP="00226068">
            <w:pPr>
              <w:jc w:val="center"/>
            </w:pPr>
            <w:r w:rsidRPr="00B61420">
              <w:t>0,9990</w:t>
            </w:r>
          </w:p>
        </w:tc>
        <w:tc>
          <w:tcPr>
            <w:tcW w:w="1578" w:type="dxa"/>
            <w:tcBorders>
              <w:bottom w:val="single" w:sz="12" w:space="0" w:color="008080"/>
              <w:right w:val="nil"/>
            </w:tcBorders>
            <w:shd w:val="clear" w:color="auto" w:fill="BFBFBF" w:themeFill="background1" w:themeFillShade="BF"/>
            <w:noWrap/>
            <w:vAlign w:val="center"/>
          </w:tcPr>
          <w:p w:rsidR="00F03088" w:rsidRPr="00B61420" w:rsidRDefault="00F03088" w:rsidP="00226068">
            <w:pPr>
              <w:jc w:val="center"/>
            </w:pPr>
            <w:r w:rsidRPr="00B61420">
              <w:t>1,0090</w:t>
            </w:r>
          </w:p>
        </w:tc>
      </w:tr>
    </w:tbl>
    <w:p w:rsidR="00F03088" w:rsidRPr="0020477B" w:rsidRDefault="00F03088" w:rsidP="00DD6D15">
      <w:pPr>
        <w:spacing w:after="0" w:line="240" w:lineRule="auto"/>
        <w:ind w:left="708"/>
        <w:jc w:val="both"/>
        <w:outlineLvl w:val="0"/>
        <w:rPr>
          <w:rFonts w:ascii="Times New Roman" w:hAnsi="Times New Roman" w:cs="Times New Roman"/>
          <w:b/>
          <w:sz w:val="20"/>
        </w:rPr>
      </w:pPr>
      <w:r w:rsidRPr="0020477B">
        <w:rPr>
          <w:rFonts w:ascii="Times New Roman" w:hAnsi="Times New Roman" w:cs="Times New Roman"/>
          <w:b/>
          <w:sz w:val="20"/>
        </w:rPr>
        <w:t xml:space="preserve">Fonte: </w:t>
      </w:r>
      <w:r w:rsidRPr="0020477B">
        <w:rPr>
          <w:rFonts w:ascii="Times New Roman" w:hAnsi="Times New Roman" w:cs="Times New Roman"/>
          <w:sz w:val="20"/>
        </w:rPr>
        <w:t>Elaboração da autora.</w:t>
      </w:r>
    </w:p>
    <w:p w:rsidR="0020477B" w:rsidRDefault="0020477B" w:rsidP="00AB0CF8">
      <w:pPr>
        <w:spacing w:after="0" w:line="240" w:lineRule="auto"/>
        <w:jc w:val="both"/>
        <w:rPr>
          <w:rFonts w:ascii="Times New Roman" w:hAnsi="Times New Roman" w:cs="Times New Roman"/>
          <w:sz w:val="24"/>
          <w:szCs w:val="24"/>
        </w:rPr>
      </w:pPr>
    </w:p>
    <w:p w:rsidR="0084279B" w:rsidRPr="0084279B" w:rsidRDefault="0084279B" w:rsidP="0084279B">
      <w:pPr>
        <w:spacing w:after="0" w:line="240" w:lineRule="auto"/>
        <w:jc w:val="both"/>
        <w:rPr>
          <w:rFonts w:ascii="Times New Roman" w:hAnsi="Times New Roman" w:cs="Times New Roman"/>
          <w:b/>
          <w:sz w:val="24"/>
          <w:szCs w:val="24"/>
        </w:rPr>
      </w:pPr>
      <w:proofErr w:type="gramStart"/>
      <w:r w:rsidRPr="0084279B">
        <w:rPr>
          <w:rFonts w:ascii="Times New Roman" w:hAnsi="Times New Roman" w:cs="Times New Roman"/>
          <w:b/>
          <w:sz w:val="24"/>
          <w:szCs w:val="24"/>
        </w:rPr>
        <w:t>5.3 Atividade</w:t>
      </w:r>
      <w:proofErr w:type="gramEnd"/>
      <w:r w:rsidRPr="0084279B">
        <w:rPr>
          <w:rFonts w:ascii="Times New Roman" w:hAnsi="Times New Roman" w:cs="Times New Roman"/>
          <w:b/>
          <w:sz w:val="24"/>
          <w:szCs w:val="24"/>
        </w:rPr>
        <w:t xml:space="preserve"> regulatória de normatização: uma análise sob à ótica da eficiência e da produtividade</w:t>
      </w:r>
    </w:p>
    <w:p w:rsidR="0084279B" w:rsidRPr="0084279B" w:rsidRDefault="0084279B" w:rsidP="0084279B">
      <w:pPr>
        <w:spacing w:after="0" w:line="240" w:lineRule="auto"/>
        <w:jc w:val="both"/>
        <w:rPr>
          <w:rFonts w:ascii="Times New Roman" w:hAnsi="Times New Roman" w:cs="Times New Roman"/>
          <w:sz w:val="24"/>
          <w:szCs w:val="24"/>
        </w:rPr>
      </w:pPr>
    </w:p>
    <w:p w:rsidR="0084279B" w:rsidRDefault="0084279B" w:rsidP="0084279B">
      <w:pPr>
        <w:spacing w:after="0" w:line="240" w:lineRule="auto"/>
        <w:jc w:val="both"/>
        <w:rPr>
          <w:rFonts w:ascii="Times New Roman" w:hAnsi="Times New Roman" w:cs="Times New Roman"/>
          <w:sz w:val="24"/>
          <w:szCs w:val="24"/>
        </w:rPr>
      </w:pPr>
      <w:r w:rsidRPr="0084279B">
        <w:rPr>
          <w:rFonts w:ascii="Times New Roman" w:hAnsi="Times New Roman" w:cs="Times New Roman"/>
          <w:sz w:val="24"/>
          <w:szCs w:val="24"/>
        </w:rPr>
        <w:tab/>
        <w:t xml:space="preserve">Nesta etapa, a proposta é aprofundar o entendimento sobre a atuação </w:t>
      </w:r>
      <w:r w:rsidR="00980238">
        <w:rPr>
          <w:rFonts w:ascii="Times New Roman" w:hAnsi="Times New Roman" w:cs="Times New Roman"/>
          <w:sz w:val="24"/>
          <w:szCs w:val="24"/>
        </w:rPr>
        <w:t xml:space="preserve">das entidades reguladoras </w:t>
      </w:r>
      <w:r w:rsidR="00D22147">
        <w:rPr>
          <w:rFonts w:ascii="Times New Roman" w:hAnsi="Times New Roman" w:cs="Times New Roman"/>
          <w:sz w:val="24"/>
          <w:szCs w:val="24"/>
        </w:rPr>
        <w:t>buscando</w:t>
      </w:r>
      <w:r w:rsidRPr="0084279B">
        <w:rPr>
          <w:rFonts w:ascii="Times New Roman" w:hAnsi="Times New Roman" w:cs="Times New Roman"/>
          <w:sz w:val="24"/>
          <w:szCs w:val="24"/>
        </w:rPr>
        <w:t xml:space="preserve"> evidências </w:t>
      </w:r>
      <w:r w:rsidR="000C5CAF">
        <w:rPr>
          <w:rFonts w:ascii="Times New Roman" w:hAnsi="Times New Roman" w:cs="Times New Roman"/>
          <w:sz w:val="24"/>
          <w:szCs w:val="24"/>
        </w:rPr>
        <w:t>acerca</w:t>
      </w:r>
      <w:r w:rsidRPr="0084279B">
        <w:rPr>
          <w:rFonts w:ascii="Times New Roman" w:hAnsi="Times New Roman" w:cs="Times New Roman"/>
          <w:sz w:val="24"/>
          <w:szCs w:val="24"/>
        </w:rPr>
        <w:t xml:space="preserve"> </w:t>
      </w:r>
      <w:r w:rsidR="000C5CAF">
        <w:rPr>
          <w:rFonts w:ascii="Times New Roman" w:hAnsi="Times New Roman" w:cs="Times New Roman"/>
          <w:sz w:val="24"/>
          <w:szCs w:val="24"/>
        </w:rPr>
        <w:t>d</w:t>
      </w:r>
      <w:r w:rsidRPr="0084279B">
        <w:rPr>
          <w:rFonts w:ascii="Times New Roman" w:hAnsi="Times New Roman" w:cs="Times New Roman"/>
          <w:sz w:val="24"/>
          <w:szCs w:val="24"/>
        </w:rPr>
        <w:t xml:space="preserve">o </w:t>
      </w:r>
      <w:r w:rsidR="00D22147">
        <w:rPr>
          <w:rFonts w:ascii="Times New Roman" w:hAnsi="Times New Roman" w:cs="Times New Roman"/>
          <w:sz w:val="24"/>
          <w:szCs w:val="24"/>
        </w:rPr>
        <w:t xml:space="preserve">seu </w:t>
      </w:r>
      <w:r w:rsidRPr="0084279B">
        <w:rPr>
          <w:rFonts w:ascii="Times New Roman" w:hAnsi="Times New Roman" w:cs="Times New Roman"/>
          <w:sz w:val="24"/>
          <w:szCs w:val="24"/>
        </w:rPr>
        <w:t xml:space="preserve">papel </w:t>
      </w:r>
      <w:r w:rsidR="00D22147">
        <w:rPr>
          <w:rFonts w:ascii="Times New Roman" w:hAnsi="Times New Roman" w:cs="Times New Roman"/>
          <w:sz w:val="24"/>
          <w:szCs w:val="24"/>
        </w:rPr>
        <w:t>na indução</w:t>
      </w:r>
      <w:r w:rsidRPr="0084279B">
        <w:rPr>
          <w:rFonts w:ascii="Times New Roman" w:hAnsi="Times New Roman" w:cs="Times New Roman"/>
          <w:sz w:val="24"/>
          <w:szCs w:val="24"/>
        </w:rPr>
        <w:t xml:space="preserve"> da eficiência </w:t>
      </w:r>
      <w:r w:rsidR="009F1352">
        <w:rPr>
          <w:rFonts w:ascii="Times New Roman" w:hAnsi="Times New Roman" w:cs="Times New Roman"/>
          <w:sz w:val="24"/>
          <w:szCs w:val="24"/>
        </w:rPr>
        <w:t xml:space="preserve">alocativa (EA) e </w:t>
      </w:r>
      <w:proofErr w:type="spellStart"/>
      <w:r w:rsidR="009F1352">
        <w:rPr>
          <w:rFonts w:ascii="Times New Roman" w:hAnsi="Times New Roman" w:cs="Times New Roman"/>
          <w:sz w:val="24"/>
          <w:szCs w:val="24"/>
        </w:rPr>
        <w:t>prestacional</w:t>
      </w:r>
      <w:proofErr w:type="spellEnd"/>
      <w:r w:rsidR="009F1352">
        <w:rPr>
          <w:rFonts w:ascii="Times New Roman" w:hAnsi="Times New Roman" w:cs="Times New Roman"/>
          <w:sz w:val="24"/>
          <w:szCs w:val="24"/>
        </w:rPr>
        <w:t xml:space="preserve"> (EP) </w:t>
      </w:r>
      <w:r w:rsidRPr="0084279B">
        <w:rPr>
          <w:rFonts w:ascii="Times New Roman" w:hAnsi="Times New Roman" w:cs="Times New Roman"/>
          <w:sz w:val="24"/>
          <w:szCs w:val="24"/>
        </w:rPr>
        <w:t>dos prestadores de SAA e SES</w:t>
      </w:r>
      <w:r w:rsidR="00B70A7B">
        <w:rPr>
          <w:rFonts w:ascii="Times New Roman" w:hAnsi="Times New Roman" w:cs="Times New Roman"/>
          <w:sz w:val="24"/>
          <w:szCs w:val="24"/>
        </w:rPr>
        <w:t xml:space="preserve"> </w:t>
      </w:r>
      <w:r w:rsidRPr="0084279B">
        <w:rPr>
          <w:rFonts w:ascii="Times New Roman" w:hAnsi="Times New Roman" w:cs="Times New Roman"/>
          <w:sz w:val="24"/>
          <w:szCs w:val="24"/>
        </w:rPr>
        <w:t>com regulação instituída antes de 2007</w:t>
      </w:r>
      <w:r w:rsidR="00B70A7B">
        <w:rPr>
          <w:rFonts w:ascii="Times New Roman" w:hAnsi="Times New Roman" w:cs="Times New Roman"/>
          <w:sz w:val="24"/>
          <w:szCs w:val="24"/>
        </w:rPr>
        <w:t xml:space="preserve"> (grupo </w:t>
      </w:r>
      <w:proofErr w:type="gramStart"/>
      <w:r w:rsidR="00B70A7B">
        <w:rPr>
          <w:rFonts w:ascii="Times New Roman" w:hAnsi="Times New Roman" w:cs="Times New Roman"/>
          <w:sz w:val="24"/>
          <w:szCs w:val="24"/>
        </w:rPr>
        <w:t>1</w:t>
      </w:r>
      <w:proofErr w:type="gramEnd"/>
      <w:r w:rsidR="00B70A7B">
        <w:rPr>
          <w:rFonts w:ascii="Times New Roman" w:hAnsi="Times New Roman" w:cs="Times New Roman"/>
          <w:sz w:val="24"/>
          <w:szCs w:val="24"/>
        </w:rPr>
        <w:t>)</w:t>
      </w:r>
      <w:r w:rsidRPr="0084279B">
        <w:rPr>
          <w:rFonts w:ascii="Times New Roman" w:hAnsi="Times New Roman" w:cs="Times New Roman"/>
          <w:sz w:val="24"/>
          <w:szCs w:val="24"/>
        </w:rPr>
        <w:t xml:space="preserve"> e a partir de 2007</w:t>
      </w:r>
      <w:r w:rsidR="00B70A7B">
        <w:rPr>
          <w:rFonts w:ascii="Times New Roman" w:hAnsi="Times New Roman" w:cs="Times New Roman"/>
          <w:sz w:val="24"/>
          <w:szCs w:val="24"/>
        </w:rPr>
        <w:t xml:space="preserve"> (grupo 2)</w:t>
      </w:r>
      <w:r w:rsidRPr="0084279B">
        <w:rPr>
          <w:rFonts w:ascii="Times New Roman" w:hAnsi="Times New Roman" w:cs="Times New Roman"/>
          <w:sz w:val="24"/>
          <w:szCs w:val="24"/>
        </w:rPr>
        <w:t>.</w:t>
      </w:r>
      <w:r w:rsidR="00B70A7B">
        <w:rPr>
          <w:rFonts w:ascii="Times New Roman" w:hAnsi="Times New Roman" w:cs="Times New Roman"/>
          <w:sz w:val="24"/>
          <w:szCs w:val="24"/>
        </w:rPr>
        <w:t xml:space="preserve"> </w:t>
      </w:r>
      <w:r w:rsidRPr="0084279B">
        <w:rPr>
          <w:rFonts w:ascii="Times New Roman" w:hAnsi="Times New Roman" w:cs="Times New Roman"/>
          <w:sz w:val="24"/>
          <w:szCs w:val="24"/>
        </w:rPr>
        <w:t xml:space="preserve">O levantamento das normas das entidades </w:t>
      </w:r>
      <w:r w:rsidR="00B70A7B">
        <w:rPr>
          <w:rFonts w:ascii="Times New Roman" w:hAnsi="Times New Roman" w:cs="Times New Roman"/>
          <w:sz w:val="24"/>
          <w:szCs w:val="24"/>
        </w:rPr>
        <w:t xml:space="preserve">que regulam o primeiro grupo </w:t>
      </w:r>
      <w:r w:rsidR="00D22147">
        <w:rPr>
          <w:rFonts w:ascii="Times New Roman" w:hAnsi="Times New Roman" w:cs="Times New Roman"/>
          <w:sz w:val="24"/>
          <w:szCs w:val="24"/>
        </w:rPr>
        <w:t xml:space="preserve">está apresentado no Quadro </w:t>
      </w:r>
      <w:proofErr w:type="gramStart"/>
      <w:r w:rsidR="00D22147">
        <w:rPr>
          <w:rFonts w:ascii="Times New Roman" w:hAnsi="Times New Roman" w:cs="Times New Roman"/>
          <w:sz w:val="24"/>
          <w:szCs w:val="24"/>
        </w:rPr>
        <w:t>2</w:t>
      </w:r>
      <w:proofErr w:type="gramEnd"/>
      <w:r w:rsidR="00D22147">
        <w:rPr>
          <w:rFonts w:ascii="Times New Roman" w:hAnsi="Times New Roman" w:cs="Times New Roman"/>
          <w:sz w:val="24"/>
          <w:szCs w:val="24"/>
        </w:rPr>
        <w:t>.</w:t>
      </w:r>
    </w:p>
    <w:p w:rsidR="0020477B" w:rsidRDefault="0020477B" w:rsidP="00AB0CF8">
      <w:pPr>
        <w:spacing w:after="0" w:line="240" w:lineRule="auto"/>
        <w:jc w:val="both"/>
        <w:rPr>
          <w:rFonts w:ascii="Times New Roman" w:hAnsi="Times New Roman" w:cs="Times New Roman"/>
          <w:sz w:val="24"/>
          <w:szCs w:val="24"/>
        </w:rPr>
      </w:pPr>
    </w:p>
    <w:p w:rsidR="0084279B" w:rsidRPr="00042EAA" w:rsidRDefault="0084279B" w:rsidP="0084279B">
      <w:pPr>
        <w:pStyle w:val="Legenda"/>
        <w:rPr>
          <w:sz w:val="24"/>
        </w:rPr>
      </w:pPr>
      <w:bookmarkStart w:id="8" w:name="_Toc377445820"/>
      <w:r w:rsidRPr="00042EAA">
        <w:rPr>
          <w:sz w:val="24"/>
        </w:rPr>
        <w:t>Quadro</w:t>
      </w:r>
      <w:r w:rsidR="009F1352">
        <w:rPr>
          <w:sz w:val="24"/>
        </w:rPr>
        <w:t xml:space="preserve"> 2 </w:t>
      </w:r>
      <w:r w:rsidRPr="00042EAA">
        <w:rPr>
          <w:sz w:val="24"/>
        </w:rPr>
        <w:t xml:space="preserve">– </w:t>
      </w:r>
      <w:r w:rsidRPr="00042EAA">
        <w:rPr>
          <w:b w:val="0"/>
          <w:sz w:val="24"/>
        </w:rPr>
        <w:t xml:space="preserve">Prestadores de SAA e SES com regulação anterior a 2007 (grupo </w:t>
      </w:r>
      <w:proofErr w:type="gramStart"/>
      <w:r w:rsidRPr="00042EAA">
        <w:rPr>
          <w:b w:val="0"/>
          <w:sz w:val="24"/>
        </w:rPr>
        <w:t>1</w:t>
      </w:r>
      <w:proofErr w:type="gramEnd"/>
      <w:r w:rsidRPr="00042EAA">
        <w:rPr>
          <w:b w:val="0"/>
          <w:sz w:val="24"/>
        </w:rPr>
        <w:t>)</w:t>
      </w:r>
      <w:bookmarkEnd w:id="8"/>
      <w:r w:rsidR="000206FB">
        <w:rPr>
          <w:b w:val="0"/>
          <w:sz w:val="24"/>
        </w:rPr>
        <w:t>.</w:t>
      </w:r>
    </w:p>
    <w:tbl>
      <w:tblPr>
        <w:tblStyle w:val="Tabelaemlista1"/>
        <w:tblW w:w="9037" w:type="dxa"/>
        <w:jc w:val="center"/>
        <w:tblLayout w:type="fixed"/>
        <w:tblLook w:val="04A0" w:firstRow="1" w:lastRow="0" w:firstColumn="1" w:lastColumn="0" w:noHBand="0" w:noVBand="1"/>
      </w:tblPr>
      <w:tblGrid>
        <w:gridCol w:w="1272"/>
        <w:gridCol w:w="866"/>
        <w:gridCol w:w="866"/>
        <w:gridCol w:w="891"/>
        <w:gridCol w:w="1092"/>
        <w:gridCol w:w="1038"/>
        <w:gridCol w:w="1189"/>
        <w:gridCol w:w="567"/>
        <w:gridCol w:w="567"/>
        <w:gridCol w:w="689"/>
      </w:tblGrid>
      <w:tr w:rsidR="0084279B" w:rsidRPr="000206FB" w:rsidTr="00D638D9">
        <w:trPr>
          <w:cnfStyle w:val="100000000000" w:firstRow="1" w:lastRow="0" w:firstColumn="0" w:lastColumn="0" w:oddVBand="0" w:evenVBand="0" w:oddHBand="0" w:evenHBand="0" w:firstRowFirstColumn="0" w:firstRowLastColumn="0" w:lastRowFirstColumn="0" w:lastRowLastColumn="0"/>
          <w:trHeight w:val="227"/>
          <w:jc w:val="center"/>
        </w:trPr>
        <w:tc>
          <w:tcPr>
            <w:tcW w:w="1272" w:type="dxa"/>
            <w:vMerge w:val="restart"/>
            <w:shd w:val="clear" w:color="auto" w:fill="auto"/>
            <w:vAlign w:val="center"/>
            <w:hideMark/>
          </w:tcPr>
          <w:p w:rsidR="0084279B" w:rsidRPr="000206FB" w:rsidRDefault="0084279B" w:rsidP="00D728C9">
            <w:pPr>
              <w:jc w:val="center"/>
              <w:rPr>
                <w:bCs w:val="0"/>
                <w:i w:val="0"/>
                <w:color w:val="000000"/>
              </w:rPr>
            </w:pPr>
            <w:r w:rsidRPr="000206FB">
              <w:rPr>
                <w:bCs w:val="0"/>
                <w:i w:val="0"/>
                <w:color w:val="000000"/>
              </w:rPr>
              <w:t>Prestador</w:t>
            </w:r>
          </w:p>
          <w:p w:rsidR="0084279B" w:rsidRPr="000206FB" w:rsidRDefault="0084279B" w:rsidP="00D728C9">
            <w:pPr>
              <w:jc w:val="center"/>
              <w:rPr>
                <w:bCs w:val="0"/>
                <w:i w:val="0"/>
                <w:color w:val="000000"/>
              </w:rPr>
            </w:pPr>
            <w:r w:rsidRPr="000206FB">
              <w:rPr>
                <w:bCs w:val="0"/>
                <w:i w:val="0"/>
                <w:color w:val="000000"/>
              </w:rPr>
              <w:t>SAA / SES</w:t>
            </w:r>
          </w:p>
        </w:tc>
        <w:tc>
          <w:tcPr>
            <w:tcW w:w="1732" w:type="dxa"/>
            <w:gridSpan w:val="2"/>
            <w:shd w:val="clear" w:color="auto" w:fill="auto"/>
            <w:vAlign w:val="center"/>
            <w:hideMark/>
          </w:tcPr>
          <w:p w:rsidR="0084279B" w:rsidRPr="000206FB" w:rsidRDefault="0084279B" w:rsidP="00D728C9">
            <w:pPr>
              <w:jc w:val="center"/>
              <w:rPr>
                <w:bCs w:val="0"/>
                <w:i w:val="0"/>
                <w:color w:val="000000"/>
              </w:rPr>
            </w:pPr>
            <w:r w:rsidRPr="000206FB">
              <w:rPr>
                <w:bCs w:val="0"/>
                <w:i w:val="0"/>
                <w:color w:val="000000"/>
              </w:rPr>
              <w:t xml:space="preserve">ETP </w:t>
            </w:r>
          </w:p>
        </w:tc>
        <w:tc>
          <w:tcPr>
            <w:tcW w:w="3021" w:type="dxa"/>
            <w:gridSpan w:val="3"/>
            <w:shd w:val="clear" w:color="auto" w:fill="auto"/>
            <w:vAlign w:val="center"/>
            <w:hideMark/>
          </w:tcPr>
          <w:p w:rsidR="0084279B" w:rsidRPr="000206FB" w:rsidRDefault="0084279B" w:rsidP="00D728C9">
            <w:pPr>
              <w:jc w:val="center"/>
              <w:rPr>
                <w:bCs w:val="0"/>
                <w:i w:val="0"/>
                <w:color w:val="000000"/>
              </w:rPr>
            </w:pPr>
            <w:r w:rsidRPr="000206FB">
              <w:rPr>
                <w:bCs w:val="0"/>
                <w:i w:val="0"/>
                <w:color w:val="000000"/>
              </w:rPr>
              <w:t xml:space="preserve">Índice de </w:t>
            </w:r>
            <w:proofErr w:type="spellStart"/>
            <w:r w:rsidRPr="000206FB">
              <w:rPr>
                <w:bCs w:val="0"/>
                <w:i w:val="0"/>
                <w:color w:val="000000"/>
              </w:rPr>
              <w:t>Malmquist</w:t>
            </w:r>
            <w:proofErr w:type="spellEnd"/>
          </w:p>
        </w:tc>
        <w:tc>
          <w:tcPr>
            <w:tcW w:w="1189" w:type="dxa"/>
            <w:vMerge w:val="restart"/>
            <w:shd w:val="clear" w:color="auto" w:fill="auto"/>
            <w:vAlign w:val="center"/>
            <w:hideMark/>
          </w:tcPr>
          <w:p w:rsidR="0084279B" w:rsidRPr="000206FB" w:rsidRDefault="0084279B" w:rsidP="00D728C9">
            <w:pPr>
              <w:jc w:val="center"/>
              <w:rPr>
                <w:bCs w:val="0"/>
                <w:i w:val="0"/>
                <w:color w:val="000000"/>
              </w:rPr>
            </w:pPr>
            <w:r w:rsidRPr="000206FB">
              <w:rPr>
                <w:bCs w:val="0"/>
                <w:i w:val="0"/>
                <w:color w:val="000000"/>
              </w:rPr>
              <w:t>Entidade reguladora</w:t>
            </w:r>
          </w:p>
        </w:tc>
        <w:tc>
          <w:tcPr>
            <w:tcW w:w="1823" w:type="dxa"/>
            <w:gridSpan w:val="3"/>
            <w:shd w:val="clear" w:color="auto" w:fill="auto"/>
            <w:vAlign w:val="center"/>
            <w:hideMark/>
          </w:tcPr>
          <w:p w:rsidR="0084279B" w:rsidRPr="000206FB" w:rsidRDefault="0084279B" w:rsidP="00D728C9">
            <w:pPr>
              <w:jc w:val="center"/>
              <w:rPr>
                <w:bCs w:val="0"/>
                <w:i w:val="0"/>
                <w:color w:val="000000"/>
              </w:rPr>
            </w:pPr>
            <w:r w:rsidRPr="000206FB">
              <w:rPr>
                <w:bCs w:val="0"/>
                <w:i w:val="0"/>
                <w:color w:val="000000"/>
              </w:rPr>
              <w:t>Normas</w:t>
            </w:r>
          </w:p>
        </w:tc>
      </w:tr>
      <w:tr w:rsidR="0084279B"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vMerge/>
            <w:shd w:val="clear" w:color="auto" w:fill="auto"/>
            <w:vAlign w:val="center"/>
            <w:hideMark/>
          </w:tcPr>
          <w:p w:rsidR="0084279B" w:rsidRPr="000206FB" w:rsidRDefault="0084279B" w:rsidP="00D728C9">
            <w:pPr>
              <w:jc w:val="center"/>
              <w:rPr>
                <w:b/>
                <w:bCs/>
                <w:color w:val="000000"/>
              </w:rPr>
            </w:pPr>
          </w:p>
        </w:tc>
        <w:tc>
          <w:tcPr>
            <w:tcW w:w="866" w:type="dxa"/>
            <w:shd w:val="clear" w:color="auto" w:fill="auto"/>
            <w:vAlign w:val="center"/>
            <w:hideMark/>
          </w:tcPr>
          <w:p w:rsidR="0084279B" w:rsidRPr="000206FB" w:rsidRDefault="0084279B" w:rsidP="00D728C9">
            <w:pPr>
              <w:jc w:val="center"/>
              <w:rPr>
                <w:b/>
                <w:bCs/>
                <w:color w:val="000000"/>
              </w:rPr>
            </w:pPr>
            <w:r w:rsidRPr="000206FB">
              <w:rPr>
                <w:b/>
                <w:bCs/>
                <w:color w:val="000000"/>
              </w:rPr>
              <w:t>2006</w:t>
            </w:r>
          </w:p>
        </w:tc>
        <w:tc>
          <w:tcPr>
            <w:tcW w:w="866" w:type="dxa"/>
            <w:shd w:val="clear" w:color="auto" w:fill="auto"/>
            <w:vAlign w:val="center"/>
            <w:hideMark/>
          </w:tcPr>
          <w:p w:rsidR="0084279B" w:rsidRPr="000206FB" w:rsidRDefault="0084279B" w:rsidP="00D728C9">
            <w:pPr>
              <w:jc w:val="center"/>
              <w:rPr>
                <w:b/>
                <w:bCs/>
                <w:color w:val="000000"/>
              </w:rPr>
            </w:pPr>
            <w:r w:rsidRPr="000206FB">
              <w:rPr>
                <w:b/>
                <w:bCs/>
                <w:color w:val="000000"/>
              </w:rPr>
              <w:t>2011</w:t>
            </w:r>
          </w:p>
        </w:tc>
        <w:tc>
          <w:tcPr>
            <w:tcW w:w="891" w:type="dxa"/>
            <w:shd w:val="clear" w:color="auto" w:fill="auto"/>
            <w:vAlign w:val="center"/>
            <w:hideMark/>
          </w:tcPr>
          <w:p w:rsidR="0084279B" w:rsidRPr="000206FB" w:rsidRDefault="0084279B" w:rsidP="00D728C9">
            <w:pPr>
              <w:jc w:val="center"/>
              <w:rPr>
                <w:b/>
                <w:bCs/>
                <w:color w:val="000000"/>
              </w:rPr>
            </w:pPr>
            <w:r w:rsidRPr="000206FB">
              <w:rPr>
                <w:b/>
                <w:bCs/>
                <w:color w:val="000000"/>
              </w:rPr>
              <w:t>FPT</w:t>
            </w:r>
          </w:p>
        </w:tc>
        <w:tc>
          <w:tcPr>
            <w:tcW w:w="1092" w:type="dxa"/>
            <w:shd w:val="clear" w:color="auto" w:fill="auto"/>
            <w:vAlign w:val="center"/>
            <w:hideMark/>
          </w:tcPr>
          <w:p w:rsidR="0084279B" w:rsidRPr="000206FB" w:rsidRDefault="0084279B" w:rsidP="00D728C9">
            <w:pPr>
              <w:jc w:val="center"/>
              <w:rPr>
                <w:b/>
                <w:bCs/>
                <w:i/>
                <w:color w:val="000000"/>
              </w:rPr>
            </w:pPr>
            <w:r w:rsidRPr="000206FB">
              <w:rPr>
                <w:b/>
                <w:bCs/>
                <w:i/>
                <w:color w:val="000000"/>
              </w:rPr>
              <w:t>Catch-</w:t>
            </w:r>
            <w:proofErr w:type="spellStart"/>
            <w:r w:rsidRPr="000206FB">
              <w:rPr>
                <w:b/>
                <w:bCs/>
                <w:i/>
                <w:color w:val="000000"/>
              </w:rPr>
              <w:t>up</w:t>
            </w:r>
            <w:proofErr w:type="spellEnd"/>
          </w:p>
        </w:tc>
        <w:tc>
          <w:tcPr>
            <w:tcW w:w="1038" w:type="dxa"/>
            <w:shd w:val="clear" w:color="auto" w:fill="auto"/>
            <w:vAlign w:val="center"/>
            <w:hideMark/>
          </w:tcPr>
          <w:p w:rsidR="0084279B" w:rsidRPr="000206FB" w:rsidRDefault="0084279B" w:rsidP="00D728C9">
            <w:pPr>
              <w:jc w:val="center"/>
              <w:rPr>
                <w:b/>
                <w:bCs/>
                <w:i/>
                <w:color w:val="000000"/>
              </w:rPr>
            </w:pPr>
            <w:proofErr w:type="spellStart"/>
            <w:r w:rsidRPr="000206FB">
              <w:rPr>
                <w:b/>
                <w:bCs/>
                <w:i/>
                <w:color w:val="000000"/>
              </w:rPr>
              <w:t>Frontier</w:t>
            </w:r>
            <w:proofErr w:type="spellEnd"/>
          </w:p>
        </w:tc>
        <w:tc>
          <w:tcPr>
            <w:tcW w:w="1189" w:type="dxa"/>
            <w:vMerge/>
            <w:shd w:val="clear" w:color="auto" w:fill="auto"/>
            <w:vAlign w:val="center"/>
            <w:hideMark/>
          </w:tcPr>
          <w:p w:rsidR="0084279B" w:rsidRPr="000206FB" w:rsidRDefault="0084279B" w:rsidP="00D728C9">
            <w:pPr>
              <w:jc w:val="center"/>
              <w:rPr>
                <w:b/>
                <w:bCs/>
                <w:color w:val="000000"/>
              </w:rPr>
            </w:pPr>
          </w:p>
        </w:tc>
        <w:tc>
          <w:tcPr>
            <w:tcW w:w="567" w:type="dxa"/>
            <w:shd w:val="clear" w:color="auto" w:fill="auto"/>
            <w:vAlign w:val="center"/>
            <w:hideMark/>
          </w:tcPr>
          <w:p w:rsidR="0084279B" w:rsidRPr="000206FB" w:rsidRDefault="0084279B" w:rsidP="00D728C9">
            <w:pPr>
              <w:jc w:val="center"/>
              <w:rPr>
                <w:b/>
                <w:bCs/>
                <w:color w:val="000000"/>
              </w:rPr>
            </w:pPr>
            <w:r w:rsidRPr="000206FB">
              <w:rPr>
                <w:b/>
                <w:bCs/>
                <w:color w:val="000000"/>
              </w:rPr>
              <w:t>EA</w:t>
            </w:r>
          </w:p>
        </w:tc>
        <w:tc>
          <w:tcPr>
            <w:tcW w:w="567" w:type="dxa"/>
            <w:shd w:val="clear" w:color="auto" w:fill="auto"/>
            <w:vAlign w:val="center"/>
            <w:hideMark/>
          </w:tcPr>
          <w:p w:rsidR="0084279B" w:rsidRPr="000206FB" w:rsidRDefault="0084279B" w:rsidP="00D728C9">
            <w:pPr>
              <w:jc w:val="center"/>
              <w:rPr>
                <w:b/>
                <w:bCs/>
                <w:color w:val="000000"/>
              </w:rPr>
            </w:pPr>
            <w:r w:rsidRPr="000206FB">
              <w:rPr>
                <w:b/>
                <w:bCs/>
                <w:color w:val="000000"/>
              </w:rPr>
              <w:t>EP</w:t>
            </w:r>
          </w:p>
        </w:tc>
        <w:tc>
          <w:tcPr>
            <w:tcW w:w="689" w:type="dxa"/>
            <w:shd w:val="clear" w:color="auto" w:fill="auto"/>
            <w:vAlign w:val="center"/>
            <w:hideMark/>
          </w:tcPr>
          <w:p w:rsidR="0084279B" w:rsidRPr="000206FB" w:rsidRDefault="00D638D9" w:rsidP="00D728C9">
            <w:pPr>
              <w:jc w:val="center"/>
              <w:rPr>
                <w:b/>
                <w:bCs/>
                <w:color w:val="000000"/>
              </w:rPr>
            </w:pPr>
            <w:r>
              <w:rPr>
                <w:b/>
                <w:bCs/>
                <w:color w:val="000000"/>
              </w:rPr>
              <w:t>Total</w:t>
            </w:r>
          </w:p>
        </w:tc>
      </w:tr>
      <w:tr w:rsidR="00535FB1"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535FB1" w:rsidRPr="000206FB" w:rsidRDefault="00535FB1" w:rsidP="00D728C9">
            <w:pPr>
              <w:jc w:val="center"/>
            </w:pPr>
            <w:r w:rsidRPr="000206FB">
              <w:t>ADA - MA</w:t>
            </w:r>
          </w:p>
        </w:tc>
        <w:tc>
          <w:tcPr>
            <w:tcW w:w="866" w:type="dxa"/>
            <w:shd w:val="clear" w:color="auto" w:fill="BFBFBF" w:themeFill="background1" w:themeFillShade="BF"/>
            <w:noWrap/>
            <w:vAlign w:val="center"/>
          </w:tcPr>
          <w:p w:rsidR="00535FB1" w:rsidRPr="000206FB" w:rsidRDefault="00535FB1" w:rsidP="00535FB1">
            <w:pPr>
              <w:jc w:val="center"/>
            </w:pPr>
            <w:r w:rsidRPr="000206FB">
              <w:t>0,7907</w:t>
            </w:r>
          </w:p>
        </w:tc>
        <w:tc>
          <w:tcPr>
            <w:tcW w:w="866" w:type="dxa"/>
            <w:shd w:val="clear" w:color="auto" w:fill="BFBFBF" w:themeFill="background1" w:themeFillShade="BF"/>
            <w:noWrap/>
            <w:vAlign w:val="center"/>
          </w:tcPr>
          <w:p w:rsidR="00535FB1" w:rsidRPr="000206FB" w:rsidRDefault="00535FB1" w:rsidP="00535FB1">
            <w:pPr>
              <w:jc w:val="center"/>
            </w:pPr>
            <w:r w:rsidRPr="000206FB">
              <w:t>0,7712</w:t>
            </w:r>
          </w:p>
        </w:tc>
        <w:tc>
          <w:tcPr>
            <w:tcW w:w="891" w:type="dxa"/>
            <w:shd w:val="clear" w:color="auto" w:fill="BFBFBF" w:themeFill="background1" w:themeFillShade="BF"/>
            <w:noWrap/>
            <w:vAlign w:val="center"/>
          </w:tcPr>
          <w:p w:rsidR="00535FB1" w:rsidRPr="000206FB" w:rsidRDefault="00535FB1" w:rsidP="00535FB1">
            <w:pPr>
              <w:jc w:val="center"/>
            </w:pPr>
            <w:r w:rsidRPr="000206FB">
              <w:t>1,0877</w:t>
            </w:r>
          </w:p>
        </w:tc>
        <w:tc>
          <w:tcPr>
            <w:tcW w:w="1092" w:type="dxa"/>
            <w:shd w:val="clear" w:color="auto" w:fill="BFBFBF" w:themeFill="background1" w:themeFillShade="BF"/>
            <w:noWrap/>
            <w:vAlign w:val="center"/>
          </w:tcPr>
          <w:p w:rsidR="00535FB1" w:rsidRPr="000206FB" w:rsidRDefault="00535FB1" w:rsidP="00535FB1">
            <w:pPr>
              <w:jc w:val="center"/>
            </w:pPr>
            <w:r w:rsidRPr="000206FB">
              <w:t>0,9753</w:t>
            </w:r>
          </w:p>
        </w:tc>
        <w:tc>
          <w:tcPr>
            <w:tcW w:w="1038" w:type="dxa"/>
            <w:shd w:val="clear" w:color="auto" w:fill="BFBFBF" w:themeFill="background1" w:themeFillShade="BF"/>
            <w:noWrap/>
            <w:vAlign w:val="center"/>
          </w:tcPr>
          <w:p w:rsidR="00535FB1" w:rsidRPr="000206FB" w:rsidRDefault="00535FB1" w:rsidP="00535FB1">
            <w:pPr>
              <w:jc w:val="center"/>
            </w:pPr>
            <w:r w:rsidRPr="000206FB">
              <w:t>1,1153</w:t>
            </w:r>
          </w:p>
        </w:tc>
        <w:tc>
          <w:tcPr>
            <w:tcW w:w="1189" w:type="dxa"/>
            <w:shd w:val="clear" w:color="auto" w:fill="BFBFBF" w:themeFill="background1" w:themeFillShade="BF"/>
            <w:noWrap/>
            <w:vAlign w:val="center"/>
            <w:hideMark/>
          </w:tcPr>
          <w:p w:rsidR="00535FB1" w:rsidRPr="000206FB" w:rsidRDefault="00535FB1" w:rsidP="00D728C9">
            <w:pPr>
              <w:jc w:val="center"/>
            </w:pPr>
            <w:r w:rsidRPr="000206FB">
              <w:t>ARSAM</w:t>
            </w:r>
          </w:p>
        </w:tc>
        <w:tc>
          <w:tcPr>
            <w:tcW w:w="567"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c>
          <w:tcPr>
            <w:tcW w:w="567"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c>
          <w:tcPr>
            <w:tcW w:w="689"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r>
      <w:tr w:rsidR="00535FB1"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shd w:val="clear" w:color="auto" w:fill="auto"/>
            <w:noWrap/>
            <w:vAlign w:val="center"/>
            <w:hideMark/>
          </w:tcPr>
          <w:p w:rsidR="00535FB1" w:rsidRPr="000206FB" w:rsidRDefault="00535FB1" w:rsidP="00D728C9">
            <w:pPr>
              <w:jc w:val="center"/>
            </w:pPr>
            <w:r w:rsidRPr="000206FB">
              <w:t>AG</w:t>
            </w:r>
          </w:p>
        </w:tc>
        <w:tc>
          <w:tcPr>
            <w:tcW w:w="866" w:type="dxa"/>
            <w:shd w:val="clear" w:color="auto" w:fill="auto"/>
            <w:noWrap/>
            <w:vAlign w:val="center"/>
          </w:tcPr>
          <w:p w:rsidR="00535FB1" w:rsidRPr="000206FB" w:rsidRDefault="00535FB1" w:rsidP="00535FB1">
            <w:pPr>
              <w:jc w:val="center"/>
            </w:pPr>
            <w:r w:rsidRPr="000206FB">
              <w:t>0,7404</w:t>
            </w:r>
          </w:p>
        </w:tc>
        <w:tc>
          <w:tcPr>
            <w:tcW w:w="866" w:type="dxa"/>
            <w:shd w:val="clear" w:color="auto" w:fill="auto"/>
            <w:noWrap/>
            <w:vAlign w:val="center"/>
          </w:tcPr>
          <w:p w:rsidR="00535FB1" w:rsidRPr="000206FB" w:rsidRDefault="00535FB1" w:rsidP="00535FB1">
            <w:pPr>
              <w:jc w:val="center"/>
            </w:pPr>
            <w:r w:rsidRPr="000206FB">
              <w:t>0,9435</w:t>
            </w:r>
          </w:p>
        </w:tc>
        <w:tc>
          <w:tcPr>
            <w:tcW w:w="891" w:type="dxa"/>
            <w:shd w:val="clear" w:color="auto" w:fill="auto"/>
            <w:noWrap/>
            <w:vAlign w:val="center"/>
          </w:tcPr>
          <w:p w:rsidR="00535FB1" w:rsidRPr="000206FB" w:rsidRDefault="00535FB1" w:rsidP="00535FB1">
            <w:pPr>
              <w:jc w:val="center"/>
            </w:pPr>
            <w:r w:rsidRPr="000206FB">
              <w:t>1,2833</w:t>
            </w:r>
          </w:p>
        </w:tc>
        <w:tc>
          <w:tcPr>
            <w:tcW w:w="1092" w:type="dxa"/>
            <w:shd w:val="clear" w:color="auto" w:fill="auto"/>
            <w:noWrap/>
            <w:vAlign w:val="center"/>
          </w:tcPr>
          <w:p w:rsidR="00535FB1" w:rsidRPr="000206FB" w:rsidRDefault="00535FB1" w:rsidP="00535FB1">
            <w:pPr>
              <w:jc w:val="center"/>
            </w:pPr>
            <w:r w:rsidRPr="000206FB">
              <w:t>1,2743</w:t>
            </w:r>
          </w:p>
        </w:tc>
        <w:tc>
          <w:tcPr>
            <w:tcW w:w="1038" w:type="dxa"/>
            <w:shd w:val="clear" w:color="auto" w:fill="auto"/>
            <w:noWrap/>
            <w:vAlign w:val="center"/>
          </w:tcPr>
          <w:p w:rsidR="00535FB1" w:rsidRPr="000206FB" w:rsidRDefault="00535FB1" w:rsidP="00535FB1">
            <w:pPr>
              <w:jc w:val="center"/>
            </w:pPr>
            <w:r w:rsidRPr="000206FB">
              <w:t>1,0071</w:t>
            </w:r>
          </w:p>
        </w:tc>
        <w:tc>
          <w:tcPr>
            <w:tcW w:w="1189" w:type="dxa"/>
            <w:shd w:val="clear" w:color="auto" w:fill="auto"/>
            <w:noWrap/>
            <w:vAlign w:val="center"/>
            <w:hideMark/>
          </w:tcPr>
          <w:p w:rsidR="00535FB1" w:rsidRPr="000206FB" w:rsidRDefault="00535FB1" w:rsidP="00D728C9">
            <w:pPr>
              <w:jc w:val="center"/>
            </w:pPr>
            <w:r w:rsidRPr="000206FB">
              <w:t>AGEREG</w:t>
            </w:r>
          </w:p>
        </w:tc>
        <w:tc>
          <w:tcPr>
            <w:tcW w:w="567" w:type="dxa"/>
            <w:shd w:val="clear" w:color="auto" w:fill="auto"/>
            <w:noWrap/>
            <w:vAlign w:val="center"/>
            <w:hideMark/>
          </w:tcPr>
          <w:p w:rsidR="00535FB1" w:rsidRPr="000206FB" w:rsidRDefault="00535FB1" w:rsidP="00D728C9">
            <w:pPr>
              <w:jc w:val="center"/>
            </w:pPr>
            <w:proofErr w:type="gramStart"/>
            <w:r w:rsidRPr="000206FB">
              <w:t>0</w:t>
            </w:r>
            <w:proofErr w:type="gramEnd"/>
          </w:p>
        </w:tc>
        <w:tc>
          <w:tcPr>
            <w:tcW w:w="567" w:type="dxa"/>
            <w:shd w:val="clear" w:color="auto" w:fill="auto"/>
            <w:noWrap/>
            <w:vAlign w:val="center"/>
            <w:hideMark/>
          </w:tcPr>
          <w:p w:rsidR="00535FB1" w:rsidRPr="000206FB" w:rsidRDefault="00535FB1" w:rsidP="00D728C9">
            <w:pPr>
              <w:jc w:val="center"/>
            </w:pPr>
            <w:proofErr w:type="gramStart"/>
            <w:r w:rsidRPr="000206FB">
              <w:t>0</w:t>
            </w:r>
            <w:proofErr w:type="gramEnd"/>
          </w:p>
        </w:tc>
        <w:tc>
          <w:tcPr>
            <w:tcW w:w="689" w:type="dxa"/>
            <w:shd w:val="clear" w:color="auto" w:fill="auto"/>
            <w:noWrap/>
            <w:vAlign w:val="center"/>
            <w:hideMark/>
          </w:tcPr>
          <w:p w:rsidR="00535FB1" w:rsidRPr="000206FB" w:rsidRDefault="00535FB1" w:rsidP="00D728C9">
            <w:pPr>
              <w:jc w:val="center"/>
            </w:pPr>
            <w:proofErr w:type="gramStart"/>
            <w:r w:rsidRPr="000206FB">
              <w:t>0</w:t>
            </w:r>
            <w:proofErr w:type="gramEnd"/>
          </w:p>
        </w:tc>
      </w:tr>
      <w:tr w:rsidR="00535FB1"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535FB1" w:rsidRPr="000206FB" w:rsidRDefault="00535FB1" w:rsidP="00D728C9">
            <w:pPr>
              <w:jc w:val="center"/>
            </w:pPr>
            <w:r w:rsidRPr="000206FB">
              <w:t>AGESPISA</w:t>
            </w:r>
          </w:p>
        </w:tc>
        <w:tc>
          <w:tcPr>
            <w:tcW w:w="866" w:type="dxa"/>
            <w:shd w:val="clear" w:color="auto" w:fill="BFBFBF" w:themeFill="background1" w:themeFillShade="BF"/>
            <w:noWrap/>
            <w:vAlign w:val="center"/>
          </w:tcPr>
          <w:p w:rsidR="00535FB1" w:rsidRPr="000206FB" w:rsidRDefault="00535FB1" w:rsidP="00535FB1">
            <w:pPr>
              <w:jc w:val="center"/>
            </w:pPr>
            <w:r w:rsidRPr="000206FB">
              <w:t>0,6224</w:t>
            </w:r>
          </w:p>
        </w:tc>
        <w:tc>
          <w:tcPr>
            <w:tcW w:w="866" w:type="dxa"/>
            <w:shd w:val="clear" w:color="auto" w:fill="BFBFBF" w:themeFill="background1" w:themeFillShade="BF"/>
            <w:noWrap/>
            <w:vAlign w:val="center"/>
          </w:tcPr>
          <w:p w:rsidR="00535FB1" w:rsidRPr="000206FB" w:rsidRDefault="00535FB1" w:rsidP="00535FB1">
            <w:pPr>
              <w:jc w:val="center"/>
            </w:pPr>
            <w:r w:rsidRPr="000206FB">
              <w:t>0,5749</w:t>
            </w:r>
          </w:p>
        </w:tc>
        <w:tc>
          <w:tcPr>
            <w:tcW w:w="891" w:type="dxa"/>
            <w:shd w:val="clear" w:color="auto" w:fill="BFBFBF" w:themeFill="background1" w:themeFillShade="BF"/>
            <w:noWrap/>
            <w:vAlign w:val="center"/>
          </w:tcPr>
          <w:p w:rsidR="00535FB1" w:rsidRPr="000206FB" w:rsidRDefault="00535FB1" w:rsidP="00535FB1">
            <w:pPr>
              <w:jc w:val="center"/>
            </w:pPr>
            <w:r w:rsidRPr="000206FB">
              <w:t>1,0499</w:t>
            </w:r>
          </w:p>
        </w:tc>
        <w:tc>
          <w:tcPr>
            <w:tcW w:w="1092" w:type="dxa"/>
            <w:shd w:val="clear" w:color="auto" w:fill="BFBFBF" w:themeFill="background1" w:themeFillShade="BF"/>
            <w:noWrap/>
            <w:vAlign w:val="center"/>
          </w:tcPr>
          <w:p w:rsidR="00535FB1" w:rsidRPr="000206FB" w:rsidRDefault="00535FB1" w:rsidP="00535FB1">
            <w:pPr>
              <w:jc w:val="center"/>
            </w:pPr>
            <w:r w:rsidRPr="000206FB">
              <w:t>0,9237</w:t>
            </w:r>
          </w:p>
        </w:tc>
        <w:tc>
          <w:tcPr>
            <w:tcW w:w="1038" w:type="dxa"/>
            <w:shd w:val="clear" w:color="auto" w:fill="BFBFBF" w:themeFill="background1" w:themeFillShade="BF"/>
            <w:noWrap/>
            <w:vAlign w:val="center"/>
          </w:tcPr>
          <w:p w:rsidR="00535FB1" w:rsidRPr="000206FB" w:rsidRDefault="00535FB1" w:rsidP="00535FB1">
            <w:pPr>
              <w:jc w:val="center"/>
            </w:pPr>
            <w:r w:rsidRPr="000206FB">
              <w:t>1,1366</w:t>
            </w:r>
          </w:p>
        </w:tc>
        <w:tc>
          <w:tcPr>
            <w:tcW w:w="1189" w:type="dxa"/>
            <w:shd w:val="clear" w:color="auto" w:fill="BFBFBF" w:themeFill="background1" w:themeFillShade="BF"/>
            <w:noWrap/>
            <w:vAlign w:val="center"/>
            <w:hideMark/>
          </w:tcPr>
          <w:p w:rsidR="00535FB1" w:rsidRPr="000206FB" w:rsidRDefault="00535FB1" w:rsidP="00D728C9">
            <w:pPr>
              <w:jc w:val="center"/>
            </w:pPr>
            <w:r w:rsidRPr="000206FB">
              <w:t>ARSETE</w:t>
            </w:r>
          </w:p>
        </w:tc>
        <w:tc>
          <w:tcPr>
            <w:tcW w:w="567"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c>
          <w:tcPr>
            <w:tcW w:w="567"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c>
          <w:tcPr>
            <w:tcW w:w="689" w:type="dxa"/>
            <w:shd w:val="clear" w:color="auto" w:fill="BFBFBF" w:themeFill="background1" w:themeFillShade="BF"/>
            <w:noWrap/>
            <w:vAlign w:val="center"/>
            <w:hideMark/>
          </w:tcPr>
          <w:p w:rsidR="00535FB1" w:rsidRPr="000206FB" w:rsidRDefault="00535FB1" w:rsidP="00D728C9">
            <w:pPr>
              <w:jc w:val="center"/>
            </w:pPr>
            <w:proofErr w:type="gramStart"/>
            <w:r w:rsidRPr="000206FB">
              <w:t>0</w:t>
            </w:r>
            <w:proofErr w:type="gramEnd"/>
          </w:p>
        </w:tc>
      </w:tr>
      <w:tr w:rsidR="00535FB1"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shd w:val="clear" w:color="auto" w:fill="auto"/>
            <w:noWrap/>
            <w:vAlign w:val="center"/>
            <w:hideMark/>
          </w:tcPr>
          <w:p w:rsidR="00535FB1" w:rsidRPr="000206FB" w:rsidRDefault="00535FB1" w:rsidP="00D728C9">
            <w:pPr>
              <w:jc w:val="center"/>
              <w:rPr>
                <w:color w:val="000000"/>
              </w:rPr>
            </w:pPr>
            <w:r w:rsidRPr="000206FB">
              <w:rPr>
                <w:color w:val="000000"/>
              </w:rPr>
              <w:t>CAERN</w:t>
            </w:r>
          </w:p>
        </w:tc>
        <w:tc>
          <w:tcPr>
            <w:tcW w:w="866" w:type="dxa"/>
            <w:shd w:val="clear" w:color="auto" w:fill="auto"/>
            <w:noWrap/>
            <w:vAlign w:val="center"/>
          </w:tcPr>
          <w:p w:rsidR="00535FB1" w:rsidRPr="000206FB" w:rsidRDefault="00535FB1" w:rsidP="00535FB1">
            <w:pPr>
              <w:jc w:val="center"/>
            </w:pPr>
            <w:r w:rsidRPr="000206FB">
              <w:t>1,0000</w:t>
            </w:r>
          </w:p>
        </w:tc>
        <w:tc>
          <w:tcPr>
            <w:tcW w:w="866" w:type="dxa"/>
            <w:shd w:val="clear" w:color="auto" w:fill="auto"/>
            <w:noWrap/>
            <w:vAlign w:val="center"/>
          </w:tcPr>
          <w:p w:rsidR="00535FB1" w:rsidRPr="000206FB" w:rsidRDefault="00535FB1" w:rsidP="00535FB1">
            <w:pPr>
              <w:jc w:val="center"/>
            </w:pPr>
            <w:r w:rsidRPr="000206FB">
              <w:t>0,6196</w:t>
            </w:r>
          </w:p>
        </w:tc>
        <w:tc>
          <w:tcPr>
            <w:tcW w:w="891" w:type="dxa"/>
            <w:shd w:val="clear" w:color="auto" w:fill="auto"/>
            <w:noWrap/>
            <w:vAlign w:val="center"/>
          </w:tcPr>
          <w:p w:rsidR="00535FB1" w:rsidRPr="000206FB" w:rsidRDefault="00535FB1" w:rsidP="00535FB1">
            <w:pPr>
              <w:jc w:val="center"/>
            </w:pPr>
            <w:r w:rsidRPr="000206FB">
              <w:t>0,7041</w:t>
            </w:r>
          </w:p>
        </w:tc>
        <w:tc>
          <w:tcPr>
            <w:tcW w:w="1092" w:type="dxa"/>
            <w:shd w:val="clear" w:color="auto" w:fill="auto"/>
            <w:noWrap/>
            <w:vAlign w:val="center"/>
          </w:tcPr>
          <w:p w:rsidR="00535FB1" w:rsidRPr="000206FB" w:rsidRDefault="00535FB1" w:rsidP="00535FB1">
            <w:pPr>
              <w:jc w:val="center"/>
            </w:pPr>
            <w:r w:rsidRPr="000206FB">
              <w:t>0,6196</w:t>
            </w:r>
          </w:p>
        </w:tc>
        <w:tc>
          <w:tcPr>
            <w:tcW w:w="1038" w:type="dxa"/>
            <w:shd w:val="clear" w:color="auto" w:fill="auto"/>
            <w:noWrap/>
            <w:vAlign w:val="center"/>
          </w:tcPr>
          <w:p w:rsidR="00535FB1" w:rsidRPr="000206FB" w:rsidRDefault="00535FB1" w:rsidP="00535FB1">
            <w:pPr>
              <w:jc w:val="center"/>
            </w:pPr>
            <w:r w:rsidRPr="000206FB">
              <w:t>1,1365</w:t>
            </w:r>
          </w:p>
        </w:tc>
        <w:tc>
          <w:tcPr>
            <w:tcW w:w="1189" w:type="dxa"/>
            <w:shd w:val="clear" w:color="auto" w:fill="auto"/>
            <w:noWrap/>
            <w:vAlign w:val="center"/>
            <w:hideMark/>
          </w:tcPr>
          <w:p w:rsidR="00535FB1" w:rsidRPr="000206FB" w:rsidRDefault="00535FB1" w:rsidP="00D728C9">
            <w:pPr>
              <w:jc w:val="center"/>
              <w:rPr>
                <w:color w:val="000000"/>
              </w:rPr>
            </w:pPr>
            <w:r w:rsidRPr="000206FB">
              <w:rPr>
                <w:color w:val="000000"/>
              </w:rPr>
              <w:t>ARSBAN</w:t>
            </w:r>
            <w:r w:rsidR="000206FB" w:rsidRPr="000206FB">
              <w:rPr>
                <w:color w:val="000000"/>
                <w:vertAlign w:val="superscript"/>
              </w:rPr>
              <w:t>1</w:t>
            </w:r>
          </w:p>
        </w:tc>
        <w:tc>
          <w:tcPr>
            <w:tcW w:w="567" w:type="dxa"/>
            <w:shd w:val="clear" w:color="auto" w:fill="auto"/>
            <w:noWrap/>
            <w:vAlign w:val="center"/>
            <w:hideMark/>
          </w:tcPr>
          <w:p w:rsidR="00535FB1" w:rsidRPr="000206FB" w:rsidRDefault="00535FB1" w:rsidP="00D728C9">
            <w:pPr>
              <w:jc w:val="center"/>
            </w:pPr>
            <w:proofErr w:type="gramStart"/>
            <w:r w:rsidRPr="000206FB">
              <w:t>7</w:t>
            </w:r>
            <w:proofErr w:type="gramEnd"/>
          </w:p>
        </w:tc>
        <w:tc>
          <w:tcPr>
            <w:tcW w:w="567" w:type="dxa"/>
            <w:shd w:val="clear" w:color="auto" w:fill="auto"/>
            <w:noWrap/>
            <w:vAlign w:val="center"/>
            <w:hideMark/>
          </w:tcPr>
          <w:p w:rsidR="00535FB1" w:rsidRPr="000206FB" w:rsidRDefault="00535FB1" w:rsidP="00D728C9">
            <w:pPr>
              <w:jc w:val="center"/>
            </w:pPr>
            <w:proofErr w:type="gramStart"/>
            <w:r w:rsidRPr="000206FB">
              <w:t>2</w:t>
            </w:r>
            <w:proofErr w:type="gramEnd"/>
          </w:p>
        </w:tc>
        <w:tc>
          <w:tcPr>
            <w:tcW w:w="689" w:type="dxa"/>
            <w:shd w:val="clear" w:color="auto" w:fill="auto"/>
            <w:noWrap/>
            <w:vAlign w:val="center"/>
            <w:hideMark/>
          </w:tcPr>
          <w:p w:rsidR="00535FB1" w:rsidRPr="000206FB" w:rsidRDefault="00535FB1" w:rsidP="00D728C9">
            <w:pPr>
              <w:jc w:val="center"/>
            </w:pPr>
            <w:proofErr w:type="gramStart"/>
            <w:r w:rsidRPr="000206FB">
              <w:t>9</w:t>
            </w:r>
            <w:proofErr w:type="gramEnd"/>
          </w:p>
        </w:tc>
      </w:tr>
      <w:tr w:rsidR="00535FB1"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535FB1" w:rsidRPr="000206FB" w:rsidRDefault="00535FB1" w:rsidP="00D728C9">
            <w:pPr>
              <w:jc w:val="center"/>
              <w:rPr>
                <w:color w:val="000000"/>
              </w:rPr>
            </w:pPr>
            <w:r w:rsidRPr="000206FB">
              <w:rPr>
                <w:color w:val="000000"/>
              </w:rPr>
              <w:t>CAESB</w:t>
            </w:r>
          </w:p>
        </w:tc>
        <w:tc>
          <w:tcPr>
            <w:tcW w:w="866" w:type="dxa"/>
            <w:shd w:val="clear" w:color="auto" w:fill="BFBFBF" w:themeFill="background1" w:themeFillShade="BF"/>
            <w:noWrap/>
            <w:vAlign w:val="center"/>
          </w:tcPr>
          <w:p w:rsidR="00535FB1" w:rsidRPr="000206FB" w:rsidRDefault="00535FB1" w:rsidP="00535FB1">
            <w:pPr>
              <w:jc w:val="center"/>
            </w:pPr>
            <w:r w:rsidRPr="000206FB">
              <w:t>0,6030</w:t>
            </w:r>
          </w:p>
        </w:tc>
        <w:tc>
          <w:tcPr>
            <w:tcW w:w="866" w:type="dxa"/>
            <w:shd w:val="clear" w:color="auto" w:fill="BFBFBF" w:themeFill="background1" w:themeFillShade="BF"/>
            <w:noWrap/>
            <w:vAlign w:val="center"/>
          </w:tcPr>
          <w:p w:rsidR="00535FB1" w:rsidRPr="000206FB" w:rsidRDefault="00535FB1" w:rsidP="00535FB1">
            <w:pPr>
              <w:jc w:val="center"/>
            </w:pPr>
            <w:r w:rsidRPr="000206FB">
              <w:t>0,6462</w:t>
            </w:r>
          </w:p>
        </w:tc>
        <w:tc>
          <w:tcPr>
            <w:tcW w:w="891" w:type="dxa"/>
            <w:shd w:val="clear" w:color="auto" w:fill="BFBFBF" w:themeFill="background1" w:themeFillShade="BF"/>
            <w:noWrap/>
            <w:vAlign w:val="center"/>
          </w:tcPr>
          <w:p w:rsidR="00535FB1" w:rsidRPr="000206FB" w:rsidRDefault="00535FB1" w:rsidP="00535FB1">
            <w:pPr>
              <w:jc w:val="center"/>
            </w:pPr>
            <w:r w:rsidRPr="000206FB">
              <w:t>1,1753</w:t>
            </w:r>
          </w:p>
        </w:tc>
        <w:tc>
          <w:tcPr>
            <w:tcW w:w="1092" w:type="dxa"/>
            <w:shd w:val="clear" w:color="auto" w:fill="BFBFBF" w:themeFill="background1" w:themeFillShade="BF"/>
            <w:noWrap/>
            <w:vAlign w:val="center"/>
          </w:tcPr>
          <w:p w:rsidR="00535FB1" w:rsidRPr="000206FB" w:rsidRDefault="00535FB1" w:rsidP="00535FB1">
            <w:pPr>
              <w:jc w:val="center"/>
            </w:pPr>
            <w:r w:rsidRPr="000206FB">
              <w:t>1,0716</w:t>
            </w:r>
          </w:p>
        </w:tc>
        <w:tc>
          <w:tcPr>
            <w:tcW w:w="1038" w:type="dxa"/>
            <w:shd w:val="clear" w:color="auto" w:fill="BFBFBF" w:themeFill="background1" w:themeFillShade="BF"/>
            <w:noWrap/>
            <w:vAlign w:val="center"/>
          </w:tcPr>
          <w:p w:rsidR="00535FB1" w:rsidRPr="000206FB" w:rsidRDefault="00535FB1" w:rsidP="00535FB1">
            <w:pPr>
              <w:jc w:val="center"/>
            </w:pPr>
            <w:r w:rsidRPr="000206FB">
              <w:t>1,0968</w:t>
            </w:r>
          </w:p>
        </w:tc>
        <w:tc>
          <w:tcPr>
            <w:tcW w:w="1189" w:type="dxa"/>
            <w:shd w:val="clear" w:color="auto" w:fill="BFBFBF" w:themeFill="background1" w:themeFillShade="BF"/>
            <w:noWrap/>
            <w:vAlign w:val="center"/>
            <w:hideMark/>
          </w:tcPr>
          <w:p w:rsidR="00535FB1" w:rsidRPr="000206FB" w:rsidRDefault="00535FB1" w:rsidP="00D728C9">
            <w:pPr>
              <w:jc w:val="center"/>
              <w:rPr>
                <w:color w:val="000000"/>
              </w:rPr>
            </w:pPr>
            <w:r w:rsidRPr="000206FB">
              <w:rPr>
                <w:color w:val="000000"/>
              </w:rPr>
              <w:t>ADASA</w:t>
            </w:r>
          </w:p>
        </w:tc>
        <w:tc>
          <w:tcPr>
            <w:tcW w:w="567" w:type="dxa"/>
            <w:shd w:val="clear" w:color="auto" w:fill="BFBFBF" w:themeFill="background1" w:themeFillShade="BF"/>
            <w:noWrap/>
            <w:vAlign w:val="center"/>
            <w:hideMark/>
          </w:tcPr>
          <w:p w:rsidR="00535FB1" w:rsidRPr="000206FB" w:rsidRDefault="00535FB1" w:rsidP="00D728C9">
            <w:pPr>
              <w:jc w:val="center"/>
            </w:pPr>
            <w:r w:rsidRPr="000206FB">
              <w:t>14</w:t>
            </w:r>
          </w:p>
        </w:tc>
        <w:tc>
          <w:tcPr>
            <w:tcW w:w="567" w:type="dxa"/>
            <w:shd w:val="clear" w:color="auto" w:fill="BFBFBF" w:themeFill="background1" w:themeFillShade="BF"/>
            <w:noWrap/>
            <w:vAlign w:val="center"/>
            <w:hideMark/>
          </w:tcPr>
          <w:p w:rsidR="00535FB1" w:rsidRPr="000206FB" w:rsidRDefault="00535FB1" w:rsidP="00D728C9">
            <w:pPr>
              <w:jc w:val="center"/>
            </w:pPr>
            <w:proofErr w:type="gramStart"/>
            <w:r w:rsidRPr="000206FB">
              <w:t>2</w:t>
            </w:r>
            <w:proofErr w:type="gramEnd"/>
          </w:p>
        </w:tc>
        <w:tc>
          <w:tcPr>
            <w:tcW w:w="689" w:type="dxa"/>
            <w:shd w:val="clear" w:color="auto" w:fill="BFBFBF" w:themeFill="background1" w:themeFillShade="BF"/>
            <w:noWrap/>
            <w:vAlign w:val="center"/>
            <w:hideMark/>
          </w:tcPr>
          <w:p w:rsidR="00535FB1" w:rsidRPr="000206FB" w:rsidRDefault="00535FB1" w:rsidP="00D728C9">
            <w:pPr>
              <w:jc w:val="center"/>
            </w:pPr>
            <w:r w:rsidRPr="000206FB">
              <w:t>16</w:t>
            </w:r>
          </w:p>
        </w:tc>
      </w:tr>
      <w:tr w:rsidR="00535FB1"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vMerge w:val="restart"/>
            <w:shd w:val="clear" w:color="auto" w:fill="auto"/>
            <w:noWrap/>
            <w:vAlign w:val="center"/>
            <w:hideMark/>
          </w:tcPr>
          <w:p w:rsidR="00535FB1" w:rsidRPr="000206FB" w:rsidRDefault="00535FB1" w:rsidP="00D728C9">
            <w:pPr>
              <w:jc w:val="center"/>
              <w:rPr>
                <w:color w:val="000000"/>
              </w:rPr>
            </w:pPr>
            <w:r w:rsidRPr="000206FB">
              <w:rPr>
                <w:color w:val="000000"/>
              </w:rPr>
              <w:t>CAGECE</w:t>
            </w:r>
          </w:p>
        </w:tc>
        <w:tc>
          <w:tcPr>
            <w:tcW w:w="866" w:type="dxa"/>
            <w:vMerge w:val="restart"/>
            <w:shd w:val="clear" w:color="auto" w:fill="auto"/>
            <w:noWrap/>
            <w:vAlign w:val="center"/>
          </w:tcPr>
          <w:p w:rsidR="00535FB1" w:rsidRPr="000206FB" w:rsidRDefault="00535FB1" w:rsidP="00535FB1">
            <w:pPr>
              <w:jc w:val="center"/>
            </w:pPr>
            <w:r w:rsidRPr="000206FB">
              <w:t>1,0000</w:t>
            </w:r>
          </w:p>
        </w:tc>
        <w:tc>
          <w:tcPr>
            <w:tcW w:w="866" w:type="dxa"/>
            <w:vMerge w:val="restart"/>
            <w:shd w:val="clear" w:color="auto" w:fill="auto"/>
            <w:noWrap/>
            <w:vAlign w:val="center"/>
          </w:tcPr>
          <w:p w:rsidR="00535FB1" w:rsidRPr="000206FB" w:rsidRDefault="00535FB1" w:rsidP="00535FB1">
            <w:pPr>
              <w:jc w:val="center"/>
            </w:pPr>
            <w:r w:rsidRPr="000206FB">
              <w:t>1,0000</w:t>
            </w:r>
          </w:p>
        </w:tc>
        <w:tc>
          <w:tcPr>
            <w:tcW w:w="891" w:type="dxa"/>
            <w:vMerge w:val="restart"/>
            <w:shd w:val="clear" w:color="auto" w:fill="auto"/>
            <w:noWrap/>
            <w:vAlign w:val="center"/>
          </w:tcPr>
          <w:p w:rsidR="00535FB1" w:rsidRPr="000206FB" w:rsidRDefault="00535FB1" w:rsidP="00535FB1">
            <w:pPr>
              <w:jc w:val="center"/>
            </w:pPr>
            <w:r w:rsidRPr="000206FB">
              <w:t>1,2430</w:t>
            </w:r>
          </w:p>
        </w:tc>
        <w:tc>
          <w:tcPr>
            <w:tcW w:w="1092" w:type="dxa"/>
            <w:vMerge w:val="restart"/>
            <w:shd w:val="clear" w:color="auto" w:fill="auto"/>
            <w:noWrap/>
            <w:vAlign w:val="center"/>
          </w:tcPr>
          <w:p w:rsidR="00535FB1" w:rsidRPr="000206FB" w:rsidRDefault="00535FB1" w:rsidP="00535FB1">
            <w:pPr>
              <w:jc w:val="center"/>
            </w:pPr>
            <w:r w:rsidRPr="000206FB">
              <w:t>1,0000</w:t>
            </w:r>
          </w:p>
        </w:tc>
        <w:tc>
          <w:tcPr>
            <w:tcW w:w="1038" w:type="dxa"/>
            <w:vMerge w:val="restart"/>
            <w:shd w:val="clear" w:color="auto" w:fill="auto"/>
            <w:noWrap/>
            <w:vAlign w:val="center"/>
          </w:tcPr>
          <w:p w:rsidR="00535FB1" w:rsidRPr="000206FB" w:rsidRDefault="00535FB1" w:rsidP="00535FB1">
            <w:pPr>
              <w:jc w:val="center"/>
            </w:pPr>
            <w:r w:rsidRPr="000206FB">
              <w:t>1,2430</w:t>
            </w:r>
          </w:p>
        </w:tc>
        <w:tc>
          <w:tcPr>
            <w:tcW w:w="1189" w:type="dxa"/>
            <w:shd w:val="clear" w:color="auto" w:fill="auto"/>
            <w:noWrap/>
            <w:vAlign w:val="center"/>
            <w:hideMark/>
          </w:tcPr>
          <w:p w:rsidR="00535FB1" w:rsidRPr="000206FB" w:rsidRDefault="00535FB1" w:rsidP="00D728C9">
            <w:pPr>
              <w:jc w:val="center"/>
              <w:rPr>
                <w:color w:val="000000"/>
              </w:rPr>
            </w:pPr>
            <w:r w:rsidRPr="000206FB">
              <w:rPr>
                <w:color w:val="000000"/>
              </w:rPr>
              <w:t>ARCE</w:t>
            </w:r>
          </w:p>
        </w:tc>
        <w:tc>
          <w:tcPr>
            <w:tcW w:w="567" w:type="dxa"/>
            <w:shd w:val="clear" w:color="auto" w:fill="auto"/>
            <w:noWrap/>
            <w:vAlign w:val="center"/>
            <w:hideMark/>
          </w:tcPr>
          <w:p w:rsidR="00535FB1" w:rsidRPr="000206FB" w:rsidRDefault="00535FB1" w:rsidP="00D728C9">
            <w:pPr>
              <w:jc w:val="center"/>
            </w:pPr>
            <w:proofErr w:type="gramStart"/>
            <w:r w:rsidRPr="000206FB">
              <w:t>1</w:t>
            </w:r>
            <w:proofErr w:type="gramEnd"/>
          </w:p>
        </w:tc>
        <w:tc>
          <w:tcPr>
            <w:tcW w:w="567" w:type="dxa"/>
            <w:shd w:val="clear" w:color="auto" w:fill="auto"/>
            <w:noWrap/>
            <w:vAlign w:val="center"/>
            <w:hideMark/>
          </w:tcPr>
          <w:p w:rsidR="00535FB1" w:rsidRPr="000206FB" w:rsidRDefault="00535FB1" w:rsidP="00D728C9">
            <w:pPr>
              <w:jc w:val="center"/>
            </w:pPr>
            <w:r w:rsidRPr="000206FB">
              <w:t>15</w:t>
            </w:r>
          </w:p>
        </w:tc>
        <w:tc>
          <w:tcPr>
            <w:tcW w:w="689" w:type="dxa"/>
            <w:shd w:val="clear" w:color="auto" w:fill="auto"/>
            <w:noWrap/>
            <w:vAlign w:val="center"/>
            <w:hideMark/>
          </w:tcPr>
          <w:p w:rsidR="00535FB1" w:rsidRPr="000206FB" w:rsidRDefault="00535FB1" w:rsidP="00D728C9">
            <w:pPr>
              <w:jc w:val="center"/>
            </w:pPr>
            <w:r w:rsidRPr="000206FB">
              <w:t>16</w:t>
            </w:r>
          </w:p>
        </w:tc>
      </w:tr>
      <w:tr w:rsidR="00535FB1"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vMerge/>
            <w:shd w:val="clear" w:color="auto" w:fill="auto"/>
            <w:vAlign w:val="center"/>
            <w:hideMark/>
          </w:tcPr>
          <w:p w:rsidR="00535FB1" w:rsidRPr="000206FB" w:rsidRDefault="00535FB1" w:rsidP="00D728C9">
            <w:pPr>
              <w:jc w:val="center"/>
              <w:rPr>
                <w:color w:val="000000"/>
              </w:rPr>
            </w:pPr>
          </w:p>
        </w:tc>
        <w:tc>
          <w:tcPr>
            <w:tcW w:w="866" w:type="dxa"/>
            <w:vMerge/>
            <w:shd w:val="clear" w:color="auto" w:fill="auto"/>
            <w:vAlign w:val="center"/>
          </w:tcPr>
          <w:p w:rsidR="00535FB1" w:rsidRPr="000206FB" w:rsidRDefault="00535FB1" w:rsidP="00535FB1">
            <w:pPr>
              <w:jc w:val="center"/>
            </w:pPr>
          </w:p>
        </w:tc>
        <w:tc>
          <w:tcPr>
            <w:tcW w:w="866" w:type="dxa"/>
            <w:vMerge/>
            <w:shd w:val="clear" w:color="auto" w:fill="auto"/>
            <w:vAlign w:val="center"/>
          </w:tcPr>
          <w:p w:rsidR="00535FB1" w:rsidRPr="000206FB" w:rsidRDefault="00535FB1" w:rsidP="00535FB1">
            <w:pPr>
              <w:jc w:val="center"/>
            </w:pPr>
          </w:p>
        </w:tc>
        <w:tc>
          <w:tcPr>
            <w:tcW w:w="891" w:type="dxa"/>
            <w:vMerge/>
            <w:shd w:val="clear" w:color="auto" w:fill="auto"/>
            <w:vAlign w:val="center"/>
          </w:tcPr>
          <w:p w:rsidR="00535FB1" w:rsidRPr="000206FB" w:rsidRDefault="00535FB1" w:rsidP="00535FB1">
            <w:pPr>
              <w:jc w:val="center"/>
            </w:pPr>
          </w:p>
        </w:tc>
        <w:tc>
          <w:tcPr>
            <w:tcW w:w="1092" w:type="dxa"/>
            <w:vMerge/>
            <w:shd w:val="clear" w:color="auto" w:fill="auto"/>
            <w:vAlign w:val="center"/>
          </w:tcPr>
          <w:p w:rsidR="00535FB1" w:rsidRPr="000206FB" w:rsidRDefault="00535FB1" w:rsidP="00535FB1">
            <w:pPr>
              <w:jc w:val="center"/>
            </w:pPr>
          </w:p>
        </w:tc>
        <w:tc>
          <w:tcPr>
            <w:tcW w:w="1038" w:type="dxa"/>
            <w:vMerge/>
            <w:shd w:val="clear" w:color="auto" w:fill="auto"/>
            <w:vAlign w:val="center"/>
          </w:tcPr>
          <w:p w:rsidR="00535FB1" w:rsidRPr="000206FB" w:rsidRDefault="00535FB1" w:rsidP="00535FB1">
            <w:pPr>
              <w:jc w:val="center"/>
            </w:pPr>
          </w:p>
        </w:tc>
        <w:tc>
          <w:tcPr>
            <w:tcW w:w="1189" w:type="dxa"/>
            <w:shd w:val="clear" w:color="auto" w:fill="auto"/>
            <w:noWrap/>
            <w:vAlign w:val="center"/>
            <w:hideMark/>
          </w:tcPr>
          <w:p w:rsidR="00535FB1" w:rsidRPr="000206FB" w:rsidRDefault="00535FB1" w:rsidP="00D728C9">
            <w:pPr>
              <w:jc w:val="center"/>
              <w:rPr>
                <w:color w:val="000000"/>
              </w:rPr>
            </w:pPr>
            <w:r w:rsidRPr="000206FB">
              <w:rPr>
                <w:color w:val="000000"/>
              </w:rPr>
              <w:t>ACFOR</w:t>
            </w:r>
          </w:p>
        </w:tc>
        <w:tc>
          <w:tcPr>
            <w:tcW w:w="567" w:type="dxa"/>
            <w:shd w:val="clear" w:color="auto" w:fill="auto"/>
            <w:noWrap/>
            <w:vAlign w:val="center"/>
            <w:hideMark/>
          </w:tcPr>
          <w:p w:rsidR="00535FB1" w:rsidRPr="000206FB" w:rsidRDefault="00535FB1" w:rsidP="00D728C9">
            <w:pPr>
              <w:jc w:val="center"/>
            </w:pPr>
            <w:proofErr w:type="gramStart"/>
            <w:r w:rsidRPr="000206FB">
              <w:t>0</w:t>
            </w:r>
            <w:proofErr w:type="gramEnd"/>
          </w:p>
        </w:tc>
        <w:tc>
          <w:tcPr>
            <w:tcW w:w="567" w:type="dxa"/>
            <w:shd w:val="clear" w:color="auto" w:fill="auto"/>
            <w:noWrap/>
            <w:vAlign w:val="center"/>
            <w:hideMark/>
          </w:tcPr>
          <w:p w:rsidR="00535FB1" w:rsidRPr="000206FB" w:rsidRDefault="00535FB1" w:rsidP="00D728C9">
            <w:pPr>
              <w:jc w:val="center"/>
            </w:pPr>
            <w:proofErr w:type="gramStart"/>
            <w:r w:rsidRPr="000206FB">
              <w:t>6</w:t>
            </w:r>
            <w:proofErr w:type="gramEnd"/>
          </w:p>
        </w:tc>
        <w:tc>
          <w:tcPr>
            <w:tcW w:w="689" w:type="dxa"/>
            <w:shd w:val="clear" w:color="auto" w:fill="auto"/>
            <w:noWrap/>
            <w:vAlign w:val="center"/>
            <w:hideMark/>
          </w:tcPr>
          <w:p w:rsidR="00535FB1" w:rsidRPr="000206FB" w:rsidRDefault="00535FB1" w:rsidP="00D728C9">
            <w:pPr>
              <w:jc w:val="center"/>
            </w:pPr>
            <w:proofErr w:type="gramStart"/>
            <w:r w:rsidRPr="000206FB">
              <w:t>6</w:t>
            </w:r>
            <w:proofErr w:type="gramEnd"/>
          </w:p>
        </w:tc>
      </w:tr>
      <w:tr w:rsidR="004741B4"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CAGEPA</w:t>
            </w:r>
          </w:p>
        </w:tc>
        <w:tc>
          <w:tcPr>
            <w:tcW w:w="866" w:type="dxa"/>
            <w:shd w:val="clear" w:color="auto" w:fill="BFBFBF" w:themeFill="background1" w:themeFillShade="BF"/>
            <w:noWrap/>
            <w:vAlign w:val="center"/>
          </w:tcPr>
          <w:p w:rsidR="004741B4" w:rsidRPr="000206FB" w:rsidRDefault="004741B4" w:rsidP="004741B4">
            <w:pPr>
              <w:jc w:val="center"/>
            </w:pPr>
            <w:r w:rsidRPr="000206FB">
              <w:t>0,6681</w:t>
            </w:r>
          </w:p>
        </w:tc>
        <w:tc>
          <w:tcPr>
            <w:tcW w:w="866" w:type="dxa"/>
            <w:shd w:val="clear" w:color="auto" w:fill="BFBFBF" w:themeFill="background1" w:themeFillShade="BF"/>
            <w:noWrap/>
            <w:vAlign w:val="center"/>
          </w:tcPr>
          <w:p w:rsidR="004741B4" w:rsidRPr="000206FB" w:rsidRDefault="004741B4" w:rsidP="004741B4">
            <w:pPr>
              <w:jc w:val="center"/>
            </w:pPr>
            <w:r w:rsidRPr="000206FB">
              <w:t>0,5441</w:t>
            </w:r>
          </w:p>
        </w:tc>
        <w:tc>
          <w:tcPr>
            <w:tcW w:w="891" w:type="dxa"/>
            <w:shd w:val="clear" w:color="auto" w:fill="BFBFBF" w:themeFill="background1" w:themeFillShade="BF"/>
            <w:noWrap/>
            <w:vAlign w:val="center"/>
          </w:tcPr>
          <w:p w:rsidR="004741B4" w:rsidRPr="000206FB" w:rsidRDefault="004741B4" w:rsidP="004741B4">
            <w:pPr>
              <w:jc w:val="center"/>
            </w:pPr>
            <w:r w:rsidRPr="000206FB">
              <w:t>0,9507</w:t>
            </w:r>
          </w:p>
        </w:tc>
        <w:tc>
          <w:tcPr>
            <w:tcW w:w="1092" w:type="dxa"/>
            <w:shd w:val="clear" w:color="auto" w:fill="BFBFBF" w:themeFill="background1" w:themeFillShade="BF"/>
            <w:noWrap/>
            <w:vAlign w:val="center"/>
          </w:tcPr>
          <w:p w:rsidR="004741B4" w:rsidRPr="000206FB" w:rsidRDefault="004741B4" w:rsidP="004741B4">
            <w:pPr>
              <w:jc w:val="center"/>
            </w:pPr>
            <w:r w:rsidRPr="000206FB">
              <w:t>0,8144</w:t>
            </w:r>
          </w:p>
        </w:tc>
        <w:tc>
          <w:tcPr>
            <w:tcW w:w="1038" w:type="dxa"/>
            <w:shd w:val="clear" w:color="auto" w:fill="BFBFBF" w:themeFill="background1" w:themeFillShade="BF"/>
            <w:noWrap/>
            <w:vAlign w:val="center"/>
          </w:tcPr>
          <w:p w:rsidR="004741B4" w:rsidRPr="000206FB" w:rsidRDefault="004741B4" w:rsidP="004741B4">
            <w:pPr>
              <w:jc w:val="center"/>
            </w:pPr>
            <w:r w:rsidRPr="000206FB">
              <w:t>1,1673</w:t>
            </w:r>
          </w:p>
        </w:tc>
        <w:tc>
          <w:tcPr>
            <w:tcW w:w="1189"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ARPB</w:t>
            </w:r>
          </w:p>
        </w:tc>
        <w:tc>
          <w:tcPr>
            <w:tcW w:w="567" w:type="dxa"/>
            <w:shd w:val="clear" w:color="auto" w:fill="BFBFBF" w:themeFill="background1" w:themeFillShade="BF"/>
            <w:noWrap/>
            <w:vAlign w:val="center"/>
          </w:tcPr>
          <w:p w:rsidR="004741B4" w:rsidRPr="000206FB" w:rsidRDefault="004741B4" w:rsidP="00D728C9">
            <w:pPr>
              <w:jc w:val="center"/>
            </w:pPr>
            <w:proofErr w:type="gramStart"/>
            <w:r w:rsidRPr="000206FB">
              <w:t>1</w:t>
            </w:r>
            <w:proofErr w:type="gramEnd"/>
          </w:p>
        </w:tc>
        <w:tc>
          <w:tcPr>
            <w:tcW w:w="567" w:type="dxa"/>
            <w:shd w:val="clear" w:color="auto" w:fill="BFBFBF" w:themeFill="background1" w:themeFillShade="BF"/>
            <w:noWrap/>
            <w:vAlign w:val="center"/>
          </w:tcPr>
          <w:p w:rsidR="004741B4" w:rsidRPr="000206FB" w:rsidRDefault="004741B4" w:rsidP="00D728C9">
            <w:pPr>
              <w:jc w:val="center"/>
            </w:pPr>
            <w:proofErr w:type="gramStart"/>
            <w:r w:rsidRPr="000206FB">
              <w:t>1</w:t>
            </w:r>
            <w:proofErr w:type="gramEnd"/>
          </w:p>
        </w:tc>
        <w:tc>
          <w:tcPr>
            <w:tcW w:w="689" w:type="dxa"/>
            <w:shd w:val="clear" w:color="auto" w:fill="BFBFBF" w:themeFill="background1" w:themeFillShade="BF"/>
            <w:noWrap/>
            <w:vAlign w:val="center"/>
          </w:tcPr>
          <w:p w:rsidR="004741B4" w:rsidRPr="000206FB" w:rsidRDefault="004741B4" w:rsidP="00D728C9">
            <w:pPr>
              <w:jc w:val="center"/>
            </w:pPr>
            <w:proofErr w:type="gramStart"/>
            <w:r w:rsidRPr="000206FB">
              <w:t>2</w:t>
            </w:r>
            <w:proofErr w:type="gramEnd"/>
          </w:p>
        </w:tc>
      </w:tr>
      <w:tr w:rsidR="004741B4"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auto"/>
            <w:noWrap/>
            <w:vAlign w:val="center"/>
            <w:hideMark/>
          </w:tcPr>
          <w:p w:rsidR="004741B4" w:rsidRPr="000206FB" w:rsidRDefault="004741B4" w:rsidP="00D728C9">
            <w:pPr>
              <w:jc w:val="center"/>
            </w:pPr>
            <w:r w:rsidRPr="000206FB">
              <w:t>CASAL</w:t>
            </w:r>
          </w:p>
        </w:tc>
        <w:tc>
          <w:tcPr>
            <w:tcW w:w="866" w:type="dxa"/>
            <w:shd w:val="clear" w:color="auto" w:fill="auto"/>
            <w:noWrap/>
            <w:vAlign w:val="center"/>
          </w:tcPr>
          <w:p w:rsidR="004741B4" w:rsidRPr="000206FB" w:rsidRDefault="004741B4" w:rsidP="004741B4">
            <w:pPr>
              <w:jc w:val="center"/>
            </w:pPr>
            <w:r w:rsidRPr="000206FB">
              <w:t>0,6559</w:t>
            </w:r>
          </w:p>
        </w:tc>
        <w:tc>
          <w:tcPr>
            <w:tcW w:w="866" w:type="dxa"/>
            <w:shd w:val="clear" w:color="auto" w:fill="auto"/>
            <w:noWrap/>
            <w:vAlign w:val="center"/>
          </w:tcPr>
          <w:p w:rsidR="004741B4" w:rsidRPr="000206FB" w:rsidRDefault="004741B4" w:rsidP="004741B4">
            <w:pPr>
              <w:jc w:val="center"/>
            </w:pPr>
            <w:r w:rsidRPr="000206FB">
              <w:t>0,7464</w:t>
            </w:r>
          </w:p>
        </w:tc>
        <w:tc>
          <w:tcPr>
            <w:tcW w:w="891" w:type="dxa"/>
            <w:shd w:val="clear" w:color="auto" w:fill="auto"/>
            <w:noWrap/>
            <w:vAlign w:val="center"/>
          </w:tcPr>
          <w:p w:rsidR="004741B4" w:rsidRPr="000206FB" w:rsidRDefault="004741B4" w:rsidP="004741B4">
            <w:pPr>
              <w:jc w:val="center"/>
            </w:pPr>
            <w:r w:rsidRPr="000206FB">
              <w:t>1,2601</w:t>
            </w:r>
          </w:p>
        </w:tc>
        <w:tc>
          <w:tcPr>
            <w:tcW w:w="1092" w:type="dxa"/>
            <w:shd w:val="clear" w:color="auto" w:fill="auto"/>
            <w:noWrap/>
            <w:vAlign w:val="center"/>
          </w:tcPr>
          <w:p w:rsidR="004741B4" w:rsidRPr="000206FB" w:rsidRDefault="004741B4" w:rsidP="004741B4">
            <w:pPr>
              <w:jc w:val="center"/>
            </w:pPr>
            <w:r w:rsidRPr="000206FB">
              <w:t>1,1379</w:t>
            </w:r>
          </w:p>
        </w:tc>
        <w:tc>
          <w:tcPr>
            <w:tcW w:w="1038" w:type="dxa"/>
            <w:shd w:val="clear" w:color="auto" w:fill="auto"/>
            <w:noWrap/>
            <w:vAlign w:val="center"/>
          </w:tcPr>
          <w:p w:rsidR="004741B4" w:rsidRPr="000206FB" w:rsidRDefault="004741B4" w:rsidP="004741B4">
            <w:pPr>
              <w:jc w:val="center"/>
            </w:pPr>
            <w:r w:rsidRPr="000206FB">
              <w:t>1,1074</w:t>
            </w:r>
          </w:p>
        </w:tc>
        <w:tc>
          <w:tcPr>
            <w:tcW w:w="1189" w:type="dxa"/>
            <w:shd w:val="clear" w:color="auto" w:fill="auto"/>
            <w:noWrap/>
            <w:vAlign w:val="center"/>
            <w:hideMark/>
          </w:tcPr>
          <w:p w:rsidR="004741B4" w:rsidRPr="000206FB" w:rsidRDefault="004741B4" w:rsidP="00D728C9">
            <w:pPr>
              <w:jc w:val="center"/>
            </w:pPr>
            <w:r w:rsidRPr="000206FB">
              <w:t>ARSAL</w:t>
            </w:r>
          </w:p>
        </w:tc>
        <w:tc>
          <w:tcPr>
            <w:tcW w:w="567" w:type="dxa"/>
            <w:shd w:val="clear" w:color="auto" w:fill="auto"/>
            <w:noWrap/>
            <w:vAlign w:val="center"/>
            <w:hideMark/>
          </w:tcPr>
          <w:p w:rsidR="004741B4" w:rsidRPr="000206FB" w:rsidRDefault="004741B4" w:rsidP="00D728C9">
            <w:pPr>
              <w:jc w:val="center"/>
            </w:pPr>
            <w:proofErr w:type="gramStart"/>
            <w:r w:rsidRPr="000206FB">
              <w:t>0</w:t>
            </w:r>
            <w:proofErr w:type="gramEnd"/>
          </w:p>
        </w:tc>
        <w:tc>
          <w:tcPr>
            <w:tcW w:w="567" w:type="dxa"/>
            <w:shd w:val="clear" w:color="auto" w:fill="auto"/>
            <w:noWrap/>
            <w:vAlign w:val="center"/>
            <w:hideMark/>
          </w:tcPr>
          <w:p w:rsidR="004741B4" w:rsidRPr="000206FB" w:rsidRDefault="004741B4" w:rsidP="00D728C9">
            <w:pPr>
              <w:jc w:val="center"/>
            </w:pPr>
            <w:proofErr w:type="gramStart"/>
            <w:r w:rsidRPr="000206FB">
              <w:t>0</w:t>
            </w:r>
            <w:proofErr w:type="gramEnd"/>
          </w:p>
        </w:tc>
        <w:tc>
          <w:tcPr>
            <w:tcW w:w="689" w:type="dxa"/>
            <w:shd w:val="clear" w:color="auto" w:fill="auto"/>
            <w:noWrap/>
            <w:vAlign w:val="center"/>
            <w:hideMark/>
          </w:tcPr>
          <w:p w:rsidR="004741B4" w:rsidRPr="000206FB" w:rsidRDefault="004741B4" w:rsidP="00D728C9">
            <w:pPr>
              <w:jc w:val="center"/>
            </w:pPr>
            <w:proofErr w:type="gramStart"/>
            <w:r w:rsidRPr="000206FB">
              <w:t>0</w:t>
            </w:r>
            <w:proofErr w:type="gramEnd"/>
          </w:p>
        </w:tc>
      </w:tr>
      <w:tr w:rsidR="004741B4"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COMPESA</w:t>
            </w:r>
          </w:p>
        </w:tc>
        <w:tc>
          <w:tcPr>
            <w:tcW w:w="866" w:type="dxa"/>
            <w:shd w:val="clear" w:color="auto" w:fill="BFBFBF" w:themeFill="background1" w:themeFillShade="BF"/>
            <w:noWrap/>
            <w:vAlign w:val="center"/>
          </w:tcPr>
          <w:p w:rsidR="004741B4" w:rsidRPr="000206FB" w:rsidRDefault="004741B4" w:rsidP="004741B4">
            <w:pPr>
              <w:jc w:val="center"/>
            </w:pPr>
            <w:r w:rsidRPr="000206FB">
              <w:t>0,7815</w:t>
            </w:r>
          </w:p>
        </w:tc>
        <w:tc>
          <w:tcPr>
            <w:tcW w:w="866" w:type="dxa"/>
            <w:shd w:val="clear" w:color="auto" w:fill="BFBFBF" w:themeFill="background1" w:themeFillShade="BF"/>
            <w:noWrap/>
            <w:vAlign w:val="center"/>
          </w:tcPr>
          <w:p w:rsidR="004741B4" w:rsidRPr="000206FB" w:rsidRDefault="004741B4" w:rsidP="004741B4">
            <w:pPr>
              <w:jc w:val="center"/>
            </w:pPr>
            <w:r w:rsidRPr="000206FB">
              <w:t>0,6630</w:t>
            </w:r>
          </w:p>
        </w:tc>
        <w:tc>
          <w:tcPr>
            <w:tcW w:w="891" w:type="dxa"/>
            <w:shd w:val="clear" w:color="auto" w:fill="BFBFBF" w:themeFill="background1" w:themeFillShade="BF"/>
            <w:noWrap/>
            <w:vAlign w:val="center"/>
          </w:tcPr>
          <w:p w:rsidR="004741B4" w:rsidRPr="000206FB" w:rsidRDefault="004741B4" w:rsidP="004741B4">
            <w:pPr>
              <w:jc w:val="center"/>
            </w:pPr>
            <w:r w:rsidRPr="000206FB">
              <w:t>1,0610</w:t>
            </w:r>
          </w:p>
        </w:tc>
        <w:tc>
          <w:tcPr>
            <w:tcW w:w="1092" w:type="dxa"/>
            <w:shd w:val="clear" w:color="auto" w:fill="BFBFBF" w:themeFill="background1" w:themeFillShade="BF"/>
            <w:noWrap/>
            <w:vAlign w:val="center"/>
          </w:tcPr>
          <w:p w:rsidR="004741B4" w:rsidRPr="000206FB" w:rsidRDefault="004741B4" w:rsidP="004741B4">
            <w:pPr>
              <w:jc w:val="center"/>
            </w:pPr>
            <w:r w:rsidRPr="000206FB">
              <w:t>0,8484</w:t>
            </w:r>
          </w:p>
        </w:tc>
        <w:tc>
          <w:tcPr>
            <w:tcW w:w="1038" w:type="dxa"/>
            <w:shd w:val="clear" w:color="auto" w:fill="BFBFBF" w:themeFill="background1" w:themeFillShade="BF"/>
            <w:noWrap/>
            <w:vAlign w:val="center"/>
          </w:tcPr>
          <w:p w:rsidR="004741B4" w:rsidRPr="000206FB" w:rsidRDefault="004741B4" w:rsidP="004741B4">
            <w:pPr>
              <w:jc w:val="center"/>
            </w:pPr>
            <w:r w:rsidRPr="000206FB">
              <w:t>1,2506</w:t>
            </w:r>
          </w:p>
        </w:tc>
        <w:tc>
          <w:tcPr>
            <w:tcW w:w="1189"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ARPE</w:t>
            </w:r>
          </w:p>
        </w:tc>
        <w:tc>
          <w:tcPr>
            <w:tcW w:w="567" w:type="dxa"/>
            <w:shd w:val="clear" w:color="auto" w:fill="BFBFBF" w:themeFill="background1" w:themeFillShade="BF"/>
            <w:noWrap/>
            <w:vAlign w:val="center"/>
            <w:hideMark/>
          </w:tcPr>
          <w:p w:rsidR="004741B4" w:rsidRPr="000206FB" w:rsidRDefault="004741B4" w:rsidP="00D728C9">
            <w:pPr>
              <w:jc w:val="center"/>
            </w:pPr>
            <w:proofErr w:type="gramStart"/>
            <w:r w:rsidRPr="000206FB">
              <w:t>2</w:t>
            </w:r>
            <w:proofErr w:type="gramEnd"/>
          </w:p>
        </w:tc>
        <w:tc>
          <w:tcPr>
            <w:tcW w:w="567" w:type="dxa"/>
            <w:shd w:val="clear" w:color="auto" w:fill="BFBFBF" w:themeFill="background1" w:themeFillShade="BF"/>
            <w:noWrap/>
            <w:vAlign w:val="center"/>
            <w:hideMark/>
          </w:tcPr>
          <w:p w:rsidR="004741B4" w:rsidRPr="000206FB" w:rsidRDefault="004741B4" w:rsidP="00D728C9">
            <w:pPr>
              <w:jc w:val="center"/>
            </w:pPr>
            <w:proofErr w:type="gramStart"/>
            <w:r w:rsidRPr="000206FB">
              <w:t>3</w:t>
            </w:r>
            <w:proofErr w:type="gramEnd"/>
          </w:p>
        </w:tc>
        <w:tc>
          <w:tcPr>
            <w:tcW w:w="689" w:type="dxa"/>
            <w:shd w:val="clear" w:color="auto" w:fill="BFBFBF" w:themeFill="background1" w:themeFillShade="BF"/>
            <w:noWrap/>
            <w:vAlign w:val="center"/>
            <w:hideMark/>
          </w:tcPr>
          <w:p w:rsidR="004741B4" w:rsidRPr="000206FB" w:rsidRDefault="004741B4" w:rsidP="00D728C9">
            <w:pPr>
              <w:jc w:val="center"/>
            </w:pPr>
            <w:proofErr w:type="gramStart"/>
            <w:r w:rsidRPr="000206FB">
              <w:t>5</w:t>
            </w:r>
            <w:proofErr w:type="gramEnd"/>
          </w:p>
        </w:tc>
      </w:tr>
      <w:tr w:rsidR="004741B4"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auto"/>
            <w:noWrap/>
            <w:vAlign w:val="center"/>
            <w:hideMark/>
          </w:tcPr>
          <w:p w:rsidR="004741B4" w:rsidRPr="000206FB" w:rsidRDefault="004741B4" w:rsidP="00D728C9">
            <w:pPr>
              <w:jc w:val="center"/>
              <w:rPr>
                <w:color w:val="000000"/>
              </w:rPr>
            </w:pPr>
            <w:r w:rsidRPr="000206FB">
              <w:rPr>
                <w:color w:val="000000"/>
              </w:rPr>
              <w:t>CORSAN</w:t>
            </w:r>
          </w:p>
        </w:tc>
        <w:tc>
          <w:tcPr>
            <w:tcW w:w="866" w:type="dxa"/>
            <w:shd w:val="clear" w:color="auto" w:fill="auto"/>
            <w:noWrap/>
            <w:vAlign w:val="center"/>
          </w:tcPr>
          <w:p w:rsidR="004741B4" w:rsidRPr="000206FB" w:rsidRDefault="004741B4" w:rsidP="004741B4">
            <w:pPr>
              <w:jc w:val="center"/>
            </w:pPr>
            <w:r w:rsidRPr="000206FB">
              <w:t>0,7685</w:t>
            </w:r>
          </w:p>
        </w:tc>
        <w:tc>
          <w:tcPr>
            <w:tcW w:w="866" w:type="dxa"/>
            <w:shd w:val="clear" w:color="auto" w:fill="auto"/>
            <w:noWrap/>
            <w:vAlign w:val="center"/>
          </w:tcPr>
          <w:p w:rsidR="004741B4" w:rsidRPr="000206FB" w:rsidRDefault="004741B4" w:rsidP="004741B4">
            <w:pPr>
              <w:jc w:val="center"/>
            </w:pPr>
            <w:r w:rsidRPr="000206FB">
              <w:t>0,5914</w:t>
            </w:r>
          </w:p>
        </w:tc>
        <w:tc>
          <w:tcPr>
            <w:tcW w:w="891" w:type="dxa"/>
            <w:shd w:val="clear" w:color="auto" w:fill="auto"/>
            <w:noWrap/>
            <w:vAlign w:val="center"/>
          </w:tcPr>
          <w:p w:rsidR="004741B4" w:rsidRPr="000206FB" w:rsidRDefault="004741B4" w:rsidP="004741B4">
            <w:pPr>
              <w:jc w:val="center"/>
            </w:pPr>
            <w:r w:rsidRPr="000206FB">
              <w:t>0,8146</w:t>
            </w:r>
          </w:p>
        </w:tc>
        <w:tc>
          <w:tcPr>
            <w:tcW w:w="1092" w:type="dxa"/>
            <w:shd w:val="clear" w:color="auto" w:fill="auto"/>
            <w:noWrap/>
            <w:vAlign w:val="center"/>
          </w:tcPr>
          <w:p w:rsidR="004741B4" w:rsidRPr="000206FB" w:rsidRDefault="004741B4" w:rsidP="004741B4">
            <w:pPr>
              <w:jc w:val="center"/>
            </w:pPr>
            <w:r w:rsidRPr="000206FB">
              <w:t>0,7696</w:t>
            </w:r>
          </w:p>
        </w:tc>
        <w:tc>
          <w:tcPr>
            <w:tcW w:w="1038" w:type="dxa"/>
            <w:shd w:val="clear" w:color="auto" w:fill="auto"/>
            <w:noWrap/>
            <w:vAlign w:val="center"/>
          </w:tcPr>
          <w:p w:rsidR="004741B4" w:rsidRPr="000206FB" w:rsidRDefault="004741B4" w:rsidP="004741B4">
            <w:pPr>
              <w:jc w:val="center"/>
            </w:pPr>
            <w:r w:rsidRPr="000206FB">
              <w:t>1,0584</w:t>
            </w:r>
          </w:p>
        </w:tc>
        <w:tc>
          <w:tcPr>
            <w:tcW w:w="1189" w:type="dxa"/>
            <w:shd w:val="clear" w:color="auto" w:fill="auto"/>
            <w:noWrap/>
            <w:vAlign w:val="center"/>
            <w:hideMark/>
          </w:tcPr>
          <w:p w:rsidR="004741B4" w:rsidRPr="000206FB" w:rsidRDefault="004741B4" w:rsidP="00D728C9">
            <w:pPr>
              <w:jc w:val="center"/>
              <w:rPr>
                <w:color w:val="000000"/>
              </w:rPr>
            </w:pPr>
            <w:r w:rsidRPr="000206FB">
              <w:rPr>
                <w:color w:val="000000"/>
              </w:rPr>
              <w:t>AGERGS</w:t>
            </w:r>
          </w:p>
        </w:tc>
        <w:tc>
          <w:tcPr>
            <w:tcW w:w="567"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4</w:t>
            </w:r>
            <w:proofErr w:type="gramEnd"/>
          </w:p>
        </w:tc>
        <w:tc>
          <w:tcPr>
            <w:tcW w:w="567"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1</w:t>
            </w:r>
            <w:proofErr w:type="gramEnd"/>
          </w:p>
        </w:tc>
        <w:tc>
          <w:tcPr>
            <w:tcW w:w="689"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5</w:t>
            </w:r>
            <w:proofErr w:type="gramEnd"/>
          </w:p>
        </w:tc>
      </w:tr>
      <w:tr w:rsidR="004741B4" w:rsidRPr="000206FB"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272"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SANEAGO</w:t>
            </w:r>
          </w:p>
        </w:tc>
        <w:tc>
          <w:tcPr>
            <w:tcW w:w="866" w:type="dxa"/>
            <w:shd w:val="clear" w:color="auto" w:fill="BFBFBF" w:themeFill="background1" w:themeFillShade="BF"/>
            <w:noWrap/>
            <w:vAlign w:val="center"/>
          </w:tcPr>
          <w:p w:rsidR="004741B4" w:rsidRPr="000206FB" w:rsidRDefault="004741B4" w:rsidP="004741B4">
            <w:pPr>
              <w:jc w:val="center"/>
            </w:pPr>
            <w:r w:rsidRPr="000206FB">
              <w:t>0,7960</w:t>
            </w:r>
          </w:p>
        </w:tc>
        <w:tc>
          <w:tcPr>
            <w:tcW w:w="866" w:type="dxa"/>
            <w:shd w:val="clear" w:color="auto" w:fill="BFBFBF" w:themeFill="background1" w:themeFillShade="BF"/>
            <w:noWrap/>
            <w:vAlign w:val="center"/>
          </w:tcPr>
          <w:p w:rsidR="004741B4" w:rsidRPr="000206FB" w:rsidRDefault="004741B4" w:rsidP="004741B4">
            <w:pPr>
              <w:jc w:val="center"/>
            </w:pPr>
            <w:r w:rsidRPr="000206FB">
              <w:t>0,8648</w:t>
            </w:r>
          </w:p>
        </w:tc>
        <w:tc>
          <w:tcPr>
            <w:tcW w:w="891" w:type="dxa"/>
            <w:shd w:val="clear" w:color="auto" w:fill="BFBFBF" w:themeFill="background1" w:themeFillShade="BF"/>
            <w:noWrap/>
            <w:vAlign w:val="center"/>
          </w:tcPr>
          <w:p w:rsidR="004741B4" w:rsidRPr="000206FB" w:rsidRDefault="004741B4" w:rsidP="004741B4">
            <w:pPr>
              <w:jc w:val="center"/>
            </w:pPr>
            <w:r w:rsidRPr="000206FB">
              <w:t>1,1331</w:t>
            </w:r>
          </w:p>
        </w:tc>
        <w:tc>
          <w:tcPr>
            <w:tcW w:w="1092" w:type="dxa"/>
            <w:shd w:val="clear" w:color="auto" w:fill="BFBFBF" w:themeFill="background1" w:themeFillShade="BF"/>
            <w:noWrap/>
            <w:vAlign w:val="center"/>
          </w:tcPr>
          <w:p w:rsidR="004741B4" w:rsidRPr="000206FB" w:rsidRDefault="004741B4" w:rsidP="004741B4">
            <w:pPr>
              <w:jc w:val="center"/>
            </w:pPr>
            <w:r w:rsidRPr="000206FB">
              <w:t>1,0864</w:t>
            </w:r>
          </w:p>
        </w:tc>
        <w:tc>
          <w:tcPr>
            <w:tcW w:w="1038" w:type="dxa"/>
            <w:shd w:val="clear" w:color="auto" w:fill="BFBFBF" w:themeFill="background1" w:themeFillShade="BF"/>
            <w:noWrap/>
            <w:vAlign w:val="center"/>
          </w:tcPr>
          <w:p w:rsidR="004741B4" w:rsidRPr="000206FB" w:rsidRDefault="004741B4" w:rsidP="004741B4">
            <w:pPr>
              <w:jc w:val="center"/>
            </w:pPr>
            <w:r w:rsidRPr="000206FB">
              <w:t>1,0431</w:t>
            </w:r>
          </w:p>
        </w:tc>
        <w:tc>
          <w:tcPr>
            <w:tcW w:w="1189" w:type="dxa"/>
            <w:shd w:val="clear" w:color="auto" w:fill="BFBFBF" w:themeFill="background1" w:themeFillShade="BF"/>
            <w:noWrap/>
            <w:vAlign w:val="center"/>
            <w:hideMark/>
          </w:tcPr>
          <w:p w:rsidR="004741B4" w:rsidRPr="000206FB" w:rsidRDefault="004741B4" w:rsidP="00D728C9">
            <w:pPr>
              <w:jc w:val="center"/>
              <w:rPr>
                <w:color w:val="000000"/>
              </w:rPr>
            </w:pPr>
            <w:r w:rsidRPr="000206FB">
              <w:rPr>
                <w:color w:val="000000"/>
              </w:rPr>
              <w:t>AGR</w:t>
            </w:r>
          </w:p>
        </w:tc>
        <w:tc>
          <w:tcPr>
            <w:tcW w:w="567" w:type="dxa"/>
            <w:shd w:val="clear" w:color="auto" w:fill="BFBFBF" w:themeFill="background1" w:themeFillShade="BF"/>
            <w:noWrap/>
            <w:vAlign w:val="center"/>
            <w:hideMark/>
          </w:tcPr>
          <w:p w:rsidR="004741B4" w:rsidRPr="000206FB" w:rsidRDefault="004741B4" w:rsidP="00D728C9">
            <w:pPr>
              <w:jc w:val="center"/>
              <w:rPr>
                <w:color w:val="000000"/>
              </w:rPr>
            </w:pPr>
            <w:proofErr w:type="gramStart"/>
            <w:r w:rsidRPr="000206FB">
              <w:rPr>
                <w:color w:val="000000"/>
              </w:rPr>
              <w:t>2</w:t>
            </w:r>
            <w:proofErr w:type="gramEnd"/>
          </w:p>
        </w:tc>
        <w:tc>
          <w:tcPr>
            <w:tcW w:w="567" w:type="dxa"/>
            <w:shd w:val="clear" w:color="auto" w:fill="BFBFBF" w:themeFill="background1" w:themeFillShade="BF"/>
            <w:noWrap/>
            <w:vAlign w:val="center"/>
            <w:hideMark/>
          </w:tcPr>
          <w:p w:rsidR="004741B4" w:rsidRPr="000206FB" w:rsidRDefault="004741B4" w:rsidP="00D728C9">
            <w:pPr>
              <w:jc w:val="center"/>
              <w:rPr>
                <w:color w:val="000000"/>
              </w:rPr>
            </w:pPr>
            <w:proofErr w:type="gramStart"/>
            <w:r w:rsidRPr="000206FB">
              <w:rPr>
                <w:color w:val="000000"/>
              </w:rPr>
              <w:t>4</w:t>
            </w:r>
            <w:proofErr w:type="gramEnd"/>
          </w:p>
        </w:tc>
        <w:tc>
          <w:tcPr>
            <w:tcW w:w="689" w:type="dxa"/>
            <w:shd w:val="clear" w:color="auto" w:fill="BFBFBF" w:themeFill="background1" w:themeFillShade="BF"/>
            <w:noWrap/>
            <w:vAlign w:val="center"/>
            <w:hideMark/>
          </w:tcPr>
          <w:p w:rsidR="004741B4" w:rsidRPr="000206FB" w:rsidRDefault="004741B4" w:rsidP="00D728C9">
            <w:pPr>
              <w:jc w:val="center"/>
              <w:rPr>
                <w:color w:val="000000"/>
              </w:rPr>
            </w:pPr>
            <w:proofErr w:type="gramStart"/>
            <w:r w:rsidRPr="000206FB">
              <w:rPr>
                <w:color w:val="000000"/>
              </w:rPr>
              <w:t>6</w:t>
            </w:r>
            <w:proofErr w:type="gramEnd"/>
          </w:p>
        </w:tc>
      </w:tr>
      <w:tr w:rsidR="004741B4" w:rsidRPr="000206FB"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272" w:type="dxa"/>
            <w:shd w:val="clear" w:color="auto" w:fill="auto"/>
            <w:noWrap/>
            <w:vAlign w:val="center"/>
            <w:hideMark/>
          </w:tcPr>
          <w:p w:rsidR="004741B4" w:rsidRPr="000206FB" w:rsidRDefault="004741B4" w:rsidP="00D728C9">
            <w:pPr>
              <w:jc w:val="center"/>
              <w:rPr>
                <w:color w:val="000000"/>
              </w:rPr>
            </w:pPr>
            <w:r w:rsidRPr="000206FB">
              <w:rPr>
                <w:color w:val="000000"/>
              </w:rPr>
              <w:t>SANESUL</w:t>
            </w:r>
          </w:p>
        </w:tc>
        <w:tc>
          <w:tcPr>
            <w:tcW w:w="866" w:type="dxa"/>
            <w:shd w:val="clear" w:color="auto" w:fill="auto"/>
            <w:noWrap/>
            <w:vAlign w:val="center"/>
          </w:tcPr>
          <w:p w:rsidR="004741B4" w:rsidRPr="000206FB" w:rsidRDefault="004741B4" w:rsidP="004741B4">
            <w:pPr>
              <w:jc w:val="center"/>
            </w:pPr>
            <w:r w:rsidRPr="000206FB">
              <w:t>0,8766</w:t>
            </w:r>
          </w:p>
        </w:tc>
        <w:tc>
          <w:tcPr>
            <w:tcW w:w="866" w:type="dxa"/>
            <w:shd w:val="clear" w:color="auto" w:fill="auto"/>
            <w:noWrap/>
            <w:vAlign w:val="center"/>
          </w:tcPr>
          <w:p w:rsidR="004741B4" w:rsidRPr="000206FB" w:rsidRDefault="004741B4" w:rsidP="004741B4">
            <w:pPr>
              <w:jc w:val="center"/>
            </w:pPr>
            <w:r w:rsidRPr="000206FB">
              <w:t>0,7302</w:t>
            </w:r>
          </w:p>
        </w:tc>
        <w:tc>
          <w:tcPr>
            <w:tcW w:w="891" w:type="dxa"/>
            <w:shd w:val="clear" w:color="auto" w:fill="auto"/>
            <w:noWrap/>
            <w:vAlign w:val="center"/>
          </w:tcPr>
          <w:p w:rsidR="004741B4" w:rsidRPr="000206FB" w:rsidRDefault="004741B4" w:rsidP="004741B4">
            <w:pPr>
              <w:jc w:val="center"/>
            </w:pPr>
            <w:r w:rsidRPr="000206FB">
              <w:t>0,9050</w:t>
            </w:r>
          </w:p>
        </w:tc>
        <w:tc>
          <w:tcPr>
            <w:tcW w:w="1092" w:type="dxa"/>
            <w:shd w:val="clear" w:color="auto" w:fill="auto"/>
            <w:noWrap/>
            <w:vAlign w:val="center"/>
          </w:tcPr>
          <w:p w:rsidR="004741B4" w:rsidRPr="000206FB" w:rsidRDefault="004741B4" w:rsidP="004741B4">
            <w:pPr>
              <w:jc w:val="center"/>
            </w:pPr>
            <w:r w:rsidRPr="000206FB">
              <w:t>0,8330</w:t>
            </w:r>
          </w:p>
        </w:tc>
        <w:tc>
          <w:tcPr>
            <w:tcW w:w="1038" w:type="dxa"/>
            <w:shd w:val="clear" w:color="auto" w:fill="auto"/>
            <w:noWrap/>
            <w:vAlign w:val="center"/>
          </w:tcPr>
          <w:p w:rsidR="004741B4" w:rsidRPr="000206FB" w:rsidRDefault="004741B4" w:rsidP="004741B4">
            <w:pPr>
              <w:jc w:val="center"/>
            </w:pPr>
            <w:r w:rsidRPr="000206FB">
              <w:t>1,0865</w:t>
            </w:r>
          </w:p>
        </w:tc>
        <w:tc>
          <w:tcPr>
            <w:tcW w:w="1189" w:type="dxa"/>
            <w:shd w:val="clear" w:color="auto" w:fill="auto"/>
            <w:noWrap/>
            <w:vAlign w:val="center"/>
            <w:hideMark/>
          </w:tcPr>
          <w:p w:rsidR="004741B4" w:rsidRPr="000206FB" w:rsidRDefault="004741B4" w:rsidP="00D728C9">
            <w:pPr>
              <w:jc w:val="center"/>
              <w:rPr>
                <w:color w:val="000000"/>
              </w:rPr>
            </w:pPr>
            <w:r w:rsidRPr="000206FB">
              <w:rPr>
                <w:color w:val="000000"/>
              </w:rPr>
              <w:t>AGEPAN</w:t>
            </w:r>
          </w:p>
        </w:tc>
        <w:tc>
          <w:tcPr>
            <w:tcW w:w="567"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0</w:t>
            </w:r>
            <w:proofErr w:type="gramEnd"/>
          </w:p>
        </w:tc>
        <w:tc>
          <w:tcPr>
            <w:tcW w:w="567"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1</w:t>
            </w:r>
            <w:proofErr w:type="gramEnd"/>
          </w:p>
        </w:tc>
        <w:tc>
          <w:tcPr>
            <w:tcW w:w="689" w:type="dxa"/>
            <w:shd w:val="clear" w:color="auto" w:fill="auto"/>
            <w:noWrap/>
            <w:vAlign w:val="center"/>
            <w:hideMark/>
          </w:tcPr>
          <w:p w:rsidR="004741B4" w:rsidRPr="000206FB" w:rsidRDefault="004741B4" w:rsidP="00D728C9">
            <w:pPr>
              <w:jc w:val="center"/>
              <w:rPr>
                <w:color w:val="000000"/>
              </w:rPr>
            </w:pPr>
            <w:proofErr w:type="gramStart"/>
            <w:r w:rsidRPr="000206FB">
              <w:rPr>
                <w:color w:val="000000"/>
              </w:rPr>
              <w:t>1</w:t>
            </w:r>
            <w:proofErr w:type="gramEnd"/>
          </w:p>
        </w:tc>
      </w:tr>
    </w:tbl>
    <w:p w:rsidR="0084279B" w:rsidRDefault="0084279B" w:rsidP="00DD6D15">
      <w:pPr>
        <w:spacing w:after="0" w:line="240" w:lineRule="auto"/>
        <w:ind w:left="708"/>
        <w:jc w:val="both"/>
        <w:outlineLvl w:val="0"/>
        <w:rPr>
          <w:rFonts w:ascii="Times New Roman" w:hAnsi="Times New Roman" w:cs="Times New Roman"/>
          <w:sz w:val="20"/>
        </w:rPr>
      </w:pPr>
      <w:r w:rsidRPr="0084279B">
        <w:rPr>
          <w:rFonts w:ascii="Times New Roman" w:hAnsi="Times New Roman" w:cs="Times New Roman"/>
          <w:b/>
          <w:sz w:val="20"/>
        </w:rPr>
        <w:t>Fonte</w:t>
      </w:r>
      <w:r w:rsidRPr="0084279B">
        <w:rPr>
          <w:rFonts w:ascii="Times New Roman" w:hAnsi="Times New Roman" w:cs="Times New Roman"/>
          <w:sz w:val="20"/>
        </w:rPr>
        <w:t>: Elaboração d</w:t>
      </w:r>
      <w:r>
        <w:rPr>
          <w:rFonts w:ascii="Times New Roman" w:hAnsi="Times New Roman" w:cs="Times New Roman"/>
          <w:sz w:val="20"/>
        </w:rPr>
        <w:t>os autores</w:t>
      </w:r>
      <w:r w:rsidRPr="0084279B">
        <w:rPr>
          <w:rFonts w:ascii="Times New Roman" w:hAnsi="Times New Roman" w:cs="Times New Roman"/>
          <w:sz w:val="20"/>
        </w:rPr>
        <w:t>.</w:t>
      </w:r>
    </w:p>
    <w:p w:rsidR="002B1616" w:rsidRPr="002B1616" w:rsidRDefault="00D22147" w:rsidP="002B16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4279B">
        <w:rPr>
          <w:rFonts w:ascii="Times New Roman" w:hAnsi="Times New Roman" w:cs="Times New Roman"/>
          <w:sz w:val="24"/>
          <w:szCs w:val="24"/>
        </w:rPr>
        <w:t xml:space="preserve">A partir dos dados sistematizados </w:t>
      </w:r>
      <w:r>
        <w:rPr>
          <w:rFonts w:ascii="Times New Roman" w:hAnsi="Times New Roman" w:cs="Times New Roman"/>
          <w:sz w:val="24"/>
          <w:szCs w:val="24"/>
        </w:rPr>
        <w:t xml:space="preserve">no Quadro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Pr="0084279B">
        <w:rPr>
          <w:rFonts w:ascii="Times New Roman" w:hAnsi="Times New Roman" w:cs="Times New Roman"/>
          <w:sz w:val="24"/>
          <w:szCs w:val="24"/>
        </w:rPr>
        <w:t xml:space="preserve">verificou-se que 4 entidades reguladoras (ARSAM, AGEREG, ARSETE e ARSAL), até 2011, não haviam editado normas regulatórias para indução da eficiência. </w:t>
      </w:r>
      <w:r>
        <w:rPr>
          <w:rFonts w:ascii="Times New Roman" w:hAnsi="Times New Roman" w:cs="Times New Roman"/>
          <w:sz w:val="24"/>
          <w:szCs w:val="24"/>
        </w:rPr>
        <w:t>Os</w:t>
      </w:r>
      <w:r w:rsidRPr="0084279B">
        <w:rPr>
          <w:rFonts w:ascii="Times New Roman" w:hAnsi="Times New Roman" w:cs="Times New Roman"/>
          <w:sz w:val="24"/>
          <w:szCs w:val="24"/>
        </w:rPr>
        <w:t xml:space="preserve"> </w:t>
      </w:r>
      <w:proofErr w:type="gramStart"/>
      <w:r w:rsidRPr="0084279B">
        <w:rPr>
          <w:rFonts w:ascii="Times New Roman" w:hAnsi="Times New Roman" w:cs="Times New Roman"/>
          <w:sz w:val="24"/>
          <w:szCs w:val="24"/>
        </w:rPr>
        <w:t>4</w:t>
      </w:r>
      <w:proofErr w:type="gramEnd"/>
      <w:r w:rsidRPr="0084279B">
        <w:rPr>
          <w:rFonts w:ascii="Times New Roman" w:hAnsi="Times New Roman" w:cs="Times New Roman"/>
          <w:sz w:val="24"/>
          <w:szCs w:val="24"/>
        </w:rPr>
        <w:t xml:space="preserve"> prestadores regulados (ADA-MA, AG, AGESPISA e CASAL) por </w:t>
      </w:r>
      <w:r>
        <w:rPr>
          <w:rFonts w:ascii="Times New Roman" w:hAnsi="Times New Roman" w:cs="Times New Roman"/>
          <w:sz w:val="24"/>
          <w:szCs w:val="24"/>
        </w:rPr>
        <w:t>essas entidades não alcançaram</w:t>
      </w:r>
      <w:r w:rsidRPr="0084279B">
        <w:rPr>
          <w:rFonts w:ascii="Times New Roman" w:hAnsi="Times New Roman" w:cs="Times New Roman"/>
          <w:sz w:val="24"/>
          <w:szCs w:val="24"/>
        </w:rPr>
        <w:t xml:space="preserve"> a fronteira de eficiência</w:t>
      </w:r>
      <w:r>
        <w:rPr>
          <w:rFonts w:ascii="Times New Roman" w:hAnsi="Times New Roman" w:cs="Times New Roman"/>
          <w:sz w:val="24"/>
          <w:szCs w:val="24"/>
        </w:rPr>
        <w:t xml:space="preserve"> no período analisado</w:t>
      </w:r>
      <w:r w:rsidRPr="0084279B">
        <w:rPr>
          <w:rFonts w:ascii="Times New Roman" w:hAnsi="Times New Roman" w:cs="Times New Roman"/>
          <w:sz w:val="24"/>
          <w:szCs w:val="24"/>
        </w:rPr>
        <w:t>.</w:t>
      </w:r>
      <w:r>
        <w:rPr>
          <w:rFonts w:ascii="Times New Roman" w:hAnsi="Times New Roman" w:cs="Times New Roman"/>
          <w:sz w:val="24"/>
          <w:szCs w:val="24"/>
        </w:rPr>
        <w:t xml:space="preserve"> </w:t>
      </w:r>
      <w:r w:rsidR="002B1616" w:rsidRPr="002B1616">
        <w:rPr>
          <w:rFonts w:ascii="Times New Roman" w:hAnsi="Times New Roman" w:cs="Times New Roman"/>
          <w:sz w:val="24"/>
          <w:szCs w:val="24"/>
        </w:rPr>
        <w:t xml:space="preserve">Desse </w:t>
      </w:r>
      <w:r>
        <w:rPr>
          <w:rFonts w:ascii="Times New Roman" w:hAnsi="Times New Roman" w:cs="Times New Roman"/>
          <w:sz w:val="24"/>
          <w:szCs w:val="24"/>
        </w:rPr>
        <w:t xml:space="preserve">primeiro </w:t>
      </w:r>
      <w:r w:rsidR="002B1616" w:rsidRPr="002B1616">
        <w:rPr>
          <w:rFonts w:ascii="Times New Roman" w:hAnsi="Times New Roman" w:cs="Times New Roman"/>
          <w:sz w:val="24"/>
          <w:szCs w:val="24"/>
        </w:rPr>
        <w:t xml:space="preserve">grupo de prestadores, CAGECE e CAESB foram os que apresentaram maior número de normas editadas por suas entidades reguladoras. A CAGECE esteve na fronteira de eficiência em 2006 e 2011, portanto, manteve seu nível de eficiência no decorrer do tempo com um índice </w:t>
      </w:r>
      <w:r w:rsidR="006F6706" w:rsidRPr="006F6706">
        <w:rPr>
          <w:rFonts w:ascii="Times New Roman" w:hAnsi="Times New Roman" w:cs="Times New Roman"/>
          <w:i/>
          <w:sz w:val="24"/>
          <w:szCs w:val="24"/>
        </w:rPr>
        <w:t>catch-</w:t>
      </w:r>
      <w:proofErr w:type="spellStart"/>
      <w:r w:rsidR="006F6706" w:rsidRPr="006F6706">
        <w:rPr>
          <w:rFonts w:ascii="Times New Roman" w:hAnsi="Times New Roman" w:cs="Times New Roman"/>
          <w:i/>
          <w:sz w:val="24"/>
          <w:szCs w:val="24"/>
        </w:rPr>
        <w:t>up</w:t>
      </w:r>
      <w:proofErr w:type="spellEnd"/>
      <w:r w:rsidR="002B1616" w:rsidRPr="002B1616">
        <w:rPr>
          <w:rFonts w:ascii="Times New Roman" w:hAnsi="Times New Roman" w:cs="Times New Roman"/>
          <w:sz w:val="24"/>
          <w:szCs w:val="24"/>
        </w:rPr>
        <w:t xml:space="preserve"> igual a </w:t>
      </w:r>
      <w:proofErr w:type="gramStart"/>
      <w:r w:rsidR="002B1616" w:rsidRPr="002B1616">
        <w:rPr>
          <w:rFonts w:ascii="Times New Roman" w:hAnsi="Times New Roman" w:cs="Times New Roman"/>
          <w:sz w:val="24"/>
          <w:szCs w:val="24"/>
        </w:rPr>
        <w:t>1</w:t>
      </w:r>
      <w:proofErr w:type="gramEnd"/>
      <w:r w:rsidR="002B1616" w:rsidRPr="002B1616">
        <w:rPr>
          <w:rFonts w:ascii="Times New Roman" w:hAnsi="Times New Roman" w:cs="Times New Roman"/>
          <w:sz w:val="24"/>
          <w:szCs w:val="24"/>
        </w:rPr>
        <w:t>. Já a CAESB</w:t>
      </w:r>
      <w:r w:rsidR="009C3F72">
        <w:rPr>
          <w:rFonts w:ascii="Times New Roman" w:hAnsi="Times New Roman" w:cs="Times New Roman"/>
          <w:sz w:val="24"/>
          <w:szCs w:val="24"/>
        </w:rPr>
        <w:t>, apesar de não ter apresentado um bom desempenho na análise estática de eficiência,</w:t>
      </w:r>
      <w:r w:rsidR="002B1616" w:rsidRPr="002B1616">
        <w:rPr>
          <w:rFonts w:ascii="Times New Roman" w:hAnsi="Times New Roman" w:cs="Times New Roman"/>
          <w:sz w:val="24"/>
          <w:szCs w:val="24"/>
        </w:rPr>
        <w:t xml:space="preserve"> </w:t>
      </w:r>
      <w:proofErr w:type="gramStart"/>
      <w:r w:rsidR="002B1616" w:rsidRPr="002B1616">
        <w:rPr>
          <w:rFonts w:ascii="Times New Roman" w:hAnsi="Times New Roman" w:cs="Times New Roman"/>
          <w:sz w:val="24"/>
          <w:szCs w:val="24"/>
        </w:rPr>
        <w:t>teve ganhos</w:t>
      </w:r>
      <w:proofErr w:type="gramEnd"/>
      <w:r w:rsidR="002B1616" w:rsidRPr="002B1616">
        <w:rPr>
          <w:rFonts w:ascii="Times New Roman" w:hAnsi="Times New Roman" w:cs="Times New Roman"/>
          <w:sz w:val="24"/>
          <w:szCs w:val="24"/>
        </w:rPr>
        <w:t xml:space="preserve"> de produtividade durante o período, tanto do ponto de vista do efeito </w:t>
      </w:r>
      <w:r w:rsidR="00982E70" w:rsidRPr="00982E70">
        <w:rPr>
          <w:rFonts w:ascii="Times New Roman" w:hAnsi="Times New Roman" w:cs="Times New Roman"/>
          <w:i/>
          <w:sz w:val="24"/>
          <w:szCs w:val="24"/>
        </w:rPr>
        <w:t>catch-</w:t>
      </w:r>
      <w:proofErr w:type="spellStart"/>
      <w:r w:rsidR="00982E70" w:rsidRPr="00982E70">
        <w:rPr>
          <w:rFonts w:ascii="Times New Roman" w:hAnsi="Times New Roman" w:cs="Times New Roman"/>
          <w:i/>
          <w:sz w:val="24"/>
          <w:szCs w:val="24"/>
        </w:rPr>
        <w:t>up</w:t>
      </w:r>
      <w:proofErr w:type="spellEnd"/>
      <w:r w:rsidR="002B1616" w:rsidRPr="002B1616">
        <w:rPr>
          <w:rFonts w:ascii="Times New Roman" w:hAnsi="Times New Roman" w:cs="Times New Roman"/>
          <w:sz w:val="24"/>
          <w:szCs w:val="24"/>
        </w:rPr>
        <w:t xml:space="preserve"> (1,0</w:t>
      </w:r>
      <w:r w:rsidR="009C3F72">
        <w:rPr>
          <w:rFonts w:ascii="Times New Roman" w:hAnsi="Times New Roman" w:cs="Times New Roman"/>
          <w:sz w:val="24"/>
          <w:szCs w:val="24"/>
        </w:rPr>
        <w:t>716</w:t>
      </w:r>
      <w:r w:rsidR="002B1616" w:rsidRPr="002B1616">
        <w:rPr>
          <w:rFonts w:ascii="Times New Roman" w:hAnsi="Times New Roman" w:cs="Times New Roman"/>
          <w:sz w:val="24"/>
          <w:szCs w:val="24"/>
        </w:rPr>
        <w:t xml:space="preserve">), como do </w:t>
      </w:r>
      <w:proofErr w:type="spellStart"/>
      <w:r w:rsidR="00982E70" w:rsidRPr="00982E70">
        <w:rPr>
          <w:rFonts w:ascii="Times New Roman" w:hAnsi="Times New Roman" w:cs="Times New Roman"/>
          <w:i/>
          <w:sz w:val="24"/>
          <w:szCs w:val="24"/>
        </w:rPr>
        <w:t>frontier</w:t>
      </w:r>
      <w:proofErr w:type="spellEnd"/>
      <w:r w:rsidR="00982E70" w:rsidRPr="00982E70">
        <w:rPr>
          <w:rFonts w:ascii="Times New Roman" w:hAnsi="Times New Roman" w:cs="Times New Roman"/>
          <w:i/>
          <w:sz w:val="24"/>
          <w:szCs w:val="24"/>
        </w:rPr>
        <w:t>-shift</w:t>
      </w:r>
      <w:r w:rsidR="002B1616" w:rsidRPr="002B1616">
        <w:rPr>
          <w:rFonts w:ascii="Times New Roman" w:hAnsi="Times New Roman" w:cs="Times New Roman"/>
          <w:sz w:val="24"/>
          <w:szCs w:val="24"/>
        </w:rPr>
        <w:t xml:space="preserve"> (1,0</w:t>
      </w:r>
      <w:r w:rsidR="009C3F72">
        <w:rPr>
          <w:rFonts w:ascii="Times New Roman" w:hAnsi="Times New Roman" w:cs="Times New Roman"/>
          <w:sz w:val="24"/>
          <w:szCs w:val="24"/>
        </w:rPr>
        <w:t>968)</w:t>
      </w:r>
      <w:r w:rsidR="002B1616" w:rsidRPr="002B1616">
        <w:rPr>
          <w:rFonts w:ascii="Times New Roman" w:hAnsi="Times New Roman" w:cs="Times New Roman"/>
          <w:sz w:val="24"/>
          <w:szCs w:val="24"/>
        </w:rPr>
        <w:t>.</w:t>
      </w:r>
    </w:p>
    <w:p w:rsidR="002B1616" w:rsidRPr="009C3F72" w:rsidRDefault="00980238" w:rsidP="009F1352">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002B1616" w:rsidRPr="002B1616">
        <w:rPr>
          <w:rFonts w:ascii="Times New Roman" w:hAnsi="Times New Roman" w:cs="Times New Roman"/>
          <w:sz w:val="24"/>
          <w:szCs w:val="24"/>
        </w:rPr>
        <w:t xml:space="preserve">No caso da CAGECE, regulada pela ARCE (estadual) e pela ACFOR (municipal), as entidades editaram 22 normas, sendo </w:t>
      </w:r>
      <w:proofErr w:type="gramStart"/>
      <w:r w:rsidR="002B1616" w:rsidRPr="002B1616">
        <w:rPr>
          <w:rFonts w:ascii="Times New Roman" w:hAnsi="Times New Roman" w:cs="Times New Roman"/>
          <w:sz w:val="24"/>
          <w:szCs w:val="24"/>
        </w:rPr>
        <w:t>1</w:t>
      </w:r>
      <w:proofErr w:type="gramEnd"/>
      <w:r w:rsidR="002B1616" w:rsidRPr="002B1616">
        <w:rPr>
          <w:rFonts w:ascii="Times New Roman" w:hAnsi="Times New Roman" w:cs="Times New Roman"/>
          <w:sz w:val="24"/>
          <w:szCs w:val="24"/>
        </w:rPr>
        <w:t xml:space="preserve"> relacionada com EA e 21 com EP. A norma que diz respeito à EA foi editada pela ARCE e se refere à revisão da tarifa média praticada pela CAGECE em 2010, mas não detalha mecanismos de indução à eficiência que permitam ganhos de produtividade. As normas relacionadas à EP tratam de temas </w:t>
      </w:r>
      <w:r w:rsidR="00E82A9E">
        <w:rPr>
          <w:rFonts w:ascii="Times New Roman" w:hAnsi="Times New Roman" w:cs="Times New Roman"/>
          <w:sz w:val="24"/>
          <w:szCs w:val="24"/>
        </w:rPr>
        <w:t>diversos (</w:t>
      </w:r>
      <w:r w:rsidR="002B1616" w:rsidRPr="002B1616">
        <w:rPr>
          <w:rFonts w:ascii="Times New Roman" w:hAnsi="Times New Roman" w:cs="Times New Roman"/>
          <w:sz w:val="24"/>
          <w:szCs w:val="24"/>
        </w:rPr>
        <w:t>qualidade da água e de esgotos, condições gerais na prest</w:t>
      </w:r>
      <w:r w:rsidR="000206FB">
        <w:rPr>
          <w:rFonts w:ascii="Times New Roman" w:hAnsi="Times New Roman" w:cs="Times New Roman"/>
          <w:sz w:val="24"/>
          <w:szCs w:val="24"/>
        </w:rPr>
        <w:t>ação e utilização de SAA e SES</w:t>
      </w:r>
      <w:r w:rsidR="002B1616" w:rsidRPr="002B1616">
        <w:rPr>
          <w:rFonts w:ascii="Times New Roman" w:hAnsi="Times New Roman" w:cs="Times New Roman"/>
          <w:sz w:val="24"/>
          <w:szCs w:val="24"/>
        </w:rPr>
        <w:t xml:space="preserve">, acesso </w:t>
      </w:r>
      <w:r w:rsidR="00E82A9E">
        <w:rPr>
          <w:rFonts w:ascii="Times New Roman" w:hAnsi="Times New Roman" w:cs="Times New Roman"/>
          <w:sz w:val="24"/>
          <w:szCs w:val="24"/>
        </w:rPr>
        <w:t>a</w:t>
      </w:r>
      <w:r w:rsidR="002B1616" w:rsidRPr="002B1616">
        <w:rPr>
          <w:rFonts w:ascii="Times New Roman" w:hAnsi="Times New Roman" w:cs="Times New Roman"/>
          <w:sz w:val="24"/>
          <w:szCs w:val="24"/>
        </w:rPr>
        <w:t xml:space="preserve"> sistemas gerenciais e previ</w:t>
      </w:r>
      <w:r w:rsidR="009F1352">
        <w:rPr>
          <w:rFonts w:ascii="Times New Roman" w:hAnsi="Times New Roman" w:cs="Times New Roman"/>
          <w:sz w:val="24"/>
          <w:szCs w:val="24"/>
        </w:rPr>
        <w:t>são de sanções administrativas</w:t>
      </w:r>
      <w:r w:rsidR="00E82A9E">
        <w:rPr>
          <w:rFonts w:ascii="Times New Roman" w:hAnsi="Times New Roman" w:cs="Times New Roman"/>
          <w:sz w:val="24"/>
          <w:szCs w:val="24"/>
        </w:rPr>
        <w:t>)</w:t>
      </w:r>
      <w:r w:rsidR="009F1352">
        <w:rPr>
          <w:rFonts w:ascii="Times New Roman" w:hAnsi="Times New Roman" w:cs="Times New Roman"/>
          <w:sz w:val="24"/>
          <w:szCs w:val="24"/>
        </w:rPr>
        <w:t>.</w:t>
      </w:r>
    </w:p>
    <w:p w:rsidR="002B1616" w:rsidRPr="002B1616" w:rsidRDefault="002B1616" w:rsidP="002B1616">
      <w:pPr>
        <w:spacing w:after="0" w:line="240" w:lineRule="auto"/>
        <w:jc w:val="both"/>
        <w:rPr>
          <w:rFonts w:ascii="Times New Roman" w:hAnsi="Times New Roman" w:cs="Times New Roman"/>
          <w:sz w:val="24"/>
          <w:szCs w:val="24"/>
        </w:rPr>
      </w:pPr>
      <w:r w:rsidRPr="002B1616">
        <w:rPr>
          <w:rFonts w:ascii="Times New Roman" w:hAnsi="Times New Roman" w:cs="Times New Roman"/>
          <w:sz w:val="24"/>
          <w:szCs w:val="24"/>
        </w:rPr>
        <w:tab/>
        <w:t>Com uma estratégia diferente da apresentada pela ARCE, a ADASA editou maior número de normas relacionadas à EA, 14 no total. Tais normas trataram de reajustes tarifários anuais, mas também do processo referente à primeira revisão tarifária da CAESB com resultados parciais apresentados em 2010. Sobre a metodologia adotada pela ADASA para revisão tarifária, a própria norma afirma que está definida com base no princípio da regulação por incentivo e regime tarifário por preço-teto (</w:t>
      </w:r>
      <w:proofErr w:type="spellStart"/>
      <w:r w:rsidRPr="009C3F72">
        <w:rPr>
          <w:rFonts w:ascii="Times New Roman" w:hAnsi="Times New Roman" w:cs="Times New Roman"/>
          <w:i/>
          <w:sz w:val="24"/>
          <w:szCs w:val="24"/>
        </w:rPr>
        <w:t>price-cap</w:t>
      </w:r>
      <w:proofErr w:type="spellEnd"/>
      <w:r w:rsidRPr="002B1616">
        <w:rPr>
          <w:rFonts w:ascii="Times New Roman" w:hAnsi="Times New Roman" w:cs="Times New Roman"/>
          <w:sz w:val="24"/>
          <w:szCs w:val="24"/>
        </w:rPr>
        <w:t>). Alinhada com o que prevê o marco regulatório, a ADASA aplica mecanismos (como os reajustes anuais e resultados parciais da revisão) para preservar o equilíbrio econômico-financeiro da CAESB e ao mesmo tempo garantir um processo de revisão tarifária</w:t>
      </w:r>
      <w:r w:rsidR="00E82A9E">
        <w:rPr>
          <w:rFonts w:ascii="Times New Roman" w:hAnsi="Times New Roman" w:cs="Times New Roman"/>
          <w:sz w:val="24"/>
          <w:szCs w:val="24"/>
        </w:rPr>
        <w:t xml:space="preserve"> com</w:t>
      </w:r>
      <w:r w:rsidRPr="002B1616">
        <w:rPr>
          <w:rFonts w:ascii="Times New Roman" w:hAnsi="Times New Roman" w:cs="Times New Roman"/>
          <w:sz w:val="24"/>
          <w:szCs w:val="24"/>
        </w:rPr>
        <w:t xml:space="preserve"> mecanismos que induzem a eficiência e os ganhos de produtividade</w:t>
      </w:r>
      <w:r w:rsidR="00E82A9E">
        <w:rPr>
          <w:rFonts w:ascii="Times New Roman" w:hAnsi="Times New Roman" w:cs="Times New Roman"/>
          <w:sz w:val="24"/>
          <w:szCs w:val="24"/>
        </w:rPr>
        <w:t xml:space="preserve"> (</w:t>
      </w:r>
      <w:r w:rsidRPr="002B1616">
        <w:rPr>
          <w:rFonts w:ascii="Times New Roman" w:hAnsi="Times New Roman" w:cs="Times New Roman"/>
          <w:sz w:val="24"/>
          <w:szCs w:val="24"/>
        </w:rPr>
        <w:t xml:space="preserve">definição dos custos operacionais eficientes </w:t>
      </w:r>
      <w:r w:rsidR="00E82A9E">
        <w:rPr>
          <w:rFonts w:ascii="Times New Roman" w:hAnsi="Times New Roman" w:cs="Times New Roman"/>
          <w:sz w:val="24"/>
          <w:szCs w:val="24"/>
        </w:rPr>
        <w:t>por meio</w:t>
      </w:r>
      <w:r w:rsidRPr="002B1616">
        <w:rPr>
          <w:rFonts w:ascii="Times New Roman" w:hAnsi="Times New Roman" w:cs="Times New Roman"/>
          <w:sz w:val="24"/>
          <w:szCs w:val="24"/>
        </w:rPr>
        <w:t xml:space="preserve"> de empresa de referência</w:t>
      </w:r>
      <w:r w:rsidR="00E82A9E">
        <w:rPr>
          <w:rFonts w:ascii="Times New Roman" w:hAnsi="Times New Roman" w:cs="Times New Roman"/>
          <w:sz w:val="24"/>
          <w:szCs w:val="24"/>
        </w:rPr>
        <w:t>)</w:t>
      </w:r>
      <w:r w:rsidRPr="002B1616">
        <w:rPr>
          <w:rFonts w:ascii="Times New Roman" w:hAnsi="Times New Roman" w:cs="Times New Roman"/>
          <w:sz w:val="24"/>
          <w:szCs w:val="24"/>
        </w:rPr>
        <w:t>.</w:t>
      </w:r>
    </w:p>
    <w:p w:rsidR="002B1616" w:rsidRPr="002B1616" w:rsidRDefault="002B1616" w:rsidP="002B1616">
      <w:pPr>
        <w:spacing w:after="0" w:line="240" w:lineRule="auto"/>
        <w:jc w:val="both"/>
        <w:rPr>
          <w:rFonts w:ascii="Times New Roman" w:hAnsi="Times New Roman" w:cs="Times New Roman"/>
          <w:sz w:val="24"/>
          <w:szCs w:val="24"/>
        </w:rPr>
      </w:pPr>
      <w:r w:rsidRPr="002B1616">
        <w:rPr>
          <w:rFonts w:ascii="Times New Roman" w:hAnsi="Times New Roman" w:cs="Times New Roman"/>
          <w:sz w:val="24"/>
          <w:szCs w:val="24"/>
        </w:rPr>
        <w:tab/>
        <w:t xml:space="preserve">Quanto às </w:t>
      </w:r>
      <w:proofErr w:type="gramStart"/>
      <w:r w:rsidRPr="002B1616">
        <w:rPr>
          <w:rFonts w:ascii="Times New Roman" w:hAnsi="Times New Roman" w:cs="Times New Roman"/>
          <w:sz w:val="24"/>
          <w:szCs w:val="24"/>
        </w:rPr>
        <w:t>2</w:t>
      </w:r>
      <w:proofErr w:type="gramEnd"/>
      <w:r w:rsidRPr="002B1616">
        <w:rPr>
          <w:rFonts w:ascii="Times New Roman" w:hAnsi="Times New Roman" w:cs="Times New Roman"/>
          <w:sz w:val="24"/>
          <w:szCs w:val="24"/>
        </w:rPr>
        <w:t xml:space="preserve"> normas relacionadas à EP, uma diz respeito a condições da prestação e utilização dos SAA e SES, similar a que foi prevista pela ARCE</w:t>
      </w:r>
      <w:r w:rsidR="00E82A9E">
        <w:rPr>
          <w:rFonts w:ascii="Times New Roman" w:hAnsi="Times New Roman" w:cs="Times New Roman"/>
          <w:sz w:val="24"/>
          <w:szCs w:val="24"/>
        </w:rPr>
        <w:t xml:space="preserve">, tendo </w:t>
      </w:r>
      <w:r w:rsidRPr="002B1616">
        <w:rPr>
          <w:rFonts w:ascii="Times New Roman" w:hAnsi="Times New Roman" w:cs="Times New Roman"/>
          <w:sz w:val="24"/>
          <w:szCs w:val="24"/>
        </w:rPr>
        <w:t>a eficiência como responsabilidade do prestador. A outra norma trata de procedimentos para a instalação de hidrômetros individualizados em c</w:t>
      </w:r>
      <w:r w:rsidR="00E82A9E">
        <w:rPr>
          <w:rFonts w:ascii="Times New Roman" w:hAnsi="Times New Roman" w:cs="Times New Roman"/>
          <w:sz w:val="24"/>
          <w:szCs w:val="24"/>
        </w:rPr>
        <w:t xml:space="preserve">ondomínios verticais, </w:t>
      </w:r>
      <w:r w:rsidRPr="002B1616">
        <w:rPr>
          <w:rFonts w:ascii="Times New Roman" w:hAnsi="Times New Roman" w:cs="Times New Roman"/>
          <w:sz w:val="24"/>
          <w:szCs w:val="24"/>
        </w:rPr>
        <w:t>justificada pelo desenvolvimento de novas tecnologias que minimizam custos e transtornos</w:t>
      </w:r>
      <w:r w:rsidR="000206FB">
        <w:rPr>
          <w:rFonts w:ascii="Times New Roman" w:hAnsi="Times New Roman" w:cs="Times New Roman"/>
          <w:sz w:val="24"/>
          <w:szCs w:val="24"/>
        </w:rPr>
        <w:t>.</w:t>
      </w:r>
    </w:p>
    <w:p w:rsidR="002B1616" w:rsidRPr="002B1616" w:rsidRDefault="002B1616" w:rsidP="002B1616">
      <w:pPr>
        <w:spacing w:after="0" w:line="240" w:lineRule="auto"/>
        <w:jc w:val="both"/>
        <w:rPr>
          <w:rFonts w:ascii="Times New Roman" w:hAnsi="Times New Roman" w:cs="Times New Roman"/>
          <w:sz w:val="24"/>
          <w:szCs w:val="24"/>
        </w:rPr>
      </w:pPr>
      <w:r w:rsidRPr="002B1616">
        <w:rPr>
          <w:rFonts w:ascii="Times New Roman" w:hAnsi="Times New Roman" w:cs="Times New Roman"/>
          <w:sz w:val="24"/>
          <w:szCs w:val="24"/>
        </w:rPr>
        <w:tab/>
        <w:t>A CAERN foi o terceiro prestador de SAA e SES em números de normas editadas pela entidade reguladora, no entanto, tendo como exceção o ano de 2006, quando esteve na fronteira de eficiência, o prestador não apresentou desempenho</w:t>
      </w:r>
      <w:r w:rsidR="00E82A9E">
        <w:rPr>
          <w:rFonts w:ascii="Times New Roman" w:hAnsi="Times New Roman" w:cs="Times New Roman"/>
          <w:sz w:val="24"/>
          <w:szCs w:val="24"/>
        </w:rPr>
        <w:t xml:space="preserve"> satisfatório</w:t>
      </w:r>
      <w:r w:rsidRPr="002B1616">
        <w:rPr>
          <w:rFonts w:ascii="Times New Roman" w:hAnsi="Times New Roman" w:cs="Times New Roman"/>
          <w:sz w:val="24"/>
          <w:szCs w:val="24"/>
        </w:rPr>
        <w:t xml:space="preserve">. A ARSBAN editou </w:t>
      </w:r>
      <w:proofErr w:type="gramStart"/>
      <w:r w:rsidRPr="002B1616">
        <w:rPr>
          <w:rFonts w:ascii="Times New Roman" w:hAnsi="Times New Roman" w:cs="Times New Roman"/>
          <w:sz w:val="24"/>
          <w:szCs w:val="24"/>
        </w:rPr>
        <w:t>7</w:t>
      </w:r>
      <w:proofErr w:type="gramEnd"/>
      <w:r w:rsidRPr="002B1616">
        <w:rPr>
          <w:rFonts w:ascii="Times New Roman" w:hAnsi="Times New Roman" w:cs="Times New Roman"/>
          <w:sz w:val="24"/>
          <w:szCs w:val="24"/>
        </w:rPr>
        <w:t xml:space="preserve"> normas relacionadas à EA, que tratam basicamente de autorização para reajuste tarifário, e em 5 delas estão previstas metas a serem cumpridas pela CAERN. </w:t>
      </w:r>
      <w:r w:rsidR="00E82A9E">
        <w:rPr>
          <w:rFonts w:ascii="Times New Roman" w:hAnsi="Times New Roman" w:cs="Times New Roman"/>
          <w:sz w:val="24"/>
          <w:szCs w:val="24"/>
        </w:rPr>
        <w:t>No entanto, a</w:t>
      </w:r>
      <w:r w:rsidRPr="002B1616">
        <w:rPr>
          <w:rFonts w:ascii="Times New Roman" w:hAnsi="Times New Roman" w:cs="Times New Roman"/>
          <w:sz w:val="24"/>
          <w:szCs w:val="24"/>
        </w:rPr>
        <w:t>penas em uma das normas ficou definido que os resultados referentes às metas estabelecidas seriam considerados para definição de reajuste tarifário</w:t>
      </w:r>
      <w:r w:rsidR="00E82A9E">
        <w:rPr>
          <w:rFonts w:ascii="Times New Roman" w:hAnsi="Times New Roman" w:cs="Times New Roman"/>
          <w:sz w:val="24"/>
          <w:szCs w:val="24"/>
        </w:rPr>
        <w:t>.</w:t>
      </w:r>
    </w:p>
    <w:p w:rsidR="002B1616" w:rsidRPr="002B1616" w:rsidRDefault="002B1616" w:rsidP="002B1616">
      <w:pPr>
        <w:spacing w:after="0" w:line="240" w:lineRule="auto"/>
        <w:jc w:val="both"/>
        <w:rPr>
          <w:rFonts w:ascii="Times New Roman" w:hAnsi="Times New Roman" w:cs="Times New Roman"/>
          <w:sz w:val="24"/>
          <w:szCs w:val="24"/>
        </w:rPr>
      </w:pPr>
      <w:r w:rsidRPr="002B1616">
        <w:rPr>
          <w:rFonts w:ascii="Times New Roman" w:hAnsi="Times New Roman" w:cs="Times New Roman"/>
          <w:sz w:val="24"/>
          <w:szCs w:val="24"/>
        </w:rPr>
        <w:tab/>
        <w:t xml:space="preserve">Com relação às </w:t>
      </w:r>
      <w:proofErr w:type="gramStart"/>
      <w:r w:rsidRPr="002B1616">
        <w:rPr>
          <w:rFonts w:ascii="Times New Roman" w:hAnsi="Times New Roman" w:cs="Times New Roman"/>
          <w:sz w:val="24"/>
          <w:szCs w:val="24"/>
        </w:rPr>
        <w:t>2</w:t>
      </w:r>
      <w:proofErr w:type="gramEnd"/>
      <w:r w:rsidRPr="002B1616">
        <w:rPr>
          <w:rFonts w:ascii="Times New Roman" w:hAnsi="Times New Roman" w:cs="Times New Roman"/>
          <w:sz w:val="24"/>
          <w:szCs w:val="24"/>
        </w:rPr>
        <w:t xml:space="preserve"> normas definidas para EP, uma estabelece as condições gerais na prestação de SAA e SES, definindo a eficiência como principio e responsabilidade do prestador como foi feito pelas demais entidades reguladoras. Já a segunda norma trata de metas que devem ser cumpridas pela CAERN, nesse caso, são metas que tratam das mesmas temáticas definidas nas normas para reajuste tarifário, apenas a agência optou por tratá-las separadamente, já que efetivamente não estavam impactando no processo tarifário. Outro aspecto relevante que merece ser destacado é o fato da CAERN ser um prestador regional, mas que é regulado apenas por uma entidad</w:t>
      </w:r>
      <w:r w:rsidR="00261C43">
        <w:rPr>
          <w:rFonts w:ascii="Times New Roman" w:hAnsi="Times New Roman" w:cs="Times New Roman"/>
          <w:sz w:val="24"/>
          <w:szCs w:val="24"/>
        </w:rPr>
        <w:t>e reguladora municipal</w:t>
      </w:r>
      <w:r w:rsidR="00FA5497">
        <w:rPr>
          <w:rFonts w:ascii="Times New Roman" w:hAnsi="Times New Roman" w:cs="Times New Roman"/>
          <w:sz w:val="24"/>
          <w:szCs w:val="24"/>
        </w:rPr>
        <w:t>.</w:t>
      </w:r>
    </w:p>
    <w:p w:rsidR="002B1616" w:rsidRPr="002B1616" w:rsidRDefault="002B1616" w:rsidP="002B1616">
      <w:pPr>
        <w:spacing w:after="0" w:line="240" w:lineRule="auto"/>
        <w:jc w:val="both"/>
        <w:rPr>
          <w:rFonts w:ascii="Times New Roman" w:hAnsi="Times New Roman" w:cs="Times New Roman"/>
          <w:sz w:val="24"/>
          <w:szCs w:val="24"/>
        </w:rPr>
      </w:pPr>
      <w:r w:rsidRPr="002B1616">
        <w:rPr>
          <w:rFonts w:ascii="Times New Roman" w:hAnsi="Times New Roman" w:cs="Times New Roman"/>
          <w:sz w:val="24"/>
          <w:szCs w:val="24"/>
        </w:rPr>
        <w:tab/>
        <w:t xml:space="preserve">Pode-se destacar ainda o caso da SANEAGO que, regulada pela AGR, apresentou ganhos de produtividade e se aproximou da fronteira de eficiência. A AGR editou </w:t>
      </w:r>
      <w:proofErr w:type="gramStart"/>
      <w:r w:rsidRPr="002B1616">
        <w:rPr>
          <w:rFonts w:ascii="Times New Roman" w:hAnsi="Times New Roman" w:cs="Times New Roman"/>
          <w:sz w:val="24"/>
          <w:szCs w:val="24"/>
        </w:rPr>
        <w:t>2</w:t>
      </w:r>
      <w:proofErr w:type="gramEnd"/>
      <w:r w:rsidRPr="002B1616">
        <w:rPr>
          <w:rFonts w:ascii="Times New Roman" w:hAnsi="Times New Roman" w:cs="Times New Roman"/>
          <w:sz w:val="24"/>
          <w:szCs w:val="24"/>
        </w:rPr>
        <w:t xml:space="preserve"> normas relacionadas com a EA e 4 com a EP. Das normas de EA, uma se refere apenas à aprovação da tabela de preços e a outra trata da tabela de classificação de subcategorias, mas não definem aspectos de incentivo à eficiência e ganhos de produtividade. </w:t>
      </w:r>
      <w:r w:rsidRPr="004F592F">
        <w:rPr>
          <w:rFonts w:ascii="Times New Roman" w:hAnsi="Times New Roman" w:cs="Times New Roman"/>
          <w:sz w:val="24"/>
          <w:szCs w:val="24"/>
        </w:rPr>
        <w:t>Quanto às normas q</w:t>
      </w:r>
      <w:r w:rsidR="004F592F" w:rsidRPr="004F592F">
        <w:rPr>
          <w:rFonts w:ascii="Times New Roman" w:hAnsi="Times New Roman" w:cs="Times New Roman"/>
          <w:sz w:val="24"/>
          <w:szCs w:val="24"/>
        </w:rPr>
        <w:t xml:space="preserve">ue se relacionam com EP, tratam, principalmente, </w:t>
      </w:r>
      <w:r w:rsidRPr="004F592F">
        <w:rPr>
          <w:rFonts w:ascii="Times New Roman" w:hAnsi="Times New Roman" w:cs="Times New Roman"/>
          <w:sz w:val="24"/>
          <w:szCs w:val="24"/>
        </w:rPr>
        <w:t>de penalidades, prazos para execução de serviços e condições gerais na prestação e utilização dos SAA e SES.</w:t>
      </w:r>
    </w:p>
    <w:p w:rsidR="00163CBF" w:rsidRDefault="002B1616" w:rsidP="00163CBF">
      <w:pPr>
        <w:spacing w:after="0" w:line="240" w:lineRule="auto"/>
        <w:jc w:val="both"/>
        <w:rPr>
          <w:rFonts w:ascii="Times New Roman" w:hAnsi="Times New Roman" w:cs="Times New Roman"/>
          <w:color w:val="FF0000"/>
          <w:sz w:val="24"/>
          <w:szCs w:val="24"/>
        </w:rPr>
      </w:pPr>
      <w:r w:rsidRPr="002B1616">
        <w:rPr>
          <w:rFonts w:ascii="Times New Roman" w:hAnsi="Times New Roman" w:cs="Times New Roman"/>
          <w:sz w:val="24"/>
          <w:szCs w:val="24"/>
        </w:rPr>
        <w:tab/>
        <w:t xml:space="preserve">Os demais prestadores de SAA e SES regulados não foram eficientes e não estão se aproximando da fronteira no período analisado. </w:t>
      </w:r>
      <w:r w:rsidR="00163CBF" w:rsidRPr="00163CBF">
        <w:rPr>
          <w:rFonts w:ascii="Times New Roman" w:hAnsi="Times New Roman" w:cs="Times New Roman"/>
          <w:sz w:val="24"/>
          <w:szCs w:val="24"/>
        </w:rPr>
        <w:t>Na análise das normas editadas por suas entidades reguladoras, verificou-se, no que se refere à EA, que trata</w:t>
      </w:r>
      <w:r w:rsidR="004F592F">
        <w:rPr>
          <w:rFonts w:ascii="Times New Roman" w:hAnsi="Times New Roman" w:cs="Times New Roman"/>
          <w:sz w:val="24"/>
          <w:szCs w:val="24"/>
        </w:rPr>
        <w:t>m</w:t>
      </w:r>
      <w:r w:rsidR="00163CBF" w:rsidRPr="00163CBF">
        <w:rPr>
          <w:rFonts w:ascii="Times New Roman" w:hAnsi="Times New Roman" w:cs="Times New Roman"/>
          <w:sz w:val="24"/>
          <w:szCs w:val="24"/>
        </w:rPr>
        <w:t xml:space="preserve"> apenas de índices de reajuste tarifário sem mecanismos efetivos para incentivo à eficiência, e as normas de EP d</w:t>
      </w:r>
      <w:r w:rsidR="004F592F">
        <w:rPr>
          <w:rFonts w:ascii="Times New Roman" w:hAnsi="Times New Roman" w:cs="Times New Roman"/>
          <w:sz w:val="24"/>
          <w:szCs w:val="24"/>
        </w:rPr>
        <w:t>ão</w:t>
      </w:r>
      <w:r w:rsidR="00163CBF" w:rsidRPr="00163CBF">
        <w:rPr>
          <w:rFonts w:ascii="Times New Roman" w:hAnsi="Times New Roman" w:cs="Times New Roman"/>
          <w:sz w:val="24"/>
          <w:szCs w:val="24"/>
        </w:rPr>
        <w:t xml:space="preserve"> ênfase a regulamentos e condições de prestação de SAA e SES.</w:t>
      </w:r>
    </w:p>
    <w:p w:rsidR="0084279B" w:rsidRDefault="00642B41" w:rsidP="00163C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84E06">
        <w:rPr>
          <w:rFonts w:ascii="Times New Roman" w:hAnsi="Times New Roman" w:cs="Times New Roman"/>
          <w:sz w:val="24"/>
          <w:szCs w:val="24"/>
        </w:rPr>
        <w:t xml:space="preserve">O Quadro </w:t>
      </w:r>
      <w:proofErr w:type="gramStart"/>
      <w:r w:rsidR="00A84E06">
        <w:rPr>
          <w:rFonts w:ascii="Times New Roman" w:hAnsi="Times New Roman" w:cs="Times New Roman"/>
          <w:sz w:val="24"/>
          <w:szCs w:val="24"/>
        </w:rPr>
        <w:t>3</w:t>
      </w:r>
      <w:proofErr w:type="gramEnd"/>
      <w:r w:rsidR="00A84E06">
        <w:rPr>
          <w:rFonts w:ascii="Times New Roman" w:hAnsi="Times New Roman" w:cs="Times New Roman"/>
          <w:sz w:val="24"/>
          <w:szCs w:val="24"/>
        </w:rPr>
        <w:t xml:space="preserve"> </w:t>
      </w:r>
      <w:r w:rsidR="00A84E06" w:rsidRPr="002B1616">
        <w:rPr>
          <w:rFonts w:ascii="Times New Roman" w:hAnsi="Times New Roman" w:cs="Times New Roman"/>
          <w:sz w:val="24"/>
          <w:szCs w:val="24"/>
        </w:rPr>
        <w:t xml:space="preserve">apresenta as informações </w:t>
      </w:r>
      <w:r w:rsidR="00A84E06">
        <w:rPr>
          <w:rFonts w:ascii="Times New Roman" w:hAnsi="Times New Roman" w:cs="Times New Roman"/>
          <w:sz w:val="24"/>
          <w:szCs w:val="24"/>
        </w:rPr>
        <w:t>q</w:t>
      </w:r>
      <w:r w:rsidR="002B1616" w:rsidRPr="002B1616">
        <w:rPr>
          <w:rFonts w:ascii="Times New Roman" w:hAnsi="Times New Roman" w:cs="Times New Roman"/>
          <w:sz w:val="24"/>
          <w:szCs w:val="24"/>
        </w:rPr>
        <w:t>uanto aos prestadores de SAA e SES que passaram a ser regulad</w:t>
      </w:r>
      <w:r w:rsidR="00A84E06">
        <w:rPr>
          <w:rFonts w:ascii="Times New Roman" w:hAnsi="Times New Roman" w:cs="Times New Roman"/>
          <w:sz w:val="24"/>
          <w:szCs w:val="24"/>
        </w:rPr>
        <w:t>os a partir de 2007</w:t>
      </w:r>
      <w:r w:rsidR="002B1616" w:rsidRPr="002B1616">
        <w:rPr>
          <w:rFonts w:ascii="Times New Roman" w:hAnsi="Times New Roman" w:cs="Times New Roman"/>
          <w:sz w:val="24"/>
          <w:szCs w:val="24"/>
        </w:rPr>
        <w:t xml:space="preserve">. Como pode ser observado, diferente do que </w:t>
      </w:r>
      <w:proofErr w:type="gramStart"/>
      <w:r w:rsidR="002B1616" w:rsidRPr="002B1616">
        <w:rPr>
          <w:rFonts w:ascii="Times New Roman" w:hAnsi="Times New Roman" w:cs="Times New Roman"/>
          <w:sz w:val="24"/>
          <w:szCs w:val="24"/>
        </w:rPr>
        <w:t>ocorreu</w:t>
      </w:r>
      <w:proofErr w:type="gramEnd"/>
      <w:r w:rsidR="002B1616" w:rsidRPr="002B1616">
        <w:rPr>
          <w:rFonts w:ascii="Times New Roman" w:hAnsi="Times New Roman" w:cs="Times New Roman"/>
          <w:sz w:val="24"/>
          <w:szCs w:val="24"/>
        </w:rPr>
        <w:t xml:space="preserve"> com o grupo anterior, todos os prestadores foram normatizados de alguma forma</w:t>
      </w:r>
      <w:r w:rsidR="009F1352">
        <w:rPr>
          <w:rFonts w:ascii="Times New Roman" w:hAnsi="Times New Roman" w:cs="Times New Roman"/>
          <w:sz w:val="24"/>
          <w:szCs w:val="24"/>
        </w:rPr>
        <w:t>, sendo o</w:t>
      </w:r>
      <w:r w:rsidR="009F1352" w:rsidRPr="00DB2170">
        <w:rPr>
          <w:rFonts w:ascii="Times New Roman" w:hAnsi="Times New Roman" w:cs="Times New Roman"/>
          <w:sz w:val="24"/>
          <w:szCs w:val="24"/>
        </w:rPr>
        <w:t xml:space="preserve"> maior número de normas editadas </w:t>
      </w:r>
      <w:r w:rsidR="009F1352">
        <w:rPr>
          <w:rFonts w:ascii="Times New Roman" w:hAnsi="Times New Roman" w:cs="Times New Roman"/>
          <w:sz w:val="24"/>
          <w:szCs w:val="24"/>
        </w:rPr>
        <w:t>pela</w:t>
      </w:r>
      <w:r w:rsidR="009F1352" w:rsidRPr="00DB2170">
        <w:rPr>
          <w:rFonts w:ascii="Times New Roman" w:hAnsi="Times New Roman" w:cs="Times New Roman"/>
          <w:sz w:val="24"/>
          <w:szCs w:val="24"/>
        </w:rPr>
        <w:t xml:space="preserve"> ARSESP, regulando a SABESP, prestador eficiente tanto em 2006 como em 2011. As 25 normas relacionadas à EA tratam da autorização de reajustes tarifários anuais, da homologação de tabela de preços e prazos para serviços, do envio de informações para fins de cálculo de tarifa, do cronograma e da metodologia empregada na primeira revisão tarifária da SABESP. Assim como ocorreu com a ADASA, a ARSESP adotou metodologia alinhada com a regulação por incentivos e que estimula a eficiência e ganhos de produtividade. Quanto às normas relativas à EP,</w:t>
      </w:r>
      <w:r w:rsidR="00A84E06">
        <w:rPr>
          <w:rFonts w:ascii="Times New Roman" w:hAnsi="Times New Roman" w:cs="Times New Roman"/>
          <w:sz w:val="24"/>
          <w:szCs w:val="24"/>
        </w:rPr>
        <w:t xml:space="preserve"> entre outros temas,</w:t>
      </w:r>
      <w:r w:rsidR="009F1352" w:rsidRPr="00DB2170">
        <w:rPr>
          <w:rFonts w:ascii="Times New Roman" w:hAnsi="Times New Roman" w:cs="Times New Roman"/>
          <w:sz w:val="24"/>
          <w:szCs w:val="24"/>
        </w:rPr>
        <w:t xml:space="preserve"> disciplinam o envio de informações da SABESP para a entidade reguladora, permitindo a avaliação sistemática do cumprimento do contrato de conc</w:t>
      </w:r>
      <w:r w:rsidR="00A84E06">
        <w:rPr>
          <w:rFonts w:ascii="Times New Roman" w:hAnsi="Times New Roman" w:cs="Times New Roman"/>
          <w:sz w:val="24"/>
          <w:szCs w:val="24"/>
        </w:rPr>
        <w:t>essão e do plano de saneamento.</w:t>
      </w:r>
    </w:p>
    <w:p w:rsidR="002B1281" w:rsidRDefault="002B1281" w:rsidP="002B1616">
      <w:pPr>
        <w:spacing w:after="0" w:line="240" w:lineRule="auto"/>
        <w:jc w:val="both"/>
        <w:rPr>
          <w:rFonts w:ascii="Times New Roman" w:hAnsi="Times New Roman" w:cs="Times New Roman"/>
          <w:sz w:val="24"/>
          <w:szCs w:val="24"/>
        </w:rPr>
      </w:pPr>
    </w:p>
    <w:p w:rsidR="00642B41" w:rsidRPr="00042EAA" w:rsidRDefault="00642B41" w:rsidP="00642B41">
      <w:pPr>
        <w:pStyle w:val="Legenda"/>
        <w:rPr>
          <w:b w:val="0"/>
          <w:sz w:val="24"/>
        </w:rPr>
      </w:pPr>
      <w:bookmarkStart w:id="9" w:name="_Toc377445821"/>
      <w:r w:rsidRPr="00042EAA">
        <w:rPr>
          <w:sz w:val="24"/>
        </w:rPr>
        <w:t>Quadro</w:t>
      </w:r>
      <w:r w:rsidR="009F1352">
        <w:rPr>
          <w:sz w:val="24"/>
        </w:rPr>
        <w:t xml:space="preserve"> 3 </w:t>
      </w:r>
      <w:r w:rsidRPr="00042EAA">
        <w:rPr>
          <w:sz w:val="24"/>
        </w:rPr>
        <w:t xml:space="preserve">– </w:t>
      </w:r>
      <w:r w:rsidRPr="00042EAA">
        <w:rPr>
          <w:b w:val="0"/>
          <w:sz w:val="24"/>
        </w:rPr>
        <w:t xml:space="preserve">Prestadores de SAA e SES com regulação a partir de 2007 (grupo </w:t>
      </w:r>
      <w:proofErr w:type="gramStart"/>
      <w:r w:rsidRPr="00042EAA">
        <w:rPr>
          <w:b w:val="0"/>
          <w:sz w:val="24"/>
        </w:rPr>
        <w:t>2</w:t>
      </w:r>
      <w:proofErr w:type="gramEnd"/>
      <w:r w:rsidRPr="00042EAA">
        <w:rPr>
          <w:b w:val="0"/>
          <w:sz w:val="24"/>
        </w:rPr>
        <w:t>)</w:t>
      </w:r>
      <w:bookmarkEnd w:id="9"/>
      <w:r w:rsidR="00B70A7B">
        <w:rPr>
          <w:b w:val="0"/>
          <w:sz w:val="24"/>
        </w:rPr>
        <w:t>.</w:t>
      </w:r>
    </w:p>
    <w:tbl>
      <w:tblPr>
        <w:tblStyle w:val="Tabelaemlista1"/>
        <w:tblW w:w="8970" w:type="dxa"/>
        <w:jc w:val="center"/>
        <w:tblLayout w:type="fixed"/>
        <w:tblLook w:val="04A0" w:firstRow="1" w:lastRow="0" w:firstColumn="1" w:lastColumn="0" w:noHBand="0" w:noVBand="1"/>
      </w:tblPr>
      <w:tblGrid>
        <w:gridCol w:w="1337"/>
        <w:gridCol w:w="866"/>
        <w:gridCol w:w="849"/>
        <w:gridCol w:w="851"/>
        <w:gridCol w:w="992"/>
        <w:gridCol w:w="992"/>
        <w:gridCol w:w="1240"/>
        <w:gridCol w:w="567"/>
        <w:gridCol w:w="567"/>
        <w:gridCol w:w="709"/>
      </w:tblGrid>
      <w:tr w:rsidR="00642B41" w:rsidRPr="004F592F" w:rsidTr="00D638D9">
        <w:trPr>
          <w:cnfStyle w:val="100000000000" w:firstRow="1" w:lastRow="0" w:firstColumn="0" w:lastColumn="0" w:oddVBand="0" w:evenVBand="0" w:oddHBand="0" w:evenHBand="0" w:firstRowFirstColumn="0" w:firstRowLastColumn="0" w:lastRowFirstColumn="0" w:lastRowLastColumn="0"/>
          <w:trHeight w:val="227"/>
          <w:jc w:val="center"/>
        </w:trPr>
        <w:tc>
          <w:tcPr>
            <w:tcW w:w="1337" w:type="dxa"/>
            <w:vMerge w:val="restart"/>
            <w:shd w:val="clear" w:color="auto" w:fill="auto"/>
            <w:vAlign w:val="center"/>
            <w:hideMark/>
          </w:tcPr>
          <w:p w:rsidR="00642B41" w:rsidRPr="004F592F" w:rsidRDefault="00642B41" w:rsidP="00D728C9">
            <w:pPr>
              <w:jc w:val="center"/>
              <w:rPr>
                <w:bCs w:val="0"/>
                <w:i w:val="0"/>
                <w:color w:val="000000"/>
              </w:rPr>
            </w:pPr>
            <w:r w:rsidRPr="004F592F">
              <w:rPr>
                <w:bCs w:val="0"/>
                <w:i w:val="0"/>
                <w:color w:val="000000"/>
              </w:rPr>
              <w:t>Prestador</w:t>
            </w:r>
          </w:p>
          <w:p w:rsidR="00642B41" w:rsidRPr="004F592F" w:rsidRDefault="00642B41" w:rsidP="00D728C9">
            <w:pPr>
              <w:jc w:val="center"/>
              <w:rPr>
                <w:bCs w:val="0"/>
                <w:i w:val="0"/>
                <w:color w:val="000000"/>
              </w:rPr>
            </w:pPr>
            <w:r w:rsidRPr="004F592F">
              <w:rPr>
                <w:bCs w:val="0"/>
                <w:i w:val="0"/>
                <w:color w:val="000000"/>
              </w:rPr>
              <w:t>SAA / SES</w:t>
            </w:r>
          </w:p>
        </w:tc>
        <w:tc>
          <w:tcPr>
            <w:tcW w:w="1715" w:type="dxa"/>
            <w:gridSpan w:val="2"/>
            <w:shd w:val="clear" w:color="auto" w:fill="auto"/>
            <w:vAlign w:val="center"/>
            <w:hideMark/>
          </w:tcPr>
          <w:p w:rsidR="00642B41" w:rsidRPr="004F592F" w:rsidRDefault="00642B41" w:rsidP="00D728C9">
            <w:pPr>
              <w:jc w:val="center"/>
              <w:rPr>
                <w:bCs w:val="0"/>
                <w:i w:val="0"/>
                <w:color w:val="000000"/>
              </w:rPr>
            </w:pPr>
            <w:r w:rsidRPr="004F592F">
              <w:rPr>
                <w:bCs w:val="0"/>
                <w:i w:val="0"/>
                <w:color w:val="000000"/>
              </w:rPr>
              <w:t xml:space="preserve">ETP </w:t>
            </w:r>
          </w:p>
        </w:tc>
        <w:tc>
          <w:tcPr>
            <w:tcW w:w="2835" w:type="dxa"/>
            <w:gridSpan w:val="3"/>
            <w:shd w:val="clear" w:color="auto" w:fill="auto"/>
            <w:vAlign w:val="center"/>
            <w:hideMark/>
          </w:tcPr>
          <w:p w:rsidR="00642B41" w:rsidRPr="004F592F" w:rsidRDefault="00642B41" w:rsidP="00D728C9">
            <w:pPr>
              <w:jc w:val="center"/>
              <w:rPr>
                <w:bCs w:val="0"/>
                <w:i w:val="0"/>
                <w:color w:val="000000"/>
              </w:rPr>
            </w:pPr>
            <w:r w:rsidRPr="004F592F">
              <w:rPr>
                <w:bCs w:val="0"/>
                <w:i w:val="0"/>
                <w:color w:val="000000"/>
              </w:rPr>
              <w:t xml:space="preserve">Índice de </w:t>
            </w:r>
            <w:proofErr w:type="spellStart"/>
            <w:r w:rsidRPr="004F592F">
              <w:rPr>
                <w:bCs w:val="0"/>
                <w:i w:val="0"/>
                <w:color w:val="000000"/>
              </w:rPr>
              <w:t>Malmquist</w:t>
            </w:r>
            <w:proofErr w:type="spellEnd"/>
          </w:p>
        </w:tc>
        <w:tc>
          <w:tcPr>
            <w:tcW w:w="1240" w:type="dxa"/>
            <w:vMerge w:val="restart"/>
            <w:shd w:val="clear" w:color="auto" w:fill="auto"/>
            <w:vAlign w:val="center"/>
            <w:hideMark/>
          </w:tcPr>
          <w:p w:rsidR="00642B41" w:rsidRPr="004F592F" w:rsidRDefault="00642B41" w:rsidP="00D728C9">
            <w:pPr>
              <w:jc w:val="center"/>
              <w:rPr>
                <w:bCs w:val="0"/>
                <w:i w:val="0"/>
                <w:color w:val="000000"/>
              </w:rPr>
            </w:pPr>
            <w:r w:rsidRPr="004F592F">
              <w:rPr>
                <w:bCs w:val="0"/>
                <w:i w:val="0"/>
                <w:color w:val="000000"/>
              </w:rPr>
              <w:t>Entidade reguladora</w:t>
            </w:r>
          </w:p>
        </w:tc>
        <w:tc>
          <w:tcPr>
            <w:tcW w:w="1843" w:type="dxa"/>
            <w:gridSpan w:val="3"/>
            <w:shd w:val="clear" w:color="auto" w:fill="auto"/>
            <w:vAlign w:val="center"/>
            <w:hideMark/>
          </w:tcPr>
          <w:p w:rsidR="00642B41" w:rsidRPr="004F592F" w:rsidRDefault="00642B41" w:rsidP="00D728C9">
            <w:pPr>
              <w:jc w:val="center"/>
              <w:rPr>
                <w:bCs w:val="0"/>
                <w:i w:val="0"/>
                <w:color w:val="000000"/>
              </w:rPr>
            </w:pPr>
            <w:r w:rsidRPr="004F592F">
              <w:rPr>
                <w:bCs w:val="0"/>
                <w:i w:val="0"/>
                <w:color w:val="000000"/>
              </w:rPr>
              <w:t>Normas</w:t>
            </w:r>
          </w:p>
        </w:tc>
      </w:tr>
      <w:tr w:rsidR="00642B41"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vMerge/>
            <w:shd w:val="clear" w:color="auto" w:fill="auto"/>
            <w:vAlign w:val="center"/>
            <w:hideMark/>
          </w:tcPr>
          <w:p w:rsidR="00642B41" w:rsidRPr="004F592F" w:rsidRDefault="00642B41" w:rsidP="00D728C9">
            <w:pPr>
              <w:jc w:val="center"/>
              <w:rPr>
                <w:b/>
                <w:bCs/>
                <w:color w:val="000000"/>
              </w:rPr>
            </w:pPr>
          </w:p>
        </w:tc>
        <w:tc>
          <w:tcPr>
            <w:tcW w:w="866" w:type="dxa"/>
            <w:shd w:val="clear" w:color="auto" w:fill="auto"/>
            <w:vAlign w:val="center"/>
            <w:hideMark/>
          </w:tcPr>
          <w:p w:rsidR="00642B41" w:rsidRPr="004F592F" w:rsidRDefault="00642B41" w:rsidP="00D728C9">
            <w:pPr>
              <w:jc w:val="center"/>
              <w:rPr>
                <w:b/>
                <w:bCs/>
                <w:color w:val="000000"/>
              </w:rPr>
            </w:pPr>
            <w:r w:rsidRPr="004F592F">
              <w:rPr>
                <w:b/>
                <w:bCs/>
                <w:color w:val="000000"/>
              </w:rPr>
              <w:t>2006</w:t>
            </w:r>
          </w:p>
        </w:tc>
        <w:tc>
          <w:tcPr>
            <w:tcW w:w="849" w:type="dxa"/>
            <w:shd w:val="clear" w:color="auto" w:fill="auto"/>
            <w:vAlign w:val="center"/>
            <w:hideMark/>
          </w:tcPr>
          <w:p w:rsidR="00642B41" w:rsidRPr="004F592F" w:rsidRDefault="00642B41" w:rsidP="00D728C9">
            <w:pPr>
              <w:jc w:val="center"/>
              <w:rPr>
                <w:b/>
                <w:bCs/>
                <w:color w:val="000000"/>
              </w:rPr>
            </w:pPr>
            <w:r w:rsidRPr="004F592F">
              <w:rPr>
                <w:b/>
                <w:bCs/>
                <w:color w:val="000000"/>
              </w:rPr>
              <w:t>2011</w:t>
            </w:r>
          </w:p>
        </w:tc>
        <w:tc>
          <w:tcPr>
            <w:tcW w:w="851" w:type="dxa"/>
            <w:shd w:val="clear" w:color="auto" w:fill="auto"/>
            <w:vAlign w:val="center"/>
            <w:hideMark/>
          </w:tcPr>
          <w:p w:rsidR="00642B41" w:rsidRPr="004F592F" w:rsidRDefault="00642B41" w:rsidP="00D728C9">
            <w:pPr>
              <w:jc w:val="center"/>
              <w:rPr>
                <w:b/>
                <w:bCs/>
                <w:color w:val="000000"/>
              </w:rPr>
            </w:pPr>
            <w:r w:rsidRPr="004F592F">
              <w:rPr>
                <w:b/>
                <w:bCs/>
                <w:color w:val="000000"/>
              </w:rPr>
              <w:t>FPT</w:t>
            </w:r>
          </w:p>
        </w:tc>
        <w:tc>
          <w:tcPr>
            <w:tcW w:w="992" w:type="dxa"/>
            <w:shd w:val="clear" w:color="auto" w:fill="auto"/>
            <w:vAlign w:val="center"/>
            <w:hideMark/>
          </w:tcPr>
          <w:p w:rsidR="00642B41" w:rsidRPr="004F592F" w:rsidRDefault="00642B41" w:rsidP="00D728C9">
            <w:pPr>
              <w:jc w:val="center"/>
              <w:rPr>
                <w:b/>
                <w:bCs/>
                <w:i/>
                <w:color w:val="000000"/>
              </w:rPr>
            </w:pPr>
            <w:r w:rsidRPr="004F592F">
              <w:rPr>
                <w:b/>
                <w:bCs/>
                <w:i/>
                <w:color w:val="000000"/>
              </w:rPr>
              <w:t>Catch-</w:t>
            </w:r>
            <w:proofErr w:type="spellStart"/>
            <w:r w:rsidRPr="004F592F">
              <w:rPr>
                <w:b/>
                <w:bCs/>
                <w:i/>
                <w:color w:val="000000"/>
              </w:rPr>
              <w:t>up</w:t>
            </w:r>
            <w:proofErr w:type="spellEnd"/>
          </w:p>
        </w:tc>
        <w:tc>
          <w:tcPr>
            <w:tcW w:w="992" w:type="dxa"/>
            <w:shd w:val="clear" w:color="auto" w:fill="auto"/>
            <w:vAlign w:val="center"/>
            <w:hideMark/>
          </w:tcPr>
          <w:p w:rsidR="00642B41" w:rsidRPr="004F592F" w:rsidRDefault="00642B41" w:rsidP="00D728C9">
            <w:pPr>
              <w:jc w:val="center"/>
              <w:rPr>
                <w:b/>
                <w:bCs/>
                <w:i/>
                <w:color w:val="000000"/>
              </w:rPr>
            </w:pPr>
            <w:proofErr w:type="spellStart"/>
            <w:r w:rsidRPr="004F592F">
              <w:rPr>
                <w:b/>
                <w:bCs/>
                <w:i/>
                <w:color w:val="000000"/>
              </w:rPr>
              <w:t>Frontier</w:t>
            </w:r>
            <w:proofErr w:type="spellEnd"/>
          </w:p>
        </w:tc>
        <w:tc>
          <w:tcPr>
            <w:tcW w:w="1240" w:type="dxa"/>
            <w:vMerge/>
            <w:shd w:val="clear" w:color="auto" w:fill="auto"/>
            <w:vAlign w:val="center"/>
            <w:hideMark/>
          </w:tcPr>
          <w:p w:rsidR="00642B41" w:rsidRPr="004F592F" w:rsidRDefault="00642B41" w:rsidP="00D728C9">
            <w:pPr>
              <w:jc w:val="center"/>
              <w:rPr>
                <w:b/>
                <w:bCs/>
                <w:color w:val="000000"/>
              </w:rPr>
            </w:pPr>
          </w:p>
        </w:tc>
        <w:tc>
          <w:tcPr>
            <w:tcW w:w="567" w:type="dxa"/>
            <w:shd w:val="clear" w:color="auto" w:fill="auto"/>
            <w:vAlign w:val="center"/>
            <w:hideMark/>
          </w:tcPr>
          <w:p w:rsidR="00642B41" w:rsidRPr="004F592F" w:rsidRDefault="00642B41" w:rsidP="00D728C9">
            <w:pPr>
              <w:jc w:val="center"/>
              <w:rPr>
                <w:b/>
                <w:bCs/>
                <w:color w:val="000000"/>
              </w:rPr>
            </w:pPr>
            <w:r w:rsidRPr="004F592F">
              <w:rPr>
                <w:b/>
                <w:bCs/>
                <w:color w:val="000000"/>
              </w:rPr>
              <w:t>EA</w:t>
            </w:r>
          </w:p>
        </w:tc>
        <w:tc>
          <w:tcPr>
            <w:tcW w:w="567" w:type="dxa"/>
            <w:shd w:val="clear" w:color="auto" w:fill="auto"/>
            <w:vAlign w:val="center"/>
            <w:hideMark/>
          </w:tcPr>
          <w:p w:rsidR="00642B41" w:rsidRPr="004F592F" w:rsidRDefault="00642B41" w:rsidP="00D728C9">
            <w:pPr>
              <w:jc w:val="center"/>
              <w:rPr>
                <w:b/>
                <w:bCs/>
                <w:color w:val="000000"/>
              </w:rPr>
            </w:pPr>
            <w:r w:rsidRPr="004F592F">
              <w:rPr>
                <w:b/>
                <w:bCs/>
                <w:color w:val="000000"/>
              </w:rPr>
              <w:t>EP</w:t>
            </w:r>
          </w:p>
        </w:tc>
        <w:tc>
          <w:tcPr>
            <w:tcW w:w="709" w:type="dxa"/>
            <w:shd w:val="clear" w:color="auto" w:fill="auto"/>
            <w:vAlign w:val="center"/>
            <w:hideMark/>
          </w:tcPr>
          <w:p w:rsidR="00642B41" w:rsidRPr="004F592F" w:rsidRDefault="00D638D9" w:rsidP="00D728C9">
            <w:pPr>
              <w:jc w:val="center"/>
              <w:rPr>
                <w:b/>
                <w:bCs/>
                <w:color w:val="000000"/>
              </w:rPr>
            </w:pPr>
            <w:r>
              <w:rPr>
                <w:b/>
                <w:bCs/>
                <w:color w:val="000000"/>
              </w:rPr>
              <w:t>Total</w:t>
            </w:r>
          </w:p>
        </w:tc>
      </w:tr>
      <w:tr w:rsidR="00642B41"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shd w:val="clear" w:color="auto" w:fill="BFBFBF" w:themeFill="background1" w:themeFillShade="BF"/>
            <w:noWrap/>
            <w:vAlign w:val="center"/>
          </w:tcPr>
          <w:p w:rsidR="00642B41" w:rsidRPr="004F592F" w:rsidRDefault="00642B41" w:rsidP="00D728C9">
            <w:pPr>
              <w:jc w:val="center"/>
            </w:pPr>
            <w:r w:rsidRPr="004F592F">
              <w:t>CAEMA</w:t>
            </w:r>
          </w:p>
        </w:tc>
        <w:tc>
          <w:tcPr>
            <w:tcW w:w="866" w:type="dxa"/>
            <w:shd w:val="clear" w:color="auto" w:fill="BFBFBF" w:themeFill="background1" w:themeFillShade="BF"/>
            <w:noWrap/>
            <w:vAlign w:val="center"/>
          </w:tcPr>
          <w:p w:rsidR="00642B41" w:rsidRPr="004F592F" w:rsidRDefault="00642B41" w:rsidP="00642B41">
            <w:pPr>
              <w:jc w:val="center"/>
            </w:pPr>
            <w:r w:rsidRPr="004F592F">
              <w:t>0,5647</w:t>
            </w:r>
          </w:p>
        </w:tc>
        <w:tc>
          <w:tcPr>
            <w:tcW w:w="849" w:type="dxa"/>
            <w:shd w:val="clear" w:color="auto" w:fill="BFBFBF" w:themeFill="background1" w:themeFillShade="BF"/>
            <w:noWrap/>
            <w:vAlign w:val="center"/>
          </w:tcPr>
          <w:p w:rsidR="00642B41" w:rsidRPr="004F592F" w:rsidRDefault="00642B41" w:rsidP="00642B41">
            <w:pPr>
              <w:jc w:val="center"/>
            </w:pPr>
            <w:r w:rsidRPr="004F592F">
              <w:t>0,9478</w:t>
            </w:r>
          </w:p>
        </w:tc>
        <w:tc>
          <w:tcPr>
            <w:tcW w:w="851" w:type="dxa"/>
            <w:shd w:val="clear" w:color="auto" w:fill="BFBFBF" w:themeFill="background1" w:themeFillShade="BF"/>
            <w:noWrap/>
            <w:vAlign w:val="center"/>
          </w:tcPr>
          <w:p w:rsidR="00642B41" w:rsidRPr="004F592F" w:rsidRDefault="00642B41" w:rsidP="00642B41">
            <w:pPr>
              <w:jc w:val="center"/>
            </w:pPr>
            <w:r w:rsidRPr="004F592F">
              <w:t>1,9406</w:t>
            </w:r>
          </w:p>
        </w:tc>
        <w:tc>
          <w:tcPr>
            <w:tcW w:w="992" w:type="dxa"/>
            <w:shd w:val="clear" w:color="auto" w:fill="BFBFBF" w:themeFill="background1" w:themeFillShade="BF"/>
            <w:noWrap/>
            <w:vAlign w:val="center"/>
          </w:tcPr>
          <w:p w:rsidR="00642B41" w:rsidRPr="004F592F" w:rsidRDefault="00642B41" w:rsidP="00642B41">
            <w:pPr>
              <w:jc w:val="center"/>
            </w:pPr>
            <w:r w:rsidRPr="004F592F">
              <w:t>1,6784</w:t>
            </w:r>
          </w:p>
        </w:tc>
        <w:tc>
          <w:tcPr>
            <w:tcW w:w="992" w:type="dxa"/>
            <w:shd w:val="clear" w:color="auto" w:fill="BFBFBF" w:themeFill="background1" w:themeFillShade="BF"/>
            <w:noWrap/>
            <w:vAlign w:val="center"/>
          </w:tcPr>
          <w:p w:rsidR="00642B41" w:rsidRPr="004F592F" w:rsidRDefault="00642B41" w:rsidP="00642B41">
            <w:pPr>
              <w:jc w:val="center"/>
            </w:pPr>
            <w:r w:rsidRPr="004F592F">
              <w:t>1,1562</w:t>
            </w:r>
          </w:p>
        </w:tc>
        <w:tc>
          <w:tcPr>
            <w:tcW w:w="1240" w:type="dxa"/>
            <w:shd w:val="clear" w:color="auto" w:fill="BFBFBF" w:themeFill="background1" w:themeFillShade="BF"/>
            <w:noWrap/>
            <w:vAlign w:val="center"/>
          </w:tcPr>
          <w:p w:rsidR="00642B41" w:rsidRPr="004F592F" w:rsidRDefault="00642B41" w:rsidP="00D728C9">
            <w:pPr>
              <w:jc w:val="center"/>
            </w:pPr>
            <w:r w:rsidRPr="004F592F">
              <w:t>ARSEP</w:t>
            </w:r>
          </w:p>
        </w:tc>
        <w:tc>
          <w:tcPr>
            <w:tcW w:w="567" w:type="dxa"/>
            <w:shd w:val="clear" w:color="auto" w:fill="BFBFBF" w:themeFill="background1" w:themeFillShade="BF"/>
            <w:noWrap/>
            <w:vAlign w:val="center"/>
          </w:tcPr>
          <w:p w:rsidR="00642B41" w:rsidRPr="004F592F" w:rsidRDefault="00642B41" w:rsidP="00D728C9">
            <w:pPr>
              <w:jc w:val="center"/>
            </w:pPr>
            <w:proofErr w:type="gramStart"/>
            <w:r w:rsidRPr="004F592F">
              <w:t>1</w:t>
            </w:r>
            <w:proofErr w:type="gramEnd"/>
          </w:p>
        </w:tc>
        <w:tc>
          <w:tcPr>
            <w:tcW w:w="567" w:type="dxa"/>
            <w:shd w:val="clear" w:color="auto" w:fill="BFBFBF" w:themeFill="background1" w:themeFillShade="BF"/>
            <w:noWrap/>
            <w:vAlign w:val="center"/>
          </w:tcPr>
          <w:p w:rsidR="00642B41" w:rsidRPr="004F592F" w:rsidRDefault="00642B41" w:rsidP="00D728C9">
            <w:pPr>
              <w:jc w:val="center"/>
            </w:pPr>
            <w:proofErr w:type="gramStart"/>
            <w:r w:rsidRPr="004F592F">
              <w:t>0</w:t>
            </w:r>
            <w:proofErr w:type="gramEnd"/>
          </w:p>
        </w:tc>
        <w:tc>
          <w:tcPr>
            <w:tcW w:w="709" w:type="dxa"/>
            <w:shd w:val="clear" w:color="auto" w:fill="BFBFBF" w:themeFill="background1" w:themeFillShade="BF"/>
            <w:noWrap/>
            <w:vAlign w:val="center"/>
          </w:tcPr>
          <w:p w:rsidR="00642B41" w:rsidRPr="004F592F" w:rsidRDefault="00642B41" w:rsidP="00D728C9">
            <w:pPr>
              <w:jc w:val="center"/>
            </w:pPr>
            <w:proofErr w:type="gramStart"/>
            <w:r w:rsidRPr="004F592F">
              <w:t>1</w:t>
            </w:r>
            <w:proofErr w:type="gramEnd"/>
          </w:p>
        </w:tc>
      </w:tr>
      <w:tr w:rsidR="00642B41"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vMerge w:val="restart"/>
            <w:shd w:val="clear" w:color="auto" w:fill="auto"/>
            <w:noWrap/>
            <w:vAlign w:val="center"/>
          </w:tcPr>
          <w:p w:rsidR="00642B41" w:rsidRPr="004F592F" w:rsidRDefault="00642B41" w:rsidP="00D728C9">
            <w:pPr>
              <w:jc w:val="center"/>
            </w:pPr>
            <w:r w:rsidRPr="004F592F">
              <w:t>CASAN</w:t>
            </w:r>
          </w:p>
        </w:tc>
        <w:tc>
          <w:tcPr>
            <w:tcW w:w="866" w:type="dxa"/>
            <w:vMerge w:val="restart"/>
            <w:shd w:val="clear" w:color="auto" w:fill="auto"/>
            <w:noWrap/>
            <w:vAlign w:val="center"/>
          </w:tcPr>
          <w:p w:rsidR="00642B41" w:rsidRPr="004F592F" w:rsidRDefault="00042580" w:rsidP="00642B41">
            <w:pPr>
              <w:jc w:val="center"/>
            </w:pPr>
            <w:r w:rsidRPr="004F592F">
              <w:t>0,7210</w:t>
            </w:r>
          </w:p>
        </w:tc>
        <w:tc>
          <w:tcPr>
            <w:tcW w:w="849" w:type="dxa"/>
            <w:vMerge w:val="restart"/>
            <w:shd w:val="clear" w:color="auto" w:fill="auto"/>
            <w:noWrap/>
            <w:vAlign w:val="center"/>
          </w:tcPr>
          <w:p w:rsidR="00642B41" w:rsidRPr="004F592F" w:rsidRDefault="00042580" w:rsidP="00642B41">
            <w:pPr>
              <w:jc w:val="center"/>
            </w:pPr>
            <w:r w:rsidRPr="004F592F">
              <w:t>0,6995</w:t>
            </w:r>
          </w:p>
        </w:tc>
        <w:tc>
          <w:tcPr>
            <w:tcW w:w="851" w:type="dxa"/>
            <w:vMerge w:val="restart"/>
            <w:shd w:val="clear" w:color="auto" w:fill="auto"/>
            <w:noWrap/>
            <w:vAlign w:val="center"/>
          </w:tcPr>
          <w:p w:rsidR="00642B41" w:rsidRPr="004F592F" w:rsidRDefault="00042580" w:rsidP="00642B41">
            <w:pPr>
              <w:jc w:val="center"/>
            </w:pPr>
            <w:r w:rsidRPr="004F592F">
              <w:t>0,9729</w:t>
            </w:r>
          </w:p>
        </w:tc>
        <w:tc>
          <w:tcPr>
            <w:tcW w:w="992" w:type="dxa"/>
            <w:vMerge w:val="restart"/>
            <w:shd w:val="clear" w:color="auto" w:fill="auto"/>
            <w:noWrap/>
            <w:vAlign w:val="center"/>
          </w:tcPr>
          <w:p w:rsidR="00642B41" w:rsidRPr="004F592F" w:rsidRDefault="00042580" w:rsidP="00642B41">
            <w:pPr>
              <w:jc w:val="center"/>
            </w:pPr>
            <w:r w:rsidRPr="004F592F">
              <w:t>0,9701</w:t>
            </w:r>
          </w:p>
        </w:tc>
        <w:tc>
          <w:tcPr>
            <w:tcW w:w="992" w:type="dxa"/>
            <w:vMerge w:val="restart"/>
            <w:shd w:val="clear" w:color="auto" w:fill="auto"/>
            <w:noWrap/>
            <w:vAlign w:val="center"/>
          </w:tcPr>
          <w:p w:rsidR="00642B41" w:rsidRPr="004F592F" w:rsidRDefault="00042580" w:rsidP="00642B41">
            <w:pPr>
              <w:jc w:val="center"/>
            </w:pPr>
            <w:r w:rsidRPr="004F592F">
              <w:t>1,0028</w:t>
            </w:r>
          </w:p>
        </w:tc>
        <w:tc>
          <w:tcPr>
            <w:tcW w:w="1240" w:type="dxa"/>
            <w:shd w:val="clear" w:color="auto" w:fill="auto"/>
            <w:noWrap/>
            <w:vAlign w:val="center"/>
          </w:tcPr>
          <w:p w:rsidR="00642B41" w:rsidRPr="004F592F" w:rsidRDefault="00642B41" w:rsidP="00D728C9">
            <w:pPr>
              <w:jc w:val="center"/>
            </w:pPr>
            <w:r w:rsidRPr="004F592F">
              <w:t>AGESAN</w:t>
            </w:r>
          </w:p>
        </w:tc>
        <w:tc>
          <w:tcPr>
            <w:tcW w:w="567" w:type="dxa"/>
            <w:shd w:val="clear" w:color="auto" w:fill="auto"/>
            <w:noWrap/>
            <w:vAlign w:val="center"/>
          </w:tcPr>
          <w:p w:rsidR="00642B41" w:rsidRPr="004F592F" w:rsidRDefault="00642B41" w:rsidP="00D728C9">
            <w:pPr>
              <w:jc w:val="center"/>
            </w:pPr>
            <w:proofErr w:type="gramStart"/>
            <w:r w:rsidRPr="004F592F">
              <w:t>1</w:t>
            </w:r>
            <w:proofErr w:type="gramEnd"/>
          </w:p>
        </w:tc>
        <w:tc>
          <w:tcPr>
            <w:tcW w:w="567" w:type="dxa"/>
            <w:shd w:val="clear" w:color="auto" w:fill="auto"/>
            <w:noWrap/>
            <w:vAlign w:val="center"/>
          </w:tcPr>
          <w:p w:rsidR="00642B41" w:rsidRPr="004F592F" w:rsidRDefault="00642B41" w:rsidP="00D728C9">
            <w:pPr>
              <w:jc w:val="center"/>
            </w:pPr>
            <w:proofErr w:type="gramStart"/>
            <w:r w:rsidRPr="004F592F">
              <w:t>6</w:t>
            </w:r>
            <w:proofErr w:type="gramEnd"/>
          </w:p>
        </w:tc>
        <w:tc>
          <w:tcPr>
            <w:tcW w:w="709" w:type="dxa"/>
            <w:shd w:val="clear" w:color="auto" w:fill="auto"/>
            <w:noWrap/>
            <w:vAlign w:val="center"/>
          </w:tcPr>
          <w:p w:rsidR="00642B41" w:rsidRPr="004F592F" w:rsidRDefault="00642B41" w:rsidP="00D728C9">
            <w:pPr>
              <w:jc w:val="center"/>
            </w:pPr>
            <w:proofErr w:type="gramStart"/>
            <w:r w:rsidRPr="004F592F">
              <w:t>7</w:t>
            </w:r>
            <w:proofErr w:type="gramEnd"/>
          </w:p>
        </w:tc>
      </w:tr>
      <w:tr w:rsidR="00642B41"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vMerge/>
            <w:shd w:val="clear" w:color="auto" w:fill="BFBFBF" w:themeFill="background1" w:themeFillShade="BF"/>
            <w:noWrap/>
            <w:vAlign w:val="center"/>
          </w:tcPr>
          <w:p w:rsidR="00642B41" w:rsidRPr="004F592F" w:rsidRDefault="00642B41" w:rsidP="00D728C9"/>
        </w:tc>
        <w:tc>
          <w:tcPr>
            <w:tcW w:w="866" w:type="dxa"/>
            <w:vMerge/>
            <w:shd w:val="clear" w:color="auto" w:fill="BFBFBF" w:themeFill="background1" w:themeFillShade="BF"/>
            <w:noWrap/>
            <w:vAlign w:val="center"/>
          </w:tcPr>
          <w:p w:rsidR="00642B41" w:rsidRPr="004F592F" w:rsidRDefault="00642B41" w:rsidP="00642B41">
            <w:pPr>
              <w:jc w:val="center"/>
            </w:pPr>
          </w:p>
        </w:tc>
        <w:tc>
          <w:tcPr>
            <w:tcW w:w="849" w:type="dxa"/>
            <w:vMerge/>
            <w:shd w:val="clear" w:color="auto" w:fill="BFBFBF" w:themeFill="background1" w:themeFillShade="BF"/>
            <w:noWrap/>
            <w:vAlign w:val="center"/>
          </w:tcPr>
          <w:p w:rsidR="00642B41" w:rsidRPr="004F592F" w:rsidRDefault="00642B41" w:rsidP="00642B41">
            <w:pPr>
              <w:jc w:val="center"/>
            </w:pPr>
          </w:p>
        </w:tc>
        <w:tc>
          <w:tcPr>
            <w:tcW w:w="851" w:type="dxa"/>
            <w:vMerge/>
            <w:shd w:val="clear" w:color="auto" w:fill="BFBFBF" w:themeFill="background1" w:themeFillShade="BF"/>
            <w:noWrap/>
            <w:vAlign w:val="center"/>
          </w:tcPr>
          <w:p w:rsidR="00642B41" w:rsidRPr="004F592F" w:rsidRDefault="00642B41" w:rsidP="00642B41">
            <w:pPr>
              <w:jc w:val="center"/>
            </w:pPr>
          </w:p>
        </w:tc>
        <w:tc>
          <w:tcPr>
            <w:tcW w:w="992" w:type="dxa"/>
            <w:vMerge/>
            <w:shd w:val="clear" w:color="auto" w:fill="BFBFBF" w:themeFill="background1" w:themeFillShade="BF"/>
            <w:noWrap/>
            <w:vAlign w:val="center"/>
          </w:tcPr>
          <w:p w:rsidR="00642B41" w:rsidRPr="004F592F" w:rsidRDefault="00642B41" w:rsidP="00642B41">
            <w:pPr>
              <w:jc w:val="center"/>
            </w:pPr>
          </w:p>
        </w:tc>
        <w:tc>
          <w:tcPr>
            <w:tcW w:w="992" w:type="dxa"/>
            <w:vMerge/>
            <w:shd w:val="clear" w:color="auto" w:fill="BFBFBF" w:themeFill="background1" w:themeFillShade="BF"/>
            <w:noWrap/>
            <w:vAlign w:val="center"/>
          </w:tcPr>
          <w:p w:rsidR="00642B41" w:rsidRPr="004F592F" w:rsidRDefault="00642B41" w:rsidP="00642B41">
            <w:pPr>
              <w:jc w:val="center"/>
            </w:pPr>
          </w:p>
        </w:tc>
        <w:tc>
          <w:tcPr>
            <w:tcW w:w="1240" w:type="dxa"/>
            <w:shd w:val="clear" w:color="auto" w:fill="auto"/>
            <w:noWrap/>
            <w:vAlign w:val="center"/>
          </w:tcPr>
          <w:p w:rsidR="00642B41" w:rsidRPr="004F592F" w:rsidRDefault="00642B41" w:rsidP="00D728C9">
            <w:pPr>
              <w:jc w:val="center"/>
            </w:pPr>
            <w:r w:rsidRPr="004F592F">
              <w:t>AGIR</w:t>
            </w:r>
          </w:p>
        </w:tc>
        <w:tc>
          <w:tcPr>
            <w:tcW w:w="567" w:type="dxa"/>
            <w:shd w:val="clear" w:color="auto" w:fill="auto"/>
            <w:noWrap/>
            <w:vAlign w:val="center"/>
          </w:tcPr>
          <w:p w:rsidR="00642B41" w:rsidRPr="004F592F" w:rsidRDefault="00642B41" w:rsidP="00D728C9">
            <w:pPr>
              <w:jc w:val="center"/>
            </w:pPr>
            <w:proofErr w:type="gramStart"/>
            <w:r w:rsidRPr="004F592F">
              <w:t>0</w:t>
            </w:r>
            <w:proofErr w:type="gramEnd"/>
          </w:p>
        </w:tc>
        <w:tc>
          <w:tcPr>
            <w:tcW w:w="567" w:type="dxa"/>
            <w:shd w:val="clear" w:color="auto" w:fill="auto"/>
            <w:noWrap/>
            <w:vAlign w:val="center"/>
          </w:tcPr>
          <w:p w:rsidR="00642B41" w:rsidRPr="004F592F" w:rsidRDefault="00642B41" w:rsidP="00D728C9">
            <w:pPr>
              <w:jc w:val="center"/>
            </w:pPr>
            <w:proofErr w:type="gramStart"/>
            <w:r w:rsidRPr="004F592F">
              <w:t>0</w:t>
            </w:r>
            <w:proofErr w:type="gramEnd"/>
          </w:p>
        </w:tc>
        <w:tc>
          <w:tcPr>
            <w:tcW w:w="709" w:type="dxa"/>
            <w:shd w:val="clear" w:color="auto" w:fill="auto"/>
            <w:noWrap/>
            <w:vAlign w:val="center"/>
          </w:tcPr>
          <w:p w:rsidR="00642B41" w:rsidRPr="004F592F" w:rsidRDefault="00642B41" w:rsidP="00D728C9">
            <w:pPr>
              <w:jc w:val="center"/>
            </w:pPr>
            <w:proofErr w:type="gramStart"/>
            <w:r w:rsidRPr="004F592F">
              <w:t>0</w:t>
            </w:r>
            <w:proofErr w:type="gramEnd"/>
          </w:p>
        </w:tc>
      </w:tr>
      <w:tr w:rsidR="00642B41"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vMerge/>
            <w:shd w:val="clear" w:color="auto" w:fill="auto"/>
            <w:noWrap/>
            <w:vAlign w:val="center"/>
          </w:tcPr>
          <w:p w:rsidR="00642B41" w:rsidRPr="004F592F" w:rsidRDefault="00642B41" w:rsidP="00D728C9"/>
        </w:tc>
        <w:tc>
          <w:tcPr>
            <w:tcW w:w="866" w:type="dxa"/>
            <w:vMerge/>
            <w:shd w:val="clear" w:color="auto" w:fill="auto"/>
            <w:noWrap/>
            <w:vAlign w:val="center"/>
          </w:tcPr>
          <w:p w:rsidR="00642B41" w:rsidRPr="004F592F" w:rsidRDefault="00642B41" w:rsidP="00642B41">
            <w:pPr>
              <w:jc w:val="center"/>
            </w:pPr>
          </w:p>
        </w:tc>
        <w:tc>
          <w:tcPr>
            <w:tcW w:w="849" w:type="dxa"/>
            <w:vMerge/>
            <w:shd w:val="clear" w:color="auto" w:fill="auto"/>
            <w:noWrap/>
            <w:vAlign w:val="center"/>
          </w:tcPr>
          <w:p w:rsidR="00642B41" w:rsidRPr="004F592F" w:rsidRDefault="00642B41" w:rsidP="00642B41">
            <w:pPr>
              <w:jc w:val="center"/>
            </w:pPr>
          </w:p>
        </w:tc>
        <w:tc>
          <w:tcPr>
            <w:tcW w:w="851" w:type="dxa"/>
            <w:vMerge/>
            <w:shd w:val="clear" w:color="auto" w:fill="auto"/>
            <w:noWrap/>
            <w:vAlign w:val="center"/>
          </w:tcPr>
          <w:p w:rsidR="00642B41" w:rsidRPr="004F592F" w:rsidRDefault="00642B41" w:rsidP="00642B41">
            <w:pPr>
              <w:jc w:val="center"/>
            </w:pPr>
          </w:p>
        </w:tc>
        <w:tc>
          <w:tcPr>
            <w:tcW w:w="992" w:type="dxa"/>
            <w:vMerge/>
            <w:shd w:val="clear" w:color="auto" w:fill="auto"/>
            <w:noWrap/>
            <w:vAlign w:val="center"/>
          </w:tcPr>
          <w:p w:rsidR="00642B41" w:rsidRPr="004F592F" w:rsidRDefault="00642B41" w:rsidP="00642B41">
            <w:pPr>
              <w:jc w:val="center"/>
            </w:pPr>
          </w:p>
        </w:tc>
        <w:tc>
          <w:tcPr>
            <w:tcW w:w="992" w:type="dxa"/>
            <w:vMerge/>
            <w:shd w:val="clear" w:color="auto" w:fill="auto"/>
            <w:noWrap/>
            <w:vAlign w:val="center"/>
          </w:tcPr>
          <w:p w:rsidR="00642B41" w:rsidRPr="004F592F" w:rsidRDefault="00642B41" w:rsidP="00642B41">
            <w:pPr>
              <w:jc w:val="center"/>
            </w:pPr>
          </w:p>
        </w:tc>
        <w:tc>
          <w:tcPr>
            <w:tcW w:w="1240" w:type="dxa"/>
            <w:shd w:val="clear" w:color="auto" w:fill="auto"/>
            <w:noWrap/>
            <w:vAlign w:val="center"/>
          </w:tcPr>
          <w:p w:rsidR="00642B41" w:rsidRPr="004F592F" w:rsidRDefault="00642B41" w:rsidP="00D728C9">
            <w:pPr>
              <w:jc w:val="center"/>
            </w:pPr>
            <w:r w:rsidRPr="004F592F">
              <w:t>ARIS</w:t>
            </w:r>
          </w:p>
        </w:tc>
        <w:tc>
          <w:tcPr>
            <w:tcW w:w="567" w:type="dxa"/>
            <w:shd w:val="clear" w:color="auto" w:fill="auto"/>
            <w:noWrap/>
            <w:vAlign w:val="center"/>
          </w:tcPr>
          <w:p w:rsidR="00642B41" w:rsidRPr="004F592F" w:rsidRDefault="00642B41" w:rsidP="00D728C9">
            <w:pPr>
              <w:jc w:val="center"/>
            </w:pPr>
            <w:proofErr w:type="gramStart"/>
            <w:r w:rsidRPr="004F592F">
              <w:t>1</w:t>
            </w:r>
            <w:proofErr w:type="gramEnd"/>
          </w:p>
        </w:tc>
        <w:tc>
          <w:tcPr>
            <w:tcW w:w="567" w:type="dxa"/>
            <w:shd w:val="clear" w:color="auto" w:fill="auto"/>
            <w:noWrap/>
            <w:vAlign w:val="center"/>
          </w:tcPr>
          <w:p w:rsidR="00642B41" w:rsidRPr="004F592F" w:rsidRDefault="00642B41" w:rsidP="00D728C9">
            <w:pPr>
              <w:jc w:val="center"/>
            </w:pPr>
            <w:proofErr w:type="gramStart"/>
            <w:r w:rsidRPr="004F592F">
              <w:t>3</w:t>
            </w:r>
            <w:proofErr w:type="gramEnd"/>
          </w:p>
        </w:tc>
        <w:tc>
          <w:tcPr>
            <w:tcW w:w="709" w:type="dxa"/>
            <w:shd w:val="clear" w:color="auto" w:fill="auto"/>
            <w:noWrap/>
            <w:vAlign w:val="center"/>
          </w:tcPr>
          <w:p w:rsidR="00642B41" w:rsidRPr="004F592F" w:rsidRDefault="00642B41" w:rsidP="00D728C9">
            <w:pPr>
              <w:jc w:val="center"/>
            </w:pPr>
            <w:proofErr w:type="gramStart"/>
            <w:r w:rsidRPr="004F592F">
              <w:t>4</w:t>
            </w:r>
            <w:proofErr w:type="gramEnd"/>
          </w:p>
        </w:tc>
      </w:tr>
      <w:tr w:rsidR="00042580"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shd w:val="clear" w:color="auto" w:fill="BFBFBF" w:themeFill="background1" w:themeFillShade="BF"/>
            <w:noWrap/>
            <w:vAlign w:val="center"/>
          </w:tcPr>
          <w:p w:rsidR="00042580" w:rsidRPr="004F592F" w:rsidRDefault="00042580" w:rsidP="00D728C9">
            <w:pPr>
              <w:jc w:val="center"/>
            </w:pPr>
            <w:r w:rsidRPr="004F592F">
              <w:t>CESAN</w:t>
            </w:r>
          </w:p>
        </w:tc>
        <w:tc>
          <w:tcPr>
            <w:tcW w:w="866" w:type="dxa"/>
            <w:shd w:val="clear" w:color="auto" w:fill="BFBFBF" w:themeFill="background1" w:themeFillShade="BF"/>
            <w:noWrap/>
            <w:vAlign w:val="center"/>
          </w:tcPr>
          <w:p w:rsidR="00042580" w:rsidRPr="004F592F" w:rsidRDefault="00042580" w:rsidP="00042580">
            <w:pPr>
              <w:jc w:val="center"/>
            </w:pPr>
            <w:r w:rsidRPr="004F592F">
              <w:t>1,0000</w:t>
            </w:r>
          </w:p>
        </w:tc>
        <w:tc>
          <w:tcPr>
            <w:tcW w:w="849" w:type="dxa"/>
            <w:shd w:val="clear" w:color="auto" w:fill="BFBFBF" w:themeFill="background1" w:themeFillShade="BF"/>
            <w:noWrap/>
            <w:vAlign w:val="center"/>
          </w:tcPr>
          <w:p w:rsidR="00042580" w:rsidRPr="004F592F" w:rsidRDefault="00042580" w:rsidP="00042580">
            <w:pPr>
              <w:jc w:val="center"/>
            </w:pPr>
            <w:r w:rsidRPr="004F592F">
              <w:t>0,8694</w:t>
            </w:r>
          </w:p>
        </w:tc>
        <w:tc>
          <w:tcPr>
            <w:tcW w:w="851" w:type="dxa"/>
            <w:shd w:val="clear" w:color="auto" w:fill="BFBFBF" w:themeFill="background1" w:themeFillShade="BF"/>
            <w:noWrap/>
            <w:vAlign w:val="center"/>
          </w:tcPr>
          <w:p w:rsidR="00042580" w:rsidRPr="004F592F" w:rsidRDefault="00042580" w:rsidP="00042580">
            <w:pPr>
              <w:jc w:val="center"/>
            </w:pPr>
            <w:r w:rsidRPr="004F592F">
              <w:t>1,0156</w:t>
            </w:r>
          </w:p>
        </w:tc>
        <w:tc>
          <w:tcPr>
            <w:tcW w:w="992" w:type="dxa"/>
            <w:shd w:val="clear" w:color="auto" w:fill="BFBFBF" w:themeFill="background1" w:themeFillShade="BF"/>
            <w:noWrap/>
            <w:vAlign w:val="center"/>
          </w:tcPr>
          <w:p w:rsidR="00042580" w:rsidRPr="004F592F" w:rsidRDefault="00042580" w:rsidP="00042580">
            <w:pPr>
              <w:jc w:val="center"/>
            </w:pPr>
            <w:r w:rsidRPr="004F592F">
              <w:t>0,8694</w:t>
            </w:r>
          </w:p>
        </w:tc>
        <w:tc>
          <w:tcPr>
            <w:tcW w:w="992" w:type="dxa"/>
            <w:shd w:val="clear" w:color="auto" w:fill="BFBFBF" w:themeFill="background1" w:themeFillShade="BF"/>
            <w:noWrap/>
            <w:vAlign w:val="center"/>
          </w:tcPr>
          <w:p w:rsidR="00042580" w:rsidRPr="004F592F" w:rsidRDefault="00042580" w:rsidP="00042580">
            <w:pPr>
              <w:jc w:val="center"/>
            </w:pPr>
            <w:r w:rsidRPr="004F592F">
              <w:t>1,1682</w:t>
            </w:r>
          </w:p>
        </w:tc>
        <w:tc>
          <w:tcPr>
            <w:tcW w:w="1240" w:type="dxa"/>
            <w:shd w:val="clear" w:color="auto" w:fill="BFBFBF" w:themeFill="background1" w:themeFillShade="BF"/>
            <w:noWrap/>
            <w:vAlign w:val="center"/>
          </w:tcPr>
          <w:p w:rsidR="00042580" w:rsidRPr="004F592F" w:rsidRDefault="00042580" w:rsidP="00D728C9">
            <w:pPr>
              <w:jc w:val="center"/>
            </w:pPr>
            <w:r w:rsidRPr="004F592F">
              <w:t>ARSI</w:t>
            </w:r>
          </w:p>
        </w:tc>
        <w:tc>
          <w:tcPr>
            <w:tcW w:w="567" w:type="dxa"/>
            <w:shd w:val="clear" w:color="auto" w:fill="BFBFBF" w:themeFill="background1" w:themeFillShade="BF"/>
            <w:noWrap/>
            <w:vAlign w:val="center"/>
          </w:tcPr>
          <w:p w:rsidR="00042580" w:rsidRPr="004F592F" w:rsidRDefault="00042580" w:rsidP="00D728C9">
            <w:pPr>
              <w:jc w:val="center"/>
            </w:pPr>
            <w:proofErr w:type="gramStart"/>
            <w:r w:rsidRPr="004F592F">
              <w:t>2</w:t>
            </w:r>
            <w:proofErr w:type="gramEnd"/>
          </w:p>
        </w:tc>
        <w:tc>
          <w:tcPr>
            <w:tcW w:w="567" w:type="dxa"/>
            <w:shd w:val="clear" w:color="auto" w:fill="BFBFBF" w:themeFill="background1" w:themeFillShade="BF"/>
            <w:noWrap/>
            <w:vAlign w:val="center"/>
          </w:tcPr>
          <w:p w:rsidR="00042580" w:rsidRPr="004F592F" w:rsidRDefault="00042580" w:rsidP="00D728C9">
            <w:pPr>
              <w:jc w:val="center"/>
            </w:pPr>
            <w:proofErr w:type="gramStart"/>
            <w:r w:rsidRPr="004F592F">
              <w:t>2</w:t>
            </w:r>
            <w:proofErr w:type="gramEnd"/>
          </w:p>
        </w:tc>
        <w:tc>
          <w:tcPr>
            <w:tcW w:w="709" w:type="dxa"/>
            <w:shd w:val="clear" w:color="auto" w:fill="BFBFBF" w:themeFill="background1" w:themeFillShade="BF"/>
            <w:noWrap/>
            <w:vAlign w:val="center"/>
          </w:tcPr>
          <w:p w:rsidR="00042580" w:rsidRPr="004F592F" w:rsidRDefault="00042580" w:rsidP="00D728C9">
            <w:pPr>
              <w:jc w:val="center"/>
            </w:pPr>
            <w:proofErr w:type="gramStart"/>
            <w:r w:rsidRPr="004F592F">
              <w:t>4</w:t>
            </w:r>
            <w:proofErr w:type="gramEnd"/>
          </w:p>
        </w:tc>
      </w:tr>
      <w:tr w:rsidR="00042580"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shd w:val="clear" w:color="auto" w:fill="auto"/>
            <w:vAlign w:val="center"/>
          </w:tcPr>
          <w:p w:rsidR="00042580" w:rsidRPr="004F592F" w:rsidRDefault="00042580" w:rsidP="00D728C9">
            <w:pPr>
              <w:jc w:val="center"/>
            </w:pPr>
            <w:r w:rsidRPr="004F592F">
              <w:t>COPASA</w:t>
            </w:r>
          </w:p>
        </w:tc>
        <w:tc>
          <w:tcPr>
            <w:tcW w:w="866" w:type="dxa"/>
            <w:shd w:val="clear" w:color="auto" w:fill="auto"/>
            <w:vAlign w:val="center"/>
          </w:tcPr>
          <w:p w:rsidR="00042580" w:rsidRPr="004F592F" w:rsidRDefault="00042580" w:rsidP="00042580">
            <w:pPr>
              <w:jc w:val="center"/>
            </w:pPr>
            <w:r w:rsidRPr="004F592F">
              <w:t>1,0000</w:t>
            </w:r>
          </w:p>
        </w:tc>
        <w:tc>
          <w:tcPr>
            <w:tcW w:w="849" w:type="dxa"/>
            <w:shd w:val="clear" w:color="auto" w:fill="auto"/>
            <w:vAlign w:val="center"/>
          </w:tcPr>
          <w:p w:rsidR="00042580" w:rsidRPr="004F592F" w:rsidRDefault="00042580" w:rsidP="00042580">
            <w:pPr>
              <w:jc w:val="center"/>
            </w:pPr>
            <w:r w:rsidRPr="004F592F">
              <w:t>1,0000</w:t>
            </w:r>
          </w:p>
        </w:tc>
        <w:tc>
          <w:tcPr>
            <w:tcW w:w="851" w:type="dxa"/>
            <w:shd w:val="clear" w:color="auto" w:fill="auto"/>
            <w:vAlign w:val="center"/>
          </w:tcPr>
          <w:p w:rsidR="00042580" w:rsidRPr="004F592F" w:rsidRDefault="00042580" w:rsidP="00042580">
            <w:pPr>
              <w:jc w:val="center"/>
            </w:pPr>
            <w:r w:rsidRPr="004F592F">
              <w:t>1,2622</w:t>
            </w:r>
          </w:p>
        </w:tc>
        <w:tc>
          <w:tcPr>
            <w:tcW w:w="992" w:type="dxa"/>
            <w:shd w:val="clear" w:color="auto" w:fill="auto"/>
            <w:vAlign w:val="center"/>
          </w:tcPr>
          <w:p w:rsidR="00042580" w:rsidRPr="004F592F" w:rsidRDefault="00042580" w:rsidP="00042580">
            <w:pPr>
              <w:jc w:val="center"/>
            </w:pPr>
            <w:r w:rsidRPr="004F592F">
              <w:t>1,0000</w:t>
            </w:r>
          </w:p>
        </w:tc>
        <w:tc>
          <w:tcPr>
            <w:tcW w:w="992" w:type="dxa"/>
            <w:shd w:val="clear" w:color="auto" w:fill="auto"/>
            <w:vAlign w:val="center"/>
          </w:tcPr>
          <w:p w:rsidR="00042580" w:rsidRPr="004F592F" w:rsidRDefault="00042580" w:rsidP="00042580">
            <w:pPr>
              <w:jc w:val="center"/>
            </w:pPr>
            <w:r w:rsidRPr="004F592F">
              <w:t>1,2622</w:t>
            </w:r>
          </w:p>
        </w:tc>
        <w:tc>
          <w:tcPr>
            <w:tcW w:w="1240" w:type="dxa"/>
            <w:shd w:val="clear" w:color="auto" w:fill="auto"/>
            <w:noWrap/>
            <w:vAlign w:val="center"/>
          </w:tcPr>
          <w:p w:rsidR="00042580" w:rsidRPr="004F592F" w:rsidRDefault="00042580" w:rsidP="00D728C9">
            <w:pPr>
              <w:jc w:val="center"/>
            </w:pPr>
            <w:r w:rsidRPr="004F592F">
              <w:t>ARSAE</w:t>
            </w:r>
          </w:p>
        </w:tc>
        <w:tc>
          <w:tcPr>
            <w:tcW w:w="567" w:type="dxa"/>
            <w:shd w:val="clear" w:color="auto" w:fill="auto"/>
            <w:noWrap/>
            <w:vAlign w:val="center"/>
          </w:tcPr>
          <w:p w:rsidR="00042580" w:rsidRPr="004F592F" w:rsidRDefault="00042580" w:rsidP="00D728C9">
            <w:pPr>
              <w:jc w:val="center"/>
            </w:pPr>
            <w:proofErr w:type="gramStart"/>
            <w:r w:rsidRPr="004F592F">
              <w:t>7</w:t>
            </w:r>
            <w:proofErr w:type="gramEnd"/>
          </w:p>
        </w:tc>
        <w:tc>
          <w:tcPr>
            <w:tcW w:w="567" w:type="dxa"/>
            <w:shd w:val="clear" w:color="auto" w:fill="auto"/>
            <w:noWrap/>
            <w:vAlign w:val="center"/>
          </w:tcPr>
          <w:p w:rsidR="00042580" w:rsidRPr="004F592F" w:rsidRDefault="00042580" w:rsidP="00D728C9">
            <w:pPr>
              <w:jc w:val="center"/>
            </w:pPr>
            <w:proofErr w:type="gramStart"/>
            <w:r w:rsidRPr="004F592F">
              <w:t>4</w:t>
            </w:r>
            <w:proofErr w:type="gramEnd"/>
          </w:p>
        </w:tc>
        <w:tc>
          <w:tcPr>
            <w:tcW w:w="709" w:type="dxa"/>
            <w:shd w:val="clear" w:color="auto" w:fill="auto"/>
            <w:noWrap/>
            <w:vAlign w:val="center"/>
          </w:tcPr>
          <w:p w:rsidR="00042580" w:rsidRPr="004F592F" w:rsidRDefault="00042580" w:rsidP="00D728C9">
            <w:pPr>
              <w:jc w:val="center"/>
            </w:pPr>
            <w:r w:rsidRPr="004F592F">
              <w:t>11</w:t>
            </w:r>
          </w:p>
        </w:tc>
      </w:tr>
      <w:tr w:rsidR="00042580"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shd w:val="clear" w:color="auto" w:fill="BFBFBF" w:themeFill="background1" w:themeFillShade="BF"/>
            <w:noWrap/>
            <w:vAlign w:val="center"/>
          </w:tcPr>
          <w:p w:rsidR="00042580" w:rsidRPr="004F592F" w:rsidRDefault="00042580" w:rsidP="00D728C9">
            <w:pPr>
              <w:jc w:val="center"/>
            </w:pPr>
            <w:r w:rsidRPr="004F592F">
              <w:t>EMBASA</w:t>
            </w:r>
          </w:p>
        </w:tc>
        <w:tc>
          <w:tcPr>
            <w:tcW w:w="866" w:type="dxa"/>
            <w:shd w:val="clear" w:color="auto" w:fill="BFBFBF" w:themeFill="background1" w:themeFillShade="BF"/>
            <w:noWrap/>
            <w:vAlign w:val="center"/>
          </w:tcPr>
          <w:p w:rsidR="00042580" w:rsidRPr="004F592F" w:rsidRDefault="00042580" w:rsidP="00042580">
            <w:pPr>
              <w:jc w:val="center"/>
            </w:pPr>
            <w:r w:rsidRPr="004F592F">
              <w:t>1,0000</w:t>
            </w:r>
          </w:p>
        </w:tc>
        <w:tc>
          <w:tcPr>
            <w:tcW w:w="849" w:type="dxa"/>
            <w:shd w:val="clear" w:color="auto" w:fill="BFBFBF" w:themeFill="background1" w:themeFillShade="BF"/>
            <w:noWrap/>
            <w:vAlign w:val="center"/>
          </w:tcPr>
          <w:p w:rsidR="00042580" w:rsidRPr="004F592F" w:rsidRDefault="00042580" w:rsidP="00042580">
            <w:pPr>
              <w:jc w:val="center"/>
            </w:pPr>
            <w:r w:rsidRPr="004F592F">
              <w:t>0,8968</w:t>
            </w:r>
          </w:p>
        </w:tc>
        <w:tc>
          <w:tcPr>
            <w:tcW w:w="851" w:type="dxa"/>
            <w:shd w:val="clear" w:color="auto" w:fill="BFBFBF" w:themeFill="background1" w:themeFillShade="BF"/>
            <w:noWrap/>
            <w:vAlign w:val="center"/>
          </w:tcPr>
          <w:p w:rsidR="00042580" w:rsidRPr="004F592F" w:rsidRDefault="00042580" w:rsidP="00042580">
            <w:pPr>
              <w:jc w:val="center"/>
            </w:pPr>
            <w:r w:rsidRPr="004F592F">
              <w:t>0,9794</w:t>
            </w:r>
          </w:p>
        </w:tc>
        <w:tc>
          <w:tcPr>
            <w:tcW w:w="992" w:type="dxa"/>
            <w:shd w:val="clear" w:color="auto" w:fill="BFBFBF" w:themeFill="background1" w:themeFillShade="BF"/>
            <w:noWrap/>
            <w:vAlign w:val="center"/>
          </w:tcPr>
          <w:p w:rsidR="00042580" w:rsidRPr="004F592F" w:rsidRDefault="00042580" w:rsidP="00042580">
            <w:pPr>
              <w:jc w:val="center"/>
            </w:pPr>
            <w:r w:rsidRPr="004F592F">
              <w:t>0,8968</w:t>
            </w:r>
          </w:p>
        </w:tc>
        <w:tc>
          <w:tcPr>
            <w:tcW w:w="992" w:type="dxa"/>
            <w:shd w:val="clear" w:color="auto" w:fill="BFBFBF" w:themeFill="background1" w:themeFillShade="BF"/>
            <w:noWrap/>
            <w:vAlign w:val="center"/>
          </w:tcPr>
          <w:p w:rsidR="00042580" w:rsidRPr="004F592F" w:rsidRDefault="00042580" w:rsidP="00042580">
            <w:pPr>
              <w:jc w:val="center"/>
            </w:pPr>
            <w:r w:rsidRPr="004F592F">
              <w:t>1,0921</w:t>
            </w:r>
          </w:p>
        </w:tc>
        <w:tc>
          <w:tcPr>
            <w:tcW w:w="1240" w:type="dxa"/>
            <w:shd w:val="clear" w:color="auto" w:fill="BFBFBF" w:themeFill="background1" w:themeFillShade="BF"/>
            <w:noWrap/>
            <w:vAlign w:val="center"/>
          </w:tcPr>
          <w:p w:rsidR="00042580" w:rsidRPr="004F592F" w:rsidRDefault="00042580" w:rsidP="00D728C9">
            <w:pPr>
              <w:jc w:val="center"/>
            </w:pPr>
            <w:r w:rsidRPr="004F592F">
              <w:t>CORESAB</w:t>
            </w:r>
          </w:p>
        </w:tc>
        <w:tc>
          <w:tcPr>
            <w:tcW w:w="567" w:type="dxa"/>
            <w:shd w:val="clear" w:color="auto" w:fill="BFBFBF" w:themeFill="background1" w:themeFillShade="BF"/>
            <w:noWrap/>
            <w:vAlign w:val="center"/>
          </w:tcPr>
          <w:p w:rsidR="00042580" w:rsidRPr="004F592F" w:rsidRDefault="00042580" w:rsidP="00D728C9">
            <w:pPr>
              <w:jc w:val="center"/>
            </w:pPr>
            <w:proofErr w:type="gramStart"/>
            <w:r w:rsidRPr="004F592F">
              <w:t>4</w:t>
            </w:r>
            <w:proofErr w:type="gramEnd"/>
          </w:p>
        </w:tc>
        <w:tc>
          <w:tcPr>
            <w:tcW w:w="567" w:type="dxa"/>
            <w:shd w:val="clear" w:color="auto" w:fill="BFBFBF" w:themeFill="background1" w:themeFillShade="BF"/>
            <w:noWrap/>
            <w:vAlign w:val="center"/>
          </w:tcPr>
          <w:p w:rsidR="00042580" w:rsidRPr="004F592F" w:rsidRDefault="00042580" w:rsidP="00D728C9">
            <w:pPr>
              <w:jc w:val="center"/>
            </w:pPr>
            <w:proofErr w:type="gramStart"/>
            <w:r w:rsidRPr="004F592F">
              <w:t>3</w:t>
            </w:r>
            <w:proofErr w:type="gramEnd"/>
          </w:p>
        </w:tc>
        <w:tc>
          <w:tcPr>
            <w:tcW w:w="709" w:type="dxa"/>
            <w:shd w:val="clear" w:color="auto" w:fill="BFBFBF" w:themeFill="background1" w:themeFillShade="BF"/>
            <w:noWrap/>
            <w:vAlign w:val="center"/>
          </w:tcPr>
          <w:p w:rsidR="00042580" w:rsidRPr="004F592F" w:rsidRDefault="00042580" w:rsidP="00D728C9">
            <w:pPr>
              <w:jc w:val="center"/>
            </w:pPr>
            <w:proofErr w:type="gramStart"/>
            <w:r w:rsidRPr="004F592F">
              <w:t>7</w:t>
            </w:r>
            <w:proofErr w:type="gramEnd"/>
          </w:p>
        </w:tc>
      </w:tr>
      <w:tr w:rsidR="00042580"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vMerge w:val="restart"/>
            <w:shd w:val="clear" w:color="auto" w:fill="auto"/>
            <w:noWrap/>
            <w:vAlign w:val="center"/>
          </w:tcPr>
          <w:p w:rsidR="00042580" w:rsidRPr="004F592F" w:rsidRDefault="00042580" w:rsidP="00D728C9">
            <w:pPr>
              <w:jc w:val="center"/>
            </w:pPr>
            <w:r w:rsidRPr="004F592F">
              <w:t>SABESP</w:t>
            </w:r>
          </w:p>
        </w:tc>
        <w:tc>
          <w:tcPr>
            <w:tcW w:w="866" w:type="dxa"/>
            <w:vMerge w:val="restart"/>
            <w:shd w:val="clear" w:color="auto" w:fill="auto"/>
            <w:noWrap/>
            <w:vAlign w:val="center"/>
          </w:tcPr>
          <w:p w:rsidR="00042580" w:rsidRPr="004F592F" w:rsidRDefault="00042580" w:rsidP="00042580">
            <w:pPr>
              <w:jc w:val="center"/>
            </w:pPr>
            <w:r w:rsidRPr="004F592F">
              <w:t>1,0000</w:t>
            </w:r>
          </w:p>
        </w:tc>
        <w:tc>
          <w:tcPr>
            <w:tcW w:w="849" w:type="dxa"/>
            <w:vMerge w:val="restart"/>
            <w:shd w:val="clear" w:color="auto" w:fill="auto"/>
            <w:noWrap/>
            <w:vAlign w:val="center"/>
          </w:tcPr>
          <w:p w:rsidR="00042580" w:rsidRPr="004F592F" w:rsidRDefault="00042580" w:rsidP="00042580">
            <w:pPr>
              <w:jc w:val="center"/>
            </w:pPr>
            <w:r w:rsidRPr="004F592F">
              <w:t>1,0000</w:t>
            </w:r>
          </w:p>
        </w:tc>
        <w:tc>
          <w:tcPr>
            <w:tcW w:w="851" w:type="dxa"/>
            <w:vMerge w:val="restart"/>
            <w:shd w:val="clear" w:color="auto" w:fill="auto"/>
            <w:noWrap/>
            <w:vAlign w:val="center"/>
          </w:tcPr>
          <w:p w:rsidR="00042580" w:rsidRPr="004F592F" w:rsidRDefault="00042580" w:rsidP="00042580">
            <w:pPr>
              <w:jc w:val="center"/>
            </w:pPr>
            <w:r w:rsidRPr="004F592F">
              <w:t>0,9692</w:t>
            </w:r>
          </w:p>
        </w:tc>
        <w:tc>
          <w:tcPr>
            <w:tcW w:w="992" w:type="dxa"/>
            <w:vMerge w:val="restart"/>
            <w:shd w:val="clear" w:color="auto" w:fill="auto"/>
            <w:noWrap/>
            <w:vAlign w:val="center"/>
          </w:tcPr>
          <w:p w:rsidR="00042580" w:rsidRPr="004F592F" w:rsidRDefault="00042580" w:rsidP="00042580">
            <w:pPr>
              <w:jc w:val="center"/>
            </w:pPr>
            <w:r w:rsidRPr="004F592F">
              <w:t>1,0000</w:t>
            </w:r>
          </w:p>
        </w:tc>
        <w:tc>
          <w:tcPr>
            <w:tcW w:w="992" w:type="dxa"/>
            <w:vMerge w:val="restart"/>
            <w:shd w:val="clear" w:color="auto" w:fill="auto"/>
            <w:noWrap/>
            <w:vAlign w:val="center"/>
          </w:tcPr>
          <w:p w:rsidR="00042580" w:rsidRPr="004F592F" w:rsidRDefault="00042580" w:rsidP="00042580">
            <w:pPr>
              <w:jc w:val="center"/>
            </w:pPr>
            <w:r w:rsidRPr="004F592F">
              <w:t>0,9692</w:t>
            </w:r>
          </w:p>
        </w:tc>
        <w:tc>
          <w:tcPr>
            <w:tcW w:w="1240" w:type="dxa"/>
            <w:shd w:val="clear" w:color="auto" w:fill="auto"/>
            <w:noWrap/>
            <w:vAlign w:val="center"/>
          </w:tcPr>
          <w:p w:rsidR="00042580" w:rsidRPr="004F592F" w:rsidRDefault="00042580" w:rsidP="00D728C9">
            <w:pPr>
              <w:jc w:val="center"/>
            </w:pPr>
            <w:r w:rsidRPr="004F592F">
              <w:t>ARSESP</w:t>
            </w:r>
          </w:p>
        </w:tc>
        <w:tc>
          <w:tcPr>
            <w:tcW w:w="567" w:type="dxa"/>
            <w:shd w:val="clear" w:color="auto" w:fill="auto"/>
            <w:noWrap/>
            <w:vAlign w:val="center"/>
          </w:tcPr>
          <w:p w:rsidR="00042580" w:rsidRPr="004F592F" w:rsidRDefault="00042580" w:rsidP="00D728C9">
            <w:pPr>
              <w:jc w:val="center"/>
            </w:pPr>
            <w:r w:rsidRPr="004F592F">
              <w:t>25</w:t>
            </w:r>
          </w:p>
        </w:tc>
        <w:tc>
          <w:tcPr>
            <w:tcW w:w="567" w:type="dxa"/>
            <w:shd w:val="clear" w:color="auto" w:fill="auto"/>
            <w:noWrap/>
            <w:vAlign w:val="center"/>
          </w:tcPr>
          <w:p w:rsidR="00042580" w:rsidRPr="004F592F" w:rsidRDefault="00042580" w:rsidP="00D728C9">
            <w:pPr>
              <w:jc w:val="center"/>
            </w:pPr>
            <w:proofErr w:type="gramStart"/>
            <w:r w:rsidRPr="004F592F">
              <w:t>5</w:t>
            </w:r>
            <w:proofErr w:type="gramEnd"/>
          </w:p>
        </w:tc>
        <w:tc>
          <w:tcPr>
            <w:tcW w:w="709" w:type="dxa"/>
            <w:shd w:val="clear" w:color="auto" w:fill="auto"/>
            <w:noWrap/>
            <w:vAlign w:val="center"/>
          </w:tcPr>
          <w:p w:rsidR="00042580" w:rsidRPr="004F592F" w:rsidRDefault="00042580" w:rsidP="00D728C9">
            <w:pPr>
              <w:jc w:val="center"/>
            </w:pPr>
            <w:r w:rsidRPr="004F592F">
              <w:t>30</w:t>
            </w:r>
          </w:p>
        </w:tc>
      </w:tr>
      <w:tr w:rsidR="00642B41"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vMerge/>
            <w:shd w:val="clear" w:color="auto" w:fill="BFBFBF" w:themeFill="background1" w:themeFillShade="BF"/>
            <w:noWrap/>
            <w:vAlign w:val="center"/>
          </w:tcPr>
          <w:p w:rsidR="00642B41" w:rsidRPr="004F592F" w:rsidRDefault="00642B41" w:rsidP="00D728C9"/>
        </w:tc>
        <w:tc>
          <w:tcPr>
            <w:tcW w:w="866" w:type="dxa"/>
            <w:vMerge/>
            <w:shd w:val="clear" w:color="auto" w:fill="BFBFBF" w:themeFill="background1" w:themeFillShade="BF"/>
            <w:noWrap/>
            <w:vAlign w:val="center"/>
          </w:tcPr>
          <w:p w:rsidR="00642B41" w:rsidRPr="004F592F" w:rsidRDefault="00642B41" w:rsidP="00642B41">
            <w:pPr>
              <w:jc w:val="center"/>
            </w:pPr>
          </w:p>
        </w:tc>
        <w:tc>
          <w:tcPr>
            <w:tcW w:w="849" w:type="dxa"/>
            <w:vMerge/>
            <w:shd w:val="clear" w:color="auto" w:fill="BFBFBF" w:themeFill="background1" w:themeFillShade="BF"/>
            <w:noWrap/>
            <w:vAlign w:val="center"/>
          </w:tcPr>
          <w:p w:rsidR="00642B41" w:rsidRPr="004F592F" w:rsidRDefault="00642B41" w:rsidP="00642B41">
            <w:pPr>
              <w:jc w:val="center"/>
            </w:pPr>
          </w:p>
        </w:tc>
        <w:tc>
          <w:tcPr>
            <w:tcW w:w="851" w:type="dxa"/>
            <w:vMerge/>
            <w:shd w:val="clear" w:color="auto" w:fill="BFBFBF" w:themeFill="background1" w:themeFillShade="BF"/>
            <w:noWrap/>
            <w:vAlign w:val="center"/>
          </w:tcPr>
          <w:p w:rsidR="00642B41" w:rsidRPr="004F592F" w:rsidRDefault="00642B41" w:rsidP="00642B41">
            <w:pPr>
              <w:jc w:val="center"/>
            </w:pPr>
          </w:p>
        </w:tc>
        <w:tc>
          <w:tcPr>
            <w:tcW w:w="992" w:type="dxa"/>
            <w:vMerge/>
            <w:shd w:val="clear" w:color="auto" w:fill="BFBFBF" w:themeFill="background1" w:themeFillShade="BF"/>
            <w:noWrap/>
            <w:vAlign w:val="center"/>
          </w:tcPr>
          <w:p w:rsidR="00642B41" w:rsidRPr="004F592F" w:rsidRDefault="00642B41" w:rsidP="00642B41">
            <w:pPr>
              <w:jc w:val="center"/>
            </w:pPr>
          </w:p>
        </w:tc>
        <w:tc>
          <w:tcPr>
            <w:tcW w:w="992" w:type="dxa"/>
            <w:vMerge/>
            <w:shd w:val="clear" w:color="auto" w:fill="BFBFBF" w:themeFill="background1" w:themeFillShade="BF"/>
            <w:noWrap/>
            <w:vAlign w:val="center"/>
          </w:tcPr>
          <w:p w:rsidR="00642B41" w:rsidRPr="004F592F" w:rsidRDefault="00642B41" w:rsidP="00642B41">
            <w:pPr>
              <w:jc w:val="center"/>
            </w:pPr>
          </w:p>
        </w:tc>
        <w:tc>
          <w:tcPr>
            <w:tcW w:w="1240" w:type="dxa"/>
            <w:shd w:val="clear" w:color="auto" w:fill="auto"/>
            <w:noWrap/>
            <w:vAlign w:val="center"/>
          </w:tcPr>
          <w:p w:rsidR="00642B41" w:rsidRPr="004F592F" w:rsidRDefault="00642B41" w:rsidP="00D728C9">
            <w:pPr>
              <w:jc w:val="center"/>
            </w:pPr>
            <w:r w:rsidRPr="004F592F">
              <w:t>ARES-PCJ</w:t>
            </w:r>
          </w:p>
        </w:tc>
        <w:tc>
          <w:tcPr>
            <w:tcW w:w="567" w:type="dxa"/>
            <w:shd w:val="clear" w:color="auto" w:fill="auto"/>
            <w:noWrap/>
            <w:vAlign w:val="center"/>
          </w:tcPr>
          <w:p w:rsidR="00642B41" w:rsidRPr="004F592F" w:rsidRDefault="00642B41" w:rsidP="00D728C9">
            <w:pPr>
              <w:jc w:val="center"/>
            </w:pPr>
            <w:proofErr w:type="gramStart"/>
            <w:r w:rsidRPr="004F592F">
              <w:t>0</w:t>
            </w:r>
            <w:proofErr w:type="gramEnd"/>
          </w:p>
        </w:tc>
        <w:tc>
          <w:tcPr>
            <w:tcW w:w="567" w:type="dxa"/>
            <w:shd w:val="clear" w:color="auto" w:fill="auto"/>
            <w:noWrap/>
            <w:vAlign w:val="center"/>
          </w:tcPr>
          <w:p w:rsidR="00642B41" w:rsidRPr="004F592F" w:rsidRDefault="00642B41" w:rsidP="00D728C9">
            <w:pPr>
              <w:jc w:val="center"/>
            </w:pPr>
            <w:proofErr w:type="gramStart"/>
            <w:r w:rsidRPr="004F592F">
              <w:t>0</w:t>
            </w:r>
            <w:proofErr w:type="gramEnd"/>
          </w:p>
        </w:tc>
        <w:tc>
          <w:tcPr>
            <w:tcW w:w="709" w:type="dxa"/>
            <w:shd w:val="clear" w:color="auto" w:fill="auto"/>
            <w:noWrap/>
            <w:vAlign w:val="center"/>
          </w:tcPr>
          <w:p w:rsidR="00642B41" w:rsidRPr="004F592F" w:rsidRDefault="00642B41" w:rsidP="00D728C9">
            <w:pPr>
              <w:jc w:val="center"/>
            </w:pPr>
            <w:proofErr w:type="gramStart"/>
            <w:r w:rsidRPr="004F592F">
              <w:t>0</w:t>
            </w:r>
            <w:proofErr w:type="gramEnd"/>
          </w:p>
        </w:tc>
      </w:tr>
      <w:tr w:rsidR="00042580" w:rsidRPr="004F592F" w:rsidTr="00D638D9">
        <w:trPr>
          <w:cnfStyle w:val="000000100000" w:firstRow="0" w:lastRow="0" w:firstColumn="0" w:lastColumn="0" w:oddVBand="0" w:evenVBand="0" w:oddHBand="1" w:evenHBand="0" w:firstRowFirstColumn="0" w:firstRowLastColumn="0" w:lastRowFirstColumn="0" w:lastRowLastColumn="0"/>
          <w:trHeight w:val="227"/>
          <w:jc w:val="center"/>
        </w:trPr>
        <w:tc>
          <w:tcPr>
            <w:tcW w:w="1337" w:type="dxa"/>
            <w:shd w:val="clear" w:color="auto" w:fill="A6A6A6" w:themeFill="background1" w:themeFillShade="A6"/>
            <w:noWrap/>
            <w:vAlign w:val="center"/>
          </w:tcPr>
          <w:p w:rsidR="00042580" w:rsidRPr="004F592F" w:rsidRDefault="00042580" w:rsidP="00D728C9">
            <w:pPr>
              <w:jc w:val="center"/>
            </w:pPr>
            <w:r w:rsidRPr="004F592F">
              <w:t>SANEATINS</w:t>
            </w:r>
          </w:p>
        </w:tc>
        <w:tc>
          <w:tcPr>
            <w:tcW w:w="866" w:type="dxa"/>
            <w:shd w:val="clear" w:color="auto" w:fill="A6A6A6" w:themeFill="background1" w:themeFillShade="A6"/>
            <w:noWrap/>
            <w:vAlign w:val="center"/>
          </w:tcPr>
          <w:p w:rsidR="00042580" w:rsidRPr="004F592F" w:rsidRDefault="00042580" w:rsidP="00042580">
            <w:pPr>
              <w:jc w:val="center"/>
            </w:pPr>
            <w:r w:rsidRPr="004F592F">
              <w:t>1,0000</w:t>
            </w:r>
          </w:p>
        </w:tc>
        <w:tc>
          <w:tcPr>
            <w:tcW w:w="849" w:type="dxa"/>
            <w:shd w:val="clear" w:color="auto" w:fill="A6A6A6" w:themeFill="background1" w:themeFillShade="A6"/>
            <w:noWrap/>
            <w:vAlign w:val="center"/>
          </w:tcPr>
          <w:p w:rsidR="00042580" w:rsidRPr="004F592F" w:rsidRDefault="00042580" w:rsidP="00042580">
            <w:pPr>
              <w:jc w:val="center"/>
            </w:pPr>
            <w:r w:rsidRPr="004F592F">
              <w:t>1,0000</w:t>
            </w:r>
          </w:p>
        </w:tc>
        <w:tc>
          <w:tcPr>
            <w:tcW w:w="851" w:type="dxa"/>
            <w:shd w:val="clear" w:color="auto" w:fill="A6A6A6" w:themeFill="background1" w:themeFillShade="A6"/>
            <w:noWrap/>
            <w:vAlign w:val="center"/>
          </w:tcPr>
          <w:p w:rsidR="00042580" w:rsidRPr="004F592F" w:rsidRDefault="00042580" w:rsidP="00042580">
            <w:pPr>
              <w:jc w:val="center"/>
            </w:pPr>
            <w:r w:rsidRPr="004F592F">
              <w:t>0,9425</w:t>
            </w:r>
          </w:p>
        </w:tc>
        <w:tc>
          <w:tcPr>
            <w:tcW w:w="992" w:type="dxa"/>
            <w:shd w:val="clear" w:color="auto" w:fill="A6A6A6" w:themeFill="background1" w:themeFillShade="A6"/>
            <w:noWrap/>
            <w:vAlign w:val="center"/>
          </w:tcPr>
          <w:p w:rsidR="00042580" w:rsidRPr="004F592F" w:rsidRDefault="00042580" w:rsidP="00042580">
            <w:pPr>
              <w:jc w:val="center"/>
            </w:pPr>
            <w:r w:rsidRPr="004F592F">
              <w:t>1,0000</w:t>
            </w:r>
          </w:p>
        </w:tc>
        <w:tc>
          <w:tcPr>
            <w:tcW w:w="992" w:type="dxa"/>
            <w:shd w:val="clear" w:color="auto" w:fill="A6A6A6" w:themeFill="background1" w:themeFillShade="A6"/>
            <w:noWrap/>
            <w:vAlign w:val="center"/>
          </w:tcPr>
          <w:p w:rsidR="00042580" w:rsidRPr="004F592F" w:rsidRDefault="00042580" w:rsidP="00042580">
            <w:pPr>
              <w:jc w:val="center"/>
            </w:pPr>
            <w:r w:rsidRPr="004F592F">
              <w:t>0,9425</w:t>
            </w:r>
          </w:p>
        </w:tc>
        <w:tc>
          <w:tcPr>
            <w:tcW w:w="1240" w:type="dxa"/>
            <w:shd w:val="clear" w:color="auto" w:fill="A6A6A6" w:themeFill="background1" w:themeFillShade="A6"/>
            <w:noWrap/>
            <w:vAlign w:val="center"/>
          </w:tcPr>
          <w:p w:rsidR="00042580" w:rsidRPr="004F592F" w:rsidRDefault="00042580" w:rsidP="00D728C9">
            <w:pPr>
              <w:jc w:val="center"/>
            </w:pPr>
            <w:r w:rsidRPr="004F592F">
              <w:t>ATR</w:t>
            </w:r>
          </w:p>
        </w:tc>
        <w:tc>
          <w:tcPr>
            <w:tcW w:w="567" w:type="dxa"/>
            <w:shd w:val="clear" w:color="auto" w:fill="A6A6A6" w:themeFill="background1" w:themeFillShade="A6"/>
            <w:noWrap/>
            <w:vAlign w:val="center"/>
          </w:tcPr>
          <w:p w:rsidR="00042580" w:rsidRPr="004F592F" w:rsidRDefault="00042580" w:rsidP="00D728C9">
            <w:pPr>
              <w:jc w:val="center"/>
            </w:pPr>
            <w:proofErr w:type="gramStart"/>
            <w:r w:rsidRPr="004F592F">
              <w:t>3</w:t>
            </w:r>
            <w:proofErr w:type="gramEnd"/>
          </w:p>
        </w:tc>
        <w:tc>
          <w:tcPr>
            <w:tcW w:w="567" w:type="dxa"/>
            <w:shd w:val="clear" w:color="auto" w:fill="A6A6A6" w:themeFill="background1" w:themeFillShade="A6"/>
            <w:noWrap/>
            <w:vAlign w:val="center"/>
          </w:tcPr>
          <w:p w:rsidR="00042580" w:rsidRPr="004F592F" w:rsidRDefault="00042580" w:rsidP="00D728C9">
            <w:pPr>
              <w:jc w:val="center"/>
            </w:pPr>
            <w:proofErr w:type="gramStart"/>
            <w:r w:rsidRPr="004F592F">
              <w:t>4</w:t>
            </w:r>
            <w:proofErr w:type="gramEnd"/>
          </w:p>
        </w:tc>
        <w:tc>
          <w:tcPr>
            <w:tcW w:w="709" w:type="dxa"/>
            <w:shd w:val="clear" w:color="auto" w:fill="A6A6A6" w:themeFill="background1" w:themeFillShade="A6"/>
            <w:noWrap/>
            <w:vAlign w:val="center"/>
          </w:tcPr>
          <w:p w:rsidR="00042580" w:rsidRPr="004F592F" w:rsidRDefault="00042580" w:rsidP="00D728C9">
            <w:pPr>
              <w:jc w:val="center"/>
            </w:pPr>
            <w:proofErr w:type="gramStart"/>
            <w:r w:rsidRPr="004F592F">
              <w:t>7</w:t>
            </w:r>
            <w:proofErr w:type="gramEnd"/>
          </w:p>
        </w:tc>
      </w:tr>
      <w:tr w:rsidR="00042580" w:rsidRPr="004F592F" w:rsidTr="00D638D9">
        <w:trPr>
          <w:cnfStyle w:val="000000010000" w:firstRow="0" w:lastRow="0" w:firstColumn="0" w:lastColumn="0" w:oddVBand="0" w:evenVBand="0" w:oddHBand="0" w:evenHBand="1" w:firstRowFirstColumn="0" w:firstRowLastColumn="0" w:lastRowFirstColumn="0" w:lastRowLastColumn="0"/>
          <w:trHeight w:val="227"/>
          <w:jc w:val="center"/>
        </w:trPr>
        <w:tc>
          <w:tcPr>
            <w:tcW w:w="1337" w:type="dxa"/>
            <w:shd w:val="clear" w:color="auto" w:fill="auto"/>
            <w:noWrap/>
            <w:vAlign w:val="center"/>
          </w:tcPr>
          <w:p w:rsidR="00042580" w:rsidRPr="004F592F" w:rsidRDefault="00042580" w:rsidP="00D728C9">
            <w:pPr>
              <w:jc w:val="center"/>
            </w:pPr>
            <w:r w:rsidRPr="004F592F">
              <w:t>SANEPAR</w:t>
            </w:r>
          </w:p>
        </w:tc>
        <w:tc>
          <w:tcPr>
            <w:tcW w:w="866" w:type="dxa"/>
            <w:shd w:val="clear" w:color="auto" w:fill="auto"/>
            <w:noWrap/>
            <w:vAlign w:val="center"/>
          </w:tcPr>
          <w:p w:rsidR="00042580" w:rsidRPr="004F592F" w:rsidRDefault="00042580" w:rsidP="00042580">
            <w:pPr>
              <w:jc w:val="center"/>
            </w:pPr>
            <w:r w:rsidRPr="004F592F">
              <w:t>1,0000</w:t>
            </w:r>
          </w:p>
        </w:tc>
        <w:tc>
          <w:tcPr>
            <w:tcW w:w="849" w:type="dxa"/>
            <w:shd w:val="clear" w:color="auto" w:fill="auto"/>
            <w:noWrap/>
            <w:vAlign w:val="center"/>
          </w:tcPr>
          <w:p w:rsidR="00042580" w:rsidRPr="004F592F" w:rsidRDefault="00042580" w:rsidP="00042580">
            <w:pPr>
              <w:jc w:val="center"/>
            </w:pPr>
            <w:r w:rsidRPr="004F592F">
              <w:t>1,0000</w:t>
            </w:r>
          </w:p>
        </w:tc>
        <w:tc>
          <w:tcPr>
            <w:tcW w:w="851" w:type="dxa"/>
            <w:shd w:val="clear" w:color="auto" w:fill="auto"/>
            <w:noWrap/>
            <w:vAlign w:val="center"/>
          </w:tcPr>
          <w:p w:rsidR="00042580" w:rsidRPr="004F592F" w:rsidRDefault="00042580" w:rsidP="00042580">
            <w:pPr>
              <w:jc w:val="center"/>
            </w:pPr>
            <w:r w:rsidRPr="004F592F">
              <w:t>1,2046</w:t>
            </w:r>
          </w:p>
        </w:tc>
        <w:tc>
          <w:tcPr>
            <w:tcW w:w="992" w:type="dxa"/>
            <w:shd w:val="clear" w:color="auto" w:fill="auto"/>
            <w:noWrap/>
            <w:vAlign w:val="center"/>
          </w:tcPr>
          <w:p w:rsidR="00042580" w:rsidRPr="004F592F" w:rsidRDefault="00042580" w:rsidP="00042580">
            <w:pPr>
              <w:jc w:val="center"/>
            </w:pPr>
            <w:r w:rsidRPr="004F592F">
              <w:t>1,0000</w:t>
            </w:r>
          </w:p>
        </w:tc>
        <w:tc>
          <w:tcPr>
            <w:tcW w:w="992" w:type="dxa"/>
            <w:shd w:val="clear" w:color="auto" w:fill="auto"/>
            <w:noWrap/>
            <w:vAlign w:val="center"/>
          </w:tcPr>
          <w:p w:rsidR="00042580" w:rsidRPr="004F592F" w:rsidRDefault="00042580" w:rsidP="00042580">
            <w:pPr>
              <w:jc w:val="center"/>
            </w:pPr>
            <w:r w:rsidRPr="004F592F">
              <w:t>1,2046</w:t>
            </w:r>
          </w:p>
        </w:tc>
        <w:tc>
          <w:tcPr>
            <w:tcW w:w="1240" w:type="dxa"/>
            <w:shd w:val="clear" w:color="auto" w:fill="auto"/>
            <w:noWrap/>
            <w:vAlign w:val="center"/>
          </w:tcPr>
          <w:p w:rsidR="00042580" w:rsidRPr="004F592F" w:rsidRDefault="00042580" w:rsidP="00D728C9">
            <w:pPr>
              <w:jc w:val="center"/>
            </w:pPr>
            <w:r w:rsidRPr="004F592F">
              <w:t>ARIS</w:t>
            </w:r>
          </w:p>
        </w:tc>
        <w:tc>
          <w:tcPr>
            <w:tcW w:w="567" w:type="dxa"/>
            <w:shd w:val="clear" w:color="auto" w:fill="auto"/>
            <w:noWrap/>
            <w:vAlign w:val="center"/>
          </w:tcPr>
          <w:p w:rsidR="00042580" w:rsidRPr="004F592F" w:rsidRDefault="00042580" w:rsidP="00D728C9">
            <w:pPr>
              <w:jc w:val="center"/>
            </w:pPr>
            <w:proofErr w:type="gramStart"/>
            <w:r w:rsidRPr="004F592F">
              <w:t>0</w:t>
            </w:r>
            <w:proofErr w:type="gramEnd"/>
          </w:p>
        </w:tc>
        <w:tc>
          <w:tcPr>
            <w:tcW w:w="567" w:type="dxa"/>
            <w:shd w:val="clear" w:color="auto" w:fill="auto"/>
            <w:noWrap/>
            <w:vAlign w:val="center"/>
          </w:tcPr>
          <w:p w:rsidR="00042580" w:rsidRPr="004F592F" w:rsidRDefault="00042580" w:rsidP="00D728C9">
            <w:pPr>
              <w:jc w:val="center"/>
            </w:pPr>
            <w:proofErr w:type="gramStart"/>
            <w:r w:rsidRPr="004F592F">
              <w:t>3</w:t>
            </w:r>
            <w:proofErr w:type="gramEnd"/>
          </w:p>
        </w:tc>
        <w:tc>
          <w:tcPr>
            <w:tcW w:w="709" w:type="dxa"/>
            <w:shd w:val="clear" w:color="auto" w:fill="auto"/>
            <w:noWrap/>
            <w:vAlign w:val="center"/>
          </w:tcPr>
          <w:p w:rsidR="00042580" w:rsidRPr="004F592F" w:rsidRDefault="00042580" w:rsidP="00D728C9">
            <w:pPr>
              <w:jc w:val="center"/>
            </w:pPr>
            <w:proofErr w:type="gramStart"/>
            <w:r w:rsidRPr="004F592F">
              <w:t>3</w:t>
            </w:r>
            <w:proofErr w:type="gramEnd"/>
          </w:p>
        </w:tc>
      </w:tr>
    </w:tbl>
    <w:p w:rsidR="00642B41" w:rsidRPr="00642B41" w:rsidRDefault="00642B41" w:rsidP="00DD6D15">
      <w:pPr>
        <w:spacing w:after="0" w:line="240" w:lineRule="auto"/>
        <w:ind w:left="708"/>
        <w:jc w:val="both"/>
        <w:outlineLvl w:val="0"/>
        <w:rPr>
          <w:rFonts w:ascii="Times New Roman" w:hAnsi="Times New Roman" w:cs="Times New Roman"/>
          <w:sz w:val="20"/>
        </w:rPr>
      </w:pPr>
      <w:r w:rsidRPr="00642B41">
        <w:rPr>
          <w:rFonts w:ascii="Times New Roman" w:hAnsi="Times New Roman" w:cs="Times New Roman"/>
          <w:b/>
          <w:sz w:val="20"/>
        </w:rPr>
        <w:t>Fonte</w:t>
      </w:r>
      <w:r w:rsidRPr="00642B41">
        <w:rPr>
          <w:rFonts w:ascii="Times New Roman" w:hAnsi="Times New Roman" w:cs="Times New Roman"/>
          <w:sz w:val="20"/>
        </w:rPr>
        <w:t>: Elaboração d</w:t>
      </w:r>
      <w:r w:rsidR="00DB2170">
        <w:rPr>
          <w:rFonts w:ascii="Times New Roman" w:hAnsi="Times New Roman" w:cs="Times New Roman"/>
          <w:sz w:val="20"/>
        </w:rPr>
        <w:t>os autores</w:t>
      </w:r>
      <w:r w:rsidRPr="00642B41">
        <w:rPr>
          <w:rFonts w:ascii="Times New Roman" w:hAnsi="Times New Roman" w:cs="Times New Roman"/>
          <w:sz w:val="20"/>
        </w:rPr>
        <w:t>.</w:t>
      </w:r>
    </w:p>
    <w:p w:rsidR="00642B41" w:rsidRDefault="00642B41" w:rsidP="002B1616">
      <w:pPr>
        <w:spacing w:after="0" w:line="240" w:lineRule="auto"/>
        <w:jc w:val="both"/>
        <w:rPr>
          <w:rFonts w:ascii="Times New Roman" w:hAnsi="Times New Roman" w:cs="Times New Roman"/>
          <w:sz w:val="24"/>
          <w:szCs w:val="24"/>
        </w:rPr>
      </w:pPr>
    </w:p>
    <w:p w:rsidR="00DB2170" w:rsidRPr="00DB2170" w:rsidRDefault="00DB2170" w:rsidP="00DB2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84341">
        <w:rPr>
          <w:rFonts w:ascii="Times New Roman" w:hAnsi="Times New Roman" w:cs="Times New Roman"/>
          <w:sz w:val="24"/>
          <w:szCs w:val="24"/>
        </w:rPr>
        <w:t xml:space="preserve">Os outros prestadores de SAA e SES que foram eficientes em 2006 e 2011 foram COPASA, SANEATINS e SANEPAR. </w:t>
      </w:r>
      <w:r w:rsidR="00D926F3" w:rsidRPr="00D926F3">
        <w:rPr>
          <w:rFonts w:ascii="Times New Roman" w:hAnsi="Times New Roman" w:cs="Times New Roman"/>
          <w:sz w:val="24"/>
          <w:szCs w:val="24"/>
        </w:rPr>
        <w:t xml:space="preserve">A análise das normas editadas para esses prestadores indicou a predominância dos temas de reajustes tarifários e de condições gerais da prestação e da utilização dos SAA SES, em alguns casos, com a definição de padrões de eficiência e metas a serem perseguidos pelo prestador, além do incentivo à adoção de novas tecnologias. Nesse grupo, merece destaque a ARSAE, que </w:t>
      </w:r>
      <w:r w:rsidRPr="00DB2170">
        <w:rPr>
          <w:rFonts w:ascii="Times New Roman" w:hAnsi="Times New Roman" w:cs="Times New Roman"/>
          <w:sz w:val="24"/>
          <w:szCs w:val="24"/>
        </w:rPr>
        <w:t>definiu a metodologia a ser seguida para realização da primeira revisão tarifária da COPASA</w:t>
      </w:r>
      <w:r w:rsidR="00A84E06">
        <w:rPr>
          <w:rFonts w:ascii="Times New Roman" w:hAnsi="Times New Roman" w:cs="Times New Roman"/>
          <w:sz w:val="24"/>
          <w:szCs w:val="24"/>
        </w:rPr>
        <w:t xml:space="preserve">, </w:t>
      </w:r>
      <w:r w:rsidRPr="00DB2170">
        <w:rPr>
          <w:rFonts w:ascii="Times New Roman" w:hAnsi="Times New Roman" w:cs="Times New Roman"/>
          <w:sz w:val="24"/>
          <w:szCs w:val="24"/>
        </w:rPr>
        <w:t>contempla</w:t>
      </w:r>
      <w:r w:rsidR="00A84E06">
        <w:rPr>
          <w:rFonts w:ascii="Times New Roman" w:hAnsi="Times New Roman" w:cs="Times New Roman"/>
          <w:sz w:val="24"/>
          <w:szCs w:val="24"/>
        </w:rPr>
        <w:t>ndo</w:t>
      </w:r>
      <w:r w:rsidRPr="00DB2170">
        <w:rPr>
          <w:rFonts w:ascii="Times New Roman" w:hAnsi="Times New Roman" w:cs="Times New Roman"/>
          <w:sz w:val="24"/>
          <w:szCs w:val="24"/>
        </w:rPr>
        <w:t xml:space="preserve"> um fator de produtividade – X, para induzir a eficiência e eficácia dos serviços e permitir a apropriação social dos ganhos de produtividade.</w:t>
      </w:r>
    </w:p>
    <w:p w:rsidR="00DB2170" w:rsidRPr="00DB2170" w:rsidRDefault="00DB2170" w:rsidP="00DB2170">
      <w:pPr>
        <w:spacing w:after="0" w:line="240" w:lineRule="auto"/>
        <w:jc w:val="both"/>
        <w:rPr>
          <w:rFonts w:ascii="Times New Roman" w:hAnsi="Times New Roman" w:cs="Times New Roman"/>
          <w:sz w:val="24"/>
          <w:szCs w:val="24"/>
        </w:rPr>
      </w:pPr>
      <w:r w:rsidRPr="00DB2170">
        <w:rPr>
          <w:rFonts w:ascii="Times New Roman" w:hAnsi="Times New Roman" w:cs="Times New Roman"/>
          <w:sz w:val="24"/>
          <w:szCs w:val="24"/>
        </w:rPr>
        <w:tab/>
        <w:t>A ARIS (consorciada)</w:t>
      </w:r>
      <w:r w:rsidR="00D926F3">
        <w:rPr>
          <w:rFonts w:ascii="Times New Roman" w:hAnsi="Times New Roman" w:cs="Times New Roman"/>
          <w:sz w:val="24"/>
          <w:szCs w:val="24"/>
        </w:rPr>
        <w:t>, além da SANEPAR,</w:t>
      </w:r>
      <w:r w:rsidRPr="00DB2170">
        <w:rPr>
          <w:rFonts w:ascii="Times New Roman" w:hAnsi="Times New Roman" w:cs="Times New Roman"/>
          <w:sz w:val="24"/>
          <w:szCs w:val="24"/>
        </w:rPr>
        <w:t xml:space="preserve"> também regula a CASAN </w:t>
      </w:r>
      <w:r w:rsidR="00D926F3">
        <w:rPr>
          <w:rFonts w:ascii="Times New Roman" w:hAnsi="Times New Roman" w:cs="Times New Roman"/>
          <w:sz w:val="24"/>
          <w:szCs w:val="24"/>
        </w:rPr>
        <w:t>e</w:t>
      </w:r>
      <w:r w:rsidRPr="00DB2170">
        <w:rPr>
          <w:rFonts w:ascii="Times New Roman" w:hAnsi="Times New Roman" w:cs="Times New Roman"/>
          <w:sz w:val="24"/>
          <w:szCs w:val="24"/>
        </w:rPr>
        <w:t xml:space="preserve"> editou uma norma com autorização de reajuste tar</w:t>
      </w:r>
      <w:r w:rsidR="00D926F3">
        <w:rPr>
          <w:rFonts w:ascii="Times New Roman" w:hAnsi="Times New Roman" w:cs="Times New Roman"/>
          <w:sz w:val="24"/>
          <w:szCs w:val="24"/>
        </w:rPr>
        <w:t>ifário,</w:t>
      </w:r>
      <w:r w:rsidRPr="00DB2170">
        <w:rPr>
          <w:rFonts w:ascii="Times New Roman" w:hAnsi="Times New Roman" w:cs="Times New Roman"/>
          <w:sz w:val="24"/>
          <w:szCs w:val="24"/>
        </w:rPr>
        <w:t xml:space="preserve"> contendo as primeiras diretrizes para elaboração de uma metodologia de revisão de tarifas que se adeque à concepção da regulação por incentivo (</w:t>
      </w:r>
      <w:proofErr w:type="spellStart"/>
      <w:r w:rsidRPr="00E9291E">
        <w:rPr>
          <w:rFonts w:ascii="Times New Roman" w:hAnsi="Times New Roman" w:cs="Times New Roman"/>
          <w:i/>
          <w:sz w:val="24"/>
          <w:szCs w:val="24"/>
        </w:rPr>
        <w:t>price</w:t>
      </w:r>
      <w:proofErr w:type="spellEnd"/>
      <w:r w:rsidRPr="00E9291E">
        <w:rPr>
          <w:rFonts w:ascii="Times New Roman" w:hAnsi="Times New Roman" w:cs="Times New Roman"/>
          <w:i/>
          <w:sz w:val="24"/>
          <w:szCs w:val="24"/>
        </w:rPr>
        <w:t xml:space="preserve"> </w:t>
      </w:r>
      <w:proofErr w:type="spellStart"/>
      <w:r w:rsidRPr="00E9291E">
        <w:rPr>
          <w:rFonts w:ascii="Times New Roman" w:hAnsi="Times New Roman" w:cs="Times New Roman"/>
          <w:i/>
          <w:sz w:val="24"/>
          <w:szCs w:val="24"/>
        </w:rPr>
        <w:t>cap</w:t>
      </w:r>
      <w:proofErr w:type="spellEnd"/>
      <w:r w:rsidRPr="00DB2170">
        <w:rPr>
          <w:rFonts w:ascii="Times New Roman" w:hAnsi="Times New Roman" w:cs="Times New Roman"/>
          <w:sz w:val="24"/>
          <w:szCs w:val="24"/>
        </w:rPr>
        <w:t xml:space="preserve"> e </w:t>
      </w:r>
      <w:proofErr w:type="spellStart"/>
      <w:r w:rsidRPr="00E9291E">
        <w:rPr>
          <w:rFonts w:ascii="Times New Roman" w:hAnsi="Times New Roman" w:cs="Times New Roman"/>
          <w:i/>
          <w:sz w:val="24"/>
          <w:szCs w:val="24"/>
        </w:rPr>
        <w:t>yardstick</w:t>
      </w:r>
      <w:proofErr w:type="spellEnd"/>
      <w:r w:rsidRPr="00E9291E">
        <w:rPr>
          <w:rFonts w:ascii="Times New Roman" w:hAnsi="Times New Roman" w:cs="Times New Roman"/>
          <w:i/>
          <w:sz w:val="24"/>
          <w:szCs w:val="24"/>
        </w:rPr>
        <w:t xml:space="preserve"> </w:t>
      </w:r>
      <w:proofErr w:type="spellStart"/>
      <w:r w:rsidRPr="00E9291E">
        <w:rPr>
          <w:rFonts w:ascii="Times New Roman" w:hAnsi="Times New Roman" w:cs="Times New Roman"/>
          <w:i/>
          <w:sz w:val="24"/>
          <w:szCs w:val="24"/>
        </w:rPr>
        <w:t>regulation</w:t>
      </w:r>
      <w:proofErr w:type="spellEnd"/>
      <w:r w:rsidRPr="00DB2170">
        <w:rPr>
          <w:rFonts w:ascii="Times New Roman" w:hAnsi="Times New Roman" w:cs="Times New Roman"/>
          <w:sz w:val="24"/>
          <w:szCs w:val="24"/>
        </w:rPr>
        <w:t xml:space="preserve">). A CASAN, por sua vez, também se submeteu a normas editadas por outra entidade responsável por sua regulação, a AGESAN (estadual), com uma norma de reajuste tarifário e </w:t>
      </w:r>
      <w:proofErr w:type="gramStart"/>
      <w:r w:rsidRPr="00DB2170">
        <w:rPr>
          <w:rFonts w:ascii="Times New Roman" w:hAnsi="Times New Roman" w:cs="Times New Roman"/>
          <w:sz w:val="24"/>
          <w:szCs w:val="24"/>
        </w:rPr>
        <w:t>6</w:t>
      </w:r>
      <w:proofErr w:type="gramEnd"/>
      <w:r w:rsidRPr="00DB2170">
        <w:rPr>
          <w:rFonts w:ascii="Times New Roman" w:hAnsi="Times New Roman" w:cs="Times New Roman"/>
          <w:sz w:val="24"/>
          <w:szCs w:val="24"/>
        </w:rPr>
        <w:t xml:space="preserve"> normas relativas à EP</w:t>
      </w:r>
      <w:r w:rsidR="00D926F3">
        <w:rPr>
          <w:rFonts w:ascii="Times New Roman" w:hAnsi="Times New Roman" w:cs="Times New Roman"/>
          <w:sz w:val="24"/>
          <w:szCs w:val="24"/>
        </w:rPr>
        <w:t>, mas sem mecanismo diretos de incentivo à eficiência.</w:t>
      </w:r>
      <w:r w:rsidR="007266CD">
        <w:rPr>
          <w:rFonts w:ascii="Times New Roman" w:hAnsi="Times New Roman" w:cs="Times New Roman"/>
          <w:sz w:val="24"/>
          <w:szCs w:val="24"/>
        </w:rPr>
        <w:t xml:space="preserve"> No caso dos demais prestadores (CAEMA, CESAN e EMBASA), foi possível verificar mais uma vez a predominância de normas editadas pelas entidades reguladoras para tratar, principalmente, de reajustes tarifários e condições gerais para prestação dos SAA e SES, sem contemplar mecanismos de incentivo à eficiência.</w:t>
      </w:r>
    </w:p>
    <w:p w:rsidR="00DB2170" w:rsidRDefault="00DB2170" w:rsidP="00DB2170">
      <w:pPr>
        <w:spacing w:after="0" w:line="240" w:lineRule="auto"/>
        <w:jc w:val="both"/>
        <w:rPr>
          <w:rFonts w:ascii="Times New Roman" w:hAnsi="Times New Roman" w:cs="Times New Roman"/>
          <w:sz w:val="24"/>
          <w:szCs w:val="24"/>
        </w:rPr>
      </w:pPr>
      <w:r w:rsidRPr="00DB2170">
        <w:rPr>
          <w:rFonts w:ascii="Times New Roman" w:hAnsi="Times New Roman" w:cs="Times New Roman"/>
          <w:sz w:val="24"/>
          <w:szCs w:val="24"/>
        </w:rPr>
        <w:tab/>
        <w:t xml:space="preserve">Da análise realizada, tanto para o grupo regulado antes de 2007 quanto para o que passou a ser regulado a partir de 2007, foi possível extrair alguns padrões sobre o conteúdo das normas </w:t>
      </w:r>
      <w:r w:rsidR="00A84E06">
        <w:rPr>
          <w:rFonts w:ascii="Times New Roman" w:hAnsi="Times New Roman" w:cs="Times New Roman"/>
          <w:sz w:val="24"/>
          <w:szCs w:val="24"/>
        </w:rPr>
        <w:t xml:space="preserve">regulatórias. </w:t>
      </w:r>
      <w:r w:rsidR="00A84E06" w:rsidRPr="00DB2170">
        <w:rPr>
          <w:rFonts w:ascii="Times New Roman" w:hAnsi="Times New Roman" w:cs="Times New Roman"/>
          <w:sz w:val="24"/>
          <w:szCs w:val="24"/>
        </w:rPr>
        <w:t>De a</w:t>
      </w:r>
      <w:r w:rsidR="00A84E06">
        <w:rPr>
          <w:rFonts w:ascii="Times New Roman" w:hAnsi="Times New Roman" w:cs="Times New Roman"/>
          <w:sz w:val="24"/>
          <w:szCs w:val="24"/>
        </w:rPr>
        <w:t xml:space="preserve">cordo com </w:t>
      </w:r>
      <w:r w:rsidR="00A84E06">
        <w:rPr>
          <w:rFonts w:ascii="Times New Roman" w:hAnsi="Times New Roman" w:cs="Times New Roman"/>
          <w:sz w:val="24"/>
          <w:szCs w:val="24"/>
        </w:rPr>
        <w:t xml:space="preserve">a sistematização apresentada no </w:t>
      </w:r>
      <w:r w:rsidR="00A84E06">
        <w:rPr>
          <w:rFonts w:ascii="Times New Roman" w:hAnsi="Times New Roman" w:cs="Times New Roman"/>
          <w:sz w:val="24"/>
          <w:szCs w:val="24"/>
        </w:rPr>
        <w:t xml:space="preserve">Quadro </w:t>
      </w:r>
      <w:proofErr w:type="gramStart"/>
      <w:r w:rsidR="00A84E06">
        <w:rPr>
          <w:rFonts w:ascii="Times New Roman" w:hAnsi="Times New Roman" w:cs="Times New Roman"/>
          <w:sz w:val="24"/>
          <w:szCs w:val="24"/>
        </w:rPr>
        <w:t>4</w:t>
      </w:r>
      <w:proofErr w:type="gramEnd"/>
      <w:r w:rsidR="00A84E06" w:rsidRPr="00DB2170">
        <w:rPr>
          <w:rFonts w:ascii="Times New Roman" w:hAnsi="Times New Roman" w:cs="Times New Roman"/>
          <w:sz w:val="24"/>
          <w:szCs w:val="24"/>
        </w:rPr>
        <w:t>, os temas mais abordados pelas entidades reguladoras em sua atividade de normatização foram a autorização de reajustes tarifários ou alterações de estrutura tarifária e o estabelecimento de condições gerais da prestação e utilização dos SAA e SES.</w:t>
      </w:r>
    </w:p>
    <w:p w:rsidR="00A84E06" w:rsidRPr="00DB2170" w:rsidRDefault="00A84E06" w:rsidP="00A84E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B2170">
        <w:rPr>
          <w:rFonts w:ascii="Times New Roman" w:hAnsi="Times New Roman" w:cs="Times New Roman"/>
          <w:sz w:val="24"/>
          <w:szCs w:val="24"/>
        </w:rPr>
        <w:t xml:space="preserve">O tema da metodologia para reajuste e revisão de tarifas parece ser um ponto central no debate sobre a atuação das entidades reguladoras na indução da eficiência dos prestadores de SAA e SES. Estudando </w:t>
      </w:r>
      <w:proofErr w:type="gramStart"/>
      <w:r w:rsidRPr="00DB2170">
        <w:rPr>
          <w:rFonts w:ascii="Times New Roman" w:hAnsi="Times New Roman" w:cs="Times New Roman"/>
          <w:sz w:val="24"/>
          <w:szCs w:val="24"/>
        </w:rPr>
        <w:t>variáveis que impactariam no desempenho dos prestadores de SAA e SES brasileiros</w:t>
      </w:r>
      <w:proofErr w:type="gramEnd"/>
      <w:r w:rsidRPr="00DB2170">
        <w:rPr>
          <w:rFonts w:ascii="Times New Roman" w:hAnsi="Times New Roman" w:cs="Times New Roman"/>
          <w:sz w:val="24"/>
          <w:szCs w:val="24"/>
        </w:rPr>
        <w:t xml:space="preserve">, não foi possível para Barbosa (2012) explicar esse desempenho </w:t>
      </w:r>
      <w:r>
        <w:rPr>
          <w:rFonts w:ascii="Times New Roman" w:hAnsi="Times New Roman" w:cs="Times New Roman"/>
          <w:sz w:val="24"/>
          <w:szCs w:val="24"/>
        </w:rPr>
        <w:t>por meio</w:t>
      </w:r>
      <w:r w:rsidRPr="00DB2170">
        <w:rPr>
          <w:rFonts w:ascii="Times New Roman" w:hAnsi="Times New Roman" w:cs="Times New Roman"/>
          <w:sz w:val="24"/>
          <w:szCs w:val="24"/>
        </w:rPr>
        <w:t xml:space="preserve"> das variáveis de experiência da agência </w:t>
      </w:r>
      <w:r w:rsidRPr="00DB2170">
        <w:rPr>
          <w:rFonts w:ascii="Times New Roman" w:hAnsi="Times New Roman" w:cs="Times New Roman"/>
          <w:sz w:val="24"/>
          <w:szCs w:val="24"/>
        </w:rPr>
        <w:lastRenderedPageBreak/>
        <w:t>reguladora (anos de criação da entidade), abrangência da regulação (local ou regional) ou especialidade de função das agências reguladoras (regulam apenas saneamento ou regulam também outros serviços), no entanto, foi possível para o autor concluir que os métodos de regulação econômica utilizados pelas entidades reguladoras impactam o desempenho dos prestadores.</w:t>
      </w:r>
    </w:p>
    <w:p w:rsidR="00DB2170" w:rsidRDefault="00DB2170" w:rsidP="00DB2170">
      <w:pPr>
        <w:spacing w:after="0" w:line="240" w:lineRule="auto"/>
        <w:jc w:val="both"/>
        <w:rPr>
          <w:rFonts w:ascii="Times New Roman" w:hAnsi="Times New Roman" w:cs="Times New Roman"/>
          <w:sz w:val="24"/>
          <w:szCs w:val="24"/>
        </w:rPr>
      </w:pPr>
    </w:p>
    <w:p w:rsidR="00DB2170" w:rsidRPr="00CE0191" w:rsidRDefault="00DB2170" w:rsidP="00DB2170">
      <w:pPr>
        <w:pStyle w:val="Legenda"/>
        <w:rPr>
          <w:b w:val="0"/>
          <w:sz w:val="24"/>
        </w:rPr>
      </w:pPr>
      <w:bookmarkStart w:id="10" w:name="_Toc377445822"/>
      <w:r w:rsidRPr="00CE0191">
        <w:rPr>
          <w:sz w:val="24"/>
        </w:rPr>
        <w:t>Quadro</w:t>
      </w:r>
      <w:r w:rsidR="009F1352">
        <w:rPr>
          <w:sz w:val="24"/>
        </w:rPr>
        <w:t xml:space="preserve"> 4 </w:t>
      </w:r>
      <w:r w:rsidRPr="00CE0191">
        <w:rPr>
          <w:sz w:val="24"/>
        </w:rPr>
        <w:t xml:space="preserve">– </w:t>
      </w:r>
      <w:r w:rsidRPr="00CE0191">
        <w:rPr>
          <w:b w:val="0"/>
          <w:sz w:val="24"/>
        </w:rPr>
        <w:t>Principais temas abordados pelas entidades reguladoras em sua normatização</w:t>
      </w:r>
      <w:bookmarkEnd w:id="10"/>
      <w:r w:rsidR="00145218">
        <w:rPr>
          <w:b w:val="0"/>
          <w:sz w:val="24"/>
        </w:rPr>
        <w:t>.</w:t>
      </w:r>
    </w:p>
    <w:tbl>
      <w:tblPr>
        <w:tblStyle w:val="Tabelaemlista1"/>
        <w:tblW w:w="10656" w:type="dxa"/>
        <w:jc w:val="center"/>
        <w:tblBorders>
          <w:insideH w:val="single" w:sz="8" w:space="0" w:color="auto"/>
          <w:insideV w:val="single" w:sz="8" w:space="0" w:color="auto"/>
        </w:tblBorders>
        <w:tblLook w:val="04A0" w:firstRow="1" w:lastRow="0" w:firstColumn="1" w:lastColumn="0" w:noHBand="0" w:noVBand="1"/>
      </w:tblPr>
      <w:tblGrid>
        <w:gridCol w:w="4455"/>
        <w:gridCol w:w="6201"/>
      </w:tblGrid>
      <w:tr w:rsidR="005F08F1" w:rsidRPr="002B1281" w:rsidTr="00A84E06">
        <w:trPr>
          <w:cnfStyle w:val="100000000000" w:firstRow="1" w:lastRow="0" w:firstColumn="0" w:lastColumn="0" w:oddVBand="0" w:evenVBand="0" w:oddHBand="0" w:evenHBand="0" w:firstRowFirstColumn="0" w:firstRowLastColumn="0" w:lastRowFirstColumn="0" w:lastRowLastColumn="0"/>
          <w:trHeight w:val="230"/>
          <w:jc w:val="center"/>
        </w:trPr>
        <w:tc>
          <w:tcPr>
            <w:tcW w:w="4455" w:type="dxa"/>
            <w:vMerge w:val="restart"/>
            <w:shd w:val="clear" w:color="auto" w:fill="auto"/>
            <w:vAlign w:val="center"/>
          </w:tcPr>
          <w:p w:rsidR="005F08F1" w:rsidRPr="002B1281" w:rsidRDefault="005F08F1" w:rsidP="00D728C9">
            <w:pPr>
              <w:jc w:val="center"/>
              <w:outlineLvl w:val="0"/>
              <w:rPr>
                <w:i w:val="0"/>
                <w:color w:val="auto"/>
              </w:rPr>
            </w:pPr>
            <w:r w:rsidRPr="002B1281">
              <w:rPr>
                <w:i w:val="0"/>
                <w:color w:val="auto"/>
              </w:rPr>
              <w:t>Tema principal</w:t>
            </w:r>
          </w:p>
        </w:tc>
        <w:tc>
          <w:tcPr>
            <w:tcW w:w="6201" w:type="dxa"/>
            <w:vMerge w:val="restart"/>
            <w:shd w:val="clear" w:color="auto" w:fill="auto"/>
            <w:vAlign w:val="center"/>
          </w:tcPr>
          <w:p w:rsidR="005F08F1" w:rsidRPr="002B1281" w:rsidRDefault="00C21D7E" w:rsidP="00360730">
            <w:pPr>
              <w:jc w:val="center"/>
              <w:outlineLvl w:val="0"/>
              <w:rPr>
                <w:i w:val="0"/>
                <w:color w:val="auto"/>
              </w:rPr>
            </w:pPr>
            <w:r>
              <w:rPr>
                <w:i w:val="0"/>
                <w:color w:val="auto"/>
              </w:rPr>
              <w:t>Entidade</w:t>
            </w:r>
            <w:r w:rsidR="00AD4088">
              <w:rPr>
                <w:i w:val="0"/>
                <w:color w:val="auto"/>
              </w:rPr>
              <w:t>s</w:t>
            </w:r>
            <w:r>
              <w:rPr>
                <w:i w:val="0"/>
                <w:color w:val="auto"/>
              </w:rPr>
              <w:t xml:space="preserve"> reguladora</w:t>
            </w:r>
            <w:r w:rsidR="00AD4088">
              <w:rPr>
                <w:i w:val="0"/>
                <w:color w:val="auto"/>
              </w:rPr>
              <w:t>s</w:t>
            </w:r>
            <w:r w:rsidR="00360730">
              <w:rPr>
                <w:i w:val="0"/>
                <w:color w:val="auto"/>
              </w:rPr>
              <w:t xml:space="preserve"> (Grupo </w:t>
            </w:r>
            <w:proofErr w:type="gramStart"/>
            <w:r w:rsidR="00360730">
              <w:rPr>
                <w:i w:val="0"/>
                <w:color w:val="auto"/>
              </w:rPr>
              <w:t>1</w:t>
            </w:r>
            <w:proofErr w:type="gramEnd"/>
            <w:r w:rsidR="00360730">
              <w:rPr>
                <w:i w:val="0"/>
                <w:color w:val="auto"/>
              </w:rPr>
              <w:t xml:space="preserve"> e Grupo 2)</w:t>
            </w:r>
          </w:p>
        </w:tc>
      </w:tr>
      <w:tr w:rsidR="005F08F1" w:rsidRPr="002B1281" w:rsidTr="00A804C1">
        <w:trPr>
          <w:cnfStyle w:val="000000100000" w:firstRow="0" w:lastRow="0" w:firstColumn="0" w:lastColumn="0" w:oddVBand="0" w:evenVBand="0" w:oddHBand="1" w:evenHBand="0" w:firstRowFirstColumn="0" w:firstRowLastColumn="0" w:lastRowFirstColumn="0" w:lastRowLastColumn="0"/>
          <w:trHeight w:val="230"/>
          <w:jc w:val="center"/>
        </w:trPr>
        <w:tc>
          <w:tcPr>
            <w:tcW w:w="4455" w:type="dxa"/>
            <w:vMerge/>
            <w:shd w:val="clear" w:color="auto" w:fill="auto"/>
            <w:vAlign w:val="center"/>
          </w:tcPr>
          <w:p w:rsidR="005F08F1" w:rsidRPr="002B1281" w:rsidRDefault="005F08F1" w:rsidP="00D728C9">
            <w:pPr>
              <w:jc w:val="both"/>
              <w:outlineLvl w:val="0"/>
            </w:pPr>
          </w:p>
        </w:tc>
        <w:tc>
          <w:tcPr>
            <w:tcW w:w="6201" w:type="dxa"/>
            <w:vMerge/>
            <w:shd w:val="clear" w:color="auto" w:fill="auto"/>
            <w:vAlign w:val="center"/>
          </w:tcPr>
          <w:p w:rsidR="005F08F1" w:rsidRPr="002B1281" w:rsidRDefault="005F08F1" w:rsidP="00D728C9">
            <w:pPr>
              <w:jc w:val="center"/>
              <w:outlineLvl w:val="0"/>
            </w:pPr>
          </w:p>
        </w:tc>
      </w:tr>
      <w:tr w:rsidR="00D355D7" w:rsidRPr="002B1281" w:rsidTr="00A804C1">
        <w:trPr>
          <w:cnfStyle w:val="000000010000" w:firstRow="0" w:lastRow="0" w:firstColumn="0" w:lastColumn="0" w:oddVBand="0" w:evenVBand="0" w:oddHBand="0" w:evenHBand="1" w:firstRowFirstColumn="0" w:firstRowLastColumn="0" w:lastRowFirstColumn="0" w:lastRowLastColumn="0"/>
          <w:jc w:val="center"/>
        </w:trPr>
        <w:tc>
          <w:tcPr>
            <w:tcW w:w="10656" w:type="dxa"/>
            <w:gridSpan w:val="2"/>
            <w:shd w:val="clear" w:color="auto" w:fill="F2F2F2" w:themeFill="background1" w:themeFillShade="F2"/>
            <w:vAlign w:val="center"/>
          </w:tcPr>
          <w:p w:rsidR="00D355D7" w:rsidRPr="005F08F1" w:rsidRDefault="00D355D7" w:rsidP="00D355D7">
            <w:pPr>
              <w:outlineLvl w:val="0"/>
              <w:rPr>
                <w:b/>
              </w:rPr>
            </w:pPr>
            <w:r w:rsidRPr="002B1281">
              <w:rPr>
                <w:b/>
              </w:rPr>
              <w:t>Eficiência Alocativa</w:t>
            </w:r>
          </w:p>
        </w:tc>
      </w:tr>
      <w:tr w:rsidR="005F08F1" w:rsidRPr="00350469" w:rsidTr="00A804C1">
        <w:trPr>
          <w:cnfStyle w:val="000000100000" w:firstRow="0" w:lastRow="0" w:firstColumn="0" w:lastColumn="0" w:oddVBand="0" w:evenVBand="0" w:oddHBand="1" w:evenHBand="0" w:firstRowFirstColumn="0" w:firstRowLastColumn="0" w:lastRowFirstColumn="0" w:lastRowLastColumn="0"/>
          <w:jc w:val="center"/>
        </w:trPr>
        <w:tc>
          <w:tcPr>
            <w:tcW w:w="4455" w:type="dxa"/>
            <w:shd w:val="clear" w:color="auto" w:fill="auto"/>
            <w:vAlign w:val="center"/>
          </w:tcPr>
          <w:p w:rsidR="005F08F1" w:rsidRPr="002F3E0F" w:rsidRDefault="002F3E0F" w:rsidP="002F3E0F">
            <w:pPr>
              <w:jc w:val="both"/>
              <w:outlineLvl w:val="0"/>
            </w:pPr>
            <w:r w:rsidRPr="002F3E0F">
              <w:t>1.</w:t>
            </w:r>
            <w:r>
              <w:t xml:space="preserve"> </w:t>
            </w:r>
            <w:r w:rsidR="005F08F1" w:rsidRPr="002F3E0F">
              <w:t>Autorização de reajustes tarifários e/ou alterações de estrutura tarifária.</w:t>
            </w:r>
          </w:p>
        </w:tc>
        <w:tc>
          <w:tcPr>
            <w:tcW w:w="6201" w:type="dxa"/>
            <w:shd w:val="clear" w:color="auto" w:fill="auto"/>
            <w:vAlign w:val="center"/>
          </w:tcPr>
          <w:p w:rsidR="005F08F1" w:rsidRPr="00360730" w:rsidRDefault="005F08F1" w:rsidP="00360730">
            <w:pPr>
              <w:jc w:val="center"/>
              <w:outlineLvl w:val="0"/>
              <w:rPr>
                <w:lang w:val="en-US"/>
              </w:rPr>
            </w:pPr>
            <w:r w:rsidRPr="000D35F7">
              <w:rPr>
                <w:b/>
                <w:lang w:val="en-US"/>
              </w:rPr>
              <w:t>G1 (8):</w:t>
            </w:r>
            <w:r w:rsidRPr="000D35F7">
              <w:rPr>
                <w:lang w:val="en-US"/>
              </w:rPr>
              <w:t xml:space="preserve"> ARCE; ADASA; </w:t>
            </w:r>
            <w:r w:rsidRPr="00360730">
              <w:rPr>
                <w:lang w:val="en-US"/>
              </w:rPr>
              <w:t>ARSBAN; AGR; AGERGS; ARPE; ARPB</w:t>
            </w:r>
            <w:r w:rsidR="00C21D7E" w:rsidRPr="00360730">
              <w:rPr>
                <w:lang w:val="en-US"/>
              </w:rPr>
              <w:t>.</w:t>
            </w:r>
            <w:r w:rsidRPr="00360730">
              <w:rPr>
                <w:lang w:val="en-US"/>
              </w:rPr>
              <w:t xml:space="preserve"> </w:t>
            </w:r>
            <w:r w:rsidRPr="00360730">
              <w:rPr>
                <w:b/>
                <w:lang w:val="en-US"/>
              </w:rPr>
              <w:t>G2 (8):</w:t>
            </w:r>
            <w:r w:rsidRPr="00360730">
              <w:rPr>
                <w:lang w:val="en-US"/>
              </w:rPr>
              <w:t xml:space="preserve"> ARSESP; ARSAE; ATR; ARIS; </w:t>
            </w:r>
            <w:r w:rsidR="00C21D7E" w:rsidRPr="00360730">
              <w:rPr>
                <w:lang w:val="en-US"/>
              </w:rPr>
              <w:t>AGESAN</w:t>
            </w:r>
            <w:r w:rsidRPr="00360730">
              <w:rPr>
                <w:lang w:val="en-US"/>
              </w:rPr>
              <w:t xml:space="preserve">; ARSEP; ARSI; </w:t>
            </w:r>
            <w:r w:rsidR="00C21D7E" w:rsidRPr="00360730">
              <w:rPr>
                <w:lang w:val="en-US"/>
              </w:rPr>
              <w:t>CORESAB</w:t>
            </w:r>
            <w:r w:rsidRPr="00360730">
              <w:rPr>
                <w:lang w:val="en-US"/>
              </w:rPr>
              <w:t>.</w:t>
            </w:r>
          </w:p>
        </w:tc>
      </w:tr>
      <w:tr w:rsidR="005F08F1" w:rsidRPr="002B1281" w:rsidTr="00A804C1">
        <w:trPr>
          <w:cnfStyle w:val="000000010000" w:firstRow="0" w:lastRow="0" w:firstColumn="0" w:lastColumn="0" w:oddVBand="0" w:evenVBand="0" w:oddHBand="0" w:evenHBand="1"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2. </w:t>
            </w:r>
            <w:r w:rsidR="005F08F1" w:rsidRPr="002B1281">
              <w:t>Metodologia de revisão tarifária com indução da eficiência e de ganhos de produtividade.</w:t>
            </w:r>
          </w:p>
        </w:tc>
        <w:tc>
          <w:tcPr>
            <w:tcW w:w="6201" w:type="dxa"/>
            <w:shd w:val="clear" w:color="auto" w:fill="auto"/>
            <w:vAlign w:val="center"/>
          </w:tcPr>
          <w:p w:rsidR="005F08F1" w:rsidRPr="005F08F1" w:rsidRDefault="005F08F1" w:rsidP="00360730">
            <w:pPr>
              <w:jc w:val="center"/>
              <w:outlineLvl w:val="0"/>
            </w:pPr>
            <w:r w:rsidRPr="005F08F1">
              <w:rPr>
                <w:b/>
              </w:rPr>
              <w:t>G1</w:t>
            </w:r>
            <w:r>
              <w:rPr>
                <w:b/>
              </w:rPr>
              <w:t xml:space="preserve"> (1)</w:t>
            </w:r>
            <w:r w:rsidRPr="005F08F1">
              <w:rPr>
                <w:b/>
              </w:rPr>
              <w:t>:</w:t>
            </w:r>
            <w:r w:rsidRPr="005F08F1">
              <w:t xml:space="preserve"> </w:t>
            </w:r>
            <w:r w:rsidR="00C21D7E">
              <w:t>ADASA</w:t>
            </w:r>
            <w:r w:rsidRPr="005F08F1">
              <w:t xml:space="preserve">; </w:t>
            </w:r>
            <w:r w:rsidRPr="005F08F1">
              <w:rPr>
                <w:b/>
              </w:rPr>
              <w:t>G2</w:t>
            </w:r>
            <w:r>
              <w:rPr>
                <w:b/>
              </w:rPr>
              <w:t xml:space="preserve"> (3)</w:t>
            </w:r>
            <w:r w:rsidRPr="005F08F1">
              <w:rPr>
                <w:b/>
              </w:rPr>
              <w:t>:</w:t>
            </w:r>
            <w:r w:rsidRPr="005F08F1">
              <w:t xml:space="preserve"> </w:t>
            </w:r>
            <w:r w:rsidR="00C21D7E">
              <w:t>ARSESP</w:t>
            </w:r>
            <w:r w:rsidR="00AD4088">
              <w:t xml:space="preserve">; </w:t>
            </w:r>
            <w:r w:rsidRPr="005F08F1">
              <w:t xml:space="preserve">Apenas </w:t>
            </w:r>
            <w:proofErr w:type="gramStart"/>
            <w:r w:rsidRPr="005F08F1">
              <w:t>diretrizes, metodologia</w:t>
            </w:r>
            <w:proofErr w:type="gramEnd"/>
            <w:r w:rsidRPr="005F08F1">
              <w:t xml:space="preserve"> ainda não implantada: </w:t>
            </w:r>
            <w:r w:rsidR="00C21D7E">
              <w:t>ARSAE</w:t>
            </w:r>
            <w:r w:rsidRPr="005F08F1">
              <w:t>; ARIS.</w:t>
            </w:r>
          </w:p>
        </w:tc>
      </w:tr>
      <w:tr w:rsidR="00D355D7" w:rsidRPr="002B1281" w:rsidTr="00A804C1">
        <w:trPr>
          <w:cnfStyle w:val="000000100000" w:firstRow="0" w:lastRow="0" w:firstColumn="0" w:lastColumn="0" w:oddVBand="0" w:evenVBand="0" w:oddHBand="1" w:evenHBand="0" w:firstRowFirstColumn="0" w:firstRowLastColumn="0" w:lastRowFirstColumn="0" w:lastRowLastColumn="0"/>
          <w:jc w:val="center"/>
        </w:trPr>
        <w:tc>
          <w:tcPr>
            <w:tcW w:w="10656" w:type="dxa"/>
            <w:gridSpan w:val="2"/>
            <w:shd w:val="clear" w:color="auto" w:fill="F2F2F2" w:themeFill="background1" w:themeFillShade="F2"/>
            <w:vAlign w:val="center"/>
          </w:tcPr>
          <w:p w:rsidR="00D355D7" w:rsidRPr="005F08F1" w:rsidRDefault="00D355D7" w:rsidP="00D355D7">
            <w:pPr>
              <w:outlineLvl w:val="0"/>
              <w:rPr>
                <w:b/>
              </w:rPr>
            </w:pPr>
            <w:r w:rsidRPr="002B1281">
              <w:rPr>
                <w:b/>
              </w:rPr>
              <w:t xml:space="preserve">Eficiência </w:t>
            </w:r>
            <w:proofErr w:type="spellStart"/>
            <w:r w:rsidRPr="002B1281">
              <w:rPr>
                <w:b/>
              </w:rPr>
              <w:t>Prestacional</w:t>
            </w:r>
            <w:proofErr w:type="spellEnd"/>
          </w:p>
        </w:tc>
      </w:tr>
      <w:tr w:rsidR="005F08F1" w:rsidRPr="00350469" w:rsidTr="00A804C1">
        <w:trPr>
          <w:cnfStyle w:val="000000010000" w:firstRow="0" w:lastRow="0" w:firstColumn="0" w:lastColumn="0" w:oddVBand="0" w:evenVBand="0" w:oddHBand="0" w:evenHBand="1"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3. </w:t>
            </w:r>
            <w:r w:rsidR="005F08F1" w:rsidRPr="002B1281">
              <w:t>Condições gerais da prestação e utilização dos SAA e SES.</w:t>
            </w:r>
          </w:p>
        </w:tc>
        <w:tc>
          <w:tcPr>
            <w:tcW w:w="6201" w:type="dxa"/>
            <w:shd w:val="clear" w:color="auto" w:fill="auto"/>
            <w:vAlign w:val="center"/>
          </w:tcPr>
          <w:p w:rsidR="005F08F1" w:rsidRPr="000D35F7" w:rsidRDefault="005F08F1" w:rsidP="00360730">
            <w:pPr>
              <w:jc w:val="center"/>
              <w:outlineLvl w:val="0"/>
              <w:rPr>
                <w:lang w:val="en-US"/>
              </w:rPr>
            </w:pPr>
            <w:r w:rsidRPr="000D35F7">
              <w:rPr>
                <w:b/>
                <w:lang w:val="en-US"/>
              </w:rPr>
              <w:t>G1 (6):</w:t>
            </w:r>
            <w:r w:rsidRPr="000D35F7">
              <w:rPr>
                <w:lang w:val="en-US"/>
              </w:rPr>
              <w:t xml:space="preserve"> </w:t>
            </w:r>
            <w:r w:rsidR="00AD4088" w:rsidRPr="000D35F7">
              <w:rPr>
                <w:lang w:val="en-US"/>
              </w:rPr>
              <w:t>ARCE; ACFOR; ADASA; ARSBAN; AGR</w:t>
            </w:r>
            <w:r w:rsidRPr="000D35F7">
              <w:rPr>
                <w:lang w:val="en-US"/>
              </w:rPr>
              <w:t xml:space="preserve">; AGERGS; </w:t>
            </w:r>
            <w:r w:rsidRPr="000D35F7">
              <w:rPr>
                <w:b/>
                <w:lang w:val="en-US"/>
              </w:rPr>
              <w:t>G2 (7):</w:t>
            </w:r>
            <w:r w:rsidRPr="000D35F7">
              <w:rPr>
                <w:lang w:val="en-US"/>
              </w:rPr>
              <w:t xml:space="preserve"> ARSESP; ARSAE; ATR; ARIS; </w:t>
            </w:r>
            <w:r w:rsidR="00AD4088" w:rsidRPr="000D35F7">
              <w:rPr>
                <w:lang w:val="en-US"/>
              </w:rPr>
              <w:t>AGESAN</w:t>
            </w:r>
            <w:r w:rsidRPr="000D35F7">
              <w:rPr>
                <w:lang w:val="en-US"/>
              </w:rPr>
              <w:t xml:space="preserve">; </w:t>
            </w:r>
            <w:r w:rsidR="00AD4088" w:rsidRPr="000D35F7">
              <w:rPr>
                <w:lang w:val="en-US"/>
              </w:rPr>
              <w:t>ARSI</w:t>
            </w:r>
            <w:r w:rsidRPr="000D35F7">
              <w:rPr>
                <w:lang w:val="en-US"/>
              </w:rPr>
              <w:t xml:space="preserve">; </w:t>
            </w:r>
            <w:r w:rsidR="00AD4088" w:rsidRPr="000D35F7">
              <w:rPr>
                <w:lang w:val="en-US"/>
              </w:rPr>
              <w:t>CORESAB</w:t>
            </w:r>
            <w:r w:rsidRPr="000D35F7">
              <w:rPr>
                <w:lang w:val="en-US"/>
              </w:rPr>
              <w:t>.</w:t>
            </w:r>
          </w:p>
        </w:tc>
      </w:tr>
      <w:tr w:rsidR="005F08F1" w:rsidRPr="00350469" w:rsidTr="00A804C1">
        <w:trPr>
          <w:cnfStyle w:val="000000100000" w:firstRow="0" w:lastRow="0" w:firstColumn="0" w:lastColumn="0" w:oddVBand="0" w:evenVBand="0" w:oddHBand="1" w:evenHBand="0"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4. </w:t>
            </w:r>
            <w:r w:rsidR="005F08F1" w:rsidRPr="002B1281">
              <w:t>Condições técnico-operacionais e procedimentos de fiscalização da prestação dos SAA e SES.</w:t>
            </w:r>
          </w:p>
        </w:tc>
        <w:tc>
          <w:tcPr>
            <w:tcW w:w="6201" w:type="dxa"/>
            <w:shd w:val="clear" w:color="auto" w:fill="auto"/>
            <w:vAlign w:val="center"/>
          </w:tcPr>
          <w:p w:rsidR="005F08F1" w:rsidRPr="00360730" w:rsidRDefault="005F08F1" w:rsidP="00360730">
            <w:pPr>
              <w:jc w:val="center"/>
              <w:outlineLvl w:val="0"/>
              <w:rPr>
                <w:lang w:val="en-US"/>
              </w:rPr>
            </w:pPr>
            <w:r w:rsidRPr="00360730">
              <w:rPr>
                <w:b/>
                <w:lang w:val="en-US"/>
              </w:rPr>
              <w:t>G1 (3):</w:t>
            </w:r>
            <w:r w:rsidRPr="00360730">
              <w:rPr>
                <w:lang w:val="en-US"/>
              </w:rPr>
              <w:t xml:space="preserve"> </w:t>
            </w:r>
            <w:r w:rsidR="00AD4088" w:rsidRPr="00360730">
              <w:rPr>
                <w:lang w:val="en-US"/>
              </w:rPr>
              <w:t>ARCE; ACFOR; ARPE</w:t>
            </w:r>
            <w:r w:rsidRPr="00360730">
              <w:rPr>
                <w:lang w:val="en-US"/>
              </w:rPr>
              <w:t xml:space="preserve">; </w:t>
            </w:r>
            <w:r w:rsidRPr="00360730">
              <w:rPr>
                <w:b/>
                <w:lang w:val="en-US"/>
              </w:rPr>
              <w:t>G2 (4):</w:t>
            </w:r>
            <w:r w:rsidRPr="00360730">
              <w:rPr>
                <w:lang w:val="en-US"/>
              </w:rPr>
              <w:t xml:space="preserve"> </w:t>
            </w:r>
            <w:r w:rsidR="00AD4088" w:rsidRPr="00360730">
              <w:rPr>
                <w:lang w:val="en-US"/>
              </w:rPr>
              <w:t>ATR</w:t>
            </w:r>
            <w:r w:rsidRPr="00360730">
              <w:rPr>
                <w:lang w:val="en-US"/>
              </w:rPr>
              <w:t>; ARIS; AGESAN; CORESAB.</w:t>
            </w:r>
          </w:p>
        </w:tc>
      </w:tr>
      <w:tr w:rsidR="005F08F1" w:rsidRPr="00350469" w:rsidTr="00A804C1">
        <w:trPr>
          <w:cnfStyle w:val="000000010000" w:firstRow="0" w:lastRow="0" w:firstColumn="0" w:lastColumn="0" w:oddVBand="0" w:evenVBand="0" w:oddHBand="0" w:evenHBand="1"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5. </w:t>
            </w:r>
            <w:r w:rsidR="005F08F1" w:rsidRPr="002B1281">
              <w:t>Sanções e penalidades.</w:t>
            </w:r>
          </w:p>
        </w:tc>
        <w:tc>
          <w:tcPr>
            <w:tcW w:w="6201" w:type="dxa"/>
            <w:shd w:val="clear" w:color="auto" w:fill="auto"/>
            <w:vAlign w:val="center"/>
          </w:tcPr>
          <w:p w:rsidR="005F08F1" w:rsidRPr="00DF55AA" w:rsidRDefault="005F08F1" w:rsidP="00360730">
            <w:pPr>
              <w:jc w:val="center"/>
              <w:outlineLvl w:val="0"/>
              <w:rPr>
                <w:lang w:val="en-US"/>
              </w:rPr>
            </w:pPr>
            <w:r w:rsidRPr="00DF55AA">
              <w:rPr>
                <w:b/>
                <w:lang w:val="en-US"/>
              </w:rPr>
              <w:t>G1 (3):</w:t>
            </w:r>
            <w:r w:rsidRPr="00DF55AA">
              <w:rPr>
                <w:lang w:val="en-US"/>
              </w:rPr>
              <w:t xml:space="preserve"> </w:t>
            </w:r>
            <w:r w:rsidR="00DF55AA" w:rsidRPr="00DF55AA">
              <w:rPr>
                <w:lang w:val="en-US"/>
              </w:rPr>
              <w:t xml:space="preserve">ARCE; </w:t>
            </w:r>
            <w:r w:rsidRPr="00DF55AA">
              <w:rPr>
                <w:lang w:val="en-US"/>
              </w:rPr>
              <w:t xml:space="preserve">ACFOR; AGR; </w:t>
            </w:r>
            <w:r w:rsidRPr="00DF55AA">
              <w:rPr>
                <w:b/>
                <w:lang w:val="en-US"/>
              </w:rPr>
              <w:t>G2 (3):</w:t>
            </w:r>
            <w:r w:rsidRPr="00DF55AA">
              <w:rPr>
                <w:lang w:val="en-US"/>
              </w:rPr>
              <w:t xml:space="preserve"> ARSESP; ATR; ARIS.</w:t>
            </w:r>
          </w:p>
        </w:tc>
      </w:tr>
      <w:tr w:rsidR="005F08F1" w:rsidRPr="002B1281" w:rsidTr="00A804C1">
        <w:trPr>
          <w:cnfStyle w:val="000000100000" w:firstRow="0" w:lastRow="0" w:firstColumn="0" w:lastColumn="0" w:oddVBand="0" w:evenVBand="0" w:oddHBand="1" w:evenHBand="0"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6. </w:t>
            </w:r>
            <w:r w:rsidR="005F08F1" w:rsidRPr="002B1281">
              <w:t>Qualidade da água e dos esgotos.</w:t>
            </w:r>
          </w:p>
        </w:tc>
        <w:tc>
          <w:tcPr>
            <w:tcW w:w="6201" w:type="dxa"/>
            <w:shd w:val="clear" w:color="auto" w:fill="auto"/>
            <w:vAlign w:val="center"/>
          </w:tcPr>
          <w:p w:rsidR="005F08F1" w:rsidRPr="005F08F1" w:rsidRDefault="005F08F1" w:rsidP="00360730">
            <w:pPr>
              <w:jc w:val="center"/>
              <w:outlineLvl w:val="0"/>
            </w:pPr>
            <w:r w:rsidRPr="005F08F1">
              <w:rPr>
                <w:b/>
              </w:rPr>
              <w:t>G1</w:t>
            </w:r>
            <w:r>
              <w:rPr>
                <w:b/>
              </w:rPr>
              <w:t xml:space="preserve"> (1)</w:t>
            </w:r>
            <w:r w:rsidRPr="005F08F1">
              <w:rPr>
                <w:b/>
              </w:rPr>
              <w:t>:</w:t>
            </w:r>
            <w:r w:rsidRPr="005F08F1">
              <w:t xml:space="preserve"> ARCE; </w:t>
            </w:r>
            <w:r w:rsidRPr="005F08F1">
              <w:rPr>
                <w:b/>
              </w:rPr>
              <w:t>G2</w:t>
            </w:r>
            <w:r>
              <w:rPr>
                <w:b/>
              </w:rPr>
              <w:t xml:space="preserve"> (1)</w:t>
            </w:r>
            <w:r w:rsidRPr="005F08F1">
              <w:rPr>
                <w:b/>
              </w:rPr>
              <w:t>:</w:t>
            </w:r>
            <w:r w:rsidRPr="005F08F1">
              <w:t xml:space="preserve"> AGESAN.</w:t>
            </w:r>
          </w:p>
        </w:tc>
      </w:tr>
      <w:tr w:rsidR="005F08F1" w:rsidRPr="00350469" w:rsidTr="00A804C1">
        <w:trPr>
          <w:cnfStyle w:val="000000010000" w:firstRow="0" w:lastRow="0" w:firstColumn="0" w:lastColumn="0" w:oddVBand="0" w:evenVBand="0" w:oddHBand="0" w:evenHBand="1"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7. </w:t>
            </w:r>
            <w:r w:rsidR="005F08F1" w:rsidRPr="002B1281">
              <w:t>Metas e indicadores de desempenho.</w:t>
            </w:r>
          </w:p>
        </w:tc>
        <w:tc>
          <w:tcPr>
            <w:tcW w:w="6201" w:type="dxa"/>
            <w:shd w:val="clear" w:color="auto" w:fill="auto"/>
            <w:vAlign w:val="center"/>
          </w:tcPr>
          <w:p w:rsidR="005F08F1" w:rsidRPr="000D35F7" w:rsidRDefault="005F08F1" w:rsidP="00360730">
            <w:pPr>
              <w:jc w:val="center"/>
              <w:outlineLvl w:val="0"/>
              <w:rPr>
                <w:lang w:val="en-US"/>
              </w:rPr>
            </w:pPr>
            <w:r w:rsidRPr="000D35F7">
              <w:rPr>
                <w:b/>
                <w:lang w:val="en-US"/>
              </w:rPr>
              <w:t>G1 (3):</w:t>
            </w:r>
            <w:r w:rsidRPr="000D35F7">
              <w:rPr>
                <w:lang w:val="en-US"/>
              </w:rPr>
              <w:t xml:space="preserve"> ARCE; ARSBAN; ARPB; </w:t>
            </w:r>
            <w:r w:rsidRPr="000D35F7">
              <w:rPr>
                <w:b/>
                <w:lang w:val="en-US"/>
              </w:rPr>
              <w:t>G 2 (1):</w:t>
            </w:r>
            <w:r w:rsidRPr="000D35F7">
              <w:rPr>
                <w:lang w:val="en-US"/>
              </w:rPr>
              <w:t xml:space="preserve"> CORESAB.</w:t>
            </w:r>
          </w:p>
        </w:tc>
      </w:tr>
      <w:tr w:rsidR="005F08F1" w:rsidRPr="00350469" w:rsidTr="00A804C1">
        <w:trPr>
          <w:cnfStyle w:val="000000100000" w:firstRow="0" w:lastRow="0" w:firstColumn="0" w:lastColumn="0" w:oddVBand="0" w:evenVBand="0" w:oddHBand="1" w:evenHBand="0"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8. </w:t>
            </w:r>
            <w:r w:rsidR="005F08F1" w:rsidRPr="002B1281">
              <w:t>Procedimentos e ferramentas de transferência de informações.</w:t>
            </w:r>
          </w:p>
        </w:tc>
        <w:tc>
          <w:tcPr>
            <w:tcW w:w="6201" w:type="dxa"/>
            <w:shd w:val="clear" w:color="auto" w:fill="auto"/>
            <w:vAlign w:val="center"/>
          </w:tcPr>
          <w:p w:rsidR="005F08F1" w:rsidRPr="00CA1B3D" w:rsidRDefault="005F08F1" w:rsidP="00360730">
            <w:pPr>
              <w:jc w:val="center"/>
              <w:outlineLvl w:val="0"/>
              <w:rPr>
                <w:lang w:val="en-US"/>
              </w:rPr>
            </w:pPr>
            <w:r w:rsidRPr="00CA1B3D">
              <w:rPr>
                <w:b/>
                <w:lang w:val="en-US"/>
              </w:rPr>
              <w:t>G1 (2):</w:t>
            </w:r>
            <w:r w:rsidRPr="00CA1B3D">
              <w:rPr>
                <w:lang w:val="en-US"/>
              </w:rPr>
              <w:t xml:space="preserve"> ARCE e ACFOR; </w:t>
            </w:r>
            <w:r w:rsidRPr="00CA1B3D">
              <w:rPr>
                <w:b/>
                <w:lang w:val="en-US"/>
              </w:rPr>
              <w:t>G2 (2):</w:t>
            </w:r>
            <w:r w:rsidRPr="00CA1B3D">
              <w:rPr>
                <w:lang w:val="en-US"/>
              </w:rPr>
              <w:t xml:space="preserve"> ARSESP; AGESAN.</w:t>
            </w:r>
          </w:p>
        </w:tc>
      </w:tr>
      <w:tr w:rsidR="005F08F1" w:rsidRPr="00350469" w:rsidTr="00A804C1">
        <w:trPr>
          <w:cnfStyle w:val="000000010000" w:firstRow="0" w:lastRow="0" w:firstColumn="0" w:lastColumn="0" w:oddVBand="0" w:evenVBand="0" w:oddHBand="0" w:evenHBand="1"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9. </w:t>
            </w:r>
            <w:r w:rsidR="005F08F1" w:rsidRPr="002B1281">
              <w:t>Execução e acompanhamento de planos.</w:t>
            </w:r>
          </w:p>
        </w:tc>
        <w:tc>
          <w:tcPr>
            <w:tcW w:w="6201" w:type="dxa"/>
            <w:shd w:val="clear" w:color="auto" w:fill="auto"/>
            <w:vAlign w:val="center"/>
          </w:tcPr>
          <w:p w:rsidR="005F08F1" w:rsidRPr="00CA1B3D" w:rsidRDefault="005F08F1" w:rsidP="00360730">
            <w:pPr>
              <w:jc w:val="center"/>
              <w:outlineLvl w:val="0"/>
              <w:rPr>
                <w:lang w:val="en-US"/>
              </w:rPr>
            </w:pPr>
            <w:r w:rsidRPr="00CA1B3D">
              <w:rPr>
                <w:b/>
                <w:lang w:val="en-US"/>
              </w:rPr>
              <w:t>G1 (1):</w:t>
            </w:r>
            <w:r w:rsidRPr="00CA1B3D">
              <w:rPr>
                <w:lang w:val="en-US"/>
              </w:rPr>
              <w:t xml:space="preserve"> ARCE; </w:t>
            </w:r>
            <w:r w:rsidRPr="00CA1B3D">
              <w:rPr>
                <w:b/>
                <w:lang w:val="en-US"/>
              </w:rPr>
              <w:t>G2 (2):</w:t>
            </w:r>
            <w:r w:rsidRPr="00CA1B3D">
              <w:rPr>
                <w:lang w:val="en-US"/>
              </w:rPr>
              <w:t xml:space="preserve"> ARSESP; </w:t>
            </w:r>
            <w:r w:rsidR="00AD4088" w:rsidRPr="00CA1B3D">
              <w:rPr>
                <w:lang w:val="en-US"/>
              </w:rPr>
              <w:t>AGESAN</w:t>
            </w:r>
            <w:r w:rsidRPr="00CA1B3D">
              <w:rPr>
                <w:lang w:val="en-US"/>
              </w:rPr>
              <w:t>.</w:t>
            </w:r>
          </w:p>
        </w:tc>
      </w:tr>
      <w:tr w:rsidR="005F08F1" w:rsidRPr="002B1281" w:rsidTr="00A804C1">
        <w:trPr>
          <w:cnfStyle w:val="000000100000" w:firstRow="0" w:lastRow="0" w:firstColumn="0" w:lastColumn="0" w:oddVBand="0" w:evenVBand="0" w:oddHBand="1" w:evenHBand="0" w:firstRowFirstColumn="0" w:firstRowLastColumn="0" w:lastRowFirstColumn="0" w:lastRowLastColumn="0"/>
          <w:jc w:val="center"/>
        </w:trPr>
        <w:tc>
          <w:tcPr>
            <w:tcW w:w="4455" w:type="dxa"/>
            <w:shd w:val="clear" w:color="auto" w:fill="auto"/>
            <w:vAlign w:val="center"/>
          </w:tcPr>
          <w:p w:rsidR="005F08F1" w:rsidRPr="002B1281" w:rsidRDefault="002F3E0F" w:rsidP="002F3E0F">
            <w:pPr>
              <w:jc w:val="both"/>
              <w:outlineLvl w:val="0"/>
            </w:pPr>
            <w:r>
              <w:t xml:space="preserve">10. </w:t>
            </w:r>
            <w:r w:rsidR="005F08F1" w:rsidRPr="002B1281">
              <w:t>Novas tecnologias.</w:t>
            </w:r>
          </w:p>
        </w:tc>
        <w:tc>
          <w:tcPr>
            <w:tcW w:w="6201" w:type="dxa"/>
            <w:shd w:val="clear" w:color="auto" w:fill="auto"/>
            <w:vAlign w:val="center"/>
          </w:tcPr>
          <w:p w:rsidR="005F08F1" w:rsidRPr="005F08F1" w:rsidRDefault="005F08F1" w:rsidP="00360730">
            <w:pPr>
              <w:jc w:val="center"/>
              <w:outlineLvl w:val="0"/>
            </w:pPr>
            <w:r w:rsidRPr="005F08F1">
              <w:rPr>
                <w:b/>
              </w:rPr>
              <w:t>G1</w:t>
            </w:r>
            <w:r>
              <w:rPr>
                <w:b/>
              </w:rPr>
              <w:t xml:space="preserve"> (1)</w:t>
            </w:r>
            <w:r w:rsidRPr="005F08F1">
              <w:rPr>
                <w:b/>
              </w:rPr>
              <w:t>:</w:t>
            </w:r>
            <w:r w:rsidRPr="005F08F1">
              <w:t xml:space="preserve"> </w:t>
            </w:r>
            <w:r w:rsidR="00AD4088">
              <w:t>ADASA</w:t>
            </w:r>
            <w:r w:rsidRPr="005F08F1">
              <w:t xml:space="preserve">; </w:t>
            </w:r>
            <w:r w:rsidRPr="005F08F1">
              <w:rPr>
                <w:b/>
              </w:rPr>
              <w:t>G2</w:t>
            </w:r>
            <w:r>
              <w:rPr>
                <w:b/>
              </w:rPr>
              <w:t xml:space="preserve"> (1)</w:t>
            </w:r>
            <w:r w:rsidRPr="005F08F1">
              <w:rPr>
                <w:b/>
              </w:rPr>
              <w:t>:</w:t>
            </w:r>
            <w:r w:rsidRPr="005F08F1">
              <w:t xml:space="preserve"> ARSAE.</w:t>
            </w:r>
          </w:p>
        </w:tc>
      </w:tr>
      <w:tr w:rsidR="005F08F1" w:rsidRPr="002B1281" w:rsidTr="00A804C1">
        <w:trPr>
          <w:cnfStyle w:val="000000010000" w:firstRow="0" w:lastRow="0" w:firstColumn="0" w:lastColumn="0" w:oddVBand="0" w:evenVBand="0" w:oddHBand="0" w:evenHBand="1" w:firstRowFirstColumn="0" w:firstRowLastColumn="0" w:lastRowFirstColumn="0" w:lastRowLastColumn="0"/>
          <w:jc w:val="center"/>
        </w:trPr>
        <w:tc>
          <w:tcPr>
            <w:tcW w:w="10656" w:type="dxa"/>
            <w:gridSpan w:val="2"/>
            <w:shd w:val="clear" w:color="auto" w:fill="auto"/>
            <w:vAlign w:val="center"/>
          </w:tcPr>
          <w:p w:rsidR="005F08F1" w:rsidRPr="005F08F1" w:rsidRDefault="005F08F1" w:rsidP="00D728C9">
            <w:pPr>
              <w:jc w:val="center"/>
              <w:outlineLvl w:val="0"/>
              <w:rPr>
                <w:b/>
              </w:rPr>
            </w:pPr>
            <w:r w:rsidRPr="002B1281">
              <w:rPr>
                <w:b/>
              </w:rPr>
              <w:t>Total de atuação das entidades reguladoras considerando todos os temas</w:t>
            </w:r>
            <w:r>
              <w:rPr>
                <w:b/>
              </w:rPr>
              <w:t>: Grupo 1 – 29 e Grupo 2 – 32.</w:t>
            </w:r>
          </w:p>
        </w:tc>
      </w:tr>
    </w:tbl>
    <w:p w:rsidR="00DB2170" w:rsidRDefault="00DB2170" w:rsidP="00DD6D15">
      <w:pPr>
        <w:spacing w:after="0" w:line="240" w:lineRule="auto"/>
        <w:ind w:left="708"/>
        <w:jc w:val="both"/>
        <w:outlineLvl w:val="0"/>
        <w:rPr>
          <w:rFonts w:ascii="Times New Roman" w:hAnsi="Times New Roman" w:cs="Times New Roman"/>
          <w:sz w:val="20"/>
        </w:rPr>
      </w:pPr>
      <w:r w:rsidRPr="00DB2170">
        <w:rPr>
          <w:rFonts w:ascii="Times New Roman" w:hAnsi="Times New Roman" w:cs="Times New Roman"/>
          <w:b/>
          <w:sz w:val="20"/>
        </w:rPr>
        <w:t>Fonte</w:t>
      </w:r>
      <w:r w:rsidRPr="00DB2170">
        <w:rPr>
          <w:rFonts w:ascii="Times New Roman" w:hAnsi="Times New Roman" w:cs="Times New Roman"/>
          <w:sz w:val="20"/>
        </w:rPr>
        <w:t>: Elaboração d</w:t>
      </w:r>
      <w:r>
        <w:rPr>
          <w:rFonts w:ascii="Times New Roman" w:hAnsi="Times New Roman" w:cs="Times New Roman"/>
          <w:sz w:val="20"/>
        </w:rPr>
        <w:t>os autores</w:t>
      </w:r>
      <w:r w:rsidRPr="00DB2170">
        <w:rPr>
          <w:rFonts w:ascii="Times New Roman" w:hAnsi="Times New Roman" w:cs="Times New Roman"/>
          <w:sz w:val="20"/>
        </w:rPr>
        <w:t>.</w:t>
      </w:r>
    </w:p>
    <w:p w:rsidR="00DB2170" w:rsidRPr="00DB2170" w:rsidRDefault="00DB2170" w:rsidP="00DB21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6E5DB0" w:rsidRPr="00D926F3" w:rsidRDefault="00DB2170" w:rsidP="00652A3E">
      <w:pPr>
        <w:spacing w:after="0" w:line="240" w:lineRule="auto"/>
        <w:jc w:val="both"/>
        <w:rPr>
          <w:rFonts w:ascii="Times New Roman" w:hAnsi="Times New Roman" w:cs="Times New Roman"/>
          <w:sz w:val="24"/>
          <w:szCs w:val="24"/>
        </w:rPr>
      </w:pPr>
      <w:r w:rsidRPr="00D926F3">
        <w:rPr>
          <w:rFonts w:ascii="Times New Roman" w:hAnsi="Times New Roman" w:cs="Times New Roman"/>
          <w:sz w:val="24"/>
          <w:szCs w:val="24"/>
        </w:rPr>
        <w:tab/>
        <w:t>Para sintetizar a análise sobre a atuação das entidades reguladoras na atividade de normatização, considerando que para cada um dos 10</w:t>
      </w:r>
      <w:r w:rsidR="009F1352" w:rsidRPr="00D926F3">
        <w:rPr>
          <w:rFonts w:ascii="Times New Roman" w:hAnsi="Times New Roman" w:cs="Times New Roman"/>
          <w:sz w:val="24"/>
          <w:szCs w:val="24"/>
        </w:rPr>
        <w:t xml:space="preserve"> temas apresentados no Quadro </w:t>
      </w:r>
      <w:proofErr w:type="gramStart"/>
      <w:r w:rsidR="009F1352" w:rsidRPr="00D926F3">
        <w:rPr>
          <w:rFonts w:ascii="Times New Roman" w:hAnsi="Times New Roman" w:cs="Times New Roman"/>
          <w:sz w:val="24"/>
          <w:szCs w:val="24"/>
        </w:rPr>
        <w:t>4</w:t>
      </w:r>
      <w:proofErr w:type="gramEnd"/>
      <w:r w:rsidRPr="00D926F3">
        <w:rPr>
          <w:rFonts w:ascii="Times New Roman" w:hAnsi="Times New Roman" w:cs="Times New Roman"/>
          <w:sz w:val="24"/>
          <w:szCs w:val="24"/>
        </w:rPr>
        <w:t xml:space="preserve">, as entidades reguladoras deveriam ter editado </w:t>
      </w:r>
      <w:r w:rsidR="002F3E0F" w:rsidRPr="00D926F3">
        <w:rPr>
          <w:rFonts w:ascii="Times New Roman" w:hAnsi="Times New Roman" w:cs="Times New Roman"/>
          <w:sz w:val="24"/>
          <w:szCs w:val="24"/>
        </w:rPr>
        <w:t>pelo menos uma norma</w:t>
      </w:r>
      <w:r w:rsidRPr="00D926F3">
        <w:rPr>
          <w:rFonts w:ascii="Times New Roman" w:hAnsi="Times New Roman" w:cs="Times New Roman"/>
          <w:sz w:val="24"/>
          <w:szCs w:val="24"/>
        </w:rPr>
        <w:t>, é possível estabelecer a seguinte relação:</w:t>
      </w:r>
      <w:r w:rsidR="00603ACE" w:rsidRPr="00D926F3">
        <w:rPr>
          <w:rFonts w:ascii="Times New Roman" w:hAnsi="Times New Roman" w:cs="Times New Roman"/>
          <w:sz w:val="24"/>
          <w:szCs w:val="24"/>
        </w:rPr>
        <w:t xml:space="preserve"> as 13 entidades do grupo 1 deveriam ter editado 130 normas, mas editaram apenas 29 (22,30%); as 10 entidades reguladoras do grupo 2 deveriam ter editado 100 normas, mas editaram somente 32 (32,00%).</w:t>
      </w:r>
      <w:r w:rsidR="00652A3E" w:rsidRPr="00D926F3">
        <w:rPr>
          <w:rFonts w:ascii="Times New Roman" w:hAnsi="Times New Roman" w:cs="Times New Roman"/>
          <w:sz w:val="24"/>
          <w:szCs w:val="24"/>
        </w:rPr>
        <w:t xml:space="preserve"> Essa análise</w:t>
      </w:r>
      <w:r w:rsidRPr="00D926F3">
        <w:rPr>
          <w:rFonts w:ascii="Times New Roman" w:hAnsi="Times New Roman" w:cs="Times New Roman"/>
          <w:sz w:val="24"/>
          <w:szCs w:val="24"/>
        </w:rPr>
        <w:t xml:space="preserve"> demonstra que as entidades reguladoras do grupo </w:t>
      </w:r>
      <w:proofErr w:type="gramStart"/>
      <w:r w:rsidRPr="00D926F3">
        <w:rPr>
          <w:rFonts w:ascii="Times New Roman" w:hAnsi="Times New Roman" w:cs="Times New Roman"/>
          <w:sz w:val="24"/>
          <w:szCs w:val="24"/>
        </w:rPr>
        <w:t>2</w:t>
      </w:r>
      <w:proofErr w:type="gramEnd"/>
      <w:r w:rsidR="00A37593">
        <w:rPr>
          <w:rFonts w:ascii="Times New Roman" w:hAnsi="Times New Roman" w:cs="Times New Roman"/>
          <w:sz w:val="24"/>
          <w:szCs w:val="24"/>
        </w:rPr>
        <w:t xml:space="preserve"> (</w:t>
      </w:r>
      <w:r w:rsidRPr="00D926F3">
        <w:rPr>
          <w:rFonts w:ascii="Times New Roman" w:hAnsi="Times New Roman" w:cs="Times New Roman"/>
          <w:sz w:val="24"/>
          <w:szCs w:val="24"/>
        </w:rPr>
        <w:t>pós-marco regulatório</w:t>
      </w:r>
      <w:r w:rsidR="00A37593">
        <w:rPr>
          <w:rFonts w:ascii="Times New Roman" w:hAnsi="Times New Roman" w:cs="Times New Roman"/>
          <w:sz w:val="24"/>
          <w:szCs w:val="24"/>
        </w:rPr>
        <w:t>)</w:t>
      </w:r>
      <w:r w:rsidRPr="00D926F3">
        <w:rPr>
          <w:rFonts w:ascii="Times New Roman" w:hAnsi="Times New Roman" w:cs="Times New Roman"/>
          <w:sz w:val="24"/>
          <w:szCs w:val="24"/>
        </w:rPr>
        <w:t xml:space="preserve">,  foram proporcionalmente mais atuantes do que as entidades do grupo 1 no que se refere à atividade de normatização. Essa pode ser uma evidência de que a normatização contribui para a melhoria da produtividade dos prestadores, </w:t>
      </w:r>
      <w:r w:rsidR="006E5DB0" w:rsidRPr="00D926F3">
        <w:rPr>
          <w:rFonts w:ascii="Times New Roman" w:hAnsi="Times New Roman" w:cs="Times New Roman"/>
          <w:sz w:val="24"/>
          <w:szCs w:val="24"/>
        </w:rPr>
        <w:t>já que</w:t>
      </w:r>
      <w:r w:rsidR="00652A3E" w:rsidRPr="00D926F3">
        <w:rPr>
          <w:rFonts w:ascii="Times New Roman" w:hAnsi="Times New Roman" w:cs="Times New Roman"/>
          <w:sz w:val="24"/>
          <w:szCs w:val="24"/>
        </w:rPr>
        <w:t>, de acordo com o</w:t>
      </w:r>
      <w:r w:rsidR="006E5DB0" w:rsidRPr="00D926F3">
        <w:rPr>
          <w:rFonts w:ascii="Times New Roman" w:hAnsi="Times New Roman" w:cs="Times New Roman"/>
          <w:sz w:val="24"/>
          <w:szCs w:val="24"/>
        </w:rPr>
        <w:t xml:space="preserve"> Índice de </w:t>
      </w:r>
      <w:proofErr w:type="spellStart"/>
      <w:r w:rsidR="006E5DB0" w:rsidRPr="00D926F3">
        <w:rPr>
          <w:rFonts w:ascii="Times New Roman" w:hAnsi="Times New Roman" w:cs="Times New Roman"/>
          <w:sz w:val="24"/>
          <w:szCs w:val="24"/>
        </w:rPr>
        <w:t>Malmquist</w:t>
      </w:r>
      <w:proofErr w:type="spellEnd"/>
      <w:r w:rsidR="00652A3E" w:rsidRPr="00D926F3">
        <w:rPr>
          <w:rFonts w:ascii="Times New Roman" w:hAnsi="Times New Roman" w:cs="Times New Roman"/>
          <w:sz w:val="24"/>
          <w:szCs w:val="24"/>
        </w:rPr>
        <w:t>,</w:t>
      </w:r>
      <w:r w:rsidR="006E5DB0" w:rsidRPr="00D926F3">
        <w:rPr>
          <w:rFonts w:ascii="Times New Roman" w:hAnsi="Times New Roman" w:cs="Times New Roman"/>
          <w:sz w:val="24"/>
          <w:szCs w:val="24"/>
        </w:rPr>
        <w:t xml:space="preserve"> os prestadores de SAA e SES regulados a partir de 2007 se aproximaram da fronteira de eficiência (efeito emparelhamento igual a 1,0518), enquanto que os prestadores com regulação </w:t>
      </w:r>
      <w:r w:rsidR="00A37593">
        <w:rPr>
          <w:rFonts w:ascii="Times New Roman" w:hAnsi="Times New Roman" w:cs="Times New Roman"/>
          <w:sz w:val="24"/>
          <w:szCs w:val="24"/>
        </w:rPr>
        <w:t>anterior a</w:t>
      </w:r>
      <w:r w:rsidR="006E5DB0" w:rsidRPr="00D926F3">
        <w:rPr>
          <w:rFonts w:ascii="Times New Roman" w:hAnsi="Times New Roman" w:cs="Times New Roman"/>
          <w:sz w:val="24"/>
          <w:szCs w:val="24"/>
        </w:rPr>
        <w:t xml:space="preserve"> 2007 se afastaram da fronteira (efeito emparelhamento igual a 0,9462) entre os anos de 2006 e 2011</w:t>
      </w:r>
      <w:r w:rsidR="00D50D8F" w:rsidRPr="00D926F3">
        <w:rPr>
          <w:rFonts w:ascii="Times New Roman" w:hAnsi="Times New Roman" w:cs="Times New Roman"/>
          <w:sz w:val="24"/>
          <w:szCs w:val="24"/>
        </w:rPr>
        <w:t>, assim como os prestadores não regulados (efeito emparelhamento igual a 0,9990)</w:t>
      </w:r>
      <w:r w:rsidR="006E5DB0" w:rsidRPr="00D926F3">
        <w:rPr>
          <w:rFonts w:ascii="Times New Roman" w:hAnsi="Times New Roman" w:cs="Times New Roman"/>
          <w:sz w:val="24"/>
          <w:szCs w:val="24"/>
        </w:rPr>
        <w:t>.</w:t>
      </w:r>
    </w:p>
    <w:p w:rsidR="00D50D8F" w:rsidRDefault="00D50D8F" w:rsidP="00DB2170">
      <w:pPr>
        <w:spacing w:after="0" w:line="240" w:lineRule="auto"/>
        <w:jc w:val="both"/>
        <w:rPr>
          <w:rFonts w:ascii="Times New Roman" w:hAnsi="Times New Roman" w:cs="Times New Roman"/>
          <w:sz w:val="24"/>
          <w:szCs w:val="24"/>
        </w:rPr>
      </w:pPr>
    </w:p>
    <w:p w:rsidR="00C036DA" w:rsidRPr="001706EF" w:rsidRDefault="00C036DA" w:rsidP="00195583">
      <w:pPr>
        <w:spacing w:after="0" w:line="240" w:lineRule="auto"/>
        <w:jc w:val="both"/>
        <w:rPr>
          <w:rFonts w:ascii="Times New Roman" w:hAnsi="Times New Roman" w:cs="Times New Roman"/>
          <w:b/>
          <w:sz w:val="24"/>
          <w:szCs w:val="24"/>
        </w:rPr>
      </w:pPr>
      <w:proofErr w:type="gramStart"/>
      <w:r w:rsidRPr="001706EF">
        <w:rPr>
          <w:rFonts w:ascii="Times New Roman" w:hAnsi="Times New Roman" w:cs="Times New Roman"/>
          <w:b/>
          <w:sz w:val="24"/>
          <w:szCs w:val="24"/>
        </w:rPr>
        <w:t>6</w:t>
      </w:r>
      <w:proofErr w:type="gramEnd"/>
      <w:r w:rsidRPr="001706EF">
        <w:rPr>
          <w:rFonts w:ascii="Times New Roman" w:hAnsi="Times New Roman" w:cs="Times New Roman"/>
          <w:b/>
          <w:sz w:val="24"/>
          <w:szCs w:val="24"/>
        </w:rPr>
        <w:t xml:space="preserve"> Conclusões</w:t>
      </w:r>
    </w:p>
    <w:p w:rsidR="00C036DA" w:rsidRDefault="00C036DA" w:rsidP="00195583">
      <w:pPr>
        <w:spacing w:after="0" w:line="240" w:lineRule="auto"/>
        <w:jc w:val="both"/>
        <w:rPr>
          <w:rFonts w:ascii="Times New Roman" w:hAnsi="Times New Roman" w:cs="Times New Roman"/>
          <w:sz w:val="24"/>
          <w:szCs w:val="24"/>
        </w:rPr>
      </w:pPr>
    </w:p>
    <w:p w:rsidR="00C036DA" w:rsidRDefault="001706EF" w:rsidP="003B072D">
      <w:pPr>
        <w:spacing w:after="0" w:line="240" w:lineRule="auto"/>
        <w:jc w:val="both"/>
        <w:rPr>
          <w:rFonts w:ascii="Times New Roman" w:hAnsi="Times New Roman" w:cs="Times New Roman"/>
          <w:sz w:val="24"/>
          <w:szCs w:val="24"/>
        </w:rPr>
      </w:pPr>
      <w:r w:rsidRPr="003B072D">
        <w:rPr>
          <w:rFonts w:ascii="Times New Roman" w:hAnsi="Times New Roman" w:cs="Times New Roman"/>
          <w:sz w:val="24"/>
          <w:szCs w:val="24"/>
        </w:rPr>
        <w:tab/>
      </w:r>
      <w:r w:rsidR="003B072D" w:rsidRPr="003B072D">
        <w:rPr>
          <w:rFonts w:ascii="Times New Roman" w:hAnsi="Times New Roman" w:cs="Times New Roman"/>
          <w:sz w:val="24"/>
          <w:szCs w:val="24"/>
        </w:rPr>
        <w:t xml:space="preserve">Apesar da realidade brasileira ainda concentrar um déficit considerável no que se refere ao acesso a redes de abastecimento de água e de esgotamento sanitário, a instituição do novo marco regulatório do setor, em 2007, apresentou caminhos para que o déficit fosse superado e a universalização dos serviços de água e esgotos fosse alcançada. Entre esses caminhos, está a eficiência dos prestadores de serviços, que deve ser induzida incessantemente pelas </w:t>
      </w:r>
      <w:r w:rsidR="00A37593">
        <w:rPr>
          <w:rFonts w:ascii="Times New Roman" w:hAnsi="Times New Roman" w:cs="Times New Roman"/>
          <w:sz w:val="24"/>
          <w:szCs w:val="24"/>
        </w:rPr>
        <w:t xml:space="preserve">suas entidades reguladoras. </w:t>
      </w:r>
      <w:r w:rsidR="003B072D" w:rsidRPr="003B072D">
        <w:rPr>
          <w:rFonts w:ascii="Times New Roman" w:hAnsi="Times New Roman" w:cs="Times New Roman"/>
          <w:sz w:val="24"/>
          <w:szCs w:val="24"/>
        </w:rPr>
        <w:t xml:space="preserve">Nesse contexto, este artigo analisa a atuação das entidades reguladoras no que se refere à indução da eficiência dos prestadores de serviços de água e </w:t>
      </w:r>
      <w:r w:rsidR="00A37593">
        <w:rPr>
          <w:rFonts w:ascii="Times New Roman" w:hAnsi="Times New Roman" w:cs="Times New Roman"/>
          <w:sz w:val="24"/>
          <w:szCs w:val="24"/>
        </w:rPr>
        <w:t>esgotos</w:t>
      </w:r>
      <w:r w:rsidR="003B072D" w:rsidRPr="003B072D">
        <w:rPr>
          <w:rFonts w:ascii="Times New Roman" w:hAnsi="Times New Roman" w:cs="Times New Roman"/>
          <w:sz w:val="24"/>
          <w:szCs w:val="24"/>
        </w:rPr>
        <w:t xml:space="preserve"> no Brasil</w:t>
      </w:r>
      <w:r w:rsidR="005919B8">
        <w:rPr>
          <w:rFonts w:ascii="Times New Roman" w:hAnsi="Times New Roman" w:cs="Times New Roman"/>
          <w:sz w:val="24"/>
          <w:szCs w:val="24"/>
        </w:rPr>
        <w:t>, p</w:t>
      </w:r>
      <w:r w:rsidR="003B072D" w:rsidRPr="003B072D">
        <w:rPr>
          <w:rFonts w:ascii="Times New Roman" w:hAnsi="Times New Roman" w:cs="Times New Roman"/>
          <w:sz w:val="24"/>
          <w:szCs w:val="24"/>
        </w:rPr>
        <w:t xml:space="preserve">ara tanto, </w:t>
      </w:r>
      <w:r w:rsidR="00C34F7F">
        <w:rPr>
          <w:rFonts w:ascii="Times New Roman" w:hAnsi="Times New Roman" w:cs="Times New Roman"/>
          <w:sz w:val="24"/>
          <w:szCs w:val="24"/>
        </w:rPr>
        <w:t xml:space="preserve">foi </w:t>
      </w:r>
      <w:r w:rsidR="005919B8">
        <w:rPr>
          <w:rFonts w:ascii="Times New Roman" w:hAnsi="Times New Roman" w:cs="Times New Roman"/>
          <w:sz w:val="24"/>
          <w:szCs w:val="24"/>
        </w:rPr>
        <w:t>utiliza</w:t>
      </w:r>
      <w:r w:rsidR="00C34F7F">
        <w:rPr>
          <w:rFonts w:ascii="Times New Roman" w:hAnsi="Times New Roman" w:cs="Times New Roman"/>
          <w:sz w:val="24"/>
          <w:szCs w:val="24"/>
        </w:rPr>
        <w:t>da</w:t>
      </w:r>
      <w:r w:rsidR="005919B8">
        <w:rPr>
          <w:rFonts w:ascii="Times New Roman" w:hAnsi="Times New Roman" w:cs="Times New Roman"/>
          <w:sz w:val="24"/>
          <w:szCs w:val="24"/>
        </w:rPr>
        <w:t xml:space="preserve"> uma abordagem analítica </w:t>
      </w:r>
      <w:r w:rsidR="00C34F7F">
        <w:rPr>
          <w:rFonts w:ascii="Times New Roman" w:hAnsi="Times New Roman" w:cs="Times New Roman"/>
          <w:sz w:val="24"/>
          <w:szCs w:val="24"/>
        </w:rPr>
        <w:t>composta por</w:t>
      </w:r>
      <w:r w:rsidR="003B072D" w:rsidRPr="003B072D">
        <w:rPr>
          <w:rFonts w:ascii="Times New Roman" w:hAnsi="Times New Roman" w:cs="Times New Roman"/>
          <w:sz w:val="24"/>
          <w:szCs w:val="24"/>
        </w:rPr>
        <w:t xml:space="preserve"> em três etapas.</w:t>
      </w:r>
    </w:p>
    <w:p w:rsidR="00231526" w:rsidRDefault="005919B8" w:rsidP="002315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3B072D">
        <w:rPr>
          <w:rFonts w:ascii="Times New Roman" w:hAnsi="Times New Roman" w:cs="Times New Roman"/>
          <w:sz w:val="24"/>
          <w:szCs w:val="24"/>
        </w:rPr>
        <w:t xml:space="preserve">Na primeira etapa, foi utilizada a Análise Envoltória de Dados (DEA) para avaliar a eficiência dos prestadores </w:t>
      </w:r>
      <w:r>
        <w:rPr>
          <w:rFonts w:ascii="Times New Roman" w:hAnsi="Times New Roman" w:cs="Times New Roman"/>
          <w:sz w:val="24"/>
          <w:szCs w:val="24"/>
        </w:rPr>
        <w:t xml:space="preserve">de SAA e SES </w:t>
      </w:r>
      <w:r w:rsidRPr="003B072D">
        <w:rPr>
          <w:rFonts w:ascii="Times New Roman" w:hAnsi="Times New Roman" w:cs="Times New Roman"/>
          <w:sz w:val="24"/>
          <w:szCs w:val="24"/>
        </w:rPr>
        <w:t>nos anos de 2006 e 2011.</w:t>
      </w:r>
      <w:r>
        <w:rPr>
          <w:rFonts w:ascii="Times New Roman" w:hAnsi="Times New Roman" w:cs="Times New Roman"/>
          <w:sz w:val="24"/>
          <w:szCs w:val="24"/>
        </w:rPr>
        <w:t xml:space="preserve"> </w:t>
      </w:r>
      <w:r w:rsidR="00AA1F95">
        <w:rPr>
          <w:rFonts w:ascii="Times New Roman" w:hAnsi="Times New Roman" w:cs="Times New Roman"/>
          <w:sz w:val="24"/>
          <w:szCs w:val="24"/>
        </w:rPr>
        <w:t>Verificaram-se</w:t>
      </w:r>
      <w:r w:rsidR="00C34F7F">
        <w:rPr>
          <w:rFonts w:ascii="Times New Roman" w:hAnsi="Times New Roman" w:cs="Times New Roman"/>
          <w:sz w:val="24"/>
          <w:szCs w:val="24"/>
        </w:rPr>
        <w:t xml:space="preserve"> médias de eficiência que podem ser consideradas </w:t>
      </w:r>
      <w:r w:rsidR="00C34F7F" w:rsidRPr="005919B8">
        <w:rPr>
          <w:rFonts w:ascii="Times New Roman" w:hAnsi="Times New Roman" w:cs="Times New Roman"/>
          <w:sz w:val="24"/>
          <w:szCs w:val="24"/>
        </w:rPr>
        <w:t xml:space="preserve">elevadas, no entanto, foram detectadas ineficiências </w:t>
      </w:r>
      <w:r w:rsidR="00A42FA5">
        <w:rPr>
          <w:rFonts w:ascii="Times New Roman" w:hAnsi="Times New Roman" w:cs="Times New Roman"/>
          <w:sz w:val="24"/>
          <w:szCs w:val="24"/>
        </w:rPr>
        <w:t>importantes</w:t>
      </w:r>
      <w:r w:rsidR="00C34F7F" w:rsidRPr="005919B8">
        <w:rPr>
          <w:rFonts w:ascii="Times New Roman" w:hAnsi="Times New Roman" w:cs="Times New Roman"/>
          <w:sz w:val="24"/>
          <w:szCs w:val="24"/>
        </w:rPr>
        <w:t xml:space="preserve"> e como o setor vive um </w:t>
      </w:r>
      <w:r w:rsidR="00C34F7F" w:rsidRPr="005919B8">
        <w:rPr>
          <w:rFonts w:ascii="Times New Roman" w:hAnsi="Times New Roman" w:cs="Times New Roman"/>
          <w:sz w:val="24"/>
          <w:szCs w:val="24"/>
        </w:rPr>
        <w:lastRenderedPageBreak/>
        <w:t>momento decisivo, em busca da universalização do acesso, é preciso que os prestadores evoluam constantemente.</w:t>
      </w:r>
      <w:r w:rsidR="00C34F7F">
        <w:rPr>
          <w:rFonts w:ascii="Times New Roman" w:hAnsi="Times New Roman" w:cs="Times New Roman"/>
          <w:sz w:val="24"/>
          <w:szCs w:val="24"/>
        </w:rPr>
        <w:t xml:space="preserve"> Os prestadores de SAA e SES localizados na região Nordeste, de abrangência regional e propriedade pública apresentaram os níveis médios de eficiência mais baixos nos dois anos analisados.</w:t>
      </w:r>
      <w:r w:rsidR="00231526">
        <w:rPr>
          <w:rFonts w:ascii="Times New Roman" w:hAnsi="Times New Roman" w:cs="Times New Roman"/>
          <w:sz w:val="24"/>
          <w:szCs w:val="24"/>
        </w:rPr>
        <w:t xml:space="preserve"> </w:t>
      </w:r>
      <w:r w:rsidRPr="005919B8">
        <w:rPr>
          <w:rFonts w:ascii="Times New Roman" w:hAnsi="Times New Roman" w:cs="Times New Roman"/>
          <w:sz w:val="24"/>
          <w:szCs w:val="24"/>
        </w:rPr>
        <w:t>Quanto à situação da regulação</w:t>
      </w:r>
      <w:r w:rsidR="00231526">
        <w:rPr>
          <w:rFonts w:ascii="Times New Roman" w:hAnsi="Times New Roman" w:cs="Times New Roman"/>
          <w:sz w:val="24"/>
          <w:szCs w:val="24"/>
        </w:rPr>
        <w:t xml:space="preserve">, </w:t>
      </w:r>
      <w:r w:rsidRPr="005919B8">
        <w:rPr>
          <w:rFonts w:ascii="Times New Roman" w:hAnsi="Times New Roman" w:cs="Times New Roman"/>
          <w:sz w:val="24"/>
          <w:szCs w:val="24"/>
        </w:rPr>
        <w:t>houve um crescimento no número de prestadores de SAA e SES regulados</w:t>
      </w:r>
      <w:r w:rsidR="00231526">
        <w:rPr>
          <w:rFonts w:ascii="Times New Roman" w:hAnsi="Times New Roman" w:cs="Times New Roman"/>
          <w:sz w:val="24"/>
          <w:szCs w:val="24"/>
        </w:rPr>
        <w:t xml:space="preserve"> entre 2006 e 2011, </w:t>
      </w:r>
      <w:r w:rsidRPr="005919B8">
        <w:rPr>
          <w:rFonts w:ascii="Times New Roman" w:hAnsi="Times New Roman" w:cs="Times New Roman"/>
          <w:sz w:val="24"/>
          <w:szCs w:val="24"/>
        </w:rPr>
        <w:t xml:space="preserve">o que pode </w:t>
      </w:r>
      <w:r w:rsidR="00231526">
        <w:rPr>
          <w:rFonts w:ascii="Times New Roman" w:hAnsi="Times New Roman" w:cs="Times New Roman"/>
          <w:sz w:val="24"/>
          <w:szCs w:val="24"/>
        </w:rPr>
        <w:t>ser atribuído ao</w:t>
      </w:r>
      <w:r w:rsidRPr="005919B8">
        <w:rPr>
          <w:rFonts w:ascii="Times New Roman" w:hAnsi="Times New Roman" w:cs="Times New Roman"/>
          <w:sz w:val="24"/>
          <w:szCs w:val="24"/>
        </w:rPr>
        <w:t xml:space="preserve"> surgimento de novas entidades reguladoras, após a aprovação do marco reg</w:t>
      </w:r>
      <w:r w:rsidR="00231526">
        <w:rPr>
          <w:rFonts w:ascii="Times New Roman" w:hAnsi="Times New Roman" w:cs="Times New Roman"/>
          <w:sz w:val="24"/>
          <w:szCs w:val="24"/>
        </w:rPr>
        <w:t>ulatório do setor de saneamento</w:t>
      </w:r>
      <w:r w:rsidRPr="005919B8">
        <w:rPr>
          <w:rFonts w:ascii="Times New Roman" w:hAnsi="Times New Roman" w:cs="Times New Roman"/>
          <w:sz w:val="24"/>
          <w:szCs w:val="24"/>
        </w:rPr>
        <w:t xml:space="preserve">. No entanto, a média de eficiência técnica pura foi maior entre os prestadores não regulados tanto em 2006 como em 2011. </w:t>
      </w:r>
    </w:p>
    <w:p w:rsidR="00231526" w:rsidRDefault="003B072D" w:rsidP="003B0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3B072D">
        <w:rPr>
          <w:rFonts w:ascii="Times New Roman" w:hAnsi="Times New Roman" w:cs="Times New Roman"/>
          <w:sz w:val="24"/>
          <w:szCs w:val="24"/>
        </w:rPr>
        <w:t xml:space="preserve">A análise realizada na segunda etapa, por meio do Índice de </w:t>
      </w:r>
      <w:proofErr w:type="spellStart"/>
      <w:r w:rsidRPr="003B072D">
        <w:rPr>
          <w:rFonts w:ascii="Times New Roman" w:hAnsi="Times New Roman" w:cs="Times New Roman"/>
          <w:sz w:val="24"/>
          <w:szCs w:val="24"/>
        </w:rPr>
        <w:t>Malmquist</w:t>
      </w:r>
      <w:proofErr w:type="spellEnd"/>
      <w:r w:rsidRPr="003B072D">
        <w:rPr>
          <w:rFonts w:ascii="Times New Roman" w:hAnsi="Times New Roman" w:cs="Times New Roman"/>
          <w:sz w:val="24"/>
          <w:szCs w:val="24"/>
        </w:rPr>
        <w:t xml:space="preserve">, apontou </w:t>
      </w:r>
      <w:r w:rsidR="00231526">
        <w:rPr>
          <w:rFonts w:ascii="Times New Roman" w:hAnsi="Times New Roman" w:cs="Times New Roman"/>
          <w:sz w:val="24"/>
          <w:szCs w:val="24"/>
        </w:rPr>
        <w:t>ganhos</w:t>
      </w:r>
      <w:r w:rsidRPr="003B072D">
        <w:rPr>
          <w:rFonts w:ascii="Times New Roman" w:hAnsi="Times New Roman" w:cs="Times New Roman"/>
          <w:sz w:val="24"/>
          <w:szCs w:val="24"/>
        </w:rPr>
        <w:t xml:space="preserve"> de produtividade </w:t>
      </w:r>
      <w:r w:rsidR="00AA1F95">
        <w:rPr>
          <w:rFonts w:ascii="Times New Roman" w:hAnsi="Times New Roman" w:cs="Times New Roman"/>
          <w:sz w:val="24"/>
          <w:szCs w:val="24"/>
        </w:rPr>
        <w:t>de</w:t>
      </w:r>
      <w:r w:rsidR="00AA1F95" w:rsidRPr="003B072D">
        <w:rPr>
          <w:rFonts w:ascii="Times New Roman" w:hAnsi="Times New Roman" w:cs="Times New Roman"/>
          <w:sz w:val="24"/>
          <w:szCs w:val="24"/>
        </w:rPr>
        <w:t xml:space="preserve"> </w:t>
      </w:r>
      <w:r w:rsidRPr="003B072D">
        <w:rPr>
          <w:rFonts w:ascii="Times New Roman" w:hAnsi="Times New Roman" w:cs="Times New Roman"/>
          <w:sz w:val="24"/>
          <w:szCs w:val="24"/>
        </w:rPr>
        <w:t xml:space="preserve">2006 </w:t>
      </w:r>
      <w:r w:rsidR="00AA1F95">
        <w:rPr>
          <w:rFonts w:ascii="Times New Roman" w:hAnsi="Times New Roman" w:cs="Times New Roman"/>
          <w:sz w:val="24"/>
          <w:szCs w:val="24"/>
        </w:rPr>
        <w:t>a</w:t>
      </w:r>
      <w:r w:rsidRPr="003B072D">
        <w:rPr>
          <w:rFonts w:ascii="Times New Roman" w:hAnsi="Times New Roman" w:cs="Times New Roman"/>
          <w:sz w:val="24"/>
          <w:szCs w:val="24"/>
        </w:rPr>
        <w:t xml:space="preserve"> 2011. </w:t>
      </w:r>
      <w:r w:rsidR="00226068" w:rsidRPr="00226068">
        <w:rPr>
          <w:rFonts w:ascii="Times New Roman" w:hAnsi="Times New Roman" w:cs="Times New Roman"/>
          <w:sz w:val="24"/>
          <w:szCs w:val="24"/>
        </w:rPr>
        <w:t>A análise decomposta do índice indicou um deslocamento da fronteira de eficiência para um nível superior, no entanto, foi verificado um afastamento dos prestadores em relação à fronteira</w:t>
      </w:r>
      <w:r w:rsidR="00226068">
        <w:rPr>
          <w:rFonts w:ascii="Times New Roman" w:hAnsi="Times New Roman" w:cs="Times New Roman"/>
          <w:sz w:val="24"/>
          <w:szCs w:val="24"/>
        </w:rPr>
        <w:t>, ou seja, uma queda na sua eficiência pura</w:t>
      </w:r>
      <w:r w:rsidR="00226068" w:rsidRPr="00226068">
        <w:rPr>
          <w:rFonts w:ascii="Times New Roman" w:hAnsi="Times New Roman" w:cs="Times New Roman"/>
          <w:sz w:val="24"/>
          <w:szCs w:val="24"/>
        </w:rPr>
        <w:t>. Apenas a</w:t>
      </w:r>
      <w:r w:rsidR="00226068">
        <w:rPr>
          <w:rFonts w:ascii="Times New Roman" w:hAnsi="Times New Roman" w:cs="Times New Roman"/>
          <w:sz w:val="24"/>
          <w:szCs w:val="24"/>
        </w:rPr>
        <w:t xml:space="preserve"> região Norte registrou queda no fator de</w:t>
      </w:r>
      <w:r w:rsidR="00226068" w:rsidRPr="00226068">
        <w:rPr>
          <w:rFonts w:ascii="Times New Roman" w:hAnsi="Times New Roman" w:cs="Times New Roman"/>
          <w:sz w:val="24"/>
          <w:szCs w:val="24"/>
        </w:rPr>
        <w:t xml:space="preserve"> produtividade total</w:t>
      </w:r>
      <w:r w:rsidR="00226068">
        <w:rPr>
          <w:rFonts w:ascii="Times New Roman" w:hAnsi="Times New Roman" w:cs="Times New Roman"/>
          <w:sz w:val="24"/>
          <w:szCs w:val="24"/>
        </w:rPr>
        <w:t xml:space="preserve"> e a região Sudeste apresentou o maior ganho de produtividade no período</w:t>
      </w:r>
      <w:r w:rsidR="00226068" w:rsidRPr="00226068">
        <w:rPr>
          <w:rFonts w:ascii="Times New Roman" w:hAnsi="Times New Roman" w:cs="Times New Roman"/>
          <w:sz w:val="24"/>
          <w:szCs w:val="24"/>
        </w:rPr>
        <w:t xml:space="preserve">. </w:t>
      </w:r>
      <w:r w:rsidR="00577105">
        <w:rPr>
          <w:rFonts w:ascii="Times New Roman" w:hAnsi="Times New Roman" w:cs="Times New Roman"/>
          <w:sz w:val="24"/>
          <w:szCs w:val="24"/>
        </w:rPr>
        <w:t>F</w:t>
      </w:r>
      <w:r w:rsidR="00226068">
        <w:rPr>
          <w:rFonts w:ascii="Times New Roman" w:hAnsi="Times New Roman" w:cs="Times New Roman"/>
          <w:sz w:val="24"/>
          <w:szCs w:val="24"/>
        </w:rPr>
        <w:t>oram mais relevantes os</w:t>
      </w:r>
      <w:r w:rsidR="00226068" w:rsidRPr="00226068">
        <w:rPr>
          <w:rFonts w:ascii="Times New Roman" w:hAnsi="Times New Roman" w:cs="Times New Roman"/>
          <w:sz w:val="24"/>
          <w:szCs w:val="24"/>
        </w:rPr>
        <w:t xml:space="preserve"> ganho</w:t>
      </w:r>
      <w:r w:rsidR="00226068">
        <w:rPr>
          <w:rFonts w:ascii="Times New Roman" w:hAnsi="Times New Roman" w:cs="Times New Roman"/>
          <w:sz w:val="24"/>
          <w:szCs w:val="24"/>
        </w:rPr>
        <w:t>s</w:t>
      </w:r>
      <w:r w:rsidR="00226068" w:rsidRPr="00226068">
        <w:rPr>
          <w:rFonts w:ascii="Times New Roman" w:hAnsi="Times New Roman" w:cs="Times New Roman"/>
          <w:sz w:val="24"/>
          <w:szCs w:val="24"/>
        </w:rPr>
        <w:t xml:space="preserve"> de produtividade </w:t>
      </w:r>
      <w:r w:rsidR="00226068">
        <w:rPr>
          <w:rFonts w:ascii="Times New Roman" w:hAnsi="Times New Roman" w:cs="Times New Roman"/>
          <w:sz w:val="24"/>
          <w:szCs w:val="24"/>
        </w:rPr>
        <w:t xml:space="preserve">total </w:t>
      </w:r>
      <w:r w:rsidR="00226068" w:rsidRPr="00226068">
        <w:rPr>
          <w:rFonts w:ascii="Times New Roman" w:hAnsi="Times New Roman" w:cs="Times New Roman"/>
          <w:sz w:val="24"/>
          <w:szCs w:val="24"/>
        </w:rPr>
        <w:t>entre os prestadores de abrangência local e propriedade privada, que também se moveram mais rapidamente para a fronteira. Os prestadores regulados a partir de 2007 apresentaram maior ganho na produtividade total e melhoria pura de eficiência</w:t>
      </w:r>
      <w:r w:rsidR="00577105">
        <w:rPr>
          <w:rFonts w:ascii="Times New Roman" w:hAnsi="Times New Roman" w:cs="Times New Roman"/>
          <w:sz w:val="24"/>
          <w:szCs w:val="24"/>
        </w:rPr>
        <w:t>, se aproximando individualmente da fronteira.</w:t>
      </w:r>
    </w:p>
    <w:p w:rsidR="005C3573" w:rsidRDefault="005C3573" w:rsidP="003B0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C3573">
        <w:rPr>
          <w:rFonts w:ascii="Times New Roman" w:hAnsi="Times New Roman" w:cs="Times New Roman"/>
          <w:sz w:val="24"/>
          <w:szCs w:val="24"/>
        </w:rPr>
        <w:t xml:space="preserve">Da análise da atividade </w:t>
      </w:r>
      <w:r w:rsidR="00A37593">
        <w:rPr>
          <w:rFonts w:ascii="Times New Roman" w:hAnsi="Times New Roman" w:cs="Times New Roman"/>
          <w:sz w:val="24"/>
          <w:szCs w:val="24"/>
        </w:rPr>
        <w:t xml:space="preserve">regulatória </w:t>
      </w:r>
      <w:r w:rsidRPr="005C3573">
        <w:rPr>
          <w:rFonts w:ascii="Times New Roman" w:hAnsi="Times New Roman" w:cs="Times New Roman"/>
          <w:sz w:val="24"/>
          <w:szCs w:val="24"/>
        </w:rPr>
        <w:t>de normatização, realizada na terceira etapa, foi possível extrair que a atuação das entidades ainda apresenta fragilidades consideráveis, o que pode estar inibindo o benefício que a regulação pode proporcionar para a eficiência dos prestadores de SAA e SES. Foram identificadas, inclusive, entidades reguladoras</w:t>
      </w:r>
      <w:r>
        <w:rPr>
          <w:rFonts w:ascii="Times New Roman" w:hAnsi="Times New Roman" w:cs="Times New Roman"/>
          <w:sz w:val="24"/>
          <w:szCs w:val="24"/>
        </w:rPr>
        <w:t xml:space="preserve"> </w:t>
      </w:r>
      <w:r w:rsidRPr="005C3573">
        <w:rPr>
          <w:rFonts w:ascii="Times New Roman" w:hAnsi="Times New Roman" w:cs="Times New Roman"/>
          <w:sz w:val="24"/>
          <w:szCs w:val="24"/>
        </w:rPr>
        <w:t xml:space="preserve">que não haviam editado normas regulatórias relacionadas à indução da eficiência alocativa ou </w:t>
      </w:r>
      <w:proofErr w:type="spellStart"/>
      <w:r w:rsidRPr="005C3573">
        <w:rPr>
          <w:rFonts w:ascii="Times New Roman" w:hAnsi="Times New Roman" w:cs="Times New Roman"/>
          <w:sz w:val="24"/>
          <w:szCs w:val="24"/>
        </w:rPr>
        <w:t>prestacional</w:t>
      </w:r>
      <w:proofErr w:type="spellEnd"/>
      <w:r w:rsidRPr="005C3573">
        <w:rPr>
          <w:rFonts w:ascii="Times New Roman" w:hAnsi="Times New Roman" w:cs="Times New Roman"/>
          <w:sz w:val="24"/>
          <w:szCs w:val="24"/>
        </w:rPr>
        <w:t>.</w:t>
      </w:r>
      <w:r>
        <w:rPr>
          <w:rFonts w:ascii="Times New Roman" w:hAnsi="Times New Roman" w:cs="Times New Roman"/>
          <w:sz w:val="24"/>
          <w:szCs w:val="24"/>
        </w:rPr>
        <w:t xml:space="preserve"> </w:t>
      </w:r>
      <w:r w:rsidR="003B072D" w:rsidRPr="003B072D">
        <w:rPr>
          <w:rFonts w:ascii="Times New Roman" w:hAnsi="Times New Roman" w:cs="Times New Roman"/>
          <w:sz w:val="24"/>
          <w:szCs w:val="24"/>
        </w:rPr>
        <w:t xml:space="preserve">Os temas mais abordados nas normas foram </w:t>
      </w:r>
      <w:proofErr w:type="gramStart"/>
      <w:r w:rsidR="003B072D" w:rsidRPr="003B072D">
        <w:rPr>
          <w:rFonts w:ascii="Times New Roman" w:hAnsi="Times New Roman" w:cs="Times New Roman"/>
          <w:sz w:val="24"/>
          <w:szCs w:val="24"/>
        </w:rPr>
        <w:t>a</w:t>
      </w:r>
      <w:proofErr w:type="gramEnd"/>
      <w:r w:rsidR="003B072D" w:rsidRPr="003B072D">
        <w:rPr>
          <w:rFonts w:ascii="Times New Roman" w:hAnsi="Times New Roman" w:cs="Times New Roman"/>
          <w:sz w:val="24"/>
          <w:szCs w:val="24"/>
        </w:rPr>
        <w:t xml:space="preserve"> autorização de reajustes tarifários e o estabelecimento de condições gerais da prestação e utilização dos serviços, já os temas menos abordados foram o incentivo ao uso de novas tecnologias e a definição de metodologia de revisão tarifária com mecanismo de indução da eficiê</w:t>
      </w:r>
      <w:r>
        <w:rPr>
          <w:rFonts w:ascii="Times New Roman" w:hAnsi="Times New Roman" w:cs="Times New Roman"/>
          <w:sz w:val="24"/>
          <w:szCs w:val="24"/>
        </w:rPr>
        <w:t>ncia e ganhos de produtividade.</w:t>
      </w:r>
    </w:p>
    <w:p w:rsidR="005C3573" w:rsidRDefault="005C3573" w:rsidP="003B0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C3573">
        <w:rPr>
          <w:rFonts w:ascii="Times New Roman" w:hAnsi="Times New Roman" w:cs="Times New Roman"/>
          <w:sz w:val="24"/>
          <w:szCs w:val="24"/>
        </w:rPr>
        <w:t>A</w:t>
      </w:r>
      <w:r w:rsidR="00A37593">
        <w:rPr>
          <w:rFonts w:ascii="Times New Roman" w:hAnsi="Times New Roman" w:cs="Times New Roman"/>
          <w:sz w:val="24"/>
          <w:szCs w:val="24"/>
        </w:rPr>
        <w:t xml:space="preserve">s </w:t>
      </w:r>
      <w:r w:rsidRPr="005C3573">
        <w:rPr>
          <w:rFonts w:ascii="Times New Roman" w:hAnsi="Times New Roman" w:cs="Times New Roman"/>
          <w:sz w:val="24"/>
          <w:szCs w:val="24"/>
        </w:rPr>
        <w:t>entidades reguladoras criadas já em um a</w:t>
      </w:r>
      <w:r w:rsidR="009961CA">
        <w:rPr>
          <w:rFonts w:ascii="Times New Roman" w:hAnsi="Times New Roman" w:cs="Times New Roman"/>
          <w:sz w:val="24"/>
          <w:szCs w:val="24"/>
        </w:rPr>
        <w:t xml:space="preserve">mbiente pós-marco regulatório, </w:t>
      </w:r>
      <w:r w:rsidR="00A37593">
        <w:rPr>
          <w:rFonts w:ascii="Times New Roman" w:hAnsi="Times New Roman" w:cs="Times New Roman"/>
          <w:sz w:val="24"/>
          <w:szCs w:val="24"/>
        </w:rPr>
        <w:t>foram</w:t>
      </w:r>
      <w:r w:rsidRPr="005C3573">
        <w:rPr>
          <w:rFonts w:ascii="Times New Roman" w:hAnsi="Times New Roman" w:cs="Times New Roman"/>
          <w:sz w:val="24"/>
          <w:szCs w:val="24"/>
        </w:rPr>
        <w:t xml:space="preserve"> proporcionalmente mais atuant</w:t>
      </w:r>
      <w:r w:rsidR="00A37593">
        <w:rPr>
          <w:rFonts w:ascii="Times New Roman" w:hAnsi="Times New Roman" w:cs="Times New Roman"/>
          <w:sz w:val="24"/>
          <w:szCs w:val="24"/>
        </w:rPr>
        <w:t>es</w:t>
      </w:r>
      <w:r w:rsidRPr="005C3573">
        <w:rPr>
          <w:rFonts w:ascii="Times New Roman" w:hAnsi="Times New Roman" w:cs="Times New Roman"/>
          <w:sz w:val="24"/>
          <w:szCs w:val="24"/>
        </w:rPr>
        <w:t xml:space="preserve"> do que as entidades do grupo </w:t>
      </w:r>
      <w:proofErr w:type="gramStart"/>
      <w:r w:rsidRPr="005C3573">
        <w:rPr>
          <w:rFonts w:ascii="Times New Roman" w:hAnsi="Times New Roman" w:cs="Times New Roman"/>
          <w:sz w:val="24"/>
          <w:szCs w:val="24"/>
        </w:rPr>
        <w:t>1</w:t>
      </w:r>
      <w:proofErr w:type="gramEnd"/>
      <w:r w:rsidR="00A37593">
        <w:rPr>
          <w:rFonts w:ascii="Times New Roman" w:hAnsi="Times New Roman" w:cs="Times New Roman"/>
          <w:sz w:val="24"/>
          <w:szCs w:val="24"/>
        </w:rPr>
        <w:t xml:space="preserve"> (regulação anterior a 2007)</w:t>
      </w:r>
      <w:r w:rsidRPr="005C3573">
        <w:rPr>
          <w:rFonts w:ascii="Times New Roman" w:hAnsi="Times New Roman" w:cs="Times New Roman"/>
          <w:sz w:val="24"/>
          <w:szCs w:val="24"/>
        </w:rPr>
        <w:t xml:space="preserve"> no que se refere à atividade de normatização. </w:t>
      </w:r>
      <w:r>
        <w:rPr>
          <w:rFonts w:ascii="Times New Roman" w:hAnsi="Times New Roman" w:cs="Times New Roman"/>
          <w:sz w:val="24"/>
          <w:szCs w:val="24"/>
        </w:rPr>
        <w:t>Esse resultado</w:t>
      </w:r>
      <w:r w:rsidR="009961CA">
        <w:rPr>
          <w:rFonts w:ascii="Times New Roman" w:hAnsi="Times New Roman" w:cs="Times New Roman"/>
          <w:sz w:val="24"/>
          <w:szCs w:val="24"/>
        </w:rPr>
        <w:t>, combinado com a análise de variação da produtividade entre 2006 e 2011,</w:t>
      </w:r>
      <w:r w:rsidRPr="005C3573">
        <w:rPr>
          <w:rFonts w:ascii="Times New Roman" w:hAnsi="Times New Roman" w:cs="Times New Roman"/>
          <w:sz w:val="24"/>
          <w:szCs w:val="24"/>
        </w:rPr>
        <w:t xml:space="preserve"> pode ser uma evidência de que a atividade de normatização contribui para a melhoria da produtividade dos prestadores, já que, no Índice de </w:t>
      </w:r>
      <w:proofErr w:type="spellStart"/>
      <w:r w:rsidRPr="005C3573">
        <w:rPr>
          <w:rFonts w:ascii="Times New Roman" w:hAnsi="Times New Roman" w:cs="Times New Roman"/>
          <w:sz w:val="24"/>
          <w:szCs w:val="24"/>
        </w:rPr>
        <w:t>Malmquist</w:t>
      </w:r>
      <w:proofErr w:type="spellEnd"/>
      <w:r w:rsidRPr="005C3573">
        <w:rPr>
          <w:rFonts w:ascii="Times New Roman" w:hAnsi="Times New Roman" w:cs="Times New Roman"/>
          <w:sz w:val="24"/>
          <w:szCs w:val="24"/>
        </w:rPr>
        <w:t>, foi verificado que os prestadores de SAA e SES regulados a partir de 2007 se aproxim</w:t>
      </w:r>
      <w:r>
        <w:rPr>
          <w:rFonts w:ascii="Times New Roman" w:hAnsi="Times New Roman" w:cs="Times New Roman"/>
          <w:sz w:val="24"/>
          <w:szCs w:val="24"/>
        </w:rPr>
        <w:t xml:space="preserve">aram da fronteira de eficiência, </w:t>
      </w:r>
      <w:r w:rsidR="008577CC">
        <w:rPr>
          <w:rFonts w:ascii="Times New Roman" w:hAnsi="Times New Roman" w:cs="Times New Roman"/>
          <w:sz w:val="24"/>
          <w:szCs w:val="24"/>
        </w:rPr>
        <w:t xml:space="preserve">diferentemente do que ocorreu com </w:t>
      </w:r>
      <w:r w:rsidRPr="005C3573">
        <w:rPr>
          <w:rFonts w:ascii="Times New Roman" w:hAnsi="Times New Roman" w:cs="Times New Roman"/>
          <w:sz w:val="24"/>
          <w:szCs w:val="24"/>
        </w:rPr>
        <w:t>os prestadores com regulaç</w:t>
      </w:r>
      <w:r w:rsidR="008577CC">
        <w:rPr>
          <w:rFonts w:ascii="Times New Roman" w:hAnsi="Times New Roman" w:cs="Times New Roman"/>
          <w:sz w:val="24"/>
          <w:szCs w:val="24"/>
        </w:rPr>
        <w:t>ão instituída antes de 2007.</w:t>
      </w:r>
    </w:p>
    <w:p w:rsidR="005C3573" w:rsidRDefault="005C3573" w:rsidP="003B0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5C3573">
        <w:rPr>
          <w:rFonts w:ascii="Times New Roman" w:hAnsi="Times New Roman" w:cs="Times New Roman"/>
          <w:sz w:val="24"/>
          <w:szCs w:val="24"/>
        </w:rPr>
        <w:t>Ainda que o disposto na literatura aponte para um impacto potencial positivo da regulação sobre o desempenho dos prestadores de serviços e, mesmo considerando o advento do marco regulatório e a criação de novas entidades reguladoras, as evidências aqui apresentadas apontam para uma realidade na qual a atuação dessas entidades ainda não tem sido garantia de que os prestadores de SAA e SES por elas regulados alcancem melhores níveis de eficiência. De uma maneira geral, os objetivos regulatórios não estão sendo alcançados e esse fenômeno pode ser explicado pelo nível ainda incipiente da atuação das entidades reguladoras brasileiras, que devem ser fortalecidas com o intuito de efetivar o seu potencial de contribuição para o setor de saneamento básico no Brasil.</w:t>
      </w:r>
    </w:p>
    <w:p w:rsidR="007F28E0" w:rsidRDefault="007F28E0" w:rsidP="003B07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7F28E0">
        <w:rPr>
          <w:rFonts w:ascii="Times New Roman" w:hAnsi="Times New Roman" w:cs="Times New Roman"/>
          <w:sz w:val="24"/>
          <w:szCs w:val="24"/>
        </w:rPr>
        <w:t>Com base no exposto, esta pesquisa procurou agregar elementos relevantes para o debate acerca da atuação das entidades reguladoras como indutoras da eficiência dos prestadores de SAA e SES no Brasil. Além da contribuição para o debate, este estudo apresentou dados que podem subsidiar gestores e formuladores de políticas públicas no sentido de aperfeiçoar o ambiente regulatório do setor de saneamento</w:t>
      </w:r>
      <w:r w:rsidR="002830D6">
        <w:rPr>
          <w:rFonts w:ascii="Times New Roman" w:hAnsi="Times New Roman" w:cs="Times New Roman"/>
          <w:sz w:val="24"/>
          <w:szCs w:val="24"/>
        </w:rPr>
        <w:t xml:space="preserve">. </w:t>
      </w:r>
      <w:r w:rsidRPr="007F28E0">
        <w:rPr>
          <w:rFonts w:ascii="Times New Roman" w:hAnsi="Times New Roman" w:cs="Times New Roman"/>
          <w:sz w:val="24"/>
          <w:szCs w:val="24"/>
        </w:rPr>
        <w:t xml:space="preserve">Em especial, sobre as temáticas da eficiência e da regulação, apresentam-se como sugestões para trabalhos futuros: a análise de outras atividades regulatórias, além da atividade de normatização; a utilização de metodologias </w:t>
      </w:r>
      <w:proofErr w:type="spellStart"/>
      <w:r w:rsidRPr="007F28E0">
        <w:rPr>
          <w:rFonts w:ascii="Times New Roman" w:hAnsi="Times New Roman" w:cs="Times New Roman"/>
          <w:sz w:val="24"/>
          <w:szCs w:val="24"/>
        </w:rPr>
        <w:t>multi-estágio</w:t>
      </w:r>
      <w:proofErr w:type="spellEnd"/>
      <w:r w:rsidRPr="007F28E0">
        <w:rPr>
          <w:rFonts w:ascii="Times New Roman" w:hAnsi="Times New Roman" w:cs="Times New Roman"/>
          <w:sz w:val="24"/>
          <w:szCs w:val="24"/>
        </w:rPr>
        <w:t xml:space="preserve"> que permitam a análise do impacto de fatores ambientais e de componentes de qualidade sobre o desempenho dos prestadores de SAA e SES; e o uso de modelos mais avançados de DEA como </w:t>
      </w:r>
      <w:proofErr w:type="gramStart"/>
      <w:r w:rsidRPr="007F28E0">
        <w:rPr>
          <w:rFonts w:ascii="Times New Roman" w:hAnsi="Times New Roman" w:cs="Times New Roman"/>
          <w:sz w:val="24"/>
          <w:szCs w:val="24"/>
        </w:rPr>
        <w:t>o Network</w:t>
      </w:r>
      <w:proofErr w:type="gramEnd"/>
      <w:r w:rsidRPr="007F28E0">
        <w:rPr>
          <w:rFonts w:ascii="Times New Roman" w:hAnsi="Times New Roman" w:cs="Times New Roman"/>
          <w:sz w:val="24"/>
          <w:szCs w:val="24"/>
        </w:rPr>
        <w:t xml:space="preserve"> SBM DEA proposto por </w:t>
      </w:r>
      <w:proofErr w:type="spellStart"/>
      <w:r w:rsidRPr="007F28E0">
        <w:rPr>
          <w:rFonts w:ascii="Times New Roman" w:hAnsi="Times New Roman" w:cs="Times New Roman"/>
          <w:sz w:val="24"/>
          <w:szCs w:val="24"/>
        </w:rPr>
        <w:t>Tone</w:t>
      </w:r>
      <w:proofErr w:type="spellEnd"/>
      <w:r w:rsidRPr="007F28E0">
        <w:rPr>
          <w:rFonts w:ascii="Times New Roman" w:hAnsi="Times New Roman" w:cs="Times New Roman"/>
          <w:sz w:val="24"/>
          <w:szCs w:val="24"/>
        </w:rPr>
        <w:t xml:space="preserve"> e </w:t>
      </w:r>
      <w:proofErr w:type="spellStart"/>
      <w:r w:rsidRPr="007F28E0">
        <w:rPr>
          <w:rFonts w:ascii="Times New Roman" w:hAnsi="Times New Roman" w:cs="Times New Roman"/>
          <w:sz w:val="24"/>
          <w:szCs w:val="24"/>
        </w:rPr>
        <w:t>Tsutsui</w:t>
      </w:r>
      <w:proofErr w:type="spellEnd"/>
      <w:r w:rsidRPr="007F28E0">
        <w:rPr>
          <w:rFonts w:ascii="Times New Roman" w:hAnsi="Times New Roman" w:cs="Times New Roman"/>
          <w:sz w:val="24"/>
          <w:szCs w:val="24"/>
        </w:rPr>
        <w:t xml:space="preserve"> (2009), que permite lidar com produtos intermediários e avaliar a eficiência de cada divisão (</w:t>
      </w:r>
      <w:proofErr w:type="spellStart"/>
      <w:r w:rsidRPr="007F28E0">
        <w:rPr>
          <w:rFonts w:ascii="Times New Roman" w:hAnsi="Times New Roman" w:cs="Times New Roman"/>
          <w:sz w:val="24"/>
          <w:szCs w:val="24"/>
        </w:rPr>
        <w:t>sub-DMUs</w:t>
      </w:r>
      <w:proofErr w:type="spellEnd"/>
      <w:r w:rsidRPr="007F28E0">
        <w:rPr>
          <w:rFonts w:ascii="Times New Roman" w:hAnsi="Times New Roman" w:cs="Times New Roman"/>
          <w:sz w:val="24"/>
          <w:szCs w:val="24"/>
        </w:rPr>
        <w:t xml:space="preserve">) juntamente com a eficiência global das </w:t>
      </w:r>
      <w:proofErr w:type="spellStart"/>
      <w:r w:rsidRPr="007F28E0">
        <w:rPr>
          <w:rFonts w:ascii="Times New Roman" w:hAnsi="Times New Roman" w:cs="Times New Roman"/>
          <w:sz w:val="24"/>
          <w:szCs w:val="24"/>
        </w:rPr>
        <w:t>DMUs</w:t>
      </w:r>
      <w:proofErr w:type="spellEnd"/>
      <w:r w:rsidRPr="007F28E0">
        <w:rPr>
          <w:rFonts w:ascii="Times New Roman" w:hAnsi="Times New Roman" w:cs="Times New Roman"/>
          <w:sz w:val="24"/>
          <w:szCs w:val="24"/>
        </w:rPr>
        <w:t>.</w:t>
      </w:r>
    </w:p>
    <w:p w:rsidR="00A37593" w:rsidRDefault="00A37593" w:rsidP="00DD6D15">
      <w:pPr>
        <w:spacing w:after="0" w:line="240" w:lineRule="auto"/>
        <w:jc w:val="both"/>
        <w:rPr>
          <w:rFonts w:ascii="Times New Roman" w:hAnsi="Times New Roman" w:cs="Times New Roman"/>
          <w:sz w:val="24"/>
          <w:szCs w:val="24"/>
        </w:rPr>
      </w:pPr>
    </w:p>
    <w:p w:rsidR="001706EF" w:rsidRDefault="00577105" w:rsidP="00DD6D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B072D">
        <w:rPr>
          <w:rFonts w:ascii="Times New Roman" w:hAnsi="Times New Roman" w:cs="Times New Roman"/>
          <w:sz w:val="24"/>
          <w:szCs w:val="24"/>
        </w:rPr>
        <w:tab/>
      </w:r>
    </w:p>
    <w:p w:rsidR="00C036DA" w:rsidRDefault="00C036DA" w:rsidP="00195583">
      <w:pPr>
        <w:spacing w:after="0" w:line="240" w:lineRule="auto"/>
        <w:jc w:val="both"/>
        <w:rPr>
          <w:rFonts w:ascii="Times New Roman" w:hAnsi="Times New Roman" w:cs="Times New Roman"/>
          <w:b/>
          <w:sz w:val="24"/>
          <w:szCs w:val="24"/>
        </w:rPr>
      </w:pPr>
      <w:r w:rsidRPr="001706EF">
        <w:rPr>
          <w:rFonts w:ascii="Times New Roman" w:hAnsi="Times New Roman" w:cs="Times New Roman"/>
          <w:b/>
          <w:sz w:val="24"/>
          <w:szCs w:val="24"/>
        </w:rPr>
        <w:lastRenderedPageBreak/>
        <w:t>Referências</w:t>
      </w:r>
    </w:p>
    <w:p w:rsidR="00251F4B" w:rsidRDefault="00251F4B" w:rsidP="00195583">
      <w:pPr>
        <w:spacing w:after="0" w:line="240" w:lineRule="auto"/>
        <w:jc w:val="both"/>
        <w:rPr>
          <w:rFonts w:ascii="Times New Roman" w:hAnsi="Times New Roman" w:cs="Times New Roman"/>
          <w:b/>
          <w:sz w:val="24"/>
          <w:szCs w:val="24"/>
        </w:rPr>
      </w:pPr>
    </w:p>
    <w:p w:rsidR="00251F4B" w:rsidRPr="0046600A" w:rsidRDefault="00251F4B" w:rsidP="008C557F">
      <w:pPr>
        <w:spacing w:after="120" w:line="240" w:lineRule="auto"/>
        <w:rPr>
          <w:rFonts w:ascii="Times New Roman" w:hAnsi="Times New Roman" w:cs="Times New Roman"/>
          <w:sz w:val="24"/>
          <w:szCs w:val="24"/>
          <w:lang w:val="en-US"/>
        </w:rPr>
      </w:pPr>
      <w:r w:rsidRPr="0046600A">
        <w:rPr>
          <w:rFonts w:ascii="Times New Roman" w:hAnsi="Times New Roman" w:cs="Times New Roman"/>
          <w:sz w:val="24"/>
          <w:szCs w:val="24"/>
        </w:rPr>
        <w:t xml:space="preserve">ASSOCIAÇÃO BRASILEIRA DAS AGÊNCIAS DE REGULAÇÃO - ABAR. </w:t>
      </w:r>
      <w:r w:rsidRPr="00783C13">
        <w:rPr>
          <w:rFonts w:ascii="Times New Roman" w:hAnsi="Times New Roman" w:cs="Times New Roman"/>
          <w:b/>
          <w:sz w:val="24"/>
          <w:szCs w:val="24"/>
        </w:rPr>
        <w:t>Saneamento básico</w:t>
      </w:r>
      <w:r w:rsidRPr="0046600A">
        <w:rPr>
          <w:rFonts w:ascii="Times New Roman" w:hAnsi="Times New Roman" w:cs="Times New Roman"/>
          <w:sz w:val="24"/>
          <w:szCs w:val="24"/>
        </w:rPr>
        <w:t xml:space="preserve">: regulação 2013. Fortaleza: Expressão Gráfica e Editora, 2013. </w:t>
      </w:r>
      <w:proofErr w:type="gramStart"/>
      <w:r w:rsidRPr="0046600A">
        <w:rPr>
          <w:rFonts w:ascii="Times New Roman" w:hAnsi="Times New Roman" w:cs="Times New Roman"/>
          <w:sz w:val="24"/>
          <w:szCs w:val="24"/>
          <w:lang w:val="en-US"/>
        </w:rPr>
        <w:t>92 p.</w:t>
      </w:r>
      <w:proofErr w:type="gramEnd"/>
    </w:p>
    <w:p w:rsidR="00251F4B" w:rsidRPr="00CA1B3D" w:rsidRDefault="00251F4B" w:rsidP="008C557F">
      <w:pPr>
        <w:spacing w:after="120" w:line="240" w:lineRule="auto"/>
        <w:rPr>
          <w:rFonts w:ascii="Times New Roman" w:hAnsi="Times New Roman" w:cs="Times New Roman"/>
          <w:sz w:val="24"/>
          <w:szCs w:val="24"/>
        </w:rPr>
      </w:pPr>
      <w:proofErr w:type="gramStart"/>
      <w:r w:rsidRPr="00627D7C">
        <w:rPr>
          <w:rFonts w:ascii="Times New Roman" w:hAnsi="Times New Roman" w:cs="Times New Roman"/>
          <w:sz w:val="24"/>
          <w:szCs w:val="24"/>
          <w:lang w:val="en-US"/>
        </w:rPr>
        <w:t>ABBOTT, M.; COHEN, B. Productivity and efficiency in the water industry.</w:t>
      </w:r>
      <w:proofErr w:type="gramEnd"/>
      <w:r w:rsidRPr="00627D7C">
        <w:rPr>
          <w:rFonts w:ascii="Times New Roman" w:hAnsi="Times New Roman" w:cs="Times New Roman"/>
          <w:sz w:val="24"/>
          <w:szCs w:val="24"/>
          <w:lang w:val="en-US"/>
        </w:rPr>
        <w:t xml:space="preserve"> </w:t>
      </w:r>
      <w:proofErr w:type="spellStart"/>
      <w:r w:rsidRPr="00CA1B3D">
        <w:rPr>
          <w:rFonts w:ascii="Times New Roman" w:hAnsi="Times New Roman" w:cs="Times New Roman"/>
          <w:b/>
          <w:sz w:val="24"/>
          <w:szCs w:val="24"/>
        </w:rPr>
        <w:t>Utilities</w:t>
      </w:r>
      <w:proofErr w:type="spellEnd"/>
      <w:r w:rsidRPr="00CA1B3D">
        <w:rPr>
          <w:rFonts w:ascii="Times New Roman" w:hAnsi="Times New Roman" w:cs="Times New Roman"/>
          <w:b/>
          <w:sz w:val="24"/>
          <w:szCs w:val="24"/>
        </w:rPr>
        <w:t xml:space="preserve"> </w:t>
      </w:r>
      <w:proofErr w:type="spellStart"/>
      <w:r w:rsidRPr="00CA1B3D">
        <w:rPr>
          <w:rFonts w:ascii="Times New Roman" w:hAnsi="Times New Roman" w:cs="Times New Roman"/>
          <w:b/>
          <w:sz w:val="24"/>
          <w:szCs w:val="24"/>
        </w:rPr>
        <w:t>Policy</w:t>
      </w:r>
      <w:proofErr w:type="spellEnd"/>
      <w:r w:rsidRPr="00CA1B3D">
        <w:rPr>
          <w:rFonts w:ascii="Times New Roman" w:hAnsi="Times New Roman" w:cs="Times New Roman"/>
          <w:sz w:val="24"/>
          <w:szCs w:val="24"/>
        </w:rPr>
        <w:t>, v. 17, p. 233-244, 2009.</w:t>
      </w:r>
    </w:p>
    <w:p w:rsidR="00251F4B" w:rsidRPr="00880068" w:rsidRDefault="00251F4B" w:rsidP="008C557F">
      <w:pPr>
        <w:spacing w:after="120" w:line="240" w:lineRule="auto"/>
        <w:rPr>
          <w:rFonts w:ascii="Times New Roman" w:hAnsi="Times New Roman" w:cs="Times New Roman"/>
          <w:sz w:val="24"/>
          <w:szCs w:val="24"/>
        </w:rPr>
      </w:pPr>
      <w:r w:rsidRPr="0074750F">
        <w:rPr>
          <w:rFonts w:ascii="Times New Roman" w:hAnsi="Times New Roman" w:cs="Times New Roman"/>
          <w:sz w:val="24"/>
          <w:szCs w:val="24"/>
        </w:rPr>
        <w:t xml:space="preserve">BARBOSA, A. </w:t>
      </w:r>
      <w:r w:rsidRPr="00783C13">
        <w:rPr>
          <w:rFonts w:ascii="Times New Roman" w:hAnsi="Times New Roman" w:cs="Times New Roman"/>
          <w:b/>
          <w:sz w:val="24"/>
          <w:szCs w:val="24"/>
        </w:rPr>
        <w:t>Pode a regulação econômica melhorar o desempenho econômico-financeiro e a universalização dos serviços de águas e esgotos no Brasil?</w:t>
      </w:r>
      <w:r w:rsidRPr="0074750F">
        <w:rPr>
          <w:rFonts w:ascii="Times New Roman" w:hAnsi="Times New Roman" w:cs="Times New Roman"/>
          <w:sz w:val="24"/>
          <w:szCs w:val="24"/>
        </w:rPr>
        <w:t xml:space="preserve"> </w:t>
      </w:r>
      <w:r w:rsidRPr="00880068">
        <w:rPr>
          <w:rFonts w:ascii="Times New Roman" w:hAnsi="Times New Roman" w:cs="Times New Roman"/>
          <w:sz w:val="24"/>
          <w:szCs w:val="24"/>
        </w:rPr>
        <w:t>Brasília: SEAE, 2012. 67 p.</w:t>
      </w:r>
    </w:p>
    <w:p w:rsidR="006A40A6"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BONTES, A.; AGUILERA, J. C.; CORDERO, C. Avaliação de desempenho dos prestadores do setor de saneamento básico. In: GALVÃO JUNIOR, A. de C.; </w:t>
      </w:r>
      <w:proofErr w:type="gramStart"/>
      <w:r w:rsidRPr="00627D7C">
        <w:rPr>
          <w:rFonts w:ascii="Times New Roman" w:hAnsi="Times New Roman" w:cs="Times New Roman"/>
          <w:sz w:val="24"/>
          <w:szCs w:val="24"/>
        </w:rPr>
        <w:t>MELO,</w:t>
      </w:r>
      <w:proofErr w:type="gramEnd"/>
      <w:r w:rsidRPr="00627D7C">
        <w:rPr>
          <w:rFonts w:ascii="Times New Roman" w:hAnsi="Times New Roman" w:cs="Times New Roman"/>
          <w:sz w:val="24"/>
          <w:szCs w:val="24"/>
        </w:rPr>
        <w:t xml:space="preserve"> A. J. M.; </w:t>
      </w:r>
    </w:p>
    <w:p w:rsidR="00251F4B" w:rsidRPr="00627D7C"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MONTEIRO, M. A. P. (Org.). </w:t>
      </w:r>
      <w:r w:rsidRPr="00783C13">
        <w:rPr>
          <w:rFonts w:ascii="Times New Roman" w:hAnsi="Times New Roman" w:cs="Times New Roman"/>
          <w:b/>
          <w:sz w:val="24"/>
          <w:szCs w:val="24"/>
        </w:rPr>
        <w:t>Regulação do saneamento básico</w:t>
      </w:r>
      <w:r w:rsidRPr="00627D7C">
        <w:rPr>
          <w:rFonts w:ascii="Times New Roman" w:hAnsi="Times New Roman" w:cs="Times New Roman"/>
          <w:sz w:val="24"/>
          <w:szCs w:val="24"/>
        </w:rPr>
        <w:t xml:space="preserve">. Barueri: Manole, 2013. </w:t>
      </w:r>
      <w:proofErr w:type="gramStart"/>
      <w:r w:rsidRPr="00627D7C">
        <w:rPr>
          <w:rFonts w:ascii="Times New Roman" w:hAnsi="Times New Roman" w:cs="Times New Roman"/>
          <w:sz w:val="24"/>
          <w:szCs w:val="24"/>
        </w:rPr>
        <w:t>p.</w:t>
      </w:r>
      <w:proofErr w:type="gramEnd"/>
      <w:r w:rsidRPr="00627D7C">
        <w:rPr>
          <w:rFonts w:ascii="Times New Roman" w:hAnsi="Times New Roman" w:cs="Times New Roman"/>
          <w:sz w:val="24"/>
          <w:szCs w:val="24"/>
        </w:rPr>
        <w:t xml:space="preserve"> 275-309.</w:t>
      </w:r>
    </w:p>
    <w:p w:rsidR="00251F4B" w:rsidRPr="00627D7C"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BRASIL, Decreto n. 7.217, de 21 de junho de 2010. Regulamenta a Lei no 11.445, de </w:t>
      </w:r>
      <w:proofErr w:type="gramStart"/>
      <w:r w:rsidRPr="00627D7C">
        <w:rPr>
          <w:rFonts w:ascii="Times New Roman" w:hAnsi="Times New Roman" w:cs="Times New Roman"/>
          <w:sz w:val="24"/>
          <w:szCs w:val="24"/>
        </w:rPr>
        <w:t>5</w:t>
      </w:r>
      <w:proofErr w:type="gramEnd"/>
      <w:r w:rsidRPr="00627D7C">
        <w:rPr>
          <w:rFonts w:ascii="Times New Roman" w:hAnsi="Times New Roman" w:cs="Times New Roman"/>
          <w:sz w:val="24"/>
          <w:szCs w:val="24"/>
        </w:rPr>
        <w:t xml:space="preserve"> de janeiro de 2007, que estabelece diretrizes nacionais para o saneamento básico, e dá outras providências. Disponível em: &lt;http://www.planalto.gov.br/ccivil_03/_Ato2007-2010/2010/Decreto/D7217.htm&gt;. Acesso em: 30 set. 2011.</w:t>
      </w:r>
    </w:p>
    <w:p w:rsidR="00251F4B" w:rsidRPr="00627D7C"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BRASIL, Lei n. 11.445, de 05 de janeiro de 2007. Estabelece diretrizes nacionais para o saneamento básico; altera as Leis nos 6.766, de 19 de dezembro de 1979, 8.036, de 11 de maio de 1990, 8.666, de 21 de junho de 1993, 8.987, de 13 de fevereiro de 1995; revoga a Lei no 6.528, de 11 de maio de 1978; e dá outras providências. Disponível em: &lt; http://www.planalto.gov.br/ccivil_03/_ato2007-2010/2007/lei/l11445.htm&gt;. Acesso em: 30 set. 2011.</w:t>
      </w:r>
    </w:p>
    <w:p w:rsidR="00251F4B" w:rsidRPr="0046600A"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t xml:space="preserve">BRITTO, A. L. (coord.). </w:t>
      </w:r>
      <w:r w:rsidRPr="00783C13">
        <w:rPr>
          <w:rFonts w:ascii="Times New Roman" w:hAnsi="Times New Roman" w:cs="Times New Roman"/>
          <w:b/>
          <w:sz w:val="24"/>
          <w:szCs w:val="24"/>
        </w:rPr>
        <w:t>Avaliação político-institucional do setor de saneamento básico</w:t>
      </w:r>
      <w:r w:rsidRPr="0046600A">
        <w:rPr>
          <w:rFonts w:ascii="Times New Roman" w:hAnsi="Times New Roman" w:cs="Times New Roman"/>
          <w:sz w:val="24"/>
          <w:szCs w:val="24"/>
        </w:rPr>
        <w:t>. Brasília: Ministério das Cidades/Secretaria Nacional de Saneamento Ambiental, 2011. 533 p. (Panorama do saneamento básico no Brasil, v.4, em fase de elaboração).</w:t>
      </w:r>
    </w:p>
    <w:p w:rsidR="00251F4B" w:rsidRPr="000D35F7" w:rsidRDefault="00251F4B" w:rsidP="008C557F">
      <w:pPr>
        <w:spacing w:after="120" w:line="240" w:lineRule="auto"/>
        <w:rPr>
          <w:rFonts w:ascii="Times New Roman" w:hAnsi="Times New Roman" w:cs="Times New Roman"/>
          <w:sz w:val="24"/>
          <w:szCs w:val="24"/>
          <w:lang w:val="en-US"/>
        </w:rPr>
      </w:pPr>
      <w:proofErr w:type="gramStart"/>
      <w:r w:rsidRPr="0074750F">
        <w:rPr>
          <w:rFonts w:ascii="Times New Roman" w:hAnsi="Times New Roman" w:cs="Times New Roman"/>
          <w:sz w:val="24"/>
          <w:szCs w:val="24"/>
          <w:lang w:val="en-US"/>
        </w:rPr>
        <w:t xml:space="preserve">BYRNES, J. </w:t>
      </w:r>
      <w:r w:rsidRPr="0074750F">
        <w:rPr>
          <w:rFonts w:ascii="Times New Roman" w:hAnsi="Times New Roman" w:cs="Times New Roman"/>
          <w:i/>
          <w:sz w:val="24"/>
          <w:szCs w:val="24"/>
          <w:lang w:val="en-US"/>
        </w:rPr>
        <w:t>et al</w:t>
      </w:r>
      <w:r w:rsidRPr="0074750F">
        <w:rPr>
          <w:rFonts w:ascii="Times New Roman" w:hAnsi="Times New Roman" w:cs="Times New Roman"/>
          <w:sz w:val="24"/>
          <w:szCs w:val="24"/>
          <w:lang w:val="en-US"/>
        </w:rPr>
        <w:t>.</w:t>
      </w:r>
      <w:proofErr w:type="gramEnd"/>
      <w:r w:rsidRPr="0074750F">
        <w:rPr>
          <w:rFonts w:ascii="Times New Roman" w:hAnsi="Times New Roman" w:cs="Times New Roman"/>
          <w:sz w:val="24"/>
          <w:szCs w:val="24"/>
          <w:lang w:val="en-US"/>
        </w:rPr>
        <w:t xml:space="preserve"> </w:t>
      </w:r>
      <w:proofErr w:type="gramStart"/>
      <w:r w:rsidRPr="0074750F">
        <w:rPr>
          <w:rFonts w:ascii="Times New Roman" w:hAnsi="Times New Roman" w:cs="Times New Roman"/>
          <w:sz w:val="24"/>
          <w:szCs w:val="24"/>
          <w:lang w:val="en-US"/>
        </w:rPr>
        <w:t>The relative economic efficiency of urban water utilities in regional New South Wales and Victoria.</w:t>
      </w:r>
      <w:proofErr w:type="gramEnd"/>
      <w:r w:rsidRPr="0074750F">
        <w:rPr>
          <w:rFonts w:ascii="Times New Roman" w:hAnsi="Times New Roman" w:cs="Times New Roman"/>
          <w:sz w:val="24"/>
          <w:szCs w:val="24"/>
          <w:lang w:val="en-US"/>
        </w:rPr>
        <w:t xml:space="preserve"> </w:t>
      </w:r>
      <w:proofErr w:type="gramStart"/>
      <w:r w:rsidRPr="000D35F7">
        <w:rPr>
          <w:rFonts w:ascii="Times New Roman" w:hAnsi="Times New Roman" w:cs="Times New Roman"/>
          <w:b/>
          <w:sz w:val="24"/>
          <w:szCs w:val="24"/>
          <w:lang w:val="en-US"/>
        </w:rPr>
        <w:t>Resource and Energy Economics</w:t>
      </w:r>
      <w:r w:rsidRPr="000D35F7">
        <w:rPr>
          <w:rFonts w:ascii="Times New Roman" w:hAnsi="Times New Roman" w:cs="Times New Roman"/>
          <w:sz w:val="24"/>
          <w:szCs w:val="24"/>
          <w:lang w:val="en-US"/>
        </w:rPr>
        <w:t>, v. 32, p. 439-455, 2010.</w:t>
      </w:r>
      <w:proofErr w:type="gramEnd"/>
    </w:p>
    <w:p w:rsidR="00251F4B" w:rsidRPr="00880068" w:rsidRDefault="00251F4B" w:rsidP="008C557F">
      <w:pPr>
        <w:spacing w:after="120" w:line="240" w:lineRule="auto"/>
        <w:rPr>
          <w:rFonts w:ascii="Times New Roman" w:hAnsi="Times New Roman" w:cs="Times New Roman"/>
          <w:sz w:val="24"/>
          <w:szCs w:val="24"/>
          <w:lang w:val="en-US"/>
        </w:rPr>
      </w:pPr>
      <w:r w:rsidRPr="0074750F">
        <w:rPr>
          <w:rFonts w:ascii="Times New Roman" w:hAnsi="Times New Roman" w:cs="Times New Roman"/>
          <w:sz w:val="24"/>
          <w:szCs w:val="24"/>
        </w:rPr>
        <w:t>CARMO, C. M. do; TAVORA JUNIOR, J. L. Avaliação da eficiência técnica das empresas de saneamento brasileiras utilizando a metodologia DEA. In: ENCONTRO NACIONAL DE ECONOMIA DA ANPEC, 31</w:t>
      </w:r>
      <w:proofErr w:type="gramStart"/>
      <w:r w:rsidRPr="0074750F">
        <w:rPr>
          <w:rFonts w:ascii="Times New Roman" w:hAnsi="Times New Roman" w:cs="Times New Roman"/>
          <w:sz w:val="24"/>
          <w:szCs w:val="24"/>
        </w:rPr>
        <w:t>.,</w:t>
      </w:r>
      <w:proofErr w:type="gramEnd"/>
      <w:r w:rsidRPr="0074750F">
        <w:rPr>
          <w:rFonts w:ascii="Times New Roman" w:hAnsi="Times New Roman" w:cs="Times New Roman"/>
          <w:sz w:val="24"/>
          <w:szCs w:val="24"/>
        </w:rPr>
        <w:t xml:space="preserve"> 2003, Porto Seguro. Disponível em: &lt; http://www.anpec.org.br/encontro2003/artigos/D32.pdf&gt;. </w:t>
      </w:r>
      <w:proofErr w:type="spellStart"/>
      <w:r w:rsidRPr="00880068">
        <w:rPr>
          <w:rFonts w:ascii="Times New Roman" w:hAnsi="Times New Roman" w:cs="Times New Roman"/>
          <w:sz w:val="24"/>
          <w:szCs w:val="24"/>
          <w:lang w:val="en-US"/>
        </w:rPr>
        <w:t>Acesso</w:t>
      </w:r>
      <w:proofErr w:type="spellEnd"/>
      <w:r w:rsidRPr="00880068">
        <w:rPr>
          <w:rFonts w:ascii="Times New Roman" w:hAnsi="Times New Roman" w:cs="Times New Roman"/>
          <w:sz w:val="24"/>
          <w:szCs w:val="24"/>
          <w:lang w:val="en-US"/>
        </w:rPr>
        <w:t xml:space="preserve"> </w:t>
      </w:r>
      <w:proofErr w:type="spellStart"/>
      <w:r w:rsidRPr="00880068">
        <w:rPr>
          <w:rFonts w:ascii="Times New Roman" w:hAnsi="Times New Roman" w:cs="Times New Roman"/>
          <w:sz w:val="24"/>
          <w:szCs w:val="24"/>
          <w:lang w:val="en-US"/>
        </w:rPr>
        <w:t>em</w:t>
      </w:r>
      <w:proofErr w:type="spellEnd"/>
      <w:r w:rsidRPr="00880068">
        <w:rPr>
          <w:rFonts w:ascii="Times New Roman" w:hAnsi="Times New Roman" w:cs="Times New Roman"/>
          <w:sz w:val="24"/>
          <w:szCs w:val="24"/>
          <w:lang w:val="en-US"/>
        </w:rPr>
        <w:t>: 8 out. 2012.</w:t>
      </w:r>
    </w:p>
    <w:p w:rsidR="00251F4B" w:rsidRPr="0074750F" w:rsidRDefault="00251F4B" w:rsidP="008C557F">
      <w:pPr>
        <w:spacing w:after="120" w:line="240" w:lineRule="auto"/>
        <w:rPr>
          <w:rFonts w:ascii="Times New Roman" w:hAnsi="Times New Roman" w:cs="Times New Roman"/>
          <w:sz w:val="24"/>
          <w:szCs w:val="24"/>
          <w:lang w:val="en-US"/>
        </w:rPr>
      </w:pPr>
      <w:proofErr w:type="gramStart"/>
      <w:r w:rsidRPr="0074750F">
        <w:rPr>
          <w:rFonts w:ascii="Times New Roman" w:hAnsi="Times New Roman" w:cs="Times New Roman"/>
          <w:sz w:val="24"/>
          <w:szCs w:val="24"/>
          <w:lang w:val="en-US"/>
        </w:rPr>
        <w:t>CARVALHO, P.; MARQUES, R. C.</w:t>
      </w:r>
      <w:proofErr w:type="gramEnd"/>
      <w:r w:rsidRPr="0074750F">
        <w:rPr>
          <w:rFonts w:ascii="Times New Roman" w:hAnsi="Times New Roman" w:cs="Times New Roman"/>
          <w:sz w:val="24"/>
          <w:szCs w:val="24"/>
          <w:lang w:val="en-US"/>
        </w:rPr>
        <w:t xml:space="preserve"> </w:t>
      </w:r>
      <w:proofErr w:type="gramStart"/>
      <w:r w:rsidRPr="0074750F">
        <w:rPr>
          <w:rFonts w:ascii="Times New Roman" w:hAnsi="Times New Roman" w:cs="Times New Roman"/>
          <w:sz w:val="24"/>
          <w:szCs w:val="24"/>
          <w:lang w:val="en-US"/>
        </w:rPr>
        <w:t>The influence of the operational environment on the efficiency of water utilities.</w:t>
      </w:r>
      <w:proofErr w:type="gramEnd"/>
      <w:r w:rsidRPr="0074750F">
        <w:rPr>
          <w:rFonts w:ascii="Times New Roman" w:hAnsi="Times New Roman" w:cs="Times New Roman"/>
          <w:sz w:val="24"/>
          <w:szCs w:val="24"/>
          <w:lang w:val="en-US"/>
        </w:rPr>
        <w:t xml:space="preserve"> </w:t>
      </w:r>
      <w:proofErr w:type="gramStart"/>
      <w:r w:rsidRPr="00783C13">
        <w:rPr>
          <w:rFonts w:ascii="Times New Roman" w:hAnsi="Times New Roman" w:cs="Times New Roman"/>
          <w:b/>
          <w:sz w:val="24"/>
          <w:szCs w:val="24"/>
          <w:lang w:val="en-US"/>
        </w:rPr>
        <w:t>Journal of Environmental Management</w:t>
      </w:r>
      <w:r w:rsidRPr="0074750F">
        <w:rPr>
          <w:rFonts w:ascii="Times New Roman" w:hAnsi="Times New Roman" w:cs="Times New Roman"/>
          <w:sz w:val="24"/>
          <w:szCs w:val="24"/>
          <w:lang w:val="en-US"/>
        </w:rPr>
        <w:t>, v. 92, p. 2698-2707, 2011.</w:t>
      </w:r>
      <w:proofErr w:type="gramEnd"/>
    </w:p>
    <w:p w:rsidR="00251F4B" w:rsidRPr="0074750F" w:rsidRDefault="00251F4B" w:rsidP="008C557F">
      <w:pPr>
        <w:spacing w:after="120" w:line="240" w:lineRule="auto"/>
        <w:rPr>
          <w:rFonts w:ascii="Times New Roman" w:hAnsi="Times New Roman" w:cs="Times New Roman"/>
          <w:sz w:val="24"/>
          <w:szCs w:val="24"/>
          <w:lang w:val="en-US"/>
        </w:rPr>
      </w:pPr>
      <w:r w:rsidRPr="0074750F">
        <w:rPr>
          <w:rFonts w:ascii="Times New Roman" w:hAnsi="Times New Roman" w:cs="Times New Roman"/>
          <w:sz w:val="24"/>
          <w:szCs w:val="24"/>
          <w:lang w:val="en-US"/>
        </w:rPr>
        <w:t xml:space="preserve">COOPER, W.W.; SEIFORD, L. M.; TONE, K. </w:t>
      </w:r>
      <w:r w:rsidRPr="00F73844">
        <w:rPr>
          <w:rFonts w:ascii="Times New Roman" w:hAnsi="Times New Roman" w:cs="Times New Roman"/>
          <w:b/>
          <w:sz w:val="24"/>
          <w:szCs w:val="24"/>
          <w:lang w:val="en-US"/>
        </w:rPr>
        <w:t>Data envelopment analysis</w:t>
      </w:r>
      <w:r w:rsidRPr="0074750F">
        <w:rPr>
          <w:rFonts w:ascii="Times New Roman" w:hAnsi="Times New Roman" w:cs="Times New Roman"/>
          <w:sz w:val="24"/>
          <w:szCs w:val="24"/>
          <w:lang w:val="en-US"/>
        </w:rPr>
        <w:t xml:space="preserve">: a comprehensive text with models, applications, references and DEA-solver software. </w:t>
      </w:r>
      <w:proofErr w:type="gramStart"/>
      <w:r w:rsidRPr="0074750F">
        <w:rPr>
          <w:rFonts w:ascii="Times New Roman" w:hAnsi="Times New Roman" w:cs="Times New Roman"/>
          <w:sz w:val="24"/>
          <w:szCs w:val="24"/>
          <w:lang w:val="en-US"/>
        </w:rPr>
        <w:t>2 ed. Springer, 2007.</w:t>
      </w:r>
      <w:proofErr w:type="gramEnd"/>
      <w:r w:rsidRPr="0074750F">
        <w:rPr>
          <w:rFonts w:ascii="Times New Roman" w:hAnsi="Times New Roman" w:cs="Times New Roman"/>
          <w:sz w:val="24"/>
          <w:szCs w:val="24"/>
          <w:lang w:val="en-US"/>
        </w:rPr>
        <w:t xml:space="preserve"> </w:t>
      </w:r>
      <w:proofErr w:type="gramStart"/>
      <w:r w:rsidRPr="0074750F">
        <w:rPr>
          <w:rFonts w:ascii="Times New Roman" w:hAnsi="Times New Roman" w:cs="Times New Roman"/>
          <w:sz w:val="24"/>
          <w:szCs w:val="24"/>
          <w:lang w:val="en-US"/>
        </w:rPr>
        <w:t>490 p.</w:t>
      </w:r>
      <w:proofErr w:type="gramEnd"/>
    </w:p>
    <w:p w:rsidR="00251F4B" w:rsidRPr="0074750F" w:rsidRDefault="00251F4B" w:rsidP="008C557F">
      <w:pPr>
        <w:spacing w:after="120" w:line="240" w:lineRule="auto"/>
        <w:rPr>
          <w:rFonts w:ascii="Times New Roman" w:hAnsi="Times New Roman" w:cs="Times New Roman"/>
          <w:sz w:val="24"/>
          <w:szCs w:val="24"/>
          <w:lang w:val="en-US"/>
        </w:rPr>
      </w:pPr>
      <w:proofErr w:type="gramStart"/>
      <w:r w:rsidRPr="0074750F">
        <w:rPr>
          <w:rFonts w:ascii="Times New Roman" w:hAnsi="Times New Roman" w:cs="Times New Roman"/>
          <w:sz w:val="24"/>
          <w:szCs w:val="24"/>
          <w:lang w:val="en-US"/>
        </w:rPr>
        <w:t>DE WITTE, K.; MARQUES, R. C. Designing performance incentives, an international benchmark study in the water sector.</w:t>
      </w:r>
      <w:proofErr w:type="gramEnd"/>
      <w:r w:rsidRPr="0074750F">
        <w:rPr>
          <w:rFonts w:ascii="Times New Roman" w:hAnsi="Times New Roman" w:cs="Times New Roman"/>
          <w:sz w:val="24"/>
          <w:szCs w:val="24"/>
          <w:lang w:val="en-US"/>
        </w:rPr>
        <w:t xml:space="preserve"> </w:t>
      </w:r>
      <w:proofErr w:type="spellStart"/>
      <w:proofErr w:type="gramStart"/>
      <w:r w:rsidRPr="00F73844">
        <w:rPr>
          <w:rFonts w:ascii="Times New Roman" w:hAnsi="Times New Roman" w:cs="Times New Roman"/>
          <w:b/>
          <w:sz w:val="24"/>
          <w:szCs w:val="24"/>
          <w:lang w:val="en-US"/>
        </w:rPr>
        <w:t>Cejor</w:t>
      </w:r>
      <w:proofErr w:type="spellEnd"/>
      <w:r w:rsidRPr="0074750F">
        <w:rPr>
          <w:rFonts w:ascii="Times New Roman" w:hAnsi="Times New Roman" w:cs="Times New Roman"/>
          <w:sz w:val="24"/>
          <w:szCs w:val="24"/>
          <w:lang w:val="en-US"/>
        </w:rPr>
        <w:t>.</w:t>
      </w:r>
      <w:proofErr w:type="gramEnd"/>
      <w:r w:rsidRPr="0074750F">
        <w:rPr>
          <w:rFonts w:ascii="Times New Roman" w:hAnsi="Times New Roman" w:cs="Times New Roman"/>
          <w:sz w:val="24"/>
          <w:szCs w:val="24"/>
          <w:lang w:val="en-US"/>
        </w:rPr>
        <w:t xml:space="preserve"> v. 18, p. 189-220, 2010.</w:t>
      </w:r>
    </w:p>
    <w:p w:rsidR="00251F4B" w:rsidRPr="00CA1B3D" w:rsidRDefault="00251F4B" w:rsidP="008C557F">
      <w:pPr>
        <w:spacing w:after="120" w:line="240" w:lineRule="auto"/>
        <w:rPr>
          <w:rFonts w:ascii="Times New Roman" w:hAnsi="Times New Roman" w:cs="Times New Roman"/>
          <w:sz w:val="24"/>
          <w:szCs w:val="24"/>
        </w:rPr>
      </w:pPr>
      <w:r w:rsidRPr="0074750F">
        <w:rPr>
          <w:rFonts w:ascii="Times New Roman" w:hAnsi="Times New Roman" w:cs="Times New Roman"/>
          <w:sz w:val="24"/>
          <w:szCs w:val="24"/>
          <w:lang w:val="en-US"/>
        </w:rPr>
        <w:t xml:space="preserve">ERBETTA, F.; CAVE, M. Regulation and Efficiency Incentives: Evidence from the England and Wales Water and Sewerage Industry. </w:t>
      </w:r>
      <w:proofErr w:type="spellStart"/>
      <w:r w:rsidRPr="00CA1B3D">
        <w:rPr>
          <w:rFonts w:ascii="Times New Roman" w:hAnsi="Times New Roman" w:cs="Times New Roman"/>
          <w:b/>
          <w:sz w:val="24"/>
          <w:szCs w:val="24"/>
        </w:rPr>
        <w:t>Review</w:t>
      </w:r>
      <w:proofErr w:type="spellEnd"/>
      <w:r w:rsidRPr="00CA1B3D">
        <w:rPr>
          <w:rFonts w:ascii="Times New Roman" w:hAnsi="Times New Roman" w:cs="Times New Roman"/>
          <w:b/>
          <w:sz w:val="24"/>
          <w:szCs w:val="24"/>
        </w:rPr>
        <w:t xml:space="preserve"> </w:t>
      </w:r>
      <w:proofErr w:type="spellStart"/>
      <w:r w:rsidRPr="00CA1B3D">
        <w:rPr>
          <w:rFonts w:ascii="Times New Roman" w:hAnsi="Times New Roman" w:cs="Times New Roman"/>
          <w:b/>
          <w:sz w:val="24"/>
          <w:szCs w:val="24"/>
        </w:rPr>
        <w:t>of</w:t>
      </w:r>
      <w:proofErr w:type="spellEnd"/>
      <w:r w:rsidRPr="00CA1B3D">
        <w:rPr>
          <w:rFonts w:ascii="Times New Roman" w:hAnsi="Times New Roman" w:cs="Times New Roman"/>
          <w:b/>
          <w:sz w:val="24"/>
          <w:szCs w:val="24"/>
        </w:rPr>
        <w:t xml:space="preserve"> Network </w:t>
      </w:r>
      <w:proofErr w:type="spellStart"/>
      <w:r w:rsidRPr="00CA1B3D">
        <w:rPr>
          <w:rFonts w:ascii="Times New Roman" w:hAnsi="Times New Roman" w:cs="Times New Roman"/>
          <w:b/>
          <w:sz w:val="24"/>
          <w:szCs w:val="24"/>
        </w:rPr>
        <w:t>Economics</w:t>
      </w:r>
      <w:proofErr w:type="spellEnd"/>
      <w:r w:rsidRPr="00CA1B3D">
        <w:rPr>
          <w:rFonts w:ascii="Times New Roman" w:hAnsi="Times New Roman" w:cs="Times New Roman"/>
          <w:sz w:val="24"/>
          <w:szCs w:val="24"/>
        </w:rPr>
        <w:t>, v. 6, n. 4, p. 425-452, 2007.</w:t>
      </w:r>
    </w:p>
    <w:p w:rsidR="00251F4B" w:rsidRPr="00627D7C"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GALVÃO JUNIOR, A. de C.; PAGANINI, W. </w:t>
      </w:r>
      <w:proofErr w:type="gramStart"/>
      <w:r w:rsidRPr="00627D7C">
        <w:rPr>
          <w:rFonts w:ascii="Times New Roman" w:hAnsi="Times New Roman" w:cs="Times New Roman"/>
          <w:sz w:val="24"/>
          <w:szCs w:val="24"/>
        </w:rPr>
        <w:t>da</w:t>
      </w:r>
      <w:proofErr w:type="gramEnd"/>
      <w:r w:rsidRPr="00627D7C">
        <w:rPr>
          <w:rFonts w:ascii="Times New Roman" w:hAnsi="Times New Roman" w:cs="Times New Roman"/>
          <w:sz w:val="24"/>
          <w:szCs w:val="24"/>
        </w:rPr>
        <w:t xml:space="preserve"> S. Aspectos conceituais da regulação dos serviços de água e esgoto no Brasil. </w:t>
      </w:r>
      <w:r w:rsidRPr="00F73844">
        <w:rPr>
          <w:rFonts w:ascii="Times New Roman" w:hAnsi="Times New Roman" w:cs="Times New Roman"/>
          <w:b/>
          <w:sz w:val="24"/>
          <w:szCs w:val="24"/>
        </w:rPr>
        <w:t>Revista de engenharia sanitária e ambiental</w:t>
      </w:r>
      <w:r w:rsidRPr="00627D7C">
        <w:rPr>
          <w:rFonts w:ascii="Times New Roman" w:hAnsi="Times New Roman" w:cs="Times New Roman"/>
          <w:sz w:val="24"/>
          <w:szCs w:val="24"/>
        </w:rPr>
        <w:t xml:space="preserve">, Rio de Janeiro, v. 14, n. 1, jan./mar. 2009. </w:t>
      </w:r>
    </w:p>
    <w:p w:rsidR="00251F4B" w:rsidRPr="00627D7C"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GALVÃO JUNIOR, A. de C.; TUROLLA, F. A.; PAGANINI, W. </w:t>
      </w:r>
      <w:proofErr w:type="gramStart"/>
      <w:r w:rsidRPr="00627D7C">
        <w:rPr>
          <w:rFonts w:ascii="Times New Roman" w:hAnsi="Times New Roman" w:cs="Times New Roman"/>
          <w:sz w:val="24"/>
          <w:szCs w:val="24"/>
        </w:rPr>
        <w:t>da</w:t>
      </w:r>
      <w:proofErr w:type="gramEnd"/>
      <w:r w:rsidRPr="00627D7C">
        <w:rPr>
          <w:rFonts w:ascii="Times New Roman" w:hAnsi="Times New Roman" w:cs="Times New Roman"/>
          <w:sz w:val="24"/>
          <w:szCs w:val="24"/>
        </w:rPr>
        <w:t xml:space="preserve"> S. Viabilidade da regulação subnacional dos serviços de abastecimento de água e esgotamento sanitário sob a Lei 11.445/2007. </w:t>
      </w:r>
      <w:r w:rsidRPr="00F73844">
        <w:rPr>
          <w:rFonts w:ascii="Times New Roman" w:hAnsi="Times New Roman" w:cs="Times New Roman"/>
          <w:b/>
          <w:sz w:val="24"/>
          <w:szCs w:val="24"/>
        </w:rPr>
        <w:t>Revista de engenharia sanitária e ambiental</w:t>
      </w:r>
      <w:r w:rsidRPr="00627D7C">
        <w:rPr>
          <w:rFonts w:ascii="Times New Roman" w:hAnsi="Times New Roman" w:cs="Times New Roman"/>
          <w:sz w:val="24"/>
          <w:szCs w:val="24"/>
        </w:rPr>
        <w:t xml:space="preserve">, Rio de Janeiro, v. 13, n. 2, abr./jun. 2008. </w:t>
      </w:r>
    </w:p>
    <w:p w:rsidR="00A37593" w:rsidRDefault="00A37593" w:rsidP="008C557F">
      <w:pPr>
        <w:spacing w:after="120" w:line="240" w:lineRule="auto"/>
        <w:rPr>
          <w:rFonts w:ascii="Times New Roman" w:hAnsi="Times New Roman" w:cs="Times New Roman"/>
          <w:sz w:val="24"/>
          <w:szCs w:val="24"/>
        </w:rPr>
      </w:pPr>
    </w:p>
    <w:p w:rsidR="00251F4B" w:rsidRPr="0046600A"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lastRenderedPageBreak/>
        <w:t xml:space="preserve">IBGE. Instituto Brasileiro de Geografia e Estatística. Pesquisa nacional de saneamento básico 2008. Disponível em: &lt; http://www.ibge.gov.br/home/estatistica/populacao/condicaodevida/pnsb2008/PNSB_2008.pdf&gt;. Acesso em: </w:t>
      </w:r>
      <w:proofErr w:type="gramStart"/>
      <w:r w:rsidRPr="0046600A">
        <w:rPr>
          <w:rFonts w:ascii="Times New Roman" w:hAnsi="Times New Roman" w:cs="Times New Roman"/>
          <w:sz w:val="24"/>
          <w:szCs w:val="24"/>
        </w:rPr>
        <w:t>8</w:t>
      </w:r>
      <w:proofErr w:type="gramEnd"/>
      <w:r w:rsidRPr="0046600A">
        <w:rPr>
          <w:rFonts w:ascii="Times New Roman" w:hAnsi="Times New Roman" w:cs="Times New Roman"/>
          <w:sz w:val="24"/>
          <w:szCs w:val="24"/>
        </w:rPr>
        <w:t xml:space="preserve"> jun. 2012.</w:t>
      </w:r>
    </w:p>
    <w:p w:rsidR="00251F4B" w:rsidRPr="00880068"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IBGE. Instituto Brasileiro de Geografia e Estatística. Sinopse do censo demográfico 2010. Disponível em: &lt; </w:t>
      </w:r>
      <w:proofErr w:type="gramStart"/>
      <w:r w:rsidRPr="00627D7C">
        <w:rPr>
          <w:rFonts w:ascii="Times New Roman" w:hAnsi="Times New Roman" w:cs="Times New Roman"/>
          <w:sz w:val="24"/>
          <w:szCs w:val="24"/>
        </w:rPr>
        <w:t>http://www.censo2010.ibge.gov.br/sinopse/index.</w:t>
      </w:r>
      <w:proofErr w:type="gramEnd"/>
      <w:r w:rsidRPr="00627D7C">
        <w:rPr>
          <w:rFonts w:ascii="Times New Roman" w:hAnsi="Times New Roman" w:cs="Times New Roman"/>
          <w:sz w:val="24"/>
          <w:szCs w:val="24"/>
        </w:rPr>
        <w:t xml:space="preserve">php&gt;. </w:t>
      </w:r>
      <w:r w:rsidRPr="00880068">
        <w:rPr>
          <w:rFonts w:ascii="Times New Roman" w:hAnsi="Times New Roman" w:cs="Times New Roman"/>
          <w:sz w:val="24"/>
          <w:szCs w:val="24"/>
        </w:rPr>
        <w:t xml:space="preserve">Acesso em: </w:t>
      </w:r>
      <w:proofErr w:type="gramStart"/>
      <w:r w:rsidRPr="00880068">
        <w:rPr>
          <w:rFonts w:ascii="Times New Roman" w:hAnsi="Times New Roman" w:cs="Times New Roman"/>
          <w:sz w:val="24"/>
          <w:szCs w:val="24"/>
        </w:rPr>
        <w:t>30 maio 2012</w:t>
      </w:r>
      <w:proofErr w:type="gramEnd"/>
      <w:r w:rsidRPr="00880068">
        <w:rPr>
          <w:rFonts w:ascii="Times New Roman" w:hAnsi="Times New Roman" w:cs="Times New Roman"/>
          <w:sz w:val="24"/>
          <w:szCs w:val="24"/>
        </w:rPr>
        <w:t>.</w:t>
      </w:r>
    </w:p>
    <w:p w:rsidR="00251F4B" w:rsidRPr="0046600A"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t xml:space="preserve">LA FORGIA, G. M.; COUTTOLENC, B. F. </w:t>
      </w:r>
      <w:r w:rsidRPr="00F73844">
        <w:rPr>
          <w:rFonts w:ascii="Times New Roman" w:hAnsi="Times New Roman" w:cs="Times New Roman"/>
          <w:b/>
          <w:sz w:val="24"/>
          <w:szCs w:val="24"/>
        </w:rPr>
        <w:t>Desempenho hospitalar no Brasil</w:t>
      </w:r>
      <w:r w:rsidRPr="0046600A">
        <w:rPr>
          <w:rFonts w:ascii="Times New Roman" w:hAnsi="Times New Roman" w:cs="Times New Roman"/>
          <w:sz w:val="24"/>
          <w:szCs w:val="24"/>
        </w:rPr>
        <w:t>: em busca da excelência. São Paulo: Singular, 2009. 496 p.</w:t>
      </w:r>
    </w:p>
    <w:p w:rsidR="00251F4B" w:rsidRPr="00627D7C" w:rsidRDefault="00251F4B" w:rsidP="008C557F">
      <w:pPr>
        <w:spacing w:after="120" w:line="240" w:lineRule="auto"/>
        <w:rPr>
          <w:rFonts w:ascii="Times New Roman" w:hAnsi="Times New Roman" w:cs="Times New Roman"/>
          <w:sz w:val="24"/>
          <w:szCs w:val="24"/>
          <w:lang w:val="en-US"/>
        </w:rPr>
      </w:pPr>
      <w:r w:rsidRPr="00627D7C">
        <w:rPr>
          <w:rFonts w:ascii="Times New Roman" w:hAnsi="Times New Roman" w:cs="Times New Roman"/>
          <w:sz w:val="24"/>
          <w:szCs w:val="24"/>
        </w:rPr>
        <w:t xml:space="preserve">MARQUES NETO, F. de A. A regulação no setor de saneamento. In: CORDEIRO, Berenice de Souza (Coord.). </w:t>
      </w:r>
      <w:r w:rsidRPr="00F73844">
        <w:rPr>
          <w:rFonts w:ascii="Times New Roman" w:hAnsi="Times New Roman" w:cs="Times New Roman"/>
          <w:b/>
          <w:sz w:val="24"/>
          <w:szCs w:val="24"/>
        </w:rPr>
        <w:t>Lei nacional de saneamento básico</w:t>
      </w:r>
      <w:r w:rsidRPr="00627D7C">
        <w:rPr>
          <w:rFonts w:ascii="Times New Roman" w:hAnsi="Times New Roman" w:cs="Times New Roman"/>
          <w:sz w:val="24"/>
          <w:szCs w:val="24"/>
        </w:rPr>
        <w:t xml:space="preserve">: perspectivas para as políticas e gestão dos serviços públicos. </w:t>
      </w:r>
      <w:proofErr w:type="gramStart"/>
      <w:r w:rsidRPr="00627D7C">
        <w:rPr>
          <w:rFonts w:ascii="Times New Roman" w:hAnsi="Times New Roman" w:cs="Times New Roman"/>
          <w:sz w:val="24"/>
          <w:szCs w:val="24"/>
        </w:rPr>
        <w:t>v.</w:t>
      </w:r>
      <w:proofErr w:type="gramEnd"/>
      <w:r w:rsidRPr="00627D7C">
        <w:rPr>
          <w:rFonts w:ascii="Times New Roman" w:hAnsi="Times New Roman" w:cs="Times New Roman"/>
          <w:sz w:val="24"/>
          <w:szCs w:val="24"/>
        </w:rPr>
        <w:t xml:space="preserve"> 1. </w:t>
      </w:r>
      <w:r w:rsidRPr="00627D7C">
        <w:rPr>
          <w:rFonts w:ascii="Times New Roman" w:hAnsi="Times New Roman" w:cs="Times New Roman"/>
          <w:sz w:val="24"/>
          <w:szCs w:val="24"/>
          <w:lang w:val="en-US"/>
        </w:rPr>
        <w:t>Brasília: SNSA/PMSS, 2009. p. 165-191.</w:t>
      </w:r>
    </w:p>
    <w:p w:rsidR="00251F4B" w:rsidRPr="00880068" w:rsidRDefault="00251F4B" w:rsidP="008C557F">
      <w:pPr>
        <w:spacing w:after="120" w:line="240" w:lineRule="auto"/>
        <w:rPr>
          <w:rFonts w:ascii="Times New Roman" w:hAnsi="Times New Roman" w:cs="Times New Roman"/>
          <w:sz w:val="24"/>
          <w:szCs w:val="24"/>
        </w:rPr>
      </w:pPr>
      <w:r w:rsidRPr="0074750F">
        <w:rPr>
          <w:rFonts w:ascii="Times New Roman" w:hAnsi="Times New Roman" w:cs="Times New Roman"/>
          <w:sz w:val="24"/>
          <w:szCs w:val="24"/>
          <w:lang w:val="en-US"/>
        </w:rPr>
        <w:t>MBUVI, D.; DE WITTE, K.; PERELMAN, S. Urban water sector performance in Africa: A step-wise bias-corrected efficiency</w:t>
      </w:r>
      <w:r w:rsidR="0074750F">
        <w:rPr>
          <w:rFonts w:ascii="Times New Roman" w:hAnsi="Times New Roman" w:cs="Times New Roman"/>
          <w:sz w:val="24"/>
          <w:szCs w:val="24"/>
          <w:lang w:val="en-US"/>
        </w:rPr>
        <w:t xml:space="preserve"> </w:t>
      </w:r>
      <w:r w:rsidRPr="0074750F">
        <w:rPr>
          <w:rFonts w:ascii="Times New Roman" w:hAnsi="Times New Roman" w:cs="Times New Roman"/>
          <w:sz w:val="24"/>
          <w:szCs w:val="24"/>
          <w:lang w:val="en-US"/>
        </w:rPr>
        <w:t>and effe</w:t>
      </w:r>
      <w:r w:rsidR="00F73844">
        <w:rPr>
          <w:rFonts w:ascii="Times New Roman" w:hAnsi="Times New Roman" w:cs="Times New Roman"/>
          <w:sz w:val="24"/>
          <w:szCs w:val="24"/>
          <w:lang w:val="en-US"/>
        </w:rPr>
        <w:t xml:space="preserve">ctiveness analysis. </w:t>
      </w:r>
      <w:proofErr w:type="spellStart"/>
      <w:r w:rsidR="00F73844" w:rsidRPr="00880068">
        <w:rPr>
          <w:rFonts w:ascii="Times New Roman" w:hAnsi="Times New Roman" w:cs="Times New Roman"/>
          <w:b/>
          <w:sz w:val="24"/>
          <w:szCs w:val="24"/>
        </w:rPr>
        <w:t>Utilities</w:t>
      </w:r>
      <w:proofErr w:type="spellEnd"/>
      <w:r w:rsidR="00F73844" w:rsidRPr="00880068">
        <w:rPr>
          <w:rFonts w:ascii="Times New Roman" w:hAnsi="Times New Roman" w:cs="Times New Roman"/>
          <w:b/>
          <w:sz w:val="24"/>
          <w:szCs w:val="24"/>
        </w:rPr>
        <w:t xml:space="preserve"> </w:t>
      </w:r>
      <w:proofErr w:type="spellStart"/>
      <w:r w:rsidR="00F73844" w:rsidRPr="00880068">
        <w:rPr>
          <w:rFonts w:ascii="Times New Roman" w:hAnsi="Times New Roman" w:cs="Times New Roman"/>
          <w:b/>
          <w:sz w:val="24"/>
          <w:szCs w:val="24"/>
        </w:rPr>
        <w:t>Po</w:t>
      </w:r>
      <w:r w:rsidRPr="00880068">
        <w:rPr>
          <w:rFonts w:ascii="Times New Roman" w:hAnsi="Times New Roman" w:cs="Times New Roman"/>
          <w:b/>
          <w:sz w:val="24"/>
          <w:szCs w:val="24"/>
        </w:rPr>
        <w:t>licy</w:t>
      </w:r>
      <w:proofErr w:type="spellEnd"/>
      <w:r w:rsidRPr="00880068">
        <w:rPr>
          <w:rFonts w:ascii="Times New Roman" w:hAnsi="Times New Roman" w:cs="Times New Roman"/>
          <w:sz w:val="24"/>
          <w:szCs w:val="24"/>
        </w:rPr>
        <w:t>, v. 22, p. 31-40, 2012.</w:t>
      </w:r>
    </w:p>
    <w:p w:rsidR="00251F4B" w:rsidRPr="0046600A"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t xml:space="preserve">MESQUITA, A. M.; CAMPOS, F. M. Produtividade, eficiência econômica e regulação por incentivos nos serviços de abastecimento de água e esgotamento sanitário. In: GALVÃO JUNIOR, A. de C.; </w:t>
      </w:r>
      <w:proofErr w:type="gramStart"/>
      <w:r w:rsidRPr="0046600A">
        <w:rPr>
          <w:rFonts w:ascii="Times New Roman" w:hAnsi="Times New Roman" w:cs="Times New Roman"/>
          <w:sz w:val="24"/>
          <w:szCs w:val="24"/>
        </w:rPr>
        <w:t>MELO,</w:t>
      </w:r>
      <w:proofErr w:type="gramEnd"/>
      <w:r w:rsidRPr="0046600A">
        <w:rPr>
          <w:rFonts w:ascii="Times New Roman" w:hAnsi="Times New Roman" w:cs="Times New Roman"/>
          <w:sz w:val="24"/>
          <w:szCs w:val="24"/>
        </w:rPr>
        <w:t xml:space="preserve"> A. J. M.; MONTEIRO, M. A. P. (Org.). </w:t>
      </w:r>
      <w:r w:rsidRPr="00F73844">
        <w:rPr>
          <w:rFonts w:ascii="Times New Roman" w:hAnsi="Times New Roman" w:cs="Times New Roman"/>
          <w:b/>
          <w:sz w:val="24"/>
          <w:szCs w:val="24"/>
        </w:rPr>
        <w:t>Regulação do saneamento básico</w:t>
      </w:r>
      <w:r w:rsidRPr="0046600A">
        <w:rPr>
          <w:rFonts w:ascii="Times New Roman" w:hAnsi="Times New Roman" w:cs="Times New Roman"/>
          <w:sz w:val="24"/>
          <w:szCs w:val="24"/>
        </w:rPr>
        <w:t xml:space="preserve">. Barueri: Manole, 2013. </w:t>
      </w:r>
      <w:proofErr w:type="gramStart"/>
      <w:r w:rsidRPr="0046600A">
        <w:rPr>
          <w:rFonts w:ascii="Times New Roman" w:hAnsi="Times New Roman" w:cs="Times New Roman"/>
          <w:sz w:val="24"/>
          <w:szCs w:val="24"/>
        </w:rPr>
        <w:t>p.</w:t>
      </w:r>
      <w:proofErr w:type="gramEnd"/>
      <w:r w:rsidRPr="0046600A">
        <w:rPr>
          <w:rFonts w:ascii="Times New Roman" w:hAnsi="Times New Roman" w:cs="Times New Roman"/>
          <w:sz w:val="24"/>
          <w:szCs w:val="24"/>
        </w:rPr>
        <w:t xml:space="preserve"> 167-199.</w:t>
      </w:r>
    </w:p>
    <w:p w:rsidR="00251F4B" w:rsidRPr="008C557F" w:rsidRDefault="00251F4B" w:rsidP="008C557F">
      <w:pPr>
        <w:spacing w:after="120" w:line="240" w:lineRule="auto"/>
        <w:rPr>
          <w:rFonts w:ascii="Times New Roman" w:hAnsi="Times New Roman" w:cs="Times New Roman"/>
          <w:sz w:val="24"/>
          <w:szCs w:val="24"/>
          <w:lang w:val="en-US"/>
        </w:rPr>
      </w:pPr>
      <w:r w:rsidRPr="00627D7C">
        <w:rPr>
          <w:rFonts w:ascii="Times New Roman" w:hAnsi="Times New Roman" w:cs="Times New Roman"/>
          <w:sz w:val="24"/>
          <w:szCs w:val="24"/>
        </w:rPr>
        <w:t xml:space="preserve">MINISTÉRIO DAS CIDADES. Secretaria Nacional de Saneamento Ambiental. </w:t>
      </w:r>
      <w:r w:rsidRPr="00F73844">
        <w:rPr>
          <w:rFonts w:ascii="Times New Roman" w:hAnsi="Times New Roman" w:cs="Times New Roman"/>
          <w:b/>
          <w:sz w:val="24"/>
          <w:szCs w:val="24"/>
        </w:rPr>
        <w:t>Sistema nacional de informações sobre saneamento</w:t>
      </w:r>
      <w:r w:rsidRPr="00627D7C">
        <w:rPr>
          <w:rFonts w:ascii="Times New Roman" w:hAnsi="Times New Roman" w:cs="Times New Roman"/>
          <w:sz w:val="24"/>
          <w:szCs w:val="24"/>
        </w:rPr>
        <w:t xml:space="preserve">: diagnóstico dos serviços de água e esgotos – 2010. </w:t>
      </w:r>
      <w:r w:rsidRPr="008C557F">
        <w:rPr>
          <w:rFonts w:ascii="Times New Roman" w:hAnsi="Times New Roman" w:cs="Times New Roman"/>
          <w:sz w:val="24"/>
          <w:szCs w:val="24"/>
          <w:lang w:val="en-US"/>
        </w:rPr>
        <w:t xml:space="preserve">Brasília: MCIDADES/SNSA, 2013. </w:t>
      </w:r>
      <w:proofErr w:type="gramStart"/>
      <w:r w:rsidRPr="008C557F">
        <w:rPr>
          <w:rFonts w:ascii="Times New Roman" w:hAnsi="Times New Roman" w:cs="Times New Roman"/>
          <w:sz w:val="24"/>
          <w:szCs w:val="24"/>
          <w:lang w:val="en-US"/>
        </w:rPr>
        <w:t>432 p.</w:t>
      </w:r>
      <w:proofErr w:type="gramEnd"/>
    </w:p>
    <w:p w:rsidR="00251F4B" w:rsidRPr="00880068" w:rsidRDefault="00251F4B" w:rsidP="008C557F">
      <w:pPr>
        <w:spacing w:after="120" w:line="240" w:lineRule="auto"/>
        <w:rPr>
          <w:rFonts w:ascii="Times New Roman" w:hAnsi="Times New Roman" w:cs="Times New Roman"/>
          <w:sz w:val="24"/>
          <w:szCs w:val="24"/>
        </w:rPr>
      </w:pPr>
      <w:proofErr w:type="gramStart"/>
      <w:r w:rsidRPr="0074750F">
        <w:rPr>
          <w:rFonts w:ascii="Times New Roman" w:hAnsi="Times New Roman" w:cs="Times New Roman"/>
          <w:sz w:val="24"/>
          <w:szCs w:val="24"/>
          <w:lang w:val="en-US"/>
        </w:rPr>
        <w:t>MOTTA, R. S. da; MOREIRA, A. Efficiency and regulation in the sanitation sector in Brazil.</w:t>
      </w:r>
      <w:proofErr w:type="gramEnd"/>
      <w:r w:rsidRPr="0074750F">
        <w:rPr>
          <w:rFonts w:ascii="Times New Roman" w:hAnsi="Times New Roman" w:cs="Times New Roman"/>
          <w:sz w:val="24"/>
          <w:szCs w:val="24"/>
          <w:lang w:val="en-US"/>
        </w:rPr>
        <w:t xml:space="preserve"> </w:t>
      </w:r>
      <w:proofErr w:type="spellStart"/>
      <w:r w:rsidRPr="00880068">
        <w:rPr>
          <w:rFonts w:ascii="Times New Roman" w:hAnsi="Times New Roman" w:cs="Times New Roman"/>
          <w:b/>
          <w:sz w:val="24"/>
          <w:szCs w:val="24"/>
        </w:rPr>
        <w:t>Utilities</w:t>
      </w:r>
      <w:proofErr w:type="spellEnd"/>
      <w:r w:rsidRPr="00880068">
        <w:rPr>
          <w:rFonts w:ascii="Times New Roman" w:hAnsi="Times New Roman" w:cs="Times New Roman"/>
          <w:b/>
          <w:sz w:val="24"/>
          <w:szCs w:val="24"/>
        </w:rPr>
        <w:t xml:space="preserve"> </w:t>
      </w:r>
      <w:proofErr w:type="spellStart"/>
      <w:r w:rsidRPr="00880068">
        <w:rPr>
          <w:rFonts w:ascii="Times New Roman" w:hAnsi="Times New Roman" w:cs="Times New Roman"/>
          <w:b/>
          <w:sz w:val="24"/>
          <w:szCs w:val="24"/>
        </w:rPr>
        <w:t>Policy</w:t>
      </w:r>
      <w:proofErr w:type="spellEnd"/>
      <w:r w:rsidRPr="00880068">
        <w:rPr>
          <w:rFonts w:ascii="Times New Roman" w:hAnsi="Times New Roman" w:cs="Times New Roman"/>
          <w:sz w:val="24"/>
          <w:szCs w:val="24"/>
        </w:rPr>
        <w:t xml:space="preserve">. </w:t>
      </w:r>
      <w:proofErr w:type="gramStart"/>
      <w:r w:rsidRPr="00880068">
        <w:rPr>
          <w:rFonts w:ascii="Times New Roman" w:hAnsi="Times New Roman" w:cs="Times New Roman"/>
          <w:sz w:val="24"/>
          <w:szCs w:val="24"/>
        </w:rPr>
        <w:t>v.</w:t>
      </w:r>
      <w:proofErr w:type="gramEnd"/>
      <w:r w:rsidRPr="00880068">
        <w:rPr>
          <w:rFonts w:ascii="Times New Roman" w:hAnsi="Times New Roman" w:cs="Times New Roman"/>
          <w:sz w:val="24"/>
          <w:szCs w:val="24"/>
        </w:rPr>
        <w:t xml:space="preserve"> 14, p. 185-195, 2006.</w:t>
      </w:r>
    </w:p>
    <w:p w:rsidR="00251F4B" w:rsidRPr="00CA1B3D" w:rsidRDefault="00251F4B" w:rsidP="008C557F">
      <w:pPr>
        <w:spacing w:after="120" w:line="240" w:lineRule="auto"/>
        <w:rPr>
          <w:rFonts w:ascii="Times New Roman" w:hAnsi="Times New Roman" w:cs="Times New Roman"/>
          <w:sz w:val="24"/>
          <w:szCs w:val="24"/>
          <w:lang w:val="en-US"/>
        </w:rPr>
      </w:pPr>
      <w:r w:rsidRPr="0046600A">
        <w:rPr>
          <w:rFonts w:ascii="Times New Roman" w:hAnsi="Times New Roman" w:cs="Times New Roman"/>
          <w:sz w:val="24"/>
          <w:szCs w:val="24"/>
        </w:rPr>
        <w:t xml:space="preserve">OLIVEIRA, G.; SCAZUFCA, P.; MARCATO, F. S. Cenários e condições para a universalização do saneamento no Brasil – parte 2. </w:t>
      </w:r>
      <w:proofErr w:type="spellStart"/>
      <w:r w:rsidRPr="00CA1B3D">
        <w:rPr>
          <w:rFonts w:ascii="Times New Roman" w:hAnsi="Times New Roman" w:cs="Times New Roman"/>
          <w:b/>
          <w:sz w:val="24"/>
          <w:szCs w:val="24"/>
          <w:lang w:val="en-US"/>
        </w:rPr>
        <w:t>Informações</w:t>
      </w:r>
      <w:proofErr w:type="spellEnd"/>
      <w:r w:rsidRPr="00CA1B3D">
        <w:rPr>
          <w:rFonts w:ascii="Times New Roman" w:hAnsi="Times New Roman" w:cs="Times New Roman"/>
          <w:b/>
          <w:sz w:val="24"/>
          <w:szCs w:val="24"/>
          <w:lang w:val="en-US"/>
        </w:rPr>
        <w:t xml:space="preserve"> </w:t>
      </w:r>
      <w:proofErr w:type="spellStart"/>
      <w:r w:rsidRPr="00CA1B3D">
        <w:rPr>
          <w:rFonts w:ascii="Times New Roman" w:hAnsi="Times New Roman" w:cs="Times New Roman"/>
          <w:b/>
          <w:sz w:val="24"/>
          <w:szCs w:val="24"/>
          <w:lang w:val="en-US"/>
        </w:rPr>
        <w:t>Fipe</w:t>
      </w:r>
      <w:proofErr w:type="spellEnd"/>
      <w:r w:rsidRPr="00CA1B3D">
        <w:rPr>
          <w:rFonts w:ascii="Times New Roman" w:hAnsi="Times New Roman" w:cs="Times New Roman"/>
          <w:sz w:val="24"/>
          <w:szCs w:val="24"/>
          <w:lang w:val="en-US"/>
        </w:rPr>
        <w:t xml:space="preserve">, </w:t>
      </w:r>
      <w:proofErr w:type="spellStart"/>
      <w:r w:rsidRPr="00CA1B3D">
        <w:rPr>
          <w:rFonts w:ascii="Times New Roman" w:hAnsi="Times New Roman" w:cs="Times New Roman"/>
          <w:sz w:val="24"/>
          <w:szCs w:val="24"/>
          <w:lang w:val="en-US"/>
        </w:rPr>
        <w:t>fev</w:t>
      </w:r>
      <w:proofErr w:type="spellEnd"/>
      <w:r w:rsidRPr="00CA1B3D">
        <w:rPr>
          <w:rFonts w:ascii="Times New Roman" w:hAnsi="Times New Roman" w:cs="Times New Roman"/>
          <w:sz w:val="24"/>
          <w:szCs w:val="24"/>
          <w:lang w:val="en-US"/>
        </w:rPr>
        <w:t xml:space="preserve">. 2011. </w:t>
      </w:r>
    </w:p>
    <w:p w:rsidR="00251F4B" w:rsidRPr="0074750F" w:rsidRDefault="00251F4B" w:rsidP="008C557F">
      <w:pPr>
        <w:spacing w:after="120" w:line="240" w:lineRule="auto"/>
        <w:rPr>
          <w:rFonts w:ascii="Times New Roman" w:hAnsi="Times New Roman" w:cs="Times New Roman"/>
          <w:sz w:val="24"/>
          <w:szCs w:val="24"/>
          <w:lang w:val="en-US"/>
        </w:rPr>
      </w:pPr>
      <w:r w:rsidRPr="00CA1B3D">
        <w:rPr>
          <w:rFonts w:ascii="Times New Roman" w:hAnsi="Times New Roman" w:cs="Times New Roman"/>
          <w:sz w:val="24"/>
          <w:szCs w:val="24"/>
          <w:lang w:val="en-US"/>
        </w:rPr>
        <w:t xml:space="preserve">PORTELA, M. et al. </w:t>
      </w:r>
      <w:r w:rsidRPr="0074750F">
        <w:rPr>
          <w:rFonts w:ascii="Times New Roman" w:hAnsi="Times New Roman" w:cs="Times New Roman"/>
          <w:sz w:val="24"/>
          <w:szCs w:val="24"/>
          <w:lang w:val="en-US"/>
        </w:rPr>
        <w:t>Productivity change in the water industry in England and Wales: application of the meta-</w:t>
      </w:r>
      <w:proofErr w:type="spellStart"/>
      <w:r w:rsidRPr="0074750F">
        <w:rPr>
          <w:rFonts w:ascii="Times New Roman" w:hAnsi="Times New Roman" w:cs="Times New Roman"/>
          <w:sz w:val="24"/>
          <w:szCs w:val="24"/>
          <w:lang w:val="en-US"/>
        </w:rPr>
        <w:t>Malmquist</w:t>
      </w:r>
      <w:proofErr w:type="spellEnd"/>
      <w:r w:rsidRPr="0074750F">
        <w:rPr>
          <w:rFonts w:ascii="Times New Roman" w:hAnsi="Times New Roman" w:cs="Times New Roman"/>
          <w:sz w:val="24"/>
          <w:szCs w:val="24"/>
          <w:lang w:val="en-US"/>
        </w:rPr>
        <w:t xml:space="preserve"> index. </w:t>
      </w:r>
      <w:proofErr w:type="gramStart"/>
      <w:r w:rsidRPr="00F73844">
        <w:rPr>
          <w:rFonts w:ascii="Times New Roman" w:hAnsi="Times New Roman" w:cs="Times New Roman"/>
          <w:b/>
          <w:sz w:val="24"/>
          <w:szCs w:val="24"/>
          <w:lang w:val="en-US"/>
        </w:rPr>
        <w:t>Journal of the Operational Research Society</w:t>
      </w:r>
      <w:r w:rsidRPr="0074750F">
        <w:rPr>
          <w:rFonts w:ascii="Times New Roman" w:hAnsi="Times New Roman" w:cs="Times New Roman"/>
          <w:sz w:val="24"/>
          <w:szCs w:val="24"/>
          <w:lang w:val="en-US"/>
        </w:rPr>
        <w:t>, v. 62, p. 2173-2188, 2011.</w:t>
      </w:r>
      <w:proofErr w:type="gramEnd"/>
    </w:p>
    <w:p w:rsidR="00251F4B" w:rsidRPr="0074750F" w:rsidRDefault="00251F4B" w:rsidP="008C557F">
      <w:pPr>
        <w:spacing w:after="120" w:line="240" w:lineRule="auto"/>
        <w:rPr>
          <w:rFonts w:ascii="Times New Roman" w:hAnsi="Times New Roman" w:cs="Times New Roman"/>
          <w:sz w:val="24"/>
          <w:szCs w:val="24"/>
        </w:rPr>
      </w:pPr>
      <w:r w:rsidRPr="0074750F">
        <w:rPr>
          <w:rFonts w:ascii="Times New Roman" w:hAnsi="Times New Roman" w:cs="Times New Roman"/>
          <w:sz w:val="24"/>
          <w:szCs w:val="24"/>
        </w:rPr>
        <w:t>SAMPAIO, B.; SAMPAIO, Y. Influências políticas na eficiência de empresas de saneamento brasileiras</w:t>
      </w:r>
      <w:r w:rsidRPr="00F73844">
        <w:rPr>
          <w:rFonts w:ascii="Times New Roman" w:hAnsi="Times New Roman" w:cs="Times New Roman"/>
          <w:b/>
          <w:sz w:val="24"/>
          <w:szCs w:val="24"/>
        </w:rPr>
        <w:t>. Economia Aplicada</w:t>
      </w:r>
      <w:r w:rsidRPr="0074750F">
        <w:rPr>
          <w:rFonts w:ascii="Times New Roman" w:hAnsi="Times New Roman" w:cs="Times New Roman"/>
          <w:sz w:val="24"/>
          <w:szCs w:val="24"/>
        </w:rPr>
        <w:t>, São Paulo, v. 11, n. 3, p. 369-386, jul.-set. 2007.</w:t>
      </w:r>
    </w:p>
    <w:p w:rsidR="00251F4B" w:rsidRPr="0074750F" w:rsidRDefault="00251F4B" w:rsidP="008C557F">
      <w:pPr>
        <w:spacing w:after="120" w:line="240" w:lineRule="auto"/>
        <w:rPr>
          <w:rFonts w:ascii="Times New Roman" w:hAnsi="Times New Roman" w:cs="Times New Roman"/>
          <w:sz w:val="24"/>
          <w:szCs w:val="24"/>
        </w:rPr>
      </w:pPr>
      <w:r w:rsidRPr="0074750F">
        <w:rPr>
          <w:rFonts w:ascii="Times New Roman" w:hAnsi="Times New Roman" w:cs="Times New Roman"/>
          <w:sz w:val="24"/>
          <w:szCs w:val="24"/>
        </w:rPr>
        <w:t xml:space="preserve">SATO, J. M. </w:t>
      </w:r>
      <w:r w:rsidRPr="00F73844">
        <w:rPr>
          <w:rFonts w:ascii="Times New Roman" w:hAnsi="Times New Roman" w:cs="Times New Roman"/>
          <w:b/>
          <w:sz w:val="24"/>
          <w:szCs w:val="24"/>
        </w:rPr>
        <w:t>Utilização da análise envoltória de dados (DEA) no estudo de eficiência do setor de saneamento</w:t>
      </w:r>
      <w:r w:rsidRPr="0074750F">
        <w:rPr>
          <w:rFonts w:ascii="Times New Roman" w:hAnsi="Times New Roman" w:cs="Times New Roman"/>
          <w:sz w:val="24"/>
          <w:szCs w:val="24"/>
        </w:rPr>
        <w:t>. Brasília: UCB, 2011. 43 p. Dissertação (Mestrado), Programa de Pós-graduação em Economia Regional, Universidade Católica de Brasília, Brasília, 2011.</w:t>
      </w:r>
    </w:p>
    <w:p w:rsidR="00251F4B" w:rsidRPr="00880068"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t xml:space="preserve">SILVA, A. C. </w:t>
      </w:r>
      <w:proofErr w:type="gramStart"/>
      <w:r w:rsidRPr="0046600A">
        <w:rPr>
          <w:rFonts w:ascii="Times New Roman" w:hAnsi="Times New Roman" w:cs="Times New Roman"/>
          <w:sz w:val="24"/>
          <w:szCs w:val="24"/>
        </w:rPr>
        <w:t>da.</w:t>
      </w:r>
      <w:proofErr w:type="gramEnd"/>
      <w:r w:rsidRPr="0046600A">
        <w:rPr>
          <w:rFonts w:ascii="Times New Roman" w:hAnsi="Times New Roman" w:cs="Times New Roman"/>
          <w:sz w:val="24"/>
          <w:szCs w:val="24"/>
        </w:rPr>
        <w:t xml:space="preserve"> Regulação Sunshine: uma proposta de regulação técnica para o saneamento. In: GALVÃO JUNIOR, A. de C.; </w:t>
      </w:r>
      <w:proofErr w:type="gramStart"/>
      <w:r w:rsidRPr="0046600A">
        <w:rPr>
          <w:rFonts w:ascii="Times New Roman" w:hAnsi="Times New Roman" w:cs="Times New Roman"/>
          <w:sz w:val="24"/>
          <w:szCs w:val="24"/>
        </w:rPr>
        <w:t>MELO,</w:t>
      </w:r>
      <w:proofErr w:type="gramEnd"/>
      <w:r w:rsidRPr="0046600A">
        <w:rPr>
          <w:rFonts w:ascii="Times New Roman" w:hAnsi="Times New Roman" w:cs="Times New Roman"/>
          <w:sz w:val="24"/>
          <w:szCs w:val="24"/>
        </w:rPr>
        <w:t xml:space="preserve"> A. J. M.; MONTEIRO, M. A. P. (Org.). </w:t>
      </w:r>
      <w:r w:rsidRPr="00880068">
        <w:rPr>
          <w:rFonts w:ascii="Times New Roman" w:hAnsi="Times New Roman" w:cs="Times New Roman"/>
          <w:b/>
          <w:sz w:val="24"/>
          <w:szCs w:val="24"/>
        </w:rPr>
        <w:t>Regulação do saneamento básico</w:t>
      </w:r>
      <w:r w:rsidRPr="00880068">
        <w:rPr>
          <w:rFonts w:ascii="Times New Roman" w:hAnsi="Times New Roman" w:cs="Times New Roman"/>
          <w:sz w:val="24"/>
          <w:szCs w:val="24"/>
        </w:rPr>
        <w:t xml:space="preserve">. Barueri: Manole, 2013. </w:t>
      </w:r>
      <w:proofErr w:type="gramStart"/>
      <w:r w:rsidRPr="00880068">
        <w:rPr>
          <w:rFonts w:ascii="Times New Roman" w:hAnsi="Times New Roman" w:cs="Times New Roman"/>
          <w:sz w:val="24"/>
          <w:szCs w:val="24"/>
        </w:rPr>
        <w:t>p.</w:t>
      </w:r>
      <w:proofErr w:type="gramEnd"/>
      <w:r w:rsidRPr="00880068">
        <w:rPr>
          <w:rFonts w:ascii="Times New Roman" w:hAnsi="Times New Roman" w:cs="Times New Roman"/>
          <w:sz w:val="24"/>
          <w:szCs w:val="24"/>
        </w:rPr>
        <w:t xml:space="preserve"> 311-338.</w:t>
      </w:r>
    </w:p>
    <w:p w:rsidR="00251F4B" w:rsidRDefault="00251F4B" w:rsidP="008C557F">
      <w:pPr>
        <w:spacing w:after="120" w:line="240" w:lineRule="auto"/>
        <w:rPr>
          <w:rFonts w:ascii="Times New Roman" w:hAnsi="Times New Roman" w:cs="Times New Roman"/>
          <w:sz w:val="24"/>
          <w:szCs w:val="24"/>
          <w:lang w:val="en-US"/>
        </w:rPr>
      </w:pPr>
      <w:proofErr w:type="gramStart"/>
      <w:r w:rsidRPr="0074750F">
        <w:rPr>
          <w:rFonts w:ascii="Times New Roman" w:hAnsi="Times New Roman" w:cs="Times New Roman"/>
          <w:sz w:val="24"/>
          <w:szCs w:val="24"/>
          <w:lang w:val="en-US"/>
        </w:rPr>
        <w:t>THANASSOULIS, E. DEA and its use in the regulation of water companies.</w:t>
      </w:r>
      <w:proofErr w:type="gramEnd"/>
      <w:r w:rsidRPr="0074750F">
        <w:rPr>
          <w:rFonts w:ascii="Times New Roman" w:hAnsi="Times New Roman" w:cs="Times New Roman"/>
          <w:sz w:val="24"/>
          <w:szCs w:val="24"/>
          <w:lang w:val="en-US"/>
        </w:rPr>
        <w:t xml:space="preserve"> </w:t>
      </w:r>
      <w:proofErr w:type="gramStart"/>
      <w:r w:rsidRPr="001271C5">
        <w:rPr>
          <w:rFonts w:ascii="Times New Roman" w:hAnsi="Times New Roman" w:cs="Times New Roman"/>
          <w:b/>
          <w:sz w:val="24"/>
          <w:szCs w:val="24"/>
          <w:lang w:val="en-US"/>
        </w:rPr>
        <w:t xml:space="preserve">European Journal of Operational </w:t>
      </w:r>
      <w:r w:rsidR="0074750F" w:rsidRPr="001271C5">
        <w:rPr>
          <w:rFonts w:ascii="Times New Roman" w:hAnsi="Times New Roman" w:cs="Times New Roman"/>
          <w:b/>
          <w:sz w:val="24"/>
          <w:szCs w:val="24"/>
          <w:lang w:val="en-US"/>
        </w:rPr>
        <w:t>Research</w:t>
      </w:r>
      <w:r w:rsidR="0074750F" w:rsidRPr="0074750F">
        <w:rPr>
          <w:rFonts w:ascii="Times New Roman" w:hAnsi="Times New Roman" w:cs="Times New Roman"/>
          <w:sz w:val="24"/>
          <w:szCs w:val="24"/>
          <w:lang w:val="en-US"/>
        </w:rPr>
        <w:t>, v. 127, p. 1-13, 2000</w:t>
      </w:r>
      <w:r w:rsidRPr="0074750F">
        <w:rPr>
          <w:rFonts w:ascii="Times New Roman" w:hAnsi="Times New Roman" w:cs="Times New Roman"/>
          <w:sz w:val="24"/>
          <w:szCs w:val="24"/>
          <w:lang w:val="en-US"/>
        </w:rPr>
        <w:t>.</w:t>
      </w:r>
      <w:proofErr w:type="gramEnd"/>
    </w:p>
    <w:p w:rsidR="00510A95" w:rsidRPr="00510A95" w:rsidRDefault="00510A95" w:rsidP="008C557F">
      <w:pPr>
        <w:spacing w:after="120" w:line="240" w:lineRule="auto"/>
        <w:rPr>
          <w:rFonts w:ascii="Times New Roman" w:hAnsi="Times New Roman" w:cs="Times New Roman"/>
          <w:sz w:val="24"/>
          <w:szCs w:val="24"/>
        </w:rPr>
      </w:pPr>
      <w:r w:rsidRPr="00510A95">
        <w:rPr>
          <w:rFonts w:ascii="Times New Roman" w:hAnsi="Times New Roman" w:cs="Times New Roman"/>
          <w:sz w:val="24"/>
          <w:szCs w:val="24"/>
          <w:lang w:val="en-US"/>
        </w:rPr>
        <w:t xml:space="preserve">TONE, K.; TSUTSUI, M. Network DEA: A slacks-based measure approach. </w:t>
      </w:r>
      <w:proofErr w:type="spellStart"/>
      <w:r w:rsidRPr="00510A95">
        <w:rPr>
          <w:rFonts w:ascii="Times New Roman" w:hAnsi="Times New Roman" w:cs="Times New Roman"/>
          <w:b/>
          <w:sz w:val="24"/>
          <w:szCs w:val="24"/>
        </w:rPr>
        <w:t>European</w:t>
      </w:r>
      <w:proofErr w:type="spellEnd"/>
      <w:r w:rsidRPr="00510A95">
        <w:rPr>
          <w:rFonts w:ascii="Times New Roman" w:hAnsi="Times New Roman" w:cs="Times New Roman"/>
          <w:b/>
          <w:sz w:val="24"/>
          <w:szCs w:val="24"/>
        </w:rPr>
        <w:t xml:space="preserve"> </w:t>
      </w:r>
      <w:proofErr w:type="spellStart"/>
      <w:r w:rsidRPr="00510A95">
        <w:rPr>
          <w:rFonts w:ascii="Times New Roman" w:hAnsi="Times New Roman" w:cs="Times New Roman"/>
          <w:b/>
          <w:sz w:val="24"/>
          <w:szCs w:val="24"/>
        </w:rPr>
        <w:t>Journal</w:t>
      </w:r>
      <w:proofErr w:type="spellEnd"/>
      <w:r w:rsidRPr="00510A95">
        <w:rPr>
          <w:rFonts w:ascii="Times New Roman" w:hAnsi="Times New Roman" w:cs="Times New Roman"/>
          <w:b/>
          <w:sz w:val="24"/>
          <w:szCs w:val="24"/>
        </w:rPr>
        <w:t xml:space="preserve"> </w:t>
      </w:r>
      <w:proofErr w:type="spellStart"/>
      <w:r w:rsidRPr="00510A95">
        <w:rPr>
          <w:rFonts w:ascii="Times New Roman" w:hAnsi="Times New Roman" w:cs="Times New Roman"/>
          <w:b/>
          <w:sz w:val="24"/>
          <w:szCs w:val="24"/>
        </w:rPr>
        <w:t>of</w:t>
      </w:r>
      <w:proofErr w:type="spellEnd"/>
      <w:r w:rsidRPr="00510A95">
        <w:rPr>
          <w:rFonts w:ascii="Times New Roman" w:hAnsi="Times New Roman" w:cs="Times New Roman"/>
          <w:b/>
          <w:sz w:val="24"/>
          <w:szCs w:val="24"/>
        </w:rPr>
        <w:t xml:space="preserve"> </w:t>
      </w:r>
      <w:proofErr w:type="spellStart"/>
      <w:r w:rsidRPr="00510A95">
        <w:rPr>
          <w:rFonts w:ascii="Times New Roman" w:hAnsi="Times New Roman" w:cs="Times New Roman"/>
          <w:b/>
          <w:sz w:val="24"/>
          <w:szCs w:val="24"/>
        </w:rPr>
        <w:t>Operational</w:t>
      </w:r>
      <w:proofErr w:type="spellEnd"/>
      <w:r w:rsidRPr="00510A95">
        <w:rPr>
          <w:rFonts w:ascii="Times New Roman" w:hAnsi="Times New Roman" w:cs="Times New Roman"/>
          <w:b/>
          <w:sz w:val="24"/>
          <w:szCs w:val="24"/>
        </w:rPr>
        <w:t xml:space="preserve"> </w:t>
      </w:r>
      <w:proofErr w:type="spellStart"/>
      <w:r w:rsidRPr="00510A95">
        <w:rPr>
          <w:rFonts w:ascii="Times New Roman" w:hAnsi="Times New Roman" w:cs="Times New Roman"/>
          <w:b/>
          <w:sz w:val="24"/>
          <w:szCs w:val="24"/>
        </w:rPr>
        <w:t>Research</w:t>
      </w:r>
      <w:proofErr w:type="spellEnd"/>
      <w:r w:rsidRPr="00510A95">
        <w:rPr>
          <w:rFonts w:ascii="Times New Roman" w:hAnsi="Times New Roman" w:cs="Times New Roman"/>
          <w:sz w:val="24"/>
          <w:szCs w:val="24"/>
        </w:rPr>
        <w:t>, 197, p. 243-252, 2009.</w:t>
      </w:r>
    </w:p>
    <w:p w:rsidR="00251F4B" w:rsidRPr="0046600A" w:rsidRDefault="00251F4B" w:rsidP="008C557F">
      <w:pPr>
        <w:spacing w:after="120" w:line="240" w:lineRule="auto"/>
        <w:rPr>
          <w:rFonts w:ascii="Times New Roman" w:hAnsi="Times New Roman" w:cs="Times New Roman"/>
          <w:sz w:val="24"/>
          <w:szCs w:val="24"/>
        </w:rPr>
      </w:pPr>
      <w:r w:rsidRPr="0046600A">
        <w:rPr>
          <w:rFonts w:ascii="Times New Roman" w:hAnsi="Times New Roman" w:cs="Times New Roman"/>
          <w:sz w:val="24"/>
          <w:szCs w:val="24"/>
        </w:rPr>
        <w:t xml:space="preserve">XIMENES, M. M. de A. F.; GALVÃO JUNIOR, A. de C. A normatização e a construção da regulação do setor de saneamento no Brasil. GALVÃO JUNIOR, A. de C.; XIMENES, M. M. de A. F. (Org.). </w:t>
      </w:r>
      <w:r w:rsidRPr="001271C5">
        <w:rPr>
          <w:rFonts w:ascii="Times New Roman" w:hAnsi="Times New Roman" w:cs="Times New Roman"/>
          <w:b/>
          <w:sz w:val="24"/>
          <w:szCs w:val="24"/>
        </w:rPr>
        <w:t>Normatização da prestação de serviços de água e esgoto</w:t>
      </w:r>
      <w:r w:rsidRPr="0046600A">
        <w:rPr>
          <w:rFonts w:ascii="Times New Roman" w:hAnsi="Times New Roman" w:cs="Times New Roman"/>
          <w:sz w:val="24"/>
          <w:szCs w:val="24"/>
        </w:rPr>
        <w:t xml:space="preserve">. Fortaleza: ARCE, 2008. </w:t>
      </w:r>
      <w:proofErr w:type="gramStart"/>
      <w:r w:rsidRPr="0046600A">
        <w:rPr>
          <w:rFonts w:ascii="Times New Roman" w:hAnsi="Times New Roman" w:cs="Times New Roman"/>
          <w:sz w:val="24"/>
          <w:szCs w:val="24"/>
        </w:rPr>
        <w:t>p.</w:t>
      </w:r>
      <w:proofErr w:type="gramEnd"/>
      <w:r w:rsidRPr="0046600A">
        <w:rPr>
          <w:rFonts w:ascii="Times New Roman" w:hAnsi="Times New Roman" w:cs="Times New Roman"/>
          <w:sz w:val="24"/>
          <w:szCs w:val="24"/>
        </w:rPr>
        <w:t xml:space="preserve"> 21-33.</w:t>
      </w:r>
    </w:p>
    <w:p w:rsidR="00251F4B" w:rsidRPr="00880068" w:rsidRDefault="00251F4B" w:rsidP="008C557F">
      <w:pPr>
        <w:spacing w:after="120" w:line="240" w:lineRule="auto"/>
        <w:rPr>
          <w:rFonts w:ascii="Times New Roman" w:hAnsi="Times New Roman" w:cs="Times New Roman"/>
          <w:sz w:val="24"/>
          <w:szCs w:val="24"/>
        </w:rPr>
      </w:pPr>
      <w:r w:rsidRPr="00627D7C">
        <w:rPr>
          <w:rFonts w:ascii="Times New Roman" w:hAnsi="Times New Roman" w:cs="Times New Roman"/>
          <w:sz w:val="24"/>
          <w:szCs w:val="24"/>
        </w:rPr>
        <w:t xml:space="preserve">WARTCHOW, D. Serviços de abastecimento de água e de esgotamento sanitário: compromisso com a universalização e a qualidade. In: CORDEIRO, Berenice de Souza (Coord.). </w:t>
      </w:r>
      <w:r w:rsidRPr="001271C5">
        <w:rPr>
          <w:rFonts w:ascii="Times New Roman" w:hAnsi="Times New Roman" w:cs="Times New Roman"/>
          <w:b/>
          <w:sz w:val="24"/>
          <w:szCs w:val="24"/>
        </w:rPr>
        <w:t>Lei nacional de saneamento básico</w:t>
      </w:r>
      <w:r w:rsidRPr="00627D7C">
        <w:rPr>
          <w:rFonts w:ascii="Times New Roman" w:hAnsi="Times New Roman" w:cs="Times New Roman"/>
          <w:sz w:val="24"/>
          <w:szCs w:val="24"/>
        </w:rPr>
        <w:t xml:space="preserve">: perspectivas para as políticas e gestão dos serviços públicos. </w:t>
      </w:r>
      <w:proofErr w:type="gramStart"/>
      <w:r w:rsidRPr="00627D7C">
        <w:rPr>
          <w:rFonts w:ascii="Times New Roman" w:hAnsi="Times New Roman" w:cs="Times New Roman"/>
          <w:sz w:val="24"/>
          <w:szCs w:val="24"/>
        </w:rPr>
        <w:t>v.</w:t>
      </w:r>
      <w:proofErr w:type="gramEnd"/>
      <w:r w:rsidRPr="00627D7C">
        <w:rPr>
          <w:rFonts w:ascii="Times New Roman" w:hAnsi="Times New Roman" w:cs="Times New Roman"/>
          <w:sz w:val="24"/>
          <w:szCs w:val="24"/>
        </w:rPr>
        <w:t xml:space="preserve"> 2. </w:t>
      </w:r>
      <w:r w:rsidRPr="00880068">
        <w:rPr>
          <w:rFonts w:ascii="Times New Roman" w:hAnsi="Times New Roman" w:cs="Times New Roman"/>
          <w:sz w:val="24"/>
          <w:szCs w:val="24"/>
        </w:rPr>
        <w:t xml:space="preserve">Brasília: SNSA/PMSS, 2009. </w:t>
      </w:r>
      <w:proofErr w:type="gramStart"/>
      <w:r w:rsidRPr="00880068">
        <w:rPr>
          <w:rFonts w:ascii="Times New Roman" w:hAnsi="Times New Roman" w:cs="Times New Roman"/>
          <w:sz w:val="24"/>
          <w:szCs w:val="24"/>
        </w:rPr>
        <w:t>p.</w:t>
      </w:r>
      <w:proofErr w:type="gramEnd"/>
      <w:r w:rsidRPr="00880068">
        <w:rPr>
          <w:rFonts w:ascii="Times New Roman" w:hAnsi="Times New Roman" w:cs="Times New Roman"/>
          <w:sz w:val="24"/>
          <w:szCs w:val="24"/>
        </w:rPr>
        <w:t xml:space="preserve"> 273-282.</w:t>
      </w:r>
    </w:p>
    <w:p w:rsidR="005D6054" w:rsidRDefault="005D6054" w:rsidP="008C557F">
      <w:pPr>
        <w:spacing w:after="120" w:line="240" w:lineRule="auto"/>
        <w:rPr>
          <w:rFonts w:ascii="Times New Roman" w:hAnsi="Times New Roman" w:cs="Times New Roman"/>
          <w:color w:val="FF0000"/>
          <w:sz w:val="24"/>
          <w:szCs w:val="24"/>
        </w:rPr>
        <w:sectPr w:rsidR="005D6054" w:rsidSect="00A804C1">
          <w:headerReference w:type="default" r:id="rId9"/>
          <w:pgSz w:w="11906" w:h="16838" w:code="9"/>
          <w:pgMar w:top="1134" w:right="851" w:bottom="1134" w:left="851" w:header="709" w:footer="709" w:gutter="0"/>
          <w:cols w:space="708"/>
          <w:docGrid w:linePitch="360"/>
        </w:sectPr>
      </w:pPr>
    </w:p>
    <w:p w:rsidR="005D6054" w:rsidRPr="005D6054" w:rsidRDefault="005D6054" w:rsidP="005D6054">
      <w:pPr>
        <w:spacing w:after="0" w:line="240" w:lineRule="auto"/>
        <w:rPr>
          <w:rFonts w:ascii="Times New Roman" w:hAnsi="Times New Roman" w:cs="Times New Roman"/>
        </w:rPr>
      </w:pPr>
      <w:r w:rsidRPr="005D6054">
        <w:rPr>
          <w:rFonts w:ascii="Times New Roman" w:hAnsi="Times New Roman" w:cs="Times New Roman"/>
          <w:b/>
        </w:rPr>
        <w:lastRenderedPageBreak/>
        <w:t xml:space="preserve">APÊNDICE </w:t>
      </w:r>
      <w:r>
        <w:rPr>
          <w:rFonts w:ascii="Times New Roman" w:hAnsi="Times New Roman" w:cs="Times New Roman"/>
          <w:b/>
        </w:rPr>
        <w:t>A</w:t>
      </w:r>
      <w:r w:rsidRPr="005D6054">
        <w:rPr>
          <w:rFonts w:ascii="Times New Roman" w:hAnsi="Times New Roman" w:cs="Times New Roman"/>
        </w:rPr>
        <w:t xml:space="preserve"> – Quadro de prestadores de SAA e SES sediados em capitais brasileiras e suas respectivas entidades reguladoras</w:t>
      </w:r>
      <w:r w:rsidRPr="005D6054">
        <w:rPr>
          <w:rFonts w:ascii="Times New Roman" w:hAnsi="Times New Roman" w:cs="Times New Roman"/>
        </w:rPr>
        <w:fldChar w:fldCharType="begin"/>
      </w:r>
      <w:r w:rsidRPr="005D6054">
        <w:rPr>
          <w:rFonts w:ascii="Times New Roman" w:hAnsi="Times New Roman" w:cs="Times New Roman"/>
        </w:rPr>
        <w:instrText xml:space="preserve"> XE "</w:instrText>
      </w:r>
      <w:r w:rsidRPr="005D6054">
        <w:rPr>
          <w:rFonts w:ascii="Times New Roman" w:hAnsi="Times New Roman" w:cs="Times New Roman"/>
          <w:b/>
        </w:rPr>
        <w:instrText>APÊNDICE B</w:instrText>
      </w:r>
      <w:r w:rsidRPr="005D6054">
        <w:rPr>
          <w:rFonts w:ascii="Times New Roman" w:hAnsi="Times New Roman" w:cs="Times New Roman"/>
        </w:rPr>
        <w:instrText xml:space="preserve"> – Quadro de prestadores de SAA e SES sediados em capitais brasileiras e suas respectivas entidades reguladoras" </w:instrText>
      </w:r>
      <w:r w:rsidRPr="005D6054">
        <w:rPr>
          <w:rFonts w:ascii="Times New Roman" w:hAnsi="Times New Roman" w:cs="Times New Roman"/>
        </w:rPr>
        <w:fldChar w:fldCharType="end"/>
      </w:r>
    </w:p>
    <w:tbl>
      <w:tblPr>
        <w:tblStyle w:val="Tabelaemlista1"/>
        <w:tblW w:w="14690" w:type="dxa"/>
        <w:tblLayout w:type="fixed"/>
        <w:tblLook w:val="04A0" w:firstRow="1" w:lastRow="0" w:firstColumn="1" w:lastColumn="0" w:noHBand="0" w:noVBand="1"/>
      </w:tblPr>
      <w:tblGrid>
        <w:gridCol w:w="7054"/>
        <w:gridCol w:w="7636"/>
      </w:tblGrid>
      <w:tr w:rsidR="00DF2F82" w:rsidRPr="005D6054" w:rsidTr="00A804C1">
        <w:trPr>
          <w:cnfStyle w:val="100000000000" w:firstRow="1" w:lastRow="0" w:firstColumn="0" w:lastColumn="0" w:oddVBand="0" w:evenVBand="0" w:oddHBand="0" w:evenHBand="0" w:firstRowFirstColumn="0" w:firstRowLastColumn="0" w:lastRowFirstColumn="0" w:lastRowLastColumn="0"/>
          <w:trHeight w:val="227"/>
        </w:trPr>
        <w:tc>
          <w:tcPr>
            <w:tcW w:w="7054" w:type="dxa"/>
            <w:shd w:val="clear" w:color="auto" w:fill="auto"/>
            <w:vAlign w:val="center"/>
            <w:hideMark/>
          </w:tcPr>
          <w:p w:rsidR="00DF2F82" w:rsidRPr="005D6054" w:rsidRDefault="00DF2F82" w:rsidP="00E97253">
            <w:pPr>
              <w:jc w:val="center"/>
              <w:rPr>
                <w:bCs w:val="0"/>
                <w:i w:val="0"/>
                <w:color w:val="auto"/>
              </w:rPr>
            </w:pPr>
            <w:r w:rsidRPr="005D6054">
              <w:rPr>
                <w:i w:val="0"/>
                <w:color w:val="auto"/>
              </w:rPr>
              <w:t>Prestador</w:t>
            </w:r>
            <w:r>
              <w:rPr>
                <w:i w:val="0"/>
                <w:color w:val="auto"/>
              </w:rPr>
              <w:t xml:space="preserve"> / Abrangência / Natureza Jurídica</w:t>
            </w:r>
          </w:p>
        </w:tc>
        <w:tc>
          <w:tcPr>
            <w:tcW w:w="7636" w:type="dxa"/>
            <w:shd w:val="clear" w:color="auto" w:fill="auto"/>
            <w:vAlign w:val="center"/>
            <w:hideMark/>
          </w:tcPr>
          <w:p w:rsidR="00DF2F82" w:rsidRPr="005D6054" w:rsidRDefault="00DF2F82" w:rsidP="00CF0726">
            <w:pPr>
              <w:jc w:val="center"/>
              <w:rPr>
                <w:bCs w:val="0"/>
                <w:i w:val="0"/>
                <w:color w:val="auto"/>
              </w:rPr>
            </w:pPr>
            <w:r w:rsidRPr="005D6054">
              <w:rPr>
                <w:i w:val="0"/>
                <w:color w:val="auto"/>
              </w:rPr>
              <w:t>Entidade Reguladora / Abrangência / Ano de Criação</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tcBorders>
              <w:bottom w:val="nil"/>
            </w:tcBorders>
            <w:vAlign w:val="center"/>
            <w:hideMark/>
          </w:tcPr>
          <w:p w:rsidR="00DF2F82" w:rsidRPr="005D6054" w:rsidRDefault="00DF2F82" w:rsidP="00C61B7C">
            <w:pPr>
              <w:jc w:val="center"/>
              <w:rPr>
                <w:color w:val="000000"/>
              </w:rPr>
            </w:pPr>
            <w:r w:rsidRPr="005D6054">
              <w:rPr>
                <w:color w:val="000000"/>
              </w:rPr>
              <w:t>Companhia de Saneamento de Sergipe (DESO)</w:t>
            </w:r>
            <w:r>
              <w:rPr>
                <w:color w:val="000000"/>
              </w:rPr>
              <w:t xml:space="preserve"> / R/ SEM-AP</w:t>
            </w:r>
          </w:p>
        </w:tc>
        <w:tc>
          <w:tcPr>
            <w:tcW w:w="7636" w:type="dxa"/>
            <w:tcBorders>
              <w:bottom w:val="nil"/>
            </w:tcBorders>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tcBorders>
              <w:top w:val="nil"/>
              <w:bottom w:val="nil"/>
            </w:tcBorders>
            <w:vAlign w:val="center"/>
            <w:hideMark/>
          </w:tcPr>
          <w:p w:rsidR="00DF2F82" w:rsidRPr="005D6054" w:rsidRDefault="00DF2F82" w:rsidP="00C61B7C">
            <w:pPr>
              <w:jc w:val="center"/>
              <w:rPr>
                <w:color w:val="000000"/>
              </w:rPr>
            </w:pPr>
            <w:r w:rsidRPr="005D6054">
              <w:rPr>
                <w:color w:val="000000"/>
              </w:rPr>
              <w:t>Companhia de Saneamento do Pará (COSANPA)</w:t>
            </w:r>
            <w:r>
              <w:rPr>
                <w:color w:val="000000"/>
              </w:rPr>
              <w:t xml:space="preserve"> / </w:t>
            </w:r>
            <w:r w:rsidRPr="005D6054">
              <w:rPr>
                <w:color w:val="000000"/>
              </w:rPr>
              <w:t>R</w:t>
            </w:r>
            <w:r>
              <w:rPr>
                <w:color w:val="000000"/>
              </w:rPr>
              <w:t xml:space="preserve"> / </w:t>
            </w:r>
            <w:r w:rsidRPr="00CF0726">
              <w:rPr>
                <w:color w:val="000000"/>
              </w:rPr>
              <w:t>SEM-AP</w:t>
            </w:r>
          </w:p>
        </w:tc>
        <w:tc>
          <w:tcPr>
            <w:tcW w:w="7636" w:type="dxa"/>
            <w:tcBorders>
              <w:top w:val="nil"/>
              <w:bottom w:val="nil"/>
            </w:tcBorders>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tcBorders>
              <w:top w:val="nil"/>
              <w:bottom w:val="nil"/>
            </w:tcBorders>
            <w:shd w:val="clear" w:color="auto" w:fill="auto"/>
            <w:vAlign w:val="center"/>
            <w:hideMark/>
          </w:tcPr>
          <w:p w:rsidR="00DF2F82" w:rsidRPr="005D6054" w:rsidRDefault="00DF2F82" w:rsidP="00C61B7C">
            <w:pPr>
              <w:jc w:val="center"/>
              <w:rPr>
                <w:color w:val="FF0000"/>
              </w:rPr>
            </w:pPr>
            <w:r w:rsidRPr="005D6054">
              <w:rPr>
                <w:color w:val="FF0000"/>
              </w:rPr>
              <w:t>Serviço Autônomo de Água e Esgoto de Belém (SAAEB)</w:t>
            </w:r>
            <w:r>
              <w:rPr>
                <w:color w:val="FF0000"/>
              </w:rPr>
              <w:t xml:space="preserve"> / </w:t>
            </w:r>
            <w:r w:rsidRPr="005D6054">
              <w:rPr>
                <w:color w:val="FF0000"/>
              </w:rPr>
              <w:t>L</w:t>
            </w:r>
            <w:r>
              <w:rPr>
                <w:color w:val="FF0000"/>
              </w:rPr>
              <w:t xml:space="preserve"> / AUT</w:t>
            </w:r>
            <w:r w:rsidR="00B913D8" w:rsidRPr="00B913D8">
              <w:rPr>
                <w:color w:val="FF0000"/>
                <w:vertAlign w:val="superscript"/>
              </w:rPr>
              <w:t>1</w:t>
            </w:r>
          </w:p>
        </w:tc>
        <w:tc>
          <w:tcPr>
            <w:tcW w:w="7636" w:type="dxa"/>
            <w:tcBorders>
              <w:top w:val="nil"/>
              <w:bottom w:val="nil"/>
            </w:tcBorders>
            <w:shd w:val="clear" w:color="auto" w:fill="auto"/>
            <w:vAlign w:val="center"/>
            <w:hideMark/>
          </w:tcPr>
          <w:p w:rsidR="00DF2F82" w:rsidRPr="005D6054" w:rsidRDefault="00DF2F82" w:rsidP="00CF0726">
            <w:pPr>
              <w:jc w:val="center"/>
              <w:rPr>
                <w:color w:val="FF0000"/>
              </w:rPr>
            </w:pPr>
            <w:r w:rsidRPr="005D6054">
              <w:rPr>
                <w:color w:val="FF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510"/>
        </w:trPr>
        <w:tc>
          <w:tcPr>
            <w:tcW w:w="7054" w:type="dxa"/>
            <w:tcBorders>
              <w:top w:val="nil"/>
            </w:tcBorders>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de Saneamento de Minas Gerais (COPASA)</w:t>
            </w:r>
            <w:r>
              <w:rPr>
                <w:color w:val="000000"/>
              </w:rPr>
              <w:t xml:space="preserve"> / R/ </w:t>
            </w:r>
            <w:r w:rsidRPr="00CF0726">
              <w:rPr>
                <w:color w:val="000000"/>
              </w:rPr>
              <w:t>SEM-AP</w:t>
            </w:r>
          </w:p>
        </w:tc>
        <w:tc>
          <w:tcPr>
            <w:tcW w:w="7636" w:type="dxa"/>
            <w:tcBorders>
              <w:top w:val="nil"/>
            </w:tcBorders>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Agência Reguladora de Serviços de Abastecimento de Água e de Esgotamento Sanitário do Estado de Minas Gerais (ARSAE) / E / 2009</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shd w:val="clear" w:color="auto" w:fill="auto"/>
            <w:vAlign w:val="center"/>
            <w:hideMark/>
          </w:tcPr>
          <w:p w:rsidR="00DF2F82" w:rsidRPr="005D6054" w:rsidRDefault="00DF2F82" w:rsidP="00C61B7C">
            <w:pPr>
              <w:jc w:val="center"/>
              <w:rPr>
                <w:color w:val="000000"/>
              </w:rPr>
            </w:pPr>
            <w:r w:rsidRPr="005D6054">
              <w:rPr>
                <w:color w:val="000000"/>
              </w:rPr>
              <w:t>Companhia de Águas e Esgotos de Roraima (CAER)</w:t>
            </w:r>
            <w:r>
              <w:rPr>
                <w:color w:val="000000"/>
              </w:rPr>
              <w:t xml:space="preserve"> / R/ </w:t>
            </w:r>
            <w:r w:rsidRPr="00CF0726">
              <w:rPr>
                <w:color w:val="000000"/>
              </w:rPr>
              <w:t>SEM-AP</w:t>
            </w:r>
          </w:p>
        </w:tc>
        <w:tc>
          <w:tcPr>
            <w:tcW w:w="7636" w:type="dxa"/>
            <w:shd w:val="clear" w:color="auto" w:fill="auto"/>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510"/>
        </w:trPr>
        <w:tc>
          <w:tcPr>
            <w:tcW w:w="7054" w:type="dxa"/>
            <w:tcBorders>
              <w:bottom w:val="nil"/>
            </w:tcBorders>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de Saneamento Ambiental do Distrito Federal (CAESB)</w:t>
            </w:r>
            <w:r>
              <w:rPr>
                <w:color w:val="000000"/>
              </w:rPr>
              <w:t xml:space="preserve"> / R / </w:t>
            </w:r>
            <w:r w:rsidRPr="00CF0726">
              <w:rPr>
                <w:color w:val="000000"/>
              </w:rPr>
              <w:t>SEM-AP</w:t>
            </w:r>
          </w:p>
        </w:tc>
        <w:tc>
          <w:tcPr>
            <w:tcW w:w="7636" w:type="dxa"/>
            <w:tcBorders>
              <w:bottom w:val="nil"/>
            </w:tcBorders>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Agência Reguladora de Águas, Energia e Saneamento Básico do Distrito Federal (ADASA) / D</w:t>
            </w:r>
            <w:r w:rsidR="00C61B7C">
              <w:rPr>
                <w:color w:val="000000"/>
              </w:rPr>
              <w:t xml:space="preserve"> </w:t>
            </w:r>
            <w:r w:rsidRPr="005D6054">
              <w:rPr>
                <w:color w:val="000000"/>
              </w:rPr>
              <w:t xml:space="preserve">/ </w:t>
            </w:r>
            <w:proofErr w:type="gramStart"/>
            <w:r w:rsidRPr="005D6054">
              <w:rPr>
                <w:color w:val="000000"/>
              </w:rPr>
              <w:t>2004</w:t>
            </w:r>
            <w:proofErr w:type="gramEnd"/>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tcBorders>
              <w:top w:val="nil"/>
              <w:bottom w:val="nil"/>
            </w:tcBorders>
            <w:shd w:val="clear" w:color="auto" w:fill="auto"/>
            <w:vAlign w:val="center"/>
            <w:hideMark/>
          </w:tcPr>
          <w:p w:rsidR="00DF2F82" w:rsidRPr="005D6054" w:rsidRDefault="00DF2F82" w:rsidP="00C61B7C">
            <w:pPr>
              <w:jc w:val="center"/>
              <w:rPr>
                <w:color w:val="000000"/>
              </w:rPr>
            </w:pPr>
            <w:r w:rsidRPr="005D6054">
              <w:rPr>
                <w:color w:val="000000"/>
              </w:rPr>
              <w:t>Empresa de Saneamento de Mato Grosso do Sul S/A (SANESUL)</w:t>
            </w:r>
            <w:r>
              <w:rPr>
                <w:color w:val="000000"/>
              </w:rPr>
              <w:t xml:space="preserve"> / R/ </w:t>
            </w:r>
            <w:r w:rsidRPr="00CF0726">
              <w:rPr>
                <w:color w:val="000000"/>
              </w:rPr>
              <w:t>SEM-AP</w:t>
            </w:r>
          </w:p>
        </w:tc>
        <w:tc>
          <w:tcPr>
            <w:tcW w:w="7636" w:type="dxa"/>
            <w:tcBorders>
              <w:top w:val="nil"/>
              <w:bottom w:val="nil"/>
            </w:tcBorders>
            <w:shd w:val="clear" w:color="auto" w:fill="auto"/>
            <w:vAlign w:val="center"/>
            <w:hideMark/>
          </w:tcPr>
          <w:p w:rsidR="00DF2F82" w:rsidRPr="005D6054" w:rsidRDefault="00DF2F82" w:rsidP="00C61B7C">
            <w:pPr>
              <w:jc w:val="center"/>
              <w:rPr>
                <w:color w:val="000000"/>
              </w:rPr>
            </w:pPr>
            <w:r w:rsidRPr="005D6054">
              <w:rPr>
                <w:color w:val="000000"/>
              </w:rPr>
              <w:t>Agência Estadual de Regulação de Serviços Públicos do Mato Grosso do Sul (AGEPAN) / E / 2001</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tcBorders>
              <w:top w:val="nil"/>
            </w:tcBorders>
            <w:vAlign w:val="center"/>
          </w:tcPr>
          <w:p w:rsidR="00DF2F82" w:rsidRPr="005D6054" w:rsidRDefault="00DF2F82" w:rsidP="00C61B7C">
            <w:pPr>
              <w:jc w:val="center"/>
            </w:pPr>
            <w:r w:rsidRPr="005D6054">
              <w:t>Águas Guariroba S/A (AG)</w:t>
            </w:r>
            <w:r>
              <w:t xml:space="preserve"> / L / AUT</w:t>
            </w:r>
          </w:p>
        </w:tc>
        <w:tc>
          <w:tcPr>
            <w:tcW w:w="7636" w:type="dxa"/>
            <w:tcBorders>
              <w:top w:val="nil"/>
            </w:tcBorders>
            <w:vAlign w:val="center"/>
          </w:tcPr>
          <w:p w:rsidR="00DF2F82" w:rsidRPr="005D6054" w:rsidRDefault="00DF2F82" w:rsidP="00C61B7C">
            <w:pPr>
              <w:jc w:val="center"/>
            </w:pPr>
            <w:r w:rsidRPr="005D6054">
              <w:t>Agência de Regulação dos Serviços Públicos Delegados de Campo Grande (AGEREG) / M / 2006</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Saneamento da Capital (SANECAP)</w:t>
            </w:r>
            <w:r>
              <w:rPr>
                <w:color w:val="000000"/>
              </w:rPr>
              <w:t xml:space="preserve"> / L / </w:t>
            </w:r>
            <w:r w:rsidRPr="00CF0726">
              <w:rPr>
                <w:color w:val="000000"/>
              </w:rPr>
              <w:t>SEM-AP</w:t>
            </w:r>
          </w:p>
        </w:tc>
        <w:tc>
          <w:tcPr>
            <w:tcW w:w="7636" w:type="dxa"/>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Saneamento do Paraná (SANEPAR)</w:t>
            </w:r>
            <w:r>
              <w:rPr>
                <w:color w:val="000000"/>
              </w:rPr>
              <w:t xml:space="preserve"> / R / </w:t>
            </w:r>
            <w:r w:rsidRPr="00CF0726">
              <w:rPr>
                <w:color w:val="000000"/>
              </w:rPr>
              <w:t>SEM-AP</w:t>
            </w:r>
          </w:p>
        </w:tc>
        <w:tc>
          <w:tcPr>
            <w:tcW w:w="7636" w:type="dxa"/>
            <w:vAlign w:val="center"/>
            <w:hideMark/>
          </w:tcPr>
          <w:p w:rsidR="00DF2F82" w:rsidRPr="005D6054" w:rsidRDefault="00DF2F82" w:rsidP="00C61B7C">
            <w:pPr>
              <w:jc w:val="center"/>
              <w:rPr>
                <w:color w:val="000000"/>
              </w:rPr>
            </w:pPr>
            <w:r w:rsidRPr="005D6054">
              <w:rPr>
                <w:color w:val="000000"/>
              </w:rPr>
              <w:t>Agência Reguladora Intermunicipal de Saneamento (ARIS) / C / 2009</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397"/>
        </w:trPr>
        <w:tc>
          <w:tcPr>
            <w:tcW w:w="7054" w:type="dxa"/>
            <w:vMerge w:val="restart"/>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Catarinense de Águas e Saneamento (CASAN)</w:t>
            </w:r>
            <w:r>
              <w:rPr>
                <w:color w:val="000000"/>
              </w:rPr>
              <w:t xml:space="preserve"> / R/ </w:t>
            </w:r>
            <w:r w:rsidRPr="00CF0726">
              <w:rPr>
                <w:color w:val="000000"/>
              </w:rPr>
              <w:t>SEM-AP</w:t>
            </w:r>
          </w:p>
        </w:tc>
        <w:tc>
          <w:tcPr>
            <w:tcW w:w="7636" w:type="dxa"/>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Agência Reguladora de Serviços de Saneamento Básico do Estado de Santa Catarina (AGESAN) / E / 2010</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vMerge/>
            <w:shd w:val="clear" w:color="auto" w:fill="BFBFBF" w:themeFill="background1" w:themeFillShade="BF"/>
            <w:vAlign w:val="center"/>
          </w:tcPr>
          <w:p w:rsidR="00DF2F82" w:rsidRPr="005D6054" w:rsidRDefault="00DF2F82" w:rsidP="00CF0726">
            <w:pPr>
              <w:jc w:val="center"/>
              <w:rPr>
                <w:color w:val="000000"/>
              </w:rPr>
            </w:pPr>
          </w:p>
        </w:tc>
        <w:tc>
          <w:tcPr>
            <w:tcW w:w="7636" w:type="dxa"/>
            <w:shd w:val="clear" w:color="auto" w:fill="BFBFBF" w:themeFill="background1" w:themeFillShade="BF"/>
            <w:vAlign w:val="center"/>
          </w:tcPr>
          <w:p w:rsidR="00DF2F82" w:rsidRPr="005D6054" w:rsidRDefault="00DF2F82" w:rsidP="00C61B7C">
            <w:pPr>
              <w:jc w:val="center"/>
              <w:rPr>
                <w:color w:val="000000"/>
              </w:rPr>
            </w:pPr>
            <w:r w:rsidRPr="005D6054">
              <w:rPr>
                <w:color w:val="000000"/>
              </w:rPr>
              <w:t xml:space="preserve">Agência Intermunicipal de Regulação, Controle e Fiscalização de Serviços Públicos Municipais do Médio Vale do Itajaí (AGIR) / C / </w:t>
            </w:r>
            <w:proofErr w:type="gramStart"/>
            <w:r w:rsidRPr="005D6054">
              <w:rPr>
                <w:color w:val="000000"/>
              </w:rPr>
              <w:t>2010</w:t>
            </w:r>
            <w:proofErr w:type="gramEnd"/>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vMerge/>
            <w:vAlign w:val="center"/>
          </w:tcPr>
          <w:p w:rsidR="00DF2F82" w:rsidRPr="005D6054" w:rsidRDefault="00DF2F82" w:rsidP="00CF0726">
            <w:pPr>
              <w:jc w:val="center"/>
              <w:rPr>
                <w:color w:val="000000"/>
              </w:rPr>
            </w:pPr>
          </w:p>
        </w:tc>
        <w:tc>
          <w:tcPr>
            <w:tcW w:w="7636" w:type="dxa"/>
            <w:vAlign w:val="center"/>
          </w:tcPr>
          <w:p w:rsidR="00DF2F82" w:rsidRPr="005D6054" w:rsidRDefault="00DF2F82" w:rsidP="00C61B7C">
            <w:pPr>
              <w:jc w:val="center"/>
              <w:rPr>
                <w:color w:val="000000"/>
              </w:rPr>
            </w:pPr>
            <w:r w:rsidRPr="005D6054">
              <w:rPr>
                <w:color w:val="000000"/>
              </w:rPr>
              <w:t>Agência Reguladora Intermunicipal de Saneamento (ARIS) / C / 2009</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vMerge w:val="restart"/>
            <w:vAlign w:val="center"/>
            <w:hideMark/>
          </w:tcPr>
          <w:p w:rsidR="00DF2F82" w:rsidRPr="005D6054" w:rsidRDefault="00DF2F82" w:rsidP="00C61B7C">
            <w:pPr>
              <w:jc w:val="center"/>
              <w:rPr>
                <w:color w:val="000000"/>
              </w:rPr>
            </w:pPr>
            <w:r w:rsidRPr="005D6054">
              <w:rPr>
                <w:color w:val="000000"/>
              </w:rPr>
              <w:t>Companhia de Água e Esgoto do Ceará (CAGECE)</w:t>
            </w:r>
            <w:r>
              <w:rPr>
                <w:color w:val="000000"/>
              </w:rPr>
              <w:t xml:space="preserve"> / R / </w:t>
            </w:r>
            <w:r w:rsidRPr="00CF0726">
              <w:rPr>
                <w:color w:val="000000"/>
              </w:rPr>
              <w:t>SEM-AP</w:t>
            </w:r>
          </w:p>
        </w:tc>
        <w:tc>
          <w:tcPr>
            <w:tcW w:w="7636" w:type="dxa"/>
            <w:shd w:val="clear" w:color="auto" w:fill="auto"/>
            <w:vAlign w:val="center"/>
            <w:hideMark/>
          </w:tcPr>
          <w:p w:rsidR="00DF2F82" w:rsidRPr="005D6054" w:rsidRDefault="00DF2F82" w:rsidP="00C61B7C">
            <w:pPr>
              <w:jc w:val="center"/>
              <w:rPr>
                <w:color w:val="000000"/>
              </w:rPr>
            </w:pPr>
            <w:r w:rsidRPr="005D6054">
              <w:rPr>
                <w:color w:val="000000"/>
              </w:rPr>
              <w:t>Agência Reguladora de Serviços Públicos Delegados do Estado do Ceará (ARCE) / E / 1997</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vMerge/>
            <w:vAlign w:val="center"/>
          </w:tcPr>
          <w:p w:rsidR="00DF2F82" w:rsidRPr="005D6054" w:rsidRDefault="00DF2F82" w:rsidP="00CF0726">
            <w:pPr>
              <w:jc w:val="center"/>
              <w:rPr>
                <w:color w:val="000000"/>
              </w:rPr>
            </w:pPr>
          </w:p>
        </w:tc>
        <w:tc>
          <w:tcPr>
            <w:tcW w:w="7636" w:type="dxa"/>
            <w:shd w:val="clear" w:color="auto" w:fill="auto"/>
            <w:vAlign w:val="center"/>
          </w:tcPr>
          <w:p w:rsidR="00DF2F82" w:rsidRPr="005D6054" w:rsidRDefault="00DF2F82" w:rsidP="00C61B7C">
            <w:pPr>
              <w:jc w:val="center"/>
              <w:rPr>
                <w:color w:val="000000"/>
              </w:rPr>
            </w:pPr>
            <w:r w:rsidRPr="005D6054">
              <w:rPr>
                <w:color w:val="000000"/>
              </w:rPr>
              <w:t xml:space="preserve">Autarquia de Regulação, Fiscalização e Controle dos Serviços Públicos de Saneamento Ambiental (ACFOR) / M / </w:t>
            </w:r>
            <w:proofErr w:type="gramStart"/>
            <w:r w:rsidRPr="005D6054">
              <w:rPr>
                <w:color w:val="000000"/>
              </w:rPr>
              <w:t>2004</w:t>
            </w:r>
            <w:proofErr w:type="gramEnd"/>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vAlign w:val="center"/>
            <w:hideMark/>
          </w:tcPr>
          <w:p w:rsidR="00DF2F82" w:rsidRPr="005D6054" w:rsidRDefault="00DF2F82" w:rsidP="00C61B7C">
            <w:pPr>
              <w:jc w:val="center"/>
              <w:rPr>
                <w:color w:val="000000"/>
              </w:rPr>
            </w:pPr>
            <w:r w:rsidRPr="005D6054">
              <w:rPr>
                <w:color w:val="000000"/>
              </w:rPr>
              <w:t>Saneamento de Goiás S/A (SANEAGO)</w:t>
            </w:r>
            <w:r>
              <w:rPr>
                <w:color w:val="000000"/>
              </w:rPr>
              <w:t xml:space="preserve"> / R / </w:t>
            </w:r>
            <w:r w:rsidRPr="00CF0726">
              <w:rPr>
                <w:color w:val="000000"/>
              </w:rPr>
              <w:t>SEM-AP</w:t>
            </w:r>
          </w:p>
        </w:tc>
        <w:tc>
          <w:tcPr>
            <w:tcW w:w="7636" w:type="dxa"/>
            <w:shd w:val="clear" w:color="auto" w:fill="auto"/>
            <w:vAlign w:val="center"/>
            <w:hideMark/>
          </w:tcPr>
          <w:p w:rsidR="00DF2F82" w:rsidRPr="005D6054" w:rsidRDefault="00DF2F82" w:rsidP="00C61B7C">
            <w:pPr>
              <w:jc w:val="center"/>
              <w:rPr>
                <w:color w:val="000000"/>
              </w:rPr>
            </w:pPr>
            <w:r w:rsidRPr="005D6054">
              <w:rPr>
                <w:color w:val="000000"/>
              </w:rPr>
              <w:t xml:space="preserve">Agência Goiana de Regulação, Controle e Fiscalização de Serviços Públicos (AGR) / E / </w:t>
            </w:r>
            <w:proofErr w:type="gramStart"/>
            <w:r w:rsidRPr="005D6054">
              <w:rPr>
                <w:color w:val="000000"/>
              </w:rPr>
              <w:t>1999</w:t>
            </w:r>
            <w:proofErr w:type="gramEnd"/>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Águas e Esgotos da Paraíba (CAGEPA)</w:t>
            </w:r>
            <w:r>
              <w:rPr>
                <w:color w:val="000000"/>
              </w:rPr>
              <w:t xml:space="preserve"> / R/ </w:t>
            </w:r>
            <w:r w:rsidRPr="00CF0726">
              <w:rPr>
                <w:color w:val="000000"/>
              </w:rPr>
              <w:t>SEM-AP</w:t>
            </w:r>
          </w:p>
        </w:tc>
        <w:tc>
          <w:tcPr>
            <w:tcW w:w="7636" w:type="dxa"/>
            <w:vAlign w:val="center"/>
            <w:hideMark/>
          </w:tcPr>
          <w:p w:rsidR="00DF2F82" w:rsidRPr="005D6054" w:rsidRDefault="00DF2F82" w:rsidP="00C61B7C">
            <w:pPr>
              <w:jc w:val="center"/>
              <w:rPr>
                <w:color w:val="000000"/>
              </w:rPr>
            </w:pPr>
            <w:r w:rsidRPr="005D6054">
              <w:rPr>
                <w:color w:val="000000"/>
              </w:rPr>
              <w:t>Agência de Regulação do Estado da Paraíba (ARPB) / E</w:t>
            </w:r>
            <w:r w:rsidR="00C61B7C">
              <w:rPr>
                <w:color w:val="000000"/>
              </w:rPr>
              <w:t xml:space="preserve"> </w:t>
            </w:r>
            <w:r w:rsidRPr="005D6054">
              <w:rPr>
                <w:color w:val="000000"/>
              </w:rPr>
              <w:t>/ 2005</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Água e Esgoto do Amapá (CAESA)</w:t>
            </w:r>
            <w:r>
              <w:rPr>
                <w:color w:val="000000"/>
              </w:rPr>
              <w:t xml:space="preserve"> / R/ </w:t>
            </w:r>
            <w:r w:rsidRPr="00CF0726">
              <w:rPr>
                <w:color w:val="000000"/>
              </w:rPr>
              <w:t>SEM-AP</w:t>
            </w:r>
          </w:p>
        </w:tc>
        <w:tc>
          <w:tcPr>
            <w:tcW w:w="7636" w:type="dxa"/>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Saneamento de Alagoas (CASAL)</w:t>
            </w:r>
            <w:r>
              <w:rPr>
                <w:color w:val="000000"/>
              </w:rPr>
              <w:t xml:space="preserve"> / R/ </w:t>
            </w:r>
            <w:r w:rsidRPr="00CF0726">
              <w:rPr>
                <w:color w:val="000000"/>
              </w:rPr>
              <w:t>SEM-AP</w:t>
            </w:r>
          </w:p>
        </w:tc>
        <w:tc>
          <w:tcPr>
            <w:tcW w:w="7636" w:type="dxa"/>
            <w:vAlign w:val="center"/>
            <w:hideMark/>
          </w:tcPr>
          <w:p w:rsidR="00DF2F82" w:rsidRPr="005D6054" w:rsidRDefault="00DF2F82" w:rsidP="007B2B1F">
            <w:pPr>
              <w:jc w:val="center"/>
              <w:rPr>
                <w:color w:val="000000"/>
              </w:rPr>
            </w:pPr>
            <w:r w:rsidRPr="005D6054">
              <w:rPr>
                <w:color w:val="000000"/>
              </w:rPr>
              <w:t>Agência Reguladora de Serviços Públicos do Estado de Alagoas (ARSAL) / E / 2001</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shd w:val="clear" w:color="auto" w:fill="auto"/>
            <w:vAlign w:val="center"/>
            <w:hideMark/>
          </w:tcPr>
          <w:p w:rsidR="00DF2F82" w:rsidRPr="005D6054" w:rsidRDefault="00DF2F82" w:rsidP="00C61B7C">
            <w:pPr>
              <w:jc w:val="center"/>
              <w:rPr>
                <w:color w:val="FF0000"/>
              </w:rPr>
            </w:pPr>
            <w:r w:rsidRPr="005D6054">
              <w:rPr>
                <w:color w:val="FF0000"/>
              </w:rPr>
              <w:t>Companhia de Saneamento do Amazonas (COSAMA</w:t>
            </w:r>
            <w:r w:rsidRPr="00DF2F82">
              <w:rPr>
                <w:color w:val="FF0000"/>
              </w:rPr>
              <w:t>) / R / SEM-AP</w:t>
            </w:r>
            <w:r w:rsidR="00B913D8" w:rsidRPr="00B913D8">
              <w:rPr>
                <w:color w:val="FF0000"/>
                <w:vertAlign w:val="superscript"/>
              </w:rPr>
              <w:t>1</w:t>
            </w:r>
          </w:p>
        </w:tc>
        <w:tc>
          <w:tcPr>
            <w:tcW w:w="7636" w:type="dxa"/>
            <w:shd w:val="clear" w:color="auto" w:fill="auto"/>
            <w:vAlign w:val="center"/>
            <w:hideMark/>
          </w:tcPr>
          <w:p w:rsidR="00DF2F82" w:rsidRPr="005D6054" w:rsidRDefault="00DF2F82" w:rsidP="00CF0726">
            <w:pPr>
              <w:jc w:val="center"/>
              <w:rPr>
                <w:color w:val="FF0000"/>
              </w:rPr>
            </w:pPr>
            <w:r w:rsidRPr="005D6054">
              <w:rPr>
                <w:color w:val="FF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shd w:val="clear" w:color="auto" w:fill="auto"/>
            <w:vAlign w:val="center"/>
          </w:tcPr>
          <w:p w:rsidR="00DF2F82" w:rsidRPr="005D6054" w:rsidRDefault="00DF2F82" w:rsidP="00C61B7C">
            <w:pPr>
              <w:jc w:val="center"/>
              <w:rPr>
                <w:color w:val="000000"/>
              </w:rPr>
            </w:pPr>
            <w:r w:rsidRPr="005D6054">
              <w:rPr>
                <w:color w:val="000000"/>
              </w:rPr>
              <w:t>Manaus Ambiental (MA)</w:t>
            </w:r>
            <w:r w:rsidR="00C61B7C">
              <w:rPr>
                <w:color w:val="000000"/>
              </w:rPr>
              <w:t xml:space="preserve"> / L</w:t>
            </w:r>
            <w:r>
              <w:rPr>
                <w:color w:val="000000"/>
              </w:rPr>
              <w:t xml:space="preserve"> / EP</w:t>
            </w:r>
          </w:p>
        </w:tc>
        <w:tc>
          <w:tcPr>
            <w:tcW w:w="7636" w:type="dxa"/>
            <w:shd w:val="clear" w:color="auto" w:fill="auto"/>
            <w:vAlign w:val="center"/>
          </w:tcPr>
          <w:p w:rsidR="00DF2F82" w:rsidRPr="005D6054" w:rsidRDefault="00DF2F82" w:rsidP="007B2B1F">
            <w:pPr>
              <w:jc w:val="center"/>
              <w:rPr>
                <w:color w:val="000000"/>
              </w:rPr>
            </w:pPr>
            <w:r w:rsidRPr="005D6054">
              <w:rPr>
                <w:color w:val="000000"/>
              </w:rPr>
              <w:t>Agência Reguladora dos Serviços Públicos Concedidos do Estado do Amazonas (ARSAM) / E / 1999</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510"/>
        </w:trPr>
        <w:tc>
          <w:tcPr>
            <w:tcW w:w="7054" w:type="dxa"/>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de Águas e Esgotos do Rio Grande do Norte (CAERN)</w:t>
            </w:r>
            <w:r>
              <w:rPr>
                <w:color w:val="000000"/>
              </w:rPr>
              <w:t xml:space="preserve"> / R/ </w:t>
            </w:r>
            <w:r w:rsidRPr="00CF0726">
              <w:rPr>
                <w:color w:val="000000"/>
              </w:rPr>
              <w:t>SEM-AP</w:t>
            </w:r>
          </w:p>
        </w:tc>
        <w:tc>
          <w:tcPr>
            <w:tcW w:w="7636" w:type="dxa"/>
            <w:shd w:val="clear" w:color="auto" w:fill="BFBFBF" w:themeFill="background1" w:themeFillShade="BF"/>
            <w:vAlign w:val="center"/>
            <w:hideMark/>
          </w:tcPr>
          <w:p w:rsidR="00DF2F82" w:rsidRPr="005D6054" w:rsidRDefault="00DF2F82" w:rsidP="007B2B1F">
            <w:pPr>
              <w:jc w:val="center"/>
              <w:rPr>
                <w:color w:val="000000"/>
              </w:rPr>
            </w:pPr>
            <w:r w:rsidRPr="005D6054">
              <w:rPr>
                <w:color w:val="000000"/>
              </w:rPr>
              <w:t>Agência Reguladora de Serviços de Saneamento Básico do Município do Natal (ARSBAN) / M / 2001</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510"/>
        </w:trPr>
        <w:tc>
          <w:tcPr>
            <w:tcW w:w="7054" w:type="dxa"/>
            <w:shd w:val="clear" w:color="auto" w:fill="auto"/>
            <w:vAlign w:val="center"/>
            <w:hideMark/>
          </w:tcPr>
          <w:p w:rsidR="00DF2F82" w:rsidRPr="005D6054" w:rsidRDefault="00DF2F82" w:rsidP="00C61B7C">
            <w:pPr>
              <w:jc w:val="center"/>
              <w:rPr>
                <w:color w:val="000000"/>
              </w:rPr>
            </w:pPr>
            <w:r w:rsidRPr="005D6054">
              <w:rPr>
                <w:color w:val="000000"/>
              </w:rPr>
              <w:t>Companhia de Saneamento do Tocantins (SANEATINS)</w:t>
            </w:r>
            <w:r>
              <w:rPr>
                <w:color w:val="000000"/>
              </w:rPr>
              <w:t xml:space="preserve"> / R/ EP</w:t>
            </w:r>
          </w:p>
        </w:tc>
        <w:tc>
          <w:tcPr>
            <w:tcW w:w="7636" w:type="dxa"/>
            <w:shd w:val="clear" w:color="auto" w:fill="auto"/>
            <w:vAlign w:val="center"/>
            <w:hideMark/>
          </w:tcPr>
          <w:p w:rsidR="00DF2F82" w:rsidRPr="005D6054" w:rsidRDefault="00DF2F82" w:rsidP="007B2B1F">
            <w:pPr>
              <w:jc w:val="center"/>
              <w:rPr>
                <w:color w:val="000000"/>
              </w:rPr>
            </w:pPr>
            <w:r w:rsidRPr="005D6054">
              <w:rPr>
                <w:color w:val="000000"/>
              </w:rPr>
              <w:t xml:space="preserve">Agência Tocantinense de Regulação, Controle e Fiscalização de Serviços Públicos (ATR) / E/ </w:t>
            </w:r>
            <w:proofErr w:type="gramStart"/>
            <w:r w:rsidRPr="005D6054">
              <w:rPr>
                <w:color w:val="000000"/>
              </w:rPr>
              <w:t>2007</w:t>
            </w:r>
            <w:proofErr w:type="gramEnd"/>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437"/>
        </w:trPr>
        <w:tc>
          <w:tcPr>
            <w:tcW w:w="7054" w:type="dxa"/>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Rio-Grandense de Saneamento (CORSAN)</w:t>
            </w:r>
            <w:r>
              <w:rPr>
                <w:color w:val="000000"/>
              </w:rPr>
              <w:t xml:space="preserve"> / R / </w:t>
            </w:r>
            <w:r w:rsidRPr="00CF0726">
              <w:rPr>
                <w:color w:val="000000"/>
              </w:rPr>
              <w:t>SEM-AP</w:t>
            </w:r>
          </w:p>
        </w:tc>
        <w:tc>
          <w:tcPr>
            <w:tcW w:w="7636" w:type="dxa"/>
            <w:shd w:val="clear" w:color="auto" w:fill="BFBFBF" w:themeFill="background1" w:themeFillShade="BF"/>
            <w:vAlign w:val="center"/>
            <w:hideMark/>
          </w:tcPr>
          <w:p w:rsidR="00DF2F82" w:rsidRPr="005D6054" w:rsidRDefault="00DF2F82" w:rsidP="007B2B1F">
            <w:pPr>
              <w:jc w:val="center"/>
              <w:rPr>
                <w:color w:val="000000"/>
              </w:rPr>
            </w:pPr>
            <w:r w:rsidRPr="005D6054">
              <w:rPr>
                <w:color w:val="000000"/>
              </w:rPr>
              <w:t>Agência Estadual de Regulação dos Serviços Públicos Delegados do RS (AGERGS) / E / 1997</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72"/>
        </w:trPr>
        <w:tc>
          <w:tcPr>
            <w:tcW w:w="7054" w:type="dxa"/>
            <w:shd w:val="clear" w:color="auto" w:fill="BFBFBF" w:themeFill="background1" w:themeFillShade="BF"/>
            <w:vAlign w:val="center"/>
          </w:tcPr>
          <w:p w:rsidR="00DF2F82" w:rsidRPr="005D6054" w:rsidRDefault="00DF2F82" w:rsidP="00C61B7C">
            <w:pPr>
              <w:jc w:val="center"/>
              <w:rPr>
                <w:color w:val="000000"/>
              </w:rPr>
            </w:pPr>
            <w:r w:rsidRPr="005D6054">
              <w:rPr>
                <w:color w:val="000000"/>
              </w:rPr>
              <w:lastRenderedPageBreak/>
              <w:t>Departamento Municipal de Água e Esgotos (DMAE)</w:t>
            </w:r>
            <w:r>
              <w:rPr>
                <w:color w:val="000000"/>
              </w:rPr>
              <w:t xml:space="preserve"> / L / AUT</w:t>
            </w:r>
          </w:p>
        </w:tc>
        <w:tc>
          <w:tcPr>
            <w:tcW w:w="7636" w:type="dxa"/>
            <w:shd w:val="clear" w:color="auto" w:fill="BFBFBF" w:themeFill="background1" w:themeFillShade="BF"/>
            <w:vAlign w:val="center"/>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de Águas e Esgotos de Rondônia (CAERD)</w:t>
            </w:r>
            <w:r>
              <w:rPr>
                <w:color w:val="000000"/>
              </w:rPr>
              <w:t xml:space="preserve"> / R / </w:t>
            </w:r>
            <w:r w:rsidRPr="00CF0726">
              <w:rPr>
                <w:color w:val="000000"/>
              </w:rPr>
              <w:t>SEM-AP</w:t>
            </w:r>
          </w:p>
        </w:tc>
        <w:tc>
          <w:tcPr>
            <w:tcW w:w="7636" w:type="dxa"/>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Pernambucana de Saneamento (COMPESA)</w:t>
            </w:r>
            <w:r>
              <w:rPr>
                <w:color w:val="000000"/>
              </w:rPr>
              <w:t xml:space="preserve"> / R / </w:t>
            </w:r>
            <w:r w:rsidRPr="00CF0726">
              <w:rPr>
                <w:color w:val="000000"/>
              </w:rPr>
              <w:t>SEM-AP</w:t>
            </w:r>
          </w:p>
        </w:tc>
        <w:tc>
          <w:tcPr>
            <w:tcW w:w="7636" w:type="dxa"/>
            <w:vAlign w:val="center"/>
            <w:hideMark/>
          </w:tcPr>
          <w:p w:rsidR="00DF2F82" w:rsidRPr="005D6054" w:rsidRDefault="00DF2F82" w:rsidP="007B2B1F">
            <w:pPr>
              <w:jc w:val="center"/>
              <w:rPr>
                <w:color w:val="000000"/>
              </w:rPr>
            </w:pPr>
            <w:r w:rsidRPr="005D6054">
              <w:rPr>
                <w:color w:val="000000"/>
              </w:rPr>
              <w:t>Agência de Regulação de Pernambuco (ARPE) / E/ 2000</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shd w:val="clear" w:color="auto" w:fill="auto"/>
            <w:vAlign w:val="center"/>
            <w:hideMark/>
          </w:tcPr>
          <w:p w:rsidR="00DF2F82" w:rsidRPr="005D6054" w:rsidRDefault="00DF2F82" w:rsidP="00C61B7C">
            <w:pPr>
              <w:jc w:val="center"/>
              <w:rPr>
                <w:color w:val="FF0000"/>
              </w:rPr>
            </w:pPr>
            <w:r w:rsidRPr="005D6054">
              <w:rPr>
                <w:color w:val="FF0000"/>
              </w:rPr>
              <w:t>Departamento Estadual de Pavimentação e Saneamento (DEPASA)</w:t>
            </w:r>
            <w:r>
              <w:rPr>
                <w:color w:val="FF0000"/>
              </w:rPr>
              <w:t xml:space="preserve"> / R / AUT</w:t>
            </w:r>
            <w:r w:rsidR="00B913D8" w:rsidRPr="00B913D8">
              <w:rPr>
                <w:color w:val="FF0000"/>
                <w:vertAlign w:val="superscript"/>
              </w:rPr>
              <w:t>1</w:t>
            </w:r>
          </w:p>
        </w:tc>
        <w:tc>
          <w:tcPr>
            <w:tcW w:w="7636" w:type="dxa"/>
            <w:shd w:val="clear" w:color="auto" w:fill="auto"/>
            <w:vAlign w:val="center"/>
            <w:hideMark/>
          </w:tcPr>
          <w:p w:rsidR="00DF2F82" w:rsidRPr="005D6054" w:rsidRDefault="00DF2F82" w:rsidP="00CF0726">
            <w:pPr>
              <w:jc w:val="center"/>
              <w:rPr>
                <w:color w:val="FF0000"/>
              </w:rPr>
            </w:pPr>
            <w:r w:rsidRPr="005D6054">
              <w:rPr>
                <w:color w:val="FF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27"/>
        </w:trPr>
        <w:tc>
          <w:tcPr>
            <w:tcW w:w="7054" w:type="dxa"/>
            <w:shd w:val="clear" w:color="auto" w:fill="auto"/>
            <w:vAlign w:val="center"/>
          </w:tcPr>
          <w:p w:rsidR="00DF2F82" w:rsidRPr="005D6054" w:rsidRDefault="00DF2F82" w:rsidP="00C61B7C">
            <w:pPr>
              <w:jc w:val="center"/>
              <w:rPr>
                <w:color w:val="000000"/>
              </w:rPr>
            </w:pPr>
            <w:r w:rsidRPr="005D6054">
              <w:rPr>
                <w:color w:val="000000"/>
              </w:rPr>
              <w:t>Serviço de Água e Esgoto de Rio Branco (SAERB)</w:t>
            </w:r>
            <w:r>
              <w:rPr>
                <w:color w:val="000000"/>
              </w:rPr>
              <w:t xml:space="preserve"> / L / AUT</w:t>
            </w:r>
          </w:p>
        </w:tc>
        <w:tc>
          <w:tcPr>
            <w:tcW w:w="7636" w:type="dxa"/>
            <w:shd w:val="clear" w:color="auto" w:fill="auto"/>
            <w:vAlign w:val="center"/>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Estadual de Águas e Esgotos (CEDAE)</w:t>
            </w:r>
            <w:r>
              <w:rPr>
                <w:color w:val="000000"/>
              </w:rPr>
              <w:t xml:space="preserve"> / R/ </w:t>
            </w:r>
            <w:r w:rsidRPr="00CF0726">
              <w:rPr>
                <w:color w:val="000000"/>
              </w:rPr>
              <w:t>SEM-AP</w:t>
            </w:r>
          </w:p>
        </w:tc>
        <w:tc>
          <w:tcPr>
            <w:tcW w:w="7636" w:type="dxa"/>
            <w:shd w:val="clear" w:color="auto" w:fill="BFBFBF" w:themeFill="background1" w:themeFillShade="BF"/>
            <w:vAlign w:val="center"/>
            <w:hideMark/>
          </w:tcPr>
          <w:p w:rsidR="00DF2F82" w:rsidRPr="005D6054" w:rsidRDefault="00DF2F82" w:rsidP="00CF0726">
            <w:pPr>
              <w:jc w:val="center"/>
              <w:rPr>
                <w:color w:val="000000"/>
              </w:rPr>
            </w:pPr>
            <w:r w:rsidRPr="005D6054">
              <w:rPr>
                <w:color w:val="000000"/>
              </w:rPr>
              <w:t>Não identificada</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454"/>
        </w:trPr>
        <w:tc>
          <w:tcPr>
            <w:tcW w:w="7054" w:type="dxa"/>
            <w:shd w:val="clear" w:color="auto" w:fill="auto"/>
            <w:vAlign w:val="center"/>
            <w:hideMark/>
          </w:tcPr>
          <w:p w:rsidR="00DF2F82" w:rsidRPr="005D6054" w:rsidRDefault="00DF2F82" w:rsidP="00C61B7C">
            <w:pPr>
              <w:jc w:val="center"/>
              <w:rPr>
                <w:color w:val="000000"/>
              </w:rPr>
            </w:pPr>
            <w:r w:rsidRPr="005D6054">
              <w:rPr>
                <w:color w:val="000000"/>
              </w:rPr>
              <w:t>Empresa Baiana de Águas e Saneamento S.A. (EMBASA)</w:t>
            </w:r>
            <w:r>
              <w:rPr>
                <w:color w:val="000000"/>
              </w:rPr>
              <w:t xml:space="preserve"> / R / </w:t>
            </w:r>
            <w:r w:rsidRPr="00CF0726">
              <w:rPr>
                <w:color w:val="000000"/>
              </w:rPr>
              <w:t>SEM-AP</w:t>
            </w:r>
          </w:p>
        </w:tc>
        <w:tc>
          <w:tcPr>
            <w:tcW w:w="7636" w:type="dxa"/>
            <w:shd w:val="clear" w:color="auto" w:fill="auto"/>
            <w:vAlign w:val="center"/>
            <w:hideMark/>
          </w:tcPr>
          <w:p w:rsidR="00DF2F82" w:rsidRPr="005D6054" w:rsidRDefault="00DF2F82" w:rsidP="007B2B1F">
            <w:pPr>
              <w:jc w:val="center"/>
              <w:rPr>
                <w:color w:val="000000"/>
              </w:rPr>
            </w:pPr>
            <w:r w:rsidRPr="005D6054">
              <w:rPr>
                <w:color w:val="000000"/>
              </w:rPr>
              <w:t>Comissão de Regulação dos Serviços Públicos de Saneamento Básico do Estado da Bahia (CORESAB) / E/ 2008</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shd w:val="clear" w:color="auto" w:fill="BFBFBF" w:themeFill="background1" w:themeFillShade="BF"/>
            <w:vAlign w:val="center"/>
            <w:hideMark/>
          </w:tcPr>
          <w:p w:rsidR="00DF2F82" w:rsidRPr="005D6054" w:rsidRDefault="00DF2F82" w:rsidP="00C61B7C">
            <w:pPr>
              <w:jc w:val="center"/>
              <w:rPr>
                <w:color w:val="000000"/>
              </w:rPr>
            </w:pPr>
            <w:r w:rsidRPr="005D6054">
              <w:rPr>
                <w:color w:val="000000"/>
              </w:rPr>
              <w:t>Companhia de Saneamento Ambiental do Maranhão (CAEMA)</w:t>
            </w:r>
            <w:r>
              <w:rPr>
                <w:color w:val="000000"/>
              </w:rPr>
              <w:t xml:space="preserve"> / R / </w:t>
            </w:r>
            <w:r w:rsidRPr="00CF0726">
              <w:rPr>
                <w:color w:val="000000"/>
              </w:rPr>
              <w:t>SEM-AP</w:t>
            </w:r>
          </w:p>
        </w:tc>
        <w:tc>
          <w:tcPr>
            <w:tcW w:w="7636" w:type="dxa"/>
            <w:shd w:val="clear" w:color="auto" w:fill="BFBFBF" w:themeFill="background1" w:themeFillShade="BF"/>
            <w:vAlign w:val="center"/>
            <w:hideMark/>
          </w:tcPr>
          <w:p w:rsidR="00DF2F82" w:rsidRPr="005D6054" w:rsidRDefault="00DF2F82" w:rsidP="007B2B1F">
            <w:pPr>
              <w:jc w:val="center"/>
              <w:rPr>
                <w:color w:val="000000"/>
              </w:rPr>
            </w:pPr>
            <w:r w:rsidRPr="005D6054">
              <w:rPr>
                <w:color w:val="000000"/>
              </w:rPr>
              <w:t>Agência Reguladora de Serviços Públicos do Maranhão (ARSEP) / E/2008</w:t>
            </w:r>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20"/>
        </w:trPr>
        <w:tc>
          <w:tcPr>
            <w:tcW w:w="7054" w:type="dxa"/>
            <w:vMerge w:val="restart"/>
            <w:shd w:val="clear" w:color="auto" w:fill="auto"/>
            <w:vAlign w:val="center"/>
            <w:hideMark/>
          </w:tcPr>
          <w:p w:rsidR="00DF2F82" w:rsidRPr="005D6054" w:rsidRDefault="00DF2F82" w:rsidP="00C61B7C">
            <w:pPr>
              <w:jc w:val="center"/>
              <w:rPr>
                <w:color w:val="000000"/>
              </w:rPr>
            </w:pPr>
            <w:r w:rsidRPr="005D6054">
              <w:rPr>
                <w:color w:val="000000"/>
              </w:rPr>
              <w:t>Companhia de Saneamento Básico do Estado de São Paulo (SABESP)</w:t>
            </w:r>
            <w:r>
              <w:rPr>
                <w:color w:val="000000"/>
              </w:rPr>
              <w:t xml:space="preserve"> / R / </w:t>
            </w:r>
            <w:r w:rsidRPr="00CF0726">
              <w:rPr>
                <w:color w:val="000000"/>
              </w:rPr>
              <w:t>SEM-AP</w:t>
            </w:r>
          </w:p>
        </w:tc>
        <w:tc>
          <w:tcPr>
            <w:tcW w:w="7636" w:type="dxa"/>
            <w:shd w:val="clear" w:color="auto" w:fill="auto"/>
            <w:vAlign w:val="center"/>
            <w:hideMark/>
          </w:tcPr>
          <w:p w:rsidR="00DF2F82" w:rsidRPr="005D6054" w:rsidRDefault="00DF2F82" w:rsidP="007B2B1F">
            <w:pPr>
              <w:jc w:val="center"/>
              <w:rPr>
                <w:color w:val="000000"/>
              </w:rPr>
            </w:pPr>
            <w:r w:rsidRPr="005D6054">
              <w:rPr>
                <w:color w:val="000000"/>
              </w:rPr>
              <w:t>Agência Reguladora de Serviços de Saneamento e Energia do Estado de São Paulo (ARSESP) / E / 2007</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0"/>
        </w:trPr>
        <w:tc>
          <w:tcPr>
            <w:tcW w:w="7054" w:type="dxa"/>
            <w:vMerge/>
            <w:shd w:val="clear" w:color="auto" w:fill="auto"/>
            <w:vAlign w:val="center"/>
          </w:tcPr>
          <w:p w:rsidR="00DF2F82" w:rsidRPr="005D6054" w:rsidRDefault="00DF2F82" w:rsidP="00CF0726">
            <w:pPr>
              <w:jc w:val="center"/>
              <w:rPr>
                <w:color w:val="000000"/>
              </w:rPr>
            </w:pPr>
          </w:p>
        </w:tc>
        <w:tc>
          <w:tcPr>
            <w:tcW w:w="7636" w:type="dxa"/>
            <w:shd w:val="clear" w:color="auto" w:fill="auto"/>
            <w:vAlign w:val="center"/>
          </w:tcPr>
          <w:p w:rsidR="00DF2F82" w:rsidRPr="005D6054" w:rsidRDefault="00DF2F82" w:rsidP="007B2B1F">
            <w:pPr>
              <w:jc w:val="center"/>
              <w:rPr>
                <w:color w:val="000000"/>
              </w:rPr>
            </w:pPr>
            <w:r w:rsidRPr="005D6054">
              <w:rPr>
                <w:color w:val="000000"/>
              </w:rPr>
              <w:t xml:space="preserve">Agência Reguladora dos Serviços de Saneamento das Bacias dos Rios Piracicaba, Capivari e Jundiaí (ARES-PCJ) / C / </w:t>
            </w:r>
            <w:proofErr w:type="gramStart"/>
            <w:r w:rsidRPr="005D6054">
              <w:rPr>
                <w:color w:val="000000"/>
              </w:rPr>
              <w:t>2011</w:t>
            </w:r>
            <w:proofErr w:type="gramEnd"/>
          </w:p>
        </w:tc>
      </w:tr>
      <w:tr w:rsidR="00DF2F82" w:rsidRPr="005D6054" w:rsidTr="00A804C1">
        <w:trPr>
          <w:cnfStyle w:val="000000100000" w:firstRow="0" w:lastRow="0" w:firstColumn="0" w:lastColumn="0" w:oddVBand="0" w:evenVBand="0" w:oddHBand="1" w:evenHBand="0" w:firstRowFirstColumn="0" w:firstRowLastColumn="0" w:lastRowFirstColumn="0" w:lastRowLastColumn="0"/>
          <w:trHeight w:val="454"/>
        </w:trPr>
        <w:tc>
          <w:tcPr>
            <w:tcW w:w="7054" w:type="dxa"/>
            <w:vAlign w:val="center"/>
            <w:hideMark/>
          </w:tcPr>
          <w:p w:rsidR="00DF2F82" w:rsidRPr="005D6054" w:rsidRDefault="00DF2F82" w:rsidP="00C61B7C">
            <w:pPr>
              <w:jc w:val="center"/>
              <w:rPr>
                <w:color w:val="000000"/>
              </w:rPr>
            </w:pPr>
            <w:r w:rsidRPr="005D6054">
              <w:rPr>
                <w:color w:val="000000"/>
              </w:rPr>
              <w:t>Águas e Esgotos do Piauí S/A (AGESPISA)</w:t>
            </w:r>
            <w:r>
              <w:rPr>
                <w:color w:val="000000"/>
              </w:rPr>
              <w:t xml:space="preserve"> / R / </w:t>
            </w:r>
            <w:r w:rsidRPr="00CF0726">
              <w:rPr>
                <w:color w:val="000000"/>
              </w:rPr>
              <w:t>SEM-AP</w:t>
            </w:r>
          </w:p>
        </w:tc>
        <w:tc>
          <w:tcPr>
            <w:tcW w:w="7636" w:type="dxa"/>
            <w:vAlign w:val="center"/>
            <w:hideMark/>
          </w:tcPr>
          <w:p w:rsidR="00DF2F82" w:rsidRPr="005D6054" w:rsidRDefault="00DF2F82" w:rsidP="007B2B1F">
            <w:pPr>
              <w:jc w:val="center"/>
              <w:rPr>
                <w:color w:val="000000"/>
              </w:rPr>
            </w:pPr>
            <w:r w:rsidRPr="005D6054">
              <w:rPr>
                <w:color w:val="000000"/>
              </w:rPr>
              <w:t>Agência Municipal de Regulação de Serviços Públicos de Teresina (ARSETE) / M / 2006</w:t>
            </w:r>
          </w:p>
        </w:tc>
      </w:tr>
      <w:tr w:rsidR="00DF2F82" w:rsidRPr="005D6054" w:rsidTr="00A804C1">
        <w:trPr>
          <w:cnfStyle w:val="000000010000" w:firstRow="0" w:lastRow="0" w:firstColumn="0" w:lastColumn="0" w:oddVBand="0" w:evenVBand="0" w:oddHBand="0" w:evenHBand="1" w:firstRowFirstColumn="0" w:firstRowLastColumn="0" w:lastRowFirstColumn="0" w:lastRowLastColumn="0"/>
          <w:trHeight w:val="227"/>
        </w:trPr>
        <w:tc>
          <w:tcPr>
            <w:tcW w:w="7054" w:type="dxa"/>
            <w:vAlign w:val="center"/>
            <w:hideMark/>
          </w:tcPr>
          <w:p w:rsidR="00DF2F82" w:rsidRPr="005D6054" w:rsidRDefault="00DF2F82" w:rsidP="00C61B7C">
            <w:pPr>
              <w:jc w:val="center"/>
              <w:rPr>
                <w:color w:val="000000"/>
              </w:rPr>
            </w:pPr>
            <w:r w:rsidRPr="005D6054">
              <w:rPr>
                <w:color w:val="000000"/>
              </w:rPr>
              <w:t>Companhia Espírito-Santense de Saneamento (CESAN)</w:t>
            </w:r>
            <w:r>
              <w:rPr>
                <w:color w:val="000000"/>
              </w:rPr>
              <w:t xml:space="preserve"> / R / </w:t>
            </w:r>
            <w:r w:rsidRPr="00CF0726">
              <w:rPr>
                <w:color w:val="000000"/>
              </w:rPr>
              <w:t>SEM-AP</w:t>
            </w:r>
          </w:p>
        </w:tc>
        <w:tc>
          <w:tcPr>
            <w:tcW w:w="7636" w:type="dxa"/>
            <w:vAlign w:val="center"/>
            <w:hideMark/>
          </w:tcPr>
          <w:p w:rsidR="00DF2F82" w:rsidRPr="005D6054" w:rsidRDefault="00DF2F82" w:rsidP="007B2B1F">
            <w:pPr>
              <w:jc w:val="center"/>
              <w:rPr>
                <w:color w:val="000000"/>
              </w:rPr>
            </w:pPr>
            <w:r w:rsidRPr="005D6054">
              <w:rPr>
                <w:color w:val="000000"/>
              </w:rPr>
              <w:t>Agência Reguladora de Saneamento Básico e Infraestrutura Viária (ARSI) / E / 2008</w:t>
            </w:r>
          </w:p>
        </w:tc>
      </w:tr>
    </w:tbl>
    <w:p w:rsidR="005D6054" w:rsidRDefault="005D6054" w:rsidP="005D6054">
      <w:pPr>
        <w:tabs>
          <w:tab w:val="num" w:pos="360"/>
        </w:tabs>
        <w:spacing w:after="0" w:line="240" w:lineRule="auto"/>
        <w:jc w:val="both"/>
        <w:rPr>
          <w:rFonts w:ascii="Times New Roman" w:hAnsi="Times New Roman" w:cs="Times New Roman"/>
          <w:sz w:val="20"/>
        </w:rPr>
      </w:pPr>
      <w:r w:rsidRPr="005D6054">
        <w:rPr>
          <w:rFonts w:ascii="Times New Roman" w:hAnsi="Times New Roman" w:cs="Times New Roman"/>
          <w:b/>
          <w:sz w:val="20"/>
        </w:rPr>
        <w:t>Fonte</w:t>
      </w:r>
      <w:r>
        <w:rPr>
          <w:rFonts w:ascii="Times New Roman" w:hAnsi="Times New Roman" w:cs="Times New Roman"/>
          <w:sz w:val="20"/>
        </w:rPr>
        <w:t xml:space="preserve">: Elaboração dos autores a partir de dados do SNIS, </w:t>
      </w:r>
      <w:r w:rsidRPr="005D6054">
        <w:rPr>
          <w:rFonts w:ascii="Times New Roman" w:hAnsi="Times New Roman" w:cs="Times New Roman"/>
          <w:sz w:val="20"/>
        </w:rPr>
        <w:t xml:space="preserve">da ABAR e </w:t>
      </w:r>
      <w:r>
        <w:rPr>
          <w:rFonts w:ascii="Times New Roman" w:hAnsi="Times New Roman" w:cs="Times New Roman"/>
          <w:sz w:val="20"/>
        </w:rPr>
        <w:t xml:space="preserve">de </w:t>
      </w:r>
      <w:r w:rsidRPr="005D6054">
        <w:rPr>
          <w:rFonts w:ascii="Times New Roman" w:hAnsi="Times New Roman" w:cs="Times New Roman"/>
          <w:i/>
          <w:sz w:val="20"/>
        </w:rPr>
        <w:t>sites</w:t>
      </w:r>
      <w:r w:rsidRPr="005D6054">
        <w:rPr>
          <w:rFonts w:ascii="Times New Roman" w:hAnsi="Times New Roman" w:cs="Times New Roman"/>
          <w:sz w:val="20"/>
        </w:rPr>
        <w:t>.</w:t>
      </w:r>
    </w:p>
    <w:p w:rsidR="00261C43" w:rsidRPr="005D6054" w:rsidRDefault="00261C43" w:rsidP="005D6054">
      <w:pPr>
        <w:tabs>
          <w:tab w:val="num" w:pos="360"/>
        </w:tabs>
        <w:spacing w:after="0" w:line="240" w:lineRule="auto"/>
        <w:jc w:val="both"/>
        <w:rPr>
          <w:rFonts w:ascii="Times New Roman" w:hAnsi="Times New Roman" w:cs="Times New Roman"/>
          <w:sz w:val="20"/>
        </w:rPr>
      </w:pPr>
      <w:r w:rsidRPr="00261C43">
        <w:rPr>
          <w:rFonts w:ascii="Times New Roman" w:hAnsi="Times New Roman" w:cs="Times New Roman"/>
          <w:b/>
          <w:sz w:val="20"/>
        </w:rPr>
        <w:t>Legenda</w:t>
      </w:r>
      <w:r>
        <w:rPr>
          <w:rFonts w:ascii="Times New Roman" w:hAnsi="Times New Roman" w:cs="Times New Roman"/>
          <w:sz w:val="20"/>
        </w:rPr>
        <w:t xml:space="preserve">: </w:t>
      </w:r>
      <w:r w:rsidR="00B913D8">
        <w:rPr>
          <w:rFonts w:ascii="Times New Roman" w:hAnsi="Times New Roman" w:cs="Times New Roman"/>
          <w:sz w:val="20"/>
        </w:rPr>
        <w:t>R (abrangência regional); L (abrangência local); SEM-AP (s</w:t>
      </w:r>
      <w:r w:rsidR="00B913D8" w:rsidRPr="00B913D8">
        <w:rPr>
          <w:rFonts w:ascii="Times New Roman" w:hAnsi="Times New Roman" w:cs="Times New Roman"/>
          <w:sz w:val="20"/>
        </w:rPr>
        <w:t>ociedade de economia mista com administração pública</w:t>
      </w:r>
      <w:r w:rsidR="00B913D8">
        <w:rPr>
          <w:rFonts w:ascii="Times New Roman" w:hAnsi="Times New Roman" w:cs="Times New Roman"/>
          <w:sz w:val="20"/>
        </w:rPr>
        <w:t>); AUT (autarquia); EP (empresa privada); E (abrangência estadual); M (abrangência municipal); D (abrangência distrital); C (abrangência consorciada).</w:t>
      </w:r>
    </w:p>
    <w:p w:rsidR="00C61B7C" w:rsidRDefault="005D6054" w:rsidP="00B913D8">
      <w:pPr>
        <w:tabs>
          <w:tab w:val="num" w:pos="360"/>
        </w:tabs>
        <w:spacing w:after="0" w:line="240" w:lineRule="auto"/>
        <w:jc w:val="both"/>
        <w:rPr>
          <w:rFonts w:ascii="Times New Roman" w:hAnsi="Times New Roman" w:cs="Times New Roman"/>
          <w:sz w:val="20"/>
        </w:rPr>
      </w:pPr>
      <w:r w:rsidRPr="005D6054">
        <w:rPr>
          <w:rFonts w:ascii="Times New Roman" w:hAnsi="Times New Roman" w:cs="Times New Roman"/>
          <w:b/>
          <w:sz w:val="20"/>
        </w:rPr>
        <w:t>Nota</w:t>
      </w:r>
      <w:r w:rsidR="00D06CDF">
        <w:rPr>
          <w:rFonts w:ascii="Times New Roman" w:hAnsi="Times New Roman" w:cs="Times New Roman"/>
          <w:b/>
          <w:sz w:val="20"/>
        </w:rPr>
        <w:t>s</w:t>
      </w:r>
      <w:r w:rsidRPr="005D6054">
        <w:rPr>
          <w:rFonts w:ascii="Times New Roman" w:hAnsi="Times New Roman" w:cs="Times New Roman"/>
          <w:sz w:val="20"/>
        </w:rPr>
        <w:t xml:space="preserve">: </w:t>
      </w:r>
      <w:r w:rsidR="00D06CDF">
        <w:rPr>
          <w:rFonts w:ascii="Times New Roman" w:hAnsi="Times New Roman" w:cs="Times New Roman"/>
          <w:sz w:val="20"/>
        </w:rPr>
        <w:t xml:space="preserve">1 - </w:t>
      </w:r>
      <w:r w:rsidRPr="005D6054">
        <w:rPr>
          <w:rFonts w:ascii="Times New Roman" w:hAnsi="Times New Roman" w:cs="Times New Roman"/>
          <w:sz w:val="20"/>
        </w:rPr>
        <w:t xml:space="preserve">Prestadores de serviços e entidades </w:t>
      </w:r>
      <w:proofErr w:type="gramStart"/>
      <w:r w:rsidRPr="005D6054">
        <w:rPr>
          <w:rFonts w:ascii="Times New Roman" w:hAnsi="Times New Roman" w:cs="Times New Roman"/>
          <w:sz w:val="20"/>
        </w:rPr>
        <w:t>reguladoras não incluídos</w:t>
      </w:r>
      <w:proofErr w:type="gramEnd"/>
      <w:r w:rsidRPr="005D6054">
        <w:rPr>
          <w:rFonts w:ascii="Times New Roman" w:hAnsi="Times New Roman" w:cs="Times New Roman"/>
          <w:sz w:val="20"/>
        </w:rPr>
        <w:t xml:space="preserve"> na amostra.</w:t>
      </w:r>
      <w:r w:rsidR="00D06CDF">
        <w:rPr>
          <w:rFonts w:ascii="Times New Roman" w:hAnsi="Times New Roman" w:cs="Times New Roman"/>
          <w:sz w:val="20"/>
        </w:rPr>
        <w:t xml:space="preserve"> 2 - </w:t>
      </w:r>
      <w:r w:rsidRPr="005D6054">
        <w:rPr>
          <w:rFonts w:ascii="Times New Roman" w:hAnsi="Times New Roman" w:cs="Times New Roman"/>
          <w:sz w:val="20"/>
        </w:rPr>
        <w:t xml:space="preserve">A Manaus Ambiental (MA) substituiu em 2012 a Águas do Amazonas (ADA).  A concessionária é administrada pelos Grupos Águas do Brasil e </w:t>
      </w:r>
      <w:proofErr w:type="spellStart"/>
      <w:r w:rsidRPr="005D6054">
        <w:rPr>
          <w:rFonts w:ascii="Times New Roman" w:hAnsi="Times New Roman" w:cs="Times New Roman"/>
          <w:sz w:val="20"/>
        </w:rPr>
        <w:t>Solví</w:t>
      </w:r>
      <w:proofErr w:type="spellEnd"/>
      <w:r w:rsidRPr="005D6054">
        <w:rPr>
          <w:rFonts w:ascii="Times New Roman" w:hAnsi="Times New Roman" w:cs="Times New Roman"/>
          <w:sz w:val="20"/>
        </w:rPr>
        <w:t>, que já administrava a Águas do Amazonas.</w:t>
      </w:r>
      <w:r w:rsidR="00D06CDF">
        <w:rPr>
          <w:rFonts w:ascii="Times New Roman" w:hAnsi="Times New Roman" w:cs="Times New Roman"/>
          <w:sz w:val="20"/>
        </w:rPr>
        <w:t xml:space="preserve"> 3 -</w:t>
      </w:r>
      <w:r w:rsidRPr="005D6054">
        <w:rPr>
          <w:rFonts w:ascii="Times New Roman" w:hAnsi="Times New Roman" w:cs="Times New Roman"/>
          <w:sz w:val="20"/>
        </w:rPr>
        <w:t xml:space="preserve"> Em 2012 foi criada a Agência Reguladora de Saneamento Básico do Estado da Bahia (A</w:t>
      </w:r>
      <w:r w:rsidR="00B913D8">
        <w:rPr>
          <w:rFonts w:ascii="Times New Roman" w:hAnsi="Times New Roman" w:cs="Times New Roman"/>
          <w:sz w:val="20"/>
        </w:rPr>
        <w:t>GERSA), substituindo a CORESAB.</w:t>
      </w:r>
    </w:p>
    <w:p w:rsidR="00D06CDF" w:rsidRDefault="00D06CDF" w:rsidP="00B913D8">
      <w:pPr>
        <w:tabs>
          <w:tab w:val="num" w:pos="360"/>
        </w:tabs>
        <w:spacing w:after="0" w:line="240" w:lineRule="auto"/>
        <w:jc w:val="both"/>
        <w:rPr>
          <w:rFonts w:ascii="Times New Roman" w:hAnsi="Times New Roman" w:cs="Times New Roman"/>
          <w:sz w:val="20"/>
        </w:rPr>
      </w:pPr>
    </w:p>
    <w:p w:rsidR="00D06CDF" w:rsidRPr="002A692E" w:rsidRDefault="00D06CDF" w:rsidP="00D06CDF">
      <w:pPr>
        <w:pStyle w:val="Legenda"/>
        <w:jc w:val="both"/>
        <w:rPr>
          <w:sz w:val="24"/>
        </w:rPr>
      </w:pPr>
      <w:r>
        <w:rPr>
          <w:sz w:val="24"/>
        </w:rPr>
        <w:t>Apêndice B</w:t>
      </w:r>
      <w:r w:rsidRPr="002A692E">
        <w:rPr>
          <w:sz w:val="24"/>
        </w:rPr>
        <w:t xml:space="preserve"> – </w:t>
      </w:r>
      <w:r w:rsidRPr="002A692E">
        <w:rPr>
          <w:b w:val="0"/>
          <w:sz w:val="24"/>
        </w:rPr>
        <w:t xml:space="preserve">Resultados do Índice de </w:t>
      </w:r>
      <w:proofErr w:type="spellStart"/>
      <w:r w:rsidRPr="002A692E">
        <w:rPr>
          <w:b w:val="0"/>
          <w:sz w:val="24"/>
        </w:rPr>
        <w:t>Malmquist</w:t>
      </w:r>
      <w:proofErr w:type="spellEnd"/>
      <w:r w:rsidRPr="002A692E">
        <w:rPr>
          <w:b w:val="0"/>
          <w:sz w:val="24"/>
        </w:rPr>
        <w:t xml:space="preserve"> para 2006 =&gt; 2011 por prestador de SAA e SES</w:t>
      </w:r>
      <w:r>
        <w:rPr>
          <w:b w:val="0"/>
          <w:sz w:val="24"/>
        </w:rPr>
        <w:t>.</w:t>
      </w:r>
    </w:p>
    <w:tbl>
      <w:tblPr>
        <w:tblStyle w:val="Tabelaemlista1"/>
        <w:tblW w:w="14029" w:type="dxa"/>
        <w:jc w:val="center"/>
        <w:tblLook w:val="04A0" w:firstRow="1" w:lastRow="0" w:firstColumn="1" w:lastColumn="0" w:noHBand="0" w:noVBand="1"/>
      </w:tblPr>
      <w:tblGrid>
        <w:gridCol w:w="1429"/>
        <w:gridCol w:w="866"/>
        <w:gridCol w:w="1083"/>
        <w:gridCol w:w="1450"/>
        <w:gridCol w:w="1248"/>
        <w:gridCol w:w="843"/>
        <w:gridCol w:w="1011"/>
        <w:gridCol w:w="1450"/>
        <w:gridCol w:w="1328"/>
        <w:gridCol w:w="866"/>
        <w:gridCol w:w="1005"/>
        <w:gridCol w:w="1450"/>
      </w:tblGrid>
      <w:tr w:rsidR="002A45E1" w:rsidRPr="002B1281" w:rsidTr="002A45E1">
        <w:trPr>
          <w:cnfStyle w:val="100000000000" w:firstRow="1" w:lastRow="0" w:firstColumn="0" w:lastColumn="0" w:oddVBand="0" w:evenVBand="0" w:oddHBand="0" w:evenHBand="0" w:firstRowFirstColumn="0" w:firstRowLastColumn="0" w:lastRowFirstColumn="0" w:lastRowLastColumn="0"/>
          <w:trHeight w:val="170"/>
          <w:jc w:val="center"/>
        </w:trPr>
        <w:tc>
          <w:tcPr>
            <w:tcW w:w="1429" w:type="dxa"/>
            <w:tcBorders>
              <w:top w:val="single" w:sz="12" w:space="0" w:color="008080"/>
              <w:left w:val="nil"/>
            </w:tcBorders>
            <w:shd w:val="clear" w:color="auto" w:fill="auto"/>
            <w:noWrap/>
            <w:vAlign w:val="center"/>
            <w:hideMark/>
          </w:tcPr>
          <w:p w:rsidR="002A45E1" w:rsidRPr="002B1281" w:rsidRDefault="002A45E1" w:rsidP="00D06CDF">
            <w:pPr>
              <w:jc w:val="center"/>
              <w:rPr>
                <w:i w:val="0"/>
                <w:color w:val="000000"/>
              </w:rPr>
            </w:pPr>
            <w:r>
              <w:rPr>
                <w:i w:val="0"/>
                <w:color w:val="000000"/>
              </w:rPr>
              <w:t>Prestador</w:t>
            </w:r>
          </w:p>
        </w:tc>
        <w:tc>
          <w:tcPr>
            <w:tcW w:w="866" w:type="dxa"/>
            <w:tcBorders>
              <w:top w:val="single" w:sz="12" w:space="0" w:color="008080"/>
            </w:tcBorders>
            <w:shd w:val="clear" w:color="auto" w:fill="auto"/>
            <w:noWrap/>
            <w:vAlign w:val="center"/>
            <w:hideMark/>
          </w:tcPr>
          <w:p w:rsidR="002A45E1" w:rsidRPr="002B1281" w:rsidRDefault="002A45E1" w:rsidP="00226068">
            <w:pPr>
              <w:jc w:val="center"/>
              <w:rPr>
                <w:i w:val="0"/>
                <w:color w:val="000000"/>
              </w:rPr>
            </w:pPr>
            <w:r>
              <w:rPr>
                <w:i w:val="0"/>
                <w:color w:val="000000"/>
              </w:rPr>
              <w:t>IM</w:t>
            </w:r>
          </w:p>
        </w:tc>
        <w:tc>
          <w:tcPr>
            <w:tcW w:w="1083" w:type="dxa"/>
            <w:tcBorders>
              <w:top w:val="single" w:sz="12" w:space="0" w:color="008080"/>
            </w:tcBorders>
            <w:shd w:val="clear" w:color="auto" w:fill="auto"/>
            <w:vAlign w:val="center"/>
            <w:hideMark/>
          </w:tcPr>
          <w:p w:rsidR="002A45E1" w:rsidRPr="002B1281" w:rsidRDefault="002A45E1" w:rsidP="002A45E1">
            <w:pPr>
              <w:jc w:val="center"/>
              <w:rPr>
                <w:i w:val="0"/>
                <w:color w:val="000000"/>
              </w:rPr>
            </w:pPr>
            <w:r>
              <w:rPr>
                <w:iCs w:val="0"/>
                <w:color w:val="000000"/>
              </w:rPr>
              <w:t>C</w:t>
            </w:r>
            <w:r w:rsidRPr="002B1281">
              <w:rPr>
                <w:iCs w:val="0"/>
                <w:color w:val="000000"/>
              </w:rPr>
              <w:t>atch-</w:t>
            </w:r>
            <w:proofErr w:type="spellStart"/>
            <w:r w:rsidRPr="002B1281">
              <w:rPr>
                <w:iCs w:val="0"/>
                <w:color w:val="000000"/>
              </w:rPr>
              <w:t>up</w:t>
            </w:r>
            <w:proofErr w:type="spellEnd"/>
          </w:p>
        </w:tc>
        <w:tc>
          <w:tcPr>
            <w:tcW w:w="1450" w:type="dxa"/>
            <w:tcBorders>
              <w:top w:val="single" w:sz="12" w:space="0" w:color="008080"/>
              <w:right w:val="single" w:sz="12" w:space="0" w:color="008080"/>
            </w:tcBorders>
            <w:shd w:val="clear" w:color="auto" w:fill="auto"/>
            <w:vAlign w:val="center"/>
            <w:hideMark/>
          </w:tcPr>
          <w:p w:rsidR="002A45E1" w:rsidRPr="002B1281" w:rsidRDefault="002A45E1" w:rsidP="00226068">
            <w:pPr>
              <w:jc w:val="center"/>
              <w:rPr>
                <w:i w:val="0"/>
                <w:color w:val="000000"/>
              </w:rPr>
            </w:pPr>
            <w:proofErr w:type="spellStart"/>
            <w:r>
              <w:rPr>
                <w:iCs w:val="0"/>
                <w:color w:val="000000"/>
              </w:rPr>
              <w:t>F</w:t>
            </w:r>
            <w:r w:rsidRPr="002B1281">
              <w:rPr>
                <w:iCs w:val="0"/>
                <w:color w:val="000000"/>
              </w:rPr>
              <w:t>rontier</w:t>
            </w:r>
            <w:proofErr w:type="spellEnd"/>
            <w:r w:rsidRPr="002B1281">
              <w:rPr>
                <w:iCs w:val="0"/>
                <w:color w:val="000000"/>
              </w:rPr>
              <w:t>-shift</w:t>
            </w:r>
          </w:p>
        </w:tc>
        <w:tc>
          <w:tcPr>
            <w:tcW w:w="1248" w:type="dxa"/>
            <w:tcBorders>
              <w:top w:val="single" w:sz="12" w:space="0" w:color="008080"/>
              <w:left w:val="single" w:sz="12" w:space="0" w:color="008080"/>
              <w:right w:val="nil"/>
            </w:tcBorders>
            <w:shd w:val="clear" w:color="auto" w:fill="auto"/>
            <w:vAlign w:val="center"/>
          </w:tcPr>
          <w:p w:rsidR="002A45E1" w:rsidRPr="002B1281" w:rsidRDefault="002A45E1" w:rsidP="00226068">
            <w:pPr>
              <w:jc w:val="center"/>
              <w:rPr>
                <w:i w:val="0"/>
                <w:color w:val="000000"/>
              </w:rPr>
            </w:pPr>
            <w:r>
              <w:rPr>
                <w:i w:val="0"/>
                <w:color w:val="000000"/>
              </w:rPr>
              <w:t>Prestador</w:t>
            </w:r>
          </w:p>
        </w:tc>
        <w:tc>
          <w:tcPr>
            <w:tcW w:w="843" w:type="dxa"/>
            <w:tcBorders>
              <w:top w:val="single" w:sz="12" w:space="0" w:color="008080"/>
              <w:right w:val="nil"/>
            </w:tcBorders>
            <w:shd w:val="clear" w:color="auto" w:fill="auto"/>
            <w:vAlign w:val="center"/>
          </w:tcPr>
          <w:p w:rsidR="002A45E1" w:rsidRPr="002B1281" w:rsidRDefault="002A45E1" w:rsidP="00226068">
            <w:pPr>
              <w:jc w:val="center"/>
              <w:rPr>
                <w:i w:val="0"/>
                <w:color w:val="000000"/>
              </w:rPr>
            </w:pPr>
            <w:r>
              <w:rPr>
                <w:i w:val="0"/>
                <w:color w:val="000000"/>
              </w:rPr>
              <w:t>IM</w:t>
            </w:r>
          </w:p>
        </w:tc>
        <w:tc>
          <w:tcPr>
            <w:tcW w:w="1011" w:type="dxa"/>
            <w:tcBorders>
              <w:top w:val="single" w:sz="12" w:space="0" w:color="008080"/>
              <w:right w:val="nil"/>
            </w:tcBorders>
            <w:shd w:val="clear" w:color="auto" w:fill="auto"/>
            <w:vAlign w:val="center"/>
          </w:tcPr>
          <w:p w:rsidR="002A45E1" w:rsidRPr="002B1281" w:rsidRDefault="002A45E1" w:rsidP="00226068">
            <w:pPr>
              <w:jc w:val="center"/>
              <w:rPr>
                <w:i w:val="0"/>
                <w:color w:val="000000"/>
              </w:rPr>
            </w:pPr>
            <w:r>
              <w:rPr>
                <w:iCs w:val="0"/>
                <w:color w:val="000000"/>
              </w:rPr>
              <w:t>C</w:t>
            </w:r>
            <w:r w:rsidRPr="002B1281">
              <w:rPr>
                <w:iCs w:val="0"/>
                <w:color w:val="000000"/>
              </w:rPr>
              <w:t>atch-</w:t>
            </w:r>
            <w:proofErr w:type="spellStart"/>
            <w:r w:rsidRPr="002B1281">
              <w:rPr>
                <w:iCs w:val="0"/>
                <w:color w:val="000000"/>
              </w:rPr>
              <w:t>up</w:t>
            </w:r>
            <w:proofErr w:type="spellEnd"/>
          </w:p>
        </w:tc>
        <w:tc>
          <w:tcPr>
            <w:tcW w:w="1450" w:type="dxa"/>
            <w:tcBorders>
              <w:top w:val="single" w:sz="12" w:space="0" w:color="008080"/>
              <w:right w:val="single" w:sz="12" w:space="0" w:color="008080"/>
            </w:tcBorders>
            <w:shd w:val="clear" w:color="auto" w:fill="auto"/>
            <w:vAlign w:val="center"/>
          </w:tcPr>
          <w:p w:rsidR="002A45E1" w:rsidRPr="002B1281" w:rsidRDefault="002A45E1" w:rsidP="00226068">
            <w:pPr>
              <w:jc w:val="center"/>
              <w:rPr>
                <w:i w:val="0"/>
                <w:color w:val="000000"/>
              </w:rPr>
            </w:pPr>
            <w:proofErr w:type="spellStart"/>
            <w:r>
              <w:rPr>
                <w:iCs w:val="0"/>
                <w:color w:val="000000"/>
              </w:rPr>
              <w:t>F</w:t>
            </w:r>
            <w:r w:rsidRPr="002B1281">
              <w:rPr>
                <w:iCs w:val="0"/>
                <w:color w:val="000000"/>
              </w:rPr>
              <w:t>rontier</w:t>
            </w:r>
            <w:proofErr w:type="spellEnd"/>
            <w:r w:rsidRPr="002B1281">
              <w:rPr>
                <w:iCs w:val="0"/>
                <w:color w:val="000000"/>
              </w:rPr>
              <w:t>-shift</w:t>
            </w:r>
          </w:p>
        </w:tc>
        <w:tc>
          <w:tcPr>
            <w:tcW w:w="1328" w:type="dxa"/>
            <w:tcBorders>
              <w:top w:val="single" w:sz="12" w:space="0" w:color="008080"/>
              <w:left w:val="single" w:sz="12" w:space="0" w:color="008080"/>
              <w:right w:val="nil"/>
            </w:tcBorders>
            <w:shd w:val="clear" w:color="auto" w:fill="auto"/>
            <w:vAlign w:val="center"/>
          </w:tcPr>
          <w:p w:rsidR="002A45E1" w:rsidRPr="002B1281" w:rsidRDefault="002A45E1" w:rsidP="00226068">
            <w:pPr>
              <w:jc w:val="center"/>
              <w:rPr>
                <w:i w:val="0"/>
                <w:color w:val="000000"/>
              </w:rPr>
            </w:pPr>
            <w:r>
              <w:rPr>
                <w:i w:val="0"/>
                <w:color w:val="000000"/>
              </w:rPr>
              <w:t>Prestador</w:t>
            </w:r>
          </w:p>
        </w:tc>
        <w:tc>
          <w:tcPr>
            <w:tcW w:w="866" w:type="dxa"/>
            <w:tcBorders>
              <w:top w:val="single" w:sz="12" w:space="0" w:color="008080"/>
              <w:right w:val="nil"/>
            </w:tcBorders>
            <w:shd w:val="clear" w:color="auto" w:fill="auto"/>
            <w:vAlign w:val="center"/>
          </w:tcPr>
          <w:p w:rsidR="002A45E1" w:rsidRPr="002B1281" w:rsidRDefault="002A45E1" w:rsidP="00226068">
            <w:pPr>
              <w:jc w:val="center"/>
              <w:rPr>
                <w:i w:val="0"/>
                <w:color w:val="000000"/>
              </w:rPr>
            </w:pPr>
            <w:r>
              <w:rPr>
                <w:i w:val="0"/>
                <w:color w:val="000000"/>
              </w:rPr>
              <w:t>IM</w:t>
            </w:r>
          </w:p>
        </w:tc>
        <w:tc>
          <w:tcPr>
            <w:tcW w:w="1005" w:type="dxa"/>
            <w:tcBorders>
              <w:top w:val="single" w:sz="12" w:space="0" w:color="008080"/>
              <w:right w:val="nil"/>
            </w:tcBorders>
            <w:shd w:val="clear" w:color="auto" w:fill="auto"/>
            <w:vAlign w:val="center"/>
          </w:tcPr>
          <w:p w:rsidR="002A45E1" w:rsidRPr="002B1281" w:rsidRDefault="002A45E1" w:rsidP="00226068">
            <w:pPr>
              <w:jc w:val="center"/>
              <w:rPr>
                <w:i w:val="0"/>
                <w:color w:val="000000"/>
              </w:rPr>
            </w:pPr>
            <w:r>
              <w:rPr>
                <w:iCs w:val="0"/>
                <w:color w:val="000000"/>
              </w:rPr>
              <w:t>C</w:t>
            </w:r>
            <w:r w:rsidRPr="002B1281">
              <w:rPr>
                <w:iCs w:val="0"/>
                <w:color w:val="000000"/>
              </w:rPr>
              <w:t>atch-</w:t>
            </w:r>
            <w:proofErr w:type="spellStart"/>
            <w:r w:rsidRPr="002B1281">
              <w:rPr>
                <w:iCs w:val="0"/>
                <w:color w:val="000000"/>
              </w:rPr>
              <w:t>up</w:t>
            </w:r>
            <w:proofErr w:type="spellEnd"/>
          </w:p>
        </w:tc>
        <w:tc>
          <w:tcPr>
            <w:tcW w:w="1450" w:type="dxa"/>
            <w:tcBorders>
              <w:top w:val="single" w:sz="12" w:space="0" w:color="008080"/>
              <w:right w:val="nil"/>
            </w:tcBorders>
            <w:shd w:val="clear" w:color="auto" w:fill="auto"/>
            <w:vAlign w:val="center"/>
          </w:tcPr>
          <w:p w:rsidR="002A45E1" w:rsidRPr="002B1281" w:rsidRDefault="002A45E1" w:rsidP="00226068">
            <w:pPr>
              <w:jc w:val="center"/>
              <w:rPr>
                <w:i w:val="0"/>
                <w:color w:val="000000"/>
              </w:rPr>
            </w:pPr>
            <w:proofErr w:type="spellStart"/>
            <w:r>
              <w:rPr>
                <w:iCs w:val="0"/>
                <w:color w:val="000000"/>
              </w:rPr>
              <w:t>F</w:t>
            </w:r>
            <w:r w:rsidRPr="002B1281">
              <w:rPr>
                <w:iCs w:val="0"/>
                <w:color w:val="000000"/>
              </w:rPr>
              <w:t>rontier</w:t>
            </w:r>
            <w:proofErr w:type="spellEnd"/>
            <w:r w:rsidRPr="002B1281">
              <w:rPr>
                <w:iCs w:val="0"/>
                <w:color w:val="000000"/>
              </w:rPr>
              <w:t>-shift</w:t>
            </w:r>
          </w:p>
        </w:tc>
      </w:tr>
      <w:tr w:rsidR="002A45E1" w:rsidRPr="002B1281" w:rsidTr="002A45E1">
        <w:trPr>
          <w:cnfStyle w:val="000000100000" w:firstRow="0" w:lastRow="0" w:firstColumn="0" w:lastColumn="0" w:oddVBand="0" w:evenVBand="0" w:oddHBand="1" w:evenHBand="0"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CAEMA</w:t>
            </w:r>
          </w:p>
        </w:tc>
        <w:tc>
          <w:tcPr>
            <w:tcW w:w="866" w:type="dxa"/>
            <w:noWrap/>
            <w:vAlign w:val="center"/>
            <w:hideMark/>
          </w:tcPr>
          <w:p w:rsidR="002A45E1" w:rsidRPr="002B1281" w:rsidRDefault="002A45E1" w:rsidP="00226068">
            <w:pPr>
              <w:jc w:val="center"/>
              <w:rPr>
                <w:b/>
                <w:color w:val="00B050"/>
              </w:rPr>
            </w:pPr>
            <w:r w:rsidRPr="002B1281">
              <w:rPr>
                <w:b/>
                <w:color w:val="00B050"/>
              </w:rPr>
              <w:t>1,9406</w:t>
            </w:r>
          </w:p>
        </w:tc>
        <w:tc>
          <w:tcPr>
            <w:tcW w:w="1083" w:type="dxa"/>
            <w:noWrap/>
            <w:vAlign w:val="center"/>
            <w:hideMark/>
          </w:tcPr>
          <w:p w:rsidR="002A45E1" w:rsidRPr="002B1281" w:rsidRDefault="002A45E1" w:rsidP="00226068">
            <w:pPr>
              <w:jc w:val="center"/>
              <w:rPr>
                <w:b/>
                <w:color w:val="00B050"/>
              </w:rPr>
            </w:pPr>
            <w:r w:rsidRPr="002B1281">
              <w:rPr>
                <w:b/>
                <w:color w:val="00B050"/>
              </w:rPr>
              <w:t>1,6784</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1,1562</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DMAE</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1,1034</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1,0000</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1,1034</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CAGEPA</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0,9507</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0,8144</w:t>
            </w:r>
          </w:p>
        </w:tc>
        <w:tc>
          <w:tcPr>
            <w:tcW w:w="1450" w:type="dxa"/>
            <w:tcBorders>
              <w:right w:val="nil"/>
            </w:tcBorders>
            <w:vAlign w:val="center"/>
          </w:tcPr>
          <w:p w:rsidR="002A45E1" w:rsidRPr="002B1281" w:rsidRDefault="002A45E1" w:rsidP="00226068">
            <w:pPr>
              <w:jc w:val="center"/>
              <w:rPr>
                <w:b/>
                <w:color w:val="000000"/>
              </w:rPr>
            </w:pPr>
            <w:r w:rsidRPr="002B1281">
              <w:rPr>
                <w:b/>
                <w:color w:val="00B050"/>
              </w:rPr>
              <w:t>1,1673</w:t>
            </w:r>
          </w:p>
        </w:tc>
      </w:tr>
      <w:tr w:rsidR="002A45E1" w:rsidRPr="002B1281" w:rsidTr="002A45E1">
        <w:trPr>
          <w:cnfStyle w:val="000000010000" w:firstRow="0" w:lastRow="0" w:firstColumn="0" w:lastColumn="0" w:oddVBand="0" w:evenVBand="0" w:oddHBand="0" w:evenHBand="1"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CEDAE</w:t>
            </w:r>
          </w:p>
        </w:tc>
        <w:tc>
          <w:tcPr>
            <w:tcW w:w="866" w:type="dxa"/>
            <w:noWrap/>
            <w:vAlign w:val="center"/>
            <w:hideMark/>
          </w:tcPr>
          <w:p w:rsidR="002A45E1" w:rsidRPr="002B1281" w:rsidRDefault="002A45E1" w:rsidP="00226068">
            <w:pPr>
              <w:jc w:val="center"/>
              <w:rPr>
                <w:b/>
                <w:color w:val="00B050"/>
              </w:rPr>
            </w:pPr>
            <w:r w:rsidRPr="002B1281">
              <w:rPr>
                <w:b/>
                <w:color w:val="00B050"/>
              </w:rPr>
              <w:t>1,4463</w:t>
            </w:r>
          </w:p>
        </w:tc>
        <w:tc>
          <w:tcPr>
            <w:tcW w:w="1083" w:type="dxa"/>
            <w:noWrap/>
            <w:vAlign w:val="center"/>
            <w:hideMark/>
          </w:tcPr>
          <w:p w:rsidR="002A45E1" w:rsidRPr="002B1281" w:rsidRDefault="002A45E1" w:rsidP="00226068">
            <w:pPr>
              <w:jc w:val="center"/>
              <w:rPr>
                <w:b/>
                <w:color w:val="00B050"/>
              </w:rPr>
            </w:pPr>
            <w:r w:rsidRPr="002B1281">
              <w:rPr>
                <w:b/>
                <w:color w:val="00B050"/>
              </w:rPr>
              <w:t>1,2215</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1,1841</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ADA - MA</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1,0877</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0,9753</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1,1153</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SANEATINS</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0,9425</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1,0000</w:t>
            </w:r>
          </w:p>
        </w:tc>
        <w:tc>
          <w:tcPr>
            <w:tcW w:w="1450" w:type="dxa"/>
            <w:tcBorders>
              <w:right w:val="nil"/>
            </w:tcBorders>
            <w:vAlign w:val="center"/>
          </w:tcPr>
          <w:p w:rsidR="002A45E1" w:rsidRPr="002B1281" w:rsidRDefault="002A45E1" w:rsidP="00226068">
            <w:pPr>
              <w:jc w:val="center"/>
              <w:rPr>
                <w:color w:val="000000"/>
              </w:rPr>
            </w:pPr>
            <w:r w:rsidRPr="002B1281">
              <w:rPr>
                <w:color w:val="000000"/>
              </w:rPr>
              <w:t>0,9425</w:t>
            </w:r>
          </w:p>
        </w:tc>
      </w:tr>
      <w:tr w:rsidR="002A45E1" w:rsidRPr="002B1281" w:rsidTr="002A45E1">
        <w:trPr>
          <w:cnfStyle w:val="000000100000" w:firstRow="0" w:lastRow="0" w:firstColumn="0" w:lastColumn="0" w:oddVBand="0" w:evenVBand="0" w:oddHBand="1" w:evenHBand="0"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AG</w:t>
            </w:r>
          </w:p>
        </w:tc>
        <w:tc>
          <w:tcPr>
            <w:tcW w:w="866" w:type="dxa"/>
            <w:noWrap/>
            <w:vAlign w:val="center"/>
            <w:hideMark/>
          </w:tcPr>
          <w:p w:rsidR="002A45E1" w:rsidRPr="002B1281" w:rsidRDefault="002A45E1" w:rsidP="00226068">
            <w:pPr>
              <w:jc w:val="center"/>
              <w:rPr>
                <w:b/>
                <w:color w:val="00B050"/>
              </w:rPr>
            </w:pPr>
            <w:r w:rsidRPr="002B1281">
              <w:rPr>
                <w:b/>
                <w:color w:val="00B050"/>
              </w:rPr>
              <w:t>1,2833</w:t>
            </w:r>
          </w:p>
        </w:tc>
        <w:tc>
          <w:tcPr>
            <w:tcW w:w="1083" w:type="dxa"/>
            <w:noWrap/>
            <w:vAlign w:val="center"/>
            <w:hideMark/>
          </w:tcPr>
          <w:p w:rsidR="002A45E1" w:rsidRPr="002B1281" w:rsidRDefault="002A45E1" w:rsidP="00226068">
            <w:pPr>
              <w:jc w:val="center"/>
              <w:rPr>
                <w:b/>
                <w:color w:val="00B050"/>
              </w:rPr>
            </w:pPr>
            <w:r w:rsidRPr="002B1281">
              <w:rPr>
                <w:b/>
                <w:color w:val="00B050"/>
              </w:rPr>
              <w:t>1,2743</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1,0071</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COMPESA</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1,0610</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0,8484</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1,2506</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SAERB</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0,9298</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1,0000</w:t>
            </w:r>
          </w:p>
        </w:tc>
        <w:tc>
          <w:tcPr>
            <w:tcW w:w="1450" w:type="dxa"/>
            <w:tcBorders>
              <w:right w:val="nil"/>
            </w:tcBorders>
            <w:vAlign w:val="center"/>
          </w:tcPr>
          <w:p w:rsidR="002A45E1" w:rsidRPr="002B1281" w:rsidRDefault="002A45E1" w:rsidP="00226068">
            <w:pPr>
              <w:jc w:val="center"/>
              <w:rPr>
                <w:color w:val="000000"/>
              </w:rPr>
            </w:pPr>
            <w:r w:rsidRPr="002B1281">
              <w:rPr>
                <w:color w:val="000000"/>
              </w:rPr>
              <w:t>0,9298</w:t>
            </w:r>
          </w:p>
        </w:tc>
      </w:tr>
      <w:tr w:rsidR="002A45E1" w:rsidRPr="002B1281" w:rsidTr="002A45E1">
        <w:trPr>
          <w:cnfStyle w:val="000000010000" w:firstRow="0" w:lastRow="0" w:firstColumn="0" w:lastColumn="0" w:oddVBand="0" w:evenVBand="0" w:oddHBand="0" w:evenHBand="1"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COPASA</w:t>
            </w:r>
          </w:p>
        </w:tc>
        <w:tc>
          <w:tcPr>
            <w:tcW w:w="866" w:type="dxa"/>
            <w:noWrap/>
            <w:vAlign w:val="center"/>
            <w:hideMark/>
          </w:tcPr>
          <w:p w:rsidR="002A45E1" w:rsidRPr="002B1281" w:rsidRDefault="002A45E1" w:rsidP="00226068">
            <w:pPr>
              <w:jc w:val="center"/>
              <w:rPr>
                <w:b/>
                <w:color w:val="00B050"/>
              </w:rPr>
            </w:pPr>
            <w:r w:rsidRPr="002B1281">
              <w:rPr>
                <w:b/>
                <w:color w:val="00B050"/>
              </w:rPr>
              <w:t>1,2622</w:t>
            </w:r>
          </w:p>
        </w:tc>
        <w:tc>
          <w:tcPr>
            <w:tcW w:w="1083" w:type="dxa"/>
            <w:noWrap/>
            <w:vAlign w:val="center"/>
            <w:hideMark/>
          </w:tcPr>
          <w:p w:rsidR="002A45E1" w:rsidRPr="002B1281" w:rsidRDefault="002A45E1" w:rsidP="00226068">
            <w:pPr>
              <w:jc w:val="center"/>
              <w:rPr>
                <w:color w:val="000000"/>
              </w:rPr>
            </w:pPr>
            <w:r w:rsidRPr="002B1281">
              <w:rPr>
                <w:color w:val="000000"/>
              </w:rPr>
              <w:t>1,0000</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1,2622</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AGESPISA</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1,0499</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0,9237</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1,1366</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SANESUL</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0,9050</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0,8330</w:t>
            </w:r>
          </w:p>
        </w:tc>
        <w:tc>
          <w:tcPr>
            <w:tcW w:w="1450" w:type="dxa"/>
            <w:tcBorders>
              <w:right w:val="nil"/>
            </w:tcBorders>
            <w:vAlign w:val="center"/>
          </w:tcPr>
          <w:p w:rsidR="002A45E1" w:rsidRPr="002B1281" w:rsidRDefault="002A45E1" w:rsidP="00226068">
            <w:pPr>
              <w:jc w:val="center"/>
              <w:rPr>
                <w:b/>
                <w:color w:val="00B050"/>
              </w:rPr>
            </w:pPr>
            <w:r w:rsidRPr="002B1281">
              <w:rPr>
                <w:b/>
                <w:color w:val="00B050"/>
              </w:rPr>
              <w:t>1,0865</w:t>
            </w:r>
          </w:p>
        </w:tc>
      </w:tr>
      <w:tr w:rsidR="002A45E1" w:rsidRPr="002B1281" w:rsidTr="002A45E1">
        <w:trPr>
          <w:cnfStyle w:val="000000100000" w:firstRow="0" w:lastRow="0" w:firstColumn="0" w:lastColumn="0" w:oddVBand="0" w:evenVBand="0" w:oddHBand="1" w:evenHBand="0"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CASAL</w:t>
            </w:r>
          </w:p>
        </w:tc>
        <w:tc>
          <w:tcPr>
            <w:tcW w:w="866" w:type="dxa"/>
            <w:noWrap/>
            <w:vAlign w:val="center"/>
            <w:hideMark/>
          </w:tcPr>
          <w:p w:rsidR="002A45E1" w:rsidRPr="002B1281" w:rsidRDefault="002A45E1" w:rsidP="00226068">
            <w:pPr>
              <w:jc w:val="center"/>
              <w:rPr>
                <w:b/>
                <w:color w:val="00B050"/>
              </w:rPr>
            </w:pPr>
            <w:r w:rsidRPr="002B1281">
              <w:rPr>
                <w:b/>
                <w:color w:val="00B050"/>
              </w:rPr>
              <w:t>1,2601</w:t>
            </w:r>
          </w:p>
        </w:tc>
        <w:tc>
          <w:tcPr>
            <w:tcW w:w="1083" w:type="dxa"/>
            <w:noWrap/>
            <w:vAlign w:val="center"/>
            <w:hideMark/>
          </w:tcPr>
          <w:p w:rsidR="002A45E1" w:rsidRPr="002B1281" w:rsidRDefault="002A45E1" w:rsidP="00226068">
            <w:pPr>
              <w:jc w:val="center"/>
              <w:rPr>
                <w:b/>
                <w:color w:val="000000"/>
              </w:rPr>
            </w:pPr>
            <w:r w:rsidRPr="002B1281">
              <w:rPr>
                <w:b/>
                <w:color w:val="00B050"/>
              </w:rPr>
              <w:t>1,1379</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1,1074</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CAERD</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1,0279</w:t>
            </w:r>
          </w:p>
        </w:tc>
        <w:tc>
          <w:tcPr>
            <w:tcW w:w="1011" w:type="dxa"/>
            <w:tcBorders>
              <w:right w:val="nil"/>
            </w:tcBorders>
            <w:vAlign w:val="center"/>
          </w:tcPr>
          <w:p w:rsidR="002A45E1" w:rsidRPr="002B1281" w:rsidRDefault="002A45E1" w:rsidP="00226068">
            <w:pPr>
              <w:jc w:val="center"/>
              <w:rPr>
                <w:b/>
                <w:color w:val="000000"/>
              </w:rPr>
            </w:pPr>
            <w:r w:rsidRPr="002B1281">
              <w:rPr>
                <w:b/>
                <w:color w:val="00B050"/>
              </w:rPr>
              <w:t>1,2695</w:t>
            </w:r>
          </w:p>
        </w:tc>
        <w:tc>
          <w:tcPr>
            <w:tcW w:w="1450" w:type="dxa"/>
            <w:tcBorders>
              <w:right w:val="single" w:sz="12" w:space="0" w:color="008080"/>
            </w:tcBorders>
            <w:vAlign w:val="center"/>
          </w:tcPr>
          <w:p w:rsidR="002A45E1" w:rsidRPr="002B1281" w:rsidRDefault="002A45E1" w:rsidP="00226068">
            <w:pPr>
              <w:jc w:val="center"/>
              <w:rPr>
                <w:color w:val="000000"/>
              </w:rPr>
            </w:pPr>
            <w:r w:rsidRPr="002B1281">
              <w:rPr>
                <w:color w:val="000000"/>
              </w:rPr>
              <w:t>0,8096</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DESO</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0,8731</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0,7869</w:t>
            </w:r>
          </w:p>
        </w:tc>
        <w:tc>
          <w:tcPr>
            <w:tcW w:w="1450" w:type="dxa"/>
            <w:tcBorders>
              <w:right w:val="nil"/>
            </w:tcBorders>
            <w:vAlign w:val="center"/>
          </w:tcPr>
          <w:p w:rsidR="002A45E1" w:rsidRPr="002B1281" w:rsidRDefault="002A45E1" w:rsidP="00226068">
            <w:pPr>
              <w:jc w:val="center"/>
              <w:rPr>
                <w:b/>
                <w:color w:val="00B050"/>
              </w:rPr>
            </w:pPr>
            <w:r w:rsidRPr="002B1281">
              <w:rPr>
                <w:b/>
                <w:color w:val="00B050"/>
              </w:rPr>
              <w:t>1,1095</w:t>
            </w:r>
          </w:p>
        </w:tc>
      </w:tr>
      <w:tr w:rsidR="002A45E1" w:rsidRPr="002B1281" w:rsidTr="002A45E1">
        <w:trPr>
          <w:cnfStyle w:val="000000010000" w:firstRow="0" w:lastRow="0" w:firstColumn="0" w:lastColumn="0" w:oddVBand="0" w:evenVBand="0" w:oddHBand="0" w:evenHBand="1"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CAGECE</w:t>
            </w:r>
          </w:p>
        </w:tc>
        <w:tc>
          <w:tcPr>
            <w:tcW w:w="866" w:type="dxa"/>
            <w:noWrap/>
            <w:vAlign w:val="center"/>
            <w:hideMark/>
          </w:tcPr>
          <w:p w:rsidR="002A45E1" w:rsidRPr="002B1281" w:rsidRDefault="002A45E1" w:rsidP="00226068">
            <w:pPr>
              <w:jc w:val="center"/>
              <w:rPr>
                <w:b/>
                <w:color w:val="00B050"/>
              </w:rPr>
            </w:pPr>
            <w:r w:rsidRPr="002B1281">
              <w:rPr>
                <w:b/>
                <w:color w:val="00B050"/>
              </w:rPr>
              <w:t>1,2430</w:t>
            </w:r>
          </w:p>
        </w:tc>
        <w:tc>
          <w:tcPr>
            <w:tcW w:w="1083" w:type="dxa"/>
            <w:noWrap/>
            <w:vAlign w:val="center"/>
            <w:hideMark/>
          </w:tcPr>
          <w:p w:rsidR="002A45E1" w:rsidRPr="002B1281" w:rsidRDefault="002A45E1" w:rsidP="00226068">
            <w:pPr>
              <w:jc w:val="center"/>
              <w:rPr>
                <w:color w:val="000000"/>
              </w:rPr>
            </w:pPr>
            <w:r w:rsidRPr="002B1281">
              <w:rPr>
                <w:color w:val="000000"/>
              </w:rPr>
              <w:t>1,0000</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1,2430</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COSANPA</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1,0168</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0,9261</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1,0979</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CORSAN</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0,8146</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0,7696</w:t>
            </w:r>
          </w:p>
        </w:tc>
        <w:tc>
          <w:tcPr>
            <w:tcW w:w="1450" w:type="dxa"/>
            <w:tcBorders>
              <w:right w:val="nil"/>
            </w:tcBorders>
            <w:vAlign w:val="center"/>
          </w:tcPr>
          <w:p w:rsidR="002A45E1" w:rsidRPr="002B1281" w:rsidRDefault="002A45E1" w:rsidP="00226068">
            <w:pPr>
              <w:jc w:val="center"/>
              <w:rPr>
                <w:b/>
                <w:color w:val="00B050"/>
              </w:rPr>
            </w:pPr>
            <w:r w:rsidRPr="002B1281">
              <w:rPr>
                <w:b/>
                <w:color w:val="00B050"/>
              </w:rPr>
              <w:t>1,0584</w:t>
            </w:r>
          </w:p>
        </w:tc>
      </w:tr>
      <w:tr w:rsidR="002A45E1" w:rsidRPr="002B1281" w:rsidTr="002A45E1">
        <w:trPr>
          <w:cnfStyle w:val="000000100000" w:firstRow="0" w:lastRow="0" w:firstColumn="0" w:lastColumn="0" w:oddVBand="0" w:evenVBand="0" w:oddHBand="1" w:evenHBand="0"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SANEPAR</w:t>
            </w:r>
          </w:p>
        </w:tc>
        <w:tc>
          <w:tcPr>
            <w:tcW w:w="866" w:type="dxa"/>
            <w:noWrap/>
            <w:vAlign w:val="center"/>
            <w:hideMark/>
          </w:tcPr>
          <w:p w:rsidR="002A45E1" w:rsidRPr="002B1281" w:rsidRDefault="002A45E1" w:rsidP="00226068">
            <w:pPr>
              <w:jc w:val="center"/>
              <w:rPr>
                <w:b/>
                <w:color w:val="00B050"/>
              </w:rPr>
            </w:pPr>
            <w:r w:rsidRPr="002B1281">
              <w:rPr>
                <w:b/>
                <w:color w:val="00B050"/>
              </w:rPr>
              <w:t>1,2046</w:t>
            </w:r>
          </w:p>
        </w:tc>
        <w:tc>
          <w:tcPr>
            <w:tcW w:w="1083" w:type="dxa"/>
            <w:noWrap/>
            <w:vAlign w:val="center"/>
            <w:hideMark/>
          </w:tcPr>
          <w:p w:rsidR="002A45E1" w:rsidRPr="002B1281" w:rsidRDefault="002A45E1" w:rsidP="00226068">
            <w:pPr>
              <w:jc w:val="center"/>
              <w:rPr>
                <w:color w:val="000000"/>
              </w:rPr>
            </w:pPr>
            <w:r w:rsidRPr="002B1281">
              <w:rPr>
                <w:color w:val="000000"/>
              </w:rPr>
              <w:t>1,0000</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1,2046</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CESAN</w:t>
            </w:r>
          </w:p>
        </w:tc>
        <w:tc>
          <w:tcPr>
            <w:tcW w:w="843" w:type="dxa"/>
            <w:tcBorders>
              <w:right w:val="nil"/>
            </w:tcBorders>
            <w:vAlign w:val="center"/>
          </w:tcPr>
          <w:p w:rsidR="002A45E1" w:rsidRPr="002B1281" w:rsidRDefault="002A45E1" w:rsidP="00226068">
            <w:pPr>
              <w:jc w:val="center"/>
              <w:rPr>
                <w:b/>
                <w:color w:val="00B050"/>
              </w:rPr>
            </w:pPr>
            <w:r w:rsidRPr="002B1281">
              <w:rPr>
                <w:b/>
                <w:color w:val="00B050"/>
              </w:rPr>
              <w:t>1,0156</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0,8694</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1,1682</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CAER</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0,7999</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1,0000</w:t>
            </w:r>
          </w:p>
        </w:tc>
        <w:tc>
          <w:tcPr>
            <w:tcW w:w="1450" w:type="dxa"/>
            <w:tcBorders>
              <w:right w:val="nil"/>
            </w:tcBorders>
            <w:vAlign w:val="center"/>
          </w:tcPr>
          <w:p w:rsidR="002A45E1" w:rsidRPr="002B1281" w:rsidRDefault="002A45E1" w:rsidP="00226068">
            <w:pPr>
              <w:jc w:val="center"/>
              <w:rPr>
                <w:color w:val="000000"/>
              </w:rPr>
            </w:pPr>
            <w:r w:rsidRPr="002B1281">
              <w:rPr>
                <w:color w:val="000000"/>
              </w:rPr>
              <w:t>0,7999</w:t>
            </w:r>
          </w:p>
        </w:tc>
      </w:tr>
      <w:tr w:rsidR="002A45E1" w:rsidRPr="002B1281" w:rsidTr="002A45E1">
        <w:trPr>
          <w:cnfStyle w:val="000000010000" w:firstRow="0" w:lastRow="0" w:firstColumn="0" w:lastColumn="0" w:oddVBand="0" w:evenVBand="0" w:oddHBand="0" w:evenHBand="1"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CAESB</w:t>
            </w:r>
          </w:p>
        </w:tc>
        <w:tc>
          <w:tcPr>
            <w:tcW w:w="866" w:type="dxa"/>
            <w:noWrap/>
            <w:vAlign w:val="center"/>
            <w:hideMark/>
          </w:tcPr>
          <w:p w:rsidR="002A45E1" w:rsidRPr="002B1281" w:rsidRDefault="002A45E1" w:rsidP="00226068">
            <w:pPr>
              <w:jc w:val="center"/>
              <w:rPr>
                <w:b/>
                <w:color w:val="00B050"/>
              </w:rPr>
            </w:pPr>
            <w:r w:rsidRPr="002B1281">
              <w:rPr>
                <w:b/>
                <w:color w:val="00B050"/>
              </w:rPr>
              <w:t>1,1753</w:t>
            </w:r>
          </w:p>
        </w:tc>
        <w:tc>
          <w:tcPr>
            <w:tcW w:w="1083" w:type="dxa"/>
            <w:noWrap/>
            <w:vAlign w:val="center"/>
            <w:hideMark/>
          </w:tcPr>
          <w:p w:rsidR="002A45E1" w:rsidRPr="002B1281" w:rsidRDefault="002A45E1" w:rsidP="00226068">
            <w:pPr>
              <w:jc w:val="center"/>
              <w:rPr>
                <w:b/>
                <w:color w:val="00B050"/>
              </w:rPr>
            </w:pPr>
            <w:r w:rsidRPr="002B1281">
              <w:rPr>
                <w:b/>
                <w:color w:val="00B050"/>
              </w:rPr>
              <w:t>1,0716</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1,0968</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EMBASA</w:t>
            </w:r>
          </w:p>
        </w:tc>
        <w:tc>
          <w:tcPr>
            <w:tcW w:w="843" w:type="dxa"/>
            <w:tcBorders>
              <w:right w:val="nil"/>
            </w:tcBorders>
            <w:vAlign w:val="center"/>
          </w:tcPr>
          <w:p w:rsidR="002A45E1" w:rsidRPr="002B1281" w:rsidRDefault="002A45E1" w:rsidP="00226068">
            <w:pPr>
              <w:jc w:val="center"/>
              <w:rPr>
                <w:color w:val="000000"/>
              </w:rPr>
            </w:pPr>
            <w:r w:rsidRPr="002B1281">
              <w:rPr>
                <w:color w:val="000000"/>
              </w:rPr>
              <w:t>0,9794</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0,8968</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1,0921</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CAESA</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0,7045</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0,6874</w:t>
            </w:r>
          </w:p>
        </w:tc>
        <w:tc>
          <w:tcPr>
            <w:tcW w:w="1450" w:type="dxa"/>
            <w:tcBorders>
              <w:right w:val="nil"/>
            </w:tcBorders>
            <w:vAlign w:val="center"/>
          </w:tcPr>
          <w:p w:rsidR="002A45E1" w:rsidRPr="002B1281" w:rsidRDefault="002A45E1" w:rsidP="00226068">
            <w:pPr>
              <w:jc w:val="center"/>
              <w:rPr>
                <w:b/>
                <w:color w:val="00B050"/>
              </w:rPr>
            </w:pPr>
            <w:r w:rsidRPr="002B1281">
              <w:rPr>
                <w:b/>
                <w:color w:val="00B050"/>
              </w:rPr>
              <w:t>1,0250</w:t>
            </w:r>
          </w:p>
        </w:tc>
      </w:tr>
      <w:tr w:rsidR="002A45E1" w:rsidRPr="002B1281" w:rsidTr="002A45E1">
        <w:trPr>
          <w:cnfStyle w:val="000000100000" w:firstRow="0" w:lastRow="0" w:firstColumn="0" w:lastColumn="0" w:oddVBand="0" w:evenVBand="0" w:oddHBand="1" w:evenHBand="0" w:firstRowFirstColumn="0" w:firstRowLastColumn="0" w:lastRowFirstColumn="0" w:lastRowLastColumn="0"/>
          <w:trHeight w:val="20"/>
          <w:jc w:val="center"/>
        </w:trPr>
        <w:tc>
          <w:tcPr>
            <w:tcW w:w="1429" w:type="dxa"/>
            <w:tcBorders>
              <w:left w:val="nil"/>
            </w:tcBorders>
            <w:noWrap/>
            <w:vAlign w:val="center"/>
            <w:hideMark/>
          </w:tcPr>
          <w:p w:rsidR="002A45E1" w:rsidRPr="002B1281" w:rsidRDefault="002A45E1" w:rsidP="00226068">
            <w:pPr>
              <w:jc w:val="center"/>
              <w:rPr>
                <w:color w:val="000000"/>
              </w:rPr>
            </w:pPr>
            <w:r w:rsidRPr="002B1281">
              <w:rPr>
                <w:color w:val="000000"/>
              </w:rPr>
              <w:t>SANEAGO</w:t>
            </w:r>
          </w:p>
        </w:tc>
        <w:tc>
          <w:tcPr>
            <w:tcW w:w="866" w:type="dxa"/>
            <w:noWrap/>
            <w:vAlign w:val="center"/>
            <w:hideMark/>
          </w:tcPr>
          <w:p w:rsidR="002A45E1" w:rsidRPr="002B1281" w:rsidRDefault="002A45E1" w:rsidP="00226068">
            <w:pPr>
              <w:jc w:val="center"/>
              <w:rPr>
                <w:b/>
                <w:color w:val="00B050"/>
              </w:rPr>
            </w:pPr>
            <w:r w:rsidRPr="002B1281">
              <w:rPr>
                <w:b/>
                <w:color w:val="00B050"/>
              </w:rPr>
              <w:t>1,1331</w:t>
            </w:r>
          </w:p>
        </w:tc>
        <w:tc>
          <w:tcPr>
            <w:tcW w:w="1083" w:type="dxa"/>
            <w:noWrap/>
            <w:vAlign w:val="center"/>
            <w:hideMark/>
          </w:tcPr>
          <w:p w:rsidR="002A45E1" w:rsidRPr="002B1281" w:rsidRDefault="002A45E1" w:rsidP="00226068">
            <w:pPr>
              <w:jc w:val="center"/>
              <w:rPr>
                <w:b/>
                <w:color w:val="00B050"/>
              </w:rPr>
            </w:pPr>
            <w:r w:rsidRPr="002B1281">
              <w:rPr>
                <w:b/>
                <w:color w:val="00B050"/>
              </w:rPr>
              <w:t>1,0864</w:t>
            </w:r>
          </w:p>
        </w:tc>
        <w:tc>
          <w:tcPr>
            <w:tcW w:w="1450" w:type="dxa"/>
            <w:tcBorders>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1,0431</w:t>
            </w:r>
          </w:p>
        </w:tc>
        <w:tc>
          <w:tcPr>
            <w:tcW w:w="124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CASAN</w:t>
            </w:r>
          </w:p>
        </w:tc>
        <w:tc>
          <w:tcPr>
            <w:tcW w:w="843" w:type="dxa"/>
            <w:tcBorders>
              <w:right w:val="nil"/>
            </w:tcBorders>
            <w:vAlign w:val="center"/>
          </w:tcPr>
          <w:p w:rsidR="002A45E1" w:rsidRPr="002B1281" w:rsidRDefault="002A45E1" w:rsidP="00226068">
            <w:pPr>
              <w:jc w:val="center"/>
              <w:rPr>
                <w:color w:val="000000"/>
              </w:rPr>
            </w:pPr>
            <w:r w:rsidRPr="002B1281">
              <w:rPr>
                <w:color w:val="000000"/>
              </w:rPr>
              <w:t>0,9729</w:t>
            </w:r>
          </w:p>
        </w:tc>
        <w:tc>
          <w:tcPr>
            <w:tcW w:w="1011" w:type="dxa"/>
            <w:tcBorders>
              <w:right w:val="nil"/>
            </w:tcBorders>
            <w:vAlign w:val="center"/>
          </w:tcPr>
          <w:p w:rsidR="002A45E1" w:rsidRPr="002B1281" w:rsidRDefault="002A45E1" w:rsidP="00226068">
            <w:pPr>
              <w:jc w:val="center"/>
              <w:rPr>
                <w:color w:val="000000"/>
              </w:rPr>
            </w:pPr>
            <w:r w:rsidRPr="002B1281">
              <w:rPr>
                <w:color w:val="000000"/>
              </w:rPr>
              <w:t>0,9701</w:t>
            </w:r>
          </w:p>
        </w:tc>
        <w:tc>
          <w:tcPr>
            <w:tcW w:w="1450" w:type="dxa"/>
            <w:tcBorders>
              <w:right w:val="single" w:sz="12" w:space="0" w:color="008080"/>
            </w:tcBorders>
            <w:vAlign w:val="center"/>
          </w:tcPr>
          <w:p w:rsidR="002A45E1" w:rsidRPr="002B1281" w:rsidRDefault="002A45E1" w:rsidP="00226068">
            <w:pPr>
              <w:jc w:val="center"/>
              <w:rPr>
                <w:b/>
                <w:color w:val="00B050"/>
              </w:rPr>
            </w:pPr>
            <w:r w:rsidRPr="002B1281">
              <w:rPr>
                <w:b/>
                <w:color w:val="00B050"/>
              </w:rPr>
              <w:t>1,0028</w:t>
            </w:r>
          </w:p>
        </w:tc>
        <w:tc>
          <w:tcPr>
            <w:tcW w:w="1328" w:type="dxa"/>
            <w:tcBorders>
              <w:left w:val="single" w:sz="12" w:space="0" w:color="008080"/>
              <w:right w:val="nil"/>
            </w:tcBorders>
            <w:vAlign w:val="center"/>
          </w:tcPr>
          <w:p w:rsidR="002A45E1" w:rsidRPr="002B1281" w:rsidRDefault="002A45E1" w:rsidP="00226068">
            <w:pPr>
              <w:jc w:val="center"/>
              <w:rPr>
                <w:color w:val="000000"/>
              </w:rPr>
            </w:pPr>
            <w:r w:rsidRPr="002B1281">
              <w:rPr>
                <w:color w:val="000000"/>
              </w:rPr>
              <w:t>CAERN</w:t>
            </w:r>
          </w:p>
        </w:tc>
        <w:tc>
          <w:tcPr>
            <w:tcW w:w="866" w:type="dxa"/>
            <w:tcBorders>
              <w:right w:val="nil"/>
            </w:tcBorders>
            <w:vAlign w:val="center"/>
          </w:tcPr>
          <w:p w:rsidR="002A45E1" w:rsidRPr="002B1281" w:rsidRDefault="002A45E1" w:rsidP="00226068">
            <w:pPr>
              <w:jc w:val="center"/>
              <w:rPr>
                <w:color w:val="000000"/>
              </w:rPr>
            </w:pPr>
            <w:r w:rsidRPr="002B1281">
              <w:rPr>
                <w:color w:val="000000"/>
              </w:rPr>
              <w:t>0,7041</w:t>
            </w:r>
          </w:p>
        </w:tc>
        <w:tc>
          <w:tcPr>
            <w:tcW w:w="1005" w:type="dxa"/>
            <w:tcBorders>
              <w:right w:val="nil"/>
            </w:tcBorders>
            <w:vAlign w:val="center"/>
          </w:tcPr>
          <w:p w:rsidR="002A45E1" w:rsidRPr="002B1281" w:rsidRDefault="002A45E1" w:rsidP="00226068">
            <w:pPr>
              <w:jc w:val="center"/>
              <w:rPr>
                <w:color w:val="000000"/>
              </w:rPr>
            </w:pPr>
            <w:r w:rsidRPr="002B1281">
              <w:rPr>
                <w:color w:val="000000"/>
              </w:rPr>
              <w:t>0,6196</w:t>
            </w:r>
          </w:p>
        </w:tc>
        <w:tc>
          <w:tcPr>
            <w:tcW w:w="1450" w:type="dxa"/>
            <w:tcBorders>
              <w:right w:val="nil"/>
            </w:tcBorders>
            <w:vAlign w:val="center"/>
          </w:tcPr>
          <w:p w:rsidR="002A45E1" w:rsidRPr="002B1281" w:rsidRDefault="002A45E1" w:rsidP="00226068">
            <w:pPr>
              <w:jc w:val="center"/>
              <w:rPr>
                <w:b/>
                <w:color w:val="00B050"/>
              </w:rPr>
            </w:pPr>
            <w:r w:rsidRPr="002B1281">
              <w:rPr>
                <w:b/>
                <w:color w:val="00B050"/>
              </w:rPr>
              <w:t>1,1365</w:t>
            </w:r>
          </w:p>
        </w:tc>
      </w:tr>
      <w:tr w:rsidR="002A45E1" w:rsidRPr="002B1281" w:rsidTr="002A45E1">
        <w:trPr>
          <w:cnfStyle w:val="000000010000" w:firstRow="0" w:lastRow="0" w:firstColumn="0" w:lastColumn="0" w:oddVBand="0" w:evenVBand="0" w:oddHBand="0" w:evenHBand="1" w:firstRowFirstColumn="0" w:firstRowLastColumn="0" w:lastRowFirstColumn="0" w:lastRowLastColumn="0"/>
          <w:trHeight w:val="20"/>
          <w:jc w:val="center"/>
        </w:trPr>
        <w:tc>
          <w:tcPr>
            <w:tcW w:w="1429" w:type="dxa"/>
            <w:tcBorders>
              <w:left w:val="nil"/>
              <w:bottom w:val="single" w:sz="12" w:space="0" w:color="008080"/>
            </w:tcBorders>
            <w:noWrap/>
            <w:vAlign w:val="center"/>
            <w:hideMark/>
          </w:tcPr>
          <w:p w:rsidR="002A45E1" w:rsidRPr="002B1281" w:rsidRDefault="002A45E1" w:rsidP="00226068">
            <w:pPr>
              <w:jc w:val="center"/>
              <w:rPr>
                <w:color w:val="000000"/>
              </w:rPr>
            </w:pPr>
            <w:r w:rsidRPr="002B1281">
              <w:rPr>
                <w:color w:val="000000"/>
              </w:rPr>
              <w:t>SANECAP</w:t>
            </w:r>
          </w:p>
        </w:tc>
        <w:tc>
          <w:tcPr>
            <w:tcW w:w="866" w:type="dxa"/>
            <w:tcBorders>
              <w:bottom w:val="single" w:sz="12" w:space="0" w:color="008080"/>
            </w:tcBorders>
            <w:noWrap/>
            <w:vAlign w:val="center"/>
            <w:hideMark/>
          </w:tcPr>
          <w:p w:rsidR="002A45E1" w:rsidRPr="002B1281" w:rsidRDefault="002A45E1" w:rsidP="00226068">
            <w:pPr>
              <w:jc w:val="center"/>
              <w:rPr>
                <w:b/>
                <w:color w:val="00B050"/>
              </w:rPr>
            </w:pPr>
            <w:r w:rsidRPr="002B1281">
              <w:rPr>
                <w:b/>
                <w:color w:val="00B050"/>
              </w:rPr>
              <w:t>1,1235</w:t>
            </w:r>
          </w:p>
        </w:tc>
        <w:tc>
          <w:tcPr>
            <w:tcW w:w="1083" w:type="dxa"/>
            <w:tcBorders>
              <w:bottom w:val="single" w:sz="12" w:space="0" w:color="008080"/>
            </w:tcBorders>
            <w:noWrap/>
            <w:vAlign w:val="center"/>
            <w:hideMark/>
          </w:tcPr>
          <w:p w:rsidR="002A45E1" w:rsidRPr="002B1281" w:rsidRDefault="002A45E1" w:rsidP="00226068">
            <w:pPr>
              <w:jc w:val="center"/>
              <w:rPr>
                <w:b/>
                <w:color w:val="00B050"/>
              </w:rPr>
            </w:pPr>
            <w:r w:rsidRPr="002B1281">
              <w:rPr>
                <w:b/>
                <w:color w:val="00B050"/>
              </w:rPr>
              <w:t>1,0993</w:t>
            </w:r>
          </w:p>
        </w:tc>
        <w:tc>
          <w:tcPr>
            <w:tcW w:w="1450" w:type="dxa"/>
            <w:tcBorders>
              <w:bottom w:val="single" w:sz="12" w:space="0" w:color="008080"/>
              <w:right w:val="single" w:sz="12" w:space="0" w:color="008080"/>
            </w:tcBorders>
            <w:noWrap/>
            <w:vAlign w:val="center"/>
            <w:hideMark/>
          </w:tcPr>
          <w:p w:rsidR="002A45E1" w:rsidRPr="002B1281" w:rsidRDefault="002A45E1" w:rsidP="00226068">
            <w:pPr>
              <w:jc w:val="center"/>
              <w:rPr>
                <w:b/>
                <w:color w:val="00B050"/>
              </w:rPr>
            </w:pPr>
            <w:r w:rsidRPr="002B1281">
              <w:rPr>
                <w:b/>
                <w:color w:val="00B050"/>
              </w:rPr>
              <w:t>1,0220</w:t>
            </w:r>
          </w:p>
        </w:tc>
        <w:tc>
          <w:tcPr>
            <w:tcW w:w="1248" w:type="dxa"/>
            <w:tcBorders>
              <w:left w:val="single" w:sz="12" w:space="0" w:color="008080"/>
              <w:bottom w:val="single" w:sz="12" w:space="0" w:color="008080"/>
              <w:right w:val="nil"/>
            </w:tcBorders>
            <w:vAlign w:val="center"/>
          </w:tcPr>
          <w:p w:rsidR="002A45E1" w:rsidRPr="002B1281" w:rsidRDefault="002A45E1" w:rsidP="00226068">
            <w:pPr>
              <w:jc w:val="center"/>
              <w:rPr>
                <w:color w:val="000000"/>
              </w:rPr>
            </w:pPr>
            <w:r w:rsidRPr="002B1281">
              <w:rPr>
                <w:color w:val="000000"/>
              </w:rPr>
              <w:t>SABESP</w:t>
            </w:r>
          </w:p>
        </w:tc>
        <w:tc>
          <w:tcPr>
            <w:tcW w:w="843" w:type="dxa"/>
            <w:tcBorders>
              <w:bottom w:val="single" w:sz="12" w:space="0" w:color="008080"/>
              <w:right w:val="nil"/>
            </w:tcBorders>
            <w:vAlign w:val="center"/>
          </w:tcPr>
          <w:p w:rsidR="002A45E1" w:rsidRPr="002B1281" w:rsidRDefault="002A45E1" w:rsidP="00226068">
            <w:pPr>
              <w:jc w:val="center"/>
              <w:rPr>
                <w:color w:val="000000"/>
              </w:rPr>
            </w:pPr>
            <w:r w:rsidRPr="002B1281">
              <w:rPr>
                <w:color w:val="000000"/>
              </w:rPr>
              <w:t>0,9692</w:t>
            </w:r>
          </w:p>
        </w:tc>
        <w:tc>
          <w:tcPr>
            <w:tcW w:w="1011" w:type="dxa"/>
            <w:tcBorders>
              <w:bottom w:val="single" w:sz="12" w:space="0" w:color="008080"/>
              <w:right w:val="nil"/>
            </w:tcBorders>
            <w:vAlign w:val="center"/>
          </w:tcPr>
          <w:p w:rsidR="002A45E1" w:rsidRPr="002B1281" w:rsidRDefault="002A45E1" w:rsidP="00226068">
            <w:pPr>
              <w:jc w:val="center"/>
              <w:rPr>
                <w:color w:val="000000"/>
              </w:rPr>
            </w:pPr>
            <w:r w:rsidRPr="002B1281">
              <w:rPr>
                <w:color w:val="000000"/>
              </w:rPr>
              <w:t>1,0000</w:t>
            </w:r>
          </w:p>
        </w:tc>
        <w:tc>
          <w:tcPr>
            <w:tcW w:w="1450" w:type="dxa"/>
            <w:tcBorders>
              <w:bottom w:val="single" w:sz="12" w:space="0" w:color="008080"/>
              <w:right w:val="single" w:sz="12" w:space="0" w:color="008080"/>
            </w:tcBorders>
            <w:vAlign w:val="center"/>
          </w:tcPr>
          <w:p w:rsidR="002A45E1" w:rsidRPr="002B1281" w:rsidRDefault="002A45E1" w:rsidP="00226068">
            <w:pPr>
              <w:jc w:val="center"/>
              <w:rPr>
                <w:color w:val="000000"/>
              </w:rPr>
            </w:pPr>
            <w:r w:rsidRPr="002B1281">
              <w:rPr>
                <w:color w:val="000000"/>
              </w:rPr>
              <w:t>0,9692</w:t>
            </w:r>
          </w:p>
        </w:tc>
        <w:tc>
          <w:tcPr>
            <w:tcW w:w="1328" w:type="dxa"/>
            <w:tcBorders>
              <w:left w:val="single" w:sz="12" w:space="0" w:color="008080"/>
              <w:right w:val="nil"/>
            </w:tcBorders>
          </w:tcPr>
          <w:p w:rsidR="002A45E1" w:rsidRPr="002B1281" w:rsidRDefault="002A45E1" w:rsidP="00226068">
            <w:pPr>
              <w:jc w:val="center"/>
              <w:rPr>
                <w:b/>
                <w:color w:val="00B050"/>
              </w:rPr>
            </w:pPr>
            <w:r>
              <w:rPr>
                <w:b/>
                <w:color w:val="00B050"/>
              </w:rPr>
              <w:t>-</w:t>
            </w:r>
          </w:p>
        </w:tc>
        <w:tc>
          <w:tcPr>
            <w:tcW w:w="866" w:type="dxa"/>
            <w:tcBorders>
              <w:right w:val="nil"/>
            </w:tcBorders>
          </w:tcPr>
          <w:p w:rsidR="002A45E1" w:rsidRPr="002B1281" w:rsidRDefault="002A45E1" w:rsidP="00226068">
            <w:pPr>
              <w:jc w:val="center"/>
              <w:rPr>
                <w:b/>
                <w:color w:val="00B050"/>
              </w:rPr>
            </w:pPr>
            <w:r>
              <w:rPr>
                <w:b/>
                <w:color w:val="00B050"/>
              </w:rPr>
              <w:t>-</w:t>
            </w:r>
          </w:p>
        </w:tc>
        <w:tc>
          <w:tcPr>
            <w:tcW w:w="1005" w:type="dxa"/>
            <w:tcBorders>
              <w:right w:val="nil"/>
            </w:tcBorders>
          </w:tcPr>
          <w:p w:rsidR="002A45E1" w:rsidRPr="002B1281" w:rsidRDefault="002A45E1" w:rsidP="00226068">
            <w:pPr>
              <w:jc w:val="center"/>
              <w:rPr>
                <w:b/>
                <w:color w:val="00B050"/>
              </w:rPr>
            </w:pPr>
            <w:r>
              <w:rPr>
                <w:b/>
                <w:color w:val="00B050"/>
              </w:rPr>
              <w:t>-</w:t>
            </w:r>
          </w:p>
        </w:tc>
        <w:tc>
          <w:tcPr>
            <w:tcW w:w="1450" w:type="dxa"/>
            <w:tcBorders>
              <w:right w:val="nil"/>
            </w:tcBorders>
          </w:tcPr>
          <w:p w:rsidR="002A45E1" w:rsidRPr="002B1281" w:rsidRDefault="002A45E1" w:rsidP="00226068">
            <w:pPr>
              <w:jc w:val="center"/>
              <w:rPr>
                <w:b/>
                <w:color w:val="00B050"/>
              </w:rPr>
            </w:pPr>
            <w:r>
              <w:rPr>
                <w:b/>
                <w:color w:val="00B050"/>
              </w:rPr>
              <w:t>-</w:t>
            </w:r>
          </w:p>
        </w:tc>
      </w:tr>
    </w:tbl>
    <w:p w:rsidR="00D06CDF" w:rsidRPr="00B913D8" w:rsidRDefault="00D06CDF" w:rsidP="002A45E1">
      <w:pPr>
        <w:spacing w:after="0" w:line="240" w:lineRule="auto"/>
        <w:jc w:val="both"/>
        <w:outlineLvl w:val="0"/>
        <w:rPr>
          <w:rFonts w:ascii="Times New Roman" w:hAnsi="Times New Roman" w:cs="Times New Roman"/>
          <w:sz w:val="20"/>
        </w:rPr>
      </w:pPr>
      <w:r w:rsidRPr="00436A0D">
        <w:rPr>
          <w:rFonts w:ascii="Times New Roman" w:hAnsi="Times New Roman" w:cs="Times New Roman"/>
          <w:b/>
          <w:sz w:val="20"/>
        </w:rPr>
        <w:t>Fonte</w:t>
      </w:r>
      <w:r w:rsidRPr="00436A0D">
        <w:rPr>
          <w:rFonts w:ascii="Times New Roman" w:hAnsi="Times New Roman" w:cs="Times New Roman"/>
          <w:sz w:val="20"/>
        </w:rPr>
        <w:t>: Elaboração d</w:t>
      </w:r>
      <w:r>
        <w:rPr>
          <w:rFonts w:ascii="Times New Roman" w:hAnsi="Times New Roman" w:cs="Times New Roman"/>
          <w:sz w:val="20"/>
        </w:rPr>
        <w:t>os autores</w:t>
      </w:r>
      <w:r w:rsidRPr="00436A0D">
        <w:rPr>
          <w:rFonts w:ascii="Times New Roman" w:hAnsi="Times New Roman" w:cs="Times New Roman"/>
          <w:sz w:val="20"/>
        </w:rPr>
        <w:t>.</w:t>
      </w:r>
    </w:p>
    <w:sectPr w:rsidR="00D06CDF" w:rsidRPr="00B913D8" w:rsidSect="005D6054">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CA0" w:rsidRDefault="00E33CA0" w:rsidP="00EC6463">
      <w:pPr>
        <w:spacing w:after="0" w:line="240" w:lineRule="auto"/>
      </w:pPr>
      <w:r>
        <w:separator/>
      </w:r>
    </w:p>
  </w:endnote>
  <w:endnote w:type="continuationSeparator" w:id="0">
    <w:p w:rsidR="00E33CA0" w:rsidRDefault="00E33CA0" w:rsidP="00EC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CA0" w:rsidRDefault="00E33CA0" w:rsidP="00EC6463">
      <w:pPr>
        <w:spacing w:after="0" w:line="240" w:lineRule="auto"/>
      </w:pPr>
      <w:r>
        <w:separator/>
      </w:r>
    </w:p>
  </w:footnote>
  <w:footnote w:type="continuationSeparator" w:id="0">
    <w:p w:rsidR="00E33CA0" w:rsidRDefault="00E33CA0" w:rsidP="00EC6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0153"/>
      <w:docPartObj>
        <w:docPartGallery w:val="Page Numbers (Top of Page)"/>
        <w:docPartUnique/>
      </w:docPartObj>
    </w:sdtPr>
    <w:sdtContent>
      <w:p w:rsidR="00350469" w:rsidRDefault="00350469">
        <w:pPr>
          <w:pStyle w:val="Cabealho"/>
          <w:jc w:val="right"/>
        </w:pPr>
        <w:r>
          <w:fldChar w:fldCharType="begin"/>
        </w:r>
        <w:r>
          <w:instrText>PAGE   \* MERGEFORMAT</w:instrText>
        </w:r>
        <w:r>
          <w:fldChar w:fldCharType="separate"/>
        </w:r>
        <w:r w:rsidR="00603355">
          <w:rPr>
            <w:noProof/>
          </w:rPr>
          <w:t>1</w:t>
        </w:r>
        <w:r>
          <w:fldChar w:fldCharType="end"/>
        </w:r>
      </w:p>
    </w:sdtContent>
  </w:sdt>
  <w:p w:rsidR="00350469" w:rsidRDefault="003504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33D"/>
    <w:multiLevelType w:val="hybridMultilevel"/>
    <w:tmpl w:val="B56A316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217FC7"/>
    <w:multiLevelType w:val="hybridMultilevel"/>
    <w:tmpl w:val="77FC7A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C831A3"/>
    <w:multiLevelType w:val="hybridMultilevel"/>
    <w:tmpl w:val="60AAE212"/>
    <w:lvl w:ilvl="0" w:tplc="4808E4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52317680"/>
    <w:multiLevelType w:val="hybridMultilevel"/>
    <w:tmpl w:val="4A2E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7C2498"/>
    <w:multiLevelType w:val="hybridMultilevel"/>
    <w:tmpl w:val="2C2ABCE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5314D65"/>
    <w:multiLevelType w:val="hybridMultilevel"/>
    <w:tmpl w:val="B2AAB78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CE7792E"/>
    <w:multiLevelType w:val="hybridMultilevel"/>
    <w:tmpl w:val="02FE19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8F"/>
    <w:rsid w:val="00011A74"/>
    <w:rsid w:val="000206FB"/>
    <w:rsid w:val="00042580"/>
    <w:rsid w:val="000533CC"/>
    <w:rsid w:val="0005437F"/>
    <w:rsid w:val="00060BFD"/>
    <w:rsid w:val="00060F40"/>
    <w:rsid w:val="00066C39"/>
    <w:rsid w:val="00084341"/>
    <w:rsid w:val="00096B4C"/>
    <w:rsid w:val="000A0E12"/>
    <w:rsid w:val="000A1569"/>
    <w:rsid w:val="000B5C19"/>
    <w:rsid w:val="000C36BC"/>
    <w:rsid w:val="000C5CAF"/>
    <w:rsid w:val="000D35F7"/>
    <w:rsid w:val="000D6CF5"/>
    <w:rsid w:val="000E3302"/>
    <w:rsid w:val="000F28C9"/>
    <w:rsid w:val="00114A0C"/>
    <w:rsid w:val="00121215"/>
    <w:rsid w:val="0012605A"/>
    <w:rsid w:val="001271C5"/>
    <w:rsid w:val="001306E2"/>
    <w:rsid w:val="00132878"/>
    <w:rsid w:val="0013341C"/>
    <w:rsid w:val="00145218"/>
    <w:rsid w:val="00161A76"/>
    <w:rsid w:val="00163B61"/>
    <w:rsid w:val="00163CBF"/>
    <w:rsid w:val="001706EF"/>
    <w:rsid w:val="00170A4D"/>
    <w:rsid w:val="001729B1"/>
    <w:rsid w:val="00177AD0"/>
    <w:rsid w:val="001811A5"/>
    <w:rsid w:val="00183CA5"/>
    <w:rsid w:val="00184208"/>
    <w:rsid w:val="00195583"/>
    <w:rsid w:val="001A7AFE"/>
    <w:rsid w:val="001B2E1C"/>
    <w:rsid w:val="001B727D"/>
    <w:rsid w:val="001D7700"/>
    <w:rsid w:val="001D792C"/>
    <w:rsid w:val="0020477B"/>
    <w:rsid w:val="0020745E"/>
    <w:rsid w:val="00211CCA"/>
    <w:rsid w:val="00214759"/>
    <w:rsid w:val="00216F08"/>
    <w:rsid w:val="00226068"/>
    <w:rsid w:val="00230AA0"/>
    <w:rsid w:val="00231526"/>
    <w:rsid w:val="00231E00"/>
    <w:rsid w:val="00250B7F"/>
    <w:rsid w:val="00251F4B"/>
    <w:rsid w:val="002541F3"/>
    <w:rsid w:val="0025596B"/>
    <w:rsid w:val="00261C43"/>
    <w:rsid w:val="0027364D"/>
    <w:rsid w:val="00274A6A"/>
    <w:rsid w:val="002750F4"/>
    <w:rsid w:val="00276102"/>
    <w:rsid w:val="00281F38"/>
    <w:rsid w:val="002830D6"/>
    <w:rsid w:val="00286DF8"/>
    <w:rsid w:val="002935DB"/>
    <w:rsid w:val="002A45E1"/>
    <w:rsid w:val="002B1281"/>
    <w:rsid w:val="002B1616"/>
    <w:rsid w:val="002B4287"/>
    <w:rsid w:val="002C5C9E"/>
    <w:rsid w:val="002D287A"/>
    <w:rsid w:val="002E3234"/>
    <w:rsid w:val="002E3A0C"/>
    <w:rsid w:val="002F3908"/>
    <w:rsid w:val="002F3E0F"/>
    <w:rsid w:val="002F4696"/>
    <w:rsid w:val="00301B85"/>
    <w:rsid w:val="00311BDB"/>
    <w:rsid w:val="00312656"/>
    <w:rsid w:val="003165EC"/>
    <w:rsid w:val="00320350"/>
    <w:rsid w:val="00334C8A"/>
    <w:rsid w:val="00341FFC"/>
    <w:rsid w:val="00342B47"/>
    <w:rsid w:val="00350469"/>
    <w:rsid w:val="00360730"/>
    <w:rsid w:val="00370BD9"/>
    <w:rsid w:val="00391152"/>
    <w:rsid w:val="003A0480"/>
    <w:rsid w:val="003B072D"/>
    <w:rsid w:val="003B46D3"/>
    <w:rsid w:val="003E2847"/>
    <w:rsid w:val="004116B8"/>
    <w:rsid w:val="0041367C"/>
    <w:rsid w:val="0043521B"/>
    <w:rsid w:val="00435798"/>
    <w:rsid w:val="00436A0D"/>
    <w:rsid w:val="00440C15"/>
    <w:rsid w:val="0046600A"/>
    <w:rsid w:val="00473275"/>
    <w:rsid w:val="004741B4"/>
    <w:rsid w:val="00477986"/>
    <w:rsid w:val="004822A6"/>
    <w:rsid w:val="004914E9"/>
    <w:rsid w:val="00493968"/>
    <w:rsid w:val="004A22A0"/>
    <w:rsid w:val="004A4955"/>
    <w:rsid w:val="004A7B3A"/>
    <w:rsid w:val="004B1F42"/>
    <w:rsid w:val="004D6900"/>
    <w:rsid w:val="004E2817"/>
    <w:rsid w:val="004E695D"/>
    <w:rsid w:val="004F20E2"/>
    <w:rsid w:val="004F592F"/>
    <w:rsid w:val="005008F7"/>
    <w:rsid w:val="005032F2"/>
    <w:rsid w:val="00510A95"/>
    <w:rsid w:val="0051285D"/>
    <w:rsid w:val="00524D23"/>
    <w:rsid w:val="00525559"/>
    <w:rsid w:val="00531593"/>
    <w:rsid w:val="00535BD1"/>
    <w:rsid w:val="00535FB1"/>
    <w:rsid w:val="005402A9"/>
    <w:rsid w:val="005462AB"/>
    <w:rsid w:val="00562002"/>
    <w:rsid w:val="005647DB"/>
    <w:rsid w:val="005648C8"/>
    <w:rsid w:val="00577105"/>
    <w:rsid w:val="005838AD"/>
    <w:rsid w:val="00584876"/>
    <w:rsid w:val="005906D1"/>
    <w:rsid w:val="005919B8"/>
    <w:rsid w:val="005B651D"/>
    <w:rsid w:val="005C29D8"/>
    <w:rsid w:val="005C3573"/>
    <w:rsid w:val="005D01F8"/>
    <w:rsid w:val="005D6054"/>
    <w:rsid w:val="005E1C9B"/>
    <w:rsid w:val="005F08F1"/>
    <w:rsid w:val="00603355"/>
    <w:rsid w:val="00603ACE"/>
    <w:rsid w:val="00606D4A"/>
    <w:rsid w:val="00617612"/>
    <w:rsid w:val="00620B01"/>
    <w:rsid w:val="00627D7C"/>
    <w:rsid w:val="00642B41"/>
    <w:rsid w:val="00645A5F"/>
    <w:rsid w:val="00645BB6"/>
    <w:rsid w:val="00652656"/>
    <w:rsid w:val="00652A3E"/>
    <w:rsid w:val="0065347E"/>
    <w:rsid w:val="006626BF"/>
    <w:rsid w:val="00662CBA"/>
    <w:rsid w:val="00690390"/>
    <w:rsid w:val="006911FF"/>
    <w:rsid w:val="00692430"/>
    <w:rsid w:val="00692D16"/>
    <w:rsid w:val="00696F96"/>
    <w:rsid w:val="006A40A6"/>
    <w:rsid w:val="006B2311"/>
    <w:rsid w:val="006B4833"/>
    <w:rsid w:val="006E5D24"/>
    <w:rsid w:val="006E5DB0"/>
    <w:rsid w:val="006F6706"/>
    <w:rsid w:val="00707467"/>
    <w:rsid w:val="00710A56"/>
    <w:rsid w:val="007123F5"/>
    <w:rsid w:val="00715A0C"/>
    <w:rsid w:val="0071629B"/>
    <w:rsid w:val="007266CD"/>
    <w:rsid w:val="00726F88"/>
    <w:rsid w:val="00743201"/>
    <w:rsid w:val="0074750F"/>
    <w:rsid w:val="00761AAD"/>
    <w:rsid w:val="00761F0D"/>
    <w:rsid w:val="00766F40"/>
    <w:rsid w:val="0078289F"/>
    <w:rsid w:val="00783C13"/>
    <w:rsid w:val="007B0856"/>
    <w:rsid w:val="007B2B1F"/>
    <w:rsid w:val="007C4F1F"/>
    <w:rsid w:val="007E33A1"/>
    <w:rsid w:val="007E44A5"/>
    <w:rsid w:val="007E799F"/>
    <w:rsid w:val="007F09AC"/>
    <w:rsid w:val="007F28E0"/>
    <w:rsid w:val="00814267"/>
    <w:rsid w:val="00820F1A"/>
    <w:rsid w:val="0082341C"/>
    <w:rsid w:val="0083088F"/>
    <w:rsid w:val="00832318"/>
    <w:rsid w:val="0084279B"/>
    <w:rsid w:val="00855E0E"/>
    <w:rsid w:val="008577CC"/>
    <w:rsid w:val="008619D1"/>
    <w:rsid w:val="00864080"/>
    <w:rsid w:val="008657EE"/>
    <w:rsid w:val="00866F73"/>
    <w:rsid w:val="0087576C"/>
    <w:rsid w:val="0087776E"/>
    <w:rsid w:val="00880068"/>
    <w:rsid w:val="00887130"/>
    <w:rsid w:val="00890A26"/>
    <w:rsid w:val="008A0406"/>
    <w:rsid w:val="008A083C"/>
    <w:rsid w:val="008A3AC8"/>
    <w:rsid w:val="008A6555"/>
    <w:rsid w:val="008B4021"/>
    <w:rsid w:val="008C02F7"/>
    <w:rsid w:val="008C557F"/>
    <w:rsid w:val="008D120F"/>
    <w:rsid w:val="008D727D"/>
    <w:rsid w:val="008E20C0"/>
    <w:rsid w:val="00907A90"/>
    <w:rsid w:val="00912731"/>
    <w:rsid w:val="00930218"/>
    <w:rsid w:val="00932B87"/>
    <w:rsid w:val="0093575A"/>
    <w:rsid w:val="00941C1D"/>
    <w:rsid w:val="009475DE"/>
    <w:rsid w:val="00962DC6"/>
    <w:rsid w:val="00972ABD"/>
    <w:rsid w:val="00972FFF"/>
    <w:rsid w:val="00980238"/>
    <w:rsid w:val="009819B1"/>
    <w:rsid w:val="00982E70"/>
    <w:rsid w:val="00984DA9"/>
    <w:rsid w:val="009927A2"/>
    <w:rsid w:val="009932CF"/>
    <w:rsid w:val="009961CA"/>
    <w:rsid w:val="00997C1F"/>
    <w:rsid w:val="009A5A52"/>
    <w:rsid w:val="009B0A41"/>
    <w:rsid w:val="009C34FB"/>
    <w:rsid w:val="009C3F72"/>
    <w:rsid w:val="009E5655"/>
    <w:rsid w:val="009F1352"/>
    <w:rsid w:val="00A04CB3"/>
    <w:rsid w:val="00A07722"/>
    <w:rsid w:val="00A14B55"/>
    <w:rsid w:val="00A17662"/>
    <w:rsid w:val="00A223BD"/>
    <w:rsid w:val="00A3738F"/>
    <w:rsid w:val="00A37593"/>
    <w:rsid w:val="00A37C7B"/>
    <w:rsid w:val="00A42FA5"/>
    <w:rsid w:val="00A47EF6"/>
    <w:rsid w:val="00A76CC9"/>
    <w:rsid w:val="00A771A8"/>
    <w:rsid w:val="00A804C1"/>
    <w:rsid w:val="00A80D51"/>
    <w:rsid w:val="00A81381"/>
    <w:rsid w:val="00A82BDC"/>
    <w:rsid w:val="00A84E06"/>
    <w:rsid w:val="00A93562"/>
    <w:rsid w:val="00AA1F95"/>
    <w:rsid w:val="00AB0CF8"/>
    <w:rsid w:val="00AC3688"/>
    <w:rsid w:val="00AC3D66"/>
    <w:rsid w:val="00AC6DD1"/>
    <w:rsid w:val="00AC74A3"/>
    <w:rsid w:val="00AD3250"/>
    <w:rsid w:val="00AD4088"/>
    <w:rsid w:val="00AE778C"/>
    <w:rsid w:val="00AF499C"/>
    <w:rsid w:val="00B0566B"/>
    <w:rsid w:val="00B1356F"/>
    <w:rsid w:val="00B2166C"/>
    <w:rsid w:val="00B2547A"/>
    <w:rsid w:val="00B3464F"/>
    <w:rsid w:val="00B50234"/>
    <w:rsid w:val="00B61420"/>
    <w:rsid w:val="00B702DE"/>
    <w:rsid w:val="00B70A7B"/>
    <w:rsid w:val="00B70B9F"/>
    <w:rsid w:val="00B71E05"/>
    <w:rsid w:val="00B72306"/>
    <w:rsid w:val="00B913D8"/>
    <w:rsid w:val="00B95BCA"/>
    <w:rsid w:val="00BA34ED"/>
    <w:rsid w:val="00BD48E3"/>
    <w:rsid w:val="00BE1EE9"/>
    <w:rsid w:val="00BE3694"/>
    <w:rsid w:val="00BE6B2C"/>
    <w:rsid w:val="00BF3345"/>
    <w:rsid w:val="00BF4B0E"/>
    <w:rsid w:val="00C036DA"/>
    <w:rsid w:val="00C06E7B"/>
    <w:rsid w:val="00C118F7"/>
    <w:rsid w:val="00C21D7E"/>
    <w:rsid w:val="00C30AF0"/>
    <w:rsid w:val="00C34F7F"/>
    <w:rsid w:val="00C61B7C"/>
    <w:rsid w:val="00C66FC8"/>
    <w:rsid w:val="00C82F1E"/>
    <w:rsid w:val="00C8393A"/>
    <w:rsid w:val="00C83E55"/>
    <w:rsid w:val="00C91179"/>
    <w:rsid w:val="00CA1B3D"/>
    <w:rsid w:val="00CB0A6F"/>
    <w:rsid w:val="00CB79A8"/>
    <w:rsid w:val="00CC0716"/>
    <w:rsid w:val="00CE4207"/>
    <w:rsid w:val="00CF0726"/>
    <w:rsid w:val="00CF5C99"/>
    <w:rsid w:val="00D06CDF"/>
    <w:rsid w:val="00D163BD"/>
    <w:rsid w:val="00D22147"/>
    <w:rsid w:val="00D232E0"/>
    <w:rsid w:val="00D273C1"/>
    <w:rsid w:val="00D33745"/>
    <w:rsid w:val="00D3455C"/>
    <w:rsid w:val="00D355D7"/>
    <w:rsid w:val="00D4259A"/>
    <w:rsid w:val="00D50D8F"/>
    <w:rsid w:val="00D554C8"/>
    <w:rsid w:val="00D638D9"/>
    <w:rsid w:val="00D728C9"/>
    <w:rsid w:val="00D74A1B"/>
    <w:rsid w:val="00D7719D"/>
    <w:rsid w:val="00D82526"/>
    <w:rsid w:val="00D85A7B"/>
    <w:rsid w:val="00D926F3"/>
    <w:rsid w:val="00D95E90"/>
    <w:rsid w:val="00DB2170"/>
    <w:rsid w:val="00DB4A6C"/>
    <w:rsid w:val="00DB5B93"/>
    <w:rsid w:val="00DD5740"/>
    <w:rsid w:val="00DD6D15"/>
    <w:rsid w:val="00DD729E"/>
    <w:rsid w:val="00DE0D02"/>
    <w:rsid w:val="00DE0E86"/>
    <w:rsid w:val="00DE1DDC"/>
    <w:rsid w:val="00DF2122"/>
    <w:rsid w:val="00DF2F82"/>
    <w:rsid w:val="00DF55AA"/>
    <w:rsid w:val="00E01EE4"/>
    <w:rsid w:val="00E07558"/>
    <w:rsid w:val="00E131CC"/>
    <w:rsid w:val="00E13F5D"/>
    <w:rsid w:val="00E24290"/>
    <w:rsid w:val="00E2772A"/>
    <w:rsid w:val="00E32EBE"/>
    <w:rsid w:val="00E33CA0"/>
    <w:rsid w:val="00E630D4"/>
    <w:rsid w:val="00E76D89"/>
    <w:rsid w:val="00E77C29"/>
    <w:rsid w:val="00E82A9E"/>
    <w:rsid w:val="00E844D9"/>
    <w:rsid w:val="00E855C4"/>
    <w:rsid w:val="00E873BB"/>
    <w:rsid w:val="00E9291E"/>
    <w:rsid w:val="00E97253"/>
    <w:rsid w:val="00EA1BEF"/>
    <w:rsid w:val="00EC43CA"/>
    <w:rsid w:val="00EC6463"/>
    <w:rsid w:val="00ED0278"/>
    <w:rsid w:val="00ED530B"/>
    <w:rsid w:val="00EE14FE"/>
    <w:rsid w:val="00EE611B"/>
    <w:rsid w:val="00F03088"/>
    <w:rsid w:val="00F039C2"/>
    <w:rsid w:val="00F475D5"/>
    <w:rsid w:val="00F55DDE"/>
    <w:rsid w:val="00F5756D"/>
    <w:rsid w:val="00F670C3"/>
    <w:rsid w:val="00F72129"/>
    <w:rsid w:val="00F73844"/>
    <w:rsid w:val="00FA4AB6"/>
    <w:rsid w:val="00FA4ECC"/>
    <w:rsid w:val="00FA5497"/>
    <w:rsid w:val="00FB457C"/>
    <w:rsid w:val="00FC1E18"/>
    <w:rsid w:val="00FE159C"/>
    <w:rsid w:val="00FF23D8"/>
    <w:rsid w:val="00FF3C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0A4D"/>
    <w:rPr>
      <w:color w:val="0000FF" w:themeColor="hyperlink"/>
      <w:u w:val="single"/>
    </w:rPr>
  </w:style>
  <w:style w:type="paragraph" w:styleId="PargrafodaLista">
    <w:name w:val="List Paragraph"/>
    <w:basedOn w:val="Normal"/>
    <w:uiPriority w:val="34"/>
    <w:qFormat/>
    <w:rsid w:val="00EC6463"/>
    <w:pPr>
      <w:ind w:left="720"/>
      <w:contextualSpacing/>
    </w:pPr>
  </w:style>
  <w:style w:type="paragraph" w:styleId="Cabealho">
    <w:name w:val="header"/>
    <w:basedOn w:val="Normal"/>
    <w:link w:val="CabealhoChar"/>
    <w:uiPriority w:val="99"/>
    <w:unhideWhenUsed/>
    <w:rsid w:val="00EC64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6463"/>
  </w:style>
  <w:style w:type="paragraph" w:styleId="Rodap">
    <w:name w:val="footer"/>
    <w:basedOn w:val="Normal"/>
    <w:link w:val="RodapChar"/>
    <w:uiPriority w:val="99"/>
    <w:unhideWhenUsed/>
    <w:rsid w:val="00EC6463"/>
    <w:pPr>
      <w:tabs>
        <w:tab w:val="center" w:pos="4252"/>
        <w:tab w:val="right" w:pos="8504"/>
      </w:tabs>
      <w:spacing w:after="0" w:line="240" w:lineRule="auto"/>
    </w:pPr>
  </w:style>
  <w:style w:type="character" w:customStyle="1" w:styleId="RodapChar">
    <w:name w:val="Rodapé Char"/>
    <w:basedOn w:val="Fontepargpadro"/>
    <w:link w:val="Rodap"/>
    <w:uiPriority w:val="99"/>
    <w:rsid w:val="00EC6463"/>
  </w:style>
  <w:style w:type="paragraph" w:styleId="Legenda">
    <w:name w:val="caption"/>
    <w:basedOn w:val="Normal"/>
    <w:next w:val="Normal"/>
    <w:qFormat/>
    <w:rsid w:val="00FB457C"/>
    <w:pPr>
      <w:spacing w:after="0" w:line="240" w:lineRule="auto"/>
    </w:pPr>
    <w:rPr>
      <w:rFonts w:ascii="Times New Roman" w:eastAsia="Times New Roman" w:hAnsi="Times New Roman" w:cs="Times New Roman"/>
      <w:b/>
      <w:bCs/>
      <w:sz w:val="20"/>
      <w:szCs w:val="20"/>
      <w:lang w:eastAsia="pt-BR"/>
    </w:rPr>
  </w:style>
  <w:style w:type="table" w:styleId="Tabelaemlista1">
    <w:name w:val="Table List 1"/>
    <w:basedOn w:val="Tabelanormal"/>
    <w:rsid w:val="00FB457C"/>
    <w:pPr>
      <w:spacing w:after="0" w:line="240" w:lineRule="auto"/>
    </w:pPr>
    <w:rPr>
      <w:rFonts w:ascii="Times New Roman" w:eastAsia="Times New Roman" w:hAnsi="Times New Roman" w:cs="Times New Roman"/>
      <w:sz w:val="20"/>
      <w:szCs w:val="20"/>
      <w:lang w:eastAsia="pt-B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unhideWhenUsed/>
    <w:rsid w:val="007432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3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0A4D"/>
    <w:rPr>
      <w:color w:val="0000FF" w:themeColor="hyperlink"/>
      <w:u w:val="single"/>
    </w:rPr>
  </w:style>
  <w:style w:type="paragraph" w:styleId="PargrafodaLista">
    <w:name w:val="List Paragraph"/>
    <w:basedOn w:val="Normal"/>
    <w:uiPriority w:val="34"/>
    <w:qFormat/>
    <w:rsid w:val="00EC6463"/>
    <w:pPr>
      <w:ind w:left="720"/>
      <w:contextualSpacing/>
    </w:pPr>
  </w:style>
  <w:style w:type="paragraph" w:styleId="Cabealho">
    <w:name w:val="header"/>
    <w:basedOn w:val="Normal"/>
    <w:link w:val="CabealhoChar"/>
    <w:uiPriority w:val="99"/>
    <w:unhideWhenUsed/>
    <w:rsid w:val="00EC64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6463"/>
  </w:style>
  <w:style w:type="paragraph" w:styleId="Rodap">
    <w:name w:val="footer"/>
    <w:basedOn w:val="Normal"/>
    <w:link w:val="RodapChar"/>
    <w:uiPriority w:val="99"/>
    <w:unhideWhenUsed/>
    <w:rsid w:val="00EC6463"/>
    <w:pPr>
      <w:tabs>
        <w:tab w:val="center" w:pos="4252"/>
        <w:tab w:val="right" w:pos="8504"/>
      </w:tabs>
      <w:spacing w:after="0" w:line="240" w:lineRule="auto"/>
    </w:pPr>
  </w:style>
  <w:style w:type="character" w:customStyle="1" w:styleId="RodapChar">
    <w:name w:val="Rodapé Char"/>
    <w:basedOn w:val="Fontepargpadro"/>
    <w:link w:val="Rodap"/>
    <w:uiPriority w:val="99"/>
    <w:rsid w:val="00EC6463"/>
  </w:style>
  <w:style w:type="paragraph" w:styleId="Legenda">
    <w:name w:val="caption"/>
    <w:basedOn w:val="Normal"/>
    <w:next w:val="Normal"/>
    <w:qFormat/>
    <w:rsid w:val="00FB457C"/>
    <w:pPr>
      <w:spacing w:after="0" w:line="240" w:lineRule="auto"/>
    </w:pPr>
    <w:rPr>
      <w:rFonts w:ascii="Times New Roman" w:eastAsia="Times New Roman" w:hAnsi="Times New Roman" w:cs="Times New Roman"/>
      <w:b/>
      <w:bCs/>
      <w:sz w:val="20"/>
      <w:szCs w:val="20"/>
      <w:lang w:eastAsia="pt-BR"/>
    </w:rPr>
  </w:style>
  <w:style w:type="table" w:styleId="Tabelaemlista1">
    <w:name w:val="Table List 1"/>
    <w:basedOn w:val="Tabelanormal"/>
    <w:rsid w:val="00FB457C"/>
    <w:pPr>
      <w:spacing w:after="0" w:line="240" w:lineRule="auto"/>
    </w:pPr>
    <w:rPr>
      <w:rFonts w:ascii="Times New Roman" w:eastAsia="Times New Roman" w:hAnsi="Times New Roman" w:cs="Times New Roman"/>
      <w:sz w:val="20"/>
      <w:szCs w:val="20"/>
      <w:lang w:eastAsia="pt-B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unhideWhenUsed/>
    <w:rsid w:val="007432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3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58024">
      <w:bodyDiv w:val="1"/>
      <w:marLeft w:val="0"/>
      <w:marRight w:val="0"/>
      <w:marTop w:val="0"/>
      <w:marBottom w:val="0"/>
      <w:divBdr>
        <w:top w:val="none" w:sz="0" w:space="0" w:color="auto"/>
        <w:left w:val="none" w:sz="0" w:space="0" w:color="auto"/>
        <w:bottom w:val="none" w:sz="0" w:space="0" w:color="auto"/>
        <w:right w:val="none" w:sz="0" w:space="0" w:color="auto"/>
      </w:divBdr>
    </w:div>
    <w:div w:id="434791062">
      <w:bodyDiv w:val="1"/>
      <w:marLeft w:val="0"/>
      <w:marRight w:val="0"/>
      <w:marTop w:val="0"/>
      <w:marBottom w:val="0"/>
      <w:divBdr>
        <w:top w:val="none" w:sz="0" w:space="0" w:color="auto"/>
        <w:left w:val="none" w:sz="0" w:space="0" w:color="auto"/>
        <w:bottom w:val="none" w:sz="0" w:space="0" w:color="auto"/>
        <w:right w:val="none" w:sz="0" w:space="0" w:color="auto"/>
      </w:divBdr>
    </w:div>
    <w:div w:id="13132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E1CC7-5560-40F8-9293-CDB7FFBF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20</Pages>
  <Words>12834</Words>
  <Characters>69305</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23</cp:revision>
  <dcterms:created xsi:type="dcterms:W3CDTF">2014-07-21T00:54:00Z</dcterms:created>
  <dcterms:modified xsi:type="dcterms:W3CDTF">2014-07-22T13:22:00Z</dcterms:modified>
</cp:coreProperties>
</file>