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charts/chart10.xml" ContentType="application/vnd.openxmlformats-officedocument.drawingml.chart+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192" w:rsidRPr="00380BDF" w:rsidRDefault="00380BDF" w:rsidP="00380BDF">
      <w:pPr>
        <w:jc w:val="center"/>
        <w:rPr>
          <w:rFonts w:ascii="Times New Roman" w:hAnsi="Times New Roman" w:cs="Times New Roman"/>
          <w:b/>
          <w:sz w:val="24"/>
          <w:szCs w:val="24"/>
        </w:rPr>
      </w:pPr>
      <w:r w:rsidRPr="00380BDF">
        <w:rPr>
          <w:rFonts w:ascii="Times New Roman" w:hAnsi="Times New Roman" w:cs="Times New Roman"/>
          <w:b/>
          <w:sz w:val="24"/>
          <w:szCs w:val="24"/>
        </w:rPr>
        <w:t>Previdência Social e Demografia</w:t>
      </w:r>
    </w:p>
    <w:p w:rsidR="00380BDF" w:rsidRDefault="00380BDF" w:rsidP="00380BDF">
      <w:pPr>
        <w:jc w:val="center"/>
        <w:rPr>
          <w:rFonts w:ascii="Times New Roman" w:hAnsi="Times New Roman" w:cs="Times New Roman"/>
          <w:b/>
          <w:sz w:val="24"/>
          <w:szCs w:val="24"/>
        </w:rPr>
      </w:pPr>
      <w:r w:rsidRPr="00380BDF">
        <w:rPr>
          <w:rFonts w:ascii="Times New Roman" w:hAnsi="Times New Roman" w:cs="Times New Roman"/>
          <w:b/>
          <w:sz w:val="24"/>
          <w:szCs w:val="24"/>
        </w:rPr>
        <w:t>Quantificando o B</w:t>
      </w:r>
      <w:r>
        <w:rPr>
          <w:rFonts w:ascii="Times New Roman" w:hAnsi="Times New Roman" w:cs="Times New Roman"/>
          <w:b/>
          <w:sz w:val="24"/>
          <w:szCs w:val="24"/>
        </w:rPr>
        <w:t>ônus Demográfico na Previdência entre 2002-12</w:t>
      </w:r>
    </w:p>
    <w:p w:rsidR="004B6B49" w:rsidRPr="004B6B49" w:rsidRDefault="004B6B49" w:rsidP="004B6B49">
      <w:pPr>
        <w:jc w:val="right"/>
        <w:rPr>
          <w:rFonts w:ascii="Times New Roman" w:hAnsi="Times New Roman" w:cs="Times New Roman"/>
          <w:sz w:val="24"/>
          <w:szCs w:val="24"/>
        </w:rPr>
      </w:pPr>
      <w:r>
        <w:rPr>
          <w:rFonts w:ascii="Times New Roman" w:hAnsi="Times New Roman" w:cs="Times New Roman"/>
          <w:sz w:val="24"/>
          <w:szCs w:val="24"/>
        </w:rPr>
        <w:t>Daniel Vasconcellos Archer Duque</w:t>
      </w:r>
      <w:r w:rsidR="00F56B7B">
        <w:rPr>
          <w:rFonts w:ascii="Times New Roman" w:hAnsi="Times New Roman" w:cs="Times New Roman"/>
          <w:sz w:val="24"/>
          <w:szCs w:val="24"/>
        </w:rPr>
        <w:t>*</w:t>
      </w:r>
    </w:p>
    <w:p w:rsidR="00F84192" w:rsidRDefault="00F84192" w:rsidP="00F84192">
      <w:pPr>
        <w:rPr>
          <w:rFonts w:ascii="Times New Roman" w:hAnsi="Times New Roman" w:cs="Times New Roman"/>
          <w:b/>
          <w:sz w:val="24"/>
          <w:szCs w:val="24"/>
        </w:rPr>
      </w:pPr>
    </w:p>
    <w:p w:rsidR="00380BDF" w:rsidRPr="004B6B49" w:rsidRDefault="00A90A55" w:rsidP="004B6B49">
      <w:pPr>
        <w:rPr>
          <w:rFonts w:ascii="Times New Roman" w:hAnsi="Times New Roman" w:cs="Times New Roman"/>
          <w:b/>
          <w:sz w:val="24"/>
          <w:szCs w:val="24"/>
        </w:rPr>
      </w:pPr>
      <w:r w:rsidRPr="004B6B49">
        <w:rPr>
          <w:rFonts w:ascii="Times New Roman" w:hAnsi="Times New Roman" w:cs="Times New Roman"/>
          <w:b/>
          <w:sz w:val="24"/>
          <w:szCs w:val="24"/>
        </w:rPr>
        <w:t>Resumo</w:t>
      </w:r>
    </w:p>
    <w:p w:rsidR="00D26F23" w:rsidRDefault="00630B00" w:rsidP="004B6B49">
      <w:pPr>
        <w:tabs>
          <w:tab w:val="left" w:pos="709"/>
        </w:tabs>
        <w:ind w:firstLine="709"/>
        <w:rPr>
          <w:rFonts w:ascii="Times New Roman" w:hAnsi="Times New Roman" w:cs="Times New Roman"/>
          <w:sz w:val="24"/>
          <w:szCs w:val="24"/>
        </w:rPr>
      </w:pPr>
      <w:r>
        <w:rPr>
          <w:rFonts w:ascii="Times New Roman" w:hAnsi="Times New Roman" w:cs="Times New Roman"/>
          <w:sz w:val="24"/>
          <w:szCs w:val="24"/>
        </w:rPr>
        <w:t>Este artigo quantifica</w:t>
      </w:r>
      <w:r w:rsidR="00A90A55">
        <w:rPr>
          <w:rFonts w:ascii="Times New Roman" w:hAnsi="Times New Roman" w:cs="Times New Roman"/>
          <w:sz w:val="24"/>
          <w:szCs w:val="24"/>
        </w:rPr>
        <w:t xml:space="preserve"> </w:t>
      </w:r>
      <w:r w:rsidR="00D26F23">
        <w:rPr>
          <w:rFonts w:ascii="Times New Roman" w:hAnsi="Times New Roman" w:cs="Times New Roman"/>
          <w:sz w:val="24"/>
          <w:szCs w:val="24"/>
        </w:rPr>
        <w:t>os efeitos do primeiro e segundo Bônus Demográfico sobre o Instituto Nacional de Seguridade Social (INSS) no Brasil de 2002 a 2012. Após a apresentação da melhoria dos dados de Saúde Orçamentária do Instituto, cuja razão de arrecadação sobre despesa passou de 80% para 96,1%, aufere-se que tal relação melhorou exclusivamente devido ao grande aumento do número de contribuintes em relação ao de beneficiários. Decompondo-se a variação positiva de 56% do número de contribuintes</w:t>
      </w:r>
      <w:r w:rsidR="007909DF">
        <w:rPr>
          <w:rFonts w:ascii="Times New Roman" w:hAnsi="Times New Roman" w:cs="Times New Roman"/>
          <w:sz w:val="24"/>
          <w:szCs w:val="24"/>
        </w:rPr>
        <w:t xml:space="preserve"> por grupo de idade</w:t>
      </w:r>
      <w:r w:rsidR="00D26F23">
        <w:rPr>
          <w:rFonts w:ascii="Times New Roman" w:hAnsi="Times New Roman" w:cs="Times New Roman"/>
          <w:sz w:val="24"/>
          <w:szCs w:val="24"/>
        </w:rPr>
        <w:t xml:space="preserve">, segundo os dados </w:t>
      </w:r>
      <w:r>
        <w:rPr>
          <w:rFonts w:ascii="Times New Roman" w:hAnsi="Times New Roman" w:cs="Times New Roman"/>
          <w:sz w:val="24"/>
          <w:szCs w:val="24"/>
        </w:rPr>
        <w:t>da PNAD,</w:t>
      </w:r>
      <w:r w:rsidR="00D26F23">
        <w:rPr>
          <w:rFonts w:ascii="Times New Roman" w:hAnsi="Times New Roman" w:cs="Times New Roman"/>
          <w:sz w:val="24"/>
          <w:szCs w:val="24"/>
        </w:rPr>
        <w:t xml:space="preserve"> realiza-se um exercício contrafactual de uma situação sem o Bônus Demográfico, que reduz a magnitude do crescimento para 29,4%, levando a razão de arrecadação sobre despesa do INSS para 7</w:t>
      </w:r>
      <w:r w:rsidR="00A72086">
        <w:rPr>
          <w:rFonts w:ascii="Times New Roman" w:hAnsi="Times New Roman" w:cs="Times New Roman"/>
          <w:sz w:val="24"/>
          <w:szCs w:val="24"/>
        </w:rPr>
        <w:t>6</w:t>
      </w:r>
      <w:r w:rsidR="00D26F23">
        <w:rPr>
          <w:rFonts w:ascii="Times New Roman" w:hAnsi="Times New Roman" w:cs="Times New Roman"/>
          <w:sz w:val="24"/>
          <w:szCs w:val="24"/>
        </w:rPr>
        <w:t xml:space="preserve">,5% em 2012. </w:t>
      </w:r>
    </w:p>
    <w:p w:rsidR="004B6B49" w:rsidRDefault="004B6B49" w:rsidP="004B6B49">
      <w:pPr>
        <w:rPr>
          <w:rFonts w:ascii="Times New Roman" w:hAnsi="Times New Roman" w:cs="Times New Roman"/>
          <w:b/>
          <w:sz w:val="24"/>
          <w:szCs w:val="24"/>
        </w:rPr>
      </w:pPr>
    </w:p>
    <w:p w:rsidR="004B6B49" w:rsidRPr="004B6B49" w:rsidRDefault="004B6B49" w:rsidP="004B6B49">
      <w:pPr>
        <w:rPr>
          <w:rFonts w:ascii="Times New Roman" w:hAnsi="Times New Roman" w:cs="Times New Roman"/>
          <w:b/>
          <w:sz w:val="24"/>
          <w:szCs w:val="24"/>
        </w:rPr>
      </w:pPr>
      <w:r w:rsidRPr="004B6B49">
        <w:rPr>
          <w:rFonts w:ascii="Times New Roman" w:hAnsi="Times New Roman" w:cs="Times New Roman"/>
          <w:b/>
          <w:sz w:val="24"/>
          <w:szCs w:val="24"/>
        </w:rPr>
        <w:t>Abstract</w:t>
      </w:r>
    </w:p>
    <w:p w:rsidR="004B6B49" w:rsidRPr="00380BDF" w:rsidRDefault="004B6B49" w:rsidP="004B6B49">
      <w:pPr>
        <w:tabs>
          <w:tab w:val="left" w:pos="709"/>
        </w:tabs>
        <w:ind w:firstLine="360"/>
        <w:rPr>
          <w:rFonts w:ascii="Times New Roman" w:hAnsi="Times New Roman" w:cs="Times New Roman"/>
          <w:sz w:val="24"/>
          <w:szCs w:val="24"/>
        </w:rPr>
      </w:pPr>
      <w:r w:rsidRPr="004B6B49">
        <w:rPr>
          <w:rFonts w:ascii="Times New Roman" w:hAnsi="Times New Roman" w:cs="Times New Roman"/>
          <w:sz w:val="24"/>
          <w:szCs w:val="24"/>
        </w:rPr>
        <w:t>This paper quantifies the effects of the first and second demographic bonus in the National Social Security Institute of Brazil from 2002 to 2012. After presenting the data showing an improvement of the financial health of the Institute, whose ratio of revenue over expenses increased from 80% to 96.1%, it's demonstrated that this ratio improved only due to the large increase in the number of taxpayers in relation to the beneficiaries. Decomposing the positive variation of 56% in the number of taxpayers</w:t>
      </w:r>
      <w:r w:rsidR="007909DF">
        <w:rPr>
          <w:rFonts w:ascii="Times New Roman" w:hAnsi="Times New Roman" w:cs="Times New Roman"/>
          <w:sz w:val="24"/>
          <w:szCs w:val="24"/>
        </w:rPr>
        <w:t xml:space="preserve"> by age groups</w:t>
      </w:r>
      <w:r w:rsidRPr="004B6B49">
        <w:rPr>
          <w:rFonts w:ascii="Times New Roman" w:hAnsi="Times New Roman" w:cs="Times New Roman"/>
          <w:sz w:val="24"/>
          <w:szCs w:val="24"/>
        </w:rPr>
        <w:t xml:space="preserve">, according to data from the National Household Survey, it's </w:t>
      </w:r>
      <w:r w:rsidR="007909DF">
        <w:rPr>
          <w:rFonts w:ascii="Times New Roman" w:hAnsi="Times New Roman" w:cs="Times New Roman"/>
          <w:sz w:val="24"/>
          <w:szCs w:val="24"/>
        </w:rPr>
        <w:t>build</w:t>
      </w:r>
      <w:r w:rsidRPr="004B6B49">
        <w:rPr>
          <w:rFonts w:ascii="Times New Roman" w:hAnsi="Times New Roman" w:cs="Times New Roman"/>
          <w:sz w:val="24"/>
          <w:szCs w:val="24"/>
        </w:rPr>
        <w:t xml:space="preserve"> a contrafactual exercise of a situation without the Demographic Bonus, which reduces the magnitude of growth to 29.4%, bringing the ratio of revenue over expenses to 76.5% in 2012.</w:t>
      </w:r>
    </w:p>
    <w:p w:rsidR="00380BDF" w:rsidRDefault="00380BDF" w:rsidP="004B6B49">
      <w:pPr>
        <w:rPr>
          <w:rFonts w:ascii="Times New Roman" w:hAnsi="Times New Roman" w:cs="Times New Roman"/>
          <w:b/>
          <w:sz w:val="24"/>
          <w:szCs w:val="24"/>
        </w:rPr>
      </w:pPr>
    </w:p>
    <w:p w:rsidR="004B6B49" w:rsidRPr="004B6B49" w:rsidRDefault="004B6B49" w:rsidP="004B6B49">
      <w:pPr>
        <w:rPr>
          <w:rFonts w:ascii="Times New Roman" w:hAnsi="Times New Roman" w:cs="Times New Roman"/>
          <w:sz w:val="24"/>
          <w:szCs w:val="24"/>
        </w:rPr>
      </w:pPr>
      <w:r w:rsidRPr="004B6B49">
        <w:rPr>
          <w:rFonts w:ascii="Times New Roman" w:hAnsi="Times New Roman" w:cs="Times New Roman"/>
          <w:b/>
          <w:sz w:val="24"/>
          <w:szCs w:val="24"/>
        </w:rPr>
        <w:t xml:space="preserve">Palavras-chave: </w:t>
      </w:r>
      <w:r>
        <w:rPr>
          <w:rFonts w:ascii="Times New Roman" w:hAnsi="Times New Roman" w:cs="Times New Roman"/>
          <w:sz w:val="24"/>
          <w:szCs w:val="24"/>
        </w:rPr>
        <w:t>Previdência Social; Demografia; Bônus Demográfico</w:t>
      </w:r>
    </w:p>
    <w:p w:rsidR="004B6B49" w:rsidRPr="004B6B49" w:rsidRDefault="004B6B49" w:rsidP="004B6B49">
      <w:pPr>
        <w:rPr>
          <w:rFonts w:ascii="Times New Roman" w:hAnsi="Times New Roman" w:cs="Times New Roman"/>
          <w:b/>
          <w:sz w:val="24"/>
          <w:szCs w:val="24"/>
        </w:rPr>
      </w:pPr>
      <w:r w:rsidRPr="004B6B49">
        <w:rPr>
          <w:rFonts w:ascii="Times New Roman" w:hAnsi="Times New Roman" w:cs="Times New Roman"/>
          <w:b/>
          <w:sz w:val="24"/>
          <w:szCs w:val="24"/>
        </w:rPr>
        <w:t xml:space="preserve">Keywords: </w:t>
      </w:r>
      <w:r w:rsidRPr="004B6B49">
        <w:rPr>
          <w:rFonts w:ascii="Times New Roman" w:hAnsi="Times New Roman" w:cs="Times New Roman"/>
          <w:sz w:val="24"/>
          <w:szCs w:val="24"/>
        </w:rPr>
        <w:t>Social Security; Demography; Demographic Bonus</w:t>
      </w:r>
      <w:r w:rsidRPr="004B6B49">
        <w:rPr>
          <w:rFonts w:ascii="Times New Roman" w:hAnsi="Times New Roman" w:cs="Times New Roman"/>
          <w:b/>
          <w:sz w:val="24"/>
          <w:szCs w:val="24"/>
        </w:rPr>
        <w:t xml:space="preserve"> </w:t>
      </w:r>
    </w:p>
    <w:p w:rsidR="004B6B49" w:rsidRPr="004B6B49" w:rsidRDefault="004B6B49" w:rsidP="004B6B49">
      <w:pPr>
        <w:rPr>
          <w:rFonts w:ascii="Times New Roman" w:hAnsi="Times New Roman" w:cs="Times New Roman"/>
          <w:b/>
          <w:sz w:val="24"/>
          <w:szCs w:val="24"/>
        </w:rPr>
      </w:pPr>
      <w:r w:rsidRPr="004B6B49">
        <w:rPr>
          <w:rFonts w:ascii="Times New Roman" w:hAnsi="Times New Roman" w:cs="Times New Roman"/>
          <w:b/>
          <w:sz w:val="24"/>
          <w:szCs w:val="24"/>
        </w:rPr>
        <w:t xml:space="preserve">Área ANPEC: Área 5 </w:t>
      </w:r>
    </w:p>
    <w:p w:rsidR="004B6B49" w:rsidRDefault="004B6B49" w:rsidP="004B6B49">
      <w:pPr>
        <w:rPr>
          <w:rFonts w:ascii="Times New Roman" w:hAnsi="Times New Roman" w:cs="Times New Roman"/>
          <w:b/>
          <w:sz w:val="24"/>
          <w:szCs w:val="24"/>
        </w:rPr>
      </w:pPr>
      <w:r w:rsidRPr="004B6B49">
        <w:rPr>
          <w:rFonts w:ascii="Times New Roman" w:hAnsi="Times New Roman" w:cs="Times New Roman"/>
          <w:b/>
          <w:sz w:val="24"/>
          <w:szCs w:val="24"/>
        </w:rPr>
        <w:t xml:space="preserve">Classificação JEL: </w:t>
      </w:r>
      <w:r>
        <w:rPr>
          <w:rFonts w:ascii="Times New Roman" w:hAnsi="Times New Roman" w:cs="Times New Roman"/>
          <w:b/>
          <w:sz w:val="24"/>
          <w:szCs w:val="24"/>
        </w:rPr>
        <w:t>H55; J11; J21</w:t>
      </w:r>
    </w:p>
    <w:p w:rsidR="00F56B7B" w:rsidRDefault="00F56B7B" w:rsidP="004B6B49">
      <w:pPr>
        <w:rPr>
          <w:rFonts w:ascii="Times New Roman" w:hAnsi="Times New Roman" w:cs="Times New Roman"/>
          <w:b/>
          <w:sz w:val="24"/>
          <w:szCs w:val="24"/>
        </w:rPr>
      </w:pPr>
    </w:p>
    <w:p w:rsidR="00F56B7B" w:rsidRDefault="00F56B7B" w:rsidP="004B6B49">
      <w:pPr>
        <w:pBdr>
          <w:bottom w:val="single" w:sz="6" w:space="1" w:color="auto"/>
        </w:pBdr>
        <w:rPr>
          <w:rFonts w:ascii="Times New Roman" w:hAnsi="Times New Roman" w:cs="Times New Roman"/>
          <w:b/>
          <w:sz w:val="24"/>
          <w:szCs w:val="24"/>
        </w:rPr>
      </w:pPr>
    </w:p>
    <w:p w:rsidR="00F56B7B" w:rsidRPr="007909DF" w:rsidRDefault="00F56B7B" w:rsidP="007909DF">
      <w:pPr>
        <w:pStyle w:val="PargrafodaLista"/>
        <w:numPr>
          <w:ilvl w:val="0"/>
          <w:numId w:val="4"/>
        </w:numPr>
        <w:rPr>
          <w:rFonts w:ascii="Times New Roman" w:hAnsi="Times New Roman"/>
          <w:sz w:val="24"/>
          <w:szCs w:val="24"/>
        </w:rPr>
      </w:pPr>
      <w:r>
        <w:rPr>
          <w:rFonts w:ascii="Times New Roman" w:hAnsi="Times New Roman"/>
          <w:sz w:val="24"/>
          <w:szCs w:val="24"/>
        </w:rPr>
        <w:t xml:space="preserve">Discente do Instituto de Economia da UFRJ </w:t>
      </w:r>
    </w:p>
    <w:p w:rsidR="00380BDF" w:rsidRPr="00380BDF" w:rsidRDefault="00380BDF" w:rsidP="00380BDF">
      <w:pPr>
        <w:pStyle w:val="PargrafodaLista"/>
        <w:numPr>
          <w:ilvl w:val="0"/>
          <w:numId w:val="2"/>
        </w:numPr>
        <w:rPr>
          <w:rFonts w:ascii="Times New Roman" w:hAnsi="Times New Roman"/>
          <w:sz w:val="24"/>
          <w:szCs w:val="24"/>
        </w:rPr>
      </w:pPr>
      <w:r w:rsidRPr="00380BDF">
        <w:rPr>
          <w:rFonts w:ascii="Times New Roman" w:hAnsi="Times New Roman"/>
          <w:sz w:val="24"/>
          <w:szCs w:val="24"/>
        </w:rPr>
        <w:lastRenderedPageBreak/>
        <w:t>Introdução</w:t>
      </w:r>
    </w:p>
    <w:p w:rsidR="003953A5" w:rsidRPr="001C4628" w:rsidRDefault="00F56B7B" w:rsidP="00F56B7B">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27B59" w:rsidRPr="001C4628">
        <w:rPr>
          <w:rFonts w:ascii="Times New Roman" w:eastAsiaTheme="minorEastAsia" w:hAnsi="Times New Roman" w:cs="Times New Roman"/>
          <w:sz w:val="24"/>
          <w:szCs w:val="24"/>
        </w:rPr>
        <w:t>Data-se já cerca de um século desde qu</w:t>
      </w:r>
      <w:r w:rsidR="001C4628" w:rsidRPr="001C4628">
        <w:rPr>
          <w:rFonts w:ascii="Times New Roman" w:eastAsiaTheme="minorEastAsia" w:hAnsi="Times New Roman" w:cs="Times New Roman"/>
          <w:sz w:val="24"/>
          <w:szCs w:val="24"/>
        </w:rPr>
        <w:t>e</w:t>
      </w:r>
      <w:r w:rsidR="00D27B59" w:rsidRPr="001C4628">
        <w:rPr>
          <w:rFonts w:ascii="Times New Roman" w:eastAsiaTheme="minorEastAsia" w:hAnsi="Times New Roman" w:cs="Times New Roman"/>
          <w:sz w:val="24"/>
          <w:szCs w:val="24"/>
        </w:rPr>
        <w:t xml:space="preserve"> o conceito de Seguridade Social tomou corpo e crescente importância nas </w:t>
      </w:r>
      <w:r w:rsidR="00AA633E" w:rsidRPr="001C4628">
        <w:rPr>
          <w:rFonts w:ascii="Times New Roman" w:eastAsiaTheme="minorEastAsia" w:hAnsi="Times New Roman" w:cs="Times New Roman"/>
          <w:sz w:val="24"/>
          <w:szCs w:val="24"/>
        </w:rPr>
        <w:t>políticas públicas de diversos países mundo afora.</w:t>
      </w:r>
      <w:r>
        <w:rPr>
          <w:rFonts w:ascii="Times New Roman" w:eastAsiaTheme="minorEastAsia" w:hAnsi="Times New Roman" w:cs="Times New Roman"/>
          <w:sz w:val="24"/>
          <w:szCs w:val="24"/>
        </w:rPr>
        <w:t xml:space="preserve"> </w:t>
      </w:r>
      <w:r w:rsidR="00574F9F">
        <w:rPr>
          <w:rFonts w:ascii="Times New Roman" w:eastAsiaTheme="minorEastAsia" w:hAnsi="Times New Roman" w:cs="Times New Roman"/>
          <w:sz w:val="24"/>
          <w:szCs w:val="24"/>
        </w:rPr>
        <w:t>O</w:t>
      </w:r>
      <w:r w:rsidR="00033B10" w:rsidRPr="001C4628">
        <w:rPr>
          <w:rFonts w:ascii="Times New Roman" w:eastAsiaTheme="minorEastAsia" w:hAnsi="Times New Roman" w:cs="Times New Roman"/>
          <w:sz w:val="24"/>
          <w:szCs w:val="24"/>
        </w:rPr>
        <w:t xml:space="preserve"> Sistema de Seguridade e Previdência Social foi amplamente adotado por diversos países </w:t>
      </w:r>
      <w:r w:rsidR="00574F9F">
        <w:rPr>
          <w:rFonts w:ascii="Times New Roman" w:eastAsiaTheme="minorEastAsia" w:hAnsi="Times New Roman" w:cs="Times New Roman"/>
          <w:sz w:val="24"/>
          <w:szCs w:val="24"/>
        </w:rPr>
        <w:t>ao longo do Século XX</w:t>
      </w:r>
      <w:r w:rsidR="00033B10" w:rsidRPr="001C4628">
        <w:rPr>
          <w:rFonts w:ascii="Times New Roman" w:eastAsiaTheme="minorEastAsia" w:hAnsi="Times New Roman" w:cs="Times New Roman"/>
          <w:sz w:val="24"/>
          <w:szCs w:val="24"/>
        </w:rPr>
        <w:t xml:space="preserve">, no qual o Estado assumia a responsabilidade de garantir uma determinada proteção aos trabalhadores de situações que comprometessem suas atividades laborais, principalmente doenças e idade avançada. </w:t>
      </w:r>
    </w:p>
    <w:p w:rsidR="0049206C" w:rsidRPr="001C4628" w:rsidRDefault="003953A5" w:rsidP="00F56B7B">
      <w:pPr>
        <w:ind w:firstLine="709"/>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Com a criação </w:t>
      </w:r>
      <w:r w:rsidR="009509DD" w:rsidRPr="001C4628">
        <w:rPr>
          <w:rFonts w:ascii="Times New Roman" w:eastAsiaTheme="minorEastAsia" w:hAnsi="Times New Roman" w:cs="Times New Roman"/>
          <w:sz w:val="24"/>
          <w:szCs w:val="24"/>
        </w:rPr>
        <w:t>de diversas</w:t>
      </w:r>
      <w:r w:rsidRPr="001C4628">
        <w:rPr>
          <w:rFonts w:ascii="Times New Roman" w:eastAsiaTheme="minorEastAsia" w:hAnsi="Times New Roman" w:cs="Times New Roman"/>
          <w:sz w:val="24"/>
          <w:szCs w:val="24"/>
        </w:rPr>
        <w:t xml:space="preserve"> instituições multilaterais ao longo do século,</w:t>
      </w:r>
      <w:r w:rsidR="00F56B7B">
        <w:rPr>
          <w:rFonts w:ascii="Times New Roman" w:eastAsiaTheme="minorEastAsia" w:hAnsi="Times New Roman" w:cs="Times New Roman"/>
          <w:sz w:val="24"/>
          <w:szCs w:val="24"/>
        </w:rPr>
        <w:t xml:space="preserve"> </w:t>
      </w:r>
      <w:r w:rsidRPr="001C4628">
        <w:rPr>
          <w:rFonts w:ascii="Times New Roman" w:eastAsiaTheme="minorEastAsia" w:hAnsi="Times New Roman" w:cs="Times New Roman"/>
          <w:sz w:val="24"/>
          <w:szCs w:val="24"/>
        </w:rPr>
        <w:t>os desenhos institucionais desse sistema</w:t>
      </w:r>
      <w:r w:rsidR="0013442C" w:rsidRPr="001C4628">
        <w:rPr>
          <w:rFonts w:ascii="Times New Roman" w:eastAsiaTheme="minorEastAsia" w:hAnsi="Times New Roman" w:cs="Times New Roman"/>
          <w:sz w:val="24"/>
          <w:szCs w:val="24"/>
        </w:rPr>
        <w:t xml:space="preserve"> de proteção ao trabalhador</w:t>
      </w:r>
      <w:r w:rsidRPr="001C4628">
        <w:rPr>
          <w:rFonts w:ascii="Times New Roman" w:eastAsiaTheme="minorEastAsia" w:hAnsi="Times New Roman" w:cs="Times New Roman"/>
          <w:sz w:val="24"/>
          <w:szCs w:val="24"/>
        </w:rPr>
        <w:t xml:space="preserve"> passaram </w:t>
      </w:r>
      <w:r w:rsidR="00A32CC8" w:rsidRPr="001C4628">
        <w:rPr>
          <w:rFonts w:ascii="Times New Roman" w:eastAsiaTheme="minorEastAsia" w:hAnsi="Times New Roman" w:cs="Times New Roman"/>
          <w:sz w:val="24"/>
          <w:szCs w:val="24"/>
        </w:rPr>
        <w:t>porsucessivosdebates e questionamentosconforme os países viviam</w:t>
      </w:r>
      <w:r w:rsidR="0013442C" w:rsidRPr="001C4628">
        <w:rPr>
          <w:rFonts w:ascii="Times New Roman" w:eastAsiaTheme="minorEastAsia" w:hAnsi="Times New Roman" w:cs="Times New Roman"/>
          <w:sz w:val="24"/>
          <w:szCs w:val="24"/>
        </w:rPr>
        <w:t xml:space="preserve"> as </w:t>
      </w:r>
      <w:r w:rsidR="00B60340" w:rsidRPr="001C4628">
        <w:rPr>
          <w:rFonts w:ascii="Times New Roman" w:eastAsiaTheme="minorEastAsia" w:hAnsi="Times New Roman" w:cs="Times New Roman"/>
          <w:sz w:val="24"/>
          <w:szCs w:val="24"/>
        </w:rPr>
        <w:t xml:space="preserve">duas </w:t>
      </w:r>
      <w:r w:rsidR="0013442C" w:rsidRPr="001C4628">
        <w:rPr>
          <w:rFonts w:ascii="Times New Roman" w:eastAsiaTheme="minorEastAsia" w:hAnsi="Times New Roman" w:cs="Times New Roman"/>
          <w:sz w:val="24"/>
          <w:szCs w:val="24"/>
        </w:rPr>
        <w:t>T</w:t>
      </w:r>
      <w:r w:rsidRPr="001C4628">
        <w:rPr>
          <w:rFonts w:ascii="Times New Roman" w:eastAsiaTheme="minorEastAsia" w:hAnsi="Times New Roman" w:cs="Times New Roman"/>
          <w:sz w:val="24"/>
          <w:szCs w:val="24"/>
        </w:rPr>
        <w:t xml:space="preserve">ransições </w:t>
      </w:r>
      <w:r w:rsidR="0013442C" w:rsidRPr="001C4628">
        <w:rPr>
          <w:rFonts w:ascii="Times New Roman" w:eastAsiaTheme="minorEastAsia" w:hAnsi="Times New Roman" w:cs="Times New Roman"/>
          <w:sz w:val="24"/>
          <w:szCs w:val="24"/>
        </w:rPr>
        <w:t>D</w:t>
      </w:r>
      <w:r w:rsidRPr="001C4628">
        <w:rPr>
          <w:rFonts w:ascii="Times New Roman" w:eastAsiaTheme="minorEastAsia" w:hAnsi="Times New Roman" w:cs="Times New Roman"/>
          <w:sz w:val="24"/>
          <w:szCs w:val="24"/>
        </w:rPr>
        <w:t>emográficas</w:t>
      </w:r>
      <w:r w:rsidR="00B60340" w:rsidRPr="001C4628">
        <w:rPr>
          <w:rStyle w:val="Refdenotaderodap"/>
          <w:rFonts w:ascii="Times New Roman" w:eastAsiaTheme="minorEastAsia" w:hAnsi="Times New Roman" w:cs="Times New Roman"/>
          <w:sz w:val="24"/>
          <w:szCs w:val="24"/>
        </w:rPr>
        <w:footnoteReference w:id="2"/>
      </w:r>
      <w:r w:rsidR="00A32CC8" w:rsidRPr="001C4628">
        <w:rPr>
          <w:rFonts w:ascii="Times New Roman" w:eastAsiaTheme="minorEastAsia" w:hAnsi="Times New Roman" w:cs="Times New Roman"/>
          <w:sz w:val="24"/>
          <w:szCs w:val="24"/>
        </w:rPr>
        <w:t xml:space="preserve">, </w:t>
      </w:r>
      <w:r w:rsidR="00862525" w:rsidRPr="001C4628">
        <w:rPr>
          <w:rFonts w:ascii="Times New Roman" w:eastAsiaTheme="minorEastAsia" w:hAnsi="Times New Roman" w:cs="Times New Roman"/>
          <w:sz w:val="24"/>
          <w:szCs w:val="24"/>
        </w:rPr>
        <w:t>amargando um</w:t>
      </w:r>
      <w:r w:rsidRPr="001C4628">
        <w:rPr>
          <w:rFonts w:ascii="Times New Roman" w:eastAsiaTheme="minorEastAsia" w:hAnsi="Times New Roman" w:cs="Times New Roman"/>
          <w:sz w:val="24"/>
          <w:szCs w:val="24"/>
        </w:rPr>
        <w:t xml:space="preserve"> crescente peso da Previdência Social sobre as contas públicas. O direito previdenciário, como componente do Sistema de Seguridade Social, passa</w:t>
      </w:r>
      <w:r w:rsidR="0013442C" w:rsidRPr="001C4628">
        <w:rPr>
          <w:rFonts w:ascii="Times New Roman" w:eastAsiaTheme="minorEastAsia" w:hAnsi="Times New Roman" w:cs="Times New Roman"/>
          <w:sz w:val="24"/>
          <w:szCs w:val="24"/>
        </w:rPr>
        <w:t xml:space="preserve"> desde então</w:t>
      </w:r>
      <w:r w:rsidRPr="001C4628">
        <w:rPr>
          <w:rFonts w:ascii="Times New Roman" w:eastAsiaTheme="minorEastAsia" w:hAnsi="Times New Roman" w:cs="Times New Roman"/>
          <w:sz w:val="24"/>
          <w:szCs w:val="24"/>
        </w:rPr>
        <w:t xml:space="preserve"> por inúmeras modificações mundo a fora já a partir da década de 80, sendo </w:t>
      </w:r>
      <w:r w:rsidR="0013442C" w:rsidRPr="001C4628">
        <w:rPr>
          <w:rFonts w:ascii="Times New Roman" w:eastAsiaTheme="minorEastAsia" w:hAnsi="Times New Roman" w:cs="Times New Roman"/>
          <w:sz w:val="24"/>
          <w:szCs w:val="24"/>
        </w:rPr>
        <w:t xml:space="preserve">ainda </w:t>
      </w:r>
      <w:r w:rsidRPr="001C4628">
        <w:rPr>
          <w:rFonts w:ascii="Times New Roman" w:eastAsiaTheme="minorEastAsia" w:hAnsi="Times New Roman" w:cs="Times New Roman"/>
          <w:sz w:val="24"/>
          <w:szCs w:val="24"/>
        </w:rPr>
        <w:t>constantemente rev</w:t>
      </w:r>
      <w:r w:rsidR="0013442C" w:rsidRPr="001C4628">
        <w:rPr>
          <w:rFonts w:ascii="Times New Roman" w:eastAsiaTheme="minorEastAsia" w:hAnsi="Times New Roman" w:cs="Times New Roman"/>
          <w:sz w:val="24"/>
          <w:szCs w:val="24"/>
        </w:rPr>
        <w:t>isitado e debatido a nível intra e internacional</w:t>
      </w:r>
      <w:r w:rsidR="000A74B1" w:rsidRPr="001C4628">
        <w:rPr>
          <w:rFonts w:ascii="Times New Roman" w:eastAsiaTheme="minorEastAsia" w:hAnsi="Times New Roman" w:cs="Times New Roman"/>
          <w:sz w:val="24"/>
          <w:szCs w:val="24"/>
        </w:rPr>
        <w:t xml:space="preserve">, por suas relações com </w:t>
      </w:r>
      <w:r w:rsidR="00A32CC8" w:rsidRPr="001C4628">
        <w:rPr>
          <w:rFonts w:ascii="Times New Roman" w:eastAsiaTheme="minorEastAsia" w:hAnsi="Times New Roman" w:cs="Times New Roman"/>
          <w:sz w:val="24"/>
          <w:szCs w:val="24"/>
        </w:rPr>
        <w:t xml:space="preserve">o crescimento econômico e </w:t>
      </w:r>
      <w:r w:rsidR="000A74B1" w:rsidRPr="001C4628">
        <w:rPr>
          <w:rFonts w:ascii="Times New Roman" w:eastAsiaTheme="minorEastAsia" w:hAnsi="Times New Roman" w:cs="Times New Roman"/>
          <w:sz w:val="24"/>
          <w:szCs w:val="24"/>
        </w:rPr>
        <w:t>as mudanças demográficas</w:t>
      </w:r>
      <w:r w:rsidR="00A32CC8" w:rsidRPr="001C4628">
        <w:rPr>
          <w:rFonts w:ascii="Times New Roman" w:eastAsiaTheme="minorEastAsia" w:hAnsi="Times New Roman" w:cs="Times New Roman"/>
          <w:sz w:val="24"/>
          <w:szCs w:val="24"/>
        </w:rPr>
        <w:t xml:space="preserve"> nos países</w:t>
      </w:r>
      <w:r w:rsidR="0013442C" w:rsidRPr="001C4628">
        <w:rPr>
          <w:rFonts w:ascii="Times New Roman" w:eastAsiaTheme="minorEastAsia" w:hAnsi="Times New Roman" w:cs="Times New Roman"/>
          <w:sz w:val="24"/>
          <w:szCs w:val="24"/>
        </w:rPr>
        <w:t xml:space="preserve">. </w:t>
      </w:r>
    </w:p>
    <w:p w:rsidR="000A74B1" w:rsidRPr="001C4628" w:rsidRDefault="000A74B1" w:rsidP="00F56B7B">
      <w:pPr>
        <w:ind w:firstLine="709"/>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De fato, já há muito se estuda os efeitos das mudanças da estrutura demográfica em diversas sociedades. </w:t>
      </w:r>
      <w:r w:rsidR="00A32CC8" w:rsidRPr="001C4628">
        <w:rPr>
          <w:rFonts w:ascii="Times New Roman" w:eastAsiaTheme="minorEastAsia" w:hAnsi="Times New Roman" w:cs="Times New Roman"/>
          <w:sz w:val="24"/>
          <w:szCs w:val="24"/>
        </w:rPr>
        <w:t>D</w:t>
      </w:r>
      <w:r w:rsidRPr="001C4628">
        <w:rPr>
          <w:rFonts w:ascii="Times New Roman" w:eastAsiaTheme="minorEastAsia" w:hAnsi="Times New Roman" w:cs="Times New Roman"/>
          <w:sz w:val="24"/>
          <w:szCs w:val="24"/>
        </w:rPr>
        <w:t>emógrafos e economistas pesquisam incessantemente</w:t>
      </w:r>
      <w:r w:rsidR="00532BB7" w:rsidRPr="001C4628">
        <w:rPr>
          <w:rFonts w:ascii="Times New Roman" w:eastAsiaTheme="minorEastAsia" w:hAnsi="Times New Roman" w:cs="Times New Roman"/>
          <w:sz w:val="24"/>
          <w:szCs w:val="24"/>
        </w:rPr>
        <w:t xml:space="preserve"> a</w:t>
      </w:r>
      <w:r w:rsidR="00F56B7B">
        <w:rPr>
          <w:rFonts w:ascii="Times New Roman" w:eastAsiaTheme="minorEastAsia" w:hAnsi="Times New Roman" w:cs="Times New Roman"/>
          <w:sz w:val="24"/>
          <w:szCs w:val="24"/>
        </w:rPr>
        <w:t xml:space="preserve"> </w:t>
      </w:r>
      <w:r w:rsidR="00532BB7" w:rsidRPr="001C4628">
        <w:rPr>
          <w:rFonts w:ascii="Times New Roman" w:eastAsiaTheme="minorEastAsia" w:hAnsi="Times New Roman" w:cs="Times New Roman"/>
          <w:sz w:val="24"/>
          <w:szCs w:val="24"/>
        </w:rPr>
        <w:t>cerca</w:t>
      </w:r>
      <w:r w:rsidR="00F56B7B">
        <w:rPr>
          <w:rFonts w:ascii="Times New Roman" w:eastAsiaTheme="minorEastAsia" w:hAnsi="Times New Roman" w:cs="Times New Roman"/>
          <w:sz w:val="24"/>
          <w:szCs w:val="24"/>
        </w:rPr>
        <w:t xml:space="preserve"> </w:t>
      </w:r>
      <w:r w:rsidR="00532BB7" w:rsidRPr="001C4628">
        <w:rPr>
          <w:rFonts w:ascii="Times New Roman" w:eastAsiaTheme="minorEastAsia" w:hAnsi="Times New Roman" w:cs="Times New Roman"/>
          <w:sz w:val="24"/>
          <w:szCs w:val="24"/>
        </w:rPr>
        <w:t>d</w:t>
      </w:r>
      <w:r w:rsidRPr="001C4628">
        <w:rPr>
          <w:rFonts w:ascii="Times New Roman" w:eastAsiaTheme="minorEastAsia" w:hAnsi="Times New Roman" w:cs="Times New Roman"/>
          <w:sz w:val="24"/>
          <w:szCs w:val="24"/>
        </w:rPr>
        <w:t>as consequências das mudanças demográficas sobre o crescimento econômico de longo prazo, englobando também, por vezes, as relações benéficas e adversas entre o envelhecimento da população e os Sistemas de Seguridade Social.</w:t>
      </w:r>
    </w:p>
    <w:p w:rsidR="000A74B1" w:rsidRPr="001C4628" w:rsidRDefault="000A74B1" w:rsidP="00F56B7B">
      <w:pPr>
        <w:ind w:firstLine="709"/>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Uma transição na estrutura etária da população acarreta no chamado Bônus Demográfico sobre a economia, que se refere à combinação de dois fenômenos, um sucessivo ao outro. O primeiro </w:t>
      </w:r>
      <w:r w:rsidR="00574F9F">
        <w:rPr>
          <w:rFonts w:ascii="Times New Roman" w:eastAsiaTheme="minorEastAsia" w:hAnsi="Times New Roman" w:cs="Times New Roman"/>
          <w:sz w:val="24"/>
          <w:szCs w:val="24"/>
        </w:rPr>
        <w:t>corresponde a</w:t>
      </w:r>
      <w:r w:rsidRPr="001C4628">
        <w:rPr>
          <w:rFonts w:ascii="Times New Roman" w:eastAsiaTheme="minorEastAsia" w:hAnsi="Times New Roman" w:cs="Times New Roman"/>
          <w:sz w:val="24"/>
          <w:szCs w:val="24"/>
        </w:rPr>
        <w:t xml:space="preserve"> uma variação positiva persistente – marginalmente crescente no primeiro momento e marginalmente decrescente no segundo –</w:t>
      </w:r>
      <w:r w:rsidR="00F56B7B">
        <w:rPr>
          <w:rFonts w:ascii="Times New Roman" w:eastAsiaTheme="minorEastAsia" w:hAnsi="Times New Roman" w:cs="Times New Roman"/>
          <w:sz w:val="24"/>
          <w:szCs w:val="24"/>
        </w:rPr>
        <w:t xml:space="preserve"> </w:t>
      </w:r>
      <w:r w:rsidRPr="001C4628">
        <w:rPr>
          <w:rFonts w:ascii="Times New Roman" w:eastAsiaTheme="minorEastAsia" w:hAnsi="Times New Roman" w:cs="Times New Roman"/>
          <w:sz w:val="24"/>
          <w:szCs w:val="24"/>
        </w:rPr>
        <w:t xml:space="preserve">da População em Idade Ativa (PIA), com capacidade laboral. </w:t>
      </w:r>
    </w:p>
    <w:p w:rsidR="000A74B1" w:rsidRPr="001C4628" w:rsidRDefault="000A74B1" w:rsidP="00F56B7B">
      <w:pPr>
        <w:ind w:firstLine="709"/>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Já o segundo fenômeno</w:t>
      </w:r>
      <w:r w:rsidR="00A32CC8" w:rsidRPr="001C4628">
        <w:rPr>
          <w:rFonts w:ascii="Times New Roman" w:eastAsiaTheme="minorEastAsia" w:hAnsi="Times New Roman" w:cs="Times New Roman"/>
          <w:sz w:val="24"/>
          <w:szCs w:val="24"/>
        </w:rPr>
        <w:t>, evidenciado por Mason e Lee (2004)</w:t>
      </w:r>
      <w:r w:rsidRPr="001C4628">
        <w:rPr>
          <w:rFonts w:ascii="Times New Roman" w:eastAsiaTheme="minorEastAsia" w:hAnsi="Times New Roman" w:cs="Times New Roman"/>
          <w:sz w:val="24"/>
          <w:szCs w:val="24"/>
        </w:rPr>
        <w:t xml:space="preserve"> se refere ao próprio envelhecimento da PIA, que, condicionalmente a uma série de fatores, tende a gerar riqueza por acumulação de capital físico (poupança) e humano (experiência e escolaridade). No que se refere à Seguridade Social, o envelhecimento da PIA acarreta em um Bônus Demográfico devido às melhores condições no mercado de trabalho experimentadas por essa população, causadas pelos progressivos níveis de </w:t>
      </w:r>
      <w:r w:rsidR="00A32CC8" w:rsidRPr="001C4628">
        <w:rPr>
          <w:rFonts w:ascii="Times New Roman" w:eastAsiaTheme="minorEastAsia" w:hAnsi="Times New Roman" w:cs="Times New Roman"/>
          <w:sz w:val="24"/>
          <w:szCs w:val="24"/>
        </w:rPr>
        <w:t>capital humano</w:t>
      </w:r>
      <w:r w:rsidRPr="001C4628">
        <w:rPr>
          <w:rFonts w:ascii="Times New Roman" w:eastAsiaTheme="minorEastAsia" w:hAnsi="Times New Roman" w:cs="Times New Roman"/>
          <w:sz w:val="24"/>
          <w:szCs w:val="24"/>
        </w:rPr>
        <w:t xml:space="preserve">. Tais condições favoráveis tendem a elevar a quantidade de contribuintes, gerando o segundo fenômeno do Bônus Demográfico sobre esse sistema. </w:t>
      </w:r>
    </w:p>
    <w:p w:rsidR="000A74B1" w:rsidRPr="001C4628" w:rsidRDefault="002B7884" w:rsidP="00F56B7B">
      <w:pPr>
        <w:ind w:firstLine="709"/>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Devido a </w:t>
      </w:r>
      <w:r w:rsidR="00574F9F">
        <w:rPr>
          <w:rFonts w:ascii="Times New Roman" w:eastAsiaTheme="minorEastAsia" w:hAnsi="Times New Roman" w:cs="Times New Roman"/>
          <w:sz w:val="24"/>
          <w:szCs w:val="24"/>
        </w:rPr>
        <w:t>um</w:t>
      </w:r>
      <w:r w:rsidRPr="001C4628">
        <w:rPr>
          <w:rFonts w:ascii="Times New Roman" w:eastAsiaTheme="minorEastAsia" w:hAnsi="Times New Roman" w:cs="Times New Roman"/>
          <w:sz w:val="24"/>
          <w:szCs w:val="24"/>
        </w:rPr>
        <w:t xml:space="preserve"> atraso</w:t>
      </w:r>
      <w:r w:rsidR="00574F9F">
        <w:rPr>
          <w:rFonts w:ascii="Times New Roman" w:eastAsiaTheme="minorEastAsia" w:hAnsi="Times New Roman" w:cs="Times New Roman"/>
          <w:sz w:val="24"/>
          <w:szCs w:val="24"/>
        </w:rPr>
        <w:t xml:space="preserve"> no debate orçamentário</w:t>
      </w:r>
      <w:r w:rsidRPr="001C4628">
        <w:rPr>
          <w:rFonts w:ascii="Times New Roman" w:eastAsiaTheme="minorEastAsia" w:hAnsi="Times New Roman" w:cs="Times New Roman"/>
          <w:sz w:val="24"/>
          <w:szCs w:val="24"/>
        </w:rPr>
        <w:t xml:space="preserve">, aliado a falhas institucionais persistentes, o </w:t>
      </w:r>
      <w:r w:rsidR="00574F9F">
        <w:rPr>
          <w:rFonts w:ascii="Times New Roman" w:eastAsiaTheme="minorEastAsia" w:hAnsi="Times New Roman" w:cs="Times New Roman"/>
          <w:sz w:val="24"/>
          <w:szCs w:val="24"/>
        </w:rPr>
        <w:t>Brasil</w:t>
      </w:r>
      <w:r w:rsidRPr="001C4628">
        <w:rPr>
          <w:rFonts w:ascii="Times New Roman" w:eastAsiaTheme="minorEastAsia" w:hAnsi="Times New Roman" w:cs="Times New Roman"/>
          <w:sz w:val="24"/>
          <w:szCs w:val="24"/>
        </w:rPr>
        <w:t xml:space="preserve">, apesar de contar com uma população ainda relativamente jovem, amarga um sistema de seguridade </w:t>
      </w:r>
      <w:r w:rsidR="00967396">
        <w:rPr>
          <w:rFonts w:ascii="Times New Roman" w:eastAsiaTheme="minorEastAsia" w:hAnsi="Times New Roman" w:cs="Times New Roman"/>
          <w:sz w:val="24"/>
          <w:szCs w:val="24"/>
        </w:rPr>
        <w:t xml:space="preserve">ainda </w:t>
      </w:r>
      <w:r w:rsidR="00104AAF" w:rsidRPr="001C4628">
        <w:rPr>
          <w:rFonts w:ascii="Times New Roman" w:eastAsiaTheme="minorEastAsia" w:hAnsi="Times New Roman" w:cs="Times New Roman"/>
          <w:sz w:val="24"/>
          <w:szCs w:val="24"/>
        </w:rPr>
        <w:t>deficitário</w:t>
      </w:r>
      <w:r w:rsidR="00D27B59" w:rsidRPr="001C4628">
        <w:rPr>
          <w:rFonts w:ascii="Times New Roman" w:eastAsiaTheme="minorEastAsia" w:hAnsi="Times New Roman" w:cs="Times New Roman"/>
          <w:sz w:val="24"/>
          <w:szCs w:val="24"/>
        </w:rPr>
        <w:t>.</w:t>
      </w:r>
      <w:r w:rsidR="00045C4B" w:rsidRPr="001C4628">
        <w:rPr>
          <w:rFonts w:ascii="Times New Roman" w:eastAsiaTheme="minorEastAsia" w:hAnsi="Times New Roman" w:cs="Times New Roman"/>
          <w:sz w:val="24"/>
          <w:szCs w:val="24"/>
        </w:rPr>
        <w:t xml:space="preserve"> Segundo Mansueto (2013), as despesas previdenciárias corresponderam por cerca de 40% d</w:t>
      </w:r>
      <w:r w:rsidR="002C73D2" w:rsidRPr="001C4628">
        <w:rPr>
          <w:rFonts w:ascii="Times New Roman" w:eastAsiaTheme="minorEastAsia" w:hAnsi="Times New Roman" w:cs="Times New Roman"/>
          <w:sz w:val="24"/>
          <w:szCs w:val="24"/>
        </w:rPr>
        <w:t>e tod</w:t>
      </w:r>
      <w:r w:rsidR="00045C4B" w:rsidRPr="001C4628">
        <w:rPr>
          <w:rFonts w:ascii="Times New Roman" w:eastAsiaTheme="minorEastAsia" w:hAnsi="Times New Roman" w:cs="Times New Roman"/>
          <w:sz w:val="24"/>
          <w:szCs w:val="24"/>
        </w:rPr>
        <w:t>os gastos não-</w:t>
      </w:r>
      <w:r w:rsidR="00045C4B" w:rsidRPr="001C4628">
        <w:rPr>
          <w:rFonts w:ascii="Times New Roman" w:eastAsiaTheme="minorEastAsia" w:hAnsi="Times New Roman" w:cs="Times New Roman"/>
          <w:sz w:val="24"/>
          <w:szCs w:val="24"/>
        </w:rPr>
        <w:lastRenderedPageBreak/>
        <w:t xml:space="preserve">financeiros </w:t>
      </w:r>
      <w:r w:rsidR="002C73D2" w:rsidRPr="001C4628">
        <w:rPr>
          <w:rFonts w:ascii="Times New Roman" w:eastAsiaTheme="minorEastAsia" w:hAnsi="Times New Roman" w:cs="Times New Roman"/>
          <w:sz w:val="24"/>
          <w:szCs w:val="24"/>
        </w:rPr>
        <w:t>do Governo Federal, limitando em grande parte o esforço por incrementar o investimento público, atualmente na ordem de 1% do PIB.</w:t>
      </w:r>
    </w:p>
    <w:p w:rsidR="001E1454" w:rsidRPr="001C4628" w:rsidRDefault="001E1454" w:rsidP="00F56B7B">
      <w:pPr>
        <w:ind w:firstLine="709"/>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O </w:t>
      </w:r>
      <w:r w:rsidR="00AF09DB" w:rsidRPr="001C4628">
        <w:rPr>
          <w:rFonts w:ascii="Times New Roman" w:eastAsiaTheme="minorEastAsia" w:hAnsi="Times New Roman" w:cs="Times New Roman"/>
          <w:sz w:val="24"/>
          <w:szCs w:val="24"/>
        </w:rPr>
        <w:t>relevante</w:t>
      </w:r>
      <w:r w:rsidR="00F56B7B">
        <w:rPr>
          <w:rFonts w:ascii="Times New Roman" w:eastAsiaTheme="minorEastAsia" w:hAnsi="Times New Roman" w:cs="Times New Roman"/>
          <w:sz w:val="24"/>
          <w:szCs w:val="24"/>
        </w:rPr>
        <w:t xml:space="preserve"> </w:t>
      </w:r>
      <w:r w:rsidRPr="001C4628">
        <w:rPr>
          <w:rFonts w:ascii="Times New Roman" w:eastAsiaTheme="minorEastAsia" w:hAnsi="Times New Roman" w:cs="Times New Roman"/>
          <w:i/>
          <w:sz w:val="24"/>
          <w:szCs w:val="24"/>
        </w:rPr>
        <w:t>déficit</w:t>
      </w:r>
      <w:r w:rsidRPr="001C4628">
        <w:rPr>
          <w:rFonts w:ascii="Times New Roman" w:eastAsiaTheme="minorEastAsia" w:hAnsi="Times New Roman" w:cs="Times New Roman"/>
          <w:sz w:val="24"/>
          <w:szCs w:val="24"/>
        </w:rPr>
        <w:t xml:space="preserve"> do INSS, </w:t>
      </w:r>
      <w:r w:rsidR="00AF09DB" w:rsidRPr="001C4628">
        <w:rPr>
          <w:rFonts w:ascii="Times New Roman" w:eastAsiaTheme="minorEastAsia" w:hAnsi="Times New Roman" w:cs="Times New Roman"/>
          <w:sz w:val="24"/>
          <w:szCs w:val="24"/>
        </w:rPr>
        <w:t xml:space="preserve">segundo Tiberto e Mendonça (2012), contribui substancialmente para o </w:t>
      </w:r>
      <w:r w:rsidR="00AF09DB" w:rsidRPr="001C4628">
        <w:rPr>
          <w:rFonts w:ascii="Times New Roman" w:eastAsiaTheme="minorEastAsia" w:hAnsi="Times New Roman" w:cs="Times New Roman"/>
          <w:i/>
          <w:sz w:val="24"/>
          <w:szCs w:val="24"/>
        </w:rPr>
        <w:t>déficit</w:t>
      </w:r>
      <w:r w:rsidR="00AF09DB" w:rsidRPr="001C4628">
        <w:rPr>
          <w:rFonts w:ascii="Times New Roman" w:eastAsiaTheme="minorEastAsia" w:hAnsi="Times New Roman" w:cs="Times New Roman"/>
          <w:sz w:val="24"/>
          <w:szCs w:val="24"/>
        </w:rPr>
        <w:t xml:space="preserve"> do setor público, comprometendo </w:t>
      </w:r>
      <w:r w:rsidR="000A74B1" w:rsidRPr="001C4628">
        <w:rPr>
          <w:rFonts w:ascii="Times New Roman" w:eastAsiaTheme="minorEastAsia" w:hAnsi="Times New Roman" w:cs="Times New Roman"/>
          <w:sz w:val="24"/>
          <w:szCs w:val="24"/>
        </w:rPr>
        <w:t>qualquer esforço de poupança</w:t>
      </w:r>
      <w:r w:rsidR="00D1419B" w:rsidRPr="001C4628">
        <w:rPr>
          <w:rFonts w:ascii="Times New Roman" w:eastAsiaTheme="minorEastAsia" w:hAnsi="Times New Roman" w:cs="Times New Roman"/>
          <w:sz w:val="24"/>
          <w:szCs w:val="24"/>
        </w:rPr>
        <w:t xml:space="preserve"> pública</w:t>
      </w:r>
      <w:r w:rsidR="000A74B1" w:rsidRPr="001C4628">
        <w:rPr>
          <w:rFonts w:ascii="Times New Roman" w:eastAsiaTheme="minorEastAsia" w:hAnsi="Times New Roman" w:cs="Times New Roman"/>
          <w:sz w:val="24"/>
          <w:szCs w:val="24"/>
        </w:rPr>
        <w:t>, além de limitar o</w:t>
      </w:r>
      <w:r w:rsidR="00F56B7B">
        <w:rPr>
          <w:rFonts w:ascii="Times New Roman" w:eastAsiaTheme="minorEastAsia" w:hAnsi="Times New Roman" w:cs="Times New Roman"/>
          <w:sz w:val="24"/>
          <w:szCs w:val="24"/>
        </w:rPr>
        <w:t xml:space="preserve"> </w:t>
      </w:r>
      <w:r w:rsidR="00AF09DB" w:rsidRPr="001C4628">
        <w:rPr>
          <w:rFonts w:ascii="Times New Roman" w:eastAsiaTheme="minorEastAsia" w:hAnsi="Times New Roman" w:cs="Times New Roman"/>
          <w:i/>
          <w:sz w:val="24"/>
          <w:szCs w:val="24"/>
        </w:rPr>
        <w:t>superávit</w:t>
      </w:r>
      <w:r w:rsidR="00AF09DB" w:rsidRPr="001C4628">
        <w:rPr>
          <w:rFonts w:ascii="Times New Roman" w:eastAsiaTheme="minorEastAsia" w:hAnsi="Times New Roman" w:cs="Times New Roman"/>
          <w:sz w:val="24"/>
          <w:szCs w:val="24"/>
        </w:rPr>
        <w:t xml:space="preserve"> primário</w:t>
      </w:r>
      <w:r w:rsidR="000A74B1" w:rsidRPr="001C4628">
        <w:rPr>
          <w:rFonts w:ascii="Times New Roman" w:eastAsiaTheme="minorEastAsia" w:hAnsi="Times New Roman" w:cs="Times New Roman"/>
          <w:sz w:val="24"/>
          <w:szCs w:val="24"/>
        </w:rPr>
        <w:t xml:space="preserve">, impedindo em certo grau a redução de juros no país. Já Turra e Queiroz (2005) atentam para o fato de que </w:t>
      </w:r>
      <w:r w:rsidR="000A74B1" w:rsidRPr="001C4628">
        <w:rPr>
          <w:rFonts w:ascii="Times New Roman" w:eastAsiaTheme="minorEastAsia" w:hAnsi="Times New Roman" w:cs="Times New Roman"/>
          <w:i/>
          <w:sz w:val="24"/>
          <w:szCs w:val="24"/>
        </w:rPr>
        <w:t>déficits</w:t>
      </w:r>
      <w:r w:rsidR="000A74B1" w:rsidRPr="001C4628">
        <w:rPr>
          <w:rFonts w:ascii="Times New Roman" w:eastAsiaTheme="minorEastAsia" w:hAnsi="Times New Roman" w:cs="Times New Roman"/>
          <w:sz w:val="24"/>
          <w:szCs w:val="24"/>
        </w:rPr>
        <w:t xml:space="preserve"> no sistema de seguridade social impedem maiores investimentos em capital humano, além de dificultarem a poupança privada, podendo acarretar em uma substancial redução</w:t>
      </w:r>
      <w:r w:rsidR="00D1419B" w:rsidRPr="001C4628">
        <w:rPr>
          <w:rFonts w:ascii="Times New Roman" w:eastAsiaTheme="minorEastAsia" w:hAnsi="Times New Roman" w:cs="Times New Roman"/>
          <w:sz w:val="24"/>
          <w:szCs w:val="24"/>
        </w:rPr>
        <w:t>, se não reversão,</w:t>
      </w:r>
      <w:r w:rsidR="000A74B1" w:rsidRPr="001C4628">
        <w:rPr>
          <w:rFonts w:ascii="Times New Roman" w:eastAsiaTheme="minorEastAsia" w:hAnsi="Times New Roman" w:cs="Times New Roman"/>
          <w:sz w:val="24"/>
          <w:szCs w:val="24"/>
        </w:rPr>
        <w:t xml:space="preserve"> do bônus demográfico para o crescimento econômico. </w:t>
      </w:r>
    </w:p>
    <w:p w:rsidR="00BD4BFE" w:rsidRPr="00574F9F" w:rsidRDefault="00F56B7B" w:rsidP="00F56B7B">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D4BFE" w:rsidRPr="00574F9F">
        <w:rPr>
          <w:rFonts w:ascii="Times New Roman" w:eastAsiaTheme="minorEastAsia" w:hAnsi="Times New Roman" w:cs="Times New Roman"/>
          <w:sz w:val="24"/>
          <w:szCs w:val="24"/>
        </w:rPr>
        <w:t>Muito do atraso no debate da sustentabilidade do Sistema de Seguridade Social se deve a uma</w:t>
      </w:r>
      <w:r w:rsidR="00792DC9" w:rsidRPr="00574F9F">
        <w:rPr>
          <w:rFonts w:ascii="Times New Roman" w:eastAsiaTheme="minorEastAsia" w:hAnsi="Times New Roman" w:cs="Times New Roman"/>
          <w:sz w:val="24"/>
          <w:szCs w:val="24"/>
        </w:rPr>
        <w:t xml:space="preserve"> mudança recente de</w:t>
      </w:r>
      <w:r>
        <w:rPr>
          <w:rFonts w:ascii="Times New Roman" w:eastAsiaTheme="minorEastAsia" w:hAnsi="Times New Roman" w:cs="Times New Roman"/>
          <w:sz w:val="24"/>
          <w:szCs w:val="24"/>
        </w:rPr>
        <w:t xml:space="preserve"> </w:t>
      </w:r>
      <w:r w:rsidR="00D27B59" w:rsidRPr="00574F9F">
        <w:rPr>
          <w:rFonts w:ascii="Times New Roman" w:eastAsiaTheme="minorEastAsia" w:hAnsi="Times New Roman" w:cs="Times New Roman"/>
          <w:sz w:val="24"/>
          <w:szCs w:val="24"/>
        </w:rPr>
        <w:t>tendência</w:t>
      </w:r>
      <w:r w:rsidR="00BD4BFE" w:rsidRPr="00574F9F">
        <w:rPr>
          <w:rFonts w:ascii="Times New Roman" w:eastAsiaTheme="minorEastAsia" w:hAnsi="Times New Roman" w:cs="Times New Roman"/>
          <w:sz w:val="24"/>
          <w:szCs w:val="24"/>
        </w:rPr>
        <w:t xml:space="preserve"> de</w:t>
      </w:r>
      <w:r w:rsidR="00792DC9" w:rsidRPr="00574F9F">
        <w:rPr>
          <w:rFonts w:ascii="Times New Roman" w:eastAsiaTheme="minorEastAsia" w:hAnsi="Times New Roman" w:cs="Times New Roman"/>
          <w:sz w:val="24"/>
          <w:szCs w:val="24"/>
        </w:rPr>
        <w:t xml:space="preserve"> elevação para</w:t>
      </w:r>
      <w:r w:rsidR="00272423" w:rsidRPr="00574F9F">
        <w:rPr>
          <w:rFonts w:ascii="Times New Roman" w:eastAsiaTheme="minorEastAsia" w:hAnsi="Times New Roman" w:cs="Times New Roman"/>
          <w:sz w:val="24"/>
          <w:szCs w:val="24"/>
        </w:rPr>
        <w:t xml:space="preserve"> estabilização</w:t>
      </w:r>
      <w:r w:rsidR="001E1454" w:rsidRPr="00574F9F">
        <w:rPr>
          <w:rFonts w:ascii="Times New Roman" w:eastAsiaTheme="minorEastAsia" w:hAnsi="Times New Roman" w:cs="Times New Roman"/>
          <w:sz w:val="24"/>
          <w:szCs w:val="24"/>
        </w:rPr>
        <w:t xml:space="preserve"> do</w:t>
      </w:r>
      <w:r w:rsidR="00BD4BFE" w:rsidRPr="00574F9F">
        <w:rPr>
          <w:rFonts w:ascii="Times New Roman" w:eastAsiaTheme="minorEastAsia" w:hAnsi="Times New Roman" w:cs="Times New Roman"/>
          <w:sz w:val="24"/>
          <w:szCs w:val="24"/>
        </w:rPr>
        <w:t xml:space="preserve"> peso da Previdência sobre as contas públicas</w:t>
      </w:r>
      <w:r>
        <w:rPr>
          <w:rFonts w:ascii="Times New Roman" w:eastAsiaTheme="minorEastAsia" w:hAnsi="Times New Roman" w:cs="Times New Roman"/>
          <w:sz w:val="24"/>
          <w:szCs w:val="24"/>
        </w:rPr>
        <w:t xml:space="preserve"> </w:t>
      </w:r>
      <w:r w:rsidR="00602D7F" w:rsidRPr="00574F9F">
        <w:rPr>
          <w:rFonts w:ascii="Times New Roman" w:eastAsiaTheme="minorEastAsia" w:hAnsi="Times New Roman" w:cs="Times New Roman"/>
          <w:sz w:val="24"/>
          <w:szCs w:val="24"/>
        </w:rPr>
        <w:t>entre os anos de 2007</w:t>
      </w:r>
      <w:r w:rsidR="000A74B1" w:rsidRPr="00574F9F">
        <w:rPr>
          <w:rFonts w:ascii="Times New Roman" w:eastAsiaTheme="minorEastAsia" w:hAnsi="Times New Roman" w:cs="Times New Roman"/>
          <w:sz w:val="24"/>
          <w:szCs w:val="24"/>
        </w:rPr>
        <w:t xml:space="preserve"> a</w:t>
      </w:r>
      <w:r w:rsidR="00AF09DB" w:rsidRPr="00574F9F">
        <w:rPr>
          <w:rFonts w:ascii="Times New Roman" w:eastAsiaTheme="minorEastAsia" w:hAnsi="Times New Roman" w:cs="Times New Roman"/>
          <w:sz w:val="24"/>
          <w:szCs w:val="24"/>
        </w:rPr>
        <w:t xml:space="preserve"> 2011</w:t>
      </w:r>
      <w:r w:rsidR="00272423" w:rsidRPr="00574F9F">
        <w:rPr>
          <w:rStyle w:val="Refdenotaderodap"/>
          <w:rFonts w:ascii="Times New Roman" w:eastAsiaTheme="minorEastAsia" w:hAnsi="Times New Roman" w:cs="Times New Roman"/>
          <w:sz w:val="24"/>
          <w:szCs w:val="24"/>
        </w:rPr>
        <w:footnoteReference w:id="3"/>
      </w:r>
      <w:r w:rsidR="00BD4BFE" w:rsidRPr="00574F9F">
        <w:rPr>
          <w:rFonts w:ascii="Times New Roman" w:eastAsiaTheme="minorEastAsia" w:hAnsi="Times New Roman" w:cs="Times New Roman"/>
          <w:sz w:val="24"/>
          <w:szCs w:val="24"/>
        </w:rPr>
        <w:t>, ocasionad</w:t>
      </w:r>
      <w:r w:rsidR="00D27B59" w:rsidRPr="00574F9F">
        <w:rPr>
          <w:rFonts w:ascii="Times New Roman" w:eastAsiaTheme="minorEastAsia" w:hAnsi="Times New Roman" w:cs="Times New Roman"/>
          <w:sz w:val="24"/>
          <w:szCs w:val="24"/>
        </w:rPr>
        <w:t>a</w:t>
      </w:r>
      <w:r w:rsidR="00BD4BFE" w:rsidRPr="00574F9F">
        <w:rPr>
          <w:rFonts w:ascii="Times New Roman" w:eastAsiaTheme="minorEastAsia" w:hAnsi="Times New Roman" w:cs="Times New Roman"/>
          <w:sz w:val="24"/>
          <w:szCs w:val="24"/>
        </w:rPr>
        <w:t xml:space="preserve"> por diversos fatores macro conjunturais que </w:t>
      </w:r>
      <w:r w:rsidR="00AA633E" w:rsidRPr="00574F9F">
        <w:rPr>
          <w:rFonts w:ascii="Times New Roman" w:eastAsiaTheme="minorEastAsia" w:hAnsi="Times New Roman" w:cs="Times New Roman"/>
          <w:sz w:val="24"/>
          <w:szCs w:val="24"/>
        </w:rPr>
        <w:t>provavelmente não se manterão</w:t>
      </w:r>
      <w:r w:rsidR="00D27B59" w:rsidRPr="00574F9F">
        <w:rPr>
          <w:rFonts w:ascii="Times New Roman" w:eastAsiaTheme="minorEastAsia" w:hAnsi="Times New Roman" w:cs="Times New Roman"/>
          <w:sz w:val="24"/>
          <w:szCs w:val="24"/>
        </w:rPr>
        <w:t xml:space="preserve"> no tempo</w:t>
      </w:r>
      <w:r w:rsidR="00BD4BFE" w:rsidRPr="00574F9F">
        <w:rPr>
          <w:rFonts w:ascii="Times New Roman" w:eastAsiaTheme="minorEastAsia" w:hAnsi="Times New Roman" w:cs="Times New Roman"/>
          <w:sz w:val="24"/>
          <w:szCs w:val="24"/>
        </w:rPr>
        <w:t xml:space="preserve">.  </w:t>
      </w:r>
      <w:r w:rsidR="00D27B59" w:rsidRPr="00574F9F">
        <w:rPr>
          <w:rFonts w:ascii="Times New Roman" w:eastAsiaTheme="minorEastAsia" w:hAnsi="Times New Roman" w:cs="Times New Roman"/>
          <w:sz w:val="24"/>
          <w:szCs w:val="24"/>
        </w:rPr>
        <w:t xml:space="preserve">Dentre estes, </w:t>
      </w:r>
      <w:r w:rsidR="00AA633E" w:rsidRPr="00574F9F">
        <w:rPr>
          <w:rFonts w:ascii="Times New Roman" w:eastAsiaTheme="minorEastAsia" w:hAnsi="Times New Roman" w:cs="Times New Roman"/>
          <w:sz w:val="24"/>
          <w:szCs w:val="24"/>
        </w:rPr>
        <w:t>as mudanças demográficas apresentam das mais relevantes</w:t>
      </w:r>
      <w:r w:rsidR="00D27B59" w:rsidRPr="00574F9F">
        <w:rPr>
          <w:rFonts w:ascii="Times New Roman" w:eastAsiaTheme="minorEastAsia" w:hAnsi="Times New Roman" w:cs="Times New Roman"/>
          <w:sz w:val="24"/>
          <w:szCs w:val="24"/>
        </w:rPr>
        <w:t xml:space="preserve"> influência</w:t>
      </w:r>
      <w:r w:rsidR="00AA633E" w:rsidRPr="00574F9F">
        <w:rPr>
          <w:rFonts w:ascii="Times New Roman" w:eastAsiaTheme="minorEastAsia" w:hAnsi="Times New Roman" w:cs="Times New Roman"/>
          <w:sz w:val="24"/>
          <w:szCs w:val="24"/>
        </w:rPr>
        <w:t>s</w:t>
      </w:r>
      <w:r w:rsidR="00D27B59" w:rsidRPr="00574F9F">
        <w:rPr>
          <w:rFonts w:ascii="Times New Roman" w:eastAsiaTheme="minorEastAsia" w:hAnsi="Times New Roman" w:cs="Times New Roman"/>
          <w:sz w:val="24"/>
          <w:szCs w:val="24"/>
        </w:rPr>
        <w:t xml:space="preserve"> sobre a trajetória </w:t>
      </w:r>
      <w:r w:rsidR="00AA633E" w:rsidRPr="00574F9F">
        <w:rPr>
          <w:rFonts w:ascii="Times New Roman" w:eastAsiaTheme="minorEastAsia" w:hAnsi="Times New Roman" w:cs="Times New Roman"/>
          <w:sz w:val="24"/>
          <w:szCs w:val="24"/>
        </w:rPr>
        <w:t xml:space="preserve">orçamentária da Previdência Social, tendo estado entre </w:t>
      </w:r>
      <w:r w:rsidR="00D27B59" w:rsidRPr="00574F9F">
        <w:rPr>
          <w:rFonts w:ascii="Times New Roman" w:eastAsiaTheme="minorEastAsia" w:hAnsi="Times New Roman" w:cs="Times New Roman"/>
          <w:sz w:val="24"/>
          <w:szCs w:val="24"/>
        </w:rPr>
        <w:t xml:space="preserve">os </w:t>
      </w:r>
      <w:r w:rsidR="00AA633E" w:rsidRPr="00574F9F">
        <w:rPr>
          <w:rFonts w:ascii="Times New Roman" w:eastAsiaTheme="minorEastAsia" w:hAnsi="Times New Roman" w:cs="Times New Roman"/>
          <w:sz w:val="24"/>
          <w:szCs w:val="24"/>
        </w:rPr>
        <w:t xml:space="preserve">protagonistas do menor peso previdenciário sobre o </w:t>
      </w:r>
      <w:r w:rsidR="000A74B1" w:rsidRPr="00574F9F">
        <w:rPr>
          <w:rFonts w:ascii="Times New Roman" w:eastAsiaTheme="minorEastAsia" w:hAnsi="Times New Roman" w:cs="Times New Roman"/>
          <w:sz w:val="24"/>
          <w:szCs w:val="24"/>
        </w:rPr>
        <w:t>d</w:t>
      </w:r>
      <w:r w:rsidR="00AA633E" w:rsidRPr="00574F9F">
        <w:rPr>
          <w:rFonts w:ascii="Times New Roman" w:eastAsiaTheme="minorEastAsia" w:hAnsi="Times New Roman" w:cs="Times New Roman"/>
          <w:sz w:val="24"/>
          <w:szCs w:val="24"/>
        </w:rPr>
        <w:t>éficit</w:t>
      </w:r>
      <w:r w:rsidR="000A74B1" w:rsidRPr="00574F9F">
        <w:rPr>
          <w:rFonts w:ascii="Times New Roman" w:eastAsiaTheme="minorEastAsia" w:hAnsi="Times New Roman" w:cs="Times New Roman"/>
          <w:sz w:val="24"/>
          <w:szCs w:val="24"/>
        </w:rPr>
        <w:t xml:space="preserve"> p</w:t>
      </w:r>
      <w:r w:rsidR="00AA633E" w:rsidRPr="00574F9F">
        <w:rPr>
          <w:rFonts w:ascii="Times New Roman" w:eastAsiaTheme="minorEastAsia" w:hAnsi="Times New Roman" w:cs="Times New Roman"/>
          <w:sz w:val="24"/>
          <w:szCs w:val="24"/>
        </w:rPr>
        <w:t xml:space="preserve">úblico. </w:t>
      </w:r>
    </w:p>
    <w:p w:rsidR="002C73D2" w:rsidRDefault="00F56B7B" w:rsidP="00F56B7B">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80564" w:rsidRPr="001C4628">
        <w:rPr>
          <w:rFonts w:ascii="Times New Roman" w:eastAsiaTheme="minorEastAsia" w:hAnsi="Times New Roman" w:cs="Times New Roman"/>
          <w:sz w:val="24"/>
          <w:szCs w:val="24"/>
        </w:rPr>
        <w:t xml:space="preserve">Este artigo </w:t>
      </w:r>
      <w:r w:rsidR="00574F9F">
        <w:rPr>
          <w:rFonts w:ascii="Times New Roman" w:eastAsiaTheme="minorEastAsia" w:hAnsi="Times New Roman" w:cs="Times New Roman"/>
          <w:sz w:val="24"/>
          <w:szCs w:val="24"/>
        </w:rPr>
        <w:t>mensura</w:t>
      </w:r>
      <w:r w:rsidR="00680564" w:rsidRPr="001C4628">
        <w:rPr>
          <w:rFonts w:ascii="Times New Roman" w:eastAsiaTheme="minorEastAsia" w:hAnsi="Times New Roman" w:cs="Times New Roman"/>
          <w:sz w:val="24"/>
          <w:szCs w:val="24"/>
        </w:rPr>
        <w:t xml:space="preserve"> o efeito do primeiro e segundo d</w:t>
      </w:r>
      <w:r>
        <w:rPr>
          <w:rFonts w:ascii="Times New Roman" w:eastAsiaTheme="minorEastAsia" w:hAnsi="Times New Roman" w:cs="Times New Roman"/>
          <w:sz w:val="24"/>
          <w:szCs w:val="24"/>
        </w:rPr>
        <w:t>ividendos demográficos sobre o S</w:t>
      </w:r>
      <w:r w:rsidR="00680564" w:rsidRPr="001C4628">
        <w:rPr>
          <w:rFonts w:ascii="Times New Roman" w:eastAsiaTheme="minorEastAsia" w:hAnsi="Times New Roman" w:cs="Times New Roman"/>
          <w:sz w:val="24"/>
          <w:szCs w:val="24"/>
        </w:rPr>
        <w:t xml:space="preserve">istema de Seguridade Social, especificamente no que se refere ao número de contribuintes do INSS. </w:t>
      </w:r>
      <w:r w:rsidR="00574F9F">
        <w:rPr>
          <w:rFonts w:ascii="Times New Roman" w:eastAsiaTheme="minorEastAsia" w:hAnsi="Times New Roman" w:cs="Times New Roman"/>
          <w:sz w:val="24"/>
          <w:szCs w:val="24"/>
        </w:rPr>
        <w:t xml:space="preserve">Ao longo do artigo a </w:t>
      </w:r>
      <w:r w:rsidR="00680564" w:rsidRPr="001C4628">
        <w:rPr>
          <w:rFonts w:ascii="Times New Roman" w:eastAsiaTheme="minorEastAsia" w:hAnsi="Times New Roman" w:cs="Times New Roman"/>
          <w:sz w:val="24"/>
          <w:szCs w:val="24"/>
        </w:rPr>
        <w:t>variação no número de contribuintes entre 2002 e 201</w:t>
      </w:r>
      <w:r w:rsidR="0059039F" w:rsidRPr="001C4628">
        <w:rPr>
          <w:rFonts w:ascii="Times New Roman" w:eastAsiaTheme="minorEastAsia" w:hAnsi="Times New Roman" w:cs="Times New Roman"/>
          <w:sz w:val="24"/>
          <w:szCs w:val="24"/>
        </w:rPr>
        <w:t xml:space="preserve">2 sofrerá duas decomposições distintas, </w:t>
      </w:r>
      <w:r w:rsidR="00680564" w:rsidRPr="001C4628">
        <w:rPr>
          <w:rFonts w:ascii="Times New Roman" w:eastAsiaTheme="minorEastAsia" w:hAnsi="Times New Roman" w:cs="Times New Roman"/>
          <w:sz w:val="24"/>
          <w:szCs w:val="24"/>
        </w:rPr>
        <w:t>de modo a observar</w:t>
      </w:r>
      <w:r w:rsidR="00574F9F">
        <w:rPr>
          <w:rFonts w:ascii="Times New Roman" w:eastAsiaTheme="minorEastAsia" w:hAnsi="Times New Roman" w:cs="Times New Roman"/>
          <w:sz w:val="24"/>
          <w:szCs w:val="24"/>
        </w:rPr>
        <w:t xml:space="preserve"> que </w:t>
      </w:r>
      <w:r w:rsidR="00680564" w:rsidRPr="001C4628">
        <w:rPr>
          <w:rFonts w:ascii="Times New Roman" w:eastAsiaTheme="minorEastAsia" w:hAnsi="Times New Roman" w:cs="Times New Roman"/>
          <w:sz w:val="24"/>
          <w:szCs w:val="24"/>
        </w:rPr>
        <w:t xml:space="preserve">primeiro Bônus Demográfico </w:t>
      </w:r>
      <w:r w:rsidR="00574F9F">
        <w:rPr>
          <w:rFonts w:ascii="Times New Roman" w:eastAsiaTheme="minorEastAsia" w:hAnsi="Times New Roman" w:cs="Times New Roman"/>
          <w:sz w:val="24"/>
          <w:szCs w:val="24"/>
        </w:rPr>
        <w:t>elevou o taxa de aumento dos contribuintes em 62%, en</w:t>
      </w:r>
      <w:r w:rsidR="00680564" w:rsidRPr="001C4628">
        <w:rPr>
          <w:rFonts w:ascii="Times New Roman" w:eastAsiaTheme="minorEastAsia" w:hAnsi="Times New Roman" w:cs="Times New Roman"/>
          <w:sz w:val="24"/>
          <w:szCs w:val="24"/>
        </w:rPr>
        <w:t>quanto o segundo</w:t>
      </w:r>
      <w:r w:rsidR="00574F9F">
        <w:rPr>
          <w:rFonts w:ascii="Times New Roman" w:eastAsiaTheme="minorEastAsia" w:hAnsi="Times New Roman" w:cs="Times New Roman"/>
          <w:sz w:val="24"/>
          <w:szCs w:val="24"/>
        </w:rPr>
        <w:t xml:space="preserve"> o elevou 25%, de modo que, sem tais dividendos, a variação do número de contribuintes cairia de 56% no período para 29,4%</w:t>
      </w:r>
      <w:r w:rsidR="002C73D2" w:rsidRPr="001C4628">
        <w:rPr>
          <w:rFonts w:ascii="Times New Roman" w:eastAsiaTheme="minorEastAsia" w:hAnsi="Times New Roman" w:cs="Times New Roman"/>
          <w:sz w:val="24"/>
          <w:szCs w:val="24"/>
        </w:rPr>
        <w:t>.</w:t>
      </w:r>
      <w:r w:rsidR="001C323C">
        <w:rPr>
          <w:rFonts w:ascii="Times New Roman" w:eastAsiaTheme="minorEastAsia" w:hAnsi="Times New Roman" w:cs="Times New Roman"/>
          <w:sz w:val="24"/>
          <w:szCs w:val="24"/>
        </w:rPr>
        <w:t xml:space="preserve"> Por fim, um exercício contrafactual mostra que, sem o Bônus Demográfico sobre a Previdência, </w:t>
      </w:r>
      <w:r w:rsidR="00967396">
        <w:rPr>
          <w:rFonts w:ascii="Times New Roman" w:eastAsiaTheme="minorEastAsia" w:hAnsi="Times New Roman" w:cs="Times New Roman"/>
          <w:sz w:val="24"/>
          <w:szCs w:val="24"/>
        </w:rPr>
        <w:t>a razão da Arrecadação sobre a Despesa do INSS, ao invés de crescer de 80% para 96,1%, cairia para 7</w:t>
      </w:r>
      <w:r>
        <w:rPr>
          <w:rFonts w:ascii="Times New Roman" w:eastAsiaTheme="minorEastAsia" w:hAnsi="Times New Roman" w:cs="Times New Roman"/>
          <w:sz w:val="24"/>
          <w:szCs w:val="24"/>
        </w:rPr>
        <w:t>6</w:t>
      </w:r>
      <w:r w:rsidR="00967396">
        <w:rPr>
          <w:rFonts w:ascii="Times New Roman" w:eastAsiaTheme="minorEastAsia" w:hAnsi="Times New Roman" w:cs="Times New Roman"/>
          <w:sz w:val="24"/>
          <w:szCs w:val="24"/>
        </w:rPr>
        <w:t>,5%.</w:t>
      </w:r>
    </w:p>
    <w:p w:rsidR="00A26715" w:rsidRDefault="00F56B7B" w:rsidP="00F56B7B">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Esse artigo está organizado em quatro</w:t>
      </w:r>
      <w:r w:rsidR="001C323C">
        <w:rPr>
          <w:rFonts w:ascii="Times New Roman" w:eastAsiaTheme="minorEastAsia" w:hAnsi="Times New Roman" w:cs="Times New Roman"/>
          <w:sz w:val="24"/>
          <w:szCs w:val="24"/>
        </w:rPr>
        <w:t xml:space="preserve"> seções além desta introdução. A seção 2 faz uma análise descritiva dos dados, evidenciando a trajetória da Previdência e da estrutura etária no Brasil, a seção 3 apresenta a metodologia utilizada para </w:t>
      </w:r>
      <w:r w:rsidR="00967396">
        <w:rPr>
          <w:rFonts w:ascii="Times New Roman" w:eastAsiaTheme="minorEastAsia" w:hAnsi="Times New Roman" w:cs="Times New Roman"/>
          <w:sz w:val="24"/>
          <w:szCs w:val="24"/>
        </w:rPr>
        <w:t xml:space="preserve">as decomposições necessárias à mensuração do Bônus Demográfico, a seção 4 apresenta os resultados obtidos e, por fim, a seção 5 contém a conclusão do artigo. </w:t>
      </w:r>
    </w:p>
    <w:p w:rsidR="00044378" w:rsidRPr="001C4628" w:rsidRDefault="00044378" w:rsidP="00F56B7B">
      <w:pPr>
        <w:tabs>
          <w:tab w:val="left" w:pos="709"/>
        </w:tabs>
        <w:rPr>
          <w:rFonts w:ascii="Times New Roman" w:eastAsiaTheme="minorEastAsia" w:hAnsi="Times New Roman" w:cs="Times New Roman"/>
          <w:sz w:val="24"/>
          <w:szCs w:val="24"/>
        </w:rPr>
      </w:pPr>
    </w:p>
    <w:p w:rsidR="00351157" w:rsidRPr="001C4628" w:rsidRDefault="00351157"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2. Dados</w:t>
      </w:r>
    </w:p>
    <w:p w:rsidR="00E126EF" w:rsidRPr="001C4628" w:rsidRDefault="00304912" w:rsidP="00F56B7B">
      <w:pPr>
        <w:ind w:firstLine="709"/>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Esse artigo, em seu primeiro momento, utiliza a Pesquisa Nacional por Amostra de Domicílios para </w:t>
      </w:r>
      <w:r w:rsidR="000641CB" w:rsidRPr="001C4628">
        <w:rPr>
          <w:rFonts w:ascii="Times New Roman" w:eastAsiaTheme="minorEastAsia" w:hAnsi="Times New Roman" w:cs="Times New Roman"/>
          <w:sz w:val="24"/>
          <w:szCs w:val="24"/>
        </w:rPr>
        <w:t xml:space="preserve">determinar o efeito do Bônus Demográfico no aumento do número de contribuintes de 2002 a 2012. Segundo </w:t>
      </w:r>
      <w:r w:rsidR="00C943B4" w:rsidRPr="001C4628">
        <w:rPr>
          <w:rFonts w:ascii="Times New Roman" w:eastAsiaTheme="minorEastAsia" w:hAnsi="Times New Roman" w:cs="Times New Roman"/>
          <w:sz w:val="24"/>
          <w:szCs w:val="24"/>
        </w:rPr>
        <w:t>os dados amostrais, resumidos na Tabela 1</w:t>
      </w:r>
      <w:r w:rsidR="000641CB" w:rsidRPr="001C4628">
        <w:rPr>
          <w:rFonts w:ascii="Times New Roman" w:eastAsiaTheme="minorEastAsia" w:hAnsi="Times New Roman" w:cs="Times New Roman"/>
          <w:sz w:val="24"/>
          <w:szCs w:val="24"/>
        </w:rPr>
        <w:t xml:space="preserve">, </w:t>
      </w:r>
      <w:r w:rsidR="00C943B4" w:rsidRPr="001C4628">
        <w:rPr>
          <w:rFonts w:ascii="Times New Roman" w:eastAsiaTheme="minorEastAsia" w:hAnsi="Times New Roman" w:cs="Times New Roman"/>
          <w:sz w:val="24"/>
          <w:szCs w:val="24"/>
        </w:rPr>
        <w:t>tal v</w:t>
      </w:r>
      <w:r w:rsidR="00E126EF" w:rsidRPr="001C4628">
        <w:rPr>
          <w:rFonts w:ascii="Times New Roman" w:eastAsiaTheme="minorEastAsia" w:hAnsi="Times New Roman" w:cs="Times New Roman"/>
          <w:sz w:val="24"/>
          <w:szCs w:val="24"/>
        </w:rPr>
        <w:t>ariação registrou a marca de 4,6</w:t>
      </w:r>
      <w:r w:rsidR="00C943B4" w:rsidRPr="001C4628">
        <w:rPr>
          <w:rFonts w:ascii="Times New Roman" w:eastAsiaTheme="minorEastAsia" w:hAnsi="Times New Roman" w:cs="Times New Roman"/>
          <w:sz w:val="24"/>
          <w:szCs w:val="24"/>
        </w:rPr>
        <w:t>% ano a ano, enquanto a Popula</w:t>
      </w:r>
      <w:r w:rsidR="00E126EF" w:rsidRPr="001C4628">
        <w:rPr>
          <w:rFonts w:ascii="Times New Roman" w:eastAsiaTheme="minorEastAsia" w:hAnsi="Times New Roman" w:cs="Times New Roman"/>
          <w:sz w:val="24"/>
          <w:szCs w:val="24"/>
        </w:rPr>
        <w:t xml:space="preserve">ção em Idade Ativa </w:t>
      </w:r>
      <w:r w:rsidR="00E126EF" w:rsidRPr="001C4628">
        <w:rPr>
          <w:rFonts w:ascii="Times New Roman" w:eastAsiaTheme="minorEastAsia" w:hAnsi="Times New Roman" w:cs="Times New Roman"/>
          <w:sz w:val="24"/>
          <w:szCs w:val="24"/>
        </w:rPr>
        <w:lastRenderedPageBreak/>
        <w:t>se elevou 1,3</w:t>
      </w:r>
      <w:r w:rsidR="00C943B4" w:rsidRPr="001C4628">
        <w:rPr>
          <w:rFonts w:ascii="Times New Roman" w:eastAsiaTheme="minorEastAsia" w:hAnsi="Times New Roman" w:cs="Times New Roman"/>
          <w:sz w:val="24"/>
          <w:szCs w:val="24"/>
        </w:rPr>
        <w:t>% a.a</w:t>
      </w:r>
      <w:r w:rsidR="00E126EF" w:rsidRPr="001C4628">
        <w:rPr>
          <w:rStyle w:val="Refdenotaderodap"/>
          <w:rFonts w:ascii="Times New Roman" w:eastAsiaTheme="minorEastAsia" w:hAnsi="Times New Roman" w:cs="Times New Roman"/>
          <w:sz w:val="24"/>
          <w:szCs w:val="24"/>
        </w:rPr>
        <w:footnoteReference w:id="4"/>
      </w:r>
      <w:r w:rsidR="00C943B4" w:rsidRPr="001C4628">
        <w:rPr>
          <w:rFonts w:ascii="Times New Roman" w:eastAsiaTheme="minorEastAsia" w:hAnsi="Times New Roman" w:cs="Times New Roman"/>
          <w:sz w:val="24"/>
          <w:szCs w:val="24"/>
        </w:rPr>
        <w:t>, ao mesmo tempo em que a População Tota</w:t>
      </w:r>
      <w:r w:rsidR="00E126EF" w:rsidRPr="001C4628">
        <w:rPr>
          <w:rFonts w:ascii="Times New Roman" w:eastAsiaTheme="minorEastAsia" w:hAnsi="Times New Roman" w:cs="Times New Roman"/>
          <w:sz w:val="24"/>
          <w:szCs w:val="24"/>
        </w:rPr>
        <w:t>l experimentou um aumento de 1,2</w:t>
      </w:r>
      <w:r w:rsidR="00C943B4" w:rsidRPr="001C4628">
        <w:rPr>
          <w:rFonts w:ascii="Times New Roman" w:eastAsiaTheme="minorEastAsia" w:hAnsi="Times New Roman" w:cs="Times New Roman"/>
          <w:sz w:val="24"/>
          <w:szCs w:val="24"/>
        </w:rPr>
        <w:t>% a.a.</w:t>
      </w:r>
    </w:p>
    <w:p w:rsidR="00C943B4" w:rsidRPr="001C4628" w:rsidRDefault="00C96C5A" w:rsidP="00F84192">
      <w:pPr>
        <w:rPr>
          <w:rFonts w:ascii="Times New Roman" w:eastAsiaTheme="minorEastAsia" w:hAnsi="Times New Roman" w:cs="Times New Roman"/>
          <w:b/>
          <w:sz w:val="24"/>
          <w:szCs w:val="24"/>
        </w:rPr>
      </w:pPr>
      <w:r w:rsidRPr="001C4628">
        <w:rPr>
          <w:rFonts w:ascii="Times New Roman" w:eastAsiaTheme="minorEastAsia" w:hAnsi="Times New Roman" w:cs="Times New Roman"/>
          <w:b/>
          <w:sz w:val="24"/>
          <w:szCs w:val="24"/>
        </w:rPr>
        <w:t xml:space="preserve">Tabela 1: Taxa de Crescimento das Variáveis </w:t>
      </w:r>
    </w:p>
    <w:tbl>
      <w:tblPr>
        <w:tblW w:w="4980" w:type="dxa"/>
        <w:tblInd w:w="55" w:type="dxa"/>
        <w:tblCellMar>
          <w:left w:w="70" w:type="dxa"/>
          <w:right w:w="70" w:type="dxa"/>
        </w:tblCellMar>
        <w:tblLook w:val="04A0"/>
      </w:tblPr>
      <w:tblGrid>
        <w:gridCol w:w="1447"/>
        <w:gridCol w:w="1960"/>
        <w:gridCol w:w="1660"/>
      </w:tblGrid>
      <w:tr w:rsidR="00C943B4" w:rsidRPr="001C4628" w:rsidTr="00C943B4">
        <w:trPr>
          <w:trHeight w:val="300"/>
        </w:trPr>
        <w:tc>
          <w:tcPr>
            <w:tcW w:w="1360" w:type="dxa"/>
            <w:tcBorders>
              <w:top w:val="nil"/>
              <w:left w:val="nil"/>
              <w:bottom w:val="nil"/>
              <w:right w:val="single" w:sz="4" w:space="0" w:color="auto"/>
            </w:tcBorders>
            <w:shd w:val="clear" w:color="000000" w:fill="FFFFFF"/>
            <w:noWrap/>
            <w:vAlign w:val="bottom"/>
            <w:hideMark/>
          </w:tcPr>
          <w:p w:rsidR="00C943B4" w:rsidRPr="001C4628" w:rsidRDefault="00C943B4" w:rsidP="00C943B4">
            <w:pPr>
              <w:spacing w:after="0" w:line="240" w:lineRule="auto"/>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Variação</w:t>
            </w:r>
          </w:p>
        </w:tc>
        <w:tc>
          <w:tcPr>
            <w:tcW w:w="1960" w:type="dxa"/>
            <w:tcBorders>
              <w:top w:val="nil"/>
              <w:left w:val="nil"/>
              <w:bottom w:val="nil"/>
              <w:right w:val="nil"/>
            </w:tcBorders>
            <w:shd w:val="clear" w:color="000000" w:fill="FFFFFF"/>
            <w:noWrap/>
            <w:vAlign w:val="bottom"/>
            <w:hideMark/>
          </w:tcPr>
          <w:p w:rsidR="00C943B4" w:rsidRPr="001C4628" w:rsidRDefault="00C943B4" w:rsidP="00C943B4">
            <w:pPr>
              <w:spacing w:after="0" w:line="240" w:lineRule="auto"/>
              <w:jc w:val="cente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2002-2012</w:t>
            </w:r>
          </w:p>
        </w:tc>
        <w:tc>
          <w:tcPr>
            <w:tcW w:w="1660" w:type="dxa"/>
            <w:tcBorders>
              <w:top w:val="nil"/>
              <w:left w:val="nil"/>
              <w:bottom w:val="nil"/>
              <w:right w:val="nil"/>
            </w:tcBorders>
            <w:shd w:val="clear" w:color="000000" w:fill="FFFFFF"/>
            <w:noWrap/>
            <w:vAlign w:val="bottom"/>
            <w:hideMark/>
          </w:tcPr>
          <w:p w:rsidR="00C943B4" w:rsidRPr="001C4628" w:rsidRDefault="00C943B4" w:rsidP="00C943B4">
            <w:pPr>
              <w:spacing w:after="0" w:line="240" w:lineRule="auto"/>
              <w:jc w:val="cente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ano a ano</w:t>
            </w:r>
          </w:p>
        </w:tc>
      </w:tr>
      <w:tr w:rsidR="00C943B4" w:rsidRPr="001C4628" w:rsidTr="00C943B4">
        <w:trPr>
          <w:trHeight w:val="300"/>
        </w:trPr>
        <w:tc>
          <w:tcPr>
            <w:tcW w:w="1360" w:type="dxa"/>
            <w:tcBorders>
              <w:top w:val="single" w:sz="4" w:space="0" w:color="auto"/>
              <w:left w:val="nil"/>
              <w:bottom w:val="nil"/>
              <w:right w:val="single" w:sz="4" w:space="0" w:color="auto"/>
            </w:tcBorders>
            <w:shd w:val="clear" w:color="000000" w:fill="FFFFFF"/>
            <w:noWrap/>
            <w:vAlign w:val="bottom"/>
            <w:hideMark/>
          </w:tcPr>
          <w:p w:rsidR="00C943B4" w:rsidRPr="001C4628" w:rsidRDefault="00C943B4" w:rsidP="00C943B4">
            <w:pPr>
              <w:spacing w:after="0" w:line="240" w:lineRule="auto"/>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Contribuintes</w:t>
            </w:r>
          </w:p>
        </w:tc>
        <w:tc>
          <w:tcPr>
            <w:tcW w:w="1960" w:type="dxa"/>
            <w:tcBorders>
              <w:top w:val="single" w:sz="4" w:space="0" w:color="auto"/>
              <w:left w:val="nil"/>
              <w:bottom w:val="nil"/>
              <w:right w:val="nil"/>
            </w:tcBorders>
            <w:shd w:val="clear" w:color="000000" w:fill="FFFFFF"/>
            <w:noWrap/>
            <w:vAlign w:val="bottom"/>
            <w:hideMark/>
          </w:tcPr>
          <w:p w:rsidR="00C943B4" w:rsidRPr="001C4628" w:rsidRDefault="00532BB7" w:rsidP="001C4628">
            <w:pPr>
              <w:spacing w:after="0" w:line="240" w:lineRule="auto"/>
              <w:jc w:val="cente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56</w:t>
            </w:r>
            <w:r w:rsidR="00C943B4" w:rsidRPr="001C4628">
              <w:rPr>
                <w:rFonts w:ascii="Times New Roman" w:eastAsia="Times New Roman" w:hAnsi="Times New Roman" w:cs="Times New Roman"/>
                <w:color w:val="000000"/>
                <w:sz w:val="24"/>
                <w:szCs w:val="24"/>
                <w:lang w:eastAsia="pt-BR"/>
              </w:rPr>
              <w:t>%</w:t>
            </w:r>
          </w:p>
        </w:tc>
        <w:tc>
          <w:tcPr>
            <w:tcW w:w="1660" w:type="dxa"/>
            <w:tcBorders>
              <w:top w:val="single" w:sz="4" w:space="0" w:color="auto"/>
              <w:left w:val="nil"/>
              <w:bottom w:val="nil"/>
              <w:right w:val="nil"/>
            </w:tcBorders>
            <w:shd w:val="clear" w:color="000000" w:fill="FFFFFF"/>
            <w:noWrap/>
            <w:vAlign w:val="bottom"/>
            <w:hideMark/>
          </w:tcPr>
          <w:p w:rsidR="00C943B4" w:rsidRPr="001C4628" w:rsidRDefault="00C943B4" w:rsidP="001C4628">
            <w:pPr>
              <w:spacing w:after="0" w:line="240" w:lineRule="auto"/>
              <w:jc w:val="cente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4,</w:t>
            </w:r>
            <w:r w:rsidR="00532BB7" w:rsidRPr="001C4628">
              <w:rPr>
                <w:rFonts w:ascii="Times New Roman" w:eastAsia="Times New Roman" w:hAnsi="Times New Roman" w:cs="Times New Roman"/>
                <w:color w:val="000000"/>
                <w:sz w:val="24"/>
                <w:szCs w:val="24"/>
                <w:lang w:eastAsia="pt-BR"/>
              </w:rPr>
              <w:t>6</w:t>
            </w:r>
            <w:r w:rsidRPr="001C4628">
              <w:rPr>
                <w:rFonts w:ascii="Times New Roman" w:eastAsia="Times New Roman" w:hAnsi="Times New Roman" w:cs="Times New Roman"/>
                <w:color w:val="000000"/>
                <w:sz w:val="24"/>
                <w:szCs w:val="24"/>
                <w:lang w:eastAsia="pt-BR"/>
              </w:rPr>
              <w:t>%</w:t>
            </w:r>
          </w:p>
        </w:tc>
      </w:tr>
      <w:tr w:rsidR="00C943B4" w:rsidRPr="001C4628" w:rsidTr="00C943B4">
        <w:trPr>
          <w:trHeight w:val="300"/>
        </w:trPr>
        <w:tc>
          <w:tcPr>
            <w:tcW w:w="1360" w:type="dxa"/>
            <w:tcBorders>
              <w:top w:val="nil"/>
              <w:left w:val="nil"/>
              <w:bottom w:val="nil"/>
              <w:right w:val="single" w:sz="4" w:space="0" w:color="auto"/>
            </w:tcBorders>
            <w:shd w:val="clear" w:color="000000" w:fill="FFFFFF"/>
            <w:noWrap/>
            <w:vAlign w:val="bottom"/>
            <w:hideMark/>
          </w:tcPr>
          <w:p w:rsidR="00C943B4" w:rsidRPr="001C4628" w:rsidRDefault="00C943B4" w:rsidP="00C943B4">
            <w:pPr>
              <w:spacing w:after="0" w:line="240" w:lineRule="auto"/>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PIA</w:t>
            </w:r>
          </w:p>
        </w:tc>
        <w:tc>
          <w:tcPr>
            <w:tcW w:w="1960" w:type="dxa"/>
            <w:tcBorders>
              <w:top w:val="nil"/>
              <w:left w:val="nil"/>
              <w:bottom w:val="nil"/>
              <w:right w:val="nil"/>
            </w:tcBorders>
            <w:shd w:val="clear" w:color="000000" w:fill="FFFFFF"/>
            <w:noWrap/>
            <w:vAlign w:val="bottom"/>
            <w:hideMark/>
          </w:tcPr>
          <w:p w:rsidR="00C943B4" w:rsidRPr="001C4628" w:rsidRDefault="00532BB7" w:rsidP="001C4628">
            <w:pPr>
              <w:spacing w:after="0" w:line="240" w:lineRule="auto"/>
              <w:jc w:val="cente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14</w:t>
            </w:r>
            <w:r w:rsidR="00C943B4" w:rsidRPr="001C4628">
              <w:rPr>
                <w:rFonts w:ascii="Times New Roman" w:eastAsia="Times New Roman" w:hAnsi="Times New Roman" w:cs="Times New Roman"/>
                <w:color w:val="000000"/>
                <w:sz w:val="24"/>
                <w:szCs w:val="24"/>
                <w:lang w:eastAsia="pt-BR"/>
              </w:rPr>
              <w:t>,2%</w:t>
            </w:r>
          </w:p>
        </w:tc>
        <w:tc>
          <w:tcPr>
            <w:tcW w:w="1660" w:type="dxa"/>
            <w:tcBorders>
              <w:top w:val="nil"/>
              <w:left w:val="nil"/>
              <w:bottom w:val="nil"/>
              <w:right w:val="nil"/>
            </w:tcBorders>
            <w:shd w:val="clear" w:color="000000" w:fill="FFFFFF"/>
            <w:noWrap/>
            <w:vAlign w:val="bottom"/>
            <w:hideMark/>
          </w:tcPr>
          <w:p w:rsidR="00C943B4" w:rsidRPr="001C4628" w:rsidRDefault="00C943B4" w:rsidP="001C4628">
            <w:pPr>
              <w:spacing w:after="0" w:line="240" w:lineRule="auto"/>
              <w:jc w:val="cente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w:t>
            </w:r>
            <w:r w:rsidR="00532BB7" w:rsidRPr="001C4628">
              <w:rPr>
                <w:rFonts w:ascii="Times New Roman" w:eastAsia="Times New Roman" w:hAnsi="Times New Roman" w:cs="Times New Roman"/>
                <w:color w:val="000000"/>
                <w:sz w:val="24"/>
                <w:szCs w:val="24"/>
                <w:lang w:eastAsia="pt-BR"/>
              </w:rPr>
              <w:t>3</w:t>
            </w:r>
            <w:r w:rsidRPr="001C4628">
              <w:rPr>
                <w:rFonts w:ascii="Times New Roman" w:eastAsia="Times New Roman" w:hAnsi="Times New Roman" w:cs="Times New Roman"/>
                <w:color w:val="000000"/>
                <w:sz w:val="24"/>
                <w:szCs w:val="24"/>
                <w:lang w:eastAsia="pt-BR"/>
              </w:rPr>
              <w:t>%</w:t>
            </w:r>
          </w:p>
        </w:tc>
      </w:tr>
      <w:tr w:rsidR="00C943B4" w:rsidRPr="001C4628" w:rsidTr="00C943B4">
        <w:trPr>
          <w:trHeight w:val="300"/>
        </w:trPr>
        <w:tc>
          <w:tcPr>
            <w:tcW w:w="1360" w:type="dxa"/>
            <w:tcBorders>
              <w:top w:val="nil"/>
              <w:left w:val="nil"/>
              <w:bottom w:val="nil"/>
              <w:right w:val="single" w:sz="4" w:space="0" w:color="auto"/>
            </w:tcBorders>
            <w:shd w:val="clear" w:color="000000" w:fill="FFFFFF"/>
            <w:noWrap/>
            <w:vAlign w:val="bottom"/>
            <w:hideMark/>
          </w:tcPr>
          <w:p w:rsidR="00C943B4" w:rsidRPr="001C4628" w:rsidRDefault="00C943B4" w:rsidP="00C943B4">
            <w:pPr>
              <w:spacing w:after="0" w:line="240" w:lineRule="auto"/>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POP</w:t>
            </w:r>
          </w:p>
        </w:tc>
        <w:tc>
          <w:tcPr>
            <w:tcW w:w="1960" w:type="dxa"/>
            <w:tcBorders>
              <w:top w:val="nil"/>
              <w:left w:val="nil"/>
              <w:bottom w:val="nil"/>
              <w:right w:val="nil"/>
            </w:tcBorders>
            <w:shd w:val="clear" w:color="000000" w:fill="FFFFFF"/>
            <w:noWrap/>
            <w:vAlign w:val="bottom"/>
            <w:hideMark/>
          </w:tcPr>
          <w:p w:rsidR="00C943B4" w:rsidRPr="001C4628" w:rsidRDefault="00532BB7" w:rsidP="001C4628">
            <w:pPr>
              <w:spacing w:after="0" w:line="240" w:lineRule="auto"/>
              <w:jc w:val="cente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12,4</w:t>
            </w:r>
            <w:r w:rsidR="00C943B4" w:rsidRPr="001C4628">
              <w:rPr>
                <w:rFonts w:ascii="Times New Roman" w:eastAsia="Times New Roman" w:hAnsi="Times New Roman" w:cs="Times New Roman"/>
                <w:color w:val="000000"/>
                <w:sz w:val="24"/>
                <w:szCs w:val="24"/>
                <w:lang w:eastAsia="pt-BR"/>
              </w:rPr>
              <w:t>%</w:t>
            </w:r>
          </w:p>
        </w:tc>
        <w:tc>
          <w:tcPr>
            <w:tcW w:w="1660" w:type="dxa"/>
            <w:tcBorders>
              <w:top w:val="nil"/>
              <w:left w:val="nil"/>
              <w:bottom w:val="nil"/>
              <w:right w:val="nil"/>
            </w:tcBorders>
            <w:shd w:val="clear" w:color="000000" w:fill="FFFFFF"/>
            <w:noWrap/>
            <w:vAlign w:val="bottom"/>
            <w:hideMark/>
          </w:tcPr>
          <w:p w:rsidR="00C943B4" w:rsidRPr="001C4628" w:rsidRDefault="00C943B4" w:rsidP="001C4628">
            <w:pPr>
              <w:spacing w:after="0" w:line="240" w:lineRule="auto"/>
              <w:jc w:val="cente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w:t>
            </w:r>
            <w:r w:rsidR="00532BB7" w:rsidRPr="001C4628">
              <w:rPr>
                <w:rFonts w:ascii="Times New Roman" w:eastAsia="Times New Roman" w:hAnsi="Times New Roman" w:cs="Times New Roman"/>
                <w:color w:val="000000"/>
                <w:sz w:val="24"/>
                <w:szCs w:val="24"/>
                <w:lang w:eastAsia="pt-BR"/>
              </w:rPr>
              <w:t>2</w:t>
            </w:r>
            <w:r w:rsidRPr="001C4628">
              <w:rPr>
                <w:rFonts w:ascii="Times New Roman" w:eastAsia="Times New Roman" w:hAnsi="Times New Roman" w:cs="Times New Roman"/>
                <w:color w:val="000000"/>
                <w:sz w:val="24"/>
                <w:szCs w:val="24"/>
                <w:lang w:eastAsia="pt-BR"/>
              </w:rPr>
              <w:t>%</w:t>
            </w:r>
          </w:p>
        </w:tc>
      </w:tr>
    </w:tbl>
    <w:p w:rsidR="00C943B4" w:rsidRPr="001C4628" w:rsidRDefault="00C57A53"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PNAD; Elaboração própria</w:t>
      </w:r>
    </w:p>
    <w:p w:rsidR="00351157" w:rsidRPr="001C4628" w:rsidRDefault="00E126EF"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 xml:space="preserve">Os dados mostram, portanto, um aumento </w:t>
      </w:r>
      <w:r w:rsidR="00F83F63" w:rsidRPr="001C4628">
        <w:rPr>
          <w:rFonts w:ascii="Times New Roman" w:eastAsiaTheme="minorEastAsia" w:hAnsi="Times New Roman" w:cs="Times New Roman"/>
          <w:sz w:val="24"/>
          <w:szCs w:val="24"/>
        </w:rPr>
        <w:t>da População em Idade Ativa</w:t>
      </w:r>
      <w:r w:rsidR="00C96C5A" w:rsidRPr="001C4628">
        <w:rPr>
          <w:rFonts w:ascii="Times New Roman" w:eastAsiaTheme="minorEastAsia" w:hAnsi="Times New Roman" w:cs="Times New Roman"/>
          <w:sz w:val="24"/>
          <w:szCs w:val="24"/>
        </w:rPr>
        <w:t xml:space="preserve"> maior do que</w:t>
      </w:r>
      <w:r w:rsidR="00F83F63" w:rsidRPr="001C4628">
        <w:rPr>
          <w:rFonts w:ascii="Times New Roman" w:eastAsiaTheme="minorEastAsia" w:hAnsi="Times New Roman" w:cs="Times New Roman"/>
          <w:sz w:val="24"/>
          <w:szCs w:val="24"/>
        </w:rPr>
        <w:t xml:space="preserve"> na população brasileira</w:t>
      </w:r>
      <w:r w:rsidR="00A72086">
        <w:rPr>
          <w:rFonts w:ascii="Times New Roman" w:eastAsiaTheme="minorEastAsia" w:hAnsi="Times New Roman" w:cs="Times New Roman"/>
          <w:sz w:val="24"/>
          <w:szCs w:val="24"/>
        </w:rPr>
        <w:t xml:space="preserve">todos os anos </w:t>
      </w:r>
      <w:r w:rsidR="00C96C5A" w:rsidRPr="001C4628">
        <w:rPr>
          <w:rFonts w:ascii="Times New Roman" w:eastAsiaTheme="minorEastAsia" w:hAnsi="Times New Roman" w:cs="Times New Roman"/>
          <w:sz w:val="24"/>
          <w:szCs w:val="24"/>
        </w:rPr>
        <w:t>entre 2002 e 2011</w:t>
      </w:r>
      <w:r w:rsidR="00F83F63" w:rsidRPr="001C4628">
        <w:rPr>
          <w:rFonts w:ascii="Times New Roman" w:eastAsiaTheme="minorEastAsia" w:hAnsi="Times New Roman" w:cs="Times New Roman"/>
          <w:sz w:val="24"/>
          <w:szCs w:val="24"/>
        </w:rPr>
        <w:t xml:space="preserve">, o que caracteriza justamente </w:t>
      </w:r>
      <w:r w:rsidR="002662B4" w:rsidRPr="001C4628">
        <w:rPr>
          <w:rFonts w:ascii="Times New Roman" w:eastAsiaTheme="minorEastAsia" w:hAnsi="Times New Roman" w:cs="Times New Roman"/>
          <w:sz w:val="24"/>
          <w:szCs w:val="24"/>
        </w:rPr>
        <w:t>o primeiro bônus</w:t>
      </w:r>
      <w:r w:rsidR="004A34EC" w:rsidRPr="001C4628">
        <w:rPr>
          <w:rFonts w:ascii="Times New Roman" w:eastAsiaTheme="minorEastAsia" w:hAnsi="Times New Roman" w:cs="Times New Roman"/>
          <w:sz w:val="24"/>
          <w:szCs w:val="24"/>
        </w:rPr>
        <w:t xml:space="preserve"> demográfico, o qual o país ainda está logrand</w:t>
      </w:r>
      <w:r w:rsidR="00C96C5A" w:rsidRPr="001C4628">
        <w:rPr>
          <w:rFonts w:ascii="Times New Roman" w:eastAsiaTheme="minorEastAsia" w:hAnsi="Times New Roman" w:cs="Times New Roman"/>
          <w:sz w:val="24"/>
          <w:szCs w:val="24"/>
        </w:rPr>
        <w:t>o passar. Já Gráfico 1 mostra tanto a taxa de População em Idade Ativa em relação a toda população amostral, quanto a taxa de beneficiários do INSS e contribuintes ocupados, cada um com trajetórias divergentes, sugerindo uma influência demográfica sobre as variáveis previdenciárias.</w:t>
      </w:r>
    </w:p>
    <w:p w:rsidR="002662B4" w:rsidRPr="001C4628" w:rsidRDefault="00506B48" w:rsidP="00F84192">
      <w:pPr>
        <w:rPr>
          <w:rFonts w:ascii="Times New Roman" w:eastAsiaTheme="minorEastAsia" w:hAnsi="Times New Roman" w:cs="Times New Roman"/>
          <w:sz w:val="24"/>
          <w:szCs w:val="24"/>
        </w:rPr>
      </w:pPr>
      <w:r w:rsidRPr="001C4628">
        <w:rPr>
          <w:rFonts w:ascii="Times New Roman" w:hAnsi="Times New Roman" w:cs="Times New Roman"/>
          <w:noProof/>
          <w:sz w:val="24"/>
          <w:szCs w:val="24"/>
          <w:lang w:eastAsia="pt-BR"/>
        </w:rPr>
        <w:drawing>
          <wp:inline distT="0" distB="0" distL="0" distR="0">
            <wp:extent cx="5143500" cy="31623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51157" w:rsidRPr="001C4628" w:rsidRDefault="00C96C5A"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PNAD; Anuário Estatístico da Previdência Social (AEPS); Elaboração própria</w:t>
      </w:r>
    </w:p>
    <w:p w:rsidR="00C96C5A" w:rsidRPr="001C4628" w:rsidRDefault="00220068"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No entanto, apesar da trajetória descendente da razão beneficiários e contribuintes do INSS</w:t>
      </w:r>
      <w:r w:rsidR="00045C4B" w:rsidRPr="001C4628">
        <w:rPr>
          <w:rFonts w:ascii="Times New Roman" w:eastAsiaTheme="minorEastAsia" w:hAnsi="Times New Roman" w:cs="Times New Roman"/>
          <w:sz w:val="24"/>
          <w:szCs w:val="24"/>
        </w:rPr>
        <w:t>, que é positiva</w:t>
      </w:r>
      <w:r w:rsidRPr="001C4628">
        <w:rPr>
          <w:rFonts w:ascii="Times New Roman" w:eastAsiaTheme="minorEastAsia" w:hAnsi="Times New Roman" w:cs="Times New Roman"/>
          <w:sz w:val="24"/>
          <w:szCs w:val="24"/>
        </w:rPr>
        <w:t xml:space="preserve">, o </w:t>
      </w:r>
      <w:r w:rsidR="00045C4B" w:rsidRPr="001C4628">
        <w:rPr>
          <w:rFonts w:ascii="Times New Roman" w:eastAsiaTheme="minorEastAsia" w:hAnsi="Times New Roman" w:cs="Times New Roman"/>
          <w:sz w:val="24"/>
          <w:szCs w:val="24"/>
        </w:rPr>
        <w:t>G</w:t>
      </w:r>
      <w:r w:rsidRPr="001C4628">
        <w:rPr>
          <w:rFonts w:ascii="Times New Roman" w:eastAsiaTheme="minorEastAsia" w:hAnsi="Times New Roman" w:cs="Times New Roman"/>
          <w:sz w:val="24"/>
          <w:szCs w:val="24"/>
        </w:rPr>
        <w:t>ráfico 2 revela que</w:t>
      </w:r>
      <w:r w:rsidR="00B02AD0">
        <w:rPr>
          <w:rFonts w:ascii="Times New Roman" w:eastAsiaTheme="minorEastAsia" w:hAnsi="Times New Roman" w:cs="Times New Roman"/>
          <w:sz w:val="24"/>
          <w:szCs w:val="24"/>
        </w:rPr>
        <w:t xml:space="preserve"> </w:t>
      </w:r>
      <w:r w:rsidRPr="001C4628">
        <w:rPr>
          <w:rFonts w:ascii="Times New Roman" w:eastAsiaTheme="minorEastAsia" w:hAnsi="Times New Roman" w:cs="Times New Roman"/>
          <w:sz w:val="24"/>
          <w:szCs w:val="24"/>
        </w:rPr>
        <w:t>a Previdênc</w:t>
      </w:r>
      <w:r w:rsidR="00C57A53" w:rsidRPr="001C4628">
        <w:rPr>
          <w:rFonts w:ascii="Times New Roman" w:eastAsiaTheme="minorEastAsia" w:hAnsi="Times New Roman" w:cs="Times New Roman"/>
          <w:sz w:val="24"/>
          <w:szCs w:val="24"/>
        </w:rPr>
        <w:t xml:space="preserve">ia Social brasileira mantém um expressivo </w:t>
      </w:r>
      <w:r w:rsidR="00C57A53" w:rsidRPr="001C4628">
        <w:rPr>
          <w:rFonts w:ascii="Times New Roman" w:eastAsiaTheme="minorEastAsia" w:hAnsi="Times New Roman" w:cs="Times New Roman"/>
          <w:i/>
          <w:sz w:val="24"/>
          <w:szCs w:val="24"/>
        </w:rPr>
        <w:t>déficit</w:t>
      </w:r>
      <w:r w:rsidR="00602D7F" w:rsidRPr="001C4628">
        <w:rPr>
          <w:rStyle w:val="Refdenotaderodap"/>
          <w:rFonts w:ascii="Times New Roman" w:eastAsiaTheme="minorEastAsia" w:hAnsi="Times New Roman" w:cs="Times New Roman"/>
          <w:sz w:val="24"/>
          <w:szCs w:val="24"/>
        </w:rPr>
        <w:footnoteReference w:id="5"/>
      </w:r>
      <w:r w:rsidR="00C57A53" w:rsidRPr="001C4628">
        <w:rPr>
          <w:rFonts w:ascii="Times New Roman" w:eastAsiaTheme="minorEastAsia" w:hAnsi="Times New Roman" w:cs="Times New Roman"/>
          <w:sz w:val="24"/>
          <w:szCs w:val="24"/>
        </w:rPr>
        <w:t>. Tal desempenho previdenciário se</w:t>
      </w:r>
      <w:r w:rsidR="00602D7F" w:rsidRPr="001C4628">
        <w:rPr>
          <w:rFonts w:ascii="Times New Roman" w:eastAsiaTheme="minorEastAsia" w:hAnsi="Times New Roman" w:cs="Times New Roman"/>
          <w:sz w:val="24"/>
          <w:szCs w:val="24"/>
        </w:rPr>
        <w:t xml:space="preserve"> coloca</w:t>
      </w:r>
      <w:r w:rsidR="00044378">
        <w:rPr>
          <w:rFonts w:ascii="Times New Roman" w:eastAsiaTheme="minorEastAsia" w:hAnsi="Times New Roman" w:cs="Times New Roman"/>
          <w:sz w:val="24"/>
          <w:szCs w:val="24"/>
        </w:rPr>
        <w:t xml:space="preserve"> </w:t>
      </w:r>
      <w:r w:rsidR="00602D7F" w:rsidRPr="001C4628">
        <w:rPr>
          <w:rFonts w:ascii="Times New Roman" w:eastAsiaTheme="minorEastAsia" w:hAnsi="Times New Roman" w:cs="Times New Roman"/>
          <w:sz w:val="24"/>
          <w:szCs w:val="24"/>
        </w:rPr>
        <w:t>no contexto</w:t>
      </w:r>
      <w:r w:rsidR="00C57A53" w:rsidRPr="001C4628">
        <w:rPr>
          <w:rFonts w:ascii="Times New Roman" w:eastAsiaTheme="minorEastAsia" w:hAnsi="Times New Roman" w:cs="Times New Roman"/>
          <w:sz w:val="24"/>
          <w:szCs w:val="24"/>
        </w:rPr>
        <w:t xml:space="preserve"> em questão, no qual, além dos benefícios demográficos, </w:t>
      </w:r>
      <w:r w:rsidR="00205ED4" w:rsidRPr="001C4628">
        <w:rPr>
          <w:rFonts w:ascii="Times New Roman" w:eastAsiaTheme="minorEastAsia" w:hAnsi="Times New Roman" w:cs="Times New Roman"/>
          <w:sz w:val="24"/>
          <w:szCs w:val="24"/>
        </w:rPr>
        <w:t>houve</w:t>
      </w:r>
      <w:r w:rsidR="00045C4B" w:rsidRPr="001C4628">
        <w:rPr>
          <w:rFonts w:ascii="Times New Roman" w:eastAsiaTheme="minorEastAsia" w:hAnsi="Times New Roman" w:cs="Times New Roman"/>
          <w:sz w:val="24"/>
          <w:szCs w:val="24"/>
        </w:rPr>
        <w:t xml:space="preserve"> razoável </w:t>
      </w:r>
      <w:r w:rsidR="00506B48" w:rsidRPr="001C4628">
        <w:rPr>
          <w:rFonts w:ascii="Times New Roman" w:eastAsiaTheme="minorEastAsia" w:hAnsi="Times New Roman" w:cs="Times New Roman"/>
          <w:sz w:val="24"/>
          <w:szCs w:val="24"/>
        </w:rPr>
        <w:lastRenderedPageBreak/>
        <w:t xml:space="preserve">crescimento </w:t>
      </w:r>
      <w:r w:rsidR="00045C4B" w:rsidRPr="001C4628">
        <w:rPr>
          <w:rFonts w:ascii="Times New Roman" w:eastAsiaTheme="minorEastAsia" w:hAnsi="Times New Roman" w:cs="Times New Roman"/>
          <w:sz w:val="24"/>
          <w:szCs w:val="24"/>
        </w:rPr>
        <w:t xml:space="preserve">econômico, com uma taxa de crescimento </w:t>
      </w:r>
      <w:r w:rsidR="00602D7F" w:rsidRPr="001C4628">
        <w:rPr>
          <w:rFonts w:ascii="Times New Roman" w:eastAsiaTheme="minorEastAsia" w:hAnsi="Times New Roman" w:cs="Times New Roman"/>
          <w:sz w:val="24"/>
          <w:szCs w:val="24"/>
        </w:rPr>
        <w:t xml:space="preserve">real </w:t>
      </w:r>
      <w:r w:rsidR="00045C4B" w:rsidRPr="001C4628">
        <w:rPr>
          <w:rFonts w:ascii="Times New Roman" w:eastAsiaTheme="minorEastAsia" w:hAnsi="Times New Roman" w:cs="Times New Roman"/>
          <w:sz w:val="24"/>
          <w:szCs w:val="24"/>
        </w:rPr>
        <w:t>médi</w:t>
      </w:r>
      <w:r w:rsidR="00602D7F" w:rsidRPr="001C4628">
        <w:rPr>
          <w:rFonts w:ascii="Times New Roman" w:eastAsiaTheme="minorEastAsia" w:hAnsi="Times New Roman" w:cs="Times New Roman"/>
          <w:sz w:val="24"/>
          <w:szCs w:val="24"/>
        </w:rPr>
        <w:t>o do PIB</w:t>
      </w:r>
      <w:r w:rsidR="00045C4B" w:rsidRPr="001C4628">
        <w:rPr>
          <w:rFonts w:ascii="Times New Roman" w:eastAsiaTheme="minorEastAsia" w:hAnsi="Times New Roman" w:cs="Times New Roman"/>
          <w:sz w:val="24"/>
          <w:szCs w:val="24"/>
        </w:rPr>
        <w:t xml:space="preserve"> de 3,53% a.a., além de expressiva</w:t>
      </w:r>
      <w:r w:rsidR="00C57A53" w:rsidRPr="001C4628">
        <w:rPr>
          <w:rFonts w:ascii="Times New Roman" w:eastAsiaTheme="minorEastAsia" w:hAnsi="Times New Roman" w:cs="Times New Roman"/>
          <w:sz w:val="24"/>
          <w:szCs w:val="24"/>
        </w:rPr>
        <w:t xml:space="preserve"> melhora do mercado de trabalho, como registrado por Saboia (2013) e Barbosa Filho (2012). </w:t>
      </w:r>
    </w:p>
    <w:p w:rsidR="0050597E" w:rsidRPr="001C4628" w:rsidRDefault="008A2630" w:rsidP="00F84192">
      <w:pPr>
        <w:rPr>
          <w:rFonts w:ascii="Times New Roman" w:eastAsiaTheme="minorEastAsia" w:hAnsi="Times New Roman" w:cs="Times New Roman"/>
          <w:sz w:val="24"/>
          <w:szCs w:val="24"/>
        </w:rPr>
      </w:pPr>
      <w:r w:rsidRPr="001C4628">
        <w:rPr>
          <w:rFonts w:ascii="Times New Roman" w:hAnsi="Times New Roman" w:cs="Times New Roman"/>
          <w:noProof/>
          <w:sz w:val="24"/>
          <w:szCs w:val="24"/>
          <w:lang w:eastAsia="pt-BR"/>
        </w:rPr>
        <w:drawing>
          <wp:inline distT="0" distB="0" distL="0" distR="0">
            <wp:extent cx="5229225" cy="26670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5C4B" w:rsidRPr="001C4628" w:rsidRDefault="00C435C9" w:rsidP="00205ED4">
      <w:pPr>
        <w:tabs>
          <w:tab w:val="left" w:pos="709"/>
          <w:tab w:val="left" w:pos="1695"/>
        </w:tabs>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Fonte: </w:t>
      </w:r>
      <w:r w:rsidR="00A6314F">
        <w:rPr>
          <w:rFonts w:ascii="Times New Roman" w:eastAsiaTheme="minorEastAsia" w:hAnsi="Times New Roman" w:cs="Times New Roman"/>
          <w:sz w:val="24"/>
          <w:szCs w:val="24"/>
        </w:rPr>
        <w:t xml:space="preserve">Dataprev; </w:t>
      </w:r>
      <w:r w:rsidRPr="001C4628">
        <w:rPr>
          <w:rFonts w:ascii="Times New Roman" w:eastAsiaTheme="minorEastAsia" w:hAnsi="Times New Roman" w:cs="Times New Roman"/>
          <w:sz w:val="24"/>
          <w:szCs w:val="24"/>
        </w:rPr>
        <w:t>Secretaria do Tesouro Nacional</w:t>
      </w:r>
    </w:p>
    <w:p w:rsidR="00351157" w:rsidRPr="001C4628" w:rsidRDefault="00C96C5A" w:rsidP="00205ED4">
      <w:pPr>
        <w:tabs>
          <w:tab w:val="left" w:pos="709"/>
          <w:tab w:val="left" w:pos="1695"/>
        </w:tabs>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r>
      <w:r w:rsidR="00205ED4" w:rsidRPr="001C4628">
        <w:rPr>
          <w:rFonts w:ascii="Times New Roman" w:eastAsiaTheme="minorEastAsia" w:hAnsi="Times New Roman" w:cs="Times New Roman"/>
          <w:sz w:val="24"/>
          <w:szCs w:val="24"/>
        </w:rPr>
        <w:t xml:space="preserve">Para além do crescente número de potenciais trabalhadores, a própria estrutura etária brasileira passa por significativa transformação entre 2002 e 2012, como revela o Gráfico 3. Enquanto se reduz a participação da população jovem – de 10 a 24 anos – e se mantém estável o peso da população de 25 a 39 anos, cresce expressivamente a porcentagem da população acima de 40 anos. O que se vê de fato, é uma inversão da participação das extremidades etárias nesse período de dez anos, nos quais as três faixas mais jovens decresceram de 38% para 32% da população total, enquanto as três mais idosas avançaram de 30% para 36% um decênio depois.  </w:t>
      </w:r>
    </w:p>
    <w:p w:rsidR="00351157" w:rsidRPr="001C4628" w:rsidRDefault="00702C4D" w:rsidP="00F84192">
      <w:pPr>
        <w:rPr>
          <w:rFonts w:ascii="Times New Roman" w:eastAsiaTheme="minorEastAsia" w:hAnsi="Times New Roman" w:cs="Times New Roman"/>
          <w:sz w:val="24"/>
          <w:szCs w:val="24"/>
        </w:rPr>
      </w:pPr>
      <w:r w:rsidRPr="001C4628">
        <w:rPr>
          <w:rFonts w:ascii="Times New Roman" w:hAnsi="Times New Roman" w:cs="Times New Roman"/>
          <w:noProof/>
          <w:sz w:val="24"/>
          <w:szCs w:val="24"/>
          <w:lang w:eastAsia="pt-BR"/>
        </w:rPr>
        <w:drawing>
          <wp:inline distT="0" distB="0" distL="0" distR="0">
            <wp:extent cx="5381625" cy="310515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05ED4" w:rsidRPr="001C4628" w:rsidRDefault="00205ED4"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lastRenderedPageBreak/>
        <w:t>Fonte: PNAD; Elaboração Própria</w:t>
      </w:r>
    </w:p>
    <w:p w:rsidR="00351157" w:rsidRPr="001C4628" w:rsidRDefault="00205ED4"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 xml:space="preserve">Esse </w:t>
      </w:r>
      <w:r w:rsidR="00E52C4B">
        <w:rPr>
          <w:rFonts w:ascii="Times New Roman" w:eastAsiaTheme="minorEastAsia" w:hAnsi="Times New Roman" w:cs="Times New Roman"/>
          <w:sz w:val="24"/>
          <w:szCs w:val="24"/>
        </w:rPr>
        <w:t>envelhecimento da População em Idade A</w:t>
      </w:r>
      <w:r w:rsidR="00D123AF" w:rsidRPr="001C4628">
        <w:rPr>
          <w:rFonts w:ascii="Times New Roman" w:eastAsiaTheme="minorEastAsia" w:hAnsi="Times New Roman" w:cs="Times New Roman"/>
          <w:sz w:val="24"/>
          <w:szCs w:val="24"/>
        </w:rPr>
        <w:t>tiva acarreta também em mudanças no Mercado de Trabalho, devido ao capital humano que se acumula ao longo da vida, permitindo aos trabalhadores encontrar melhores postos de trabalho, com formalidade e maiores salários. Com isso, a Previdência Social é beneficiada indiretamente nesse primeiro momento pelo envelhecimento da população. Esse bônus demográfico é progressivamente neutralizado pelo maior crescimento da população de 60 anos ou mais, que apresenta menor participação no Mercado de Trabalho e maior grau de dependência das transferências da aposentadoria. Esse efeito</w:t>
      </w:r>
      <w:r w:rsidR="00AA38C6" w:rsidRPr="001C4628">
        <w:rPr>
          <w:rFonts w:ascii="Times New Roman" w:eastAsiaTheme="minorEastAsia" w:hAnsi="Times New Roman" w:cs="Times New Roman"/>
          <w:sz w:val="24"/>
          <w:szCs w:val="24"/>
        </w:rPr>
        <w:t>, no entanto,</w:t>
      </w:r>
      <w:r w:rsidR="00D123AF" w:rsidRPr="001C4628">
        <w:rPr>
          <w:rFonts w:ascii="Times New Roman" w:eastAsiaTheme="minorEastAsia" w:hAnsi="Times New Roman" w:cs="Times New Roman"/>
          <w:sz w:val="24"/>
          <w:szCs w:val="24"/>
        </w:rPr>
        <w:t xml:space="preserve"> ainda não foi registrado </w:t>
      </w:r>
      <w:r w:rsidR="00AA38C6" w:rsidRPr="001C4628">
        <w:rPr>
          <w:rFonts w:ascii="Times New Roman" w:eastAsiaTheme="minorEastAsia" w:hAnsi="Times New Roman" w:cs="Times New Roman"/>
          <w:sz w:val="24"/>
          <w:szCs w:val="24"/>
        </w:rPr>
        <w:t>no país</w:t>
      </w:r>
      <w:r w:rsidR="00337E57">
        <w:rPr>
          <w:rFonts w:ascii="Times New Roman" w:eastAsiaTheme="minorEastAsia" w:hAnsi="Times New Roman" w:cs="Times New Roman"/>
          <w:sz w:val="24"/>
          <w:szCs w:val="24"/>
        </w:rPr>
        <w:t xml:space="preserve"> pelos dados da PNAD</w:t>
      </w:r>
      <w:r w:rsidR="00AA38C6" w:rsidRPr="001C4628">
        <w:rPr>
          <w:rFonts w:ascii="Times New Roman" w:eastAsiaTheme="minorEastAsia" w:hAnsi="Times New Roman" w:cs="Times New Roman"/>
          <w:sz w:val="24"/>
          <w:szCs w:val="24"/>
        </w:rPr>
        <w:t xml:space="preserve">, que registrou o avanço de 3,8% para 5,1% apenas dessa faixa etária na </w:t>
      </w:r>
      <w:r w:rsidR="00DF581A">
        <w:rPr>
          <w:rFonts w:ascii="Times New Roman" w:eastAsiaTheme="minorEastAsia" w:hAnsi="Times New Roman" w:cs="Times New Roman"/>
          <w:sz w:val="24"/>
          <w:szCs w:val="24"/>
        </w:rPr>
        <w:t>população</w:t>
      </w:r>
      <w:r w:rsidR="00AA38C6" w:rsidRPr="001C4628">
        <w:rPr>
          <w:rFonts w:ascii="Times New Roman" w:eastAsiaTheme="minorEastAsia" w:hAnsi="Times New Roman" w:cs="Times New Roman"/>
          <w:sz w:val="24"/>
          <w:szCs w:val="24"/>
        </w:rPr>
        <w:t xml:space="preserve"> no espaço de dez anos. </w:t>
      </w:r>
    </w:p>
    <w:p w:rsidR="00CF572C" w:rsidRPr="001C4628" w:rsidRDefault="00CF572C" w:rsidP="00CF572C">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Para melhor demonstrar os efeitos demográficos sobre o Me</w:t>
      </w:r>
      <w:r w:rsidR="00C435C9" w:rsidRPr="001C4628">
        <w:rPr>
          <w:rFonts w:ascii="Times New Roman" w:eastAsiaTheme="minorEastAsia" w:hAnsi="Times New Roman" w:cs="Times New Roman"/>
          <w:sz w:val="24"/>
          <w:szCs w:val="24"/>
        </w:rPr>
        <w:t>rcado de Trabalho, os Gráficos 4, 5 e 6</w:t>
      </w:r>
      <w:r w:rsidRPr="001C4628">
        <w:rPr>
          <w:rFonts w:ascii="Times New Roman" w:eastAsiaTheme="minorEastAsia" w:hAnsi="Times New Roman" w:cs="Times New Roman"/>
          <w:sz w:val="24"/>
          <w:szCs w:val="24"/>
        </w:rPr>
        <w:t xml:space="preserve"> mostram graficamente as taxas de formalidade</w:t>
      </w:r>
      <w:r w:rsidRPr="001C4628">
        <w:rPr>
          <w:rStyle w:val="Refdenotaderodap"/>
          <w:rFonts w:ascii="Times New Roman" w:eastAsiaTheme="minorEastAsia" w:hAnsi="Times New Roman" w:cs="Times New Roman"/>
          <w:sz w:val="24"/>
          <w:szCs w:val="24"/>
        </w:rPr>
        <w:footnoteReference w:id="6"/>
      </w:r>
      <w:r w:rsidRPr="001C4628">
        <w:rPr>
          <w:rFonts w:ascii="Times New Roman" w:eastAsiaTheme="minorEastAsia" w:hAnsi="Times New Roman" w:cs="Times New Roman"/>
          <w:sz w:val="24"/>
          <w:szCs w:val="24"/>
        </w:rPr>
        <w:t>, ocupação e participação</w:t>
      </w:r>
      <w:r w:rsidR="00495B64" w:rsidRPr="001C4628">
        <w:rPr>
          <w:rStyle w:val="Refdenotaderodap"/>
          <w:rFonts w:ascii="Times New Roman" w:eastAsiaTheme="minorEastAsia" w:hAnsi="Times New Roman" w:cs="Times New Roman"/>
          <w:sz w:val="24"/>
          <w:szCs w:val="24"/>
        </w:rPr>
        <w:footnoteReference w:id="7"/>
      </w:r>
      <w:r w:rsidRPr="001C4628">
        <w:rPr>
          <w:rFonts w:ascii="Times New Roman" w:eastAsiaTheme="minorEastAsia" w:hAnsi="Times New Roman" w:cs="Times New Roman"/>
          <w:sz w:val="24"/>
          <w:szCs w:val="24"/>
        </w:rPr>
        <w:t xml:space="preserve"> por faixa de idade, tanto em 2002 quanto em 2012. Enquanto a primeira e a última se comportam de forma similar, com seus maiores níveis na população de 25 a 39 anos, decrescendo tanto para os mais jovens quanto para os mais idosos, a taxa de ocupação se inicia elevada no primeiro período de idade ativa (10 a 14 anos), devido principalmente à abundância de empregos informais e ilegais disponíveis e potenciais trabalhadores dessa faixa etária, porém, a partir da sua redução na população de 15 anos, passa a ter trajetória crescente até a última faixa etária (60 anos ou mais), com mais de 95% da população ocupada.</w:t>
      </w:r>
    </w:p>
    <w:p w:rsidR="00CF572C" w:rsidRPr="001C4628" w:rsidRDefault="00CF572C" w:rsidP="00CF572C">
      <w:pPr>
        <w:rPr>
          <w:rFonts w:ascii="Times New Roman" w:eastAsiaTheme="minorEastAsia" w:hAnsi="Times New Roman" w:cs="Times New Roman"/>
          <w:sz w:val="24"/>
          <w:szCs w:val="24"/>
        </w:rPr>
      </w:pPr>
      <w:r w:rsidRPr="001C4628">
        <w:rPr>
          <w:rFonts w:ascii="Times New Roman" w:hAnsi="Times New Roman" w:cs="Times New Roman"/>
          <w:noProof/>
          <w:sz w:val="24"/>
          <w:szCs w:val="24"/>
          <w:lang w:eastAsia="pt-BR"/>
        </w:rPr>
        <w:drawing>
          <wp:inline distT="0" distB="0" distL="0" distR="0">
            <wp:extent cx="5467350" cy="282892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95B64" w:rsidRPr="001C4628" w:rsidRDefault="00495B64" w:rsidP="00CF572C">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PNAD; Elaboração própria</w:t>
      </w:r>
    </w:p>
    <w:p w:rsidR="00CF572C" w:rsidRPr="001C4628" w:rsidRDefault="00CF572C" w:rsidP="00CF572C">
      <w:pPr>
        <w:rPr>
          <w:rFonts w:ascii="Times New Roman" w:eastAsiaTheme="minorEastAsia" w:hAnsi="Times New Roman" w:cs="Times New Roman"/>
          <w:sz w:val="24"/>
          <w:szCs w:val="24"/>
        </w:rPr>
      </w:pPr>
      <w:r w:rsidRPr="001C4628">
        <w:rPr>
          <w:rFonts w:ascii="Times New Roman" w:hAnsi="Times New Roman" w:cs="Times New Roman"/>
          <w:noProof/>
          <w:sz w:val="24"/>
          <w:szCs w:val="24"/>
          <w:lang w:eastAsia="pt-BR"/>
        </w:rPr>
        <w:lastRenderedPageBreak/>
        <w:drawing>
          <wp:inline distT="0" distB="0" distL="0" distR="0">
            <wp:extent cx="5410200" cy="2819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95B64" w:rsidRPr="001C4628" w:rsidRDefault="00495B64" w:rsidP="00CF572C">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PNAD; Elaboração Própria</w:t>
      </w:r>
    </w:p>
    <w:p w:rsidR="00CF572C" w:rsidRPr="001C4628" w:rsidRDefault="00DC4C35" w:rsidP="00CF572C">
      <w:pPr>
        <w:rPr>
          <w:rFonts w:ascii="Times New Roman" w:eastAsiaTheme="minorEastAsia" w:hAnsi="Times New Roman" w:cs="Times New Roman"/>
          <w:sz w:val="24"/>
          <w:szCs w:val="24"/>
        </w:rPr>
      </w:pPr>
      <w:r w:rsidRPr="001C4628">
        <w:rPr>
          <w:rFonts w:ascii="Times New Roman" w:hAnsi="Times New Roman" w:cs="Times New Roman"/>
          <w:noProof/>
          <w:sz w:val="24"/>
          <w:szCs w:val="24"/>
          <w:lang w:eastAsia="pt-BR"/>
        </w:rPr>
        <w:drawing>
          <wp:inline distT="0" distB="0" distL="0" distR="0">
            <wp:extent cx="5267325" cy="2790825"/>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F572C" w:rsidRPr="001C4628" w:rsidRDefault="00495B64"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PNAD; Elaboração Própria</w:t>
      </w:r>
    </w:p>
    <w:p w:rsidR="00495B64" w:rsidRPr="001C4628" w:rsidRDefault="008156CF"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Evidenciados os efeitos das mudanças demográficas sobre o Mercado de Trabalho, é possível, a partir de métodos de decomposição, quantificar esse efeito na variação do número de contribuintes da Previdência, no período 2002-12, e, através das projeções populacionais do IBGE</w:t>
      </w:r>
      <w:r w:rsidR="007B2648" w:rsidRPr="001C4628">
        <w:rPr>
          <w:rFonts w:ascii="Times New Roman" w:eastAsiaTheme="minorEastAsia" w:hAnsi="Times New Roman" w:cs="Times New Roman"/>
          <w:sz w:val="24"/>
          <w:szCs w:val="24"/>
        </w:rPr>
        <w:t>, estimar o quanto esse Bônus Demográfico ir</w:t>
      </w:r>
      <w:r w:rsidR="00DC4C35" w:rsidRPr="001C4628">
        <w:rPr>
          <w:rFonts w:ascii="Times New Roman" w:eastAsiaTheme="minorEastAsia" w:hAnsi="Times New Roman" w:cs="Times New Roman"/>
          <w:sz w:val="24"/>
          <w:szCs w:val="24"/>
        </w:rPr>
        <w:t xml:space="preserve">á afetar futuramente a Previdência, com menor ou maior </w:t>
      </w:r>
      <w:r w:rsidR="00C435C9" w:rsidRPr="001C4628">
        <w:rPr>
          <w:rFonts w:ascii="Times New Roman" w:eastAsiaTheme="minorEastAsia" w:hAnsi="Times New Roman" w:cs="Times New Roman"/>
          <w:sz w:val="24"/>
          <w:szCs w:val="24"/>
        </w:rPr>
        <w:t>impacto. O Gráfico 7</w:t>
      </w:r>
      <w:r w:rsidR="00A0202F" w:rsidRPr="001C4628">
        <w:rPr>
          <w:rFonts w:ascii="Times New Roman" w:eastAsiaTheme="minorEastAsia" w:hAnsi="Times New Roman" w:cs="Times New Roman"/>
          <w:sz w:val="24"/>
          <w:szCs w:val="24"/>
        </w:rPr>
        <w:t xml:space="preserve"> revela o quão rápido será envelhecimento da população, com as faixas etárias acima de 40 anos passando a corresponder por cerca de metade da conjunto total até 2032. </w:t>
      </w:r>
    </w:p>
    <w:p w:rsidR="00A0202F" w:rsidRPr="001C4628" w:rsidRDefault="00A0202F" w:rsidP="00F84192">
      <w:pPr>
        <w:rPr>
          <w:rFonts w:ascii="Times New Roman" w:eastAsiaTheme="minorEastAsia" w:hAnsi="Times New Roman" w:cs="Times New Roman"/>
          <w:sz w:val="24"/>
          <w:szCs w:val="24"/>
        </w:rPr>
      </w:pPr>
      <w:r w:rsidRPr="001C4628">
        <w:rPr>
          <w:rFonts w:ascii="Times New Roman" w:hAnsi="Times New Roman" w:cs="Times New Roman"/>
          <w:noProof/>
          <w:sz w:val="24"/>
          <w:szCs w:val="24"/>
          <w:lang w:eastAsia="pt-BR"/>
        </w:rPr>
        <w:lastRenderedPageBreak/>
        <w:drawing>
          <wp:inline distT="0" distB="0" distL="0" distR="0">
            <wp:extent cx="5476875" cy="340995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F572C" w:rsidRPr="001C4628" w:rsidRDefault="00A0202F"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Projeções Populacionais (IBGE); Elaboração Própria</w:t>
      </w:r>
    </w:p>
    <w:p w:rsidR="002B7884" w:rsidRPr="001C4628" w:rsidRDefault="00527C9D"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3. Metodologia</w:t>
      </w:r>
    </w:p>
    <w:p w:rsidR="002F215D" w:rsidRPr="001C4628" w:rsidRDefault="00527C9D"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r>
      <w:r w:rsidR="001C323C">
        <w:rPr>
          <w:rFonts w:ascii="Times New Roman" w:eastAsiaTheme="minorEastAsia" w:hAnsi="Times New Roman" w:cs="Times New Roman"/>
          <w:sz w:val="24"/>
          <w:szCs w:val="24"/>
        </w:rPr>
        <w:t>A Saúde Orçamentária</w:t>
      </w:r>
      <w:r w:rsidRPr="001C4628">
        <w:rPr>
          <w:rFonts w:ascii="Times New Roman" w:eastAsiaTheme="minorEastAsia" w:hAnsi="Times New Roman" w:cs="Times New Roman"/>
          <w:sz w:val="24"/>
          <w:szCs w:val="24"/>
        </w:rPr>
        <w:t xml:space="preserve"> do INSS pode ser </w:t>
      </w:r>
      <w:r w:rsidR="001C323C">
        <w:rPr>
          <w:rFonts w:ascii="Times New Roman" w:eastAsiaTheme="minorEastAsia" w:hAnsi="Times New Roman" w:cs="Times New Roman"/>
          <w:sz w:val="24"/>
          <w:szCs w:val="24"/>
        </w:rPr>
        <w:t>indicada</w:t>
      </w:r>
      <w:r w:rsidR="000B6417">
        <w:rPr>
          <w:rFonts w:ascii="Times New Roman" w:eastAsiaTheme="minorEastAsia" w:hAnsi="Times New Roman" w:cs="Times New Roman"/>
          <w:sz w:val="24"/>
          <w:szCs w:val="24"/>
        </w:rPr>
        <w:t>, como no Gráfico 2,</w:t>
      </w:r>
      <w:r w:rsidR="001C323C">
        <w:rPr>
          <w:rFonts w:ascii="Times New Roman" w:eastAsiaTheme="minorEastAsia" w:hAnsi="Times New Roman" w:cs="Times New Roman"/>
          <w:sz w:val="24"/>
          <w:szCs w:val="24"/>
        </w:rPr>
        <w:t xml:space="preserve"> pela razão da arrecadação </w:t>
      </w:r>
      <w:r w:rsidR="000B6417">
        <w:rPr>
          <w:rFonts w:ascii="Times New Roman" w:eastAsiaTheme="minorEastAsia" w:hAnsi="Times New Roman" w:cs="Times New Roman"/>
          <w:sz w:val="24"/>
          <w:szCs w:val="24"/>
        </w:rPr>
        <w:t>sobre a despesa</w:t>
      </w:r>
      <w:r w:rsidRPr="001C4628">
        <w:rPr>
          <w:rFonts w:ascii="Times New Roman" w:eastAsiaTheme="minorEastAsia" w:hAnsi="Times New Roman" w:cs="Times New Roman"/>
          <w:sz w:val="24"/>
          <w:szCs w:val="24"/>
        </w:rPr>
        <w:t xml:space="preserve">, </w:t>
      </w:r>
      <w:r w:rsidR="00A000EB">
        <w:rPr>
          <w:rFonts w:ascii="Times New Roman" w:eastAsiaTheme="minorEastAsia" w:hAnsi="Times New Roman" w:cs="Times New Roman"/>
          <w:sz w:val="24"/>
          <w:szCs w:val="24"/>
        </w:rPr>
        <w:t xml:space="preserve">que, seguindo a metodologia de Abi-Ramia (2014), pode ser decomposta pela </w:t>
      </w:r>
      <w:r w:rsidR="00DF581A">
        <w:rPr>
          <w:rFonts w:ascii="Times New Roman" w:eastAsiaTheme="minorEastAsia" w:hAnsi="Times New Roman" w:cs="Times New Roman"/>
          <w:sz w:val="24"/>
          <w:szCs w:val="24"/>
        </w:rPr>
        <w:t xml:space="preserve">1- </w:t>
      </w:r>
      <w:r w:rsidR="00A000EB">
        <w:rPr>
          <w:rFonts w:ascii="Times New Roman" w:eastAsiaTheme="minorEastAsia" w:hAnsi="Times New Roman" w:cs="Times New Roman"/>
          <w:sz w:val="24"/>
          <w:szCs w:val="24"/>
        </w:rPr>
        <w:t xml:space="preserve">alíquota </w:t>
      </w:r>
      <w:r w:rsidR="00DF581A">
        <w:rPr>
          <w:rFonts w:ascii="Times New Roman" w:eastAsiaTheme="minorEastAsia" w:hAnsi="Times New Roman" w:cs="Times New Roman"/>
          <w:sz w:val="24"/>
          <w:szCs w:val="24"/>
        </w:rPr>
        <w:t xml:space="preserve">média </w:t>
      </w:r>
      <w:r w:rsidR="00A000EB">
        <w:rPr>
          <w:rFonts w:ascii="Times New Roman" w:eastAsiaTheme="minorEastAsia" w:hAnsi="Times New Roman" w:cs="Times New Roman"/>
          <w:sz w:val="24"/>
          <w:szCs w:val="24"/>
        </w:rPr>
        <w:t>de contribuição</w:t>
      </w:r>
      <w:r w:rsidR="00DF581A">
        <w:rPr>
          <w:rFonts w:ascii="Times New Roman" w:eastAsiaTheme="minorEastAsia" w:hAnsi="Times New Roman" w:cs="Times New Roman"/>
          <w:sz w:val="24"/>
          <w:szCs w:val="24"/>
        </w:rPr>
        <w:t>; 2-</w:t>
      </w:r>
      <w:r w:rsidR="00A000EB">
        <w:rPr>
          <w:rFonts w:ascii="Times New Roman" w:eastAsiaTheme="minorEastAsia" w:hAnsi="Times New Roman" w:cs="Times New Roman"/>
          <w:sz w:val="24"/>
          <w:szCs w:val="24"/>
        </w:rPr>
        <w:t xml:space="preserve"> razão do salário médio sobre o benefício médio </w:t>
      </w:r>
      <w:r w:rsidR="000B6417">
        <w:rPr>
          <w:rFonts w:ascii="Times New Roman" w:eastAsiaTheme="minorEastAsia" w:hAnsi="Times New Roman" w:cs="Times New Roman"/>
          <w:sz w:val="24"/>
          <w:szCs w:val="24"/>
        </w:rPr>
        <w:t>e</w:t>
      </w:r>
      <w:r w:rsidR="00DF581A">
        <w:rPr>
          <w:rFonts w:ascii="Times New Roman" w:eastAsiaTheme="minorEastAsia" w:hAnsi="Times New Roman" w:cs="Times New Roman"/>
          <w:sz w:val="24"/>
          <w:szCs w:val="24"/>
        </w:rPr>
        <w:t>;</w:t>
      </w:r>
      <w:r w:rsidR="00E52C4B">
        <w:rPr>
          <w:rFonts w:ascii="Times New Roman" w:eastAsiaTheme="minorEastAsia" w:hAnsi="Times New Roman" w:cs="Times New Roman"/>
          <w:sz w:val="24"/>
          <w:szCs w:val="24"/>
        </w:rPr>
        <w:t xml:space="preserve"> </w:t>
      </w:r>
      <w:r w:rsidR="00DF581A">
        <w:rPr>
          <w:rFonts w:ascii="Times New Roman" w:eastAsiaTheme="minorEastAsia" w:hAnsi="Times New Roman" w:cs="Times New Roman"/>
          <w:sz w:val="24"/>
          <w:szCs w:val="24"/>
        </w:rPr>
        <w:t xml:space="preserve">3- </w:t>
      </w:r>
      <w:r w:rsidR="000B6417">
        <w:rPr>
          <w:rFonts w:ascii="Times New Roman" w:eastAsiaTheme="minorEastAsia" w:hAnsi="Times New Roman" w:cs="Times New Roman"/>
          <w:sz w:val="24"/>
          <w:szCs w:val="24"/>
        </w:rPr>
        <w:t>razão de contribuintes sobre beneficiários</w:t>
      </w:r>
      <w:r w:rsidR="00A000EB">
        <w:rPr>
          <w:rFonts w:ascii="Times New Roman" w:eastAsiaTheme="minorEastAsia" w:hAnsi="Times New Roman" w:cs="Times New Roman"/>
          <w:sz w:val="24"/>
          <w:szCs w:val="24"/>
        </w:rPr>
        <w:t xml:space="preserve">, </w:t>
      </w:r>
      <w:r w:rsidR="00DF581A">
        <w:rPr>
          <w:rFonts w:ascii="Times New Roman" w:eastAsiaTheme="minorEastAsia" w:hAnsi="Times New Roman" w:cs="Times New Roman"/>
          <w:sz w:val="24"/>
          <w:szCs w:val="24"/>
        </w:rPr>
        <w:t>como expressa a identidade abaixo</w:t>
      </w:r>
      <w:r w:rsidRPr="001C4628">
        <w:rPr>
          <w:rFonts w:ascii="Times New Roman" w:eastAsiaTheme="minorEastAsia" w:hAnsi="Times New Roman" w:cs="Times New Roman"/>
          <w:sz w:val="24"/>
          <w:szCs w:val="24"/>
        </w:rPr>
        <w:t xml:space="preserve">.  </w:t>
      </w:r>
    </w:p>
    <w:p w:rsidR="00691C91" w:rsidRPr="001C4628" w:rsidRDefault="00691C91" w:rsidP="00F84192">
      <w:pPr>
        <w:rPr>
          <w:rFonts w:ascii="Times New Roman" w:eastAsiaTheme="minorEastAsia" w:hAnsi="Times New Roman" w:cs="Times New Roman"/>
          <w:sz w:val="24"/>
          <w:szCs w:val="24"/>
        </w:rPr>
      </w:pPr>
    </w:p>
    <w:p w:rsidR="0035771E" w:rsidRPr="001C4628" w:rsidRDefault="001C323C" w:rsidP="00F8419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Arrecadação/Despesa≡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Alíquota Média×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Salário Médio</m:t>
                </m:r>
              </m:num>
              <m:den>
                <m:r>
                  <w:rPr>
                    <w:rFonts w:ascii="Cambria Math" w:eastAsiaTheme="minorEastAsia" w:hAnsi="Cambria Math" w:cs="Times New Roman"/>
                    <w:sz w:val="24"/>
                    <w:szCs w:val="24"/>
                  </w:rPr>
                  <m:t>Benefício Médio</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Con</m:t>
                </m:r>
                <m:r>
                  <w:rPr>
                    <w:rFonts w:ascii="Cambria Math" w:eastAsiaTheme="minorEastAsia" w:hAnsi="Cambria Math" w:cs="Times New Roman"/>
                    <w:sz w:val="24"/>
                    <w:szCs w:val="24"/>
                  </w:rPr>
                  <m:t>tribuintes</m:t>
                </m:r>
              </m:num>
              <m:den>
                <m:r>
                  <w:rPr>
                    <w:rFonts w:ascii="Cambria Math" w:eastAsiaTheme="minorEastAsia" w:hAnsi="Cambria Math" w:cs="Times New Roman"/>
                    <w:sz w:val="24"/>
                    <w:szCs w:val="24"/>
                  </w:rPr>
                  <m:t>Beneficiários</m:t>
                </m:r>
              </m:den>
            </m:f>
          </m:e>
        </m:d>
      </m:oMath>
      <w:r w:rsidR="008417E8">
        <w:rPr>
          <w:rFonts w:ascii="Times New Roman" w:eastAsiaTheme="minorEastAsia" w:hAnsi="Times New Roman" w:cs="Times New Roman"/>
          <w:sz w:val="24"/>
          <w:szCs w:val="24"/>
        </w:rPr>
        <w:tab/>
      </w:r>
      <w:r w:rsidR="00F950C3" w:rsidRPr="001C4628">
        <w:rPr>
          <w:rFonts w:ascii="Times New Roman" w:eastAsiaTheme="minorEastAsia" w:hAnsi="Times New Roman" w:cs="Times New Roman"/>
          <w:sz w:val="24"/>
          <w:szCs w:val="24"/>
        </w:rPr>
        <w:t>(1)</w:t>
      </w:r>
    </w:p>
    <w:p w:rsidR="00691C91" w:rsidRDefault="00691C91" w:rsidP="00F84192">
      <w:pPr>
        <w:rPr>
          <w:rFonts w:ascii="Times New Roman" w:eastAsiaTheme="minorEastAsia" w:hAnsi="Times New Roman" w:cs="Times New Roman"/>
          <w:sz w:val="24"/>
          <w:szCs w:val="24"/>
        </w:rPr>
      </w:pPr>
    </w:p>
    <w:p w:rsidR="00DF581A" w:rsidRPr="001C4628" w:rsidRDefault="00D26F23" w:rsidP="00DF581A">
      <w:pPr>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A Alíquota Média e o B</w:t>
      </w:r>
      <w:r w:rsidR="00DF581A">
        <w:rPr>
          <w:rFonts w:ascii="Times New Roman" w:eastAsiaTheme="minorEastAsia" w:hAnsi="Times New Roman" w:cs="Times New Roman"/>
          <w:sz w:val="24"/>
          <w:szCs w:val="24"/>
        </w:rPr>
        <w:t xml:space="preserve">enefício </w:t>
      </w:r>
      <w:r>
        <w:rPr>
          <w:rFonts w:ascii="Times New Roman" w:eastAsiaTheme="minorEastAsia" w:hAnsi="Times New Roman" w:cs="Times New Roman"/>
          <w:sz w:val="24"/>
          <w:szCs w:val="24"/>
        </w:rPr>
        <w:t>M</w:t>
      </w:r>
      <w:r w:rsidR="00DF581A">
        <w:rPr>
          <w:rFonts w:ascii="Times New Roman" w:eastAsiaTheme="minorEastAsia" w:hAnsi="Times New Roman" w:cs="Times New Roman"/>
          <w:sz w:val="24"/>
          <w:szCs w:val="24"/>
        </w:rPr>
        <w:t>édio</w:t>
      </w:r>
      <w:r w:rsidR="00E52C4B">
        <w:rPr>
          <w:rFonts w:ascii="Times New Roman" w:eastAsiaTheme="minorEastAsia" w:hAnsi="Times New Roman" w:cs="Times New Roman"/>
          <w:sz w:val="24"/>
          <w:szCs w:val="24"/>
        </w:rPr>
        <w:t xml:space="preserve"> </w:t>
      </w:r>
      <w:r w:rsidR="00DF581A">
        <w:rPr>
          <w:rFonts w:ascii="Times New Roman" w:eastAsiaTheme="minorEastAsia" w:hAnsi="Times New Roman" w:cs="Times New Roman"/>
          <w:sz w:val="24"/>
          <w:szCs w:val="24"/>
        </w:rPr>
        <w:t xml:space="preserve">da Previdência </w:t>
      </w:r>
      <w:r w:rsidR="00DF581A" w:rsidRPr="001C4628">
        <w:rPr>
          <w:rFonts w:ascii="Times New Roman" w:eastAsiaTheme="minorEastAsia" w:hAnsi="Times New Roman" w:cs="Times New Roman"/>
          <w:sz w:val="24"/>
          <w:szCs w:val="24"/>
        </w:rPr>
        <w:t>parte</w:t>
      </w:r>
      <w:r w:rsidR="00DF581A">
        <w:rPr>
          <w:rFonts w:ascii="Times New Roman" w:eastAsiaTheme="minorEastAsia" w:hAnsi="Times New Roman" w:cs="Times New Roman"/>
          <w:sz w:val="24"/>
          <w:szCs w:val="24"/>
        </w:rPr>
        <w:t>m</w:t>
      </w:r>
      <w:r w:rsidR="00DF581A" w:rsidRPr="001C4628">
        <w:rPr>
          <w:rFonts w:ascii="Times New Roman" w:eastAsiaTheme="minorEastAsia" w:hAnsi="Times New Roman" w:cs="Times New Roman"/>
          <w:sz w:val="24"/>
          <w:szCs w:val="24"/>
        </w:rPr>
        <w:t xml:space="preserve"> de políticas fi</w:t>
      </w:r>
      <w:r w:rsidR="00DF581A">
        <w:rPr>
          <w:rFonts w:ascii="Times New Roman" w:eastAsiaTheme="minorEastAsia" w:hAnsi="Times New Roman" w:cs="Times New Roman"/>
          <w:sz w:val="24"/>
          <w:szCs w:val="24"/>
        </w:rPr>
        <w:t>scais razoavelmente arbitrárias, devido a decisões essencialmente políticas. Já</w:t>
      </w:r>
      <w:r w:rsidR="00DF581A" w:rsidRPr="001C4628">
        <w:rPr>
          <w:rFonts w:ascii="Times New Roman" w:eastAsiaTheme="minorEastAsia" w:hAnsi="Times New Roman" w:cs="Times New Roman"/>
          <w:sz w:val="24"/>
          <w:szCs w:val="24"/>
        </w:rPr>
        <w:t xml:space="preserve"> o </w:t>
      </w:r>
      <w:r w:rsidR="00DF581A">
        <w:rPr>
          <w:rFonts w:ascii="Times New Roman" w:eastAsiaTheme="minorEastAsia" w:hAnsi="Times New Roman" w:cs="Times New Roman"/>
          <w:sz w:val="24"/>
          <w:szCs w:val="24"/>
        </w:rPr>
        <w:t xml:space="preserve">salário médio e o </w:t>
      </w:r>
      <w:r w:rsidR="00DF581A" w:rsidRPr="001C4628">
        <w:rPr>
          <w:rFonts w:ascii="Times New Roman" w:eastAsiaTheme="minorEastAsia" w:hAnsi="Times New Roman" w:cs="Times New Roman"/>
          <w:sz w:val="24"/>
          <w:szCs w:val="24"/>
        </w:rPr>
        <w:t>número de beneficiários depende</w:t>
      </w:r>
      <w:r w:rsidR="00DF581A">
        <w:rPr>
          <w:rFonts w:ascii="Times New Roman" w:eastAsiaTheme="minorEastAsia" w:hAnsi="Times New Roman" w:cs="Times New Roman"/>
          <w:sz w:val="24"/>
          <w:szCs w:val="24"/>
        </w:rPr>
        <w:t>m</w:t>
      </w:r>
      <w:r w:rsidR="00DF581A" w:rsidRPr="001C4628">
        <w:rPr>
          <w:rFonts w:ascii="Times New Roman" w:eastAsiaTheme="minorEastAsia" w:hAnsi="Times New Roman" w:cs="Times New Roman"/>
          <w:sz w:val="24"/>
          <w:szCs w:val="24"/>
        </w:rPr>
        <w:t xml:space="preserve"> de diversos fatores razoavelmente imprevisíveis</w:t>
      </w:r>
      <w:r w:rsidR="00DF581A">
        <w:rPr>
          <w:rFonts w:ascii="Times New Roman" w:eastAsiaTheme="minorEastAsia" w:hAnsi="Times New Roman" w:cs="Times New Roman"/>
          <w:sz w:val="24"/>
          <w:szCs w:val="24"/>
        </w:rPr>
        <w:t xml:space="preserve"> do Mercado de Trabalho. Logo,</w:t>
      </w:r>
      <w:r w:rsidR="00DF581A" w:rsidRPr="001C4628">
        <w:rPr>
          <w:rFonts w:ascii="Times New Roman" w:eastAsiaTheme="minorEastAsia" w:hAnsi="Times New Roman" w:cs="Times New Roman"/>
          <w:sz w:val="24"/>
          <w:szCs w:val="24"/>
        </w:rPr>
        <w:t xml:space="preserve"> a evolução do número de contribuintes torna-se a melhor opção para estimar o Bônus Demográfico sobre o balanço orçamentário da Previdência Social.</w:t>
      </w:r>
    </w:p>
    <w:p w:rsidR="0035771E" w:rsidRPr="001C4628" w:rsidRDefault="008F01EE"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r>
      <w:r w:rsidR="00DF581A" w:rsidRPr="001C4628">
        <w:rPr>
          <w:rFonts w:ascii="Times New Roman" w:eastAsiaTheme="minorEastAsia" w:hAnsi="Times New Roman" w:cs="Times New Roman"/>
          <w:sz w:val="24"/>
          <w:szCs w:val="24"/>
        </w:rPr>
        <w:t>Outro</w:t>
      </w:r>
      <w:r w:rsidR="00E52C4B">
        <w:rPr>
          <w:rFonts w:ascii="Times New Roman" w:eastAsiaTheme="minorEastAsia" w:hAnsi="Times New Roman" w:cs="Times New Roman"/>
          <w:sz w:val="24"/>
          <w:szCs w:val="24"/>
        </w:rPr>
        <w:t xml:space="preserve"> </w:t>
      </w:r>
      <w:r w:rsidRPr="001C4628">
        <w:rPr>
          <w:rFonts w:ascii="Times New Roman" w:eastAsiaTheme="minorEastAsia" w:hAnsi="Times New Roman" w:cs="Times New Roman"/>
          <w:sz w:val="24"/>
          <w:szCs w:val="24"/>
        </w:rPr>
        <w:t xml:space="preserve">algoritmo simples pode ser utilizado para decompor a evolução do número de contribuintes, de modo </w:t>
      </w:r>
      <w:r w:rsidR="00542062" w:rsidRPr="001C4628">
        <w:rPr>
          <w:rFonts w:ascii="Times New Roman" w:eastAsiaTheme="minorEastAsia" w:hAnsi="Times New Roman" w:cs="Times New Roman"/>
          <w:sz w:val="24"/>
          <w:szCs w:val="24"/>
        </w:rPr>
        <w:t>a</w:t>
      </w:r>
      <w:r w:rsidRPr="001C4628">
        <w:rPr>
          <w:rFonts w:ascii="Times New Roman" w:eastAsiaTheme="minorEastAsia" w:hAnsi="Times New Roman" w:cs="Times New Roman"/>
          <w:sz w:val="24"/>
          <w:szCs w:val="24"/>
        </w:rPr>
        <w:t xml:space="preserve"> evidenciar facilmente o primeiro Bônus Demográfico sobre a Previdência Social:</w:t>
      </w:r>
    </w:p>
    <w:p w:rsidR="008F01EE" w:rsidRPr="001C4628" w:rsidRDefault="008F01EE" w:rsidP="00F84192">
      <w:pPr>
        <w:rPr>
          <w:rFonts w:ascii="Times New Roman" w:eastAsiaTheme="minorEastAsia" w:hAnsi="Times New Roman" w:cs="Times New Roman"/>
          <w:sz w:val="24"/>
          <w:szCs w:val="24"/>
        </w:rPr>
      </w:pPr>
    </w:p>
    <w:p w:rsidR="007F7A95" w:rsidRPr="001C4628" w:rsidRDefault="00E24848" w:rsidP="00F84192">
      <w:pPr>
        <w:rPr>
          <w:rFonts w:ascii="Times New Roman" w:eastAsiaTheme="minorEastAsia" w:hAnsi="Times New Roman" w:cs="Times New Roman"/>
          <w:sz w:val="24"/>
          <w:szCs w:val="24"/>
        </w:rPr>
      </w:pPr>
      <m:oMath>
        <m:r>
          <w:rPr>
            <w:rFonts w:ascii="Cambria Math" w:hAnsi="Cambria Math" w:cs="Times New Roman"/>
            <w:sz w:val="24"/>
            <w:szCs w:val="24"/>
            <w:lang w:val="en-US"/>
          </w:rPr>
          <w:lastRenderedPageBreak/>
          <m:t>Contribuintes</m:t>
        </m:r>
        <m:r>
          <w:rPr>
            <w:rFonts w:ascii="Cambria Math" w:hAnsi="Cambria Math" w:cs="Times New Roman"/>
            <w:sz w:val="24"/>
            <w:szCs w:val="24"/>
          </w:rPr>
          <m:t xml:space="preserve"> ≡ </m:t>
        </m:r>
        <m:f>
          <m:fPr>
            <m:ctrlPr>
              <w:rPr>
                <w:rFonts w:ascii="Cambria Math" w:hAnsi="Cambria Math" w:cs="Times New Roman"/>
                <w:i/>
                <w:sz w:val="24"/>
                <w:szCs w:val="24"/>
                <w:lang w:val="en-US"/>
              </w:rPr>
            </m:ctrlPr>
          </m:fPr>
          <m:num>
            <m:r>
              <w:rPr>
                <w:rFonts w:ascii="Cambria Math" w:hAnsi="Cambria Math" w:cs="Times New Roman"/>
                <w:sz w:val="24"/>
                <w:szCs w:val="24"/>
                <w:lang w:val="en-US"/>
              </w:rPr>
              <m:t>Cont</m:t>
            </m:r>
            <m:r>
              <w:rPr>
                <w:rFonts w:ascii="Cambria Math" w:hAnsi="Cambria Math" w:cs="Times New Roman"/>
                <w:sz w:val="24"/>
                <w:szCs w:val="24"/>
              </w:rPr>
              <m:t>.</m:t>
            </m:r>
          </m:num>
          <m:den>
            <m:r>
              <w:rPr>
                <w:rFonts w:ascii="Cambria Math" w:hAnsi="Cambria Math" w:cs="Times New Roman"/>
                <w:sz w:val="24"/>
                <w:szCs w:val="24"/>
                <w:lang w:val="en-US"/>
              </w:rPr>
              <m:t>PO</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PO</m:t>
            </m:r>
          </m:num>
          <m:den>
            <m:r>
              <w:rPr>
                <w:rFonts w:ascii="Cambria Math" w:hAnsi="Cambria Math" w:cs="Times New Roman"/>
                <w:sz w:val="24"/>
                <w:szCs w:val="24"/>
                <w:lang w:val="en-US"/>
              </w:rPr>
              <m:t>PEA</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PEA</m:t>
            </m:r>
          </m:num>
          <m:den>
            <m:r>
              <w:rPr>
                <w:rFonts w:ascii="Cambria Math" w:hAnsi="Cambria Math" w:cs="Times New Roman"/>
                <w:sz w:val="24"/>
                <w:szCs w:val="24"/>
                <w:lang w:val="en-US"/>
              </w:rPr>
              <m:t>PIA</m:t>
            </m:r>
          </m:den>
        </m:f>
        <m:r>
          <w:rPr>
            <w:rFonts w:ascii="Cambria Math" w:hAnsi="Cambria Math" w:cs="Times New Roman"/>
            <w:sz w:val="24"/>
            <w:szCs w:val="24"/>
          </w:rPr>
          <m:t>×</m:t>
        </m:r>
        <m:r>
          <w:rPr>
            <w:rFonts w:ascii="Cambria Math" w:hAnsi="Cambria Math" w:cs="Times New Roman"/>
            <w:sz w:val="24"/>
            <w:szCs w:val="24"/>
            <w:lang w:val="en-US"/>
          </w:rPr>
          <m:t>PIA</m:t>
        </m:r>
      </m:oMath>
      <w:r w:rsidR="008F01EE" w:rsidRPr="001C4628">
        <w:rPr>
          <w:rFonts w:ascii="Times New Roman" w:eastAsiaTheme="minorEastAsia" w:hAnsi="Times New Roman" w:cs="Times New Roman"/>
          <w:sz w:val="24"/>
          <w:szCs w:val="24"/>
        </w:rPr>
        <w:tab/>
      </w:r>
      <w:r w:rsidR="008F01EE" w:rsidRPr="001C4628">
        <w:rPr>
          <w:rFonts w:ascii="Times New Roman" w:eastAsiaTheme="minorEastAsia" w:hAnsi="Times New Roman" w:cs="Times New Roman"/>
          <w:sz w:val="24"/>
          <w:szCs w:val="24"/>
        </w:rPr>
        <w:tab/>
      </w:r>
      <w:r w:rsidR="008F01EE" w:rsidRPr="001C4628">
        <w:rPr>
          <w:rFonts w:ascii="Times New Roman" w:eastAsiaTheme="minorEastAsia" w:hAnsi="Times New Roman" w:cs="Times New Roman"/>
          <w:sz w:val="24"/>
          <w:szCs w:val="24"/>
        </w:rPr>
        <w:tab/>
      </w:r>
      <w:r w:rsidR="008F01EE" w:rsidRPr="001C4628">
        <w:rPr>
          <w:rFonts w:ascii="Times New Roman" w:eastAsiaTheme="minorEastAsia" w:hAnsi="Times New Roman" w:cs="Times New Roman"/>
          <w:sz w:val="24"/>
          <w:szCs w:val="24"/>
        </w:rPr>
        <w:tab/>
      </w:r>
      <w:r w:rsidR="008F01EE" w:rsidRPr="001C4628">
        <w:rPr>
          <w:rFonts w:ascii="Times New Roman" w:eastAsiaTheme="minorEastAsia" w:hAnsi="Times New Roman" w:cs="Times New Roman"/>
          <w:sz w:val="24"/>
          <w:szCs w:val="24"/>
        </w:rPr>
        <w:tab/>
      </w:r>
      <w:r w:rsidR="008F01EE" w:rsidRPr="001C4628">
        <w:rPr>
          <w:rFonts w:ascii="Times New Roman" w:eastAsiaTheme="minorEastAsia" w:hAnsi="Times New Roman" w:cs="Times New Roman"/>
          <w:sz w:val="24"/>
          <w:szCs w:val="24"/>
        </w:rPr>
        <w:tab/>
        <w:t>(2)</w:t>
      </w:r>
    </w:p>
    <w:p w:rsidR="00F84192" w:rsidRPr="001C4628" w:rsidRDefault="00932802"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Em que:</w:t>
      </w:r>
    </w:p>
    <w:p w:rsidR="00932802" w:rsidRPr="001C4628" w:rsidRDefault="00932802"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(Cont./PO) é a proporção de contribuintes em relação </w:t>
      </w:r>
      <w:r w:rsidR="00542062" w:rsidRPr="001C4628">
        <w:rPr>
          <w:rFonts w:ascii="Times New Roman" w:eastAsiaTheme="minorEastAsia" w:hAnsi="Times New Roman" w:cs="Times New Roman"/>
          <w:sz w:val="24"/>
          <w:szCs w:val="24"/>
        </w:rPr>
        <w:t>à</w:t>
      </w:r>
      <w:r w:rsidRPr="001C4628">
        <w:rPr>
          <w:rFonts w:ascii="Times New Roman" w:eastAsiaTheme="minorEastAsia" w:hAnsi="Times New Roman" w:cs="Times New Roman"/>
          <w:sz w:val="24"/>
          <w:szCs w:val="24"/>
        </w:rPr>
        <w:t xml:space="preserve"> população ocupada, quase complemento da taxa de informalidade, sendo chamada</w:t>
      </w:r>
      <w:r w:rsidR="008E775B" w:rsidRPr="001C4628">
        <w:rPr>
          <w:rFonts w:ascii="Times New Roman" w:eastAsiaTheme="minorEastAsia" w:hAnsi="Times New Roman" w:cs="Times New Roman"/>
          <w:sz w:val="24"/>
          <w:szCs w:val="24"/>
        </w:rPr>
        <w:t>, portanto,</w:t>
      </w:r>
      <w:r w:rsidRPr="001C4628">
        <w:rPr>
          <w:rFonts w:ascii="Times New Roman" w:eastAsiaTheme="minorEastAsia" w:hAnsi="Times New Roman" w:cs="Times New Roman"/>
          <w:sz w:val="24"/>
          <w:szCs w:val="24"/>
        </w:rPr>
        <w:t xml:space="preserve"> de taxa de formalidade</w:t>
      </w:r>
      <w:r w:rsidRPr="001C4628">
        <w:rPr>
          <w:rStyle w:val="Refdenotaderodap"/>
          <w:rFonts w:ascii="Times New Roman" w:eastAsiaTheme="minorEastAsia" w:hAnsi="Times New Roman" w:cs="Times New Roman"/>
          <w:sz w:val="24"/>
          <w:szCs w:val="24"/>
        </w:rPr>
        <w:footnoteReference w:id="8"/>
      </w:r>
      <w:r w:rsidRPr="001C4628">
        <w:rPr>
          <w:rFonts w:ascii="Times New Roman" w:eastAsiaTheme="minorEastAsia" w:hAnsi="Times New Roman" w:cs="Times New Roman"/>
          <w:sz w:val="24"/>
          <w:szCs w:val="24"/>
        </w:rPr>
        <w:t>,</w:t>
      </w:r>
    </w:p>
    <w:p w:rsidR="00932802" w:rsidRPr="001C4628" w:rsidRDefault="00932802"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(PO/PEA) é a taxa de ocupação (complemento da taxa de desemprego),</w:t>
      </w:r>
    </w:p>
    <w:p w:rsidR="00932802" w:rsidRPr="001C4628" w:rsidRDefault="00932802"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(PEA/PIA) é a taxa de participação e </w:t>
      </w:r>
    </w:p>
    <w:p w:rsidR="00932802" w:rsidRPr="001C4628" w:rsidRDefault="00932802"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(PIA) é a População em Idade Ativa</w:t>
      </w:r>
      <w:r w:rsidRPr="001C4628">
        <w:rPr>
          <w:rStyle w:val="Refdenotaderodap"/>
          <w:rFonts w:ascii="Times New Roman" w:eastAsiaTheme="minorEastAsia" w:hAnsi="Times New Roman" w:cs="Times New Roman"/>
          <w:sz w:val="24"/>
          <w:szCs w:val="24"/>
        </w:rPr>
        <w:footnoteReference w:id="9"/>
      </w:r>
      <w:r w:rsidRPr="001C4628">
        <w:rPr>
          <w:rFonts w:ascii="Times New Roman" w:eastAsiaTheme="minorEastAsia" w:hAnsi="Times New Roman" w:cs="Times New Roman"/>
          <w:sz w:val="24"/>
          <w:szCs w:val="24"/>
        </w:rPr>
        <w:t>.</w:t>
      </w:r>
    </w:p>
    <w:p w:rsidR="00BB3431" w:rsidRPr="001C4628" w:rsidRDefault="00BB3431" w:rsidP="00F84192">
      <w:pPr>
        <w:rPr>
          <w:rFonts w:ascii="Times New Roman" w:eastAsiaTheme="minorEastAsia" w:hAnsi="Times New Roman" w:cs="Times New Roman"/>
          <w:sz w:val="24"/>
          <w:szCs w:val="24"/>
        </w:rPr>
      </w:pPr>
    </w:p>
    <w:p w:rsidR="00542062" w:rsidRPr="001C4628" w:rsidRDefault="00542062"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Tomando os termos da expressão acima como logaritmos, a fim de torn</w:t>
      </w:r>
      <w:r w:rsidR="00C435C9" w:rsidRPr="001C4628">
        <w:rPr>
          <w:rFonts w:ascii="Times New Roman" w:eastAsiaTheme="minorEastAsia" w:hAnsi="Times New Roman" w:cs="Times New Roman"/>
          <w:sz w:val="24"/>
          <w:szCs w:val="24"/>
        </w:rPr>
        <w:t>á</w:t>
      </w:r>
      <w:r w:rsidRPr="001C4628">
        <w:rPr>
          <w:rFonts w:ascii="Times New Roman" w:eastAsiaTheme="minorEastAsia" w:hAnsi="Times New Roman" w:cs="Times New Roman"/>
          <w:sz w:val="24"/>
          <w:szCs w:val="24"/>
        </w:rPr>
        <w:t xml:space="preserve">-la aditiva, e subtraindo-se os resultados de um período do tempo ao seu imediatamente anterior, é possível decompor as variações do número de contribuintes atribuíveis a cada um dos componentes da identidade. Evidenciando-se a participação do crescimento do PIA na variação do nº de contribuintes, chega-se ao primeiro Bônus Demográfico com o qual a Previdência Social se beneficia. </w:t>
      </w:r>
    </w:p>
    <w:p w:rsidR="00670D6D" w:rsidRPr="001C4628" w:rsidRDefault="00670D6D"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 xml:space="preserve">Para se estimar o efeito do segundo Bônus Demográfico sobre a Previdência Social, há de se fazer uma decomposição das três primeiras expressões do algoritmo, de modo a captar o efeito da composição etária da população sobre as taxas de formalização, ocupação e participação. </w:t>
      </w:r>
      <w:r w:rsidR="00761BDA" w:rsidRPr="001C4628">
        <w:rPr>
          <w:rFonts w:ascii="Times New Roman" w:eastAsiaTheme="minorEastAsia" w:hAnsi="Times New Roman" w:cs="Times New Roman"/>
          <w:sz w:val="24"/>
          <w:szCs w:val="24"/>
        </w:rPr>
        <w:t xml:space="preserve">Para tal, se utilizará metodologia semelhante à de </w:t>
      </w:r>
      <w:r w:rsidR="0075302D" w:rsidRPr="001C4628">
        <w:rPr>
          <w:rFonts w:ascii="Times New Roman" w:eastAsiaTheme="minorEastAsia" w:hAnsi="Times New Roman" w:cs="Times New Roman"/>
          <w:sz w:val="24"/>
          <w:szCs w:val="24"/>
        </w:rPr>
        <w:t xml:space="preserve">Barbosa Filho e </w:t>
      </w:r>
      <w:r w:rsidR="00AA2485">
        <w:rPr>
          <w:rFonts w:ascii="Times New Roman" w:eastAsiaTheme="minorEastAsia" w:hAnsi="Times New Roman" w:cs="Times New Roman"/>
          <w:sz w:val="24"/>
          <w:szCs w:val="24"/>
        </w:rPr>
        <w:t>Moura</w:t>
      </w:r>
      <w:r w:rsidR="0075302D" w:rsidRPr="001C4628">
        <w:rPr>
          <w:rFonts w:ascii="Times New Roman" w:eastAsiaTheme="minorEastAsia" w:hAnsi="Times New Roman" w:cs="Times New Roman"/>
          <w:sz w:val="24"/>
          <w:szCs w:val="24"/>
        </w:rPr>
        <w:t xml:space="preserve"> (2012)</w:t>
      </w:r>
      <w:r w:rsidR="00444A14" w:rsidRPr="001C4628">
        <w:rPr>
          <w:rFonts w:ascii="Times New Roman" w:eastAsiaTheme="minorEastAsia" w:hAnsi="Times New Roman" w:cs="Times New Roman"/>
          <w:sz w:val="24"/>
          <w:szCs w:val="24"/>
        </w:rPr>
        <w:t xml:space="preserve">, </w:t>
      </w:r>
      <w:r w:rsidR="001B54EB" w:rsidRPr="001C4628">
        <w:rPr>
          <w:rFonts w:ascii="Times New Roman" w:eastAsiaTheme="minorEastAsia" w:hAnsi="Times New Roman" w:cs="Times New Roman"/>
          <w:sz w:val="24"/>
          <w:szCs w:val="24"/>
        </w:rPr>
        <w:t>definindo</w:t>
      </w:r>
      <w:r w:rsidR="00444A14" w:rsidRPr="001C4628">
        <w:rPr>
          <w:rFonts w:ascii="Times New Roman" w:eastAsiaTheme="minorEastAsia" w:hAnsi="Times New Roman" w:cs="Times New Roman"/>
          <w:sz w:val="24"/>
          <w:szCs w:val="24"/>
        </w:rPr>
        <w:t xml:space="preserve"> a taxa de formalidade da seguinte maneira:</w:t>
      </w:r>
    </w:p>
    <w:p w:rsidR="00444A14" w:rsidRPr="001C4628" w:rsidRDefault="00444A14" w:rsidP="00F84192">
      <w:pPr>
        <w:rPr>
          <w:rFonts w:ascii="Times New Roman" w:eastAsiaTheme="minorEastAsia" w:hAnsi="Times New Roman" w:cs="Times New Roman"/>
          <w:sz w:val="24"/>
          <w:szCs w:val="24"/>
        </w:rPr>
      </w:pPr>
    </w:p>
    <w:p w:rsidR="00444A14" w:rsidRPr="001C4628" w:rsidRDefault="00FB4E1C" w:rsidP="00F84192">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Contribuintes</m:t>
            </m:r>
          </m:num>
          <m:den>
            <m:r>
              <w:rPr>
                <w:rFonts w:ascii="Cambria Math" w:eastAsiaTheme="minorEastAsia" w:hAnsi="Cambria Math" w:cs="Times New Roman"/>
                <w:sz w:val="24"/>
                <w:szCs w:val="24"/>
              </w:rPr>
              <m:t>População Ocupada</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Contribuintes</m:t>
            </m:r>
          </m:num>
          <m:den>
            <m:r>
              <w:rPr>
                <w:rFonts w:ascii="Cambria Math" w:eastAsiaTheme="minorEastAsia" w:hAnsi="Cambria Math" w:cs="Times New Roman"/>
                <w:sz w:val="24"/>
                <w:szCs w:val="24"/>
              </w:rPr>
              <m:t>Contribuintes+Não Contribuintes</m:t>
            </m:r>
          </m:den>
        </m:f>
      </m:oMath>
      <w:r w:rsidR="00444A14" w:rsidRPr="001C4628">
        <w:rPr>
          <w:rFonts w:ascii="Times New Roman" w:eastAsiaTheme="minorEastAsia" w:hAnsi="Times New Roman" w:cs="Times New Roman"/>
          <w:sz w:val="24"/>
          <w:szCs w:val="24"/>
        </w:rPr>
        <w:tab/>
      </w:r>
      <w:r w:rsidR="00444A14" w:rsidRPr="001C4628">
        <w:rPr>
          <w:rFonts w:ascii="Times New Roman" w:eastAsiaTheme="minorEastAsia" w:hAnsi="Times New Roman" w:cs="Times New Roman"/>
          <w:sz w:val="24"/>
          <w:szCs w:val="24"/>
        </w:rPr>
        <w:tab/>
      </w:r>
      <w:r w:rsidR="00444A14" w:rsidRPr="001C4628">
        <w:rPr>
          <w:rFonts w:ascii="Times New Roman" w:eastAsiaTheme="minorEastAsia" w:hAnsi="Times New Roman" w:cs="Times New Roman"/>
          <w:sz w:val="24"/>
          <w:szCs w:val="24"/>
        </w:rPr>
        <w:tab/>
      </w:r>
      <w:r w:rsidR="00444A14" w:rsidRPr="001C4628">
        <w:rPr>
          <w:rFonts w:ascii="Times New Roman" w:eastAsiaTheme="minorEastAsia" w:hAnsi="Times New Roman" w:cs="Times New Roman"/>
          <w:sz w:val="24"/>
          <w:szCs w:val="24"/>
        </w:rPr>
        <w:tab/>
        <w:t>(3)</w:t>
      </w:r>
    </w:p>
    <w:p w:rsidR="00444A14" w:rsidRPr="001C4628" w:rsidRDefault="00444A14" w:rsidP="00F84192">
      <w:pPr>
        <w:rPr>
          <w:rFonts w:ascii="Times New Roman" w:eastAsiaTheme="minorEastAsia" w:hAnsi="Times New Roman" w:cs="Times New Roman"/>
          <w:sz w:val="24"/>
          <w:szCs w:val="24"/>
        </w:rPr>
      </w:pPr>
    </w:p>
    <w:p w:rsidR="00A30FF5" w:rsidRPr="001C4628" w:rsidRDefault="00444A14"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 xml:space="preserve">A taxa de formalidade pode (tanto quanto as outras) ser decomposta em dois termos, </w:t>
      </w:r>
      <w:r w:rsidR="00A30FF5" w:rsidRPr="001C4628">
        <w:rPr>
          <w:rFonts w:ascii="Times New Roman" w:eastAsiaTheme="minorEastAsia" w:hAnsi="Times New Roman" w:cs="Times New Roman"/>
          <w:sz w:val="24"/>
          <w:szCs w:val="24"/>
        </w:rPr>
        <w:t>expressos</w:t>
      </w:r>
      <w:r w:rsidRPr="001C4628">
        <w:rPr>
          <w:rFonts w:ascii="Times New Roman" w:eastAsiaTheme="minorEastAsia" w:hAnsi="Times New Roman" w:cs="Times New Roman"/>
          <w:sz w:val="24"/>
          <w:szCs w:val="24"/>
        </w:rPr>
        <w:t xml:space="preserve"> a seguir:</w:t>
      </w:r>
    </w:p>
    <w:p w:rsidR="00A30FF5" w:rsidRPr="001C4628" w:rsidRDefault="00A30FF5" w:rsidP="00A30FF5">
      <w:pPr>
        <w:pStyle w:val="PargrafodaLista"/>
        <w:numPr>
          <w:ilvl w:val="0"/>
          <w:numId w:val="1"/>
        </w:numPr>
        <w:rPr>
          <w:rFonts w:ascii="Times New Roman" w:eastAsiaTheme="minorEastAsia" w:hAnsi="Times New Roman"/>
          <w:sz w:val="24"/>
          <w:szCs w:val="24"/>
        </w:rPr>
      </w:pPr>
      <w:r w:rsidRPr="001C4628">
        <w:rPr>
          <w:rFonts w:ascii="Times New Roman" w:eastAsiaTheme="minorEastAsia" w:hAnsi="Times New Roman"/>
          <w:sz w:val="24"/>
          <w:szCs w:val="24"/>
        </w:rPr>
        <w:t>Efeito Nível: Refere-se à taxa de formalidade dentro das faixas etárias da População Ocupada</w:t>
      </w:r>
    </w:p>
    <w:p w:rsidR="00A30FF5" w:rsidRPr="001C4628" w:rsidRDefault="00A30FF5" w:rsidP="00A30FF5">
      <w:pPr>
        <w:ind w:firstLine="708"/>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Por exemplo, a taxa de formalidade aumentou, pois a taxa de formalidade dentro da População Ocupação de diferentes faixas etárias caiu. Portanto, o efeito nível </w:t>
      </w:r>
      <w:r w:rsidRPr="001C4628">
        <w:rPr>
          <w:rFonts w:ascii="Times New Roman" w:eastAsiaTheme="minorEastAsia" w:hAnsi="Times New Roman" w:cs="Times New Roman"/>
          <w:sz w:val="24"/>
          <w:szCs w:val="24"/>
        </w:rPr>
        <w:lastRenderedPageBreak/>
        <w:t>mensura a variação da taxa de formalidade dentro de uma determinada faixa etária sobre a taxa de formalidade agregada</w:t>
      </w:r>
    </w:p>
    <w:p w:rsidR="00A30FF5" w:rsidRPr="001C4628" w:rsidRDefault="00A30FF5" w:rsidP="00A30FF5">
      <w:pPr>
        <w:pStyle w:val="PargrafodaLista"/>
        <w:numPr>
          <w:ilvl w:val="0"/>
          <w:numId w:val="1"/>
        </w:numPr>
        <w:rPr>
          <w:rFonts w:ascii="Times New Roman" w:eastAsiaTheme="minorEastAsia" w:hAnsi="Times New Roman"/>
          <w:sz w:val="24"/>
          <w:szCs w:val="24"/>
        </w:rPr>
      </w:pPr>
      <w:r w:rsidRPr="001C4628">
        <w:rPr>
          <w:rFonts w:ascii="Times New Roman" w:eastAsiaTheme="minorEastAsia" w:hAnsi="Times New Roman"/>
          <w:sz w:val="24"/>
          <w:szCs w:val="24"/>
        </w:rPr>
        <w:t xml:space="preserve">Efeito Composição: Refere-se à taxa de formalidade devido a uma mudança na composição etária da População Ocupada. </w:t>
      </w:r>
    </w:p>
    <w:p w:rsidR="00A30FF5" w:rsidRPr="001C4628" w:rsidRDefault="00A30FF5" w:rsidP="00A30FF5">
      <w:pPr>
        <w:ind w:firstLine="708"/>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Por exemplo, a taxa de formalidade aumentou, pois cresceu a parcela da População Ocupada mais velha, que normalmente possui maior experiência no mercado de trabalho e, ocasionalmente, maior escolaridade. Portanto, o efeito composição mensura a variação da participação de uma faixa etária no mercado de traba</w:t>
      </w:r>
      <w:r w:rsidR="004D6A01" w:rsidRPr="001C4628">
        <w:rPr>
          <w:rFonts w:ascii="Times New Roman" w:eastAsiaTheme="minorEastAsia" w:hAnsi="Times New Roman" w:cs="Times New Roman"/>
          <w:sz w:val="24"/>
          <w:szCs w:val="24"/>
        </w:rPr>
        <w:t>lho sobre a taxa de formalidade.</w:t>
      </w:r>
    </w:p>
    <w:p w:rsidR="00444A14" w:rsidRPr="001C4628" w:rsidRDefault="00A30FF5" w:rsidP="00F84192">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A decomposição entre Efeito Nível e Efeito Composição, segundo Barbosa Filho e Pessôa</w:t>
      </w:r>
      <w:r w:rsidR="00A01316" w:rsidRPr="001C4628">
        <w:rPr>
          <w:rFonts w:ascii="Times New Roman" w:eastAsiaTheme="minorEastAsia" w:hAnsi="Times New Roman" w:cs="Times New Roman"/>
          <w:sz w:val="24"/>
          <w:szCs w:val="24"/>
        </w:rPr>
        <w:t xml:space="preserve"> (2012)</w:t>
      </w:r>
      <w:r w:rsidRPr="001C4628">
        <w:rPr>
          <w:rFonts w:ascii="Times New Roman" w:eastAsiaTheme="minorEastAsia" w:hAnsi="Times New Roman" w:cs="Times New Roman"/>
          <w:sz w:val="24"/>
          <w:szCs w:val="24"/>
        </w:rPr>
        <w:t>, ocorre da seguinte forma:</w:t>
      </w:r>
    </w:p>
    <w:p w:rsidR="00A30FF5" w:rsidRPr="001C4628" w:rsidRDefault="00532D33"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position w:val="-74"/>
          <w:sz w:val="24"/>
          <w:szCs w:val="24"/>
        </w:rPr>
        <w:object w:dxaOrig="434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80.25pt" o:ole="">
            <v:imagedata r:id="rId15" o:title=""/>
          </v:shape>
          <o:OLEObject Type="Embed" ProgID="Equation.3" ShapeID="_x0000_i1025" DrawAspect="Content" ObjectID="_1467658717" r:id="rId16"/>
        </w:object>
      </w:r>
      <w:r w:rsidR="00E825DF" w:rsidRPr="001C4628">
        <w:rPr>
          <w:rFonts w:ascii="Times New Roman" w:hAnsi="Times New Roman" w:cs="Times New Roman"/>
          <w:color w:val="000000" w:themeColor="text1"/>
          <w:sz w:val="24"/>
          <w:szCs w:val="24"/>
        </w:rPr>
        <w:tab/>
      </w:r>
      <w:r w:rsidR="00E825DF" w:rsidRPr="001C4628">
        <w:rPr>
          <w:rFonts w:ascii="Times New Roman" w:hAnsi="Times New Roman" w:cs="Times New Roman"/>
          <w:color w:val="000000" w:themeColor="text1"/>
          <w:sz w:val="24"/>
          <w:szCs w:val="24"/>
        </w:rPr>
        <w:tab/>
      </w:r>
      <w:r w:rsidR="00E825DF" w:rsidRPr="001C4628">
        <w:rPr>
          <w:rFonts w:ascii="Times New Roman" w:hAnsi="Times New Roman" w:cs="Times New Roman"/>
          <w:color w:val="000000" w:themeColor="text1"/>
          <w:sz w:val="24"/>
          <w:szCs w:val="24"/>
        </w:rPr>
        <w:tab/>
      </w:r>
      <w:r w:rsidR="00A30FF5" w:rsidRPr="001C4628">
        <w:rPr>
          <w:rFonts w:ascii="Times New Roman" w:hAnsi="Times New Roman" w:cs="Times New Roman"/>
          <w:color w:val="000000" w:themeColor="text1"/>
          <w:sz w:val="24"/>
          <w:szCs w:val="24"/>
        </w:rPr>
        <w:tab/>
      </w:r>
      <w:r w:rsidR="00A30FF5" w:rsidRPr="001C4628">
        <w:rPr>
          <w:rFonts w:ascii="Times New Roman" w:hAnsi="Times New Roman" w:cs="Times New Roman"/>
          <w:color w:val="000000" w:themeColor="text1"/>
          <w:sz w:val="24"/>
          <w:szCs w:val="24"/>
        </w:rPr>
        <w:tab/>
        <w:t>(4)</w:t>
      </w:r>
    </w:p>
    <w:p w:rsidR="00E825DF" w:rsidRPr="001C4628" w:rsidRDefault="00A30FF5"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ab/>
      </w:r>
    </w:p>
    <w:p w:rsidR="00532D33" w:rsidRPr="001C4628" w:rsidRDefault="00532D33"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position w:val="-46"/>
          <w:sz w:val="24"/>
          <w:szCs w:val="24"/>
        </w:rPr>
        <w:object w:dxaOrig="3460" w:dyaOrig="880">
          <v:shape id="_x0000_i1026" type="#_x0000_t75" style="width:173.25pt;height:44.25pt" o:ole="">
            <v:imagedata r:id="rId17" o:title=""/>
          </v:shape>
          <o:OLEObject Type="Embed" ProgID="Equation.3" ShapeID="_x0000_i1026" DrawAspect="Content" ObjectID="_1467658718" r:id="rId18"/>
        </w:object>
      </w:r>
      <w:r w:rsidRPr="001C4628">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ab/>
        <w:t xml:space="preserve">  </w:t>
      </w:r>
      <w:r w:rsidR="00AA2485">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 xml:space="preserve">(5)      </w:t>
      </w:r>
    </w:p>
    <w:p w:rsidR="00E825DF" w:rsidRPr="001C4628" w:rsidRDefault="00532D33" w:rsidP="00532D33">
      <w:pPr>
        <w:rPr>
          <w:rFonts w:ascii="Times New Roman" w:hAnsi="Times New Roman" w:cs="Times New Roman"/>
          <w:color w:val="000000" w:themeColor="text1"/>
          <w:sz w:val="24"/>
          <w:szCs w:val="24"/>
        </w:rPr>
      </w:pPr>
      <w:r w:rsidRPr="001C4628">
        <w:rPr>
          <w:rFonts w:ascii="Times New Roman" w:hAnsi="Times New Roman" w:cs="Times New Roman"/>
          <w:color w:val="000000" w:themeColor="text1"/>
          <w:sz w:val="24"/>
          <w:szCs w:val="24"/>
        </w:rPr>
        <w:t xml:space="preserve">no qual a participação de cada faixa etária </w:t>
      </w:r>
      <w:r w:rsidRPr="001C4628">
        <w:rPr>
          <w:rFonts w:ascii="Times New Roman" w:hAnsi="Times New Roman" w:cs="Times New Roman"/>
          <w:i/>
          <w:color w:val="000000" w:themeColor="text1"/>
          <w:sz w:val="24"/>
          <w:szCs w:val="24"/>
        </w:rPr>
        <w:t xml:space="preserve">i </w:t>
      </w:r>
      <w:r w:rsidRPr="001C4628">
        <w:rPr>
          <w:rFonts w:ascii="Times New Roman" w:hAnsi="Times New Roman" w:cs="Times New Roman"/>
          <w:color w:val="000000" w:themeColor="text1"/>
          <w:sz w:val="24"/>
          <w:szCs w:val="24"/>
        </w:rPr>
        <w:t xml:space="preserve">é dada por </w:t>
      </w:r>
      <w:r w:rsidRPr="001C4628">
        <w:rPr>
          <w:rFonts w:ascii="Times New Roman" w:hAnsi="Times New Roman" w:cs="Times New Roman"/>
          <w:color w:val="000000" w:themeColor="text1"/>
          <w:position w:val="-46"/>
          <w:sz w:val="24"/>
          <w:szCs w:val="24"/>
        </w:rPr>
        <w:object w:dxaOrig="1460" w:dyaOrig="880">
          <v:shape id="_x0000_i1027" type="#_x0000_t75" style="width:73.5pt;height:43.5pt" o:ole="">
            <v:imagedata r:id="rId19" o:title=""/>
          </v:shape>
          <o:OLEObject Type="Embed" ProgID="Equation.3" ShapeID="_x0000_i1027" DrawAspect="Content" ObjectID="_1467658719" r:id="rId20"/>
        </w:object>
      </w:r>
      <w:r w:rsidRPr="001C4628">
        <w:rPr>
          <w:rFonts w:ascii="Times New Roman" w:hAnsi="Times New Roman" w:cs="Times New Roman"/>
          <w:color w:val="000000" w:themeColor="text1"/>
          <w:sz w:val="24"/>
          <w:szCs w:val="24"/>
        </w:rPr>
        <w:t xml:space="preserve"> e a taxa de formalidade dentro de cada grupo </w:t>
      </w:r>
      <w:r w:rsidRPr="001C4628">
        <w:rPr>
          <w:rFonts w:ascii="Times New Roman" w:hAnsi="Times New Roman" w:cs="Times New Roman"/>
          <w:i/>
          <w:color w:val="000000" w:themeColor="text1"/>
          <w:sz w:val="24"/>
          <w:szCs w:val="24"/>
        </w:rPr>
        <w:t>i</w:t>
      </w:r>
      <w:r w:rsidRPr="001C4628">
        <w:rPr>
          <w:rFonts w:ascii="Times New Roman" w:hAnsi="Times New Roman" w:cs="Times New Roman"/>
          <w:color w:val="000000" w:themeColor="text1"/>
          <w:sz w:val="24"/>
          <w:szCs w:val="24"/>
        </w:rPr>
        <w:t xml:space="preserve"> é dada por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i,t</m:t>
            </m:r>
          </m:sub>
        </m:sSub>
      </m:oMath>
    </w:p>
    <w:p w:rsidR="00532D33" w:rsidRPr="001C4628" w:rsidRDefault="00532D33"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sz w:val="24"/>
          <w:szCs w:val="24"/>
        </w:rPr>
        <w:tab/>
        <w:t>A partir da definição de taxa de formalidade acima, é possível decompô-la em composição e nível da formalidade. Com isso, pode-se mensurar a influência dos dois componentes na variação da formalidade, segundo a seguinte fórmula:</w:t>
      </w:r>
    </w:p>
    <w:p w:rsidR="00532D33" w:rsidRPr="001C4628" w:rsidRDefault="00532D33" w:rsidP="00E825DF">
      <w:pPr>
        <w:spacing w:after="120" w:line="240" w:lineRule="auto"/>
        <w:rPr>
          <w:rFonts w:ascii="Times New Roman" w:hAnsi="Times New Roman" w:cs="Times New Roman"/>
          <w:color w:val="000000" w:themeColor="text1"/>
          <w:sz w:val="24"/>
          <w:szCs w:val="24"/>
        </w:rPr>
      </w:pPr>
    </w:p>
    <w:p w:rsidR="00E825DF" w:rsidRPr="001C4628" w:rsidRDefault="00532D33"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position w:val="-28"/>
          <w:sz w:val="24"/>
          <w:szCs w:val="24"/>
        </w:rPr>
        <w:object w:dxaOrig="5780" w:dyaOrig="540">
          <v:shape id="_x0000_i1028" type="#_x0000_t75" style="width:288.75pt;height:27pt" o:ole="">
            <v:imagedata r:id="rId21" o:title=""/>
          </v:shape>
          <o:OLEObject Type="Embed" ProgID="Equation.3" ShapeID="_x0000_i1028" DrawAspect="Content" ObjectID="_1467658720" r:id="rId22"/>
        </w:object>
      </w:r>
      <w:r w:rsidR="00E825DF" w:rsidRPr="001C4628">
        <w:rPr>
          <w:rFonts w:ascii="Times New Roman" w:hAnsi="Times New Roman" w:cs="Times New Roman"/>
          <w:color w:val="000000" w:themeColor="text1"/>
          <w:sz w:val="24"/>
          <w:szCs w:val="24"/>
        </w:rPr>
        <w:tab/>
      </w:r>
      <w:r w:rsidR="00E825DF" w:rsidRPr="001C4628">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ab/>
        <w:t>(6)</w:t>
      </w:r>
      <w:r w:rsidR="00E825DF" w:rsidRPr="001C4628">
        <w:rPr>
          <w:rFonts w:ascii="Times New Roman" w:hAnsi="Times New Roman" w:cs="Times New Roman"/>
          <w:color w:val="000000" w:themeColor="text1"/>
          <w:sz w:val="24"/>
          <w:szCs w:val="24"/>
        </w:rPr>
        <w:tab/>
      </w:r>
      <w:r w:rsidR="00E825DF" w:rsidRPr="001C4628">
        <w:rPr>
          <w:rFonts w:ascii="Times New Roman" w:hAnsi="Times New Roman" w:cs="Times New Roman"/>
          <w:color w:val="000000" w:themeColor="text1"/>
          <w:sz w:val="24"/>
          <w:szCs w:val="24"/>
        </w:rPr>
        <w:tab/>
      </w:r>
    </w:p>
    <w:p w:rsidR="00E825DF" w:rsidRPr="001C4628" w:rsidRDefault="00532D33"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position w:val="-28"/>
          <w:sz w:val="24"/>
          <w:szCs w:val="24"/>
        </w:rPr>
        <w:object w:dxaOrig="5980" w:dyaOrig="660">
          <v:shape id="_x0000_i1029" type="#_x0000_t75" style="width:300pt;height:33pt" o:ole="">
            <v:imagedata r:id="rId23" o:title=""/>
          </v:shape>
          <o:OLEObject Type="Embed" ProgID="Equation.3" ShapeID="_x0000_i1029" DrawAspect="Content" ObjectID="_1467658721" r:id="rId24"/>
        </w:object>
      </w:r>
      <w:r w:rsidR="00E825DF" w:rsidRPr="001C4628">
        <w:rPr>
          <w:rFonts w:ascii="Times New Roman" w:hAnsi="Times New Roman" w:cs="Times New Roman"/>
          <w:color w:val="000000" w:themeColor="text1"/>
          <w:sz w:val="24"/>
          <w:szCs w:val="24"/>
        </w:rPr>
        <w:tab/>
      </w:r>
      <w:r w:rsidR="00AA2485">
        <w:rPr>
          <w:rFonts w:ascii="Times New Roman" w:hAnsi="Times New Roman" w:cs="Times New Roman"/>
          <w:color w:val="000000" w:themeColor="text1"/>
          <w:sz w:val="24"/>
          <w:szCs w:val="24"/>
        </w:rPr>
        <w:tab/>
      </w:r>
      <w:r w:rsidR="00AA2485">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(7)</w:t>
      </w:r>
      <w:r w:rsidR="00E825DF" w:rsidRPr="001C4628">
        <w:rPr>
          <w:rFonts w:ascii="Times New Roman" w:hAnsi="Times New Roman" w:cs="Times New Roman"/>
          <w:color w:val="000000" w:themeColor="text1"/>
          <w:sz w:val="24"/>
          <w:szCs w:val="24"/>
        </w:rPr>
        <w:tab/>
      </w:r>
    </w:p>
    <w:p w:rsidR="00A83855" w:rsidRPr="001C4628" w:rsidRDefault="00532D33"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sz w:val="24"/>
          <w:szCs w:val="24"/>
        </w:rPr>
        <w:tab/>
      </w:r>
      <w:r w:rsidR="00A83855" w:rsidRPr="001C4628">
        <w:rPr>
          <w:rFonts w:ascii="Times New Roman" w:hAnsi="Times New Roman" w:cs="Times New Roman"/>
          <w:color w:val="000000" w:themeColor="text1"/>
          <w:sz w:val="24"/>
          <w:szCs w:val="24"/>
        </w:rPr>
        <w:t xml:space="preserve">Adicionando e subtraindo o termo </w:t>
      </w:r>
      <w:r w:rsidR="00A83855" w:rsidRPr="001C4628">
        <w:rPr>
          <w:rFonts w:ascii="Times New Roman" w:hAnsi="Times New Roman" w:cs="Times New Roman"/>
          <w:color w:val="000000" w:themeColor="text1"/>
          <w:position w:val="-14"/>
          <w:sz w:val="24"/>
          <w:szCs w:val="24"/>
        </w:rPr>
        <w:object w:dxaOrig="780" w:dyaOrig="380">
          <v:shape id="_x0000_i1030" type="#_x0000_t75" style="width:39pt;height:18.75pt" o:ole="">
            <v:imagedata r:id="rId25" o:title=""/>
          </v:shape>
          <o:OLEObject Type="Embed" ProgID="Equation.3" ShapeID="_x0000_i1030" DrawAspect="Content" ObjectID="_1467658722" r:id="rId26"/>
        </w:object>
      </w:r>
      <w:r w:rsidR="00A83855" w:rsidRPr="001C4628">
        <w:rPr>
          <w:rFonts w:ascii="Times New Roman" w:hAnsi="Times New Roman" w:cs="Times New Roman"/>
          <w:color w:val="000000" w:themeColor="text1"/>
          <w:sz w:val="24"/>
          <w:szCs w:val="24"/>
        </w:rPr>
        <w:t xml:space="preserve">do primeiro colchete e adicionando e subtraindo o termo </w:t>
      </w:r>
      <w:r w:rsidR="00A83855" w:rsidRPr="001C4628">
        <w:rPr>
          <w:rFonts w:ascii="Times New Roman" w:hAnsi="Times New Roman" w:cs="Times New Roman"/>
          <w:color w:val="000000" w:themeColor="text1"/>
          <w:position w:val="-14"/>
          <w:sz w:val="24"/>
          <w:szCs w:val="24"/>
        </w:rPr>
        <w:object w:dxaOrig="780" w:dyaOrig="380">
          <v:shape id="_x0000_i1031" type="#_x0000_t75" style="width:39pt;height:18.75pt" o:ole="">
            <v:imagedata r:id="rId27" o:title=""/>
          </v:shape>
          <o:OLEObject Type="Embed" ProgID="Equation.3" ShapeID="_x0000_i1031" DrawAspect="Content" ObjectID="_1467658723" r:id="rId28"/>
        </w:object>
      </w:r>
      <w:r w:rsidR="00A83855" w:rsidRPr="001C4628">
        <w:rPr>
          <w:rFonts w:ascii="Times New Roman" w:hAnsi="Times New Roman" w:cs="Times New Roman"/>
          <w:color w:val="000000" w:themeColor="text1"/>
          <w:sz w:val="24"/>
          <w:szCs w:val="24"/>
        </w:rPr>
        <w:t xml:space="preserve">do segundo colchete, tem-se: </w:t>
      </w:r>
    </w:p>
    <w:p w:rsidR="00E825DF" w:rsidRPr="001C4628" w:rsidRDefault="00532D33"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position w:val="-64"/>
          <w:sz w:val="24"/>
          <w:szCs w:val="24"/>
        </w:rPr>
        <w:object w:dxaOrig="8080" w:dyaOrig="1380">
          <v:shape id="_x0000_i1032" type="#_x0000_t75" style="width:402.75pt;height:68.25pt" o:ole="">
            <v:imagedata r:id="rId29" o:title=""/>
          </v:shape>
          <o:OLEObject Type="Embed" ProgID="Equation.3" ShapeID="_x0000_i1032" DrawAspect="Content" ObjectID="_1467658724" r:id="rId30"/>
        </w:object>
      </w:r>
      <w:r w:rsidR="00A83855" w:rsidRPr="001C4628">
        <w:rPr>
          <w:rFonts w:ascii="Times New Roman" w:hAnsi="Times New Roman" w:cs="Times New Roman"/>
          <w:color w:val="000000" w:themeColor="text1"/>
          <w:position w:val="-64"/>
          <w:sz w:val="24"/>
          <w:szCs w:val="24"/>
        </w:rPr>
        <w:tab/>
      </w:r>
    </w:p>
    <w:p w:rsidR="00A83855" w:rsidRPr="001C4628" w:rsidRDefault="00532D33"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position w:val="-28"/>
          <w:sz w:val="24"/>
          <w:szCs w:val="24"/>
        </w:rPr>
        <w:object w:dxaOrig="5400" w:dyaOrig="700">
          <v:shape id="_x0000_i1033" type="#_x0000_t75" style="width:269.25pt;height:35.25pt" o:ole="">
            <v:imagedata r:id="rId31" o:title=""/>
          </v:shape>
          <o:OLEObject Type="Embed" ProgID="Equation.3" ShapeID="_x0000_i1033" DrawAspect="Content" ObjectID="_1467658725" r:id="rId32"/>
        </w:object>
      </w:r>
      <w:r w:rsidR="00E825DF" w:rsidRPr="001C4628">
        <w:rPr>
          <w:rFonts w:ascii="Times New Roman" w:hAnsi="Times New Roman" w:cs="Times New Roman"/>
          <w:color w:val="000000" w:themeColor="text1"/>
          <w:sz w:val="24"/>
          <w:szCs w:val="24"/>
        </w:rPr>
        <w:tab/>
      </w:r>
      <w:r w:rsidR="00E825DF" w:rsidRPr="001C4628">
        <w:rPr>
          <w:rFonts w:ascii="Times New Roman" w:hAnsi="Times New Roman" w:cs="Times New Roman"/>
          <w:color w:val="000000" w:themeColor="text1"/>
          <w:sz w:val="24"/>
          <w:szCs w:val="24"/>
        </w:rPr>
        <w:tab/>
      </w:r>
      <w:r w:rsidR="00A83855" w:rsidRPr="001C4628">
        <w:rPr>
          <w:rFonts w:ascii="Times New Roman" w:hAnsi="Times New Roman" w:cs="Times New Roman"/>
          <w:color w:val="000000" w:themeColor="text1"/>
          <w:sz w:val="24"/>
          <w:szCs w:val="24"/>
        </w:rPr>
        <w:tab/>
      </w:r>
      <w:r w:rsidR="00A83855" w:rsidRPr="001C4628">
        <w:rPr>
          <w:rFonts w:ascii="Times New Roman" w:hAnsi="Times New Roman" w:cs="Times New Roman"/>
          <w:color w:val="000000" w:themeColor="text1"/>
          <w:sz w:val="24"/>
          <w:szCs w:val="24"/>
        </w:rPr>
        <w:tab/>
        <w:t>(8)</w:t>
      </w:r>
      <w:r w:rsidR="00E825DF" w:rsidRPr="001C4628">
        <w:rPr>
          <w:rFonts w:ascii="Times New Roman" w:hAnsi="Times New Roman" w:cs="Times New Roman"/>
          <w:color w:val="000000" w:themeColor="text1"/>
          <w:sz w:val="24"/>
          <w:szCs w:val="24"/>
        </w:rPr>
        <w:tab/>
      </w:r>
    </w:p>
    <w:p w:rsidR="00A83855" w:rsidRPr="001C4628" w:rsidRDefault="00A83855" w:rsidP="00E825DF">
      <w:pPr>
        <w:spacing w:after="120" w:line="240" w:lineRule="auto"/>
        <w:rPr>
          <w:rFonts w:ascii="Times New Roman" w:hAnsi="Times New Roman" w:cs="Times New Roman"/>
          <w:color w:val="000000" w:themeColor="text1"/>
          <w:sz w:val="24"/>
          <w:szCs w:val="24"/>
        </w:rPr>
      </w:pPr>
    </w:p>
    <w:p w:rsidR="00A83855" w:rsidRPr="001C4628" w:rsidRDefault="00532D33"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position w:val="-28"/>
          <w:sz w:val="24"/>
          <w:szCs w:val="24"/>
        </w:rPr>
        <w:object w:dxaOrig="4300" w:dyaOrig="540">
          <v:shape id="_x0000_i1034" type="#_x0000_t75" style="width:215.25pt;height:27pt" o:ole="">
            <v:imagedata r:id="rId33" o:title=""/>
          </v:shape>
          <o:OLEObject Type="Embed" ProgID="Equation.3" ShapeID="_x0000_i1034" DrawAspect="Content" ObjectID="_1467658726" r:id="rId34"/>
        </w:object>
      </w:r>
      <w:r w:rsidR="00E825DF" w:rsidRPr="001C4628">
        <w:rPr>
          <w:rFonts w:ascii="Times New Roman" w:hAnsi="Times New Roman" w:cs="Times New Roman"/>
          <w:color w:val="000000" w:themeColor="text1"/>
          <w:sz w:val="24"/>
          <w:szCs w:val="24"/>
        </w:rPr>
        <w:tab/>
      </w:r>
      <w:r w:rsidR="00E825DF" w:rsidRPr="001C4628">
        <w:rPr>
          <w:rFonts w:ascii="Times New Roman" w:hAnsi="Times New Roman" w:cs="Times New Roman"/>
          <w:color w:val="000000" w:themeColor="text1"/>
          <w:sz w:val="24"/>
          <w:szCs w:val="24"/>
        </w:rPr>
        <w:tab/>
      </w:r>
      <w:r w:rsidR="00E825DF" w:rsidRPr="001C4628">
        <w:rPr>
          <w:rFonts w:ascii="Times New Roman" w:hAnsi="Times New Roman" w:cs="Times New Roman"/>
          <w:color w:val="000000" w:themeColor="text1"/>
          <w:sz w:val="24"/>
          <w:szCs w:val="24"/>
        </w:rPr>
        <w:tab/>
      </w:r>
      <w:r w:rsidR="00E825DF" w:rsidRPr="001C4628">
        <w:rPr>
          <w:rFonts w:ascii="Times New Roman" w:hAnsi="Times New Roman" w:cs="Times New Roman"/>
          <w:color w:val="000000" w:themeColor="text1"/>
          <w:sz w:val="24"/>
          <w:szCs w:val="24"/>
        </w:rPr>
        <w:tab/>
      </w:r>
      <w:r w:rsidRPr="001C4628">
        <w:rPr>
          <w:rFonts w:ascii="Times New Roman" w:hAnsi="Times New Roman" w:cs="Times New Roman"/>
          <w:color w:val="000000" w:themeColor="text1"/>
          <w:sz w:val="24"/>
          <w:szCs w:val="24"/>
        </w:rPr>
        <w:tab/>
      </w:r>
      <w:r w:rsidR="00A83855" w:rsidRPr="001C4628">
        <w:rPr>
          <w:rFonts w:ascii="Times New Roman" w:hAnsi="Times New Roman" w:cs="Times New Roman"/>
          <w:color w:val="000000" w:themeColor="text1"/>
          <w:sz w:val="24"/>
          <w:szCs w:val="24"/>
        </w:rPr>
        <w:t xml:space="preserve"> (9)</w:t>
      </w:r>
    </w:p>
    <w:p w:rsidR="00E825DF" w:rsidRPr="001C4628" w:rsidRDefault="00532D33" w:rsidP="00E825DF">
      <w:pPr>
        <w:spacing w:after="120" w:line="240" w:lineRule="auto"/>
        <w:rPr>
          <w:rFonts w:ascii="Times New Roman" w:hAnsi="Times New Roman" w:cs="Times New Roman"/>
          <w:color w:val="000000" w:themeColor="text1"/>
          <w:sz w:val="24"/>
          <w:szCs w:val="24"/>
        </w:rPr>
      </w:pPr>
      <w:r w:rsidRPr="001C4628">
        <w:rPr>
          <w:rFonts w:ascii="Times New Roman" w:hAnsi="Times New Roman" w:cs="Times New Roman"/>
          <w:color w:val="000000" w:themeColor="text1"/>
          <w:sz w:val="24"/>
          <w:szCs w:val="24"/>
        </w:rPr>
        <w:tab/>
      </w:r>
    </w:p>
    <w:p w:rsidR="005020AA" w:rsidRDefault="00F017CC" w:rsidP="002551F1">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 xml:space="preserve">A mesma metodologia é utilizada para as taxas de ocupação e participação, a fim de mensurar o Bônus Demográfico sobre todas as variáveis correspondentes ao número de contribuintes. Com tais informações, é possível </w:t>
      </w:r>
      <w:r w:rsidR="004D6A01" w:rsidRPr="001C4628">
        <w:rPr>
          <w:rFonts w:ascii="Times New Roman" w:eastAsiaTheme="minorEastAsia" w:hAnsi="Times New Roman" w:cs="Times New Roman"/>
          <w:sz w:val="24"/>
          <w:szCs w:val="24"/>
        </w:rPr>
        <w:t>simular</w:t>
      </w:r>
      <w:r w:rsidRPr="001C4628">
        <w:rPr>
          <w:rFonts w:ascii="Times New Roman" w:eastAsiaTheme="minorEastAsia" w:hAnsi="Times New Roman" w:cs="Times New Roman"/>
          <w:sz w:val="24"/>
          <w:szCs w:val="24"/>
        </w:rPr>
        <w:t xml:space="preserve"> qual seria sua variação entre 2002 e 2012 sem a elevação do PIA ou a mudança na estrutura </w:t>
      </w:r>
      <w:r w:rsidR="007B2226">
        <w:rPr>
          <w:rFonts w:ascii="Times New Roman" w:eastAsiaTheme="minorEastAsia" w:hAnsi="Times New Roman" w:cs="Times New Roman"/>
          <w:sz w:val="24"/>
          <w:szCs w:val="24"/>
        </w:rPr>
        <w:t>etária do Mercado de Trabalho.</w:t>
      </w:r>
    </w:p>
    <w:p w:rsidR="00DF581A" w:rsidRPr="001C4628" w:rsidRDefault="00DF581A" w:rsidP="002551F1">
      <w:pPr>
        <w:rPr>
          <w:rFonts w:ascii="Times New Roman" w:eastAsiaTheme="minorEastAsia" w:hAnsi="Times New Roman" w:cs="Times New Roman"/>
          <w:sz w:val="24"/>
          <w:szCs w:val="24"/>
        </w:rPr>
      </w:pPr>
    </w:p>
    <w:p w:rsidR="00390C16" w:rsidRDefault="00390C16" w:rsidP="001C323C">
      <w:pPr>
        <w:pStyle w:val="PargrafodaLista"/>
        <w:numPr>
          <w:ilvl w:val="0"/>
          <w:numId w:val="3"/>
        </w:numPr>
        <w:rPr>
          <w:rFonts w:ascii="Times New Roman" w:eastAsiaTheme="minorEastAsia" w:hAnsi="Times New Roman"/>
          <w:sz w:val="24"/>
          <w:szCs w:val="24"/>
        </w:rPr>
      </w:pPr>
      <w:r w:rsidRPr="001C323C">
        <w:rPr>
          <w:rFonts w:ascii="Times New Roman" w:eastAsiaTheme="minorEastAsia" w:hAnsi="Times New Roman"/>
          <w:sz w:val="24"/>
          <w:szCs w:val="24"/>
        </w:rPr>
        <w:t>Análise dos Resultados</w:t>
      </w:r>
    </w:p>
    <w:p w:rsidR="00EA7EC9" w:rsidRDefault="00AA2485" w:rsidP="00AA2485">
      <w:pPr>
        <w:tabs>
          <w:tab w:val="left" w:pos="709"/>
        </w:tabs>
        <w:rPr>
          <w:rFonts w:ascii="Times New Roman" w:eastAsiaTheme="minorEastAsia" w:hAnsi="Times New Roman"/>
          <w:sz w:val="24"/>
          <w:szCs w:val="24"/>
        </w:rPr>
      </w:pPr>
      <w:r>
        <w:rPr>
          <w:rFonts w:ascii="Times New Roman" w:eastAsiaTheme="minorEastAsia" w:hAnsi="Times New Roman"/>
          <w:sz w:val="24"/>
          <w:szCs w:val="24"/>
        </w:rPr>
        <w:tab/>
      </w:r>
      <w:r w:rsidR="00EA7EC9">
        <w:rPr>
          <w:rFonts w:ascii="Times New Roman" w:eastAsiaTheme="minorEastAsia" w:hAnsi="Times New Roman"/>
          <w:sz w:val="24"/>
          <w:szCs w:val="24"/>
        </w:rPr>
        <w:t>Como visto anteriormente, a razão entre a arrecadação e a despesa do INSS passou de 80% para 96,1% entre 2002 e 2012, mostrando uma variação positiva de sua saúde financeira. O Gráfico 8 ilustra a trajetória das variáveis que formam a identidade da razão anterior, mostrando que, enquanto a alíquota</w:t>
      </w:r>
      <w:r w:rsidR="008417E8">
        <w:rPr>
          <w:rFonts w:ascii="Times New Roman" w:eastAsiaTheme="minorEastAsia" w:hAnsi="Times New Roman"/>
          <w:sz w:val="24"/>
          <w:szCs w:val="24"/>
        </w:rPr>
        <w:t xml:space="preserve"> média</w:t>
      </w:r>
      <w:r w:rsidR="00EA7EC9">
        <w:rPr>
          <w:rFonts w:ascii="Times New Roman" w:eastAsiaTheme="minorEastAsia" w:hAnsi="Times New Roman"/>
          <w:sz w:val="24"/>
          <w:szCs w:val="24"/>
        </w:rPr>
        <w:t xml:space="preserve"> da Previdência permaneceu constante, e a razão do Salário Médio sobre o Benefício Médio sofreu uma pequena redução, a razão de Contribuintes sobre Beneficiários se elevou substancialmente, sendo integralmente responsável pela melhoria da Saúde Financeira do INSS.</w:t>
      </w:r>
    </w:p>
    <w:p w:rsidR="00EA7EC9" w:rsidRDefault="008417E8" w:rsidP="00EA7EC9">
      <w:pPr>
        <w:rPr>
          <w:rFonts w:ascii="Times New Roman" w:eastAsiaTheme="minorEastAsia" w:hAnsi="Times New Roman"/>
          <w:sz w:val="24"/>
          <w:szCs w:val="24"/>
        </w:rPr>
      </w:pPr>
      <w:r>
        <w:rPr>
          <w:noProof/>
          <w:lang w:eastAsia="pt-BR"/>
        </w:rPr>
        <w:lastRenderedPageBreak/>
        <w:drawing>
          <wp:inline distT="0" distB="0" distL="0" distR="0">
            <wp:extent cx="5400675" cy="394335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A7EC9" w:rsidRPr="00EA7EC9" w:rsidRDefault="00EA7EC9" w:rsidP="00EA7EC9">
      <w:pPr>
        <w:rPr>
          <w:rFonts w:ascii="Times New Roman" w:eastAsiaTheme="minorEastAsia" w:hAnsi="Times New Roman"/>
          <w:sz w:val="24"/>
          <w:szCs w:val="24"/>
        </w:rPr>
      </w:pPr>
      <w:r>
        <w:rPr>
          <w:rFonts w:ascii="Times New Roman" w:eastAsiaTheme="minorEastAsia" w:hAnsi="Times New Roman"/>
          <w:sz w:val="24"/>
          <w:szCs w:val="24"/>
        </w:rPr>
        <w:t>Fonte: Dataprev; PNAD; Elaboração própria</w:t>
      </w:r>
    </w:p>
    <w:p w:rsidR="00390C16" w:rsidRDefault="00390C16" w:rsidP="00390C16">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ab/>
        <w:t xml:space="preserve">Aplicada metodologia </w:t>
      </w:r>
      <w:r w:rsidR="00EA7EC9">
        <w:rPr>
          <w:rFonts w:ascii="Times New Roman" w:eastAsiaTheme="minorEastAsia" w:hAnsi="Times New Roman" w:cs="Times New Roman"/>
          <w:sz w:val="24"/>
          <w:szCs w:val="24"/>
        </w:rPr>
        <w:t xml:space="preserve">de decomposição do número de contribuintes </w:t>
      </w:r>
      <w:r w:rsidRPr="001C4628">
        <w:rPr>
          <w:rFonts w:ascii="Times New Roman" w:eastAsiaTheme="minorEastAsia" w:hAnsi="Times New Roman" w:cs="Times New Roman"/>
          <w:sz w:val="24"/>
          <w:szCs w:val="24"/>
        </w:rPr>
        <w:t xml:space="preserve">sobre os dados na PNAD, as tabelas </w:t>
      </w:r>
      <w:r w:rsidR="00471841" w:rsidRPr="001C4628">
        <w:rPr>
          <w:rFonts w:ascii="Times New Roman" w:eastAsiaTheme="minorEastAsia" w:hAnsi="Times New Roman" w:cs="Times New Roman"/>
          <w:sz w:val="24"/>
          <w:szCs w:val="24"/>
        </w:rPr>
        <w:t>2 e 3</w:t>
      </w:r>
      <w:r w:rsidRPr="001C4628">
        <w:rPr>
          <w:rFonts w:ascii="Times New Roman" w:eastAsiaTheme="minorEastAsia" w:hAnsi="Times New Roman" w:cs="Times New Roman"/>
          <w:sz w:val="24"/>
          <w:szCs w:val="24"/>
        </w:rPr>
        <w:t xml:space="preserve"> evidenciam, respectivamente, a composição e a participação de cada fator no crescimento ano a ano e total do número </w:t>
      </w:r>
      <w:r w:rsidR="00EA7EC9">
        <w:rPr>
          <w:rFonts w:ascii="Times New Roman" w:eastAsiaTheme="minorEastAsia" w:hAnsi="Times New Roman" w:cs="Times New Roman"/>
          <w:sz w:val="24"/>
          <w:szCs w:val="24"/>
        </w:rPr>
        <w:t>dessa variável</w:t>
      </w:r>
      <w:r w:rsidRPr="001C4628">
        <w:rPr>
          <w:rFonts w:ascii="Times New Roman" w:eastAsiaTheme="minorEastAsia" w:hAnsi="Times New Roman" w:cs="Times New Roman"/>
          <w:sz w:val="24"/>
          <w:szCs w:val="24"/>
        </w:rPr>
        <w:t xml:space="preserve">. Uma análise preliminar permite duas conclusões: 1- O crescimento da População em Idade Ativa </w:t>
      </w:r>
      <w:r w:rsidR="001C4628" w:rsidRPr="001C4628">
        <w:rPr>
          <w:rFonts w:ascii="Times New Roman" w:eastAsiaTheme="minorEastAsia" w:hAnsi="Times New Roman" w:cs="Times New Roman"/>
          <w:sz w:val="24"/>
          <w:szCs w:val="24"/>
        </w:rPr>
        <w:t>explica cerca de 25% da</w:t>
      </w:r>
      <w:r w:rsidRPr="001C4628">
        <w:rPr>
          <w:rFonts w:ascii="Times New Roman" w:eastAsiaTheme="minorEastAsia" w:hAnsi="Times New Roman" w:cs="Times New Roman"/>
          <w:sz w:val="24"/>
          <w:szCs w:val="24"/>
        </w:rPr>
        <w:t xml:space="preserve"> variação regist</w:t>
      </w:r>
      <w:r w:rsidR="000C7C07" w:rsidRPr="001C4628">
        <w:rPr>
          <w:rFonts w:ascii="Times New Roman" w:eastAsiaTheme="minorEastAsia" w:hAnsi="Times New Roman" w:cs="Times New Roman"/>
          <w:sz w:val="24"/>
          <w:szCs w:val="24"/>
        </w:rPr>
        <w:t>rada do número de contribuintes;</w:t>
      </w:r>
      <w:r w:rsidRPr="001C4628">
        <w:rPr>
          <w:rFonts w:ascii="Times New Roman" w:eastAsiaTheme="minorEastAsia" w:hAnsi="Times New Roman" w:cs="Times New Roman"/>
          <w:sz w:val="24"/>
          <w:szCs w:val="24"/>
        </w:rPr>
        <w:t xml:space="preserve"> 2- Conforme se reduz sua taxa de crescimento, a PIA perde abruptamente participação do crescimento de Contribuintes, passando de mais de 40% no biênio 2003-2004 para menos de 15% em 2012 – ano no qual cresceu apenas 0,5%, enquanto a variação de contribuintes foi de 3,4%. </w:t>
      </w:r>
    </w:p>
    <w:p w:rsidR="00DF581A" w:rsidRPr="001C4628" w:rsidRDefault="00DF581A" w:rsidP="00390C16">
      <w:pPr>
        <w:rPr>
          <w:rFonts w:ascii="Times New Roman" w:eastAsiaTheme="minorEastAsia" w:hAnsi="Times New Roman" w:cs="Times New Roman"/>
          <w:sz w:val="24"/>
          <w:szCs w:val="24"/>
        </w:rPr>
      </w:pPr>
    </w:p>
    <w:p w:rsidR="00390C16" w:rsidRPr="001C4628" w:rsidRDefault="00390C16" w:rsidP="00390C16">
      <w:pPr>
        <w:rPr>
          <w:rFonts w:ascii="Times New Roman" w:eastAsiaTheme="minorEastAsia" w:hAnsi="Times New Roman" w:cs="Times New Roman"/>
          <w:b/>
          <w:sz w:val="24"/>
          <w:szCs w:val="24"/>
        </w:rPr>
      </w:pPr>
      <w:r w:rsidRPr="001C4628">
        <w:rPr>
          <w:rFonts w:ascii="Times New Roman" w:eastAsiaTheme="minorEastAsia" w:hAnsi="Times New Roman" w:cs="Times New Roman"/>
          <w:b/>
          <w:sz w:val="24"/>
          <w:szCs w:val="24"/>
        </w:rPr>
        <w:t xml:space="preserve">Tabela </w:t>
      </w:r>
      <w:r w:rsidR="00673318" w:rsidRPr="001C4628">
        <w:rPr>
          <w:rFonts w:ascii="Times New Roman" w:eastAsiaTheme="minorEastAsia" w:hAnsi="Times New Roman" w:cs="Times New Roman"/>
          <w:b/>
          <w:sz w:val="24"/>
          <w:szCs w:val="24"/>
        </w:rPr>
        <w:t>2</w:t>
      </w:r>
      <w:r w:rsidRPr="001C4628">
        <w:rPr>
          <w:rFonts w:ascii="Times New Roman" w:eastAsiaTheme="minorEastAsia" w:hAnsi="Times New Roman" w:cs="Times New Roman"/>
          <w:b/>
          <w:sz w:val="24"/>
          <w:szCs w:val="24"/>
        </w:rPr>
        <w:t xml:space="preserve">: Taxas de Crescimento das Variáveis Selecionadas </w:t>
      </w:r>
    </w:p>
    <w:tbl>
      <w:tblPr>
        <w:tblStyle w:val="SombreamentoClaro1"/>
        <w:tblW w:w="7231" w:type="dxa"/>
        <w:tblLook w:val="04A0"/>
      </w:tblPr>
      <w:tblGrid>
        <w:gridCol w:w="1509"/>
        <w:gridCol w:w="1536"/>
        <w:gridCol w:w="1243"/>
        <w:gridCol w:w="1509"/>
        <w:gridCol w:w="960"/>
        <w:gridCol w:w="1643"/>
      </w:tblGrid>
      <w:tr w:rsidR="00390C16" w:rsidRPr="001C4628" w:rsidTr="00AA38C6">
        <w:trPr>
          <w:cnfStyle w:val="100000000000"/>
          <w:trHeight w:val="579"/>
        </w:trPr>
        <w:tc>
          <w:tcPr>
            <w:cnfStyle w:val="001000000000"/>
            <w:tcW w:w="1320" w:type="dxa"/>
            <w:hideMark/>
          </w:tcPr>
          <w:p w:rsidR="00390C16" w:rsidRPr="001C4628" w:rsidRDefault="00390C16" w:rsidP="00AA38C6">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Taxa de Crescimento</w:t>
            </w:r>
          </w:p>
        </w:tc>
        <w:tc>
          <w:tcPr>
            <w:tcW w:w="1262" w:type="dxa"/>
            <w:hideMark/>
          </w:tcPr>
          <w:p w:rsidR="00390C16" w:rsidRPr="001C4628" w:rsidRDefault="00390C16" w:rsidP="00AA38C6">
            <w:pP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Taxa de Formalidade</w:t>
            </w:r>
          </w:p>
        </w:tc>
        <w:tc>
          <w:tcPr>
            <w:tcW w:w="1030" w:type="dxa"/>
            <w:hideMark/>
          </w:tcPr>
          <w:p w:rsidR="00390C16" w:rsidRPr="001C4628" w:rsidRDefault="00390C16" w:rsidP="00AA38C6">
            <w:pP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Taxa de Ocupação</w:t>
            </w:r>
          </w:p>
        </w:tc>
        <w:tc>
          <w:tcPr>
            <w:tcW w:w="1239" w:type="dxa"/>
            <w:hideMark/>
          </w:tcPr>
          <w:p w:rsidR="00390C16" w:rsidRPr="001C4628" w:rsidRDefault="00390C16" w:rsidP="00AA38C6">
            <w:pP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Taxa de Participação</w:t>
            </w:r>
          </w:p>
        </w:tc>
        <w:tc>
          <w:tcPr>
            <w:tcW w:w="960" w:type="dxa"/>
            <w:noWrap/>
            <w:hideMark/>
          </w:tcPr>
          <w:p w:rsidR="00390C16" w:rsidRPr="001C4628" w:rsidRDefault="00390C16" w:rsidP="00AA38C6">
            <w:pP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PIA</w:t>
            </w:r>
          </w:p>
        </w:tc>
        <w:tc>
          <w:tcPr>
            <w:tcW w:w="1420" w:type="dxa"/>
            <w:noWrap/>
            <w:hideMark/>
          </w:tcPr>
          <w:p w:rsidR="00390C16" w:rsidRPr="001C4628" w:rsidRDefault="00390C16" w:rsidP="00AA38C6">
            <w:pP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Contribuintes</w:t>
            </w:r>
          </w:p>
        </w:tc>
      </w:tr>
      <w:tr w:rsidR="00390C16" w:rsidRPr="001C4628" w:rsidTr="00AA38C6">
        <w:trPr>
          <w:cnfStyle w:val="000000100000"/>
          <w:trHeight w:val="422"/>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2003</w:t>
            </w:r>
          </w:p>
        </w:tc>
        <w:tc>
          <w:tcPr>
            <w:tcW w:w="1262"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2,6%</w:t>
            </w:r>
          </w:p>
        </w:tc>
        <w:tc>
          <w:tcPr>
            <w:tcW w:w="103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-0,6%</w:t>
            </w:r>
          </w:p>
        </w:tc>
        <w:tc>
          <w:tcPr>
            <w:tcW w:w="1239"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0,3%</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1,7%</w:t>
            </w:r>
          </w:p>
        </w:tc>
        <w:tc>
          <w:tcPr>
            <w:tcW w:w="1420" w:type="dxa"/>
            <w:noWrap/>
            <w:hideMark/>
          </w:tcPr>
          <w:p w:rsidR="00390C16" w:rsidRPr="001C4628" w:rsidRDefault="00390C16" w:rsidP="000C7C07">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4,0%</w:t>
            </w:r>
          </w:p>
        </w:tc>
      </w:tr>
      <w:tr w:rsidR="00390C16" w:rsidRPr="001C4628" w:rsidTr="00AA38C6">
        <w:trPr>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2004</w:t>
            </w:r>
          </w:p>
        </w:tc>
        <w:tc>
          <w:tcPr>
            <w:tcW w:w="1262"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0,1%</w:t>
            </w:r>
          </w:p>
        </w:tc>
        <w:tc>
          <w:tcPr>
            <w:tcW w:w="103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0,9%</w:t>
            </w:r>
          </w:p>
        </w:tc>
        <w:tc>
          <w:tcPr>
            <w:tcW w:w="1239"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w:t>
            </w:r>
          </w:p>
        </w:tc>
        <w:tc>
          <w:tcPr>
            <w:tcW w:w="9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1,7%</w:t>
            </w:r>
          </w:p>
        </w:tc>
        <w:tc>
          <w:tcPr>
            <w:tcW w:w="1420" w:type="dxa"/>
            <w:noWrap/>
            <w:hideMark/>
          </w:tcPr>
          <w:p w:rsidR="00390C16" w:rsidRPr="001C4628" w:rsidRDefault="00390C16" w:rsidP="000C7C07">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3,9%</w:t>
            </w:r>
          </w:p>
        </w:tc>
      </w:tr>
      <w:tr w:rsidR="00390C16" w:rsidRPr="001C4628" w:rsidTr="00AA38C6">
        <w:trPr>
          <w:cnfStyle w:val="000000100000"/>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2005</w:t>
            </w:r>
          </w:p>
        </w:tc>
        <w:tc>
          <w:tcPr>
            <w:tcW w:w="1262"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1,8%</w:t>
            </w:r>
          </w:p>
        </w:tc>
        <w:tc>
          <w:tcPr>
            <w:tcW w:w="103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-0,5%</w:t>
            </w:r>
          </w:p>
        </w:tc>
        <w:tc>
          <w:tcPr>
            <w:tcW w:w="1239"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1,6%</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1,7%</w:t>
            </w:r>
          </w:p>
        </w:tc>
        <w:tc>
          <w:tcPr>
            <w:tcW w:w="1420" w:type="dxa"/>
            <w:noWrap/>
            <w:hideMark/>
          </w:tcPr>
          <w:p w:rsidR="00390C16" w:rsidRPr="001C4628" w:rsidRDefault="00390C16" w:rsidP="000C7C07">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4,7%</w:t>
            </w:r>
          </w:p>
        </w:tc>
      </w:tr>
      <w:tr w:rsidR="00390C16" w:rsidRPr="001C4628" w:rsidTr="00AA38C6">
        <w:trPr>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2006</w:t>
            </w:r>
          </w:p>
        </w:tc>
        <w:tc>
          <w:tcPr>
            <w:tcW w:w="1262"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2,8%</w:t>
            </w:r>
          </w:p>
        </w:tc>
        <w:tc>
          <w:tcPr>
            <w:tcW w:w="103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w:t>
            </w:r>
          </w:p>
        </w:tc>
        <w:tc>
          <w:tcPr>
            <w:tcW w:w="1239"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-0,5%</w:t>
            </w:r>
          </w:p>
        </w:tc>
        <w:tc>
          <w:tcPr>
            <w:tcW w:w="9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1,7%</w:t>
            </w:r>
          </w:p>
        </w:tc>
        <w:tc>
          <w:tcPr>
            <w:tcW w:w="1420" w:type="dxa"/>
            <w:noWrap/>
            <w:hideMark/>
          </w:tcPr>
          <w:p w:rsidR="00390C16" w:rsidRPr="001C4628" w:rsidRDefault="00390C16" w:rsidP="000C7C07">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5,2%</w:t>
            </w:r>
          </w:p>
        </w:tc>
      </w:tr>
      <w:tr w:rsidR="00390C16" w:rsidRPr="001C4628" w:rsidTr="00AA38C6">
        <w:trPr>
          <w:cnfStyle w:val="000000100000"/>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2007</w:t>
            </w:r>
          </w:p>
        </w:tc>
        <w:tc>
          <w:tcPr>
            <w:tcW w:w="1262"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3,9%</w:t>
            </w:r>
          </w:p>
        </w:tc>
        <w:tc>
          <w:tcPr>
            <w:tcW w:w="103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0,3%</w:t>
            </w:r>
          </w:p>
        </w:tc>
        <w:tc>
          <w:tcPr>
            <w:tcW w:w="1239"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-0,4%</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1,4%</w:t>
            </w:r>
          </w:p>
        </w:tc>
        <w:tc>
          <w:tcPr>
            <w:tcW w:w="1420" w:type="dxa"/>
            <w:noWrap/>
            <w:hideMark/>
          </w:tcPr>
          <w:p w:rsidR="00390C16" w:rsidRPr="001C4628" w:rsidRDefault="00390C16" w:rsidP="000C7C07">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5,3%</w:t>
            </w:r>
          </w:p>
        </w:tc>
      </w:tr>
      <w:tr w:rsidR="00390C16" w:rsidRPr="001C4628" w:rsidTr="00AA38C6">
        <w:trPr>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2008</w:t>
            </w:r>
          </w:p>
        </w:tc>
        <w:tc>
          <w:tcPr>
            <w:tcW w:w="1262"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3,0%</w:t>
            </w:r>
          </w:p>
        </w:tc>
        <w:tc>
          <w:tcPr>
            <w:tcW w:w="103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1,1%</w:t>
            </w:r>
          </w:p>
        </w:tc>
        <w:tc>
          <w:tcPr>
            <w:tcW w:w="1239"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0,3%</w:t>
            </w:r>
          </w:p>
        </w:tc>
        <w:tc>
          <w:tcPr>
            <w:tcW w:w="9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1,3%</w:t>
            </w:r>
          </w:p>
        </w:tc>
        <w:tc>
          <w:tcPr>
            <w:tcW w:w="1420" w:type="dxa"/>
            <w:noWrap/>
            <w:hideMark/>
          </w:tcPr>
          <w:p w:rsidR="00390C16" w:rsidRPr="001C4628" w:rsidRDefault="00390C16" w:rsidP="000C7C07">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5,9%</w:t>
            </w:r>
          </w:p>
        </w:tc>
      </w:tr>
      <w:tr w:rsidR="00390C16" w:rsidRPr="001C4628" w:rsidTr="00AA38C6">
        <w:trPr>
          <w:cnfStyle w:val="000000100000"/>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2009</w:t>
            </w:r>
          </w:p>
        </w:tc>
        <w:tc>
          <w:tcPr>
            <w:tcW w:w="1262"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2,7%</w:t>
            </w:r>
          </w:p>
        </w:tc>
        <w:tc>
          <w:tcPr>
            <w:tcW w:w="103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-1,3%</w:t>
            </w:r>
          </w:p>
        </w:tc>
        <w:tc>
          <w:tcPr>
            <w:tcW w:w="1239"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0,4%</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1,1%</w:t>
            </w:r>
          </w:p>
        </w:tc>
        <w:tc>
          <w:tcPr>
            <w:tcW w:w="1420" w:type="dxa"/>
            <w:noWrap/>
            <w:hideMark/>
          </w:tcPr>
          <w:p w:rsidR="00390C16" w:rsidRPr="001C4628" w:rsidRDefault="00390C16" w:rsidP="000C7C07">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3,1%</w:t>
            </w:r>
          </w:p>
        </w:tc>
      </w:tr>
      <w:tr w:rsidR="00390C16" w:rsidRPr="001C4628" w:rsidTr="00AA38C6">
        <w:trPr>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lastRenderedPageBreak/>
              <w:t>2010</w:t>
            </w:r>
          </w:p>
        </w:tc>
        <w:tc>
          <w:tcPr>
            <w:tcW w:w="1262"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4,5%</w:t>
            </w:r>
          </w:p>
        </w:tc>
        <w:tc>
          <w:tcPr>
            <w:tcW w:w="103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0,9%</w:t>
            </w:r>
          </w:p>
        </w:tc>
        <w:tc>
          <w:tcPr>
            <w:tcW w:w="1239"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-1,5%</w:t>
            </w:r>
          </w:p>
        </w:tc>
        <w:tc>
          <w:tcPr>
            <w:tcW w:w="9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1,1%</w:t>
            </w:r>
          </w:p>
        </w:tc>
        <w:tc>
          <w:tcPr>
            <w:tcW w:w="1420" w:type="dxa"/>
            <w:noWrap/>
            <w:hideMark/>
          </w:tcPr>
          <w:p w:rsidR="00390C16" w:rsidRPr="001C4628" w:rsidRDefault="00390C16" w:rsidP="000C7C07">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5,0%</w:t>
            </w:r>
          </w:p>
        </w:tc>
      </w:tr>
      <w:tr w:rsidR="00390C16" w:rsidRPr="001C4628" w:rsidTr="00AA38C6">
        <w:trPr>
          <w:cnfStyle w:val="000000100000"/>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2011</w:t>
            </w:r>
          </w:p>
        </w:tc>
        <w:tc>
          <w:tcPr>
            <w:tcW w:w="1262"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4,5%</w:t>
            </w:r>
          </w:p>
        </w:tc>
        <w:tc>
          <w:tcPr>
            <w:tcW w:w="103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0,9%</w:t>
            </w:r>
          </w:p>
        </w:tc>
        <w:tc>
          <w:tcPr>
            <w:tcW w:w="1239"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-1,5%</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1,1%</w:t>
            </w:r>
          </w:p>
        </w:tc>
        <w:tc>
          <w:tcPr>
            <w:tcW w:w="1420" w:type="dxa"/>
            <w:noWrap/>
            <w:hideMark/>
          </w:tcPr>
          <w:p w:rsidR="00390C16" w:rsidRPr="001C4628" w:rsidRDefault="00390C16" w:rsidP="000C7C07">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5,0%</w:t>
            </w:r>
          </w:p>
        </w:tc>
      </w:tr>
      <w:tr w:rsidR="00390C16" w:rsidRPr="001C4628" w:rsidTr="00AA38C6">
        <w:trPr>
          <w:trHeight w:val="384"/>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2012</w:t>
            </w:r>
          </w:p>
        </w:tc>
        <w:tc>
          <w:tcPr>
            <w:tcW w:w="1262"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2,1%</w:t>
            </w:r>
          </w:p>
        </w:tc>
        <w:tc>
          <w:tcPr>
            <w:tcW w:w="103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0,5%</w:t>
            </w:r>
          </w:p>
        </w:tc>
        <w:tc>
          <w:tcPr>
            <w:tcW w:w="1239"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0,3%</w:t>
            </w:r>
          </w:p>
        </w:tc>
        <w:tc>
          <w:tcPr>
            <w:tcW w:w="9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0,5%</w:t>
            </w:r>
          </w:p>
        </w:tc>
        <w:tc>
          <w:tcPr>
            <w:tcW w:w="1420" w:type="dxa"/>
            <w:noWrap/>
            <w:hideMark/>
          </w:tcPr>
          <w:p w:rsidR="00390C16" w:rsidRPr="001C4628" w:rsidRDefault="00390C16" w:rsidP="000C7C07">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3,4%</w:t>
            </w:r>
          </w:p>
        </w:tc>
      </w:tr>
      <w:tr w:rsidR="00390C16" w:rsidRPr="001C4628" w:rsidTr="00AA38C6">
        <w:trPr>
          <w:cnfStyle w:val="000000100000"/>
          <w:trHeight w:val="70"/>
        </w:trPr>
        <w:tc>
          <w:tcPr>
            <w:cnfStyle w:val="001000000000"/>
            <w:tcW w:w="1320" w:type="dxa"/>
            <w:noWrap/>
            <w:hideMark/>
          </w:tcPr>
          <w:p w:rsidR="00390C16" w:rsidRPr="001C4628" w:rsidRDefault="00390C16" w:rsidP="00AA38C6">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Total</w:t>
            </w:r>
          </w:p>
        </w:tc>
        <w:tc>
          <w:tcPr>
            <w:tcW w:w="1262"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32,3%</w:t>
            </w:r>
          </w:p>
        </w:tc>
        <w:tc>
          <w:tcPr>
            <w:tcW w:w="103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3,2%</w:t>
            </w:r>
          </w:p>
        </w:tc>
        <w:tc>
          <w:tcPr>
            <w:tcW w:w="1239"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0,1%</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14,2%</w:t>
            </w:r>
          </w:p>
        </w:tc>
        <w:tc>
          <w:tcPr>
            <w:tcW w:w="142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56,0%</w:t>
            </w:r>
          </w:p>
        </w:tc>
      </w:tr>
    </w:tbl>
    <w:p w:rsidR="00390C16" w:rsidRDefault="00390C16" w:rsidP="00390C16">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PNAD; Elaboração própria</w:t>
      </w:r>
    </w:p>
    <w:p w:rsidR="00DF581A" w:rsidRPr="001C4628" w:rsidRDefault="00DF581A" w:rsidP="00390C16">
      <w:pPr>
        <w:rPr>
          <w:rFonts w:ascii="Times New Roman" w:eastAsiaTheme="minorEastAsia" w:hAnsi="Times New Roman" w:cs="Times New Roman"/>
          <w:sz w:val="24"/>
          <w:szCs w:val="24"/>
        </w:rPr>
      </w:pPr>
    </w:p>
    <w:p w:rsidR="00390C16" w:rsidRPr="001C4628" w:rsidRDefault="00673318" w:rsidP="00390C16">
      <w:pPr>
        <w:rPr>
          <w:rFonts w:ascii="Times New Roman" w:eastAsiaTheme="minorEastAsia" w:hAnsi="Times New Roman" w:cs="Times New Roman"/>
          <w:b/>
          <w:sz w:val="24"/>
          <w:szCs w:val="24"/>
        </w:rPr>
      </w:pPr>
      <w:r w:rsidRPr="001C4628">
        <w:rPr>
          <w:rFonts w:ascii="Times New Roman" w:eastAsiaTheme="minorEastAsia" w:hAnsi="Times New Roman" w:cs="Times New Roman"/>
          <w:b/>
          <w:sz w:val="24"/>
          <w:szCs w:val="24"/>
        </w:rPr>
        <w:t>Tabela 3</w:t>
      </w:r>
      <w:r w:rsidR="00390C16" w:rsidRPr="001C4628">
        <w:rPr>
          <w:rFonts w:ascii="Times New Roman" w:eastAsiaTheme="minorEastAsia" w:hAnsi="Times New Roman" w:cs="Times New Roman"/>
          <w:b/>
          <w:sz w:val="24"/>
          <w:szCs w:val="24"/>
        </w:rPr>
        <w:t>: Participação das Variáveis no Crescimento do Nº de Contribuintes</w:t>
      </w:r>
    </w:p>
    <w:tbl>
      <w:tblPr>
        <w:tblStyle w:val="SombreamentoClaro1"/>
        <w:tblW w:w="7160" w:type="dxa"/>
        <w:tblLook w:val="04A0"/>
      </w:tblPr>
      <w:tblGrid>
        <w:gridCol w:w="1509"/>
        <w:gridCol w:w="1536"/>
        <w:gridCol w:w="1243"/>
        <w:gridCol w:w="1509"/>
        <w:gridCol w:w="960"/>
        <w:gridCol w:w="1643"/>
      </w:tblGrid>
      <w:tr w:rsidR="00390C16" w:rsidRPr="001C4628" w:rsidTr="00AA38C6">
        <w:trPr>
          <w:cnfStyle w:val="100000000000"/>
          <w:trHeight w:val="900"/>
        </w:trPr>
        <w:tc>
          <w:tcPr>
            <w:cnfStyle w:val="001000000000"/>
            <w:tcW w:w="1320" w:type="dxa"/>
            <w:hideMark/>
          </w:tcPr>
          <w:p w:rsidR="00390C16" w:rsidRPr="001C4628" w:rsidRDefault="00390C16" w:rsidP="00C313E8">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Participação no Crescimento</w:t>
            </w:r>
          </w:p>
        </w:tc>
        <w:tc>
          <w:tcPr>
            <w:tcW w:w="1260" w:type="dxa"/>
            <w:hideMark/>
          </w:tcPr>
          <w:p w:rsidR="00390C16" w:rsidRPr="001C4628" w:rsidRDefault="00390C16" w:rsidP="00C313E8">
            <w:pP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Taxa de Formalidade</w:t>
            </w:r>
          </w:p>
        </w:tc>
        <w:tc>
          <w:tcPr>
            <w:tcW w:w="1000" w:type="dxa"/>
            <w:hideMark/>
          </w:tcPr>
          <w:p w:rsidR="00390C16" w:rsidRPr="001C4628" w:rsidRDefault="00390C16" w:rsidP="00C313E8">
            <w:pP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Taxa de Ocupação</w:t>
            </w:r>
          </w:p>
        </w:tc>
        <w:tc>
          <w:tcPr>
            <w:tcW w:w="1200" w:type="dxa"/>
            <w:hideMark/>
          </w:tcPr>
          <w:p w:rsidR="00390C16" w:rsidRPr="001C4628" w:rsidRDefault="00390C16" w:rsidP="00C313E8">
            <w:pP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Taxa de Participação</w:t>
            </w:r>
          </w:p>
        </w:tc>
        <w:tc>
          <w:tcPr>
            <w:tcW w:w="960" w:type="dxa"/>
            <w:noWrap/>
            <w:hideMark/>
          </w:tcPr>
          <w:p w:rsidR="00390C16" w:rsidRPr="001C4628" w:rsidRDefault="00390C16" w:rsidP="00AA38C6">
            <w:pP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PIA</w:t>
            </w:r>
          </w:p>
        </w:tc>
        <w:tc>
          <w:tcPr>
            <w:tcW w:w="1420" w:type="dxa"/>
            <w:noWrap/>
            <w:hideMark/>
          </w:tcPr>
          <w:p w:rsidR="00390C16" w:rsidRPr="001C4628" w:rsidRDefault="00390C16" w:rsidP="00AA38C6">
            <w:pP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Contribuintes</w:t>
            </w:r>
          </w:p>
        </w:tc>
      </w:tr>
      <w:tr w:rsidR="00390C16" w:rsidRPr="001C4628" w:rsidTr="00AA38C6">
        <w:trPr>
          <w:cnfStyle w:val="000000100000"/>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2003</w:t>
            </w:r>
          </w:p>
        </w:tc>
        <w:tc>
          <w:tcPr>
            <w:tcW w:w="12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65,2%</w:t>
            </w:r>
          </w:p>
        </w:tc>
        <w:tc>
          <w:tcPr>
            <w:tcW w:w="10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-16,1%</w:t>
            </w:r>
          </w:p>
        </w:tc>
        <w:tc>
          <w:tcPr>
            <w:tcW w:w="12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8,8%</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42,1%</w:t>
            </w:r>
          </w:p>
        </w:tc>
        <w:tc>
          <w:tcPr>
            <w:tcW w:w="142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w:t>
            </w:r>
          </w:p>
        </w:tc>
      </w:tr>
      <w:tr w:rsidR="00390C16" w:rsidRPr="001C4628" w:rsidTr="00AA38C6">
        <w:trPr>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2004</w:t>
            </w:r>
          </w:p>
        </w:tc>
        <w:tc>
          <w:tcPr>
            <w:tcW w:w="12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3,9%</w:t>
            </w:r>
          </w:p>
        </w:tc>
        <w:tc>
          <w:tcPr>
            <w:tcW w:w="100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24,6%</w:t>
            </w:r>
          </w:p>
        </w:tc>
        <w:tc>
          <w:tcPr>
            <w:tcW w:w="120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27,6%</w:t>
            </w:r>
          </w:p>
        </w:tc>
        <w:tc>
          <w:tcPr>
            <w:tcW w:w="9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44,0%</w:t>
            </w:r>
          </w:p>
        </w:tc>
        <w:tc>
          <w:tcPr>
            <w:tcW w:w="142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w:t>
            </w:r>
          </w:p>
        </w:tc>
      </w:tr>
      <w:tr w:rsidR="00390C16" w:rsidRPr="001C4628" w:rsidTr="00AA38C6">
        <w:trPr>
          <w:cnfStyle w:val="000000100000"/>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2005</w:t>
            </w:r>
          </w:p>
        </w:tc>
        <w:tc>
          <w:tcPr>
            <w:tcW w:w="12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39,1%</w:t>
            </w:r>
          </w:p>
        </w:tc>
        <w:tc>
          <w:tcPr>
            <w:tcW w:w="10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-9,9%</w:t>
            </w:r>
          </w:p>
        </w:tc>
        <w:tc>
          <w:tcPr>
            <w:tcW w:w="12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34,0%</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36,8%</w:t>
            </w:r>
          </w:p>
        </w:tc>
        <w:tc>
          <w:tcPr>
            <w:tcW w:w="142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w:t>
            </w:r>
          </w:p>
        </w:tc>
      </w:tr>
      <w:tr w:rsidR="00390C16" w:rsidRPr="001C4628" w:rsidTr="00AA38C6">
        <w:trPr>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2006</w:t>
            </w:r>
          </w:p>
        </w:tc>
        <w:tc>
          <w:tcPr>
            <w:tcW w:w="12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56,2%</w:t>
            </w:r>
          </w:p>
        </w:tc>
        <w:tc>
          <w:tcPr>
            <w:tcW w:w="100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19,4%</w:t>
            </w:r>
          </w:p>
        </w:tc>
        <w:tc>
          <w:tcPr>
            <w:tcW w:w="120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-9,7%</w:t>
            </w:r>
          </w:p>
        </w:tc>
        <w:tc>
          <w:tcPr>
            <w:tcW w:w="9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34,1%</w:t>
            </w:r>
          </w:p>
        </w:tc>
        <w:tc>
          <w:tcPr>
            <w:tcW w:w="142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w:t>
            </w:r>
          </w:p>
        </w:tc>
      </w:tr>
      <w:tr w:rsidR="00390C16" w:rsidRPr="001C4628" w:rsidTr="00AA38C6">
        <w:trPr>
          <w:cnfStyle w:val="000000100000"/>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2007</w:t>
            </w:r>
          </w:p>
        </w:tc>
        <w:tc>
          <w:tcPr>
            <w:tcW w:w="12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74,9%</w:t>
            </w:r>
          </w:p>
        </w:tc>
        <w:tc>
          <w:tcPr>
            <w:tcW w:w="10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5,7%</w:t>
            </w:r>
          </w:p>
        </w:tc>
        <w:tc>
          <w:tcPr>
            <w:tcW w:w="12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-8,4%</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27,8%</w:t>
            </w:r>
          </w:p>
        </w:tc>
        <w:tc>
          <w:tcPr>
            <w:tcW w:w="142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w:t>
            </w:r>
          </w:p>
        </w:tc>
      </w:tr>
      <w:tr w:rsidR="00390C16" w:rsidRPr="001C4628" w:rsidTr="00AA38C6">
        <w:trPr>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2008</w:t>
            </w:r>
          </w:p>
        </w:tc>
        <w:tc>
          <w:tcPr>
            <w:tcW w:w="12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52,4%</w:t>
            </w:r>
          </w:p>
        </w:tc>
        <w:tc>
          <w:tcPr>
            <w:tcW w:w="100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19,1%</w:t>
            </w:r>
          </w:p>
        </w:tc>
        <w:tc>
          <w:tcPr>
            <w:tcW w:w="120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6,1%</w:t>
            </w:r>
          </w:p>
        </w:tc>
        <w:tc>
          <w:tcPr>
            <w:tcW w:w="9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22,4%</w:t>
            </w:r>
          </w:p>
        </w:tc>
        <w:tc>
          <w:tcPr>
            <w:tcW w:w="142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w:t>
            </w:r>
          </w:p>
        </w:tc>
      </w:tr>
      <w:tr w:rsidR="00390C16" w:rsidRPr="001C4628" w:rsidTr="00AA38C6">
        <w:trPr>
          <w:cnfStyle w:val="000000100000"/>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2009</w:t>
            </w:r>
          </w:p>
        </w:tc>
        <w:tc>
          <w:tcPr>
            <w:tcW w:w="12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90,0%</w:t>
            </w:r>
          </w:p>
        </w:tc>
        <w:tc>
          <w:tcPr>
            <w:tcW w:w="10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-42,2%</w:t>
            </w:r>
          </w:p>
        </w:tc>
        <w:tc>
          <w:tcPr>
            <w:tcW w:w="12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14,7%</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37,5%</w:t>
            </w:r>
          </w:p>
        </w:tc>
        <w:tc>
          <w:tcPr>
            <w:tcW w:w="142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w:t>
            </w:r>
          </w:p>
        </w:tc>
      </w:tr>
      <w:tr w:rsidR="00390C16" w:rsidRPr="001C4628" w:rsidTr="00AA38C6">
        <w:trPr>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2010</w:t>
            </w:r>
          </w:p>
        </w:tc>
        <w:tc>
          <w:tcPr>
            <w:tcW w:w="12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91,2%</w:t>
            </w:r>
          </w:p>
        </w:tc>
        <w:tc>
          <w:tcPr>
            <w:tcW w:w="100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17,4%</w:t>
            </w:r>
          </w:p>
        </w:tc>
        <w:tc>
          <w:tcPr>
            <w:tcW w:w="120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-30,6%</w:t>
            </w:r>
          </w:p>
        </w:tc>
        <w:tc>
          <w:tcPr>
            <w:tcW w:w="9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22,0%</w:t>
            </w:r>
          </w:p>
        </w:tc>
        <w:tc>
          <w:tcPr>
            <w:tcW w:w="142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w:t>
            </w:r>
          </w:p>
        </w:tc>
      </w:tr>
      <w:tr w:rsidR="00390C16" w:rsidRPr="001C4628" w:rsidTr="00AA38C6">
        <w:trPr>
          <w:cnfStyle w:val="000000100000"/>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2011</w:t>
            </w:r>
          </w:p>
        </w:tc>
        <w:tc>
          <w:tcPr>
            <w:tcW w:w="12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91,2%</w:t>
            </w:r>
          </w:p>
        </w:tc>
        <w:tc>
          <w:tcPr>
            <w:tcW w:w="10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17,4%</w:t>
            </w:r>
          </w:p>
        </w:tc>
        <w:tc>
          <w:tcPr>
            <w:tcW w:w="12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-30,6%</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22,0%</w:t>
            </w:r>
          </w:p>
        </w:tc>
        <w:tc>
          <w:tcPr>
            <w:tcW w:w="142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w:t>
            </w:r>
          </w:p>
        </w:tc>
      </w:tr>
      <w:tr w:rsidR="00390C16" w:rsidRPr="001C4628" w:rsidTr="00AA38C6">
        <w:trPr>
          <w:trHeight w:val="300"/>
        </w:trPr>
        <w:tc>
          <w:tcPr>
            <w:cnfStyle w:val="001000000000"/>
            <w:tcW w:w="1320" w:type="dxa"/>
            <w:noWrap/>
            <w:hideMark/>
          </w:tcPr>
          <w:p w:rsidR="00390C16" w:rsidRPr="001C4628" w:rsidRDefault="00390C16" w:rsidP="00AA38C6">
            <w:pPr>
              <w:jc w:val="right"/>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2012</w:t>
            </w:r>
          </w:p>
        </w:tc>
        <w:tc>
          <w:tcPr>
            <w:tcW w:w="12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61,6%</w:t>
            </w:r>
          </w:p>
        </w:tc>
        <w:tc>
          <w:tcPr>
            <w:tcW w:w="100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16,2%</w:t>
            </w:r>
          </w:p>
        </w:tc>
        <w:tc>
          <w:tcPr>
            <w:tcW w:w="120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7,9%</w:t>
            </w:r>
          </w:p>
        </w:tc>
        <w:tc>
          <w:tcPr>
            <w:tcW w:w="96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14,4%</w:t>
            </w:r>
          </w:p>
        </w:tc>
        <w:tc>
          <w:tcPr>
            <w:tcW w:w="1420" w:type="dxa"/>
            <w:noWrap/>
            <w:hideMark/>
          </w:tcPr>
          <w:p w:rsidR="00390C16" w:rsidRPr="001C4628" w:rsidRDefault="00390C16" w:rsidP="000C7C07">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w:t>
            </w:r>
          </w:p>
        </w:tc>
      </w:tr>
      <w:tr w:rsidR="00390C16" w:rsidRPr="001C4628" w:rsidTr="00AA38C6">
        <w:trPr>
          <w:cnfStyle w:val="000000100000"/>
          <w:trHeight w:val="300"/>
        </w:trPr>
        <w:tc>
          <w:tcPr>
            <w:cnfStyle w:val="001000000000"/>
            <w:tcW w:w="1320" w:type="dxa"/>
            <w:noWrap/>
            <w:hideMark/>
          </w:tcPr>
          <w:p w:rsidR="00390C16" w:rsidRPr="001C4628" w:rsidRDefault="00390C16" w:rsidP="00AA38C6">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Total</w:t>
            </w:r>
          </w:p>
        </w:tc>
        <w:tc>
          <w:tcPr>
            <w:tcW w:w="12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57,7%</w:t>
            </w:r>
          </w:p>
        </w:tc>
        <w:tc>
          <w:tcPr>
            <w:tcW w:w="10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5,8%</w:t>
            </w:r>
          </w:p>
        </w:tc>
        <w:tc>
          <w:tcPr>
            <w:tcW w:w="120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0,1%</w:t>
            </w:r>
          </w:p>
        </w:tc>
        <w:tc>
          <w:tcPr>
            <w:tcW w:w="96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25,3%</w:t>
            </w:r>
          </w:p>
        </w:tc>
        <w:tc>
          <w:tcPr>
            <w:tcW w:w="1420" w:type="dxa"/>
            <w:noWrap/>
            <w:hideMark/>
          </w:tcPr>
          <w:p w:rsidR="00390C16" w:rsidRPr="001C4628" w:rsidRDefault="00390C16" w:rsidP="000C7C07">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100,0%</w:t>
            </w:r>
          </w:p>
        </w:tc>
      </w:tr>
    </w:tbl>
    <w:p w:rsidR="006D66D1" w:rsidRPr="001C4628" w:rsidRDefault="00390C16" w:rsidP="009F2CA7">
      <w:pPr>
        <w:tabs>
          <w:tab w:val="left" w:pos="7410"/>
        </w:tabs>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PNAD; Elaboração Própria</w:t>
      </w:r>
    </w:p>
    <w:p w:rsidR="009D3864" w:rsidRPr="001C4628" w:rsidRDefault="00C435C9" w:rsidP="00F56B7B">
      <w:pPr>
        <w:ind w:firstLine="709"/>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Já o gráfico </w:t>
      </w:r>
      <w:r w:rsidR="00EA7EC9">
        <w:rPr>
          <w:rFonts w:ascii="Times New Roman" w:eastAsiaTheme="minorEastAsia" w:hAnsi="Times New Roman" w:cs="Times New Roman"/>
          <w:sz w:val="24"/>
          <w:szCs w:val="24"/>
        </w:rPr>
        <w:t>9</w:t>
      </w:r>
      <w:r w:rsidR="009D3864" w:rsidRPr="001C4628">
        <w:rPr>
          <w:rFonts w:ascii="Times New Roman" w:eastAsiaTheme="minorEastAsia" w:hAnsi="Times New Roman" w:cs="Times New Roman"/>
          <w:sz w:val="24"/>
          <w:szCs w:val="24"/>
        </w:rPr>
        <w:t xml:space="preserve"> permite observar graficamente a relevância do Primeiro Bônus Demográfico sobre a Previdência Social, tendo permitido um crescimento muito mais robusto do número de contribuintes do INSS. Seu conteúdo também confirma a tendência de perda de relevância do crescimento do PIA, além de revelar as trajetórias coincidentes de aproximação das taxas de crescimento com e sem o PIA e as menores taxas de crescimento do número de contribuintes.</w:t>
      </w:r>
    </w:p>
    <w:p w:rsidR="009D3864" w:rsidRPr="001C4628" w:rsidRDefault="009D3864" w:rsidP="00C313E8">
      <w:pPr>
        <w:rPr>
          <w:rFonts w:ascii="Times New Roman" w:eastAsiaTheme="minorEastAsia" w:hAnsi="Times New Roman" w:cs="Times New Roman"/>
          <w:sz w:val="24"/>
          <w:szCs w:val="24"/>
        </w:rPr>
      </w:pPr>
      <w:r w:rsidRPr="001C4628">
        <w:rPr>
          <w:rFonts w:ascii="Times New Roman" w:hAnsi="Times New Roman" w:cs="Times New Roman"/>
          <w:noProof/>
          <w:sz w:val="24"/>
          <w:szCs w:val="24"/>
          <w:lang w:eastAsia="pt-BR"/>
        </w:rPr>
        <w:lastRenderedPageBreak/>
        <w:drawing>
          <wp:inline distT="0" distB="0" distL="0" distR="0">
            <wp:extent cx="5105400" cy="338137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D3864" w:rsidRPr="001C4628" w:rsidRDefault="009D3864" w:rsidP="00C313E8">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PNAD; Elaboração Própria</w:t>
      </w:r>
    </w:p>
    <w:p w:rsidR="00471841" w:rsidRPr="001C4628" w:rsidRDefault="00471841" w:rsidP="00F56B7B">
      <w:pPr>
        <w:ind w:firstLine="709"/>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 xml:space="preserve">A Tabela 4 expõe o resultado das decomposições das taxas de Formalidade, Ocupação e Participação entre efeito nível (não demográfico) e decomposição (demográfico) em relação às faixas etárias. Os resultados indicam variação extremamente semelhante resultante do segundo bônus demográfico nos três fatores de crescimento dos contribuintes, de respectivamente 2,4%, 2,3% e 2,7%. Enquanto na primeira variável, o efeito composição não teve peso significativo na variação, sendo o efeito nível (29,9%) o maior responsável pelo crescimento, na segunda variável esse primeiro correspondeu por quase ¾ da variação, enquanto na terceira variável o bônus demográfico foi não só foi maior, como compensou a variação negativa do efeito nível. </w:t>
      </w:r>
    </w:p>
    <w:p w:rsidR="00471841" w:rsidRPr="001C4628" w:rsidRDefault="00471841" w:rsidP="00A0202F">
      <w:pPr>
        <w:tabs>
          <w:tab w:val="left" w:pos="1365"/>
        </w:tabs>
        <w:rPr>
          <w:rFonts w:ascii="Times New Roman" w:eastAsiaTheme="minorEastAsia" w:hAnsi="Times New Roman" w:cs="Times New Roman"/>
          <w:b/>
          <w:sz w:val="24"/>
          <w:szCs w:val="24"/>
        </w:rPr>
      </w:pPr>
      <w:r w:rsidRPr="001C4628">
        <w:rPr>
          <w:rFonts w:ascii="Times New Roman" w:eastAsiaTheme="minorEastAsia" w:hAnsi="Times New Roman" w:cs="Times New Roman"/>
          <w:b/>
          <w:sz w:val="24"/>
          <w:szCs w:val="24"/>
        </w:rPr>
        <w:t>Tabela 4</w:t>
      </w:r>
      <w:r w:rsidR="00A0202F" w:rsidRPr="001C4628">
        <w:rPr>
          <w:rFonts w:ascii="Times New Roman" w:eastAsiaTheme="minorEastAsia" w:hAnsi="Times New Roman" w:cs="Times New Roman"/>
          <w:b/>
          <w:sz w:val="24"/>
          <w:szCs w:val="24"/>
        </w:rPr>
        <w:t>: Decomposição das Variáveis em Efeito Nível e Efeito Composição</w:t>
      </w:r>
    </w:p>
    <w:tbl>
      <w:tblPr>
        <w:tblStyle w:val="SombreamentoClaro1"/>
        <w:tblW w:w="5000" w:type="pct"/>
        <w:tblLook w:val="04A0"/>
      </w:tblPr>
      <w:tblGrid>
        <w:gridCol w:w="1085"/>
        <w:gridCol w:w="1040"/>
        <w:gridCol w:w="1505"/>
        <w:gridCol w:w="1040"/>
        <w:gridCol w:w="1505"/>
        <w:gridCol w:w="1040"/>
        <w:gridCol w:w="1505"/>
      </w:tblGrid>
      <w:tr w:rsidR="00471841" w:rsidRPr="001C4628" w:rsidTr="00137AC1">
        <w:trPr>
          <w:cnfStyle w:val="100000000000"/>
          <w:trHeight w:val="300"/>
        </w:trPr>
        <w:tc>
          <w:tcPr>
            <w:cnfStyle w:val="001000000000"/>
            <w:tcW w:w="670" w:type="pct"/>
            <w:noWrap/>
            <w:hideMark/>
          </w:tcPr>
          <w:p w:rsidR="00471841" w:rsidRPr="001C4628" w:rsidRDefault="00471841" w:rsidP="00495B64">
            <w:pPr>
              <w:rPr>
                <w:rFonts w:ascii="Times New Roman" w:eastAsia="Times New Roman" w:hAnsi="Times New Roman" w:cs="Times New Roman"/>
                <w:color w:val="000000"/>
                <w:sz w:val="24"/>
                <w:szCs w:val="24"/>
                <w:lang w:eastAsia="pt-BR"/>
              </w:rPr>
            </w:pPr>
          </w:p>
        </w:tc>
        <w:tc>
          <w:tcPr>
            <w:tcW w:w="1443" w:type="pct"/>
            <w:gridSpan w:val="2"/>
            <w:noWrap/>
            <w:hideMark/>
          </w:tcPr>
          <w:p w:rsidR="00471841" w:rsidRPr="001C4628" w:rsidRDefault="00471841" w:rsidP="00495B64">
            <w:pPr>
              <w:jc w:val="cente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Taxa de Formalidade</w:t>
            </w:r>
          </w:p>
        </w:tc>
        <w:tc>
          <w:tcPr>
            <w:tcW w:w="1443" w:type="pct"/>
            <w:gridSpan w:val="2"/>
            <w:noWrap/>
            <w:hideMark/>
          </w:tcPr>
          <w:p w:rsidR="00471841" w:rsidRPr="001C4628" w:rsidRDefault="00471841" w:rsidP="00495B64">
            <w:pPr>
              <w:jc w:val="cente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Taxa de Ocupação</w:t>
            </w:r>
          </w:p>
        </w:tc>
        <w:tc>
          <w:tcPr>
            <w:tcW w:w="1443" w:type="pct"/>
            <w:gridSpan w:val="2"/>
            <w:noWrap/>
            <w:hideMark/>
          </w:tcPr>
          <w:p w:rsidR="00471841" w:rsidRPr="001C4628" w:rsidRDefault="00471841" w:rsidP="00495B64">
            <w:pPr>
              <w:jc w:val="cente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Taxa de Participação</w:t>
            </w:r>
          </w:p>
        </w:tc>
      </w:tr>
      <w:tr w:rsidR="00137AC1" w:rsidRPr="001C4628" w:rsidTr="00137AC1">
        <w:trPr>
          <w:cnfStyle w:val="000000100000"/>
          <w:trHeight w:val="300"/>
        </w:trPr>
        <w:tc>
          <w:tcPr>
            <w:cnfStyle w:val="001000000000"/>
            <w:tcW w:w="670" w:type="pct"/>
            <w:noWrap/>
            <w:hideMark/>
          </w:tcPr>
          <w:p w:rsidR="00471841" w:rsidRPr="001C4628" w:rsidRDefault="00471841" w:rsidP="00495B64">
            <w:pPr>
              <w:rPr>
                <w:rFonts w:ascii="Times New Roman" w:eastAsia="Times New Roman" w:hAnsi="Times New Roman" w:cs="Times New Roman"/>
                <w:color w:val="000000"/>
                <w:sz w:val="24"/>
                <w:szCs w:val="24"/>
                <w:lang w:eastAsia="pt-BR"/>
              </w:rPr>
            </w:pPr>
          </w:p>
        </w:tc>
        <w:tc>
          <w:tcPr>
            <w:tcW w:w="554" w:type="pct"/>
            <w:noWrap/>
            <w:hideMark/>
          </w:tcPr>
          <w:p w:rsidR="00471841" w:rsidRPr="001C4628" w:rsidRDefault="00471841" w:rsidP="00495B64">
            <w:pP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Efeito Nível</w:t>
            </w:r>
          </w:p>
        </w:tc>
        <w:tc>
          <w:tcPr>
            <w:tcW w:w="889" w:type="pct"/>
            <w:noWrap/>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Efeito Composição</w:t>
            </w:r>
          </w:p>
        </w:tc>
        <w:tc>
          <w:tcPr>
            <w:tcW w:w="554" w:type="pct"/>
            <w:noWrap/>
            <w:hideMark/>
          </w:tcPr>
          <w:p w:rsidR="00471841" w:rsidRPr="001C4628" w:rsidRDefault="00471841" w:rsidP="00495B64">
            <w:pP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Efeito Nível</w:t>
            </w:r>
          </w:p>
        </w:tc>
        <w:tc>
          <w:tcPr>
            <w:tcW w:w="889" w:type="pct"/>
            <w:noWrap/>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Efeito Composição</w:t>
            </w:r>
          </w:p>
        </w:tc>
        <w:tc>
          <w:tcPr>
            <w:tcW w:w="554" w:type="pct"/>
            <w:noWrap/>
            <w:hideMark/>
          </w:tcPr>
          <w:p w:rsidR="00471841" w:rsidRPr="001C4628" w:rsidRDefault="00471841" w:rsidP="00495B64">
            <w:pP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Efeito Nível</w:t>
            </w:r>
          </w:p>
        </w:tc>
        <w:tc>
          <w:tcPr>
            <w:tcW w:w="889" w:type="pct"/>
            <w:noWrap/>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Efeito Composição</w:t>
            </w:r>
          </w:p>
        </w:tc>
      </w:tr>
      <w:tr w:rsidR="00137AC1" w:rsidRPr="001C4628" w:rsidTr="00137AC1">
        <w:trPr>
          <w:trHeight w:val="537"/>
        </w:trPr>
        <w:tc>
          <w:tcPr>
            <w:cnfStyle w:val="001000000000"/>
            <w:tcW w:w="670" w:type="pct"/>
            <w:noWrap/>
            <w:hideMark/>
          </w:tcPr>
          <w:p w:rsidR="00137AC1" w:rsidRPr="001C4628" w:rsidRDefault="00137AC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 a 14 anos</w:t>
            </w:r>
          </w:p>
        </w:tc>
        <w:tc>
          <w:tcPr>
            <w:tcW w:w="554"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0,0%</w:t>
            </w:r>
          </w:p>
        </w:tc>
        <w:tc>
          <w:tcPr>
            <w:tcW w:w="889"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0,0%</w:t>
            </w:r>
          </w:p>
        </w:tc>
        <w:tc>
          <w:tcPr>
            <w:tcW w:w="554" w:type="pct"/>
            <w:noWrap/>
            <w:vAlign w:val="center"/>
            <w:hideMark/>
          </w:tcPr>
          <w:p w:rsidR="00137AC1" w:rsidRPr="001C4628" w:rsidRDefault="00137AC1" w:rsidP="00137AC1">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0,0%</w:t>
            </w:r>
          </w:p>
        </w:tc>
        <w:tc>
          <w:tcPr>
            <w:tcW w:w="889" w:type="pct"/>
            <w:noWrap/>
            <w:vAlign w:val="center"/>
            <w:hideMark/>
          </w:tcPr>
          <w:p w:rsidR="00137AC1" w:rsidRPr="001C4628" w:rsidRDefault="00137AC1" w:rsidP="00137AC1">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-1,4%</w:t>
            </w:r>
          </w:p>
        </w:tc>
        <w:tc>
          <w:tcPr>
            <w:tcW w:w="554"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-0,9%</w:t>
            </w:r>
          </w:p>
        </w:tc>
        <w:tc>
          <w:tcPr>
            <w:tcW w:w="889"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-0,2%</w:t>
            </w:r>
          </w:p>
        </w:tc>
      </w:tr>
      <w:tr w:rsidR="00137AC1" w:rsidRPr="001C4628" w:rsidTr="00137AC1">
        <w:trPr>
          <w:cnfStyle w:val="000000100000"/>
          <w:trHeight w:val="537"/>
        </w:trPr>
        <w:tc>
          <w:tcPr>
            <w:cnfStyle w:val="001000000000"/>
            <w:tcW w:w="670" w:type="pct"/>
            <w:noWrap/>
            <w:hideMark/>
          </w:tcPr>
          <w:p w:rsidR="00137AC1" w:rsidRPr="001C4628" w:rsidRDefault="00137AC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15 a 19 anos</w:t>
            </w:r>
          </w:p>
        </w:tc>
        <w:tc>
          <w:tcPr>
            <w:tcW w:w="554"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1,1%</w:t>
            </w:r>
          </w:p>
        </w:tc>
        <w:tc>
          <w:tcPr>
            <w:tcW w:w="889"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-0,7%</w:t>
            </w:r>
          </w:p>
        </w:tc>
        <w:tc>
          <w:tcPr>
            <w:tcW w:w="554" w:type="pct"/>
            <w:noWrap/>
            <w:vAlign w:val="center"/>
            <w:hideMark/>
          </w:tcPr>
          <w:p w:rsidR="00137AC1" w:rsidRPr="001C4628" w:rsidRDefault="00137AC1" w:rsidP="00137AC1">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0,2%</w:t>
            </w:r>
          </w:p>
        </w:tc>
        <w:tc>
          <w:tcPr>
            <w:tcW w:w="889" w:type="pct"/>
            <w:noWrap/>
            <w:vAlign w:val="center"/>
            <w:hideMark/>
          </w:tcPr>
          <w:p w:rsidR="00137AC1" w:rsidRPr="001C4628" w:rsidRDefault="00137AC1" w:rsidP="00137AC1">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-2,1%</w:t>
            </w:r>
          </w:p>
        </w:tc>
        <w:tc>
          <w:tcPr>
            <w:tcW w:w="554"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-0,8%</w:t>
            </w:r>
          </w:p>
        </w:tc>
        <w:tc>
          <w:tcPr>
            <w:tcW w:w="889"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-0,9%</w:t>
            </w:r>
          </w:p>
        </w:tc>
      </w:tr>
      <w:tr w:rsidR="00137AC1" w:rsidRPr="001C4628" w:rsidTr="00137AC1">
        <w:trPr>
          <w:trHeight w:val="537"/>
        </w:trPr>
        <w:tc>
          <w:tcPr>
            <w:cnfStyle w:val="001000000000"/>
            <w:tcW w:w="670" w:type="pct"/>
            <w:noWrap/>
            <w:hideMark/>
          </w:tcPr>
          <w:p w:rsidR="00137AC1" w:rsidRPr="001C4628" w:rsidRDefault="00137AC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 a 24 anos</w:t>
            </w:r>
          </w:p>
        </w:tc>
        <w:tc>
          <w:tcPr>
            <w:tcW w:w="554"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w:t>
            </w:r>
          </w:p>
        </w:tc>
        <w:tc>
          <w:tcPr>
            <w:tcW w:w="889"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-1,3%</w:t>
            </w:r>
          </w:p>
        </w:tc>
        <w:tc>
          <w:tcPr>
            <w:tcW w:w="554" w:type="pct"/>
            <w:noWrap/>
            <w:vAlign w:val="center"/>
            <w:hideMark/>
          </w:tcPr>
          <w:p w:rsidR="00137AC1" w:rsidRPr="001C4628" w:rsidRDefault="00137AC1" w:rsidP="00137AC1">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0,5%</w:t>
            </w:r>
          </w:p>
        </w:tc>
        <w:tc>
          <w:tcPr>
            <w:tcW w:w="889" w:type="pct"/>
            <w:noWrap/>
            <w:vAlign w:val="center"/>
            <w:hideMark/>
          </w:tcPr>
          <w:p w:rsidR="00137AC1" w:rsidRPr="001C4628" w:rsidRDefault="00137AC1" w:rsidP="00137AC1">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-2,2%</w:t>
            </w:r>
          </w:p>
        </w:tc>
        <w:tc>
          <w:tcPr>
            <w:tcW w:w="554"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-0,1%</w:t>
            </w:r>
          </w:p>
        </w:tc>
        <w:tc>
          <w:tcPr>
            <w:tcW w:w="889"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-1,6%</w:t>
            </w:r>
          </w:p>
        </w:tc>
      </w:tr>
      <w:tr w:rsidR="00137AC1" w:rsidRPr="001C4628" w:rsidTr="00137AC1">
        <w:trPr>
          <w:cnfStyle w:val="000000100000"/>
          <w:trHeight w:val="537"/>
        </w:trPr>
        <w:tc>
          <w:tcPr>
            <w:cnfStyle w:val="001000000000"/>
            <w:tcW w:w="670" w:type="pct"/>
            <w:noWrap/>
            <w:hideMark/>
          </w:tcPr>
          <w:p w:rsidR="00137AC1" w:rsidRPr="001C4628" w:rsidRDefault="00137AC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25 a 29 anos</w:t>
            </w:r>
          </w:p>
        </w:tc>
        <w:tc>
          <w:tcPr>
            <w:tcW w:w="554"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1,9%</w:t>
            </w:r>
          </w:p>
        </w:tc>
        <w:tc>
          <w:tcPr>
            <w:tcW w:w="889"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-0,1%</w:t>
            </w:r>
          </w:p>
        </w:tc>
        <w:tc>
          <w:tcPr>
            <w:tcW w:w="554" w:type="pct"/>
            <w:noWrap/>
            <w:vAlign w:val="center"/>
            <w:hideMark/>
          </w:tcPr>
          <w:p w:rsidR="00137AC1" w:rsidRPr="001C4628" w:rsidRDefault="00137AC1" w:rsidP="00137AC1">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0,3%</w:t>
            </w:r>
          </w:p>
        </w:tc>
        <w:tc>
          <w:tcPr>
            <w:tcW w:w="889" w:type="pct"/>
            <w:noWrap/>
            <w:vAlign w:val="center"/>
            <w:hideMark/>
          </w:tcPr>
          <w:p w:rsidR="00137AC1" w:rsidRPr="001C4628" w:rsidRDefault="00137AC1" w:rsidP="00137AC1">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0,0%</w:t>
            </w:r>
          </w:p>
        </w:tc>
        <w:tc>
          <w:tcPr>
            <w:tcW w:w="554"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0,1%</w:t>
            </w:r>
          </w:p>
        </w:tc>
        <w:tc>
          <w:tcPr>
            <w:tcW w:w="889"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-0,1%</w:t>
            </w:r>
          </w:p>
        </w:tc>
      </w:tr>
      <w:tr w:rsidR="00137AC1" w:rsidRPr="001C4628" w:rsidTr="00137AC1">
        <w:trPr>
          <w:trHeight w:val="537"/>
        </w:trPr>
        <w:tc>
          <w:tcPr>
            <w:cnfStyle w:val="001000000000"/>
            <w:tcW w:w="670" w:type="pct"/>
            <w:noWrap/>
            <w:hideMark/>
          </w:tcPr>
          <w:p w:rsidR="00137AC1" w:rsidRPr="001C4628" w:rsidRDefault="00137AC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30 a 39 anos</w:t>
            </w:r>
          </w:p>
        </w:tc>
        <w:tc>
          <w:tcPr>
            <w:tcW w:w="554"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3,3%</w:t>
            </w:r>
          </w:p>
        </w:tc>
        <w:tc>
          <w:tcPr>
            <w:tcW w:w="889"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0,2%</w:t>
            </w:r>
          </w:p>
        </w:tc>
        <w:tc>
          <w:tcPr>
            <w:tcW w:w="554" w:type="pct"/>
            <w:noWrap/>
            <w:vAlign w:val="center"/>
            <w:hideMark/>
          </w:tcPr>
          <w:p w:rsidR="00137AC1" w:rsidRPr="001C4628" w:rsidRDefault="00137AC1" w:rsidP="00137AC1">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0,4%</w:t>
            </w:r>
          </w:p>
        </w:tc>
        <w:tc>
          <w:tcPr>
            <w:tcW w:w="889" w:type="pct"/>
            <w:noWrap/>
            <w:vAlign w:val="center"/>
            <w:hideMark/>
          </w:tcPr>
          <w:p w:rsidR="00137AC1" w:rsidRPr="001C4628" w:rsidRDefault="00137AC1" w:rsidP="00137AC1">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0,6%</w:t>
            </w:r>
          </w:p>
        </w:tc>
        <w:tc>
          <w:tcPr>
            <w:tcW w:w="554"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0,1%</w:t>
            </w:r>
          </w:p>
        </w:tc>
        <w:tc>
          <w:tcPr>
            <w:tcW w:w="889"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0,3%</w:t>
            </w:r>
          </w:p>
        </w:tc>
      </w:tr>
      <w:tr w:rsidR="00137AC1" w:rsidRPr="001C4628" w:rsidTr="00137AC1">
        <w:trPr>
          <w:cnfStyle w:val="000000100000"/>
          <w:trHeight w:val="537"/>
        </w:trPr>
        <w:tc>
          <w:tcPr>
            <w:cnfStyle w:val="001000000000"/>
            <w:tcW w:w="670" w:type="pct"/>
            <w:noWrap/>
            <w:hideMark/>
          </w:tcPr>
          <w:p w:rsidR="00137AC1" w:rsidRPr="001C4628" w:rsidRDefault="00137AC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40 a 49 anos</w:t>
            </w:r>
          </w:p>
        </w:tc>
        <w:tc>
          <w:tcPr>
            <w:tcW w:w="554"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2,3%</w:t>
            </w:r>
          </w:p>
        </w:tc>
        <w:tc>
          <w:tcPr>
            <w:tcW w:w="889"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w:t>
            </w:r>
          </w:p>
        </w:tc>
        <w:tc>
          <w:tcPr>
            <w:tcW w:w="554" w:type="pct"/>
            <w:noWrap/>
            <w:vAlign w:val="center"/>
            <w:hideMark/>
          </w:tcPr>
          <w:p w:rsidR="00137AC1" w:rsidRPr="001C4628" w:rsidRDefault="00137AC1" w:rsidP="00137AC1">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0,4%</w:t>
            </w:r>
          </w:p>
        </w:tc>
        <w:tc>
          <w:tcPr>
            <w:tcW w:w="889" w:type="pct"/>
            <w:noWrap/>
            <w:vAlign w:val="center"/>
            <w:hideMark/>
          </w:tcPr>
          <w:p w:rsidR="00137AC1" w:rsidRPr="001C4628" w:rsidRDefault="00137AC1" w:rsidP="00137AC1">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1,8%</w:t>
            </w:r>
          </w:p>
        </w:tc>
        <w:tc>
          <w:tcPr>
            <w:tcW w:w="554"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0,2%</w:t>
            </w:r>
          </w:p>
        </w:tc>
        <w:tc>
          <w:tcPr>
            <w:tcW w:w="889"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1,0%</w:t>
            </w:r>
          </w:p>
        </w:tc>
      </w:tr>
      <w:tr w:rsidR="00137AC1" w:rsidRPr="001C4628" w:rsidTr="00137AC1">
        <w:trPr>
          <w:trHeight w:val="537"/>
        </w:trPr>
        <w:tc>
          <w:tcPr>
            <w:cnfStyle w:val="001000000000"/>
            <w:tcW w:w="670" w:type="pct"/>
            <w:noWrap/>
            <w:hideMark/>
          </w:tcPr>
          <w:p w:rsidR="00137AC1" w:rsidRPr="001C4628" w:rsidRDefault="00137AC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lastRenderedPageBreak/>
              <w:t>50 a 59 anos</w:t>
            </w:r>
          </w:p>
        </w:tc>
        <w:tc>
          <w:tcPr>
            <w:tcW w:w="554"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2,1%</w:t>
            </w:r>
          </w:p>
        </w:tc>
        <w:tc>
          <w:tcPr>
            <w:tcW w:w="889"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1,7%</w:t>
            </w:r>
          </w:p>
        </w:tc>
        <w:tc>
          <w:tcPr>
            <w:tcW w:w="554" w:type="pct"/>
            <w:noWrap/>
            <w:vAlign w:val="center"/>
            <w:hideMark/>
          </w:tcPr>
          <w:p w:rsidR="00137AC1" w:rsidRPr="001C4628" w:rsidRDefault="00137AC1" w:rsidP="00137AC1">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0,2%</w:t>
            </w:r>
          </w:p>
        </w:tc>
        <w:tc>
          <w:tcPr>
            <w:tcW w:w="889" w:type="pct"/>
            <w:noWrap/>
            <w:vAlign w:val="center"/>
            <w:hideMark/>
          </w:tcPr>
          <w:p w:rsidR="00137AC1" w:rsidRPr="001C4628" w:rsidRDefault="00137AC1" w:rsidP="00137AC1">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3,2%</w:t>
            </w:r>
          </w:p>
        </w:tc>
        <w:tc>
          <w:tcPr>
            <w:tcW w:w="554"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0,2%</w:t>
            </w:r>
          </w:p>
        </w:tc>
        <w:tc>
          <w:tcPr>
            <w:tcW w:w="889" w:type="pct"/>
            <w:noWrap/>
            <w:vAlign w:val="center"/>
            <w:hideMark/>
          </w:tcPr>
          <w:p w:rsidR="00137AC1" w:rsidRPr="001C4628" w:rsidRDefault="00137AC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2,0%</w:t>
            </w:r>
          </w:p>
        </w:tc>
      </w:tr>
      <w:tr w:rsidR="00137AC1" w:rsidRPr="001C4628" w:rsidTr="00137AC1">
        <w:trPr>
          <w:cnfStyle w:val="000000100000"/>
          <w:trHeight w:val="538"/>
        </w:trPr>
        <w:tc>
          <w:tcPr>
            <w:cnfStyle w:val="001000000000"/>
            <w:tcW w:w="670" w:type="pct"/>
            <w:noWrap/>
            <w:hideMark/>
          </w:tcPr>
          <w:p w:rsidR="00137AC1" w:rsidRPr="001C4628" w:rsidRDefault="00137AC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60 ou mais</w:t>
            </w:r>
          </w:p>
        </w:tc>
        <w:tc>
          <w:tcPr>
            <w:tcW w:w="554"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0,8%</w:t>
            </w:r>
          </w:p>
        </w:tc>
        <w:tc>
          <w:tcPr>
            <w:tcW w:w="889"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0,2%</w:t>
            </w:r>
          </w:p>
        </w:tc>
        <w:tc>
          <w:tcPr>
            <w:tcW w:w="554" w:type="pct"/>
            <w:noWrap/>
            <w:vAlign w:val="center"/>
            <w:hideMark/>
          </w:tcPr>
          <w:p w:rsidR="00137AC1" w:rsidRPr="001C4628" w:rsidRDefault="00137AC1" w:rsidP="00137AC1">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0,1%</w:t>
            </w:r>
          </w:p>
        </w:tc>
        <w:tc>
          <w:tcPr>
            <w:tcW w:w="889" w:type="pct"/>
            <w:noWrap/>
            <w:vAlign w:val="center"/>
            <w:hideMark/>
          </w:tcPr>
          <w:p w:rsidR="00137AC1" w:rsidRPr="001C4628" w:rsidRDefault="00137AC1" w:rsidP="00137AC1">
            <w:pPr>
              <w:jc w:val="center"/>
              <w:cnfStyle w:val="000000100000"/>
              <w:rPr>
                <w:rFonts w:ascii="Times New Roman" w:hAnsi="Times New Roman" w:cs="Times New Roman"/>
                <w:color w:val="000000"/>
                <w:sz w:val="24"/>
                <w:szCs w:val="24"/>
              </w:rPr>
            </w:pPr>
            <w:r w:rsidRPr="001C4628">
              <w:rPr>
                <w:rFonts w:ascii="Times New Roman" w:hAnsi="Times New Roman" w:cs="Times New Roman"/>
                <w:color w:val="000000"/>
                <w:sz w:val="24"/>
                <w:szCs w:val="24"/>
              </w:rPr>
              <w:t>1,0%</w:t>
            </w:r>
          </w:p>
        </w:tc>
        <w:tc>
          <w:tcPr>
            <w:tcW w:w="554"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-0,6%</w:t>
            </w:r>
          </w:p>
        </w:tc>
        <w:tc>
          <w:tcPr>
            <w:tcW w:w="889" w:type="pct"/>
            <w:noWrap/>
            <w:vAlign w:val="center"/>
            <w:hideMark/>
          </w:tcPr>
          <w:p w:rsidR="00137AC1" w:rsidRPr="001C4628" w:rsidRDefault="00137AC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1,3%</w:t>
            </w:r>
          </w:p>
        </w:tc>
      </w:tr>
      <w:tr w:rsidR="00137AC1" w:rsidRPr="001C4628" w:rsidTr="00137AC1">
        <w:trPr>
          <w:trHeight w:val="300"/>
        </w:trPr>
        <w:tc>
          <w:tcPr>
            <w:cnfStyle w:val="001000000000"/>
            <w:tcW w:w="670" w:type="pct"/>
            <w:noWrap/>
            <w:hideMark/>
          </w:tcPr>
          <w:p w:rsidR="00137AC1" w:rsidRPr="001C4628" w:rsidRDefault="00137AC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TOTAL</w:t>
            </w:r>
          </w:p>
        </w:tc>
        <w:tc>
          <w:tcPr>
            <w:tcW w:w="554" w:type="pct"/>
            <w:noWrap/>
            <w:hideMark/>
          </w:tcPr>
          <w:p w:rsidR="00137AC1" w:rsidRPr="001C4628" w:rsidRDefault="00137AC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29,9%</w:t>
            </w:r>
          </w:p>
        </w:tc>
        <w:tc>
          <w:tcPr>
            <w:tcW w:w="889" w:type="pct"/>
            <w:noWrap/>
            <w:hideMark/>
          </w:tcPr>
          <w:p w:rsidR="00137AC1" w:rsidRPr="001C4628" w:rsidRDefault="00137AC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2,4%</w:t>
            </w:r>
          </w:p>
        </w:tc>
        <w:tc>
          <w:tcPr>
            <w:tcW w:w="554" w:type="pct"/>
            <w:noWrap/>
            <w:hideMark/>
          </w:tcPr>
          <w:p w:rsidR="00137AC1" w:rsidRPr="001C4628" w:rsidRDefault="00137AC1" w:rsidP="00137AC1">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2,3%</w:t>
            </w:r>
          </w:p>
        </w:tc>
        <w:tc>
          <w:tcPr>
            <w:tcW w:w="889" w:type="pct"/>
            <w:noWrap/>
            <w:hideMark/>
          </w:tcPr>
          <w:p w:rsidR="00137AC1" w:rsidRPr="001C4628" w:rsidRDefault="00137AC1" w:rsidP="00137AC1">
            <w:pPr>
              <w:jc w:val="center"/>
              <w:cnfStyle w:val="000000000000"/>
              <w:rPr>
                <w:rFonts w:ascii="Times New Roman" w:hAnsi="Times New Roman" w:cs="Times New Roman"/>
                <w:color w:val="000000"/>
                <w:sz w:val="24"/>
                <w:szCs w:val="24"/>
              </w:rPr>
            </w:pPr>
            <w:r w:rsidRPr="001C4628">
              <w:rPr>
                <w:rFonts w:ascii="Times New Roman" w:hAnsi="Times New Roman" w:cs="Times New Roman"/>
                <w:color w:val="000000"/>
                <w:sz w:val="24"/>
                <w:szCs w:val="24"/>
              </w:rPr>
              <w:t>0,9%</w:t>
            </w:r>
          </w:p>
        </w:tc>
        <w:tc>
          <w:tcPr>
            <w:tcW w:w="554" w:type="pct"/>
            <w:noWrap/>
            <w:hideMark/>
          </w:tcPr>
          <w:p w:rsidR="00137AC1" w:rsidRPr="001C4628" w:rsidRDefault="00137AC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-2,6%</w:t>
            </w:r>
          </w:p>
        </w:tc>
        <w:tc>
          <w:tcPr>
            <w:tcW w:w="889" w:type="pct"/>
            <w:noWrap/>
            <w:hideMark/>
          </w:tcPr>
          <w:p w:rsidR="00137AC1" w:rsidRPr="001C4628" w:rsidRDefault="00137AC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2,7%</w:t>
            </w:r>
          </w:p>
        </w:tc>
      </w:tr>
    </w:tbl>
    <w:p w:rsidR="00471841" w:rsidRPr="001C4628" w:rsidRDefault="00471841" w:rsidP="00471841">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PNAD; Elaboração própria</w:t>
      </w:r>
    </w:p>
    <w:p w:rsidR="00471841" w:rsidRPr="001C4628" w:rsidRDefault="00F56B7B" w:rsidP="00194AC9">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471841" w:rsidRPr="001C4628">
        <w:rPr>
          <w:rFonts w:ascii="Times New Roman" w:eastAsiaTheme="minorEastAsia" w:hAnsi="Times New Roman" w:cs="Times New Roman"/>
          <w:sz w:val="24"/>
          <w:szCs w:val="24"/>
        </w:rPr>
        <w:t xml:space="preserve">A Tabela 5, por fim, sintetiza o peso </w:t>
      </w:r>
      <w:r w:rsidR="009D3864" w:rsidRPr="001C4628">
        <w:rPr>
          <w:rFonts w:ascii="Times New Roman" w:eastAsiaTheme="minorEastAsia" w:hAnsi="Times New Roman" w:cs="Times New Roman"/>
          <w:sz w:val="24"/>
          <w:szCs w:val="24"/>
        </w:rPr>
        <w:t xml:space="preserve">na variação do número de contribuintes </w:t>
      </w:r>
      <w:r w:rsidR="00471841" w:rsidRPr="001C4628">
        <w:rPr>
          <w:rFonts w:ascii="Times New Roman" w:eastAsiaTheme="minorEastAsia" w:hAnsi="Times New Roman" w:cs="Times New Roman"/>
          <w:sz w:val="24"/>
          <w:szCs w:val="24"/>
        </w:rPr>
        <w:t>do primeiro e s</w:t>
      </w:r>
      <w:r w:rsidR="009D3864" w:rsidRPr="001C4628">
        <w:rPr>
          <w:rFonts w:ascii="Times New Roman" w:eastAsiaTheme="minorEastAsia" w:hAnsi="Times New Roman" w:cs="Times New Roman"/>
          <w:sz w:val="24"/>
          <w:szCs w:val="24"/>
        </w:rPr>
        <w:t>egundo Bônus Demográfico</w:t>
      </w:r>
      <w:r w:rsidR="00471841" w:rsidRPr="001C4628">
        <w:rPr>
          <w:rFonts w:ascii="Times New Roman" w:eastAsiaTheme="minorEastAsia" w:hAnsi="Times New Roman" w:cs="Times New Roman"/>
          <w:sz w:val="24"/>
          <w:szCs w:val="24"/>
        </w:rPr>
        <w:t xml:space="preserve">, </w:t>
      </w:r>
      <w:r w:rsidR="009D3864" w:rsidRPr="001C4628">
        <w:rPr>
          <w:rFonts w:ascii="Times New Roman" w:eastAsiaTheme="minorEastAsia" w:hAnsi="Times New Roman" w:cs="Times New Roman"/>
          <w:sz w:val="24"/>
          <w:szCs w:val="24"/>
        </w:rPr>
        <w:t>sem o</w:t>
      </w:r>
      <w:r w:rsidR="006D60C6" w:rsidRPr="001C4628">
        <w:rPr>
          <w:rFonts w:ascii="Times New Roman" w:eastAsiaTheme="minorEastAsia" w:hAnsi="Times New Roman" w:cs="Times New Roman"/>
          <w:sz w:val="24"/>
          <w:szCs w:val="24"/>
        </w:rPr>
        <w:t>s</w:t>
      </w:r>
      <w:r w:rsidR="00447921">
        <w:rPr>
          <w:rFonts w:ascii="Times New Roman" w:eastAsiaTheme="minorEastAsia" w:hAnsi="Times New Roman" w:cs="Times New Roman"/>
          <w:sz w:val="24"/>
          <w:szCs w:val="24"/>
        </w:rPr>
        <w:t xml:space="preserve"> quais a taxa de crescimento teria</w:t>
      </w:r>
      <w:r w:rsidR="009D3864" w:rsidRPr="001C4628">
        <w:rPr>
          <w:rFonts w:ascii="Times New Roman" w:eastAsiaTheme="minorEastAsia" w:hAnsi="Times New Roman" w:cs="Times New Roman"/>
          <w:sz w:val="24"/>
          <w:szCs w:val="24"/>
        </w:rPr>
        <w:t xml:space="preserve"> correspondido à </w:t>
      </w:r>
      <w:r w:rsidR="00447921">
        <w:rPr>
          <w:rFonts w:ascii="Times New Roman" w:eastAsiaTheme="minorEastAsia" w:hAnsi="Times New Roman" w:cs="Times New Roman"/>
          <w:sz w:val="24"/>
          <w:szCs w:val="24"/>
        </w:rPr>
        <w:t xml:space="preserve">quase </w:t>
      </w:r>
      <w:r w:rsidR="009D3864" w:rsidRPr="001C4628">
        <w:rPr>
          <w:rFonts w:ascii="Times New Roman" w:eastAsiaTheme="minorEastAsia" w:hAnsi="Times New Roman" w:cs="Times New Roman"/>
          <w:sz w:val="24"/>
          <w:szCs w:val="24"/>
        </w:rPr>
        <w:t>metade da</w:t>
      </w:r>
      <w:r w:rsidR="00447921">
        <w:rPr>
          <w:rFonts w:ascii="Times New Roman" w:eastAsiaTheme="minorEastAsia" w:hAnsi="Times New Roman" w:cs="Times New Roman"/>
          <w:sz w:val="24"/>
          <w:szCs w:val="24"/>
        </w:rPr>
        <w:t xml:space="preserve"> registrada</w:t>
      </w:r>
      <w:r w:rsidR="009D3864" w:rsidRPr="001C4628">
        <w:rPr>
          <w:rFonts w:ascii="Times New Roman" w:eastAsiaTheme="minorEastAsia" w:hAnsi="Times New Roman" w:cs="Times New Roman"/>
          <w:sz w:val="24"/>
          <w:szCs w:val="24"/>
        </w:rPr>
        <w:t xml:space="preserve"> no </w:t>
      </w:r>
      <w:r w:rsidR="00691C91" w:rsidRPr="001C4628">
        <w:rPr>
          <w:rFonts w:ascii="Times New Roman" w:eastAsiaTheme="minorEastAsia" w:hAnsi="Times New Roman" w:cs="Times New Roman"/>
          <w:sz w:val="24"/>
          <w:szCs w:val="24"/>
        </w:rPr>
        <w:t>período</w:t>
      </w:r>
      <w:r w:rsidR="009D3864" w:rsidRPr="001C4628">
        <w:rPr>
          <w:rFonts w:ascii="Times New Roman" w:eastAsiaTheme="minorEastAsia" w:hAnsi="Times New Roman" w:cs="Times New Roman"/>
          <w:sz w:val="24"/>
          <w:szCs w:val="24"/>
        </w:rPr>
        <w:t>.</w:t>
      </w:r>
      <w:r w:rsidR="00562FCB" w:rsidRPr="001C4628">
        <w:rPr>
          <w:rFonts w:ascii="Times New Roman" w:eastAsiaTheme="minorEastAsia" w:hAnsi="Times New Roman" w:cs="Times New Roman"/>
          <w:sz w:val="24"/>
          <w:szCs w:val="24"/>
        </w:rPr>
        <w:t xml:space="preserve"> O resultado, portanto, expõe a significativa contribuição da demografia sobre a Previdência Social, </w:t>
      </w:r>
    </w:p>
    <w:p w:rsidR="00471841" w:rsidRPr="001C4628" w:rsidRDefault="00471841" w:rsidP="00471841">
      <w:pPr>
        <w:rPr>
          <w:rFonts w:ascii="Times New Roman" w:eastAsiaTheme="minorEastAsia" w:hAnsi="Times New Roman" w:cs="Times New Roman"/>
          <w:b/>
          <w:sz w:val="24"/>
          <w:szCs w:val="24"/>
        </w:rPr>
      </w:pPr>
      <w:r w:rsidRPr="001C4628">
        <w:rPr>
          <w:rFonts w:ascii="Times New Roman" w:eastAsiaTheme="minorEastAsia" w:hAnsi="Times New Roman" w:cs="Times New Roman"/>
          <w:b/>
          <w:sz w:val="24"/>
          <w:szCs w:val="24"/>
        </w:rPr>
        <w:t>Tabela 5</w:t>
      </w:r>
      <w:r w:rsidR="001C10E3" w:rsidRPr="001C4628">
        <w:rPr>
          <w:rFonts w:ascii="Times New Roman" w:eastAsiaTheme="minorEastAsia" w:hAnsi="Times New Roman" w:cs="Times New Roman"/>
          <w:b/>
          <w:sz w:val="24"/>
          <w:szCs w:val="24"/>
        </w:rPr>
        <w:t>: Crescimento do nº de Contribuintes com e sem Bônus Demográficos</w:t>
      </w:r>
    </w:p>
    <w:tbl>
      <w:tblPr>
        <w:tblStyle w:val="SombreamentoClaro1"/>
        <w:tblW w:w="7261" w:type="dxa"/>
        <w:tblLook w:val="04A0"/>
      </w:tblPr>
      <w:tblGrid>
        <w:gridCol w:w="1643"/>
        <w:gridCol w:w="1195"/>
        <w:gridCol w:w="1000"/>
        <w:gridCol w:w="1260"/>
        <w:gridCol w:w="1280"/>
        <w:gridCol w:w="1000"/>
      </w:tblGrid>
      <w:tr w:rsidR="00471841" w:rsidRPr="001C4628" w:rsidTr="00495B64">
        <w:trPr>
          <w:cnfStyle w:val="100000000000"/>
          <w:trHeight w:val="300"/>
        </w:trPr>
        <w:tc>
          <w:tcPr>
            <w:cnfStyle w:val="001000000000"/>
            <w:tcW w:w="1526" w:type="dxa"/>
            <w:noWrap/>
            <w:hideMark/>
          </w:tcPr>
          <w:p w:rsidR="00471841" w:rsidRPr="001C4628" w:rsidRDefault="0047184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Variação Contribuintes</w:t>
            </w:r>
          </w:p>
        </w:tc>
        <w:tc>
          <w:tcPr>
            <w:tcW w:w="1195" w:type="dxa"/>
            <w:noWrap/>
            <w:hideMark/>
          </w:tcPr>
          <w:p w:rsidR="00471841" w:rsidRPr="001C4628" w:rsidRDefault="00471841" w:rsidP="00495B64">
            <w:pPr>
              <w:jc w:val="cente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Tx. Form.</w:t>
            </w:r>
          </w:p>
        </w:tc>
        <w:tc>
          <w:tcPr>
            <w:tcW w:w="1000" w:type="dxa"/>
            <w:noWrap/>
            <w:hideMark/>
          </w:tcPr>
          <w:p w:rsidR="00471841" w:rsidRPr="001C4628" w:rsidRDefault="00471841" w:rsidP="00495B64">
            <w:pPr>
              <w:jc w:val="cente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Tx. Ocup.</w:t>
            </w:r>
          </w:p>
        </w:tc>
        <w:tc>
          <w:tcPr>
            <w:tcW w:w="1260" w:type="dxa"/>
            <w:noWrap/>
            <w:hideMark/>
          </w:tcPr>
          <w:p w:rsidR="00471841" w:rsidRPr="001C4628" w:rsidRDefault="00471841" w:rsidP="00495B64">
            <w:pPr>
              <w:jc w:val="cente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Tx. Part.</w:t>
            </w:r>
          </w:p>
        </w:tc>
        <w:tc>
          <w:tcPr>
            <w:tcW w:w="1280" w:type="dxa"/>
            <w:noWrap/>
            <w:hideMark/>
          </w:tcPr>
          <w:p w:rsidR="00471841" w:rsidRPr="001C4628" w:rsidRDefault="00471841" w:rsidP="00495B64">
            <w:pPr>
              <w:jc w:val="cente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PIA</w:t>
            </w:r>
          </w:p>
        </w:tc>
        <w:tc>
          <w:tcPr>
            <w:tcW w:w="1000" w:type="dxa"/>
            <w:noWrap/>
            <w:hideMark/>
          </w:tcPr>
          <w:p w:rsidR="00471841" w:rsidRPr="001C4628" w:rsidRDefault="00471841" w:rsidP="00495B64">
            <w:pPr>
              <w:jc w:val="center"/>
              <w:cnfStyle w:val="1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Total</w:t>
            </w:r>
          </w:p>
        </w:tc>
      </w:tr>
      <w:tr w:rsidR="00471841" w:rsidRPr="001C4628" w:rsidTr="00495B64">
        <w:trPr>
          <w:cnfStyle w:val="000000100000"/>
          <w:trHeight w:val="300"/>
        </w:trPr>
        <w:tc>
          <w:tcPr>
            <w:cnfStyle w:val="001000000000"/>
            <w:tcW w:w="1526" w:type="dxa"/>
            <w:noWrap/>
            <w:hideMark/>
          </w:tcPr>
          <w:p w:rsidR="00471841" w:rsidRPr="001C4628" w:rsidRDefault="0047184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Com Bônus Demográfico</w:t>
            </w:r>
          </w:p>
        </w:tc>
        <w:tc>
          <w:tcPr>
            <w:tcW w:w="1195" w:type="dxa"/>
            <w:noWrap/>
            <w:vAlign w:val="center"/>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32,3%</w:t>
            </w:r>
          </w:p>
        </w:tc>
        <w:tc>
          <w:tcPr>
            <w:tcW w:w="1000" w:type="dxa"/>
            <w:noWrap/>
            <w:vAlign w:val="center"/>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3,2%</w:t>
            </w:r>
          </w:p>
        </w:tc>
        <w:tc>
          <w:tcPr>
            <w:tcW w:w="1260" w:type="dxa"/>
            <w:noWrap/>
            <w:vAlign w:val="center"/>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0,1%</w:t>
            </w:r>
          </w:p>
        </w:tc>
        <w:tc>
          <w:tcPr>
            <w:tcW w:w="1280" w:type="dxa"/>
            <w:noWrap/>
            <w:vAlign w:val="center"/>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14,2%</w:t>
            </w:r>
          </w:p>
        </w:tc>
        <w:tc>
          <w:tcPr>
            <w:tcW w:w="1000" w:type="dxa"/>
            <w:noWrap/>
            <w:vAlign w:val="center"/>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56,0%</w:t>
            </w:r>
          </w:p>
        </w:tc>
      </w:tr>
      <w:tr w:rsidR="00471841" w:rsidRPr="001C4628" w:rsidTr="00495B64">
        <w:trPr>
          <w:trHeight w:val="300"/>
        </w:trPr>
        <w:tc>
          <w:tcPr>
            <w:cnfStyle w:val="001000000000"/>
            <w:tcW w:w="1526" w:type="dxa"/>
            <w:noWrap/>
            <w:hideMark/>
          </w:tcPr>
          <w:p w:rsidR="00471841" w:rsidRPr="001C4628" w:rsidRDefault="0047184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Sem 1º Bônus Demográfico</w:t>
            </w:r>
          </w:p>
        </w:tc>
        <w:tc>
          <w:tcPr>
            <w:tcW w:w="1195" w:type="dxa"/>
            <w:noWrap/>
            <w:vAlign w:val="center"/>
            <w:hideMark/>
          </w:tcPr>
          <w:p w:rsidR="00471841" w:rsidRPr="001C4628" w:rsidRDefault="0047184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32,3%</w:t>
            </w:r>
          </w:p>
        </w:tc>
        <w:tc>
          <w:tcPr>
            <w:tcW w:w="1000" w:type="dxa"/>
            <w:noWrap/>
            <w:vAlign w:val="center"/>
            <w:hideMark/>
          </w:tcPr>
          <w:p w:rsidR="00471841" w:rsidRPr="001C4628" w:rsidRDefault="0047184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3,2%</w:t>
            </w:r>
          </w:p>
        </w:tc>
        <w:tc>
          <w:tcPr>
            <w:tcW w:w="1260" w:type="dxa"/>
            <w:noWrap/>
            <w:vAlign w:val="center"/>
            <w:hideMark/>
          </w:tcPr>
          <w:p w:rsidR="00471841" w:rsidRPr="001C4628" w:rsidRDefault="0047184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0,1%</w:t>
            </w:r>
          </w:p>
        </w:tc>
        <w:tc>
          <w:tcPr>
            <w:tcW w:w="1280" w:type="dxa"/>
            <w:noWrap/>
            <w:vAlign w:val="center"/>
            <w:hideMark/>
          </w:tcPr>
          <w:p w:rsidR="00471841" w:rsidRPr="001C4628" w:rsidRDefault="0047184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0,0%</w:t>
            </w:r>
          </w:p>
        </w:tc>
        <w:tc>
          <w:tcPr>
            <w:tcW w:w="1000" w:type="dxa"/>
            <w:noWrap/>
            <w:vAlign w:val="center"/>
            <w:hideMark/>
          </w:tcPr>
          <w:p w:rsidR="00471841" w:rsidRPr="001C4628" w:rsidRDefault="0047184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36,7%</w:t>
            </w:r>
          </w:p>
        </w:tc>
      </w:tr>
      <w:tr w:rsidR="00471841" w:rsidRPr="001C4628" w:rsidTr="00495B64">
        <w:trPr>
          <w:cnfStyle w:val="000000100000"/>
          <w:trHeight w:val="300"/>
        </w:trPr>
        <w:tc>
          <w:tcPr>
            <w:cnfStyle w:val="001000000000"/>
            <w:tcW w:w="1526" w:type="dxa"/>
            <w:noWrap/>
            <w:hideMark/>
          </w:tcPr>
          <w:p w:rsidR="00471841" w:rsidRPr="001C4628" w:rsidRDefault="0047184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Sem 2º Bônus Demográfico</w:t>
            </w:r>
          </w:p>
        </w:tc>
        <w:tc>
          <w:tcPr>
            <w:tcW w:w="1195" w:type="dxa"/>
            <w:noWrap/>
            <w:vAlign w:val="center"/>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29,9%</w:t>
            </w:r>
          </w:p>
        </w:tc>
        <w:tc>
          <w:tcPr>
            <w:tcW w:w="1000" w:type="dxa"/>
            <w:noWrap/>
            <w:vAlign w:val="center"/>
            <w:hideMark/>
          </w:tcPr>
          <w:p w:rsidR="00471841" w:rsidRPr="001C4628" w:rsidRDefault="00137AC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2,3%</w:t>
            </w:r>
          </w:p>
        </w:tc>
        <w:tc>
          <w:tcPr>
            <w:tcW w:w="1260" w:type="dxa"/>
            <w:noWrap/>
            <w:vAlign w:val="center"/>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-2,6%</w:t>
            </w:r>
          </w:p>
        </w:tc>
        <w:tc>
          <w:tcPr>
            <w:tcW w:w="1280" w:type="dxa"/>
            <w:noWrap/>
            <w:vAlign w:val="center"/>
            <w:hideMark/>
          </w:tcPr>
          <w:p w:rsidR="00471841" w:rsidRPr="001C4628" w:rsidRDefault="00471841" w:rsidP="00495B64">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14,2%</w:t>
            </w:r>
          </w:p>
        </w:tc>
        <w:tc>
          <w:tcPr>
            <w:tcW w:w="1000" w:type="dxa"/>
            <w:noWrap/>
            <w:vAlign w:val="center"/>
            <w:hideMark/>
          </w:tcPr>
          <w:p w:rsidR="00471841" w:rsidRPr="001C4628" w:rsidRDefault="00471841" w:rsidP="00137AC1">
            <w:pPr>
              <w:jc w:val="center"/>
              <w:cnfStyle w:val="0000001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4</w:t>
            </w:r>
            <w:r w:rsidR="00137AC1" w:rsidRPr="001C4628">
              <w:rPr>
                <w:rFonts w:ascii="Times New Roman" w:eastAsia="Times New Roman" w:hAnsi="Times New Roman" w:cs="Times New Roman"/>
                <w:color w:val="000000"/>
                <w:sz w:val="24"/>
                <w:szCs w:val="24"/>
                <w:lang w:eastAsia="pt-BR"/>
              </w:rPr>
              <w:t>7</w:t>
            </w:r>
            <w:r w:rsidRPr="001C4628">
              <w:rPr>
                <w:rFonts w:ascii="Times New Roman" w:eastAsia="Times New Roman" w:hAnsi="Times New Roman" w:cs="Times New Roman"/>
                <w:color w:val="000000"/>
                <w:sz w:val="24"/>
                <w:szCs w:val="24"/>
                <w:lang w:eastAsia="pt-BR"/>
              </w:rPr>
              <w:t>,8%</w:t>
            </w:r>
          </w:p>
        </w:tc>
      </w:tr>
      <w:tr w:rsidR="00471841" w:rsidRPr="001C4628" w:rsidTr="00495B64">
        <w:trPr>
          <w:trHeight w:val="300"/>
        </w:trPr>
        <w:tc>
          <w:tcPr>
            <w:cnfStyle w:val="001000000000"/>
            <w:tcW w:w="1526" w:type="dxa"/>
            <w:noWrap/>
            <w:hideMark/>
          </w:tcPr>
          <w:p w:rsidR="00471841" w:rsidRPr="001C4628" w:rsidRDefault="00471841" w:rsidP="00495B64">
            <w:pPr>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Sem Bônus Demográfico</w:t>
            </w:r>
          </w:p>
        </w:tc>
        <w:tc>
          <w:tcPr>
            <w:tcW w:w="1195" w:type="dxa"/>
            <w:noWrap/>
            <w:vAlign w:val="center"/>
            <w:hideMark/>
          </w:tcPr>
          <w:p w:rsidR="00471841" w:rsidRPr="001C4628" w:rsidRDefault="0047184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29,9%</w:t>
            </w:r>
          </w:p>
        </w:tc>
        <w:tc>
          <w:tcPr>
            <w:tcW w:w="1000" w:type="dxa"/>
            <w:noWrap/>
            <w:vAlign w:val="center"/>
            <w:hideMark/>
          </w:tcPr>
          <w:p w:rsidR="00471841" w:rsidRPr="001C4628" w:rsidRDefault="00137AC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2,3</w:t>
            </w:r>
            <w:r w:rsidR="00471841" w:rsidRPr="001C4628">
              <w:rPr>
                <w:rFonts w:ascii="Times New Roman" w:eastAsia="Times New Roman" w:hAnsi="Times New Roman" w:cs="Times New Roman"/>
                <w:color w:val="000000"/>
                <w:sz w:val="24"/>
                <w:szCs w:val="24"/>
                <w:lang w:eastAsia="pt-BR"/>
              </w:rPr>
              <w:t>%</w:t>
            </w:r>
          </w:p>
        </w:tc>
        <w:tc>
          <w:tcPr>
            <w:tcW w:w="1260" w:type="dxa"/>
            <w:noWrap/>
            <w:vAlign w:val="center"/>
            <w:hideMark/>
          </w:tcPr>
          <w:p w:rsidR="00471841" w:rsidRPr="001C4628" w:rsidRDefault="0047184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-2,6%</w:t>
            </w:r>
          </w:p>
        </w:tc>
        <w:tc>
          <w:tcPr>
            <w:tcW w:w="1280" w:type="dxa"/>
            <w:noWrap/>
            <w:vAlign w:val="center"/>
            <w:hideMark/>
          </w:tcPr>
          <w:p w:rsidR="00471841" w:rsidRPr="001C4628" w:rsidRDefault="00471841" w:rsidP="00495B64">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0,0%</w:t>
            </w:r>
          </w:p>
        </w:tc>
        <w:tc>
          <w:tcPr>
            <w:tcW w:w="1000" w:type="dxa"/>
            <w:noWrap/>
            <w:vAlign w:val="center"/>
            <w:hideMark/>
          </w:tcPr>
          <w:p w:rsidR="00471841" w:rsidRPr="001C4628" w:rsidRDefault="00471841" w:rsidP="00137AC1">
            <w:pPr>
              <w:jc w:val="center"/>
              <w:cnfStyle w:val="000000000000"/>
              <w:rPr>
                <w:rFonts w:ascii="Times New Roman" w:eastAsia="Times New Roman" w:hAnsi="Times New Roman" w:cs="Times New Roman"/>
                <w:color w:val="000000"/>
                <w:sz w:val="24"/>
                <w:szCs w:val="24"/>
                <w:lang w:eastAsia="pt-BR"/>
              </w:rPr>
            </w:pPr>
            <w:r w:rsidRPr="001C4628">
              <w:rPr>
                <w:rFonts w:ascii="Times New Roman" w:eastAsia="Times New Roman" w:hAnsi="Times New Roman" w:cs="Times New Roman"/>
                <w:color w:val="000000"/>
                <w:sz w:val="24"/>
                <w:szCs w:val="24"/>
                <w:lang w:eastAsia="pt-BR"/>
              </w:rPr>
              <w:t>2</w:t>
            </w:r>
            <w:r w:rsidR="00137AC1" w:rsidRPr="001C4628">
              <w:rPr>
                <w:rFonts w:ascii="Times New Roman" w:eastAsia="Times New Roman" w:hAnsi="Times New Roman" w:cs="Times New Roman"/>
                <w:color w:val="000000"/>
                <w:sz w:val="24"/>
                <w:szCs w:val="24"/>
                <w:lang w:eastAsia="pt-BR"/>
              </w:rPr>
              <w:t>9,4</w:t>
            </w:r>
            <w:r w:rsidRPr="001C4628">
              <w:rPr>
                <w:rFonts w:ascii="Times New Roman" w:eastAsia="Times New Roman" w:hAnsi="Times New Roman" w:cs="Times New Roman"/>
                <w:color w:val="000000"/>
                <w:sz w:val="24"/>
                <w:szCs w:val="24"/>
                <w:lang w:eastAsia="pt-BR"/>
              </w:rPr>
              <w:t>%</w:t>
            </w:r>
          </w:p>
        </w:tc>
      </w:tr>
    </w:tbl>
    <w:p w:rsidR="00471841" w:rsidRDefault="00691C91" w:rsidP="00471841">
      <w:pPr>
        <w:rPr>
          <w:rFonts w:ascii="Times New Roman" w:eastAsiaTheme="minorEastAsia" w:hAnsi="Times New Roman" w:cs="Times New Roman"/>
          <w:sz w:val="24"/>
          <w:szCs w:val="24"/>
        </w:rPr>
      </w:pPr>
      <w:r w:rsidRPr="001C4628">
        <w:rPr>
          <w:rFonts w:ascii="Times New Roman" w:eastAsiaTheme="minorEastAsia" w:hAnsi="Times New Roman" w:cs="Times New Roman"/>
          <w:sz w:val="24"/>
          <w:szCs w:val="24"/>
        </w:rPr>
        <w:t>Fonte: PNAD; Elaboração Própria</w:t>
      </w:r>
    </w:p>
    <w:p w:rsidR="00B70483" w:rsidRPr="001C4628" w:rsidRDefault="00F56B7B" w:rsidP="00DF581A">
      <w:pPr>
        <w:tabs>
          <w:tab w:val="left" w:pos="709"/>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8C5CA1">
        <w:rPr>
          <w:rFonts w:ascii="Times New Roman" w:eastAsiaTheme="minorEastAsia" w:hAnsi="Times New Roman" w:cs="Times New Roman"/>
          <w:sz w:val="24"/>
          <w:szCs w:val="24"/>
        </w:rPr>
        <w:t xml:space="preserve">Cruzando os resultados da PNAD com os dados do INSS, pode-se realizar </w:t>
      </w:r>
      <w:r w:rsidR="00380BDF">
        <w:rPr>
          <w:rFonts w:ascii="Times New Roman" w:eastAsiaTheme="minorEastAsia" w:hAnsi="Times New Roman" w:cs="Times New Roman"/>
          <w:sz w:val="24"/>
          <w:szCs w:val="24"/>
        </w:rPr>
        <w:t>um exercício contrafactual no qual se</w:t>
      </w:r>
      <w:r w:rsidR="00B70483" w:rsidRPr="001C4628">
        <w:rPr>
          <w:rFonts w:ascii="Times New Roman" w:eastAsiaTheme="minorEastAsia" w:hAnsi="Times New Roman" w:cs="Times New Roman"/>
          <w:sz w:val="24"/>
          <w:szCs w:val="24"/>
        </w:rPr>
        <w:t xml:space="preserve"> evidencia a razão </w:t>
      </w:r>
      <w:r w:rsidR="00EA7EC9">
        <w:rPr>
          <w:rFonts w:ascii="Times New Roman" w:eastAsiaTheme="minorEastAsia" w:hAnsi="Times New Roman" w:cs="Times New Roman"/>
          <w:sz w:val="24"/>
          <w:szCs w:val="24"/>
        </w:rPr>
        <w:t>da arrecadação sobre a despesa</w:t>
      </w:r>
      <w:r w:rsidR="00B70483" w:rsidRPr="001C4628">
        <w:rPr>
          <w:rFonts w:ascii="Times New Roman" w:eastAsiaTheme="minorEastAsia" w:hAnsi="Times New Roman" w:cs="Times New Roman"/>
          <w:sz w:val="24"/>
          <w:szCs w:val="24"/>
        </w:rPr>
        <w:t xml:space="preserve"> com e</w:t>
      </w:r>
      <w:r w:rsidR="00380BDF">
        <w:rPr>
          <w:rFonts w:ascii="Times New Roman" w:eastAsiaTheme="minorEastAsia" w:hAnsi="Times New Roman" w:cs="Times New Roman"/>
          <w:sz w:val="24"/>
          <w:szCs w:val="24"/>
        </w:rPr>
        <w:t xml:space="preserve"> supostamente</w:t>
      </w:r>
      <w:r w:rsidR="00B70483" w:rsidRPr="001C4628">
        <w:rPr>
          <w:rFonts w:ascii="Times New Roman" w:eastAsiaTheme="minorEastAsia" w:hAnsi="Times New Roman" w:cs="Times New Roman"/>
          <w:sz w:val="24"/>
          <w:szCs w:val="24"/>
        </w:rPr>
        <w:t xml:space="preserve"> sem o Bônus Demográfico. </w:t>
      </w:r>
      <w:r w:rsidR="008C5CA1">
        <w:rPr>
          <w:rFonts w:ascii="Times New Roman" w:eastAsiaTheme="minorEastAsia" w:hAnsi="Times New Roman" w:cs="Times New Roman"/>
          <w:sz w:val="24"/>
          <w:szCs w:val="24"/>
        </w:rPr>
        <w:t xml:space="preserve">O Gráfico 10 revela, </w:t>
      </w:r>
      <w:r w:rsidR="00380BDF">
        <w:rPr>
          <w:rFonts w:ascii="Times New Roman" w:eastAsiaTheme="minorEastAsia" w:hAnsi="Times New Roman" w:cs="Times New Roman"/>
          <w:sz w:val="24"/>
          <w:szCs w:val="24"/>
        </w:rPr>
        <w:t>assim, que</w:t>
      </w:r>
      <w:r w:rsidR="00346FBA">
        <w:rPr>
          <w:rFonts w:ascii="Times New Roman" w:eastAsiaTheme="minorEastAsia" w:hAnsi="Times New Roman" w:cs="Times New Roman"/>
          <w:sz w:val="24"/>
          <w:szCs w:val="24"/>
        </w:rPr>
        <w:t xml:space="preserve"> </w:t>
      </w:r>
      <w:r w:rsidR="008417E8">
        <w:rPr>
          <w:rFonts w:ascii="Times New Roman" w:eastAsiaTheme="minorEastAsia" w:hAnsi="Times New Roman" w:cs="Times New Roman"/>
          <w:sz w:val="24"/>
          <w:szCs w:val="24"/>
        </w:rPr>
        <w:t xml:space="preserve">ao invés de se elevar para 96,1%, essa razão </w:t>
      </w:r>
      <w:r w:rsidR="008C5CA1">
        <w:rPr>
          <w:rFonts w:ascii="Times New Roman" w:eastAsiaTheme="minorEastAsia" w:hAnsi="Times New Roman" w:cs="Times New Roman"/>
          <w:sz w:val="24"/>
          <w:szCs w:val="24"/>
        </w:rPr>
        <w:t>teria caído</w:t>
      </w:r>
      <w:r w:rsidR="00A72086">
        <w:rPr>
          <w:rFonts w:ascii="Times New Roman" w:eastAsiaTheme="minorEastAsia" w:hAnsi="Times New Roman" w:cs="Times New Roman"/>
          <w:sz w:val="24"/>
          <w:szCs w:val="24"/>
        </w:rPr>
        <w:t xml:space="preserve"> para 76</w:t>
      </w:r>
      <w:r w:rsidR="008417E8">
        <w:rPr>
          <w:rFonts w:ascii="Times New Roman" w:eastAsiaTheme="minorEastAsia" w:hAnsi="Times New Roman" w:cs="Times New Roman"/>
          <w:sz w:val="24"/>
          <w:szCs w:val="24"/>
        </w:rPr>
        <w:t xml:space="preserve">,5%, </w:t>
      </w:r>
      <w:r w:rsidR="008C5CA1">
        <w:rPr>
          <w:rFonts w:ascii="Times New Roman" w:eastAsiaTheme="minorEastAsia" w:hAnsi="Times New Roman" w:cs="Times New Roman"/>
          <w:sz w:val="24"/>
          <w:szCs w:val="24"/>
        </w:rPr>
        <w:t>mostrando que a melhoria da Saúde Financeira da Previdência deveu-se inteiramente ao Bônus Demográfico.</w:t>
      </w:r>
    </w:p>
    <w:p w:rsidR="006D66D1" w:rsidRDefault="00A72086" w:rsidP="00F84DD1">
      <w:pPr>
        <w:tabs>
          <w:tab w:val="left" w:pos="7410"/>
        </w:tabs>
        <w:rPr>
          <w:rFonts w:ascii="Times New Roman" w:eastAsiaTheme="minorEastAsia" w:hAnsi="Times New Roman" w:cs="Times New Roman"/>
          <w:sz w:val="24"/>
          <w:szCs w:val="24"/>
        </w:rPr>
      </w:pPr>
      <w:r>
        <w:rPr>
          <w:noProof/>
          <w:lang w:eastAsia="pt-BR"/>
        </w:rPr>
        <w:drawing>
          <wp:inline distT="0" distB="0" distL="0" distR="0">
            <wp:extent cx="5238750" cy="3124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94AC9" w:rsidRDefault="00194AC9" w:rsidP="00194AC9">
      <w:pPr>
        <w:tabs>
          <w:tab w:val="left" w:pos="741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Fonte: Elaboração própria</w:t>
      </w:r>
    </w:p>
    <w:p w:rsidR="006C17B9" w:rsidRDefault="00F56B7B" w:rsidP="00194AC9">
      <w:pPr>
        <w:tabs>
          <w:tab w:val="left" w:pos="709"/>
          <w:tab w:val="left" w:pos="741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94AC9">
        <w:rPr>
          <w:rFonts w:ascii="Times New Roman" w:eastAsiaTheme="minorEastAsia" w:hAnsi="Times New Roman" w:cs="Times New Roman"/>
          <w:sz w:val="24"/>
          <w:szCs w:val="24"/>
        </w:rPr>
        <w:t xml:space="preserve">O Bônus Demográfico, como afirmado por </w:t>
      </w:r>
      <w:r w:rsidR="00B70483">
        <w:rPr>
          <w:rFonts w:ascii="Times New Roman" w:eastAsiaTheme="minorEastAsia" w:hAnsi="Times New Roman" w:cs="Times New Roman"/>
          <w:sz w:val="24"/>
          <w:szCs w:val="24"/>
        </w:rPr>
        <w:t xml:space="preserve">Mason </w:t>
      </w:r>
      <w:r w:rsidR="00194AC9">
        <w:rPr>
          <w:rFonts w:ascii="Times New Roman" w:eastAsiaTheme="minorEastAsia" w:hAnsi="Times New Roman" w:cs="Times New Roman"/>
          <w:sz w:val="24"/>
          <w:szCs w:val="24"/>
        </w:rPr>
        <w:t>(2005), é transitório e a velocidade de seu fim depende da velocidade com a qual se envelhece a população</w:t>
      </w:r>
      <w:r w:rsidR="00DF581A">
        <w:rPr>
          <w:rFonts w:ascii="Times New Roman" w:eastAsiaTheme="minorEastAsia" w:hAnsi="Times New Roman" w:cs="Times New Roman"/>
          <w:sz w:val="24"/>
          <w:szCs w:val="24"/>
        </w:rPr>
        <w:t>, passando de uma estrutura madura (com a maioria da população de 25 a 59 anos) para uma estrutura de maior peso da população idosa</w:t>
      </w:r>
      <w:r w:rsidR="00194AC9">
        <w:rPr>
          <w:rFonts w:ascii="Times New Roman" w:eastAsiaTheme="minorEastAsia" w:hAnsi="Times New Roman" w:cs="Times New Roman"/>
          <w:sz w:val="24"/>
          <w:szCs w:val="24"/>
        </w:rPr>
        <w:t xml:space="preserve">. O Brasil, </w:t>
      </w:r>
      <w:r w:rsidR="00B70483">
        <w:rPr>
          <w:rFonts w:ascii="Times New Roman" w:eastAsiaTheme="minorEastAsia" w:hAnsi="Times New Roman" w:cs="Times New Roman"/>
          <w:sz w:val="24"/>
          <w:szCs w:val="24"/>
        </w:rPr>
        <w:t>como visto no Gráfico 7</w:t>
      </w:r>
      <w:r w:rsidR="00194AC9">
        <w:rPr>
          <w:rFonts w:ascii="Times New Roman" w:eastAsiaTheme="minorEastAsia" w:hAnsi="Times New Roman" w:cs="Times New Roman"/>
          <w:sz w:val="24"/>
          <w:szCs w:val="24"/>
        </w:rPr>
        <w:t xml:space="preserve">, passa hoje por uma </w:t>
      </w:r>
      <w:r w:rsidR="00AB594A">
        <w:rPr>
          <w:rFonts w:ascii="Times New Roman" w:eastAsiaTheme="minorEastAsia" w:hAnsi="Times New Roman" w:cs="Times New Roman"/>
          <w:sz w:val="24"/>
          <w:szCs w:val="24"/>
        </w:rPr>
        <w:t>veloz transição</w:t>
      </w:r>
      <w:r w:rsidR="00194AC9">
        <w:rPr>
          <w:rFonts w:ascii="Times New Roman" w:eastAsiaTheme="minorEastAsia" w:hAnsi="Times New Roman" w:cs="Times New Roman"/>
          <w:sz w:val="24"/>
          <w:szCs w:val="24"/>
        </w:rPr>
        <w:t xml:space="preserve"> demográfica, na qual a idade média avança rapidamente</w:t>
      </w:r>
      <w:r w:rsidR="00B70483">
        <w:rPr>
          <w:rFonts w:ascii="Times New Roman" w:eastAsiaTheme="minorEastAsia" w:hAnsi="Times New Roman" w:cs="Times New Roman"/>
          <w:sz w:val="24"/>
          <w:szCs w:val="24"/>
        </w:rPr>
        <w:t xml:space="preserve">, com claros efeitos sobre Previdência. </w:t>
      </w:r>
    </w:p>
    <w:p w:rsidR="00194AC9" w:rsidRDefault="00F56B7B" w:rsidP="00194AC9">
      <w:pPr>
        <w:tabs>
          <w:tab w:val="left" w:pos="709"/>
          <w:tab w:val="left" w:pos="741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70483">
        <w:rPr>
          <w:rFonts w:ascii="Times New Roman" w:eastAsiaTheme="minorEastAsia" w:hAnsi="Times New Roman" w:cs="Times New Roman"/>
          <w:sz w:val="24"/>
          <w:szCs w:val="24"/>
        </w:rPr>
        <w:t>O Gráfico 1</w:t>
      </w:r>
      <w:r w:rsidR="006C17B9">
        <w:rPr>
          <w:rFonts w:ascii="Times New Roman" w:eastAsiaTheme="minorEastAsia" w:hAnsi="Times New Roman" w:cs="Times New Roman"/>
          <w:sz w:val="24"/>
          <w:szCs w:val="24"/>
        </w:rPr>
        <w:t>1</w:t>
      </w:r>
      <w:r w:rsidR="00B70483">
        <w:rPr>
          <w:rFonts w:ascii="Times New Roman" w:eastAsiaTheme="minorEastAsia" w:hAnsi="Times New Roman" w:cs="Times New Roman"/>
          <w:sz w:val="24"/>
          <w:szCs w:val="24"/>
        </w:rPr>
        <w:t xml:space="preserve"> revela taxas de crescimento cada vez menores da População em Idade Ativa, até o fim do primeiro Bônus Demográfico em 2030. Ao mesmo tempo, a população </w:t>
      </w:r>
      <w:r w:rsidR="006C17B9">
        <w:rPr>
          <w:rFonts w:ascii="Times New Roman" w:eastAsiaTheme="minorEastAsia" w:hAnsi="Times New Roman" w:cs="Times New Roman"/>
          <w:sz w:val="24"/>
          <w:szCs w:val="24"/>
        </w:rPr>
        <w:t xml:space="preserve">entre 25 e 59 anos, cresce a taxas decrescentes desde 2011, até chegar a uma variação de apenas 0,3% em 2032. Por fim, a população </w:t>
      </w:r>
      <w:r w:rsidR="00B70483">
        <w:rPr>
          <w:rFonts w:ascii="Times New Roman" w:eastAsiaTheme="minorEastAsia" w:hAnsi="Times New Roman" w:cs="Times New Roman"/>
          <w:sz w:val="24"/>
          <w:szCs w:val="24"/>
        </w:rPr>
        <w:t xml:space="preserve">com idade acima de 65 anos continua a crescer em taxas superiores a 3% ao ano, e cada vez maiores desde 2008, configurando em um aumento cada vez maior da demanda pelo serviço da aposentadoria por idade. </w:t>
      </w:r>
    </w:p>
    <w:p w:rsidR="00194AC9" w:rsidRDefault="00DF581A" w:rsidP="00380BDF">
      <w:pPr>
        <w:tabs>
          <w:tab w:val="left" w:pos="709"/>
          <w:tab w:val="left" w:pos="7410"/>
        </w:tabs>
        <w:rPr>
          <w:rFonts w:ascii="Times New Roman" w:eastAsiaTheme="minorEastAsia" w:hAnsi="Times New Roman" w:cs="Times New Roman"/>
          <w:sz w:val="24"/>
          <w:szCs w:val="24"/>
        </w:rPr>
      </w:pPr>
      <w:r>
        <w:rPr>
          <w:noProof/>
          <w:lang w:eastAsia="pt-BR"/>
        </w:rPr>
        <w:drawing>
          <wp:inline distT="0" distB="0" distL="0" distR="0">
            <wp:extent cx="5400675" cy="337185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380BDF" w:rsidRDefault="00380BDF" w:rsidP="00380BDF">
      <w:pPr>
        <w:tabs>
          <w:tab w:val="left" w:pos="709"/>
          <w:tab w:val="left" w:pos="741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Fonte: </w:t>
      </w:r>
      <w:r w:rsidRPr="001C4628">
        <w:rPr>
          <w:rFonts w:ascii="Times New Roman" w:eastAsiaTheme="minorEastAsia" w:hAnsi="Times New Roman" w:cs="Times New Roman"/>
          <w:sz w:val="24"/>
          <w:szCs w:val="24"/>
        </w:rPr>
        <w:t>Projeções Populacionais (IBGE); Elaboração Própria</w:t>
      </w:r>
    </w:p>
    <w:p w:rsidR="006C17B9" w:rsidRDefault="006C17B9" w:rsidP="00380BDF">
      <w:pPr>
        <w:tabs>
          <w:tab w:val="left" w:pos="709"/>
          <w:tab w:val="left" w:pos="741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Conforme revelam os dados, o Bônus Demográfico será neutralizado em um horizonte de menos de 20 anos, e a demanda pelas aposentadorias por idade cada vez maior. </w:t>
      </w:r>
      <w:r w:rsidR="003551B5">
        <w:rPr>
          <w:rFonts w:ascii="Times New Roman" w:eastAsiaTheme="minorEastAsia" w:hAnsi="Times New Roman" w:cs="Times New Roman"/>
          <w:sz w:val="24"/>
          <w:szCs w:val="24"/>
        </w:rPr>
        <w:t xml:space="preserve">Logo, a necessidade de repasses do Tesouro à Previdência Social será cada vez mais pesado, dificultando progressivamente a formação de poupança </w:t>
      </w:r>
      <w:r w:rsidR="002F6AD5">
        <w:rPr>
          <w:rFonts w:ascii="Times New Roman" w:eastAsiaTheme="minorEastAsia" w:hAnsi="Times New Roman" w:cs="Times New Roman"/>
          <w:sz w:val="24"/>
          <w:szCs w:val="24"/>
        </w:rPr>
        <w:t>(Pessoa</w:t>
      </w:r>
      <w:r w:rsidR="009D3E4E">
        <w:rPr>
          <w:rFonts w:ascii="Times New Roman" w:eastAsiaTheme="minorEastAsia" w:hAnsi="Times New Roman" w:cs="Times New Roman"/>
          <w:sz w:val="24"/>
          <w:szCs w:val="24"/>
        </w:rPr>
        <w:t xml:space="preserve"> e Matos</w:t>
      </w:r>
      <w:r w:rsidR="002F6AD5">
        <w:rPr>
          <w:rFonts w:ascii="Times New Roman" w:eastAsiaTheme="minorEastAsia" w:hAnsi="Times New Roman" w:cs="Times New Roman"/>
          <w:sz w:val="24"/>
          <w:szCs w:val="24"/>
        </w:rPr>
        <w:t xml:space="preserve">, 2014) </w:t>
      </w:r>
      <w:r w:rsidR="003551B5">
        <w:rPr>
          <w:rFonts w:ascii="Times New Roman" w:eastAsiaTheme="minorEastAsia" w:hAnsi="Times New Roman" w:cs="Times New Roman"/>
          <w:sz w:val="24"/>
          <w:szCs w:val="24"/>
        </w:rPr>
        <w:t xml:space="preserve">e o </w:t>
      </w:r>
      <w:r w:rsidR="003551B5" w:rsidRPr="003551B5">
        <w:rPr>
          <w:rFonts w:ascii="Times New Roman" w:eastAsiaTheme="minorEastAsia" w:hAnsi="Times New Roman" w:cs="Times New Roman"/>
          <w:i/>
          <w:sz w:val="24"/>
          <w:szCs w:val="24"/>
        </w:rPr>
        <w:t>superávit</w:t>
      </w:r>
      <w:r w:rsidR="003551B5">
        <w:rPr>
          <w:rFonts w:ascii="Times New Roman" w:eastAsiaTheme="minorEastAsia" w:hAnsi="Times New Roman" w:cs="Times New Roman"/>
          <w:sz w:val="24"/>
          <w:szCs w:val="24"/>
        </w:rPr>
        <w:t xml:space="preserve"> primário. É quase impossível, diante desse panorama, não se colocar em caráter de urgência a discussão de uma reforma previdenciária. </w:t>
      </w:r>
    </w:p>
    <w:p w:rsidR="00380BDF" w:rsidRDefault="00380BDF" w:rsidP="00380BDF">
      <w:pPr>
        <w:tabs>
          <w:tab w:val="left" w:pos="709"/>
          <w:tab w:val="left" w:pos="7410"/>
        </w:tabs>
        <w:rPr>
          <w:rFonts w:ascii="Times New Roman" w:eastAsiaTheme="minorEastAsia" w:hAnsi="Times New Roman" w:cs="Times New Roman"/>
          <w:sz w:val="24"/>
          <w:szCs w:val="24"/>
        </w:rPr>
      </w:pPr>
    </w:p>
    <w:p w:rsidR="00380BDF" w:rsidRPr="007A100B" w:rsidRDefault="00380BDF" w:rsidP="007A100B">
      <w:pPr>
        <w:pStyle w:val="PargrafodaLista"/>
        <w:numPr>
          <w:ilvl w:val="0"/>
          <w:numId w:val="3"/>
        </w:numPr>
        <w:tabs>
          <w:tab w:val="left" w:pos="709"/>
          <w:tab w:val="left" w:pos="7410"/>
        </w:tabs>
        <w:rPr>
          <w:rFonts w:ascii="Times New Roman" w:eastAsiaTheme="minorEastAsia" w:hAnsi="Times New Roman"/>
          <w:sz w:val="24"/>
          <w:szCs w:val="24"/>
        </w:rPr>
      </w:pPr>
      <w:r w:rsidRPr="007A100B">
        <w:rPr>
          <w:rFonts w:ascii="Times New Roman" w:eastAsiaTheme="minorEastAsia" w:hAnsi="Times New Roman"/>
          <w:sz w:val="24"/>
          <w:szCs w:val="24"/>
        </w:rPr>
        <w:lastRenderedPageBreak/>
        <w:t>Conclusão</w:t>
      </w:r>
    </w:p>
    <w:p w:rsidR="00380BDF" w:rsidRDefault="00380BDF" w:rsidP="00380BDF">
      <w:pPr>
        <w:tabs>
          <w:tab w:val="left" w:pos="709"/>
          <w:tab w:val="left" w:pos="7410"/>
        </w:tabs>
        <w:rPr>
          <w:rFonts w:ascii="Times New Roman" w:eastAsiaTheme="minorEastAsia" w:hAnsi="Times New Roman" w:cs="Times New Roman"/>
          <w:sz w:val="24"/>
          <w:szCs w:val="24"/>
        </w:rPr>
      </w:pPr>
    </w:p>
    <w:p w:rsidR="00380BDF" w:rsidRDefault="00F56B7B" w:rsidP="00380BDF">
      <w:pPr>
        <w:tabs>
          <w:tab w:val="left" w:pos="709"/>
          <w:tab w:val="left" w:pos="741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80BDF">
        <w:rPr>
          <w:rFonts w:ascii="Times New Roman" w:eastAsiaTheme="minorEastAsia" w:hAnsi="Times New Roman" w:cs="Times New Roman"/>
          <w:sz w:val="24"/>
          <w:szCs w:val="24"/>
        </w:rPr>
        <w:t>Es</w:t>
      </w:r>
      <w:r w:rsidR="00A508D3">
        <w:rPr>
          <w:rFonts w:ascii="Times New Roman" w:eastAsiaTheme="minorEastAsia" w:hAnsi="Times New Roman" w:cs="Times New Roman"/>
          <w:sz w:val="24"/>
          <w:szCs w:val="24"/>
        </w:rPr>
        <w:t>t</w:t>
      </w:r>
      <w:r w:rsidR="00380BDF">
        <w:rPr>
          <w:rFonts w:ascii="Times New Roman" w:eastAsiaTheme="minorEastAsia" w:hAnsi="Times New Roman" w:cs="Times New Roman"/>
          <w:sz w:val="24"/>
          <w:szCs w:val="24"/>
        </w:rPr>
        <w:t xml:space="preserve">e artigo teve como fim quantificar o efeito do Bônus Demográfico sobre a </w:t>
      </w:r>
      <w:r w:rsidR="00A508D3">
        <w:rPr>
          <w:rFonts w:ascii="Times New Roman" w:eastAsiaTheme="minorEastAsia" w:hAnsi="Times New Roman" w:cs="Times New Roman"/>
          <w:sz w:val="24"/>
          <w:szCs w:val="24"/>
        </w:rPr>
        <w:t>Saúde O</w:t>
      </w:r>
      <w:r w:rsidR="00446B18">
        <w:rPr>
          <w:rFonts w:ascii="Times New Roman" w:eastAsiaTheme="minorEastAsia" w:hAnsi="Times New Roman" w:cs="Times New Roman"/>
          <w:sz w:val="24"/>
          <w:szCs w:val="24"/>
        </w:rPr>
        <w:t xml:space="preserve">rçamentária da </w:t>
      </w:r>
      <w:r w:rsidR="00380BDF">
        <w:rPr>
          <w:rFonts w:ascii="Times New Roman" w:eastAsiaTheme="minorEastAsia" w:hAnsi="Times New Roman" w:cs="Times New Roman"/>
          <w:sz w:val="24"/>
          <w:szCs w:val="24"/>
        </w:rPr>
        <w:t>Previdência Social</w:t>
      </w:r>
      <w:r w:rsidR="00D26F23">
        <w:rPr>
          <w:rFonts w:ascii="Times New Roman" w:eastAsiaTheme="minorEastAsia" w:hAnsi="Times New Roman" w:cs="Times New Roman"/>
          <w:sz w:val="24"/>
          <w:szCs w:val="24"/>
        </w:rPr>
        <w:t xml:space="preserve"> entre 2002 e 2012</w:t>
      </w:r>
      <w:r w:rsidR="00380BDF">
        <w:rPr>
          <w:rFonts w:ascii="Times New Roman" w:eastAsiaTheme="minorEastAsia" w:hAnsi="Times New Roman" w:cs="Times New Roman"/>
          <w:sz w:val="24"/>
          <w:szCs w:val="24"/>
        </w:rPr>
        <w:t xml:space="preserve">, </w:t>
      </w:r>
      <w:r w:rsidR="00446B18">
        <w:rPr>
          <w:rFonts w:ascii="Times New Roman" w:eastAsiaTheme="minorEastAsia" w:hAnsi="Times New Roman" w:cs="Times New Roman"/>
          <w:sz w:val="24"/>
          <w:szCs w:val="24"/>
        </w:rPr>
        <w:t>com foco no</w:t>
      </w:r>
      <w:r w:rsidR="00380BDF">
        <w:rPr>
          <w:rFonts w:ascii="Times New Roman" w:eastAsiaTheme="minorEastAsia" w:hAnsi="Times New Roman" w:cs="Times New Roman"/>
          <w:sz w:val="24"/>
          <w:szCs w:val="24"/>
        </w:rPr>
        <w:t xml:space="preserve"> número de contribuintes. </w:t>
      </w:r>
      <w:r w:rsidR="00446B18">
        <w:rPr>
          <w:rFonts w:ascii="Times New Roman" w:eastAsiaTheme="minorEastAsia" w:hAnsi="Times New Roman" w:cs="Times New Roman"/>
          <w:sz w:val="24"/>
          <w:szCs w:val="24"/>
        </w:rPr>
        <w:t>Após uma decomposição da razão da arrecadação sobre a despesa do INSS, foi possível também decompor a variação número de contribuintes</w:t>
      </w:r>
      <w:r w:rsidR="00630B00">
        <w:rPr>
          <w:rFonts w:ascii="Times New Roman" w:eastAsiaTheme="minorEastAsia" w:hAnsi="Times New Roman" w:cs="Times New Roman"/>
          <w:sz w:val="24"/>
          <w:szCs w:val="24"/>
        </w:rPr>
        <w:t>, de 56% segundo a PNAD,</w:t>
      </w:r>
      <w:r w:rsidR="00446B18">
        <w:rPr>
          <w:rFonts w:ascii="Times New Roman" w:eastAsiaTheme="minorEastAsia" w:hAnsi="Times New Roman" w:cs="Times New Roman"/>
          <w:sz w:val="24"/>
          <w:szCs w:val="24"/>
        </w:rPr>
        <w:t xml:space="preserve"> entre quatro variá</w:t>
      </w:r>
      <w:r w:rsidR="00D26F23">
        <w:rPr>
          <w:rFonts w:ascii="Times New Roman" w:eastAsiaTheme="minorEastAsia" w:hAnsi="Times New Roman" w:cs="Times New Roman"/>
          <w:sz w:val="24"/>
          <w:szCs w:val="24"/>
        </w:rPr>
        <w:t>veis com diferentes trajetórias: Taxa de Formalidade, que cresceu 32,3%; Taxa de Ocupação, que cresceu 3,2%; Taxa de Participação, que cresceu 0,1% e</w:t>
      </w:r>
      <w:r w:rsidR="00B833DB">
        <w:rPr>
          <w:rFonts w:ascii="Times New Roman" w:eastAsiaTheme="minorEastAsia" w:hAnsi="Times New Roman" w:cs="Times New Roman"/>
          <w:sz w:val="24"/>
          <w:szCs w:val="24"/>
        </w:rPr>
        <w:t>;</w:t>
      </w:r>
      <w:r w:rsidR="00D26F23">
        <w:rPr>
          <w:rFonts w:ascii="Times New Roman" w:eastAsiaTheme="minorEastAsia" w:hAnsi="Times New Roman" w:cs="Times New Roman"/>
          <w:sz w:val="24"/>
          <w:szCs w:val="24"/>
        </w:rPr>
        <w:t xml:space="preserve"> População em Idade Ativa, que cresceu 14,2%. </w:t>
      </w:r>
    </w:p>
    <w:p w:rsidR="00630B00" w:rsidRDefault="00F56B7B" w:rsidP="00380BDF">
      <w:pPr>
        <w:tabs>
          <w:tab w:val="left" w:pos="709"/>
          <w:tab w:val="left" w:pos="741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30B00">
        <w:rPr>
          <w:rFonts w:ascii="Times New Roman" w:eastAsiaTheme="minorEastAsia" w:hAnsi="Times New Roman" w:cs="Times New Roman"/>
          <w:sz w:val="24"/>
          <w:szCs w:val="24"/>
        </w:rPr>
        <w:t>Enquanto sabe-se que o primeiro Bônus Demográfico corresponde a tal aumento expressi</w:t>
      </w:r>
      <w:r w:rsidR="00F10E76">
        <w:rPr>
          <w:rFonts w:ascii="Times New Roman" w:eastAsiaTheme="minorEastAsia" w:hAnsi="Times New Roman" w:cs="Times New Roman"/>
          <w:sz w:val="24"/>
          <w:szCs w:val="24"/>
        </w:rPr>
        <w:t xml:space="preserve">vo da População em Idade Ativa - </w:t>
      </w:r>
      <w:r w:rsidR="00630B00">
        <w:rPr>
          <w:rFonts w:ascii="Times New Roman" w:eastAsiaTheme="minorEastAsia" w:hAnsi="Times New Roman" w:cs="Times New Roman"/>
          <w:sz w:val="24"/>
          <w:szCs w:val="24"/>
        </w:rPr>
        <w:t>responsável por 25% da variação do número de contribuintes</w:t>
      </w:r>
      <w:r w:rsidR="00F10E76">
        <w:rPr>
          <w:rFonts w:ascii="Times New Roman" w:eastAsiaTheme="minorEastAsia" w:hAnsi="Times New Roman" w:cs="Times New Roman"/>
          <w:sz w:val="24"/>
          <w:szCs w:val="24"/>
        </w:rPr>
        <w:t xml:space="preserve"> no período –</w:t>
      </w:r>
      <w:r w:rsidR="00630B00">
        <w:rPr>
          <w:rFonts w:ascii="Times New Roman" w:eastAsiaTheme="minorEastAsia" w:hAnsi="Times New Roman" w:cs="Times New Roman"/>
          <w:sz w:val="24"/>
          <w:szCs w:val="24"/>
        </w:rPr>
        <w:t>, o segundo Bônus Demográfico, que representa um aumento da parcela da população madura (detentora de maior experiência e escolaridade), foi estimado com uma decomposição do efeito nível e efeito composição das primeiras três variáveis com relação a faixas de idade. Aufere-se que a Taxa de Formalidade teve um efeito composição</w:t>
      </w:r>
      <w:r w:rsidR="00F10E76">
        <w:rPr>
          <w:rFonts w:ascii="Times New Roman" w:eastAsiaTheme="minorEastAsia" w:hAnsi="Times New Roman" w:cs="Times New Roman"/>
          <w:sz w:val="24"/>
          <w:szCs w:val="24"/>
        </w:rPr>
        <w:t xml:space="preserve">, um indicativo do Bônus Demográfico, </w:t>
      </w:r>
      <w:r w:rsidR="00630B00">
        <w:rPr>
          <w:rFonts w:ascii="Times New Roman" w:eastAsiaTheme="minorEastAsia" w:hAnsi="Times New Roman" w:cs="Times New Roman"/>
          <w:sz w:val="24"/>
          <w:szCs w:val="24"/>
        </w:rPr>
        <w:t xml:space="preserve">de 2,4%, a Taxa de Ocupação, de 0,9%, e, por fim, a Taxa de Participação, de 2,7%. Sem ambos os Bônus Demográficos, o número de Contribuintes teria </w:t>
      </w:r>
      <w:r w:rsidR="00F10E76">
        <w:rPr>
          <w:rFonts w:ascii="Times New Roman" w:eastAsiaTheme="minorEastAsia" w:hAnsi="Times New Roman" w:cs="Times New Roman"/>
          <w:sz w:val="24"/>
          <w:szCs w:val="24"/>
        </w:rPr>
        <w:t>crescido</w:t>
      </w:r>
      <w:r w:rsidR="00630B00">
        <w:rPr>
          <w:rFonts w:ascii="Times New Roman" w:eastAsiaTheme="minorEastAsia" w:hAnsi="Times New Roman" w:cs="Times New Roman"/>
          <w:sz w:val="24"/>
          <w:szCs w:val="24"/>
        </w:rPr>
        <w:t xml:space="preserve"> apenas 29,4%, e a razão de Arrecadação sobre Despesa da Previd</w:t>
      </w:r>
      <w:r w:rsidR="00A72086">
        <w:rPr>
          <w:rFonts w:ascii="Times New Roman" w:eastAsiaTheme="minorEastAsia" w:hAnsi="Times New Roman" w:cs="Times New Roman"/>
          <w:sz w:val="24"/>
          <w:szCs w:val="24"/>
        </w:rPr>
        <w:t>ência teria caído de 80% para 76</w:t>
      </w:r>
      <w:r w:rsidR="00630B00">
        <w:rPr>
          <w:rFonts w:ascii="Times New Roman" w:eastAsiaTheme="minorEastAsia" w:hAnsi="Times New Roman" w:cs="Times New Roman"/>
          <w:sz w:val="24"/>
          <w:szCs w:val="24"/>
        </w:rPr>
        <w:t xml:space="preserve">,5%. </w:t>
      </w:r>
    </w:p>
    <w:p w:rsidR="00F10E76" w:rsidRDefault="00F56B7B" w:rsidP="00380BDF">
      <w:pPr>
        <w:tabs>
          <w:tab w:val="left" w:pos="709"/>
          <w:tab w:val="left" w:pos="741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508D3">
        <w:rPr>
          <w:rFonts w:ascii="Times New Roman" w:eastAsiaTheme="minorEastAsia" w:hAnsi="Times New Roman" w:cs="Times New Roman"/>
          <w:sz w:val="24"/>
          <w:szCs w:val="24"/>
        </w:rPr>
        <w:t>Portanto, os dados sugerem que o Bônus Demográfico foi responsável pela totalidade da melhoria da Saúde Orçamentária da Previdência Social</w:t>
      </w:r>
      <w:r w:rsidR="00337E57">
        <w:rPr>
          <w:rFonts w:ascii="Times New Roman" w:eastAsiaTheme="minorEastAsia" w:hAnsi="Times New Roman" w:cs="Times New Roman"/>
          <w:sz w:val="24"/>
          <w:szCs w:val="24"/>
        </w:rPr>
        <w:t xml:space="preserve"> nesse decênio</w:t>
      </w:r>
      <w:r w:rsidR="00A508D3">
        <w:rPr>
          <w:rFonts w:ascii="Times New Roman" w:eastAsiaTheme="minorEastAsia" w:hAnsi="Times New Roman" w:cs="Times New Roman"/>
          <w:sz w:val="24"/>
          <w:szCs w:val="24"/>
        </w:rPr>
        <w:t>.</w:t>
      </w:r>
      <w:r w:rsidR="00F10E76">
        <w:rPr>
          <w:rFonts w:ascii="Times New Roman" w:eastAsiaTheme="minorEastAsia" w:hAnsi="Times New Roman" w:cs="Times New Roman"/>
          <w:sz w:val="24"/>
          <w:szCs w:val="24"/>
        </w:rPr>
        <w:t xml:space="preserve"> Este artigo, por se limitar a analisar o número de contribuintes, abre margem para a quantificação dos efeitos das mudanças demográficas nesse período em outras variáveis relevantes, tais como Salário Médio e número de beneficiários do INSS.</w:t>
      </w:r>
    </w:p>
    <w:p w:rsidR="00337E57" w:rsidRDefault="00F56B7B" w:rsidP="00380BDF">
      <w:pPr>
        <w:tabs>
          <w:tab w:val="left" w:pos="709"/>
          <w:tab w:val="left" w:pos="741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F10E76">
        <w:rPr>
          <w:rFonts w:ascii="Times New Roman" w:eastAsiaTheme="minorEastAsia" w:hAnsi="Times New Roman" w:cs="Times New Roman"/>
          <w:sz w:val="24"/>
          <w:szCs w:val="24"/>
        </w:rPr>
        <w:t>Os dados também sugerem um</w:t>
      </w:r>
      <w:r w:rsidR="00337E57">
        <w:rPr>
          <w:rFonts w:ascii="Times New Roman" w:eastAsiaTheme="minorEastAsia" w:hAnsi="Times New Roman" w:cs="Times New Roman"/>
          <w:sz w:val="24"/>
          <w:szCs w:val="24"/>
        </w:rPr>
        <w:t xml:space="preserve"> cenário bem menos animador prospectivamente, sendo previsto pelas projeções populacionais do IBGE um crescimento nulo da População em Idade Ativa a partir de 2030 (passando a diminuir já a partir de 2032), e um crescimento cada vez menor da população entre 25 e 59 anos, chegando à ínfima taxa de 0,3% de crescimento entre 2031 e 2032. Com isso, é provável que o Bônus Demográfico seja zerado em um prazo de menos de 20 anos. </w:t>
      </w:r>
      <w:r w:rsidR="00F10E76">
        <w:rPr>
          <w:rFonts w:ascii="Times New Roman" w:eastAsiaTheme="minorEastAsia" w:hAnsi="Times New Roman" w:cs="Times New Roman"/>
          <w:sz w:val="24"/>
          <w:szCs w:val="24"/>
        </w:rPr>
        <w:t>A situação torna-se</w:t>
      </w:r>
      <w:r w:rsidR="00337E57">
        <w:rPr>
          <w:rFonts w:ascii="Times New Roman" w:eastAsiaTheme="minorEastAsia" w:hAnsi="Times New Roman" w:cs="Times New Roman"/>
          <w:sz w:val="24"/>
          <w:szCs w:val="24"/>
        </w:rPr>
        <w:t xml:space="preserve"> ainda menos confortável para a Previdência Social ao ser levado em conta o número cada vez maior de idosos na população brasileira, que chegará a crescer 4,4% entre 2018 e 2021. O IBGE projeta uma participação de cerca de 20% da população acima de 60 anos em 2032, induzindo uma elevadíssima demanda por aposentadoria por idade. </w:t>
      </w:r>
    </w:p>
    <w:p w:rsidR="007B2226" w:rsidRPr="00194AC9" w:rsidRDefault="00F56B7B" w:rsidP="00B4121B">
      <w:pPr>
        <w:tabs>
          <w:tab w:val="left" w:pos="709"/>
          <w:tab w:val="left" w:pos="7410"/>
        </w:tabs>
        <w:rPr>
          <w:rFonts w:ascii="CMR12" w:hAnsi="CMR12" w:cs="CMR12"/>
          <w:sz w:val="24"/>
          <w:szCs w:val="24"/>
        </w:rPr>
      </w:pPr>
      <w:r>
        <w:rPr>
          <w:rFonts w:ascii="Times New Roman" w:eastAsiaTheme="minorEastAsia" w:hAnsi="Times New Roman" w:cs="Times New Roman"/>
          <w:sz w:val="24"/>
          <w:szCs w:val="24"/>
        </w:rPr>
        <w:tab/>
      </w:r>
      <w:r w:rsidR="00F10E76">
        <w:rPr>
          <w:rFonts w:ascii="Times New Roman" w:eastAsiaTheme="minorEastAsia" w:hAnsi="Times New Roman" w:cs="Times New Roman"/>
          <w:sz w:val="24"/>
          <w:szCs w:val="24"/>
        </w:rPr>
        <w:t xml:space="preserve">Este artigo tem como proposta, diante dos dados, a colocação em caráter de urgência o debate de uma reforma previdenciária, de modo a mitigar o peso </w:t>
      </w:r>
      <w:r w:rsidR="00B833DB">
        <w:rPr>
          <w:rFonts w:ascii="Times New Roman" w:eastAsiaTheme="minorEastAsia" w:hAnsi="Times New Roman" w:cs="Times New Roman"/>
          <w:sz w:val="24"/>
          <w:szCs w:val="24"/>
        </w:rPr>
        <w:t xml:space="preserve">do </w:t>
      </w:r>
      <w:r w:rsidR="00C11E23">
        <w:rPr>
          <w:rFonts w:ascii="Times New Roman" w:eastAsiaTheme="minorEastAsia" w:hAnsi="Times New Roman" w:cs="Times New Roman"/>
          <w:sz w:val="24"/>
          <w:szCs w:val="24"/>
        </w:rPr>
        <w:t>INSS sobre as contas públicas</w:t>
      </w:r>
      <w:r w:rsidR="00B833DB">
        <w:rPr>
          <w:rFonts w:ascii="Times New Roman" w:eastAsiaTheme="minorEastAsia" w:hAnsi="Times New Roman" w:cs="Times New Roman"/>
          <w:sz w:val="24"/>
          <w:szCs w:val="24"/>
        </w:rPr>
        <w:t xml:space="preserve">. </w:t>
      </w:r>
      <w:r w:rsidR="00C11E23">
        <w:rPr>
          <w:rFonts w:ascii="Times New Roman" w:eastAsiaTheme="minorEastAsia" w:hAnsi="Times New Roman" w:cs="Times New Roman"/>
          <w:sz w:val="24"/>
          <w:szCs w:val="24"/>
        </w:rPr>
        <w:t xml:space="preserve">A proposta parte da interpretação desenvolvida acima de </w:t>
      </w:r>
      <w:r w:rsidR="00B833DB">
        <w:rPr>
          <w:rFonts w:ascii="Times New Roman" w:eastAsiaTheme="minorEastAsia" w:hAnsi="Times New Roman" w:cs="Times New Roman"/>
          <w:sz w:val="24"/>
          <w:szCs w:val="24"/>
        </w:rPr>
        <w:t xml:space="preserve">que </w:t>
      </w:r>
      <w:r w:rsidR="00C11E23">
        <w:rPr>
          <w:rFonts w:ascii="Times New Roman" w:eastAsiaTheme="minorEastAsia" w:hAnsi="Times New Roman" w:cs="Times New Roman"/>
          <w:sz w:val="24"/>
          <w:szCs w:val="24"/>
        </w:rPr>
        <w:t>fora</w:t>
      </w:r>
      <w:r w:rsidR="00B833DB">
        <w:rPr>
          <w:rFonts w:ascii="Times New Roman" w:eastAsiaTheme="minorEastAsia" w:hAnsi="Times New Roman" w:cs="Times New Roman"/>
          <w:sz w:val="24"/>
          <w:szCs w:val="24"/>
        </w:rPr>
        <w:t xml:space="preserve"> o Bônus Demográfico a melhorar a Saúde Orçamentária da Previdência</w:t>
      </w:r>
      <w:r w:rsidR="00C11E23">
        <w:rPr>
          <w:rFonts w:ascii="Times New Roman" w:eastAsiaTheme="minorEastAsia" w:hAnsi="Times New Roman" w:cs="Times New Roman"/>
          <w:sz w:val="24"/>
          <w:szCs w:val="24"/>
        </w:rPr>
        <w:t xml:space="preserve"> entre 2002 e 2012</w:t>
      </w:r>
      <w:r w:rsidR="00B833DB">
        <w:rPr>
          <w:rFonts w:ascii="Times New Roman" w:eastAsiaTheme="minorEastAsia" w:hAnsi="Times New Roman" w:cs="Times New Roman"/>
          <w:sz w:val="24"/>
          <w:szCs w:val="24"/>
        </w:rPr>
        <w:t>, e que este está diminuindo,</w:t>
      </w:r>
      <w:r w:rsidR="00C11E23">
        <w:rPr>
          <w:rFonts w:ascii="Times New Roman" w:eastAsiaTheme="minorEastAsia" w:hAnsi="Times New Roman" w:cs="Times New Roman"/>
          <w:sz w:val="24"/>
          <w:szCs w:val="24"/>
        </w:rPr>
        <w:t xml:space="preserve"> portanto,</w:t>
      </w:r>
      <w:r w:rsidR="00B833DB">
        <w:rPr>
          <w:rFonts w:ascii="Times New Roman" w:eastAsiaTheme="minorEastAsia" w:hAnsi="Times New Roman" w:cs="Times New Roman"/>
          <w:sz w:val="24"/>
          <w:szCs w:val="24"/>
        </w:rPr>
        <w:t xml:space="preserve"> é </w:t>
      </w:r>
      <w:r w:rsidR="00C11E23">
        <w:rPr>
          <w:rFonts w:ascii="Times New Roman" w:eastAsiaTheme="minorEastAsia" w:hAnsi="Times New Roman" w:cs="Times New Roman"/>
          <w:sz w:val="24"/>
          <w:szCs w:val="24"/>
        </w:rPr>
        <w:t>necessário</w:t>
      </w:r>
      <w:r w:rsidR="00B833DB">
        <w:rPr>
          <w:rFonts w:ascii="Times New Roman" w:eastAsiaTheme="minorEastAsia" w:hAnsi="Times New Roman" w:cs="Times New Roman"/>
          <w:sz w:val="24"/>
          <w:szCs w:val="24"/>
        </w:rPr>
        <w:t xml:space="preserve"> se discutir como aplicar mais racionalmente tais transferências</w:t>
      </w:r>
      <w:r>
        <w:rPr>
          <w:rFonts w:ascii="Times New Roman" w:eastAsiaTheme="minorEastAsia" w:hAnsi="Times New Roman" w:cs="Times New Roman"/>
          <w:sz w:val="24"/>
          <w:szCs w:val="24"/>
        </w:rPr>
        <w:t xml:space="preserve"> </w:t>
      </w:r>
      <w:r w:rsidR="00C11E23">
        <w:rPr>
          <w:rFonts w:ascii="Times New Roman" w:eastAsiaTheme="minorEastAsia" w:hAnsi="Times New Roman" w:cs="Times New Roman"/>
          <w:sz w:val="24"/>
          <w:szCs w:val="24"/>
        </w:rPr>
        <w:t>inter geracionais</w:t>
      </w:r>
      <w:r w:rsidR="00B833DB">
        <w:rPr>
          <w:rFonts w:ascii="Times New Roman" w:eastAsiaTheme="minorEastAsia" w:hAnsi="Times New Roman" w:cs="Times New Roman"/>
          <w:sz w:val="24"/>
          <w:szCs w:val="24"/>
        </w:rPr>
        <w:t xml:space="preserve">. </w:t>
      </w:r>
    </w:p>
    <w:p w:rsidR="00B4121B" w:rsidRPr="00B4121B" w:rsidRDefault="00B4121B" w:rsidP="007B2226">
      <w:pPr>
        <w:autoSpaceDE w:val="0"/>
        <w:autoSpaceDN w:val="0"/>
        <w:adjustRightInd w:val="0"/>
        <w:spacing w:after="0" w:line="240" w:lineRule="auto"/>
        <w:rPr>
          <w:rFonts w:ascii="Times New Roman" w:hAnsi="Times New Roman" w:cs="Times New Roman"/>
          <w:sz w:val="24"/>
          <w:szCs w:val="24"/>
        </w:rPr>
      </w:pPr>
      <w:r w:rsidRPr="00B4121B">
        <w:rPr>
          <w:rFonts w:ascii="Times New Roman" w:hAnsi="Times New Roman" w:cs="Times New Roman"/>
          <w:sz w:val="24"/>
          <w:szCs w:val="24"/>
        </w:rPr>
        <w:lastRenderedPageBreak/>
        <w:t>Bibliografia:</w:t>
      </w:r>
    </w:p>
    <w:p w:rsidR="00B4121B" w:rsidRPr="00B4121B" w:rsidRDefault="00B4121B" w:rsidP="007B2226">
      <w:pPr>
        <w:autoSpaceDE w:val="0"/>
        <w:autoSpaceDN w:val="0"/>
        <w:adjustRightInd w:val="0"/>
        <w:spacing w:after="0" w:line="240" w:lineRule="auto"/>
        <w:rPr>
          <w:rFonts w:ascii="Times New Roman" w:hAnsi="Times New Roman" w:cs="Times New Roman"/>
          <w:sz w:val="24"/>
          <w:szCs w:val="24"/>
        </w:rPr>
      </w:pPr>
    </w:p>
    <w:p w:rsidR="00B4121B" w:rsidRDefault="00B4121B" w:rsidP="00B4121B">
      <w:pPr>
        <w:tabs>
          <w:tab w:val="left" w:pos="7410"/>
        </w:tabs>
        <w:rPr>
          <w:rFonts w:ascii="Times New Roman" w:hAnsi="Times New Roman" w:cs="Times New Roman"/>
          <w:sz w:val="24"/>
          <w:szCs w:val="24"/>
        </w:rPr>
      </w:pPr>
    </w:p>
    <w:p w:rsidR="00B4121B" w:rsidRPr="009D3E4E" w:rsidRDefault="00B4121B" w:rsidP="00B4121B">
      <w:pPr>
        <w:tabs>
          <w:tab w:val="left" w:pos="7410"/>
        </w:tabs>
        <w:rPr>
          <w:rFonts w:ascii="Times New Roman" w:hAnsi="Times New Roman" w:cs="Times New Roman"/>
          <w:sz w:val="24"/>
          <w:szCs w:val="24"/>
        </w:rPr>
      </w:pPr>
      <w:r w:rsidRPr="009D3E4E">
        <w:rPr>
          <w:rFonts w:ascii="Times New Roman" w:hAnsi="Times New Roman" w:cs="Times New Roman"/>
          <w:sz w:val="24"/>
          <w:szCs w:val="24"/>
        </w:rPr>
        <w:t>Abi-Ramia, M.</w:t>
      </w:r>
      <w:r>
        <w:rPr>
          <w:rFonts w:ascii="Times New Roman" w:hAnsi="Times New Roman" w:cs="Times New Roman"/>
          <w:sz w:val="24"/>
          <w:szCs w:val="24"/>
        </w:rPr>
        <w:t xml:space="preserve"> (2014)</w:t>
      </w:r>
      <w:r w:rsidRPr="009D3E4E">
        <w:rPr>
          <w:rFonts w:ascii="Times New Roman" w:hAnsi="Times New Roman" w:cs="Times New Roman"/>
          <w:sz w:val="24"/>
          <w:szCs w:val="24"/>
        </w:rPr>
        <w:t xml:space="preserve"> “Salário Mínimo e Finanças Públicas” </w:t>
      </w:r>
      <w:r w:rsidRPr="00446B18">
        <w:rPr>
          <w:rStyle w:val="nfase"/>
          <w:rFonts w:ascii="Times New Roman" w:hAnsi="Times New Roman" w:cs="Times New Roman"/>
          <w:b/>
          <w:bCs/>
          <w:i w:val="0"/>
          <w:color w:val="000000"/>
          <w:sz w:val="24"/>
          <w:szCs w:val="24"/>
          <w:shd w:val="clear" w:color="auto" w:fill="FFFFFF"/>
        </w:rPr>
        <w:t>Política de Salário Mínimo para 2015-2018: Avaliações de Impacto Econômico e Social</w:t>
      </w:r>
      <w:r>
        <w:rPr>
          <w:rStyle w:val="nfase"/>
          <w:rFonts w:ascii="Times New Roman" w:hAnsi="Times New Roman" w:cs="Times New Roman"/>
          <w:bCs/>
          <w:i w:val="0"/>
          <w:color w:val="000000"/>
          <w:sz w:val="24"/>
          <w:szCs w:val="24"/>
          <w:shd w:val="clear" w:color="auto" w:fill="FFFFFF"/>
        </w:rPr>
        <w:t>, Seminários</w:t>
      </w:r>
      <w:r>
        <w:rPr>
          <w:rStyle w:val="apple-converted-space"/>
          <w:rFonts w:ascii="Arial" w:hAnsi="Arial" w:cs="Arial"/>
          <w:color w:val="000000"/>
          <w:sz w:val="18"/>
          <w:szCs w:val="18"/>
          <w:shd w:val="clear" w:color="auto" w:fill="FFFFFF"/>
        </w:rPr>
        <w:t> </w:t>
      </w:r>
      <w:r w:rsidRPr="009D3E4E">
        <w:rPr>
          <w:rFonts w:ascii="Times New Roman" w:hAnsi="Times New Roman" w:cs="Times New Roman"/>
          <w:sz w:val="24"/>
          <w:szCs w:val="24"/>
        </w:rPr>
        <w:t>FGV</w:t>
      </w:r>
    </w:p>
    <w:p w:rsidR="00B4121B" w:rsidRDefault="00B4121B" w:rsidP="00E52C4B">
      <w:pPr>
        <w:pStyle w:val="Ttulo6"/>
        <w:shd w:val="clear" w:color="auto" w:fill="F4F4F4"/>
        <w:spacing w:before="75" w:beforeAutospacing="0" w:after="0" w:afterAutospacing="0"/>
        <w:rPr>
          <w:color w:val="000000"/>
          <w:sz w:val="24"/>
          <w:szCs w:val="24"/>
          <w:shd w:val="clear" w:color="auto" w:fill="FFFFFF"/>
        </w:rPr>
      </w:pPr>
      <w:r w:rsidRPr="00B6565F">
        <w:rPr>
          <w:b w:val="0"/>
          <w:sz w:val="24"/>
          <w:szCs w:val="24"/>
        </w:rPr>
        <w:t>Almeida, M</w:t>
      </w:r>
      <w:r w:rsidR="00C313E8">
        <w:rPr>
          <w:b w:val="0"/>
          <w:sz w:val="24"/>
          <w:szCs w:val="24"/>
        </w:rPr>
        <w:t>.</w:t>
      </w:r>
      <w:r w:rsidRPr="00B6565F">
        <w:rPr>
          <w:b w:val="0"/>
          <w:sz w:val="24"/>
          <w:szCs w:val="24"/>
        </w:rPr>
        <w:t xml:space="preserve"> (2013)</w:t>
      </w:r>
      <w:r w:rsidRPr="009D3E4E">
        <w:rPr>
          <w:sz w:val="24"/>
          <w:szCs w:val="24"/>
        </w:rPr>
        <w:t xml:space="preserve"> </w:t>
      </w:r>
      <w:r w:rsidRPr="00C313E8">
        <w:rPr>
          <w:b w:val="0"/>
          <w:sz w:val="24"/>
          <w:szCs w:val="24"/>
        </w:rPr>
        <w:t>“O que limita o investimento público?”</w:t>
      </w:r>
      <w:r w:rsidR="00B6565F" w:rsidRPr="00C313E8">
        <w:rPr>
          <w:b w:val="0"/>
          <w:sz w:val="24"/>
          <w:szCs w:val="24"/>
        </w:rPr>
        <w:t xml:space="preserve"> in</w:t>
      </w:r>
      <w:r w:rsidR="00B6565F">
        <w:rPr>
          <w:sz w:val="24"/>
          <w:szCs w:val="24"/>
        </w:rPr>
        <w:t xml:space="preserve"> </w:t>
      </w:r>
      <w:r w:rsidR="00B6565F" w:rsidRPr="00B6565F">
        <w:rPr>
          <w:color w:val="000000"/>
          <w:sz w:val="24"/>
          <w:szCs w:val="24"/>
          <w:shd w:val="clear" w:color="auto" w:fill="FFFFFF"/>
        </w:rPr>
        <w:t>‘</w:t>
      </w:r>
      <w:r w:rsidR="00B6565F" w:rsidRPr="00B6565F">
        <w:rPr>
          <w:rStyle w:val="Forte"/>
          <w:color w:val="000000"/>
          <w:sz w:val="24"/>
          <w:szCs w:val="24"/>
          <w:shd w:val="clear" w:color="auto" w:fill="FFFFFF"/>
        </w:rPr>
        <w:t>Gargalos e soluções na infraestrutura de transportes</w:t>
      </w:r>
      <w:r w:rsidR="00B6565F" w:rsidRPr="00B6565F">
        <w:rPr>
          <w:color w:val="000000"/>
          <w:sz w:val="24"/>
          <w:szCs w:val="24"/>
          <w:shd w:val="clear" w:color="auto" w:fill="FFFFFF"/>
        </w:rPr>
        <w:t>’</w:t>
      </w:r>
      <w:r w:rsidR="00B6565F">
        <w:rPr>
          <w:color w:val="000000"/>
          <w:sz w:val="24"/>
          <w:szCs w:val="24"/>
          <w:shd w:val="clear" w:color="auto" w:fill="FFFFFF"/>
        </w:rPr>
        <w:t xml:space="preserve"> </w:t>
      </w:r>
      <w:r w:rsidR="00B6565F">
        <w:rPr>
          <w:b w:val="0"/>
          <w:sz w:val="24"/>
          <w:szCs w:val="24"/>
        </w:rPr>
        <w:t xml:space="preserve">Org. Pinheiro, A. C., Frischtak, C. R. </w:t>
      </w:r>
      <w:r w:rsidR="00B6565F" w:rsidRPr="00B6565F">
        <w:rPr>
          <w:b w:val="0"/>
          <w:color w:val="000000"/>
          <w:sz w:val="24"/>
          <w:szCs w:val="24"/>
          <w:shd w:val="clear" w:color="auto" w:fill="FFFFFF"/>
        </w:rPr>
        <w:t xml:space="preserve">Editora </w:t>
      </w:r>
      <w:r w:rsidR="00B6565F">
        <w:rPr>
          <w:b w:val="0"/>
          <w:color w:val="000000"/>
          <w:sz w:val="24"/>
          <w:szCs w:val="24"/>
          <w:shd w:val="clear" w:color="auto" w:fill="FFFFFF"/>
        </w:rPr>
        <w:t>FGV</w:t>
      </w:r>
    </w:p>
    <w:p w:rsidR="00B6565F" w:rsidRPr="00B6565F" w:rsidRDefault="00B6565F" w:rsidP="00B6565F">
      <w:pPr>
        <w:pStyle w:val="Ttulo6"/>
        <w:shd w:val="clear" w:color="auto" w:fill="F4F4F4"/>
        <w:spacing w:before="75" w:beforeAutospacing="0" w:after="0" w:afterAutospacing="0"/>
        <w:ind w:left="225"/>
        <w:rPr>
          <w:smallCaps/>
          <w:color w:val="666666"/>
          <w:sz w:val="24"/>
          <w:szCs w:val="24"/>
        </w:rPr>
      </w:pPr>
    </w:p>
    <w:p w:rsidR="00B4121B" w:rsidRDefault="00B6565F" w:rsidP="00B4121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sz w:val="24"/>
          <w:szCs w:val="24"/>
        </w:rPr>
        <w:t>Barbosa Filho, F.H.,</w:t>
      </w:r>
      <w:r w:rsidR="00B4121B" w:rsidRPr="009D3E4E">
        <w:rPr>
          <w:rFonts w:ascii="Times New Roman" w:hAnsi="Times New Roman" w:cs="Times New Roman"/>
          <w:sz w:val="24"/>
          <w:szCs w:val="24"/>
        </w:rPr>
        <w:t xml:space="preserve"> Moura, R.L. (2012) “</w:t>
      </w:r>
      <w:r w:rsidR="00B4121B" w:rsidRPr="009D3E4E">
        <w:rPr>
          <w:rFonts w:ascii="Times New Roman" w:hAnsi="Times New Roman" w:cs="Times New Roman"/>
          <w:bCs/>
          <w:sz w:val="24"/>
          <w:szCs w:val="24"/>
        </w:rPr>
        <w:t>Evolução Recente da Informalidade no Brasil: Uma Análise segundo Características da Oferta e Demanda de Trabalho” Texto para Discussão n17, IBRE</w:t>
      </w:r>
    </w:p>
    <w:p w:rsidR="00B4121B" w:rsidRDefault="00B4121B" w:rsidP="00B4121B">
      <w:pPr>
        <w:autoSpaceDE w:val="0"/>
        <w:autoSpaceDN w:val="0"/>
        <w:adjustRightInd w:val="0"/>
        <w:spacing w:after="0" w:line="240" w:lineRule="auto"/>
        <w:rPr>
          <w:rFonts w:ascii="Times New Roman" w:hAnsi="Times New Roman" w:cs="Times New Roman"/>
          <w:bCs/>
          <w:sz w:val="24"/>
          <w:szCs w:val="24"/>
        </w:rPr>
      </w:pPr>
    </w:p>
    <w:p w:rsidR="00446B18" w:rsidRPr="00E52C4B" w:rsidRDefault="00B4121B" w:rsidP="00E52C4B">
      <w:pPr>
        <w:tabs>
          <w:tab w:val="left" w:pos="7410"/>
        </w:tabs>
        <w:rPr>
          <w:rFonts w:ascii="Times New Roman" w:hAnsi="Times New Roman" w:cs="Times New Roman"/>
          <w:sz w:val="24"/>
          <w:szCs w:val="24"/>
        </w:rPr>
      </w:pPr>
      <w:r w:rsidRPr="009D3E4E">
        <w:rPr>
          <w:rFonts w:ascii="Times New Roman" w:hAnsi="Times New Roman" w:cs="Times New Roman"/>
          <w:sz w:val="24"/>
          <w:szCs w:val="24"/>
        </w:rPr>
        <w:t>Castelar, A.P., Giambiagi, F. (2012) “</w:t>
      </w:r>
      <w:r>
        <w:rPr>
          <w:rFonts w:ascii="Times New Roman" w:hAnsi="Times New Roman" w:cs="Times New Roman"/>
          <w:sz w:val="24"/>
          <w:szCs w:val="24"/>
        </w:rPr>
        <w:t>Além da Euforia</w:t>
      </w:r>
      <w:r w:rsidR="00C313E8">
        <w:rPr>
          <w:rFonts w:ascii="Times New Roman" w:hAnsi="Times New Roman" w:cs="Times New Roman"/>
          <w:sz w:val="24"/>
          <w:szCs w:val="24"/>
        </w:rPr>
        <w:t xml:space="preserve"> – Riscos e Lacunas do Modelo Brasileiro de Desenvolvimento</w:t>
      </w:r>
      <w:r>
        <w:rPr>
          <w:rFonts w:ascii="Times New Roman" w:hAnsi="Times New Roman" w:cs="Times New Roman"/>
          <w:sz w:val="24"/>
          <w:szCs w:val="24"/>
        </w:rPr>
        <w:t>”, Elsevier</w:t>
      </w:r>
      <w:r w:rsidR="00C313E8">
        <w:rPr>
          <w:rFonts w:ascii="Times New Roman" w:hAnsi="Times New Roman" w:cs="Times New Roman"/>
          <w:sz w:val="24"/>
          <w:szCs w:val="24"/>
        </w:rPr>
        <w:t xml:space="preserve"> </w:t>
      </w:r>
      <w:r w:rsidR="00E52C4B">
        <w:rPr>
          <w:rFonts w:ascii="Times New Roman" w:hAnsi="Times New Roman" w:cs="Times New Roman"/>
          <w:sz w:val="24"/>
          <w:szCs w:val="24"/>
        </w:rPr>
        <w:t xml:space="preserve">- </w:t>
      </w:r>
      <w:r w:rsidR="00C313E8">
        <w:rPr>
          <w:rFonts w:ascii="Times New Roman" w:hAnsi="Times New Roman" w:cs="Times New Roman"/>
          <w:sz w:val="24"/>
          <w:szCs w:val="24"/>
        </w:rPr>
        <w:t>Campus</w:t>
      </w:r>
    </w:p>
    <w:p w:rsidR="00380BDF" w:rsidRDefault="00380BDF" w:rsidP="00D10378">
      <w:pPr>
        <w:tabs>
          <w:tab w:val="left" w:pos="7410"/>
        </w:tabs>
        <w:rPr>
          <w:rFonts w:ascii="Times New Roman" w:hAnsi="Times New Roman" w:cs="Times New Roman"/>
          <w:sz w:val="24"/>
          <w:szCs w:val="24"/>
          <w:lang w:val="en-US"/>
        </w:rPr>
      </w:pPr>
      <w:r w:rsidRPr="009D3E4E">
        <w:rPr>
          <w:rFonts w:ascii="Times New Roman" w:hAnsi="Times New Roman" w:cs="Times New Roman"/>
          <w:sz w:val="24"/>
          <w:szCs w:val="24"/>
          <w:lang w:val="en-US"/>
        </w:rPr>
        <w:t>Mason, A. (2005) “Demographic Transition and Demographic Dividends in Developed and Developing Countries” Working Paper NIA, R01-AG025488-01</w:t>
      </w:r>
    </w:p>
    <w:p w:rsidR="00E52C4B" w:rsidRDefault="00E52C4B" w:rsidP="00E52C4B">
      <w:pPr>
        <w:autoSpaceDE w:val="0"/>
        <w:autoSpaceDN w:val="0"/>
        <w:adjustRightInd w:val="0"/>
        <w:spacing w:after="0" w:line="240" w:lineRule="auto"/>
        <w:rPr>
          <w:rFonts w:ascii="Times New Roman" w:hAnsi="Times New Roman" w:cs="Times New Roman"/>
          <w:sz w:val="24"/>
          <w:szCs w:val="24"/>
          <w:lang w:val="en-US"/>
        </w:rPr>
      </w:pPr>
      <w:r w:rsidRPr="009D3E4E">
        <w:rPr>
          <w:rFonts w:ascii="Times New Roman" w:hAnsi="Times New Roman" w:cs="Times New Roman"/>
          <w:sz w:val="24"/>
          <w:szCs w:val="24"/>
          <w:lang w:val="en-US"/>
        </w:rPr>
        <w:t>Mason, A</w:t>
      </w:r>
      <w:r>
        <w:rPr>
          <w:rFonts w:ascii="Times New Roman" w:hAnsi="Times New Roman" w:cs="Times New Roman"/>
          <w:sz w:val="24"/>
          <w:szCs w:val="24"/>
          <w:lang w:val="en-US"/>
        </w:rPr>
        <w:t>.,</w:t>
      </w:r>
      <w:r w:rsidRPr="009D3E4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Lee R. F. </w:t>
      </w:r>
      <w:r w:rsidRPr="009D3E4E">
        <w:rPr>
          <w:rFonts w:ascii="Times New Roman" w:hAnsi="Times New Roman" w:cs="Times New Roman"/>
          <w:sz w:val="24"/>
          <w:szCs w:val="24"/>
          <w:lang w:val="en-US"/>
        </w:rPr>
        <w:t>(2004) “Reform and support systems</w:t>
      </w:r>
      <w:r>
        <w:rPr>
          <w:rFonts w:ascii="Times New Roman" w:hAnsi="Times New Roman" w:cs="Times New Roman"/>
          <w:sz w:val="24"/>
          <w:szCs w:val="24"/>
          <w:lang w:val="en-US"/>
        </w:rPr>
        <w:t xml:space="preserve"> </w:t>
      </w:r>
      <w:r w:rsidRPr="009D3E4E">
        <w:rPr>
          <w:rFonts w:ascii="Times New Roman" w:hAnsi="Times New Roman" w:cs="Times New Roman"/>
          <w:sz w:val="24"/>
          <w:szCs w:val="24"/>
          <w:lang w:val="en-US"/>
        </w:rPr>
        <w:t>for the elderly in developing countries: capturing the second demographic</w:t>
      </w:r>
      <w:r>
        <w:rPr>
          <w:rFonts w:ascii="Times New Roman" w:hAnsi="Times New Roman" w:cs="Times New Roman"/>
          <w:sz w:val="24"/>
          <w:szCs w:val="24"/>
          <w:lang w:val="en-US"/>
        </w:rPr>
        <w:t xml:space="preserve"> dividend.”</w:t>
      </w:r>
    </w:p>
    <w:p w:rsidR="00E52C4B" w:rsidRPr="00E52C4B" w:rsidRDefault="00E52C4B" w:rsidP="00E52C4B">
      <w:pPr>
        <w:autoSpaceDE w:val="0"/>
        <w:autoSpaceDN w:val="0"/>
        <w:adjustRightInd w:val="0"/>
        <w:spacing w:after="0" w:line="240" w:lineRule="auto"/>
        <w:rPr>
          <w:rFonts w:ascii="Times New Roman" w:hAnsi="Times New Roman" w:cs="Times New Roman"/>
          <w:sz w:val="24"/>
          <w:szCs w:val="24"/>
          <w:lang w:val="en-US"/>
        </w:rPr>
      </w:pPr>
    </w:p>
    <w:p w:rsidR="00B4121B" w:rsidRDefault="00B4121B" w:rsidP="00B4121B">
      <w:pPr>
        <w:tabs>
          <w:tab w:val="left" w:pos="7410"/>
        </w:tabs>
        <w:rPr>
          <w:rFonts w:ascii="Times New Roman" w:hAnsi="Times New Roman" w:cs="Times New Roman"/>
          <w:sz w:val="24"/>
          <w:szCs w:val="24"/>
        </w:rPr>
      </w:pPr>
      <w:r w:rsidRPr="009D3E4E">
        <w:rPr>
          <w:rFonts w:ascii="Times New Roman" w:hAnsi="Times New Roman" w:cs="Times New Roman"/>
          <w:sz w:val="24"/>
          <w:szCs w:val="24"/>
        </w:rPr>
        <w:t>Pêssoa, S., Barbosa Filho, F.</w:t>
      </w:r>
      <w:r w:rsidR="00B6565F">
        <w:rPr>
          <w:rFonts w:ascii="Times New Roman" w:hAnsi="Times New Roman" w:cs="Times New Roman"/>
          <w:sz w:val="24"/>
          <w:szCs w:val="24"/>
        </w:rPr>
        <w:t xml:space="preserve"> </w:t>
      </w:r>
      <w:r w:rsidRPr="009D3E4E">
        <w:rPr>
          <w:rFonts w:ascii="Times New Roman" w:hAnsi="Times New Roman" w:cs="Times New Roman"/>
          <w:sz w:val="24"/>
          <w:szCs w:val="24"/>
        </w:rPr>
        <w:t>H. (2012) “Uma análise da redução da taxa de desemprego” Working</w:t>
      </w:r>
      <w:r w:rsidR="00B6565F">
        <w:rPr>
          <w:rFonts w:ascii="Times New Roman" w:hAnsi="Times New Roman" w:cs="Times New Roman"/>
          <w:sz w:val="24"/>
          <w:szCs w:val="24"/>
        </w:rPr>
        <w:t xml:space="preserve"> </w:t>
      </w:r>
      <w:r w:rsidRPr="009D3E4E">
        <w:rPr>
          <w:rFonts w:ascii="Times New Roman" w:hAnsi="Times New Roman" w:cs="Times New Roman"/>
          <w:sz w:val="24"/>
          <w:szCs w:val="24"/>
        </w:rPr>
        <w:t>Paper 028, Rede de Economia Aplicada (REAP)</w:t>
      </w:r>
    </w:p>
    <w:p w:rsidR="00B4121B" w:rsidRPr="009D3E4E" w:rsidRDefault="00B4121B" w:rsidP="00B4121B">
      <w:pPr>
        <w:tabs>
          <w:tab w:val="left" w:pos="7410"/>
        </w:tabs>
        <w:rPr>
          <w:rFonts w:ascii="Times New Roman" w:hAnsi="Times New Roman" w:cs="Times New Roman"/>
          <w:sz w:val="24"/>
          <w:szCs w:val="24"/>
        </w:rPr>
      </w:pPr>
      <w:r w:rsidRPr="009D3E4E">
        <w:rPr>
          <w:rFonts w:ascii="Times New Roman" w:hAnsi="Times New Roman" w:cs="Times New Roman"/>
          <w:sz w:val="24"/>
          <w:szCs w:val="24"/>
        </w:rPr>
        <w:t xml:space="preserve">Pessoa, S., Matos, S. “Baixa Poupança: Incentivos ou Crescimento?” </w:t>
      </w:r>
      <w:r w:rsidRPr="00446B18">
        <w:rPr>
          <w:rStyle w:val="nfase"/>
          <w:rFonts w:ascii="Times New Roman" w:hAnsi="Times New Roman" w:cs="Times New Roman"/>
          <w:b/>
          <w:bCs/>
          <w:i w:val="0"/>
          <w:color w:val="000000"/>
          <w:sz w:val="24"/>
          <w:szCs w:val="24"/>
          <w:shd w:val="clear" w:color="auto" w:fill="FFFFFF"/>
        </w:rPr>
        <w:t>Política de Salário Mínimo para 2015-2018: Avaliações de Impacto Econômico e Social</w:t>
      </w:r>
      <w:r>
        <w:rPr>
          <w:rStyle w:val="nfase"/>
          <w:rFonts w:ascii="Times New Roman" w:hAnsi="Times New Roman" w:cs="Times New Roman"/>
          <w:bCs/>
          <w:i w:val="0"/>
          <w:color w:val="000000"/>
          <w:sz w:val="24"/>
          <w:szCs w:val="24"/>
          <w:shd w:val="clear" w:color="auto" w:fill="FFFFFF"/>
        </w:rPr>
        <w:t>, Seminários</w:t>
      </w:r>
      <w:r>
        <w:rPr>
          <w:rStyle w:val="apple-converted-space"/>
          <w:rFonts w:ascii="Arial" w:hAnsi="Arial" w:cs="Arial"/>
          <w:color w:val="000000"/>
          <w:sz w:val="18"/>
          <w:szCs w:val="18"/>
          <w:shd w:val="clear" w:color="auto" w:fill="FFFFFF"/>
        </w:rPr>
        <w:t> </w:t>
      </w:r>
      <w:r w:rsidRPr="009D3E4E">
        <w:rPr>
          <w:rFonts w:ascii="Times New Roman" w:hAnsi="Times New Roman" w:cs="Times New Roman"/>
          <w:sz w:val="24"/>
          <w:szCs w:val="24"/>
        </w:rPr>
        <w:t>FGV</w:t>
      </w:r>
    </w:p>
    <w:p w:rsidR="004712AC" w:rsidRPr="00897589" w:rsidRDefault="00C313E8" w:rsidP="00D10378">
      <w:pPr>
        <w:tabs>
          <w:tab w:val="left" w:pos="7410"/>
        </w:tabs>
        <w:rPr>
          <w:rFonts w:ascii="Times New Roman" w:hAnsi="Times New Roman" w:cs="Times New Roman"/>
          <w:sz w:val="24"/>
          <w:szCs w:val="24"/>
        </w:rPr>
      </w:pPr>
      <w:r>
        <w:rPr>
          <w:rFonts w:ascii="Times New Roman" w:hAnsi="Times New Roman" w:cs="Times New Roman"/>
          <w:sz w:val="24"/>
          <w:szCs w:val="24"/>
        </w:rPr>
        <w:t>Tiberto, B. P.,</w:t>
      </w:r>
      <w:r w:rsidR="007B2226" w:rsidRPr="00897589">
        <w:rPr>
          <w:rFonts w:ascii="Times New Roman" w:hAnsi="Times New Roman" w:cs="Times New Roman"/>
          <w:sz w:val="24"/>
          <w:szCs w:val="24"/>
        </w:rPr>
        <w:t xml:space="preserve"> Mendonça</w:t>
      </w:r>
      <w:r>
        <w:rPr>
          <w:rFonts w:ascii="Times New Roman" w:hAnsi="Times New Roman" w:cs="Times New Roman"/>
          <w:sz w:val="24"/>
          <w:szCs w:val="24"/>
        </w:rPr>
        <w:t>, H. F.</w:t>
      </w:r>
      <w:r w:rsidR="007B2226" w:rsidRPr="00897589">
        <w:rPr>
          <w:rFonts w:ascii="Times New Roman" w:hAnsi="Times New Roman" w:cs="Times New Roman"/>
          <w:sz w:val="24"/>
          <w:szCs w:val="24"/>
        </w:rPr>
        <w:t xml:space="preserve"> (2012)</w:t>
      </w:r>
      <w:r w:rsidR="00897589" w:rsidRPr="00897589">
        <w:rPr>
          <w:rFonts w:ascii="Times New Roman" w:hAnsi="Times New Roman" w:cs="Times New Roman"/>
          <w:sz w:val="24"/>
          <w:szCs w:val="24"/>
        </w:rPr>
        <w:t xml:space="preserve"> “Social Security and</w:t>
      </w:r>
      <w:r w:rsidR="00B6565F">
        <w:rPr>
          <w:rFonts w:ascii="Times New Roman" w:hAnsi="Times New Roman" w:cs="Times New Roman"/>
          <w:sz w:val="24"/>
          <w:szCs w:val="24"/>
        </w:rPr>
        <w:t xml:space="preserve"> </w:t>
      </w:r>
      <w:r w:rsidR="00897589" w:rsidRPr="00897589">
        <w:rPr>
          <w:rFonts w:ascii="Times New Roman" w:hAnsi="Times New Roman" w:cs="Times New Roman"/>
          <w:sz w:val="24"/>
          <w:szCs w:val="24"/>
        </w:rPr>
        <w:t>Public</w:t>
      </w:r>
      <w:r w:rsidR="00B6565F">
        <w:rPr>
          <w:rFonts w:ascii="Times New Roman" w:hAnsi="Times New Roman" w:cs="Times New Roman"/>
          <w:sz w:val="24"/>
          <w:szCs w:val="24"/>
        </w:rPr>
        <w:t xml:space="preserve"> </w:t>
      </w:r>
      <w:r w:rsidR="00897589" w:rsidRPr="00897589">
        <w:rPr>
          <w:rFonts w:ascii="Times New Roman" w:hAnsi="Times New Roman" w:cs="Times New Roman"/>
          <w:sz w:val="24"/>
          <w:szCs w:val="24"/>
        </w:rPr>
        <w:t>Debt: Empirical</w:t>
      </w:r>
      <w:r w:rsidR="00B6565F">
        <w:rPr>
          <w:rFonts w:ascii="Times New Roman" w:hAnsi="Times New Roman" w:cs="Times New Roman"/>
          <w:sz w:val="24"/>
          <w:szCs w:val="24"/>
        </w:rPr>
        <w:t xml:space="preserve"> </w:t>
      </w:r>
      <w:r w:rsidR="00897589" w:rsidRPr="00897589">
        <w:rPr>
          <w:rFonts w:ascii="Times New Roman" w:hAnsi="Times New Roman" w:cs="Times New Roman"/>
          <w:sz w:val="24"/>
          <w:szCs w:val="24"/>
        </w:rPr>
        <w:t>Evidence for the</w:t>
      </w:r>
      <w:r w:rsidR="00B6565F">
        <w:rPr>
          <w:rFonts w:ascii="Times New Roman" w:hAnsi="Times New Roman" w:cs="Times New Roman"/>
          <w:sz w:val="24"/>
          <w:szCs w:val="24"/>
        </w:rPr>
        <w:t xml:space="preserve"> </w:t>
      </w:r>
      <w:r w:rsidR="00897589" w:rsidRPr="00897589">
        <w:rPr>
          <w:rFonts w:ascii="Times New Roman" w:hAnsi="Times New Roman" w:cs="Times New Roman"/>
          <w:sz w:val="24"/>
          <w:szCs w:val="24"/>
        </w:rPr>
        <w:t>Brazilian</w:t>
      </w:r>
      <w:r w:rsidR="00B6565F">
        <w:rPr>
          <w:rFonts w:ascii="Times New Roman" w:hAnsi="Times New Roman" w:cs="Times New Roman"/>
          <w:sz w:val="24"/>
          <w:szCs w:val="24"/>
        </w:rPr>
        <w:t xml:space="preserve"> </w:t>
      </w:r>
      <w:r w:rsidR="00897589" w:rsidRPr="00897589">
        <w:rPr>
          <w:rFonts w:ascii="Times New Roman" w:hAnsi="Times New Roman" w:cs="Times New Roman"/>
          <w:sz w:val="24"/>
          <w:szCs w:val="24"/>
        </w:rPr>
        <w:t xml:space="preserve">Economy” </w:t>
      </w:r>
      <w:r w:rsidR="00897589">
        <w:rPr>
          <w:rFonts w:ascii="Verdana" w:hAnsi="Verdana"/>
          <w:color w:val="000000"/>
          <w:sz w:val="21"/>
          <w:szCs w:val="21"/>
          <w:shd w:val="clear" w:color="auto" w:fill="FFFFFF"/>
        </w:rPr>
        <w:t xml:space="preserve">in </w:t>
      </w:r>
      <w:r w:rsidR="00897589" w:rsidRPr="00C313E8">
        <w:rPr>
          <w:rFonts w:ascii="Times New Roman" w:hAnsi="Times New Roman" w:cs="Times New Roman"/>
          <w:color w:val="000000"/>
          <w:sz w:val="24"/>
          <w:szCs w:val="24"/>
          <w:shd w:val="clear" w:color="auto" w:fill="FFFFFF"/>
        </w:rPr>
        <w:t>Anais do XLI Encontro Nacional de Economia, Associação Nacional de Centros de Pósgraduação em Economia (ANPEC)</w:t>
      </w:r>
    </w:p>
    <w:p w:rsidR="007B2226" w:rsidRPr="00897589" w:rsidRDefault="007B2226" w:rsidP="00D10378">
      <w:pPr>
        <w:tabs>
          <w:tab w:val="left" w:pos="7410"/>
        </w:tabs>
        <w:rPr>
          <w:rFonts w:ascii="Times New Roman" w:hAnsi="Times New Roman" w:cs="Times New Roman"/>
          <w:sz w:val="24"/>
          <w:szCs w:val="24"/>
          <w:lang w:val="en-US"/>
        </w:rPr>
      </w:pPr>
      <w:r w:rsidRPr="00897589">
        <w:rPr>
          <w:rFonts w:ascii="Times New Roman" w:hAnsi="Times New Roman" w:cs="Times New Roman"/>
          <w:sz w:val="24"/>
          <w:szCs w:val="24"/>
          <w:lang w:val="en-US"/>
        </w:rPr>
        <w:t>Saboia (2013)</w:t>
      </w:r>
      <w:r w:rsidR="00C313E8">
        <w:rPr>
          <w:rFonts w:ascii="Times New Roman" w:hAnsi="Times New Roman" w:cs="Times New Roman"/>
          <w:sz w:val="24"/>
          <w:szCs w:val="24"/>
          <w:lang w:val="en-US"/>
        </w:rPr>
        <w:t xml:space="preserve"> “O Mercado de Trabalho Metropolitano no Brasil no Período 2003/12” in A</w:t>
      </w:r>
      <w:r w:rsidR="00C313E8" w:rsidRPr="00C313E8">
        <w:rPr>
          <w:rFonts w:ascii="Times New Roman" w:hAnsi="Times New Roman" w:cs="Times New Roman"/>
          <w:sz w:val="24"/>
          <w:szCs w:val="24"/>
          <w:lang w:val="en-US"/>
        </w:rPr>
        <w:t xml:space="preserve">nais da </w:t>
      </w:r>
      <w:r w:rsidR="00C313E8" w:rsidRPr="00C313E8">
        <w:rPr>
          <w:rFonts w:ascii="Times New Roman" w:hAnsi="Times New Roman" w:cs="Times New Roman"/>
          <w:color w:val="333333"/>
          <w:sz w:val="24"/>
          <w:szCs w:val="24"/>
          <w:shd w:val="clear" w:color="auto" w:fill="FFFFFF"/>
        </w:rPr>
        <w:t>3ª Conferência do Desenvolvimento</w:t>
      </w:r>
      <w:r w:rsidR="00C313E8">
        <w:rPr>
          <w:rStyle w:val="apple-converted-space"/>
          <w:rFonts w:ascii="Georgia" w:hAnsi="Georgia"/>
          <w:color w:val="333333"/>
          <w:sz w:val="21"/>
          <w:szCs w:val="21"/>
          <w:shd w:val="clear" w:color="auto" w:fill="FFFFFF"/>
        </w:rPr>
        <w:t>, Instituto de Pesquisa Econômica Aplicada (IPEA)</w:t>
      </w:r>
    </w:p>
    <w:p w:rsidR="006D66D1" w:rsidRPr="009D3E4E" w:rsidRDefault="004712AC" w:rsidP="00F84DD1">
      <w:pPr>
        <w:tabs>
          <w:tab w:val="left" w:pos="7410"/>
        </w:tabs>
        <w:rPr>
          <w:rFonts w:ascii="Times New Roman" w:eastAsiaTheme="minorEastAsia" w:hAnsi="Times New Roman" w:cs="Times New Roman"/>
          <w:sz w:val="24"/>
          <w:szCs w:val="24"/>
        </w:rPr>
      </w:pPr>
      <w:r w:rsidRPr="009D3E4E">
        <w:rPr>
          <w:rFonts w:ascii="Times New Roman" w:eastAsiaTheme="minorEastAsia" w:hAnsi="Times New Roman" w:cs="Times New Roman"/>
          <w:sz w:val="24"/>
          <w:szCs w:val="24"/>
        </w:rPr>
        <w:t>T</w:t>
      </w:r>
      <w:r w:rsidR="00E52C4B">
        <w:rPr>
          <w:rFonts w:ascii="Times New Roman" w:eastAsiaTheme="minorEastAsia" w:hAnsi="Times New Roman" w:cs="Times New Roman"/>
          <w:sz w:val="24"/>
          <w:szCs w:val="24"/>
        </w:rPr>
        <w:t>urra</w:t>
      </w:r>
      <w:r w:rsidRPr="009D3E4E">
        <w:rPr>
          <w:rFonts w:ascii="Times New Roman" w:eastAsiaTheme="minorEastAsia" w:hAnsi="Times New Roman" w:cs="Times New Roman"/>
          <w:sz w:val="24"/>
          <w:szCs w:val="24"/>
        </w:rPr>
        <w:t>, C.</w:t>
      </w:r>
      <w:r w:rsidR="00E52C4B">
        <w:rPr>
          <w:rFonts w:ascii="Times New Roman" w:eastAsiaTheme="minorEastAsia" w:hAnsi="Times New Roman" w:cs="Times New Roman"/>
          <w:sz w:val="24"/>
          <w:szCs w:val="24"/>
        </w:rPr>
        <w:t xml:space="preserve"> </w:t>
      </w:r>
      <w:r w:rsidRPr="009D3E4E">
        <w:rPr>
          <w:rFonts w:ascii="Times New Roman" w:eastAsiaTheme="minorEastAsia" w:hAnsi="Times New Roman" w:cs="Times New Roman"/>
          <w:sz w:val="24"/>
          <w:szCs w:val="24"/>
        </w:rPr>
        <w:t>M., Q</w:t>
      </w:r>
      <w:r w:rsidR="00E52C4B">
        <w:rPr>
          <w:rFonts w:ascii="Times New Roman" w:eastAsiaTheme="minorEastAsia" w:hAnsi="Times New Roman" w:cs="Times New Roman"/>
          <w:sz w:val="24"/>
          <w:szCs w:val="24"/>
        </w:rPr>
        <w:t>ueiroz</w:t>
      </w:r>
      <w:r w:rsidRPr="009D3E4E">
        <w:rPr>
          <w:rFonts w:ascii="Times New Roman" w:eastAsiaTheme="minorEastAsia" w:hAnsi="Times New Roman" w:cs="Times New Roman"/>
          <w:sz w:val="24"/>
          <w:szCs w:val="24"/>
        </w:rPr>
        <w:t>, B</w:t>
      </w:r>
      <w:r w:rsidR="00E52C4B">
        <w:rPr>
          <w:rFonts w:ascii="Times New Roman" w:eastAsiaTheme="minorEastAsia" w:hAnsi="Times New Roman" w:cs="Times New Roman"/>
          <w:sz w:val="24"/>
          <w:szCs w:val="24"/>
        </w:rPr>
        <w:t xml:space="preserve">. </w:t>
      </w:r>
      <w:r w:rsidRPr="009D3E4E">
        <w:rPr>
          <w:rFonts w:ascii="Times New Roman" w:eastAsiaTheme="minorEastAsia" w:hAnsi="Times New Roman" w:cs="Times New Roman"/>
          <w:sz w:val="24"/>
          <w:szCs w:val="24"/>
        </w:rPr>
        <w:t xml:space="preserve">L. (2005). </w:t>
      </w:r>
      <w:r w:rsidR="00E7752C">
        <w:rPr>
          <w:rFonts w:ascii="Times New Roman" w:eastAsiaTheme="minorEastAsia" w:hAnsi="Times New Roman" w:cs="Times New Roman"/>
          <w:sz w:val="24"/>
          <w:szCs w:val="24"/>
        </w:rPr>
        <w:t>“</w:t>
      </w:r>
      <w:r w:rsidRPr="009D3E4E">
        <w:rPr>
          <w:rFonts w:ascii="Times New Roman" w:eastAsiaTheme="minorEastAsia" w:hAnsi="Times New Roman" w:cs="Times New Roman"/>
          <w:sz w:val="24"/>
          <w:szCs w:val="24"/>
        </w:rPr>
        <w:t>Las</w:t>
      </w:r>
      <w:r w:rsidR="00B6565F">
        <w:rPr>
          <w:rFonts w:ascii="Times New Roman" w:eastAsiaTheme="minorEastAsia" w:hAnsi="Times New Roman" w:cs="Times New Roman"/>
          <w:sz w:val="24"/>
          <w:szCs w:val="24"/>
        </w:rPr>
        <w:t xml:space="preserve"> transferências </w:t>
      </w:r>
      <w:r w:rsidRPr="009D3E4E">
        <w:rPr>
          <w:rFonts w:ascii="Times New Roman" w:eastAsiaTheme="minorEastAsia" w:hAnsi="Times New Roman" w:cs="Times New Roman"/>
          <w:sz w:val="24"/>
          <w:szCs w:val="24"/>
        </w:rPr>
        <w:t>intergeneracionales y la</w:t>
      </w:r>
      <w:r w:rsidR="004B6B49">
        <w:rPr>
          <w:rFonts w:ascii="Times New Roman" w:eastAsiaTheme="minorEastAsia" w:hAnsi="Times New Roman" w:cs="Times New Roman"/>
          <w:sz w:val="24"/>
          <w:szCs w:val="24"/>
        </w:rPr>
        <w:t xml:space="preserve"> </w:t>
      </w:r>
      <w:r w:rsidRPr="009D3E4E">
        <w:rPr>
          <w:rFonts w:ascii="Times New Roman" w:eastAsiaTheme="minorEastAsia" w:hAnsi="Times New Roman" w:cs="Times New Roman"/>
          <w:sz w:val="24"/>
          <w:szCs w:val="24"/>
        </w:rPr>
        <w:t>desigualdad</w:t>
      </w:r>
      <w:r w:rsidR="00E52C4B">
        <w:rPr>
          <w:rFonts w:ascii="Times New Roman" w:eastAsiaTheme="minorEastAsia" w:hAnsi="Times New Roman" w:cs="Times New Roman"/>
          <w:sz w:val="24"/>
          <w:szCs w:val="24"/>
        </w:rPr>
        <w:t xml:space="preserve"> </w:t>
      </w:r>
      <w:r w:rsidRPr="009D3E4E">
        <w:rPr>
          <w:rFonts w:ascii="Times New Roman" w:eastAsiaTheme="minorEastAsia" w:hAnsi="Times New Roman" w:cs="Times New Roman"/>
          <w:sz w:val="24"/>
          <w:szCs w:val="24"/>
        </w:rPr>
        <w:t>sócio-econômica</w:t>
      </w:r>
      <w:r w:rsidR="004B6B49">
        <w:rPr>
          <w:rFonts w:ascii="Times New Roman" w:eastAsiaTheme="minorEastAsia" w:hAnsi="Times New Roman" w:cs="Times New Roman"/>
          <w:sz w:val="24"/>
          <w:szCs w:val="24"/>
        </w:rPr>
        <w:t xml:space="preserve"> </w:t>
      </w:r>
      <w:r w:rsidR="00E52C4B">
        <w:rPr>
          <w:rFonts w:ascii="Times New Roman" w:eastAsiaTheme="minorEastAsia" w:hAnsi="Times New Roman" w:cs="Times New Roman"/>
          <w:sz w:val="24"/>
          <w:szCs w:val="24"/>
        </w:rPr>
        <w:t>en</w:t>
      </w:r>
      <w:r w:rsidR="004B6B49">
        <w:rPr>
          <w:rFonts w:ascii="Times New Roman" w:eastAsiaTheme="minorEastAsia" w:hAnsi="Times New Roman" w:cs="Times New Roman"/>
          <w:sz w:val="24"/>
          <w:szCs w:val="24"/>
        </w:rPr>
        <w:t xml:space="preserve"> </w:t>
      </w:r>
      <w:r w:rsidRPr="009D3E4E">
        <w:rPr>
          <w:rFonts w:ascii="Times New Roman" w:eastAsiaTheme="minorEastAsia" w:hAnsi="Times New Roman" w:cs="Times New Roman"/>
          <w:sz w:val="24"/>
          <w:szCs w:val="24"/>
        </w:rPr>
        <w:t xml:space="preserve">el Brasil: </w:t>
      </w:r>
      <w:r w:rsidR="00B6565F">
        <w:rPr>
          <w:rFonts w:ascii="Times New Roman" w:eastAsiaTheme="minorEastAsia" w:hAnsi="Times New Roman" w:cs="Times New Roman"/>
          <w:sz w:val="24"/>
          <w:szCs w:val="24"/>
        </w:rPr>
        <w:t xml:space="preserve">Una </w:t>
      </w:r>
      <w:r w:rsidRPr="009D3E4E">
        <w:rPr>
          <w:rFonts w:ascii="Times New Roman" w:eastAsiaTheme="minorEastAsia" w:hAnsi="Times New Roman" w:cs="Times New Roman"/>
          <w:sz w:val="24"/>
          <w:szCs w:val="24"/>
        </w:rPr>
        <w:t>analasis inicial</w:t>
      </w:r>
      <w:r w:rsidR="00E7752C">
        <w:rPr>
          <w:rFonts w:ascii="Times New Roman" w:eastAsiaTheme="minorEastAsia" w:hAnsi="Times New Roman" w:cs="Times New Roman"/>
          <w:sz w:val="24"/>
          <w:szCs w:val="24"/>
        </w:rPr>
        <w:t xml:space="preserve">” </w:t>
      </w:r>
      <w:bookmarkStart w:id="0" w:name="_GoBack"/>
      <w:bookmarkEnd w:id="0"/>
      <w:r w:rsidRPr="009D3E4E">
        <w:rPr>
          <w:rFonts w:ascii="Times New Roman" w:eastAsiaTheme="minorEastAsia" w:hAnsi="Times New Roman" w:cs="Times New Roman"/>
          <w:sz w:val="24"/>
          <w:szCs w:val="24"/>
        </w:rPr>
        <w:t>Notas de Población</w:t>
      </w:r>
    </w:p>
    <w:p w:rsidR="006D66D1" w:rsidRPr="00D10378" w:rsidRDefault="006D66D1" w:rsidP="00F84DD1">
      <w:pPr>
        <w:tabs>
          <w:tab w:val="left" w:pos="7410"/>
        </w:tabs>
        <w:rPr>
          <w:rFonts w:ascii="Times New Roman" w:eastAsiaTheme="minorEastAsia" w:hAnsi="Times New Roman" w:cs="Times New Roman"/>
          <w:sz w:val="24"/>
          <w:szCs w:val="24"/>
        </w:rPr>
      </w:pPr>
    </w:p>
    <w:p w:rsidR="006D66D1" w:rsidRPr="00D10378" w:rsidRDefault="006D66D1" w:rsidP="00F84DD1">
      <w:pPr>
        <w:tabs>
          <w:tab w:val="left" w:pos="7410"/>
        </w:tabs>
        <w:rPr>
          <w:rFonts w:ascii="Times New Roman" w:eastAsiaTheme="minorEastAsia" w:hAnsi="Times New Roman" w:cs="Times New Roman"/>
          <w:sz w:val="24"/>
          <w:szCs w:val="24"/>
        </w:rPr>
      </w:pPr>
    </w:p>
    <w:p w:rsidR="006D66D1" w:rsidRPr="00D10378" w:rsidRDefault="006D66D1" w:rsidP="00F84DD1">
      <w:pPr>
        <w:tabs>
          <w:tab w:val="left" w:pos="7410"/>
        </w:tabs>
        <w:rPr>
          <w:rFonts w:ascii="Times New Roman" w:eastAsiaTheme="minorEastAsia" w:hAnsi="Times New Roman" w:cs="Times New Roman"/>
          <w:sz w:val="24"/>
          <w:szCs w:val="24"/>
        </w:rPr>
      </w:pPr>
    </w:p>
    <w:p w:rsidR="00E50752" w:rsidRPr="00E7752C" w:rsidRDefault="00E50752" w:rsidP="00F84DD1">
      <w:pPr>
        <w:tabs>
          <w:tab w:val="left" w:pos="7410"/>
        </w:tabs>
        <w:rPr>
          <w:rFonts w:ascii="Times New Roman" w:eastAsiaTheme="minorEastAsia" w:hAnsi="Times New Roman" w:cs="Times New Roman"/>
          <w:sz w:val="24"/>
          <w:szCs w:val="24"/>
        </w:rPr>
      </w:pPr>
    </w:p>
    <w:sectPr w:rsidR="00E50752" w:rsidRPr="00E7752C" w:rsidSect="005F46E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B19" w:rsidRDefault="00307B19" w:rsidP="00B60340">
      <w:pPr>
        <w:spacing w:after="0" w:line="240" w:lineRule="auto"/>
      </w:pPr>
      <w:r>
        <w:separator/>
      </w:r>
    </w:p>
  </w:endnote>
  <w:endnote w:type="continuationSeparator" w:id="1">
    <w:p w:rsidR="00307B19" w:rsidRDefault="00307B19" w:rsidP="00B60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B19" w:rsidRDefault="00307B19" w:rsidP="00B60340">
      <w:pPr>
        <w:spacing w:after="0" w:line="240" w:lineRule="auto"/>
      </w:pPr>
      <w:r>
        <w:separator/>
      </w:r>
    </w:p>
  </w:footnote>
  <w:footnote w:type="continuationSeparator" w:id="1">
    <w:p w:rsidR="00307B19" w:rsidRDefault="00307B19" w:rsidP="00B60340">
      <w:pPr>
        <w:spacing w:after="0" w:line="240" w:lineRule="auto"/>
      </w:pPr>
      <w:r>
        <w:continuationSeparator/>
      </w:r>
    </w:p>
  </w:footnote>
  <w:footnote w:id="2">
    <w:p w:rsidR="00A90A55" w:rsidRDefault="00A90A55" w:rsidP="00B60340">
      <w:pPr>
        <w:pStyle w:val="Textodenotaderodap"/>
      </w:pPr>
      <w:r>
        <w:rPr>
          <w:rStyle w:val="Refdenotaderodap"/>
        </w:rPr>
        <w:footnoteRef/>
      </w:r>
      <w:r>
        <w:t xml:space="preserve"> A primeira Transição Demográfica ocorre com uma crescente redução da mortalidade, acompanhada logo em seguida por uma redução da fecundidade, além de um expressivo aumento da expectativa de vida, gerando uma inversão da pirâmide etária, ou seja, no envelhecimento da população. </w:t>
      </w:r>
    </w:p>
  </w:footnote>
  <w:footnote w:id="3">
    <w:p w:rsidR="00A90A55" w:rsidRDefault="00A90A55">
      <w:pPr>
        <w:pStyle w:val="Textodenotaderodap"/>
      </w:pPr>
      <w:r>
        <w:rPr>
          <w:rStyle w:val="Refdenotaderodap"/>
        </w:rPr>
        <w:footnoteRef/>
      </w:r>
      <w:r>
        <w:t xml:space="preserve"> Os anos de 2012 e 2013 apresentaram crescimento recorde das despesas previdenciárias, que não puderam ser acompanhadas pelas receitas, ocasionando uma elevação expressiva do déficit do INSS.</w:t>
      </w:r>
    </w:p>
  </w:footnote>
  <w:footnote w:id="4">
    <w:p w:rsidR="00A90A55" w:rsidRDefault="00A90A55">
      <w:pPr>
        <w:pStyle w:val="Textodenotaderodap"/>
      </w:pPr>
      <w:r>
        <w:rPr>
          <w:rStyle w:val="Refdenotaderodap"/>
        </w:rPr>
        <w:footnoteRef/>
      </w:r>
      <w:r>
        <w:t xml:space="preserve"> Para neutralizar a incorporação dos municípios rurais da Região Norte na amostra da PNAD em 2004, o crescimento da PIA e da POP no ano referido foi obtido através de interpolação linear.</w:t>
      </w:r>
    </w:p>
  </w:footnote>
  <w:footnote w:id="5">
    <w:p w:rsidR="00A90A55" w:rsidRDefault="00A90A55">
      <w:pPr>
        <w:pStyle w:val="Textodenotaderodap"/>
      </w:pPr>
      <w:r>
        <w:rPr>
          <w:rStyle w:val="Refdenotaderodap"/>
        </w:rPr>
        <w:footnoteRef/>
      </w:r>
      <w:r>
        <w:t xml:space="preserve"> A descontinuidade entre 2007 e 2008 deve-se, segundo Giambiagi e Pinheiro (2012), a um crescimento real de 5,2% do PIB e uma queda de mais de 13% do número de benefícios do auxílio doença, obtida pelo melhor combate às fraudes.  </w:t>
      </w:r>
    </w:p>
  </w:footnote>
  <w:footnote w:id="6">
    <w:p w:rsidR="00A90A55" w:rsidRDefault="00A90A55">
      <w:pPr>
        <w:pStyle w:val="Textodenotaderodap"/>
      </w:pPr>
      <w:r>
        <w:rPr>
          <w:rStyle w:val="Refdenotaderodap"/>
        </w:rPr>
        <w:footnoteRef/>
      </w:r>
      <w:r>
        <w:t xml:space="preserve"> Relação do número de contribuintes e da população ocupada.</w:t>
      </w:r>
    </w:p>
  </w:footnote>
  <w:footnote w:id="7">
    <w:p w:rsidR="00A90A55" w:rsidRDefault="00A90A55">
      <w:pPr>
        <w:pStyle w:val="Textodenotaderodap"/>
      </w:pPr>
      <w:r>
        <w:rPr>
          <w:rStyle w:val="Refdenotaderodap"/>
        </w:rPr>
        <w:footnoteRef/>
      </w:r>
      <w:r>
        <w:t xml:space="preserve"> A taxa de participação corresponde à proporção da População Economicamente Ativa (mão de obra potencial) em relação à População em Idade Ativa.</w:t>
      </w:r>
    </w:p>
  </w:footnote>
  <w:footnote w:id="8">
    <w:p w:rsidR="00A90A55" w:rsidRDefault="00A90A55">
      <w:pPr>
        <w:pStyle w:val="Textodenotaderodap"/>
      </w:pPr>
      <w:r>
        <w:rPr>
          <w:rStyle w:val="Refdenotaderodap"/>
        </w:rPr>
        <w:footnoteRef/>
      </w:r>
      <w:r w:rsidRPr="00932802">
        <w:rPr>
          <w:rFonts w:cstheme="minorHAnsi"/>
        </w:rPr>
        <w:t xml:space="preserve">Em relação à terceira definição da taxa de informalidade correspondente à seguinte divisão: </w:t>
      </w:r>
      <w:r w:rsidRPr="00932802">
        <w:rPr>
          <w:rFonts w:cstheme="minorHAnsi"/>
          <w:color w:val="000000"/>
          <w:shd w:val="clear" w:color="auto" w:fill="FFFFFF"/>
        </w:rPr>
        <w:t>(empregados sem carteira + trabalhadores por conta própria) / (trabalhadores protegidos + empregados sem carteira + trabalhadores por conta própria + empregadores)</w:t>
      </w:r>
      <w:r>
        <w:rPr>
          <w:rFonts w:cstheme="minorHAnsi"/>
          <w:color w:val="000000"/>
          <w:shd w:val="clear" w:color="auto" w:fill="FFFFFF"/>
        </w:rPr>
        <w:t>. Para maiores detalhes, ver Ipeadata.</w:t>
      </w:r>
    </w:p>
  </w:footnote>
  <w:footnote w:id="9">
    <w:p w:rsidR="00A90A55" w:rsidRDefault="00A90A55">
      <w:pPr>
        <w:pStyle w:val="Textodenotaderodap"/>
      </w:pPr>
      <w:r>
        <w:rPr>
          <w:rStyle w:val="Refdenotaderodap"/>
        </w:rPr>
        <w:footnoteRef/>
      </w:r>
      <w:r>
        <w:t xml:space="preserve"> A População em Idade Ativa, segundo o IBGE, abrange a população de 10 a 65 anos.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B59F8"/>
    <w:multiLevelType w:val="hybridMultilevel"/>
    <w:tmpl w:val="BE58BAAC"/>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FD7E69"/>
    <w:multiLevelType w:val="hybridMultilevel"/>
    <w:tmpl w:val="8668B6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0D726D7"/>
    <w:multiLevelType w:val="hybridMultilevel"/>
    <w:tmpl w:val="C4D80EF4"/>
    <w:lvl w:ilvl="0" w:tplc="BAD29DB6">
      <w:start w:val="1"/>
      <w:numFmt w:val="decimal"/>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abstractNum w:abstractNumId="3">
    <w:nsid w:val="7BDE59B7"/>
    <w:multiLevelType w:val="hybridMultilevel"/>
    <w:tmpl w:val="825EB88A"/>
    <w:lvl w:ilvl="0" w:tplc="D3B6930A">
      <w:start w:val="2"/>
      <w:numFmt w:val="bullet"/>
      <w:lvlText w:val=""/>
      <w:lvlJc w:val="left"/>
      <w:pPr>
        <w:ind w:left="720" w:hanging="360"/>
      </w:pPr>
      <w:rPr>
        <w:rFonts w:ascii="Symbol" w:eastAsiaTheme="minorHAnsi" w:hAnsi="Symbol"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hdrShapeDefaults>
    <o:shapedefaults v:ext="edit" spidmax="8194"/>
  </w:hdrShapeDefaults>
  <w:footnotePr>
    <w:footnote w:id="0"/>
    <w:footnote w:id="1"/>
  </w:footnotePr>
  <w:endnotePr>
    <w:endnote w:id="0"/>
    <w:endnote w:id="1"/>
  </w:endnotePr>
  <w:compat/>
  <w:rsids>
    <w:rsidRoot w:val="00E116BB"/>
    <w:rsid w:val="0002562D"/>
    <w:rsid w:val="00033B10"/>
    <w:rsid w:val="00044378"/>
    <w:rsid w:val="00045C4B"/>
    <w:rsid w:val="00047F84"/>
    <w:rsid w:val="000641CB"/>
    <w:rsid w:val="000767B9"/>
    <w:rsid w:val="000A74B1"/>
    <w:rsid w:val="000B5FC4"/>
    <w:rsid w:val="000B6417"/>
    <w:rsid w:val="000C1558"/>
    <w:rsid w:val="000C44A0"/>
    <w:rsid w:val="000C7C07"/>
    <w:rsid w:val="0010328B"/>
    <w:rsid w:val="00103304"/>
    <w:rsid w:val="00104AAF"/>
    <w:rsid w:val="0013442C"/>
    <w:rsid w:val="00137AC1"/>
    <w:rsid w:val="00137E55"/>
    <w:rsid w:val="00151DC7"/>
    <w:rsid w:val="00182080"/>
    <w:rsid w:val="00190C64"/>
    <w:rsid w:val="00194AC9"/>
    <w:rsid w:val="00195E51"/>
    <w:rsid w:val="00196E2B"/>
    <w:rsid w:val="001B08EC"/>
    <w:rsid w:val="001B09A2"/>
    <w:rsid w:val="001B54EB"/>
    <w:rsid w:val="001C10E3"/>
    <w:rsid w:val="001C323C"/>
    <w:rsid w:val="001C4628"/>
    <w:rsid w:val="001D7976"/>
    <w:rsid w:val="001E1454"/>
    <w:rsid w:val="00205ED4"/>
    <w:rsid w:val="0021239D"/>
    <w:rsid w:val="0021354C"/>
    <w:rsid w:val="00220068"/>
    <w:rsid w:val="002551F1"/>
    <w:rsid w:val="002662B4"/>
    <w:rsid w:val="00272423"/>
    <w:rsid w:val="002B7884"/>
    <w:rsid w:val="002C73D2"/>
    <w:rsid w:val="002E4044"/>
    <w:rsid w:val="002E533C"/>
    <w:rsid w:val="002F215D"/>
    <w:rsid w:val="002F6AD5"/>
    <w:rsid w:val="00304912"/>
    <w:rsid w:val="00307B19"/>
    <w:rsid w:val="003161B1"/>
    <w:rsid w:val="00324BD6"/>
    <w:rsid w:val="00337E57"/>
    <w:rsid w:val="00346FBA"/>
    <w:rsid w:val="00351157"/>
    <w:rsid w:val="00354808"/>
    <w:rsid w:val="003551B5"/>
    <w:rsid w:val="0035771E"/>
    <w:rsid w:val="00380BDF"/>
    <w:rsid w:val="00383067"/>
    <w:rsid w:val="00390C16"/>
    <w:rsid w:val="003953A5"/>
    <w:rsid w:val="003A4B53"/>
    <w:rsid w:val="003B71B6"/>
    <w:rsid w:val="003F412F"/>
    <w:rsid w:val="004302FC"/>
    <w:rsid w:val="00444A14"/>
    <w:rsid w:val="00446B18"/>
    <w:rsid w:val="00447921"/>
    <w:rsid w:val="004605AB"/>
    <w:rsid w:val="004712AC"/>
    <w:rsid w:val="00471841"/>
    <w:rsid w:val="0049032C"/>
    <w:rsid w:val="0049206C"/>
    <w:rsid w:val="00495B64"/>
    <w:rsid w:val="004A0396"/>
    <w:rsid w:val="004A34EC"/>
    <w:rsid w:val="004A77B1"/>
    <w:rsid w:val="004B6B49"/>
    <w:rsid w:val="004D6A01"/>
    <w:rsid w:val="005020AA"/>
    <w:rsid w:val="0050597E"/>
    <w:rsid w:val="00506B48"/>
    <w:rsid w:val="00510E21"/>
    <w:rsid w:val="00523794"/>
    <w:rsid w:val="00527C9D"/>
    <w:rsid w:val="00532BB7"/>
    <w:rsid w:val="00532D33"/>
    <w:rsid w:val="005350F1"/>
    <w:rsid w:val="00542062"/>
    <w:rsid w:val="00562FCB"/>
    <w:rsid w:val="00565259"/>
    <w:rsid w:val="005657BA"/>
    <w:rsid w:val="00574F9F"/>
    <w:rsid w:val="0059039F"/>
    <w:rsid w:val="005A6DA9"/>
    <w:rsid w:val="005B3DCF"/>
    <w:rsid w:val="005E3378"/>
    <w:rsid w:val="005F46EB"/>
    <w:rsid w:val="00602D7F"/>
    <w:rsid w:val="0060319A"/>
    <w:rsid w:val="00630B00"/>
    <w:rsid w:val="00670D6D"/>
    <w:rsid w:val="00673318"/>
    <w:rsid w:val="00680564"/>
    <w:rsid w:val="00680967"/>
    <w:rsid w:val="00691C91"/>
    <w:rsid w:val="006951BE"/>
    <w:rsid w:val="0069789B"/>
    <w:rsid w:val="006B3DA9"/>
    <w:rsid w:val="006C17B9"/>
    <w:rsid w:val="006D60C6"/>
    <w:rsid w:val="006D66D1"/>
    <w:rsid w:val="006F5720"/>
    <w:rsid w:val="007007E6"/>
    <w:rsid w:val="00702C4D"/>
    <w:rsid w:val="00704903"/>
    <w:rsid w:val="00717E7F"/>
    <w:rsid w:val="00723FAD"/>
    <w:rsid w:val="0075302D"/>
    <w:rsid w:val="007564B4"/>
    <w:rsid w:val="00761BDA"/>
    <w:rsid w:val="00762A72"/>
    <w:rsid w:val="007909DF"/>
    <w:rsid w:val="00792DC9"/>
    <w:rsid w:val="007A100B"/>
    <w:rsid w:val="007B2226"/>
    <w:rsid w:val="007B2648"/>
    <w:rsid w:val="007C71BA"/>
    <w:rsid w:val="007E3CC3"/>
    <w:rsid w:val="007F7A95"/>
    <w:rsid w:val="008156CF"/>
    <w:rsid w:val="00815C0A"/>
    <w:rsid w:val="00821D30"/>
    <w:rsid w:val="008417E8"/>
    <w:rsid w:val="008617F9"/>
    <w:rsid w:val="00862525"/>
    <w:rsid w:val="00895D1F"/>
    <w:rsid w:val="00897589"/>
    <w:rsid w:val="008A0C1F"/>
    <w:rsid w:val="008A2630"/>
    <w:rsid w:val="008C5CA1"/>
    <w:rsid w:val="008E775B"/>
    <w:rsid w:val="008F01EE"/>
    <w:rsid w:val="0091315C"/>
    <w:rsid w:val="00932802"/>
    <w:rsid w:val="009351EF"/>
    <w:rsid w:val="009509DD"/>
    <w:rsid w:val="009643D4"/>
    <w:rsid w:val="00967396"/>
    <w:rsid w:val="00993094"/>
    <w:rsid w:val="009D3864"/>
    <w:rsid w:val="009D3E4E"/>
    <w:rsid w:val="009F2CA7"/>
    <w:rsid w:val="00A000EB"/>
    <w:rsid w:val="00A01316"/>
    <w:rsid w:val="00A0169F"/>
    <w:rsid w:val="00A0202F"/>
    <w:rsid w:val="00A26715"/>
    <w:rsid w:val="00A30FF5"/>
    <w:rsid w:val="00A32CC8"/>
    <w:rsid w:val="00A34D9A"/>
    <w:rsid w:val="00A43CC8"/>
    <w:rsid w:val="00A508D3"/>
    <w:rsid w:val="00A6314F"/>
    <w:rsid w:val="00A7189D"/>
    <w:rsid w:val="00A72086"/>
    <w:rsid w:val="00A83855"/>
    <w:rsid w:val="00A90A55"/>
    <w:rsid w:val="00AA2485"/>
    <w:rsid w:val="00AA38C6"/>
    <w:rsid w:val="00AA633E"/>
    <w:rsid w:val="00AB594A"/>
    <w:rsid w:val="00AD30B9"/>
    <w:rsid w:val="00AE54EC"/>
    <w:rsid w:val="00AF09DB"/>
    <w:rsid w:val="00AF28F7"/>
    <w:rsid w:val="00B02AD0"/>
    <w:rsid w:val="00B22C8B"/>
    <w:rsid w:val="00B4108D"/>
    <w:rsid w:val="00B4121B"/>
    <w:rsid w:val="00B46062"/>
    <w:rsid w:val="00B500B8"/>
    <w:rsid w:val="00B60340"/>
    <w:rsid w:val="00B6565F"/>
    <w:rsid w:val="00B70483"/>
    <w:rsid w:val="00B833DB"/>
    <w:rsid w:val="00BB3431"/>
    <w:rsid w:val="00BD4BFE"/>
    <w:rsid w:val="00C11E23"/>
    <w:rsid w:val="00C313E8"/>
    <w:rsid w:val="00C435C9"/>
    <w:rsid w:val="00C57A53"/>
    <w:rsid w:val="00C675C3"/>
    <w:rsid w:val="00C943B4"/>
    <w:rsid w:val="00C96C5A"/>
    <w:rsid w:val="00CA1BC0"/>
    <w:rsid w:val="00CA2716"/>
    <w:rsid w:val="00CD3EB0"/>
    <w:rsid w:val="00CE1219"/>
    <w:rsid w:val="00CF572C"/>
    <w:rsid w:val="00D07614"/>
    <w:rsid w:val="00D10378"/>
    <w:rsid w:val="00D123AF"/>
    <w:rsid w:val="00D1419B"/>
    <w:rsid w:val="00D26F23"/>
    <w:rsid w:val="00D27B59"/>
    <w:rsid w:val="00D75490"/>
    <w:rsid w:val="00DC00A5"/>
    <w:rsid w:val="00DC4C35"/>
    <w:rsid w:val="00DF3F88"/>
    <w:rsid w:val="00DF581A"/>
    <w:rsid w:val="00E03CCD"/>
    <w:rsid w:val="00E116BB"/>
    <w:rsid w:val="00E126EF"/>
    <w:rsid w:val="00E16FA7"/>
    <w:rsid w:val="00E24848"/>
    <w:rsid w:val="00E31A9B"/>
    <w:rsid w:val="00E50752"/>
    <w:rsid w:val="00E52C4B"/>
    <w:rsid w:val="00E5690C"/>
    <w:rsid w:val="00E7752C"/>
    <w:rsid w:val="00E825DF"/>
    <w:rsid w:val="00E963ED"/>
    <w:rsid w:val="00EA7EC9"/>
    <w:rsid w:val="00EE2319"/>
    <w:rsid w:val="00F017CC"/>
    <w:rsid w:val="00F10E76"/>
    <w:rsid w:val="00F25C52"/>
    <w:rsid w:val="00F56B7B"/>
    <w:rsid w:val="00F64633"/>
    <w:rsid w:val="00F83F63"/>
    <w:rsid w:val="00F84192"/>
    <w:rsid w:val="00F84DD1"/>
    <w:rsid w:val="00F950C3"/>
    <w:rsid w:val="00F955D4"/>
    <w:rsid w:val="00FB4E1C"/>
    <w:rsid w:val="00FF2D5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6EB"/>
  </w:style>
  <w:style w:type="paragraph" w:styleId="Ttulo6">
    <w:name w:val="heading 6"/>
    <w:basedOn w:val="Normal"/>
    <w:link w:val="Ttulo6Char"/>
    <w:uiPriority w:val="9"/>
    <w:qFormat/>
    <w:rsid w:val="00B6565F"/>
    <w:pPr>
      <w:spacing w:before="100" w:beforeAutospacing="1" w:after="100" w:afterAutospacing="1" w:line="240" w:lineRule="auto"/>
      <w:jc w:val="left"/>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F7A95"/>
    <w:rPr>
      <w:color w:val="808080"/>
    </w:rPr>
  </w:style>
  <w:style w:type="paragraph" w:styleId="Textodebalo">
    <w:name w:val="Balloon Text"/>
    <w:basedOn w:val="Normal"/>
    <w:link w:val="TextodebaloChar"/>
    <w:uiPriority w:val="99"/>
    <w:semiHidden/>
    <w:unhideWhenUsed/>
    <w:rsid w:val="007F7A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7A95"/>
    <w:rPr>
      <w:rFonts w:ascii="Tahoma" w:hAnsi="Tahoma" w:cs="Tahoma"/>
      <w:sz w:val="16"/>
      <w:szCs w:val="16"/>
    </w:rPr>
  </w:style>
  <w:style w:type="character" w:customStyle="1" w:styleId="apple-converted-space">
    <w:name w:val="apple-converted-space"/>
    <w:basedOn w:val="Fontepargpadro"/>
    <w:rsid w:val="0021239D"/>
  </w:style>
  <w:style w:type="paragraph" w:styleId="Textodenotaderodap">
    <w:name w:val="footnote text"/>
    <w:basedOn w:val="Normal"/>
    <w:link w:val="TextodenotaderodapChar"/>
    <w:uiPriority w:val="99"/>
    <w:unhideWhenUsed/>
    <w:rsid w:val="00B6034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B60340"/>
    <w:rPr>
      <w:sz w:val="20"/>
      <w:szCs w:val="20"/>
    </w:rPr>
  </w:style>
  <w:style w:type="character" w:styleId="Refdenotaderodap">
    <w:name w:val="footnote reference"/>
    <w:basedOn w:val="Fontepargpadro"/>
    <w:uiPriority w:val="99"/>
    <w:unhideWhenUsed/>
    <w:rsid w:val="00B60340"/>
    <w:rPr>
      <w:vertAlign w:val="superscript"/>
    </w:rPr>
  </w:style>
  <w:style w:type="paragraph" w:styleId="PargrafodaLista">
    <w:name w:val="List Paragraph"/>
    <w:basedOn w:val="Normal"/>
    <w:uiPriority w:val="34"/>
    <w:qFormat/>
    <w:rsid w:val="00A30FF5"/>
    <w:pPr>
      <w:ind w:left="720"/>
      <w:contextualSpacing/>
    </w:pPr>
    <w:rPr>
      <w:rFonts w:ascii="Calibri" w:eastAsia="Calibri" w:hAnsi="Calibri" w:cs="Times New Roman"/>
    </w:rPr>
  </w:style>
  <w:style w:type="table" w:customStyle="1" w:styleId="SombreamentoClaro1">
    <w:name w:val="Sombreamento Claro1"/>
    <w:basedOn w:val="Tabelanormal"/>
    <w:uiPriority w:val="60"/>
    <w:rsid w:val="008625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510E2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0E21"/>
  </w:style>
  <w:style w:type="paragraph" w:styleId="Rodap">
    <w:name w:val="footer"/>
    <w:basedOn w:val="Normal"/>
    <w:link w:val="RodapChar"/>
    <w:uiPriority w:val="99"/>
    <w:unhideWhenUsed/>
    <w:rsid w:val="00510E21"/>
    <w:pPr>
      <w:tabs>
        <w:tab w:val="center" w:pos="4252"/>
        <w:tab w:val="right" w:pos="8504"/>
      </w:tabs>
      <w:spacing w:after="0" w:line="240" w:lineRule="auto"/>
    </w:pPr>
  </w:style>
  <w:style w:type="character" w:customStyle="1" w:styleId="RodapChar">
    <w:name w:val="Rodapé Char"/>
    <w:basedOn w:val="Fontepargpadro"/>
    <w:link w:val="Rodap"/>
    <w:uiPriority w:val="99"/>
    <w:rsid w:val="00510E21"/>
  </w:style>
  <w:style w:type="table" w:styleId="Tabelacomgrade">
    <w:name w:val="Table Grid"/>
    <w:basedOn w:val="Tabelanormal"/>
    <w:uiPriority w:val="59"/>
    <w:rsid w:val="00137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446B18"/>
    <w:rPr>
      <w:i/>
      <w:iCs/>
    </w:rPr>
  </w:style>
  <w:style w:type="character" w:styleId="Forte">
    <w:name w:val="Strong"/>
    <w:basedOn w:val="Fontepargpadro"/>
    <w:uiPriority w:val="22"/>
    <w:qFormat/>
    <w:rsid w:val="00B6565F"/>
    <w:rPr>
      <w:b/>
      <w:bCs/>
    </w:rPr>
  </w:style>
  <w:style w:type="character" w:customStyle="1" w:styleId="Ttulo6Char">
    <w:name w:val="Título 6 Char"/>
    <w:basedOn w:val="Fontepargpadro"/>
    <w:link w:val="Ttulo6"/>
    <w:uiPriority w:val="9"/>
    <w:rsid w:val="00B6565F"/>
    <w:rPr>
      <w:rFonts w:ascii="Times New Roman" w:eastAsia="Times New Roman" w:hAnsi="Times New Roman" w:cs="Times New Roman"/>
      <w:b/>
      <w:bCs/>
      <w:sz w:val="15"/>
      <w:szCs w:val="15"/>
      <w:lang w:eastAsia="pt-BR"/>
    </w:rPr>
  </w:style>
  <w:style w:type="paragraph" w:customStyle="1" w:styleId="tooltip-conteudo">
    <w:name w:val="tooltip-conteudo"/>
    <w:basedOn w:val="Normal"/>
    <w:rsid w:val="00B6565F"/>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F7A95"/>
    <w:rPr>
      <w:color w:val="808080"/>
    </w:rPr>
  </w:style>
  <w:style w:type="paragraph" w:styleId="Textodebalo">
    <w:name w:val="Balloon Text"/>
    <w:basedOn w:val="Normal"/>
    <w:link w:val="TextodebaloChar"/>
    <w:uiPriority w:val="99"/>
    <w:semiHidden/>
    <w:unhideWhenUsed/>
    <w:rsid w:val="007F7A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7A95"/>
    <w:rPr>
      <w:rFonts w:ascii="Tahoma" w:hAnsi="Tahoma" w:cs="Tahoma"/>
      <w:sz w:val="16"/>
      <w:szCs w:val="16"/>
    </w:rPr>
  </w:style>
  <w:style w:type="character" w:customStyle="1" w:styleId="apple-converted-space">
    <w:name w:val="apple-converted-space"/>
    <w:basedOn w:val="Fontepargpadro"/>
    <w:rsid w:val="0021239D"/>
  </w:style>
</w:styles>
</file>

<file path=word/webSettings.xml><?xml version="1.0" encoding="utf-8"?>
<w:webSettings xmlns:r="http://schemas.openxmlformats.org/officeDocument/2006/relationships" xmlns:w="http://schemas.openxmlformats.org/wordprocessingml/2006/main">
  <w:divs>
    <w:div w:id="49112721">
      <w:bodyDiv w:val="1"/>
      <w:marLeft w:val="0"/>
      <w:marRight w:val="0"/>
      <w:marTop w:val="0"/>
      <w:marBottom w:val="0"/>
      <w:divBdr>
        <w:top w:val="none" w:sz="0" w:space="0" w:color="auto"/>
        <w:left w:val="none" w:sz="0" w:space="0" w:color="auto"/>
        <w:bottom w:val="none" w:sz="0" w:space="0" w:color="auto"/>
        <w:right w:val="none" w:sz="0" w:space="0" w:color="auto"/>
      </w:divBdr>
    </w:div>
    <w:div w:id="430710878">
      <w:bodyDiv w:val="1"/>
      <w:marLeft w:val="0"/>
      <w:marRight w:val="0"/>
      <w:marTop w:val="0"/>
      <w:marBottom w:val="0"/>
      <w:divBdr>
        <w:top w:val="none" w:sz="0" w:space="0" w:color="auto"/>
        <w:left w:val="none" w:sz="0" w:space="0" w:color="auto"/>
        <w:bottom w:val="none" w:sz="0" w:space="0" w:color="auto"/>
        <w:right w:val="none" w:sz="0" w:space="0" w:color="auto"/>
      </w:divBdr>
    </w:div>
    <w:div w:id="721909138">
      <w:bodyDiv w:val="1"/>
      <w:marLeft w:val="0"/>
      <w:marRight w:val="0"/>
      <w:marTop w:val="0"/>
      <w:marBottom w:val="0"/>
      <w:divBdr>
        <w:top w:val="none" w:sz="0" w:space="0" w:color="auto"/>
        <w:left w:val="none" w:sz="0" w:space="0" w:color="auto"/>
        <w:bottom w:val="none" w:sz="0" w:space="0" w:color="auto"/>
        <w:right w:val="none" w:sz="0" w:space="0" w:color="auto"/>
      </w:divBdr>
    </w:div>
    <w:div w:id="1060976294">
      <w:bodyDiv w:val="1"/>
      <w:marLeft w:val="0"/>
      <w:marRight w:val="0"/>
      <w:marTop w:val="0"/>
      <w:marBottom w:val="0"/>
      <w:divBdr>
        <w:top w:val="none" w:sz="0" w:space="0" w:color="auto"/>
        <w:left w:val="none" w:sz="0" w:space="0" w:color="auto"/>
        <w:bottom w:val="none" w:sz="0" w:space="0" w:color="auto"/>
        <w:right w:val="none" w:sz="0" w:space="0" w:color="auto"/>
      </w:divBdr>
    </w:div>
    <w:div w:id="1699772380">
      <w:bodyDiv w:val="1"/>
      <w:marLeft w:val="0"/>
      <w:marRight w:val="0"/>
      <w:marTop w:val="0"/>
      <w:marBottom w:val="0"/>
      <w:divBdr>
        <w:top w:val="none" w:sz="0" w:space="0" w:color="auto"/>
        <w:left w:val="none" w:sz="0" w:space="0" w:color="auto"/>
        <w:bottom w:val="none" w:sz="0" w:space="0" w:color="auto"/>
        <w:right w:val="none" w:sz="0" w:space="0" w:color="auto"/>
      </w:divBdr>
    </w:div>
    <w:div w:id="1707296182">
      <w:bodyDiv w:val="1"/>
      <w:marLeft w:val="0"/>
      <w:marRight w:val="0"/>
      <w:marTop w:val="0"/>
      <w:marBottom w:val="0"/>
      <w:divBdr>
        <w:top w:val="none" w:sz="0" w:space="0" w:color="auto"/>
        <w:left w:val="none" w:sz="0" w:space="0" w:color="auto"/>
        <w:bottom w:val="none" w:sz="0" w:space="0" w:color="auto"/>
        <w:right w:val="none" w:sz="0" w:space="0" w:color="auto"/>
      </w:divBdr>
    </w:div>
    <w:div w:id="1754273700">
      <w:bodyDiv w:val="1"/>
      <w:marLeft w:val="0"/>
      <w:marRight w:val="0"/>
      <w:marTop w:val="0"/>
      <w:marBottom w:val="0"/>
      <w:divBdr>
        <w:top w:val="none" w:sz="0" w:space="0" w:color="auto"/>
        <w:left w:val="none" w:sz="0" w:space="0" w:color="auto"/>
        <w:bottom w:val="none" w:sz="0" w:space="0" w:color="auto"/>
        <w:right w:val="none" w:sz="0" w:space="0" w:color="auto"/>
      </w:divBdr>
    </w:div>
    <w:div w:id="2054454334">
      <w:bodyDiv w:val="1"/>
      <w:marLeft w:val="0"/>
      <w:marRight w:val="0"/>
      <w:marTop w:val="0"/>
      <w:marBottom w:val="0"/>
      <w:divBdr>
        <w:top w:val="none" w:sz="0" w:space="0" w:color="auto"/>
        <w:left w:val="none" w:sz="0" w:space="0" w:color="auto"/>
        <w:bottom w:val="none" w:sz="0" w:space="0" w:color="auto"/>
        <w:right w:val="none" w:sz="0" w:space="0" w:color="auto"/>
      </w:divBdr>
    </w:div>
    <w:div w:id="21256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w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8.wmf"/><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chart" Target="charts/chart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oleObject" Target="embeddings/oleObject7.bin"/><Relationship Id="rId36" Type="http://schemas.openxmlformats.org/officeDocument/2006/relationships/chart" Target="charts/chart9.xml"/><Relationship Id="rId10" Type="http://schemas.openxmlformats.org/officeDocument/2006/relationships/chart" Target="charts/chart3.xml"/><Relationship Id="rId19" Type="http://schemas.openxmlformats.org/officeDocument/2006/relationships/image" Target="media/image3.wmf"/><Relationship Id="rId31"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oleObject" Target="embeddings/oleObject4.bin"/><Relationship Id="rId27" Type="http://schemas.openxmlformats.org/officeDocument/2006/relationships/image" Target="media/image7.wmf"/><Relationship Id="rId30" Type="http://schemas.openxmlformats.org/officeDocument/2006/relationships/oleObject" Target="embeddings/oleObject8.bin"/><Relationship Id="rId35"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niel.duque\Dropbox\Nova%20pasta%20(1)\Artigo\Para%20Artigo%20da%20Previd&#234;ncia.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aniel.duque\Dropbox\Nova%20pasta%20(1)\Artigo\Para%20Artigo%20da%20Previd&#234;ncia.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daniel.duque\Documents\Proje&#231;&#245;es%20Demogr&#225;f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niel.duque\Dropbox\Nova%20pasta%20(1)\Artigo\Para%20Artigo%20da%20Previd&#234;ncia.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niel.duque\Dropbox\Nova%20pasta%20(1)\Artigo\Para%20Artigo%20da%20Previd&#234;ncia.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niel.duque\Downloads\dasf-1.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niel.duque\Downloads\dasf-1.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niel.duque\Downloads\dasf-1.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niel.duque\Dropbox\Nova%20pasta%20(1)\Artigo\Para%20Artigo%20da%20Previd&#234;ncia.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aniel.duque\Dropbox\Nova%20pasta%20(1)\Artigo\Para%20Artigo%20da%20Previd&#234;ncia.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aniel.duque\Dropbox\Nova%20pasta%20(1)\Artigo\Para%20Artigo%20da%20Previd&#234;nci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1: População e Previdência</a:t>
            </a:r>
          </a:p>
        </c:rich>
      </c:tx>
    </c:title>
    <c:plotArea>
      <c:layout/>
      <c:lineChart>
        <c:grouping val="standard"/>
        <c:ser>
          <c:idx val="0"/>
          <c:order val="0"/>
          <c:tx>
            <c:strRef>
              <c:f>'Projeções Demográficas'!$N$27</c:f>
              <c:strCache>
                <c:ptCount val="1"/>
                <c:pt idx="0">
                  <c:v>PIA/POP</c:v>
                </c:pt>
              </c:strCache>
            </c:strRef>
          </c:tx>
          <c:marker>
            <c:symbol val="none"/>
          </c:marker>
          <c:cat>
            <c:numRef>
              <c:f>'Projeções Demográficas'!$O$23:$Y$23</c:f>
              <c:numCache>
                <c:formatCode>General</c:formatCode>
                <c:ptCount val="11"/>
                <c:pt idx="0">
                  <c:v>2002</c:v>
                </c:pt>
                <c:pt idx="1">
                  <c:v>2003</c:v>
                </c:pt>
                <c:pt idx="2">
                  <c:v>2004</c:v>
                </c:pt>
                <c:pt idx="3">
                  <c:v>2005</c:v>
                </c:pt>
                <c:pt idx="4">
                  <c:v>2006</c:v>
                </c:pt>
                <c:pt idx="5">
                  <c:v>2007</c:v>
                </c:pt>
                <c:pt idx="6">
                  <c:v>2008</c:v>
                </c:pt>
                <c:pt idx="7">
                  <c:v>2009</c:v>
                </c:pt>
                <c:pt idx="8">
                  <c:v>2010</c:v>
                </c:pt>
                <c:pt idx="9">
                  <c:v>2011</c:v>
                </c:pt>
                <c:pt idx="10">
                  <c:v>2012</c:v>
                </c:pt>
              </c:numCache>
            </c:numRef>
          </c:cat>
          <c:val>
            <c:numRef>
              <c:f>'Projeções Demográficas'!$O$27:$Y$27</c:f>
              <c:numCache>
                <c:formatCode>0.0%</c:formatCode>
                <c:ptCount val="11"/>
                <c:pt idx="0">
                  <c:v>0.75310844041145752</c:v>
                </c:pt>
                <c:pt idx="1">
                  <c:v>0.75553796116449567</c:v>
                </c:pt>
                <c:pt idx="2">
                  <c:v>0.75759297103113299</c:v>
                </c:pt>
                <c:pt idx="3">
                  <c:v>0.76146535441791152</c:v>
                </c:pt>
                <c:pt idx="4">
                  <c:v>0.76551731208621154</c:v>
                </c:pt>
                <c:pt idx="5">
                  <c:v>0.76837860741374142</c:v>
                </c:pt>
                <c:pt idx="6">
                  <c:v>0.77039561638884169</c:v>
                </c:pt>
                <c:pt idx="7">
                  <c:v>0.77177457963306884</c:v>
                </c:pt>
                <c:pt idx="8">
                  <c:v>0.77322658346384121</c:v>
                </c:pt>
                <c:pt idx="9">
                  <c:v>0.77468131907042048</c:v>
                </c:pt>
                <c:pt idx="10">
                  <c:v>0.77198889698448536</c:v>
                </c:pt>
              </c:numCache>
            </c:numRef>
          </c:val>
        </c:ser>
        <c:ser>
          <c:idx val="1"/>
          <c:order val="1"/>
          <c:tx>
            <c:strRef>
              <c:f>'Projeções Demográficas'!$N$28</c:f>
              <c:strCache>
                <c:ptCount val="1"/>
                <c:pt idx="0">
                  <c:v>Beneficiários/Contribuintes Ocupados</c:v>
                </c:pt>
              </c:strCache>
            </c:strRef>
          </c:tx>
          <c:marker>
            <c:symbol val="none"/>
          </c:marker>
          <c:cat>
            <c:numRef>
              <c:f>'Projeções Demográficas'!$O$23:$X$23</c:f>
              <c:numCache>
                <c:formatCode>General</c:formatCode>
                <c:ptCount val="10"/>
                <c:pt idx="0">
                  <c:v>2002</c:v>
                </c:pt>
                <c:pt idx="1">
                  <c:v>2003</c:v>
                </c:pt>
                <c:pt idx="2">
                  <c:v>2004</c:v>
                </c:pt>
                <c:pt idx="3">
                  <c:v>2005</c:v>
                </c:pt>
                <c:pt idx="4">
                  <c:v>2006</c:v>
                </c:pt>
                <c:pt idx="5">
                  <c:v>2007</c:v>
                </c:pt>
                <c:pt idx="6">
                  <c:v>2008</c:v>
                </c:pt>
                <c:pt idx="7">
                  <c:v>2009</c:v>
                </c:pt>
                <c:pt idx="8">
                  <c:v>2010</c:v>
                </c:pt>
                <c:pt idx="9">
                  <c:v>2011</c:v>
                </c:pt>
              </c:numCache>
            </c:numRef>
          </c:cat>
          <c:val>
            <c:numRef>
              <c:f>'Projeções Demográficas'!$O$28:$Y$28</c:f>
              <c:numCache>
                <c:formatCode>0.0%</c:formatCode>
                <c:ptCount val="11"/>
                <c:pt idx="0">
                  <c:v>0.67367181270302801</c:v>
                </c:pt>
                <c:pt idx="1">
                  <c:v>0.68407576719232221</c:v>
                </c:pt>
                <c:pt idx="2">
                  <c:v>0.68102920851466042</c:v>
                </c:pt>
                <c:pt idx="3">
                  <c:v>0.65246097218361554</c:v>
                </c:pt>
                <c:pt idx="4">
                  <c:v>0.65111208553610189</c:v>
                </c:pt>
                <c:pt idx="5">
                  <c:v>0.62162630999040469</c:v>
                </c:pt>
                <c:pt idx="6">
                  <c:v>0.59400741435907201</c:v>
                </c:pt>
                <c:pt idx="7">
                  <c:v>0.5937027596559098</c:v>
                </c:pt>
                <c:pt idx="8">
                  <c:v>0.57552898694194732</c:v>
                </c:pt>
                <c:pt idx="9">
                  <c:v>0.55755367531108879</c:v>
                </c:pt>
                <c:pt idx="10" formatCode="0%">
                  <c:v>0.55000000000000004</c:v>
                </c:pt>
              </c:numCache>
            </c:numRef>
          </c:val>
        </c:ser>
        <c:marker val="1"/>
        <c:axId val="104815232"/>
        <c:axId val="104849792"/>
      </c:lineChart>
      <c:catAx>
        <c:axId val="104815232"/>
        <c:scaling>
          <c:orientation val="minMax"/>
        </c:scaling>
        <c:axPos val="b"/>
        <c:numFmt formatCode="General" sourceLinked="1"/>
        <c:majorTickMark val="none"/>
        <c:tickLblPos val="nextTo"/>
        <c:txPr>
          <a:bodyPr rot="0" vert="horz"/>
          <a:lstStyle/>
          <a:p>
            <a:pPr>
              <a:defRPr/>
            </a:pPr>
            <a:endParaRPr lang="pt-BR"/>
          </a:p>
        </c:txPr>
        <c:crossAx val="104849792"/>
        <c:crosses val="autoZero"/>
        <c:auto val="1"/>
        <c:lblAlgn val="ctr"/>
        <c:lblOffset val="100"/>
      </c:catAx>
      <c:valAx>
        <c:axId val="104849792"/>
        <c:scaling>
          <c:orientation val="minMax"/>
          <c:max val="0.78"/>
          <c:min val="0.53"/>
        </c:scaling>
        <c:axPos val="l"/>
        <c:majorGridlines/>
        <c:numFmt formatCode="0.0%" sourceLinked="1"/>
        <c:majorTickMark val="none"/>
        <c:tickLblPos val="nextTo"/>
        <c:txPr>
          <a:bodyPr rot="0" vert="horz"/>
          <a:lstStyle/>
          <a:p>
            <a:pPr>
              <a:defRPr/>
            </a:pPr>
            <a:endParaRPr lang="pt-BR"/>
          </a:p>
        </c:txPr>
        <c:crossAx val="104815232"/>
        <c:crosses val="autoZero"/>
        <c:crossBetween val="between"/>
      </c:valAx>
    </c:plotArea>
    <c:legend>
      <c:legendPos val="b"/>
    </c:legend>
    <c:plotVisOnly val="1"/>
    <c:dispBlanksAs val="gap"/>
  </c:chart>
  <c:spPr>
    <a:ln>
      <a:noFill/>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10: Arrecadação/Despesa com e sem Bônus Demográfico </a:t>
            </a:r>
          </a:p>
        </c:rich>
      </c:tx>
    </c:title>
    <c:plotArea>
      <c:layout>
        <c:manualLayout>
          <c:layoutTarget val="inner"/>
          <c:xMode val="edge"/>
          <c:yMode val="edge"/>
          <c:x val="2.5730994152046785E-2"/>
          <c:y val="0.19796298189998993"/>
          <c:w val="0.94853801169590668"/>
          <c:h val="0.70835163786344935"/>
        </c:manualLayout>
      </c:layout>
      <c:barChart>
        <c:barDir val="col"/>
        <c:grouping val="clustered"/>
        <c:ser>
          <c:idx val="0"/>
          <c:order val="0"/>
          <c:tx>
            <c:v>2002</c:v>
          </c:tx>
          <c:dLbls>
            <c:numFmt formatCode="0.0%" sourceLinked="0"/>
            <c:showVal val="1"/>
          </c:dLbls>
          <c:cat>
            <c:strLit>
              <c:ptCount val="2"/>
              <c:pt idx="0">
                <c:v>Com Bônus Demográfico</c:v>
              </c:pt>
              <c:pt idx="1">
                <c:v>Sem Bônus Demográfico</c:v>
              </c:pt>
            </c:strLit>
          </c:cat>
          <c:val>
            <c:numRef>
              <c:f>(Plan2!$C$5;Plan2!$C$5)</c:f>
              <c:numCache>
                <c:formatCode>0.0%</c:formatCode>
                <c:ptCount val="2"/>
                <c:pt idx="0">
                  <c:v>0.79972182312890239</c:v>
                </c:pt>
                <c:pt idx="1">
                  <c:v>0.79972182312890239</c:v>
                </c:pt>
              </c:numCache>
            </c:numRef>
          </c:val>
        </c:ser>
        <c:ser>
          <c:idx val="1"/>
          <c:order val="1"/>
          <c:tx>
            <c:v>2012</c:v>
          </c:tx>
          <c:dLbls>
            <c:numFmt formatCode="0.0%" sourceLinked="0"/>
            <c:showVal val="1"/>
          </c:dLbls>
          <c:cat>
            <c:strLit>
              <c:ptCount val="2"/>
              <c:pt idx="0">
                <c:v>Com Bônus Demográfico</c:v>
              </c:pt>
              <c:pt idx="1">
                <c:v>Sem Bônus Demográfico</c:v>
              </c:pt>
            </c:strLit>
          </c:cat>
          <c:val>
            <c:numRef>
              <c:f>(Plan2!$M$5;Plan2!$O$5)</c:f>
              <c:numCache>
                <c:formatCode>0.0%</c:formatCode>
                <c:ptCount val="2"/>
                <c:pt idx="0">
                  <c:v>0.9610085891692165</c:v>
                </c:pt>
                <c:pt idx="1">
                  <c:v>0.76510358779235577</c:v>
                </c:pt>
              </c:numCache>
            </c:numRef>
          </c:val>
        </c:ser>
        <c:overlap val="-25"/>
        <c:axId val="164562432"/>
        <c:axId val="164563968"/>
      </c:barChart>
      <c:catAx>
        <c:axId val="164562432"/>
        <c:scaling>
          <c:orientation val="minMax"/>
        </c:scaling>
        <c:axPos val="b"/>
        <c:numFmt formatCode="General" sourceLinked="1"/>
        <c:majorTickMark val="none"/>
        <c:tickLblPos val="nextTo"/>
        <c:txPr>
          <a:bodyPr rot="0" vert="horz"/>
          <a:lstStyle/>
          <a:p>
            <a:pPr>
              <a:defRPr/>
            </a:pPr>
            <a:endParaRPr lang="pt-BR"/>
          </a:p>
        </c:txPr>
        <c:crossAx val="164563968"/>
        <c:crosses val="autoZero"/>
        <c:auto val="1"/>
        <c:lblAlgn val="ctr"/>
        <c:lblOffset val="100"/>
      </c:catAx>
      <c:valAx>
        <c:axId val="164563968"/>
        <c:scaling>
          <c:orientation val="minMax"/>
        </c:scaling>
        <c:delete val="1"/>
        <c:axPos val="l"/>
        <c:numFmt formatCode="0.0%" sourceLinked="1"/>
        <c:tickLblPos val="nextTo"/>
        <c:crossAx val="164562432"/>
        <c:crosses val="autoZero"/>
        <c:crossBetween val="between"/>
      </c:valAx>
    </c:plotArea>
    <c:legend>
      <c:legendPos val="t"/>
    </c:legend>
    <c:plotVisOnly val="1"/>
    <c:dispBlanksAs val="gap"/>
  </c:chart>
  <c:spPr>
    <a:ln>
      <a:noFill/>
    </a:ln>
  </c:sp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11: Taxa de Crescimento da População por Faixa Etária (2003-32</a:t>
            </a:r>
            <a:r>
              <a:rPr lang="pt-BR"/>
              <a:t>)</a:t>
            </a:r>
          </a:p>
        </c:rich>
      </c:tx>
    </c:title>
    <c:plotArea>
      <c:layout/>
      <c:barChart>
        <c:barDir val="col"/>
        <c:grouping val="clustered"/>
        <c:ser>
          <c:idx val="0"/>
          <c:order val="0"/>
          <c:tx>
            <c:v>'10-65 (PIA)</c:v>
          </c:tx>
          <c:cat>
            <c:numRef>
              <c:f>Tudo!$A$5:$A$34</c:f>
              <c:numCache>
                <c:formatCode>General</c:formatCode>
                <c:ptCount val="30"/>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pt idx="17">
                  <c:v>2020</c:v>
                </c:pt>
                <c:pt idx="18">
                  <c:v>2021</c:v>
                </c:pt>
                <c:pt idx="19">
                  <c:v>2022</c:v>
                </c:pt>
                <c:pt idx="20">
                  <c:v>2023</c:v>
                </c:pt>
                <c:pt idx="21">
                  <c:v>2024</c:v>
                </c:pt>
                <c:pt idx="22">
                  <c:v>2025</c:v>
                </c:pt>
                <c:pt idx="23">
                  <c:v>2026</c:v>
                </c:pt>
                <c:pt idx="24">
                  <c:v>2027</c:v>
                </c:pt>
                <c:pt idx="25">
                  <c:v>2028</c:v>
                </c:pt>
                <c:pt idx="26">
                  <c:v>2029</c:v>
                </c:pt>
                <c:pt idx="27">
                  <c:v>2030</c:v>
                </c:pt>
                <c:pt idx="28">
                  <c:v>2031</c:v>
                </c:pt>
                <c:pt idx="29">
                  <c:v>2032</c:v>
                </c:pt>
              </c:numCache>
            </c:numRef>
          </c:cat>
          <c:val>
            <c:numRef>
              <c:f>Tudo!$J$5:$J$34</c:f>
              <c:numCache>
                <c:formatCode>0.0%</c:formatCode>
                <c:ptCount val="30"/>
                <c:pt idx="0">
                  <c:v>1.5676172447820061E-2</c:v>
                </c:pt>
                <c:pt idx="1">
                  <c:v>1.528502422930746E-2</c:v>
                </c:pt>
                <c:pt idx="2">
                  <c:v>1.4955206595461679E-2</c:v>
                </c:pt>
                <c:pt idx="3">
                  <c:v>1.460139971590225E-2</c:v>
                </c:pt>
                <c:pt idx="4">
                  <c:v>1.4241809157854449E-2</c:v>
                </c:pt>
                <c:pt idx="5">
                  <c:v>1.3831519690448614E-2</c:v>
                </c:pt>
                <c:pt idx="6">
                  <c:v>1.3330239110401321E-2</c:v>
                </c:pt>
                <c:pt idx="7">
                  <c:v>1.2720005588996001E-2</c:v>
                </c:pt>
                <c:pt idx="8">
                  <c:v>1.2399140594790078E-2</c:v>
                </c:pt>
                <c:pt idx="9">
                  <c:v>1.159577204326402E-2</c:v>
                </c:pt>
                <c:pt idx="10">
                  <c:v>1.0810486599117665E-2</c:v>
                </c:pt>
                <c:pt idx="11">
                  <c:v>1.0057248081865698E-2</c:v>
                </c:pt>
                <c:pt idx="12">
                  <c:v>9.3276699243072352E-3</c:v>
                </c:pt>
                <c:pt idx="13">
                  <c:v>8.6057183674512761E-3</c:v>
                </c:pt>
                <c:pt idx="14">
                  <c:v>7.8845420360378338E-3</c:v>
                </c:pt>
                <c:pt idx="15">
                  <c:v>7.1685964277814485E-3</c:v>
                </c:pt>
                <c:pt idx="16">
                  <c:v>6.4730276494400288E-3</c:v>
                </c:pt>
                <c:pt idx="17">
                  <c:v>5.7992685223302656E-3</c:v>
                </c:pt>
                <c:pt idx="18">
                  <c:v>5.1390653717531343E-3</c:v>
                </c:pt>
                <c:pt idx="19">
                  <c:v>4.5023208640695422E-3</c:v>
                </c:pt>
                <c:pt idx="20">
                  <c:v>3.8858535934729352E-3</c:v>
                </c:pt>
                <c:pt idx="21">
                  <c:v>3.2743958568466395E-3</c:v>
                </c:pt>
                <c:pt idx="22">
                  <c:v>2.6799064554294816E-3</c:v>
                </c:pt>
                <c:pt idx="23">
                  <c:v>2.1019555265777718E-3</c:v>
                </c:pt>
                <c:pt idx="24">
                  <c:v>1.52914649300473E-3</c:v>
                </c:pt>
                <c:pt idx="25">
                  <c:v>1.0330077532285662E-3</c:v>
                </c:pt>
                <c:pt idx="26">
                  <c:v>6.380260620058039E-4</c:v>
                </c:pt>
                <c:pt idx="27">
                  <c:v>3.0966788173381055E-4</c:v>
                </c:pt>
                <c:pt idx="28">
                  <c:v>-4.300804030299421E-5</c:v>
                </c:pt>
                <c:pt idx="29">
                  <c:v>-3.7185186852362078E-4</c:v>
                </c:pt>
              </c:numCache>
            </c:numRef>
          </c:val>
        </c:ser>
        <c:ser>
          <c:idx val="1"/>
          <c:order val="1"/>
          <c:tx>
            <c:v>65+ (Pop idosa)</c:v>
          </c:tx>
          <c:cat>
            <c:numRef>
              <c:f>Tudo!$A$5:$A$34</c:f>
              <c:numCache>
                <c:formatCode>General</c:formatCode>
                <c:ptCount val="30"/>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pt idx="17">
                  <c:v>2020</c:v>
                </c:pt>
                <c:pt idx="18">
                  <c:v>2021</c:v>
                </c:pt>
                <c:pt idx="19">
                  <c:v>2022</c:v>
                </c:pt>
                <c:pt idx="20">
                  <c:v>2023</c:v>
                </c:pt>
                <c:pt idx="21">
                  <c:v>2024</c:v>
                </c:pt>
                <c:pt idx="22">
                  <c:v>2025</c:v>
                </c:pt>
                <c:pt idx="23">
                  <c:v>2026</c:v>
                </c:pt>
                <c:pt idx="24">
                  <c:v>2027</c:v>
                </c:pt>
                <c:pt idx="25">
                  <c:v>2028</c:v>
                </c:pt>
                <c:pt idx="26">
                  <c:v>2029</c:v>
                </c:pt>
                <c:pt idx="27">
                  <c:v>2030</c:v>
                </c:pt>
                <c:pt idx="28">
                  <c:v>2031</c:v>
                </c:pt>
                <c:pt idx="29">
                  <c:v>2032</c:v>
                </c:pt>
              </c:numCache>
            </c:numRef>
          </c:cat>
          <c:val>
            <c:numRef>
              <c:f>Tudo!$K$5:$K$34</c:f>
              <c:numCache>
                <c:formatCode>0.0%</c:formatCode>
                <c:ptCount val="30"/>
                <c:pt idx="0">
                  <c:v>3.1501770475810986E-2</c:v>
                </c:pt>
                <c:pt idx="1">
                  <c:v>3.1494299133909581E-2</c:v>
                </c:pt>
                <c:pt idx="2">
                  <c:v>3.0948145739199597E-2</c:v>
                </c:pt>
                <c:pt idx="3">
                  <c:v>3.0849057597411005E-2</c:v>
                </c:pt>
                <c:pt idx="4">
                  <c:v>3.0889738809093879E-2</c:v>
                </c:pt>
                <c:pt idx="5">
                  <c:v>3.1614327870815889E-2</c:v>
                </c:pt>
                <c:pt idx="6">
                  <c:v>3.3329770226431243E-2</c:v>
                </c:pt>
                <c:pt idx="7">
                  <c:v>3.5501459759858189E-2</c:v>
                </c:pt>
                <c:pt idx="8">
                  <c:v>3.7431431782031704E-2</c:v>
                </c:pt>
                <c:pt idx="9">
                  <c:v>3.9240624077921081E-2</c:v>
                </c:pt>
                <c:pt idx="10">
                  <c:v>4.0663753478190165E-2</c:v>
                </c:pt>
                <c:pt idx="11">
                  <c:v>4.1632576973663862E-2</c:v>
                </c:pt>
                <c:pt idx="12">
                  <c:v>4.2266252424436671E-2</c:v>
                </c:pt>
                <c:pt idx="13">
                  <c:v>4.2887888782312297E-2</c:v>
                </c:pt>
                <c:pt idx="14">
                  <c:v>4.3436794860601223E-2</c:v>
                </c:pt>
                <c:pt idx="15">
                  <c:v>4.3771742182633556E-2</c:v>
                </c:pt>
                <c:pt idx="16">
                  <c:v>4.3924019885603023E-2</c:v>
                </c:pt>
                <c:pt idx="17">
                  <c:v>4.3904380621896624E-2</c:v>
                </c:pt>
                <c:pt idx="18">
                  <c:v>4.3759712029246819E-2</c:v>
                </c:pt>
                <c:pt idx="19">
                  <c:v>4.3466935152385131E-2</c:v>
                </c:pt>
                <c:pt idx="20">
                  <c:v>4.3127502922924547E-2</c:v>
                </c:pt>
                <c:pt idx="21">
                  <c:v>4.2790996102441158E-2</c:v>
                </c:pt>
                <c:pt idx="22">
                  <c:v>4.2364281608099408E-2</c:v>
                </c:pt>
                <c:pt idx="23">
                  <c:v>4.1822168796116867E-2</c:v>
                </c:pt>
                <c:pt idx="24">
                  <c:v>4.1255966905885615E-2</c:v>
                </c:pt>
                <c:pt idx="25">
                  <c:v>4.0240987331705794E-2</c:v>
                </c:pt>
                <c:pt idx="26">
                  <c:v>3.8675782108233331E-2</c:v>
                </c:pt>
                <c:pt idx="27">
                  <c:v>3.6837123441783505E-2</c:v>
                </c:pt>
                <c:pt idx="28">
                  <c:v>3.5183695292724484E-2</c:v>
                </c:pt>
                <c:pt idx="29">
                  <c:v>3.361324181516448E-2</c:v>
                </c:pt>
              </c:numCache>
            </c:numRef>
          </c:val>
        </c:ser>
        <c:ser>
          <c:idx val="2"/>
          <c:order val="2"/>
          <c:tx>
            <c:v>25-59 (Pop Madura)</c:v>
          </c:tx>
          <c:val>
            <c:numRef>
              <c:f>Tudo!$L$5:$L$34</c:f>
              <c:numCache>
                <c:formatCode>0.0%</c:formatCode>
                <c:ptCount val="30"/>
                <c:pt idx="0">
                  <c:v>2.4402238237714275E-2</c:v>
                </c:pt>
                <c:pt idx="1">
                  <c:v>2.4294106134032253E-2</c:v>
                </c:pt>
                <c:pt idx="2">
                  <c:v>2.4067486021721148E-2</c:v>
                </c:pt>
                <c:pt idx="3">
                  <c:v>2.3782916241770872E-2</c:v>
                </c:pt>
                <c:pt idx="4">
                  <c:v>2.349657925142435E-2</c:v>
                </c:pt>
                <c:pt idx="5">
                  <c:v>2.2778348856638656E-2</c:v>
                </c:pt>
                <c:pt idx="6">
                  <c:v>2.1478658636239441E-2</c:v>
                </c:pt>
                <c:pt idx="7">
                  <c:v>1.9855564110986337E-2</c:v>
                </c:pt>
                <c:pt idx="8">
                  <c:v>1.8334804883124223E-2</c:v>
                </c:pt>
                <c:pt idx="9">
                  <c:v>1.6819400866481263E-2</c:v>
                </c:pt>
                <c:pt idx="10">
                  <c:v>1.5486520785676704E-2</c:v>
                </c:pt>
                <c:pt idx="11">
                  <c:v>1.4465492681192019E-2</c:v>
                </c:pt>
                <c:pt idx="12">
                  <c:v>1.3648458578992441E-2</c:v>
                </c:pt>
                <c:pt idx="13">
                  <c:v>1.2813418791378211E-2</c:v>
                </c:pt>
                <c:pt idx="14">
                  <c:v>1.1998850210142038E-2</c:v>
                </c:pt>
                <c:pt idx="15">
                  <c:v>1.1212736720024978E-2</c:v>
                </c:pt>
                <c:pt idx="16">
                  <c:v>1.045320854233856E-2</c:v>
                </c:pt>
                <c:pt idx="17">
                  <c:v>9.7386870721600793E-3</c:v>
                </c:pt>
                <c:pt idx="18">
                  <c:v>9.0586631736966367E-3</c:v>
                </c:pt>
                <c:pt idx="19">
                  <c:v>8.3937197237973268E-3</c:v>
                </c:pt>
                <c:pt idx="20">
                  <c:v>7.8674207966094034E-3</c:v>
                </c:pt>
                <c:pt idx="21">
                  <c:v>7.4992041830583946E-3</c:v>
                </c:pt>
                <c:pt idx="22">
                  <c:v>7.1527454175612792E-3</c:v>
                </c:pt>
                <c:pt idx="23">
                  <c:v>7.1417124552852797E-3</c:v>
                </c:pt>
                <c:pt idx="24">
                  <c:v>6.4698530288693819E-3</c:v>
                </c:pt>
                <c:pt idx="25">
                  <c:v>5.8101601918243507E-3</c:v>
                </c:pt>
                <c:pt idx="26">
                  <c:v>5.1353178383373166E-3</c:v>
                </c:pt>
                <c:pt idx="27">
                  <c:v>4.4396889288638242E-3</c:v>
                </c:pt>
                <c:pt idx="28">
                  <c:v>3.7226403119858809E-3</c:v>
                </c:pt>
                <c:pt idx="29">
                  <c:v>3.0385756940445319E-3</c:v>
                </c:pt>
              </c:numCache>
            </c:numRef>
          </c:val>
        </c:ser>
        <c:axId val="164592640"/>
        <c:axId val="164598528"/>
      </c:barChart>
      <c:catAx>
        <c:axId val="164592640"/>
        <c:scaling>
          <c:orientation val="minMax"/>
        </c:scaling>
        <c:axPos val="b"/>
        <c:numFmt formatCode="General" sourceLinked="1"/>
        <c:tickLblPos val="nextTo"/>
        <c:crossAx val="164598528"/>
        <c:crosses val="autoZero"/>
        <c:auto val="1"/>
        <c:lblAlgn val="ctr"/>
        <c:lblOffset val="100"/>
      </c:catAx>
      <c:valAx>
        <c:axId val="164598528"/>
        <c:scaling>
          <c:orientation val="minMax"/>
          <c:max val="4.5000000000000012E-2"/>
        </c:scaling>
        <c:axPos val="l"/>
        <c:majorGridlines/>
        <c:numFmt formatCode="0.0%" sourceLinked="1"/>
        <c:tickLblPos val="nextTo"/>
        <c:crossAx val="164592640"/>
        <c:crosses val="autoZero"/>
        <c:crossBetween val="between"/>
      </c:valAx>
    </c:plotArea>
    <c:legend>
      <c:legendPos val="b"/>
    </c:legend>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2: Arrecadação/Despesa X Beneficiários/Contribuintes Ocupados</a:t>
            </a:r>
          </a:p>
        </c:rich>
      </c:tx>
    </c:title>
    <c:plotArea>
      <c:layout>
        <c:manualLayout>
          <c:layoutTarget val="inner"/>
          <c:xMode val="edge"/>
          <c:yMode val="edge"/>
          <c:x val="7.3360791439531725E-2"/>
          <c:y val="0.18269853768278971"/>
          <c:w val="0.86395028684655562"/>
          <c:h val="0.59663667041619795"/>
        </c:manualLayout>
      </c:layout>
      <c:lineChart>
        <c:grouping val="standard"/>
        <c:ser>
          <c:idx val="0"/>
          <c:order val="0"/>
          <c:tx>
            <c:strRef>
              <c:f>'Projeções Demográficas'!$N$28</c:f>
              <c:strCache>
                <c:ptCount val="1"/>
                <c:pt idx="0">
                  <c:v>Beneficiários/Contribuintes Ocupados</c:v>
                </c:pt>
              </c:strCache>
            </c:strRef>
          </c:tx>
          <c:marker>
            <c:symbol val="none"/>
          </c:marker>
          <c:cat>
            <c:numRef>
              <c:f>'Projeções Demográficas'!$O$23:$Y$23</c:f>
              <c:numCache>
                <c:formatCode>General</c:formatCode>
                <c:ptCount val="11"/>
                <c:pt idx="0">
                  <c:v>2002</c:v>
                </c:pt>
                <c:pt idx="1">
                  <c:v>2003</c:v>
                </c:pt>
                <c:pt idx="2">
                  <c:v>2004</c:v>
                </c:pt>
                <c:pt idx="3">
                  <c:v>2005</c:v>
                </c:pt>
                <c:pt idx="4">
                  <c:v>2006</c:v>
                </c:pt>
                <c:pt idx="5">
                  <c:v>2007</c:v>
                </c:pt>
                <c:pt idx="6">
                  <c:v>2008</c:v>
                </c:pt>
                <c:pt idx="7">
                  <c:v>2009</c:v>
                </c:pt>
                <c:pt idx="8">
                  <c:v>2010</c:v>
                </c:pt>
                <c:pt idx="9">
                  <c:v>2011</c:v>
                </c:pt>
                <c:pt idx="10">
                  <c:v>2012</c:v>
                </c:pt>
              </c:numCache>
            </c:numRef>
          </c:cat>
          <c:val>
            <c:numRef>
              <c:f>'Projeções Demográficas'!$O$28:$Y$28</c:f>
              <c:numCache>
                <c:formatCode>0.0%</c:formatCode>
                <c:ptCount val="11"/>
                <c:pt idx="0">
                  <c:v>0.67367181270302801</c:v>
                </c:pt>
                <c:pt idx="1">
                  <c:v>0.68407576719232221</c:v>
                </c:pt>
                <c:pt idx="2">
                  <c:v>0.68102920851466042</c:v>
                </c:pt>
                <c:pt idx="3">
                  <c:v>0.65246097218361554</c:v>
                </c:pt>
                <c:pt idx="4">
                  <c:v>0.65111208553610189</c:v>
                </c:pt>
                <c:pt idx="5">
                  <c:v>0.62162630999040469</c:v>
                </c:pt>
                <c:pt idx="6">
                  <c:v>0.59400741435907201</c:v>
                </c:pt>
                <c:pt idx="7">
                  <c:v>0.5937027596559098</c:v>
                </c:pt>
                <c:pt idx="8">
                  <c:v>0.57552898694194732</c:v>
                </c:pt>
                <c:pt idx="9">
                  <c:v>0.55755367531108879</c:v>
                </c:pt>
                <c:pt idx="10" formatCode="0%">
                  <c:v>0.55000000000000004</c:v>
                </c:pt>
              </c:numCache>
            </c:numRef>
          </c:val>
        </c:ser>
        <c:ser>
          <c:idx val="1"/>
          <c:order val="1"/>
          <c:tx>
            <c:v>Contribuições/Despesas</c:v>
          </c:tx>
          <c:marker>
            <c:symbol val="none"/>
          </c:marker>
          <c:cat>
            <c:numRef>
              <c:f>'Projeções Demográficas'!$O$23:$Y$23</c:f>
              <c:numCache>
                <c:formatCode>General</c:formatCode>
                <c:ptCount val="11"/>
                <c:pt idx="0">
                  <c:v>2002</c:v>
                </c:pt>
                <c:pt idx="1">
                  <c:v>2003</c:v>
                </c:pt>
                <c:pt idx="2">
                  <c:v>2004</c:v>
                </c:pt>
                <c:pt idx="3">
                  <c:v>2005</c:v>
                </c:pt>
                <c:pt idx="4">
                  <c:v>2006</c:v>
                </c:pt>
                <c:pt idx="5">
                  <c:v>2007</c:v>
                </c:pt>
                <c:pt idx="6">
                  <c:v>2008</c:v>
                </c:pt>
                <c:pt idx="7">
                  <c:v>2009</c:v>
                </c:pt>
                <c:pt idx="8">
                  <c:v>2010</c:v>
                </c:pt>
                <c:pt idx="9">
                  <c:v>2011</c:v>
                </c:pt>
                <c:pt idx="10">
                  <c:v>2012</c:v>
                </c:pt>
              </c:numCache>
            </c:numRef>
          </c:cat>
          <c:val>
            <c:numRef>
              <c:f>'Projeções Demográficas'!$O$42:$Y$42</c:f>
              <c:numCache>
                <c:formatCode>0.0%</c:formatCode>
                <c:ptCount val="11"/>
                <c:pt idx="0">
                  <c:v>0.79972182312890239</c:v>
                </c:pt>
                <c:pt idx="1">
                  <c:v>0.75502722626945284</c:v>
                </c:pt>
                <c:pt idx="2">
                  <c:v>0.7582713690149544</c:v>
                </c:pt>
                <c:pt idx="3">
                  <c:v>0.76983482745529774</c:v>
                </c:pt>
                <c:pt idx="4">
                  <c:v>0.74271186132841338</c:v>
                </c:pt>
                <c:pt idx="5">
                  <c:v>0.75507055865320771</c:v>
                </c:pt>
                <c:pt idx="6">
                  <c:v>0.90143218392500013</c:v>
                </c:pt>
                <c:pt idx="7">
                  <c:v>0.88396793047133959</c:v>
                </c:pt>
                <c:pt idx="8">
                  <c:v>0.9067153254426159</c:v>
                </c:pt>
                <c:pt idx="9">
                  <c:v>0.96702042269366151</c:v>
                </c:pt>
                <c:pt idx="10">
                  <c:v>0.9610085891692165</c:v>
                </c:pt>
              </c:numCache>
            </c:numRef>
          </c:val>
        </c:ser>
        <c:marker val="1"/>
        <c:axId val="164303616"/>
        <c:axId val="164305152"/>
      </c:lineChart>
      <c:catAx>
        <c:axId val="164303616"/>
        <c:scaling>
          <c:orientation val="minMax"/>
        </c:scaling>
        <c:axPos val="b"/>
        <c:numFmt formatCode="General" sourceLinked="1"/>
        <c:majorTickMark val="none"/>
        <c:tickLblPos val="nextTo"/>
        <c:txPr>
          <a:bodyPr rot="0" vert="horz"/>
          <a:lstStyle/>
          <a:p>
            <a:pPr>
              <a:defRPr/>
            </a:pPr>
            <a:endParaRPr lang="pt-BR"/>
          </a:p>
        </c:txPr>
        <c:crossAx val="164305152"/>
        <c:crosses val="autoZero"/>
        <c:auto val="1"/>
        <c:lblAlgn val="ctr"/>
        <c:lblOffset val="100"/>
      </c:catAx>
      <c:valAx>
        <c:axId val="164305152"/>
        <c:scaling>
          <c:orientation val="minMax"/>
          <c:min val="0.5"/>
        </c:scaling>
        <c:axPos val="l"/>
        <c:majorGridlines/>
        <c:numFmt formatCode="0.0%" sourceLinked="1"/>
        <c:majorTickMark val="none"/>
        <c:tickLblPos val="nextTo"/>
        <c:txPr>
          <a:bodyPr rot="0" vert="horz"/>
          <a:lstStyle/>
          <a:p>
            <a:pPr>
              <a:defRPr/>
            </a:pPr>
            <a:endParaRPr lang="pt-BR"/>
          </a:p>
        </c:txPr>
        <c:crossAx val="164303616"/>
        <c:crosses val="autoZero"/>
        <c:crossBetween val="between"/>
      </c:valAx>
    </c:plotArea>
    <c:legend>
      <c:legendPos val="b"/>
    </c:legend>
    <c:plotVisOnly val="1"/>
    <c:dispBlanksAs val="gap"/>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3: Estrutura Etária da PIA, 2002-2012</a:t>
            </a:r>
          </a:p>
        </c:rich>
      </c:tx>
      <c:layout>
        <c:manualLayout>
          <c:xMode val="edge"/>
          <c:yMode val="edge"/>
          <c:x val="0.14006568748026799"/>
          <c:y val="1.9559902200488997E-2"/>
        </c:manualLayout>
      </c:layout>
    </c:title>
    <c:plotArea>
      <c:layout/>
      <c:areaChart>
        <c:grouping val="percentStacked"/>
        <c:ser>
          <c:idx val="0"/>
          <c:order val="0"/>
          <c:tx>
            <c:strRef>
              <c:f>'Propensao e Peso'!$A$35</c:f>
              <c:strCache>
                <c:ptCount val="1"/>
                <c:pt idx="0">
                  <c:v>10 a 14 anos</c:v>
                </c:pt>
              </c:strCache>
            </c:strRef>
          </c:tx>
          <c:cat>
            <c:numRef>
              <c:f>'Propensao e Peso'!$C$34:$L$34</c:f>
              <c:numCache>
                <c:formatCode>General</c:formatCode>
                <c:ptCount val="10"/>
                <c:pt idx="0">
                  <c:v>2002</c:v>
                </c:pt>
                <c:pt idx="1">
                  <c:v>2003</c:v>
                </c:pt>
                <c:pt idx="2">
                  <c:v>2004</c:v>
                </c:pt>
                <c:pt idx="3">
                  <c:v>2005</c:v>
                </c:pt>
                <c:pt idx="4">
                  <c:v>2006</c:v>
                </c:pt>
                <c:pt idx="5">
                  <c:v>2007</c:v>
                </c:pt>
                <c:pt idx="6">
                  <c:v>2008</c:v>
                </c:pt>
                <c:pt idx="7">
                  <c:v>2009</c:v>
                </c:pt>
                <c:pt idx="8">
                  <c:v>2011</c:v>
                </c:pt>
                <c:pt idx="9">
                  <c:v>2012</c:v>
                </c:pt>
              </c:numCache>
            </c:numRef>
          </c:cat>
          <c:val>
            <c:numRef>
              <c:f>'Propensao e Peso'!$C$35:$L$35</c:f>
              <c:numCache>
                <c:formatCode>General</c:formatCode>
                <c:ptCount val="10"/>
                <c:pt idx="0">
                  <c:v>16732</c:v>
                </c:pt>
                <c:pt idx="1">
                  <c:v>16449</c:v>
                </c:pt>
                <c:pt idx="2">
                  <c:v>17037</c:v>
                </c:pt>
                <c:pt idx="3">
                  <c:v>17181</c:v>
                </c:pt>
                <c:pt idx="4">
                  <c:v>17639</c:v>
                </c:pt>
                <c:pt idx="5">
                  <c:v>17710</c:v>
                </c:pt>
                <c:pt idx="6">
                  <c:v>17578</c:v>
                </c:pt>
                <c:pt idx="7">
                  <c:v>17435</c:v>
                </c:pt>
                <c:pt idx="8">
                  <c:v>17192</c:v>
                </c:pt>
                <c:pt idx="9">
                  <c:v>16718</c:v>
                </c:pt>
              </c:numCache>
            </c:numRef>
          </c:val>
        </c:ser>
        <c:ser>
          <c:idx val="1"/>
          <c:order val="1"/>
          <c:tx>
            <c:strRef>
              <c:f>'Propensao e Peso'!$A$36</c:f>
              <c:strCache>
                <c:ptCount val="1"/>
                <c:pt idx="0">
                  <c:v>15 a 19 anos</c:v>
                </c:pt>
              </c:strCache>
            </c:strRef>
          </c:tx>
          <c:cat>
            <c:numRef>
              <c:f>'Propensao e Peso'!$C$34:$L$34</c:f>
              <c:numCache>
                <c:formatCode>General</c:formatCode>
                <c:ptCount val="10"/>
                <c:pt idx="0">
                  <c:v>2002</c:v>
                </c:pt>
                <c:pt idx="1">
                  <c:v>2003</c:v>
                </c:pt>
                <c:pt idx="2">
                  <c:v>2004</c:v>
                </c:pt>
                <c:pt idx="3">
                  <c:v>2005</c:v>
                </c:pt>
                <c:pt idx="4">
                  <c:v>2006</c:v>
                </c:pt>
                <c:pt idx="5">
                  <c:v>2007</c:v>
                </c:pt>
                <c:pt idx="6">
                  <c:v>2008</c:v>
                </c:pt>
                <c:pt idx="7">
                  <c:v>2009</c:v>
                </c:pt>
                <c:pt idx="8">
                  <c:v>2011</c:v>
                </c:pt>
                <c:pt idx="9">
                  <c:v>2012</c:v>
                </c:pt>
              </c:numCache>
            </c:numRef>
          </c:cat>
          <c:val>
            <c:numRef>
              <c:f>'Propensao e Peso'!$C$36:$L$36</c:f>
              <c:numCache>
                <c:formatCode>General</c:formatCode>
                <c:ptCount val="10"/>
                <c:pt idx="0">
                  <c:v>17324</c:v>
                </c:pt>
                <c:pt idx="1">
                  <c:v>17417</c:v>
                </c:pt>
                <c:pt idx="2">
                  <c:v>17743</c:v>
                </c:pt>
                <c:pt idx="3">
                  <c:v>17702</c:v>
                </c:pt>
                <c:pt idx="4">
                  <c:v>17340</c:v>
                </c:pt>
                <c:pt idx="5">
                  <c:v>17091</c:v>
                </c:pt>
                <c:pt idx="6">
                  <c:v>16974</c:v>
                </c:pt>
                <c:pt idx="7">
                  <c:v>16928</c:v>
                </c:pt>
                <c:pt idx="8">
                  <c:v>17051</c:v>
                </c:pt>
                <c:pt idx="9">
                  <c:v>17088</c:v>
                </c:pt>
              </c:numCache>
            </c:numRef>
          </c:val>
        </c:ser>
        <c:ser>
          <c:idx val="2"/>
          <c:order val="2"/>
          <c:tx>
            <c:strRef>
              <c:f>'Propensao e Peso'!$A$37</c:f>
              <c:strCache>
                <c:ptCount val="1"/>
                <c:pt idx="0">
                  <c:v>20 a 24 anos</c:v>
                </c:pt>
              </c:strCache>
            </c:strRef>
          </c:tx>
          <c:cat>
            <c:numRef>
              <c:f>'Propensao e Peso'!$C$34:$L$34</c:f>
              <c:numCache>
                <c:formatCode>General</c:formatCode>
                <c:ptCount val="10"/>
                <c:pt idx="0">
                  <c:v>2002</c:v>
                </c:pt>
                <c:pt idx="1">
                  <c:v>2003</c:v>
                </c:pt>
                <c:pt idx="2">
                  <c:v>2004</c:v>
                </c:pt>
                <c:pt idx="3">
                  <c:v>2005</c:v>
                </c:pt>
                <c:pt idx="4">
                  <c:v>2006</c:v>
                </c:pt>
                <c:pt idx="5">
                  <c:v>2007</c:v>
                </c:pt>
                <c:pt idx="6">
                  <c:v>2008</c:v>
                </c:pt>
                <c:pt idx="7">
                  <c:v>2009</c:v>
                </c:pt>
                <c:pt idx="8">
                  <c:v>2011</c:v>
                </c:pt>
                <c:pt idx="9">
                  <c:v>2012</c:v>
                </c:pt>
              </c:numCache>
            </c:numRef>
          </c:cat>
          <c:val>
            <c:numRef>
              <c:f>'Propensao e Peso'!$C$37:$L$37</c:f>
              <c:numCache>
                <c:formatCode>General</c:formatCode>
                <c:ptCount val="10"/>
                <c:pt idx="0">
                  <c:v>16448</c:v>
                </c:pt>
                <c:pt idx="1">
                  <c:v>16759</c:v>
                </c:pt>
                <c:pt idx="2">
                  <c:v>17021</c:v>
                </c:pt>
                <c:pt idx="3">
                  <c:v>17269</c:v>
                </c:pt>
                <c:pt idx="4">
                  <c:v>17156</c:v>
                </c:pt>
                <c:pt idx="5">
                  <c:v>16729</c:v>
                </c:pt>
                <c:pt idx="6">
                  <c:v>16546</c:v>
                </c:pt>
                <c:pt idx="7">
                  <c:v>16481</c:v>
                </c:pt>
                <c:pt idx="8">
                  <c:v>16027</c:v>
                </c:pt>
                <c:pt idx="9">
                  <c:v>15829</c:v>
                </c:pt>
              </c:numCache>
            </c:numRef>
          </c:val>
        </c:ser>
        <c:ser>
          <c:idx val="3"/>
          <c:order val="3"/>
          <c:tx>
            <c:strRef>
              <c:f>'Propensao e Peso'!$A$38</c:f>
              <c:strCache>
                <c:ptCount val="1"/>
                <c:pt idx="0">
                  <c:v>25 a 29 anos</c:v>
                </c:pt>
              </c:strCache>
            </c:strRef>
          </c:tx>
          <c:cat>
            <c:numRef>
              <c:f>'Propensao e Peso'!$C$34:$L$34</c:f>
              <c:numCache>
                <c:formatCode>General</c:formatCode>
                <c:ptCount val="10"/>
                <c:pt idx="0">
                  <c:v>2002</c:v>
                </c:pt>
                <c:pt idx="1">
                  <c:v>2003</c:v>
                </c:pt>
                <c:pt idx="2">
                  <c:v>2004</c:v>
                </c:pt>
                <c:pt idx="3">
                  <c:v>2005</c:v>
                </c:pt>
                <c:pt idx="4">
                  <c:v>2006</c:v>
                </c:pt>
                <c:pt idx="5">
                  <c:v>2007</c:v>
                </c:pt>
                <c:pt idx="6">
                  <c:v>2008</c:v>
                </c:pt>
                <c:pt idx="7">
                  <c:v>2009</c:v>
                </c:pt>
                <c:pt idx="8">
                  <c:v>2011</c:v>
                </c:pt>
                <c:pt idx="9">
                  <c:v>2012</c:v>
                </c:pt>
              </c:numCache>
            </c:numRef>
          </c:cat>
          <c:val>
            <c:numRef>
              <c:f>'Propensao e Peso'!$C$38:$L$38</c:f>
              <c:numCache>
                <c:formatCode>General</c:formatCode>
                <c:ptCount val="10"/>
                <c:pt idx="0">
                  <c:v>13936</c:v>
                </c:pt>
                <c:pt idx="1">
                  <c:v>14301</c:v>
                </c:pt>
                <c:pt idx="2">
                  <c:v>14812</c:v>
                </c:pt>
                <c:pt idx="3">
                  <c:v>15417</c:v>
                </c:pt>
                <c:pt idx="4">
                  <c:v>15703</c:v>
                </c:pt>
                <c:pt idx="5">
                  <c:v>15999</c:v>
                </c:pt>
                <c:pt idx="6">
                  <c:v>16221</c:v>
                </c:pt>
                <c:pt idx="7">
                  <c:v>16462</c:v>
                </c:pt>
                <c:pt idx="8">
                  <c:v>16292</c:v>
                </c:pt>
                <c:pt idx="9">
                  <c:v>15934</c:v>
                </c:pt>
              </c:numCache>
            </c:numRef>
          </c:val>
        </c:ser>
        <c:ser>
          <c:idx val="4"/>
          <c:order val="4"/>
          <c:tx>
            <c:strRef>
              <c:f>'Propensao e Peso'!$A$39</c:f>
              <c:strCache>
                <c:ptCount val="1"/>
                <c:pt idx="0">
                  <c:v>30 a 39 anos</c:v>
                </c:pt>
              </c:strCache>
            </c:strRef>
          </c:tx>
          <c:cat>
            <c:numRef>
              <c:f>'Propensao e Peso'!$C$34:$L$34</c:f>
              <c:numCache>
                <c:formatCode>General</c:formatCode>
                <c:ptCount val="10"/>
                <c:pt idx="0">
                  <c:v>2002</c:v>
                </c:pt>
                <c:pt idx="1">
                  <c:v>2003</c:v>
                </c:pt>
                <c:pt idx="2">
                  <c:v>2004</c:v>
                </c:pt>
                <c:pt idx="3">
                  <c:v>2005</c:v>
                </c:pt>
                <c:pt idx="4">
                  <c:v>2006</c:v>
                </c:pt>
                <c:pt idx="5">
                  <c:v>2007</c:v>
                </c:pt>
                <c:pt idx="6">
                  <c:v>2008</c:v>
                </c:pt>
                <c:pt idx="7">
                  <c:v>2009</c:v>
                </c:pt>
                <c:pt idx="8">
                  <c:v>2011</c:v>
                </c:pt>
                <c:pt idx="9">
                  <c:v>2012</c:v>
                </c:pt>
              </c:numCache>
            </c:numRef>
          </c:cat>
          <c:val>
            <c:numRef>
              <c:f>'Propensao e Peso'!$C$39:$L$39</c:f>
              <c:numCache>
                <c:formatCode>General</c:formatCode>
                <c:ptCount val="10"/>
                <c:pt idx="0">
                  <c:v>25749</c:v>
                </c:pt>
                <c:pt idx="1">
                  <c:v>25975</c:v>
                </c:pt>
                <c:pt idx="2">
                  <c:v>26778</c:v>
                </c:pt>
                <c:pt idx="3">
                  <c:v>26919</c:v>
                </c:pt>
                <c:pt idx="4">
                  <c:v>27383</c:v>
                </c:pt>
                <c:pt idx="5">
                  <c:v>27947</c:v>
                </c:pt>
                <c:pt idx="6">
                  <c:v>28082</c:v>
                </c:pt>
                <c:pt idx="7">
                  <c:v>28888</c:v>
                </c:pt>
                <c:pt idx="8">
                  <c:v>30099</c:v>
                </c:pt>
                <c:pt idx="9">
                  <c:v>30496</c:v>
                </c:pt>
              </c:numCache>
            </c:numRef>
          </c:val>
        </c:ser>
        <c:ser>
          <c:idx val="5"/>
          <c:order val="5"/>
          <c:tx>
            <c:strRef>
              <c:f>'Propensao e Peso'!$A$40</c:f>
              <c:strCache>
                <c:ptCount val="1"/>
                <c:pt idx="0">
                  <c:v>40 a 49 anos</c:v>
                </c:pt>
              </c:strCache>
            </c:strRef>
          </c:tx>
          <c:cat>
            <c:numRef>
              <c:f>'Propensao e Peso'!$C$34:$L$34</c:f>
              <c:numCache>
                <c:formatCode>General</c:formatCode>
                <c:ptCount val="10"/>
                <c:pt idx="0">
                  <c:v>2002</c:v>
                </c:pt>
                <c:pt idx="1">
                  <c:v>2003</c:v>
                </c:pt>
                <c:pt idx="2">
                  <c:v>2004</c:v>
                </c:pt>
                <c:pt idx="3">
                  <c:v>2005</c:v>
                </c:pt>
                <c:pt idx="4">
                  <c:v>2006</c:v>
                </c:pt>
                <c:pt idx="5">
                  <c:v>2007</c:v>
                </c:pt>
                <c:pt idx="6">
                  <c:v>2008</c:v>
                </c:pt>
                <c:pt idx="7">
                  <c:v>2009</c:v>
                </c:pt>
                <c:pt idx="8">
                  <c:v>2011</c:v>
                </c:pt>
                <c:pt idx="9">
                  <c:v>2012</c:v>
                </c:pt>
              </c:numCache>
            </c:numRef>
          </c:cat>
          <c:val>
            <c:numRef>
              <c:f>'Propensao e Peso'!$C$40:$L$40</c:f>
              <c:numCache>
                <c:formatCode>General</c:formatCode>
                <c:ptCount val="10"/>
                <c:pt idx="0">
                  <c:v>21154</c:v>
                </c:pt>
                <c:pt idx="1">
                  <c:v>21761</c:v>
                </c:pt>
                <c:pt idx="2">
                  <c:v>22880</c:v>
                </c:pt>
                <c:pt idx="3">
                  <c:v>23259</c:v>
                </c:pt>
                <c:pt idx="4">
                  <c:v>23812</c:v>
                </c:pt>
                <c:pt idx="5">
                  <c:v>24648</c:v>
                </c:pt>
                <c:pt idx="6">
                  <c:v>25374</c:v>
                </c:pt>
                <c:pt idx="7">
                  <c:v>25429</c:v>
                </c:pt>
                <c:pt idx="8">
                  <c:v>26225</c:v>
                </c:pt>
                <c:pt idx="9">
                  <c:v>26572</c:v>
                </c:pt>
              </c:numCache>
            </c:numRef>
          </c:val>
        </c:ser>
        <c:ser>
          <c:idx val="6"/>
          <c:order val="6"/>
          <c:tx>
            <c:strRef>
              <c:f>'Propensao e Peso'!$A$41</c:f>
              <c:strCache>
                <c:ptCount val="1"/>
                <c:pt idx="0">
                  <c:v>50 a 59 anos</c:v>
                </c:pt>
              </c:strCache>
            </c:strRef>
          </c:tx>
          <c:cat>
            <c:numRef>
              <c:f>'Propensao e Peso'!$C$34:$L$34</c:f>
              <c:numCache>
                <c:formatCode>General</c:formatCode>
                <c:ptCount val="10"/>
                <c:pt idx="0">
                  <c:v>2002</c:v>
                </c:pt>
                <c:pt idx="1">
                  <c:v>2003</c:v>
                </c:pt>
                <c:pt idx="2">
                  <c:v>2004</c:v>
                </c:pt>
                <c:pt idx="3">
                  <c:v>2005</c:v>
                </c:pt>
                <c:pt idx="4">
                  <c:v>2006</c:v>
                </c:pt>
                <c:pt idx="5">
                  <c:v>2007</c:v>
                </c:pt>
                <c:pt idx="6">
                  <c:v>2008</c:v>
                </c:pt>
                <c:pt idx="7">
                  <c:v>2009</c:v>
                </c:pt>
                <c:pt idx="8">
                  <c:v>2011</c:v>
                </c:pt>
                <c:pt idx="9">
                  <c:v>2012</c:v>
                </c:pt>
              </c:numCache>
            </c:numRef>
          </c:cat>
          <c:val>
            <c:numRef>
              <c:f>'Propensao e Peso'!$C$41:$L$41</c:f>
              <c:numCache>
                <c:formatCode>General</c:formatCode>
                <c:ptCount val="10"/>
                <c:pt idx="0">
                  <c:v>14116</c:v>
                </c:pt>
                <c:pt idx="1">
                  <c:v>14730</c:v>
                </c:pt>
                <c:pt idx="2">
                  <c:v>15510</c:v>
                </c:pt>
                <c:pt idx="3">
                  <c:v>16324</c:v>
                </c:pt>
                <c:pt idx="4">
                  <c:v>17252</c:v>
                </c:pt>
                <c:pt idx="5">
                  <c:v>17916</c:v>
                </c:pt>
                <c:pt idx="6">
                  <c:v>18709</c:v>
                </c:pt>
                <c:pt idx="7">
                  <c:v>19397</c:v>
                </c:pt>
                <c:pt idx="8">
                  <c:v>20566</c:v>
                </c:pt>
                <c:pt idx="9">
                  <c:v>21113</c:v>
                </c:pt>
              </c:numCache>
            </c:numRef>
          </c:val>
        </c:ser>
        <c:ser>
          <c:idx val="7"/>
          <c:order val="7"/>
          <c:tx>
            <c:strRef>
              <c:f>'Propensao e Peso'!$A$42</c:f>
              <c:strCache>
                <c:ptCount val="1"/>
                <c:pt idx="0">
                  <c:v>60 anos ou mais</c:v>
                </c:pt>
              </c:strCache>
            </c:strRef>
          </c:tx>
          <c:cat>
            <c:numRef>
              <c:f>'Propensao e Peso'!$C$34:$L$34</c:f>
              <c:numCache>
                <c:formatCode>General</c:formatCode>
                <c:ptCount val="10"/>
                <c:pt idx="0">
                  <c:v>2002</c:v>
                </c:pt>
                <c:pt idx="1">
                  <c:v>2003</c:v>
                </c:pt>
                <c:pt idx="2">
                  <c:v>2004</c:v>
                </c:pt>
                <c:pt idx="3">
                  <c:v>2005</c:v>
                </c:pt>
                <c:pt idx="4">
                  <c:v>2006</c:v>
                </c:pt>
                <c:pt idx="5">
                  <c:v>2007</c:v>
                </c:pt>
                <c:pt idx="6">
                  <c:v>2008</c:v>
                </c:pt>
                <c:pt idx="7">
                  <c:v>2009</c:v>
                </c:pt>
                <c:pt idx="8">
                  <c:v>2011</c:v>
                </c:pt>
                <c:pt idx="9">
                  <c:v>2012</c:v>
                </c:pt>
              </c:numCache>
            </c:numRef>
          </c:cat>
          <c:val>
            <c:numRef>
              <c:f>'Propensao e Peso'!$C$42:$L$42</c:f>
              <c:numCache>
                <c:formatCode>#,##0</c:formatCode>
                <c:ptCount val="10"/>
                <c:pt idx="0">
                  <c:v>5008</c:v>
                </c:pt>
                <c:pt idx="1">
                  <c:v>5251</c:v>
                </c:pt>
                <c:pt idx="2">
                  <c:v>5531</c:v>
                </c:pt>
                <c:pt idx="3">
                  <c:v>5567</c:v>
                </c:pt>
                <c:pt idx="4">
                  <c:v>5780</c:v>
                </c:pt>
                <c:pt idx="5">
                  <c:v>6096</c:v>
                </c:pt>
                <c:pt idx="6">
                  <c:v>6506</c:v>
                </c:pt>
                <c:pt idx="7">
                  <c:v>6648</c:v>
                </c:pt>
                <c:pt idx="8">
                  <c:v>7440</c:v>
                </c:pt>
                <c:pt idx="9">
                  <c:v>7876</c:v>
                </c:pt>
              </c:numCache>
            </c:numRef>
          </c:val>
        </c:ser>
        <c:dropLines/>
        <c:axId val="164338304"/>
        <c:axId val="164348288"/>
      </c:areaChart>
      <c:catAx>
        <c:axId val="164338304"/>
        <c:scaling>
          <c:orientation val="minMax"/>
        </c:scaling>
        <c:axPos val="b"/>
        <c:numFmt formatCode="General" sourceLinked="1"/>
        <c:majorTickMark val="none"/>
        <c:tickLblPos val="nextTo"/>
        <c:crossAx val="164348288"/>
        <c:crosses val="autoZero"/>
        <c:auto val="1"/>
        <c:lblAlgn val="ctr"/>
        <c:lblOffset val="100"/>
      </c:catAx>
      <c:valAx>
        <c:axId val="164348288"/>
        <c:scaling>
          <c:orientation val="minMax"/>
        </c:scaling>
        <c:axPos val="l"/>
        <c:majorGridlines/>
        <c:numFmt formatCode="0%" sourceLinked="1"/>
        <c:majorTickMark val="none"/>
        <c:tickLblPos val="nextTo"/>
        <c:crossAx val="164338304"/>
        <c:crosses val="autoZero"/>
        <c:crossBetween val="midCat"/>
      </c:valAx>
    </c:plotArea>
    <c:legend>
      <c:legendPos val="r"/>
    </c:legend>
    <c:plotVisOnly val="1"/>
    <c:dispBlanksAs val="zero"/>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4: Taxa de Formalidade por Idade</a:t>
            </a:r>
          </a:p>
        </c:rich>
      </c:tx>
    </c:title>
    <c:plotArea>
      <c:layout>
        <c:manualLayout>
          <c:layoutTarget val="inner"/>
          <c:xMode val="edge"/>
          <c:yMode val="edge"/>
          <c:x val="0.12568291239044219"/>
          <c:y val="0.16306029454651499"/>
          <c:w val="0.6963798387477016"/>
          <c:h val="0.68760316418780987"/>
        </c:manualLayout>
      </c:layout>
      <c:lineChart>
        <c:grouping val="standard"/>
        <c:ser>
          <c:idx val="0"/>
          <c:order val="0"/>
          <c:tx>
            <c:v>2002</c:v>
          </c:tx>
          <c:cat>
            <c:strRef>
              <c:f>'ads-13'!$A$29:$A$36</c:f>
              <c:strCache>
                <c:ptCount val="8"/>
                <c:pt idx="0">
                  <c:v>10 a 14 anos</c:v>
                </c:pt>
                <c:pt idx="1">
                  <c:v>15 a 19 anos</c:v>
                </c:pt>
                <c:pt idx="2">
                  <c:v>20 a 24 anos</c:v>
                </c:pt>
                <c:pt idx="3">
                  <c:v>25 a 29 anos</c:v>
                </c:pt>
                <c:pt idx="4">
                  <c:v>30 a 39 anos</c:v>
                </c:pt>
                <c:pt idx="5">
                  <c:v>40 a 49 anos</c:v>
                </c:pt>
                <c:pt idx="6">
                  <c:v>50 a 59 anos</c:v>
                </c:pt>
                <c:pt idx="7">
                  <c:v>60 anos ou mais</c:v>
                </c:pt>
              </c:strCache>
            </c:strRef>
          </c:cat>
          <c:val>
            <c:numRef>
              <c:f>'ads-13'!$B$29:$B$36</c:f>
              <c:numCache>
                <c:formatCode>0.0%</c:formatCode>
                <c:ptCount val="8"/>
                <c:pt idx="0">
                  <c:v>5.8293587705352413E-3</c:v>
                </c:pt>
                <c:pt idx="1">
                  <c:v>0.22236900044033484</c:v>
                </c:pt>
                <c:pt idx="2">
                  <c:v>0.46944339977435162</c:v>
                </c:pt>
                <c:pt idx="3">
                  <c:v>0.53194636166436549</c:v>
                </c:pt>
                <c:pt idx="4">
                  <c:v>0.53605380258899749</c:v>
                </c:pt>
                <c:pt idx="5">
                  <c:v>0.52657430730478594</c:v>
                </c:pt>
                <c:pt idx="6">
                  <c:v>0.42580645161290365</c:v>
                </c:pt>
                <c:pt idx="7">
                  <c:v>0.19637769637769636</c:v>
                </c:pt>
              </c:numCache>
            </c:numRef>
          </c:val>
        </c:ser>
        <c:ser>
          <c:idx val="1"/>
          <c:order val="1"/>
          <c:tx>
            <c:v>2012</c:v>
          </c:tx>
          <c:spPr>
            <a:ln>
              <a:prstDash val="dash"/>
            </a:ln>
          </c:spPr>
          <c:marker>
            <c:symbol val="none"/>
          </c:marker>
          <c:cat>
            <c:strRef>
              <c:f>'ads-13'!$A$29:$A$36</c:f>
              <c:strCache>
                <c:ptCount val="8"/>
                <c:pt idx="0">
                  <c:v>10 a 14 anos</c:v>
                </c:pt>
                <c:pt idx="1">
                  <c:v>15 a 19 anos</c:v>
                </c:pt>
                <c:pt idx="2">
                  <c:v>20 a 24 anos</c:v>
                </c:pt>
                <c:pt idx="3">
                  <c:v>25 a 29 anos</c:v>
                </c:pt>
                <c:pt idx="4">
                  <c:v>30 a 39 anos</c:v>
                </c:pt>
                <c:pt idx="5">
                  <c:v>40 a 49 anos</c:v>
                </c:pt>
                <c:pt idx="6">
                  <c:v>50 a 59 anos</c:v>
                </c:pt>
                <c:pt idx="7">
                  <c:v>60 anos ou mais</c:v>
                </c:pt>
              </c:strCache>
            </c:strRef>
          </c:cat>
          <c:val>
            <c:numRef>
              <c:f>'ads-13'!$C$29:$C$36</c:f>
              <c:numCache>
                <c:formatCode>0.0%</c:formatCode>
                <c:ptCount val="8"/>
                <c:pt idx="0">
                  <c:v>1.0037641154328716E-2</c:v>
                </c:pt>
                <c:pt idx="1">
                  <c:v>0.3736465100782943</c:v>
                </c:pt>
                <c:pt idx="2">
                  <c:v>0.62883580398451644</c:v>
                </c:pt>
                <c:pt idx="3">
                  <c:v>0.67778789634903702</c:v>
                </c:pt>
                <c:pt idx="4">
                  <c:v>0.66731776244701191</c:v>
                </c:pt>
                <c:pt idx="5">
                  <c:v>0.63798434631365364</c:v>
                </c:pt>
                <c:pt idx="6">
                  <c:v>0.58656086196854895</c:v>
                </c:pt>
                <c:pt idx="7">
                  <c:v>0.31796620219389327</c:v>
                </c:pt>
              </c:numCache>
            </c:numRef>
          </c:val>
        </c:ser>
        <c:marker val="1"/>
        <c:axId val="164176640"/>
        <c:axId val="164178176"/>
      </c:lineChart>
      <c:catAx>
        <c:axId val="164176640"/>
        <c:scaling>
          <c:orientation val="minMax"/>
        </c:scaling>
        <c:axPos val="b"/>
        <c:tickLblPos val="nextTo"/>
        <c:crossAx val="164178176"/>
        <c:crosses val="autoZero"/>
        <c:auto val="1"/>
        <c:lblAlgn val="ctr"/>
        <c:lblOffset val="100"/>
      </c:catAx>
      <c:valAx>
        <c:axId val="164178176"/>
        <c:scaling>
          <c:orientation val="minMax"/>
        </c:scaling>
        <c:axPos val="l"/>
        <c:majorGridlines/>
        <c:numFmt formatCode="0.0%" sourceLinked="1"/>
        <c:tickLblPos val="nextTo"/>
        <c:crossAx val="164176640"/>
        <c:crosses val="autoZero"/>
        <c:crossBetween val="between"/>
      </c:valAx>
    </c:plotArea>
    <c:legend>
      <c:legendPos val="r"/>
    </c:legend>
    <c:plotVisOnly val="1"/>
    <c:dispBlanksAs val="gap"/>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5: Taxa de Ocupação Por Idade</a:t>
            </a:r>
          </a:p>
        </c:rich>
      </c:tx>
    </c:title>
    <c:plotArea>
      <c:layout/>
      <c:lineChart>
        <c:grouping val="standard"/>
        <c:ser>
          <c:idx val="0"/>
          <c:order val="0"/>
          <c:tx>
            <c:v>2002</c:v>
          </c:tx>
          <c:cat>
            <c:strRef>
              <c:f>'sdasd-46'!$B$29:$B$36</c:f>
              <c:strCache>
                <c:ptCount val="8"/>
                <c:pt idx="0">
                  <c:v>10 a 14 anos</c:v>
                </c:pt>
                <c:pt idx="1">
                  <c:v>15 a 19 anos</c:v>
                </c:pt>
                <c:pt idx="2">
                  <c:v>20 a 24 anos</c:v>
                </c:pt>
                <c:pt idx="3">
                  <c:v>25 a 29 anos</c:v>
                </c:pt>
                <c:pt idx="4">
                  <c:v>30 a 39 anos</c:v>
                </c:pt>
                <c:pt idx="5">
                  <c:v>40 a 49 anos</c:v>
                </c:pt>
                <c:pt idx="6">
                  <c:v>50 a 59 anos</c:v>
                </c:pt>
                <c:pt idx="7">
                  <c:v>60 anos ou mais</c:v>
                </c:pt>
              </c:strCache>
            </c:strRef>
          </c:cat>
          <c:val>
            <c:numRef>
              <c:f>'sdasd-46'!$C$29:$C$36</c:f>
              <c:numCache>
                <c:formatCode>0.0%</c:formatCode>
                <c:ptCount val="8"/>
                <c:pt idx="0">
                  <c:v>0.88967468175388964</c:v>
                </c:pt>
                <c:pt idx="1">
                  <c:v>0.77916285452882073</c:v>
                </c:pt>
                <c:pt idx="2">
                  <c:v>0.84857188447423004</c:v>
                </c:pt>
                <c:pt idx="3">
                  <c:v>0.90400213922809525</c:v>
                </c:pt>
                <c:pt idx="4">
                  <c:v>0.93322636968524297</c:v>
                </c:pt>
                <c:pt idx="5">
                  <c:v>0.94783335322908036</c:v>
                </c:pt>
                <c:pt idx="6">
                  <c:v>0.95876288659793818</c:v>
                </c:pt>
                <c:pt idx="7">
                  <c:v>0.97403369672943563</c:v>
                </c:pt>
              </c:numCache>
            </c:numRef>
          </c:val>
        </c:ser>
        <c:ser>
          <c:idx val="1"/>
          <c:order val="1"/>
          <c:tx>
            <c:v>2012</c:v>
          </c:tx>
          <c:spPr>
            <a:ln>
              <a:prstDash val="dash"/>
            </a:ln>
          </c:spPr>
          <c:marker>
            <c:symbol val="none"/>
          </c:marker>
          <c:cat>
            <c:strRef>
              <c:f>'sdasd-46'!$B$29:$B$36</c:f>
              <c:strCache>
                <c:ptCount val="8"/>
                <c:pt idx="0">
                  <c:v>10 a 14 anos</c:v>
                </c:pt>
                <c:pt idx="1">
                  <c:v>15 a 19 anos</c:v>
                </c:pt>
                <c:pt idx="2">
                  <c:v>20 a 24 anos</c:v>
                </c:pt>
                <c:pt idx="3">
                  <c:v>25 a 29 anos</c:v>
                </c:pt>
                <c:pt idx="4">
                  <c:v>30 a 39 anos</c:v>
                </c:pt>
                <c:pt idx="5">
                  <c:v>40 a 49 anos</c:v>
                </c:pt>
                <c:pt idx="6">
                  <c:v>50 a 59 anos</c:v>
                </c:pt>
                <c:pt idx="7">
                  <c:v>60 anos ou mais</c:v>
                </c:pt>
              </c:strCache>
            </c:strRef>
          </c:cat>
          <c:val>
            <c:numRef>
              <c:f>'sdasd-46'!$D$29:$D$36</c:f>
              <c:numCache>
                <c:formatCode>0.0%</c:formatCode>
                <c:ptCount val="8"/>
                <c:pt idx="0">
                  <c:v>0.87199124726477195</c:v>
                </c:pt>
                <c:pt idx="1">
                  <c:v>0.80479957098806865</c:v>
                </c:pt>
                <c:pt idx="2">
                  <c:v>0.88523905048478835</c:v>
                </c:pt>
                <c:pt idx="3">
                  <c:v>0.92879661668589186</c:v>
                </c:pt>
                <c:pt idx="4">
                  <c:v>0.95102960357298216</c:v>
                </c:pt>
                <c:pt idx="5">
                  <c:v>0.96724145988130283</c:v>
                </c:pt>
                <c:pt idx="6">
                  <c:v>0.97626154939587773</c:v>
                </c:pt>
                <c:pt idx="7">
                  <c:v>0.98252257500728113</c:v>
                </c:pt>
              </c:numCache>
            </c:numRef>
          </c:val>
        </c:ser>
        <c:marker val="1"/>
        <c:axId val="164190848"/>
        <c:axId val="164213120"/>
      </c:lineChart>
      <c:catAx>
        <c:axId val="164190848"/>
        <c:scaling>
          <c:orientation val="minMax"/>
        </c:scaling>
        <c:axPos val="b"/>
        <c:tickLblPos val="nextTo"/>
        <c:crossAx val="164213120"/>
        <c:crosses val="autoZero"/>
        <c:auto val="1"/>
        <c:lblAlgn val="ctr"/>
        <c:lblOffset val="100"/>
      </c:catAx>
      <c:valAx>
        <c:axId val="164213120"/>
        <c:scaling>
          <c:orientation val="minMax"/>
          <c:max val="1"/>
          <c:min val="0.60000000000000064"/>
        </c:scaling>
        <c:axPos val="l"/>
        <c:majorGridlines/>
        <c:numFmt formatCode="0.0%" sourceLinked="1"/>
        <c:tickLblPos val="nextTo"/>
        <c:crossAx val="164190848"/>
        <c:crosses val="autoZero"/>
        <c:crossBetween val="between"/>
      </c:valAx>
    </c:plotArea>
    <c:legend>
      <c:legendPos val="r"/>
    </c:legend>
    <c:plotVisOnly val="1"/>
    <c:dispBlanksAs val="gap"/>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6: Taxa de Participação por Idade</a:t>
            </a:r>
          </a:p>
        </c:rich>
      </c:tx>
    </c:title>
    <c:plotArea>
      <c:layout>
        <c:manualLayout>
          <c:layoutTarget val="inner"/>
          <c:xMode val="edge"/>
          <c:yMode val="edge"/>
          <c:x val="0.10640334515147636"/>
          <c:y val="0.14904445817992901"/>
          <c:w val="0.72896736009264618"/>
          <c:h val="0.63850581817204621"/>
        </c:manualLayout>
      </c:layout>
      <c:lineChart>
        <c:grouping val="standard"/>
        <c:ser>
          <c:idx val="0"/>
          <c:order val="0"/>
          <c:tx>
            <c:v>2002</c:v>
          </c:tx>
          <c:cat>
            <c:strRef>
              <c:f>'dasf-1'!$B$8:$B$15</c:f>
              <c:strCache>
                <c:ptCount val="8"/>
                <c:pt idx="0">
                  <c:v>10 a 14 anos</c:v>
                </c:pt>
                <c:pt idx="1">
                  <c:v>15 a 19 anos</c:v>
                </c:pt>
                <c:pt idx="2">
                  <c:v>20 a 24 anos</c:v>
                </c:pt>
                <c:pt idx="3">
                  <c:v>25 a 29 anos</c:v>
                </c:pt>
                <c:pt idx="4">
                  <c:v>30 a 39 anos</c:v>
                </c:pt>
                <c:pt idx="5">
                  <c:v>40 a 49 anos</c:v>
                </c:pt>
                <c:pt idx="6">
                  <c:v>50 a 59 anos</c:v>
                </c:pt>
                <c:pt idx="7">
                  <c:v>60 anos ou mais</c:v>
                </c:pt>
              </c:strCache>
            </c:strRef>
          </c:cat>
          <c:val>
            <c:numRef>
              <c:f>'dasf-1'!$E$16:$E$23</c:f>
              <c:numCache>
                <c:formatCode>0.0%</c:formatCode>
                <c:ptCount val="8"/>
                <c:pt idx="0">
                  <c:v>0.1267630886923263</c:v>
                </c:pt>
                <c:pt idx="1">
                  <c:v>0.50473331794042942</c:v>
                </c:pt>
                <c:pt idx="2">
                  <c:v>0.76203793774319106</c:v>
                </c:pt>
                <c:pt idx="3">
                  <c:v>0.8050373134328358</c:v>
                </c:pt>
                <c:pt idx="4">
                  <c:v>0.8229834168317216</c:v>
                </c:pt>
                <c:pt idx="5">
                  <c:v>0.79200151271627162</c:v>
                </c:pt>
                <c:pt idx="6">
                  <c:v>0.65280532728818486</c:v>
                </c:pt>
                <c:pt idx="7">
                  <c:v>0.3122292362916203</c:v>
                </c:pt>
              </c:numCache>
            </c:numRef>
          </c:val>
        </c:ser>
        <c:ser>
          <c:idx val="1"/>
          <c:order val="1"/>
          <c:tx>
            <c:v>2012</c:v>
          </c:tx>
          <c:spPr>
            <a:ln>
              <a:prstDash val="dash"/>
            </a:ln>
          </c:spPr>
          <c:marker>
            <c:symbol val="none"/>
          </c:marker>
          <c:cat>
            <c:strRef>
              <c:f>'dasf-1'!$B$8:$B$15</c:f>
              <c:strCache>
                <c:ptCount val="8"/>
                <c:pt idx="0">
                  <c:v>10 a 14 anos</c:v>
                </c:pt>
                <c:pt idx="1">
                  <c:v>15 a 19 anos</c:v>
                </c:pt>
                <c:pt idx="2">
                  <c:v>20 a 24 anos</c:v>
                </c:pt>
                <c:pt idx="3">
                  <c:v>25 a 29 anos</c:v>
                </c:pt>
                <c:pt idx="4">
                  <c:v>30 a 39 anos</c:v>
                </c:pt>
                <c:pt idx="5">
                  <c:v>40 a 49 anos</c:v>
                </c:pt>
                <c:pt idx="6">
                  <c:v>50 a 59 anos</c:v>
                </c:pt>
                <c:pt idx="7">
                  <c:v>60 anos ou mais</c:v>
                </c:pt>
              </c:strCache>
            </c:strRef>
          </c:cat>
          <c:val>
            <c:numRef>
              <c:f>'dasf-1'!$F$16:$F$23</c:f>
              <c:numCache>
                <c:formatCode>0.0%</c:formatCode>
                <c:ptCount val="8"/>
                <c:pt idx="0">
                  <c:v>5.4671611436774764E-2</c:v>
                </c:pt>
                <c:pt idx="1">
                  <c:v>0.43650514981273408</c:v>
                </c:pt>
                <c:pt idx="2">
                  <c:v>0.75582791079663914</c:v>
                </c:pt>
                <c:pt idx="3">
                  <c:v>0.8161792393623698</c:v>
                </c:pt>
                <c:pt idx="4">
                  <c:v>0.82964979013641194</c:v>
                </c:pt>
                <c:pt idx="5">
                  <c:v>0.80532139093782928</c:v>
                </c:pt>
                <c:pt idx="6">
                  <c:v>0.6664140576895764</c:v>
                </c:pt>
                <c:pt idx="7">
                  <c:v>0.27623109108464777</c:v>
                </c:pt>
              </c:numCache>
            </c:numRef>
          </c:val>
        </c:ser>
        <c:marker val="1"/>
        <c:axId val="164242176"/>
        <c:axId val="164243712"/>
      </c:lineChart>
      <c:catAx>
        <c:axId val="164242176"/>
        <c:scaling>
          <c:orientation val="minMax"/>
        </c:scaling>
        <c:axPos val="b"/>
        <c:tickLblPos val="nextTo"/>
        <c:crossAx val="164243712"/>
        <c:crosses val="autoZero"/>
        <c:auto val="1"/>
        <c:lblAlgn val="ctr"/>
        <c:lblOffset val="100"/>
      </c:catAx>
      <c:valAx>
        <c:axId val="164243712"/>
        <c:scaling>
          <c:orientation val="minMax"/>
        </c:scaling>
        <c:axPos val="l"/>
        <c:majorGridlines/>
        <c:numFmt formatCode="0.0%" sourceLinked="1"/>
        <c:tickLblPos val="nextTo"/>
        <c:crossAx val="164242176"/>
        <c:crosses val="autoZero"/>
        <c:crossBetween val="between"/>
      </c:valAx>
    </c:plotArea>
    <c:legend>
      <c:legendPos val="r"/>
    </c:legend>
    <c:plotVisOnly val="1"/>
    <c:dispBlanksAs val="gap"/>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7: Estrutura etária da população acima de 10 anos, 2012-2032</a:t>
            </a:r>
          </a:p>
        </c:rich>
      </c:tx>
    </c:title>
    <c:plotArea>
      <c:layout/>
      <c:areaChart>
        <c:grouping val="percentStacked"/>
        <c:ser>
          <c:idx val="0"/>
          <c:order val="0"/>
          <c:tx>
            <c:strRef>
              <c:f>'Projeção efeito por idade'!$A$24</c:f>
              <c:strCache>
                <c:ptCount val="1"/>
                <c:pt idx="0">
                  <c:v>10-14</c:v>
                </c:pt>
              </c:strCache>
            </c:strRef>
          </c:tx>
          <c:cat>
            <c:numRef>
              <c:f>'Projeção efeito por idade'!$B$23:$V$23</c:f>
              <c:numCache>
                <c:formatCode>General</c:formatCode>
                <c:ptCount val="2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numCache>
            </c:numRef>
          </c:cat>
          <c:val>
            <c:numRef>
              <c:f>'Projeção efeito por idade'!$B$24:$V$24</c:f>
              <c:numCache>
                <c:formatCode>General</c:formatCode>
                <c:ptCount val="21"/>
                <c:pt idx="0">
                  <c:v>17206777</c:v>
                </c:pt>
                <c:pt idx="1">
                  <c:v>17144166</c:v>
                </c:pt>
                <c:pt idx="2">
                  <c:v>17036612</c:v>
                </c:pt>
                <c:pt idx="3">
                  <c:v>16892243</c:v>
                </c:pt>
                <c:pt idx="4">
                  <c:v>16672044</c:v>
                </c:pt>
                <c:pt idx="5">
                  <c:v>16447927</c:v>
                </c:pt>
                <c:pt idx="6">
                  <c:v>16220015</c:v>
                </c:pt>
                <c:pt idx="7">
                  <c:v>15990363</c:v>
                </c:pt>
                <c:pt idx="8">
                  <c:v>15761172</c:v>
                </c:pt>
                <c:pt idx="9">
                  <c:v>15534788</c:v>
                </c:pt>
                <c:pt idx="10">
                  <c:v>15313372</c:v>
                </c:pt>
                <c:pt idx="11">
                  <c:v>15098723</c:v>
                </c:pt>
                <c:pt idx="12">
                  <c:v>14891859</c:v>
                </c:pt>
                <c:pt idx="13">
                  <c:v>14693367</c:v>
                </c:pt>
                <c:pt idx="14">
                  <c:v>14502730</c:v>
                </c:pt>
                <c:pt idx="15">
                  <c:v>14319466</c:v>
                </c:pt>
                <c:pt idx="16">
                  <c:v>14143062</c:v>
                </c:pt>
                <c:pt idx="17">
                  <c:v>13972821</c:v>
                </c:pt>
                <c:pt idx="18">
                  <c:v>13808096</c:v>
                </c:pt>
                <c:pt idx="19">
                  <c:v>13648345</c:v>
                </c:pt>
                <c:pt idx="20">
                  <c:v>13493350</c:v>
                </c:pt>
              </c:numCache>
            </c:numRef>
          </c:val>
        </c:ser>
        <c:ser>
          <c:idx val="1"/>
          <c:order val="1"/>
          <c:tx>
            <c:strRef>
              <c:f>'Projeção efeito por idade'!$A$25</c:f>
              <c:strCache>
                <c:ptCount val="1"/>
                <c:pt idx="0">
                  <c:v>15-19</c:v>
                </c:pt>
              </c:strCache>
            </c:strRef>
          </c:tx>
          <c:cat>
            <c:numRef>
              <c:f>'Projeção efeito por idade'!$B$23:$V$23</c:f>
              <c:numCache>
                <c:formatCode>General</c:formatCode>
                <c:ptCount val="2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numCache>
            </c:numRef>
          </c:cat>
          <c:val>
            <c:numRef>
              <c:f>'Projeção efeito por idade'!$B$25:$V$25</c:f>
              <c:numCache>
                <c:formatCode>General</c:formatCode>
                <c:ptCount val="21"/>
                <c:pt idx="0">
                  <c:v>17143273</c:v>
                </c:pt>
                <c:pt idx="1">
                  <c:v>17141387</c:v>
                </c:pt>
                <c:pt idx="2">
                  <c:v>17144248</c:v>
                </c:pt>
                <c:pt idx="3">
                  <c:v>17140200</c:v>
                </c:pt>
                <c:pt idx="4">
                  <c:v>17166564</c:v>
                </c:pt>
                <c:pt idx="5">
                  <c:v>17150098</c:v>
                </c:pt>
                <c:pt idx="6">
                  <c:v>17089362</c:v>
                </c:pt>
                <c:pt idx="7">
                  <c:v>16983733</c:v>
                </c:pt>
                <c:pt idx="8">
                  <c:v>16841311</c:v>
                </c:pt>
                <c:pt idx="9">
                  <c:v>16623017</c:v>
                </c:pt>
                <c:pt idx="10">
                  <c:v>16400447</c:v>
                </c:pt>
                <c:pt idx="11">
                  <c:v>16174019</c:v>
                </c:pt>
                <c:pt idx="12">
                  <c:v>15945805</c:v>
                </c:pt>
                <c:pt idx="13">
                  <c:v>15717986</c:v>
                </c:pt>
                <c:pt idx="14">
                  <c:v>15492977</c:v>
                </c:pt>
                <c:pt idx="15">
                  <c:v>15272933</c:v>
                </c:pt>
                <c:pt idx="16">
                  <c:v>15059598</c:v>
                </c:pt>
                <c:pt idx="17">
                  <c:v>14853983</c:v>
                </c:pt>
                <c:pt idx="18">
                  <c:v>14656646</c:v>
                </c:pt>
                <c:pt idx="19">
                  <c:v>14466866</c:v>
                </c:pt>
                <c:pt idx="20">
                  <c:v>14284508</c:v>
                </c:pt>
              </c:numCache>
            </c:numRef>
          </c:val>
        </c:ser>
        <c:ser>
          <c:idx val="2"/>
          <c:order val="2"/>
          <c:tx>
            <c:strRef>
              <c:f>'Projeção efeito por idade'!$A$26</c:f>
              <c:strCache>
                <c:ptCount val="1"/>
                <c:pt idx="0">
                  <c:v>20-24</c:v>
                </c:pt>
              </c:strCache>
            </c:strRef>
          </c:tx>
          <c:cat>
            <c:numRef>
              <c:f>'Projeção efeito por idade'!$B$23:$V$23</c:f>
              <c:numCache>
                <c:formatCode>General</c:formatCode>
                <c:ptCount val="2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numCache>
            </c:numRef>
          </c:cat>
          <c:val>
            <c:numRef>
              <c:f>'Projeção efeito por idade'!$B$26:$V$26</c:f>
              <c:numCache>
                <c:formatCode>General</c:formatCode>
                <c:ptCount val="21"/>
                <c:pt idx="0">
                  <c:v>17136273</c:v>
                </c:pt>
                <c:pt idx="1">
                  <c:v>17101326</c:v>
                </c:pt>
                <c:pt idx="2">
                  <c:v>17079105</c:v>
                </c:pt>
                <c:pt idx="3">
                  <c:v>17056423</c:v>
                </c:pt>
                <c:pt idx="4">
                  <c:v>17040654</c:v>
                </c:pt>
                <c:pt idx="5">
                  <c:v>17034257</c:v>
                </c:pt>
                <c:pt idx="6">
                  <c:v>17035512</c:v>
                </c:pt>
                <c:pt idx="7">
                  <c:v>17041319</c:v>
                </c:pt>
                <c:pt idx="8">
                  <c:v>17040111</c:v>
                </c:pt>
                <c:pt idx="9">
                  <c:v>17068581</c:v>
                </c:pt>
                <c:pt idx="10">
                  <c:v>17053920</c:v>
                </c:pt>
                <c:pt idx="11">
                  <c:v>16995118</c:v>
                </c:pt>
                <c:pt idx="12">
                  <c:v>16891549</c:v>
                </c:pt>
                <c:pt idx="13">
                  <c:v>16751282</c:v>
                </c:pt>
                <c:pt idx="14">
                  <c:v>16535635</c:v>
                </c:pt>
                <c:pt idx="15">
                  <c:v>16315694</c:v>
                </c:pt>
                <c:pt idx="16">
                  <c:v>16091849</c:v>
                </c:pt>
                <c:pt idx="17">
                  <c:v>15866200</c:v>
                </c:pt>
                <c:pt idx="18">
                  <c:v>15640863</c:v>
                </c:pt>
                <c:pt idx="19">
                  <c:v>15417872</c:v>
                </c:pt>
                <c:pt idx="20">
                  <c:v>15199907</c:v>
                </c:pt>
              </c:numCache>
            </c:numRef>
          </c:val>
        </c:ser>
        <c:ser>
          <c:idx val="3"/>
          <c:order val="3"/>
          <c:tx>
            <c:strRef>
              <c:f>'Projeção efeito por idade'!$A$27</c:f>
              <c:strCache>
                <c:ptCount val="1"/>
                <c:pt idx="0">
                  <c:v>25-29</c:v>
                </c:pt>
              </c:strCache>
            </c:strRef>
          </c:tx>
          <c:cat>
            <c:numRef>
              <c:f>'Projeção efeito por idade'!$B$23:$V$23</c:f>
              <c:numCache>
                <c:formatCode>General</c:formatCode>
                <c:ptCount val="2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numCache>
            </c:numRef>
          </c:cat>
          <c:val>
            <c:numRef>
              <c:f>'Projeção efeito por idade'!$B$27:$V$27</c:f>
              <c:numCache>
                <c:formatCode>General</c:formatCode>
                <c:ptCount val="21"/>
                <c:pt idx="0">
                  <c:v>17714321</c:v>
                </c:pt>
                <c:pt idx="1">
                  <c:v>17521645</c:v>
                </c:pt>
                <c:pt idx="2">
                  <c:v>17325091</c:v>
                </c:pt>
                <c:pt idx="3">
                  <c:v>17176808</c:v>
                </c:pt>
                <c:pt idx="4">
                  <c:v>17068601</c:v>
                </c:pt>
                <c:pt idx="5">
                  <c:v>17003793</c:v>
                </c:pt>
                <c:pt idx="6">
                  <c:v>16973092</c:v>
                </c:pt>
                <c:pt idx="7">
                  <c:v>16954854</c:v>
                </c:pt>
                <c:pt idx="8">
                  <c:v>16935971</c:v>
                </c:pt>
                <c:pt idx="9">
                  <c:v>16923258</c:v>
                </c:pt>
                <c:pt idx="10">
                  <c:v>16919166</c:v>
                </c:pt>
                <c:pt idx="11">
                  <c:v>16922538</c:v>
                </c:pt>
                <c:pt idx="12">
                  <c:v>16930314</c:v>
                </c:pt>
                <c:pt idx="13">
                  <c:v>16931005</c:v>
                </c:pt>
                <c:pt idx="14">
                  <c:v>16961101</c:v>
                </c:pt>
                <c:pt idx="15">
                  <c:v>16948291</c:v>
                </c:pt>
                <c:pt idx="16">
                  <c:v>16891484</c:v>
                </c:pt>
                <c:pt idx="17">
                  <c:v>16790085</c:v>
                </c:pt>
                <c:pt idx="18">
                  <c:v>16652108</c:v>
                </c:pt>
                <c:pt idx="19">
                  <c:v>16438680</c:v>
                </c:pt>
                <c:pt idx="20">
                  <c:v>16221151</c:v>
                </c:pt>
              </c:numCache>
            </c:numRef>
          </c:val>
        </c:ser>
        <c:ser>
          <c:idx val="4"/>
          <c:order val="4"/>
          <c:tx>
            <c:strRef>
              <c:f>'Projeção efeito por idade'!$A$28</c:f>
              <c:strCache>
                <c:ptCount val="1"/>
                <c:pt idx="0">
                  <c:v>30-39</c:v>
                </c:pt>
              </c:strCache>
            </c:strRef>
          </c:tx>
          <c:cat>
            <c:numRef>
              <c:f>'Projeção efeito por idade'!$B$23:$V$23</c:f>
              <c:numCache>
                <c:formatCode>General</c:formatCode>
                <c:ptCount val="2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numCache>
            </c:numRef>
          </c:cat>
          <c:val>
            <c:numRef>
              <c:f>'Projeção efeito por idade'!$B$28:$V$28</c:f>
              <c:numCache>
                <c:formatCode>General</c:formatCode>
                <c:ptCount val="21"/>
                <c:pt idx="0">
                  <c:v>31566134</c:v>
                </c:pt>
                <c:pt idx="1">
                  <c:v>32298433</c:v>
                </c:pt>
                <c:pt idx="2">
                  <c:v>32957427</c:v>
                </c:pt>
                <c:pt idx="3">
                  <c:v>33493662</c:v>
                </c:pt>
                <c:pt idx="4">
                  <c:v>33913740</c:v>
                </c:pt>
                <c:pt idx="5">
                  <c:v>34216865</c:v>
                </c:pt>
                <c:pt idx="6">
                  <c:v>34408072</c:v>
                </c:pt>
                <c:pt idx="7">
                  <c:v>34503246</c:v>
                </c:pt>
                <c:pt idx="8">
                  <c:v>34516847</c:v>
                </c:pt>
                <c:pt idx="9">
                  <c:v>34445992</c:v>
                </c:pt>
                <c:pt idx="10">
                  <c:v>34285952</c:v>
                </c:pt>
                <c:pt idx="11">
                  <c:v>34076454</c:v>
                </c:pt>
                <c:pt idx="12">
                  <c:v>33874958</c:v>
                </c:pt>
                <c:pt idx="13">
                  <c:v>33719732</c:v>
                </c:pt>
                <c:pt idx="14">
                  <c:v>33609432</c:v>
                </c:pt>
                <c:pt idx="15">
                  <c:v>33549712</c:v>
                </c:pt>
                <c:pt idx="16">
                  <c:v>33530482</c:v>
                </c:pt>
                <c:pt idx="17">
                  <c:v>33527387</c:v>
                </c:pt>
                <c:pt idx="18">
                  <c:v>33516110</c:v>
                </c:pt>
                <c:pt idx="19">
                  <c:v>33538995</c:v>
                </c:pt>
                <c:pt idx="20">
                  <c:v>33527630</c:v>
                </c:pt>
              </c:numCache>
            </c:numRef>
          </c:val>
        </c:ser>
        <c:ser>
          <c:idx val="5"/>
          <c:order val="5"/>
          <c:tx>
            <c:strRef>
              <c:f>'Projeção efeito por idade'!$A$29</c:f>
              <c:strCache>
                <c:ptCount val="1"/>
                <c:pt idx="0">
                  <c:v>40-49</c:v>
                </c:pt>
              </c:strCache>
            </c:strRef>
          </c:tx>
          <c:cat>
            <c:numRef>
              <c:f>'Projeção efeito por idade'!$B$23:$V$23</c:f>
              <c:numCache>
                <c:formatCode>General</c:formatCode>
                <c:ptCount val="2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numCache>
            </c:numRef>
          </c:cat>
          <c:val>
            <c:numRef>
              <c:f>'Projeção efeito por idade'!$B$29:$V$29</c:f>
              <c:numCache>
                <c:formatCode>General</c:formatCode>
                <c:ptCount val="21"/>
                <c:pt idx="0">
                  <c:v>25726603</c:v>
                </c:pt>
                <c:pt idx="1">
                  <c:v>26030557</c:v>
                </c:pt>
                <c:pt idx="2">
                  <c:v>26362474</c:v>
                </c:pt>
                <c:pt idx="3">
                  <c:v>26746623</c:v>
                </c:pt>
                <c:pt idx="4">
                  <c:v>27177692</c:v>
                </c:pt>
                <c:pt idx="5">
                  <c:v>27650731</c:v>
                </c:pt>
                <c:pt idx="6">
                  <c:v>28171378</c:v>
                </c:pt>
                <c:pt idx="7">
                  <c:v>28746122</c:v>
                </c:pt>
                <c:pt idx="8">
                  <c:v>29373328</c:v>
                </c:pt>
                <c:pt idx="9">
                  <c:v>30049155</c:v>
                </c:pt>
                <c:pt idx="10">
                  <c:v>30777186</c:v>
                </c:pt>
                <c:pt idx="11">
                  <c:v>31507558</c:v>
                </c:pt>
                <c:pt idx="12">
                  <c:v>32166098</c:v>
                </c:pt>
                <c:pt idx="13">
                  <c:v>32704479</c:v>
                </c:pt>
                <c:pt idx="14">
                  <c:v>33128599</c:v>
                </c:pt>
                <c:pt idx="15">
                  <c:v>33437424</c:v>
                </c:pt>
                <c:pt idx="16">
                  <c:v>33636422</c:v>
                </c:pt>
                <c:pt idx="17">
                  <c:v>33741446</c:v>
                </c:pt>
                <c:pt idx="18">
                  <c:v>33766852</c:v>
                </c:pt>
                <c:pt idx="19">
                  <c:v>33709468</c:v>
                </c:pt>
                <c:pt idx="20">
                  <c:v>33565228</c:v>
                </c:pt>
              </c:numCache>
            </c:numRef>
          </c:val>
        </c:ser>
        <c:ser>
          <c:idx val="6"/>
          <c:order val="6"/>
          <c:tx>
            <c:strRef>
              <c:f>'Projeção efeito por idade'!$A$30</c:f>
              <c:strCache>
                <c:ptCount val="1"/>
                <c:pt idx="0">
                  <c:v>50-59</c:v>
                </c:pt>
              </c:strCache>
            </c:strRef>
          </c:tx>
          <c:cat>
            <c:numRef>
              <c:f>'Projeção efeito por idade'!$B$23:$V$23</c:f>
              <c:numCache>
                <c:formatCode>General</c:formatCode>
                <c:ptCount val="2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numCache>
            </c:numRef>
          </c:cat>
          <c:val>
            <c:numRef>
              <c:f>'Projeção efeito por idade'!$B$30:$V$30</c:f>
              <c:numCache>
                <c:formatCode>General</c:formatCode>
                <c:ptCount val="21"/>
                <c:pt idx="0">
                  <c:v>19707179</c:v>
                </c:pt>
                <c:pt idx="1">
                  <c:v>20330396</c:v>
                </c:pt>
                <c:pt idx="2">
                  <c:v>20927345</c:v>
                </c:pt>
                <c:pt idx="3">
                  <c:v>21486956</c:v>
                </c:pt>
                <c:pt idx="4">
                  <c:v>22011315</c:v>
                </c:pt>
                <c:pt idx="5">
                  <c:v>22501900</c:v>
                </c:pt>
                <c:pt idx="6">
                  <c:v>22957419</c:v>
                </c:pt>
                <c:pt idx="7">
                  <c:v>23377297</c:v>
                </c:pt>
                <c:pt idx="8">
                  <c:v>23764121</c:v>
                </c:pt>
                <c:pt idx="9">
                  <c:v>24119310</c:v>
                </c:pt>
                <c:pt idx="10">
                  <c:v>24441265</c:v>
                </c:pt>
                <c:pt idx="11">
                  <c:v>24754298</c:v>
                </c:pt>
                <c:pt idx="12">
                  <c:v>25093849</c:v>
                </c:pt>
                <c:pt idx="13">
                  <c:v>25482966</c:v>
                </c:pt>
                <c:pt idx="14">
                  <c:v>25916341</c:v>
                </c:pt>
                <c:pt idx="15">
                  <c:v>26389242</c:v>
                </c:pt>
                <c:pt idx="16">
                  <c:v>26907285</c:v>
                </c:pt>
                <c:pt idx="17">
                  <c:v>27476599</c:v>
                </c:pt>
                <c:pt idx="18">
                  <c:v>28095630</c:v>
                </c:pt>
                <c:pt idx="19">
                  <c:v>28760607</c:v>
                </c:pt>
                <c:pt idx="20">
                  <c:v>29475422</c:v>
                </c:pt>
              </c:numCache>
            </c:numRef>
          </c:val>
        </c:ser>
        <c:ser>
          <c:idx val="7"/>
          <c:order val="7"/>
          <c:tx>
            <c:strRef>
              <c:f>'Projeção efeito por idade'!$A$31</c:f>
              <c:strCache>
                <c:ptCount val="1"/>
                <c:pt idx="0">
                  <c:v>60 ou mais</c:v>
                </c:pt>
              </c:strCache>
            </c:strRef>
          </c:tx>
          <c:cat>
            <c:numRef>
              <c:f>'Projeção efeito por idade'!$B$23:$V$23</c:f>
              <c:numCache>
                <c:formatCode>General</c:formatCode>
                <c:ptCount val="21"/>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numCache>
            </c:numRef>
          </c:cat>
          <c:val>
            <c:numRef>
              <c:f>'Projeção efeito por idade'!$B$31:$V$31</c:f>
              <c:numCache>
                <c:formatCode>General</c:formatCode>
                <c:ptCount val="21"/>
                <c:pt idx="0">
                  <c:v>21208322</c:v>
                </c:pt>
                <c:pt idx="1">
                  <c:v>22077318</c:v>
                </c:pt>
                <c:pt idx="2">
                  <c:v>22988618</c:v>
                </c:pt>
                <c:pt idx="3">
                  <c:v>23940885</c:v>
                </c:pt>
                <c:pt idx="4">
                  <c:v>24933461</c:v>
                </c:pt>
                <c:pt idx="5">
                  <c:v>25964619</c:v>
                </c:pt>
                <c:pt idx="6">
                  <c:v>27034163</c:v>
                </c:pt>
                <c:pt idx="7">
                  <c:v>28143225</c:v>
                </c:pt>
                <c:pt idx="8">
                  <c:v>29290662</c:v>
                </c:pt>
                <c:pt idx="9">
                  <c:v>30474291</c:v>
                </c:pt>
                <c:pt idx="10">
                  <c:v>31693761</c:v>
                </c:pt>
                <c:pt idx="11">
                  <c:v>32936597</c:v>
                </c:pt>
                <c:pt idx="12">
                  <c:v>34185085</c:v>
                </c:pt>
                <c:pt idx="13">
                  <c:v>35427289</c:v>
                </c:pt>
                <c:pt idx="14">
                  <c:v>36663810</c:v>
                </c:pt>
                <c:pt idx="15">
                  <c:v>37894006</c:v>
                </c:pt>
                <c:pt idx="16">
                  <c:v>39116674</c:v>
                </c:pt>
                <c:pt idx="17">
                  <c:v>40332193</c:v>
                </c:pt>
                <c:pt idx="18">
                  <c:v>41541763</c:v>
                </c:pt>
                <c:pt idx="19">
                  <c:v>42745129</c:v>
                </c:pt>
                <c:pt idx="20">
                  <c:v>43939889</c:v>
                </c:pt>
              </c:numCache>
            </c:numRef>
          </c:val>
        </c:ser>
        <c:axId val="164288384"/>
        <c:axId val="164289920"/>
      </c:areaChart>
      <c:catAx>
        <c:axId val="164288384"/>
        <c:scaling>
          <c:orientation val="minMax"/>
        </c:scaling>
        <c:axPos val="b"/>
        <c:numFmt formatCode="General" sourceLinked="1"/>
        <c:tickLblPos val="nextTo"/>
        <c:crossAx val="164289920"/>
        <c:crosses val="autoZero"/>
        <c:auto val="1"/>
        <c:lblAlgn val="ctr"/>
        <c:lblOffset val="100"/>
      </c:catAx>
      <c:valAx>
        <c:axId val="164289920"/>
        <c:scaling>
          <c:orientation val="minMax"/>
        </c:scaling>
        <c:axPos val="l"/>
        <c:majorGridlines/>
        <c:numFmt formatCode="0%" sourceLinked="1"/>
        <c:tickLblPos val="nextTo"/>
        <c:crossAx val="164288384"/>
        <c:crosses val="autoZero"/>
        <c:crossBetween val="midCat"/>
      </c:valAx>
    </c:plotArea>
    <c:legend>
      <c:legendPos val="r"/>
    </c:legend>
    <c:plotVisOnly val="1"/>
    <c:dispBlanksAs val="zero"/>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8: Decomposição da Saúde Financeira do INSS </a:t>
            </a:r>
          </a:p>
        </c:rich>
      </c:tx>
    </c:title>
    <c:plotArea>
      <c:layout/>
      <c:lineChart>
        <c:grouping val="standard"/>
        <c:ser>
          <c:idx val="1"/>
          <c:order val="1"/>
          <c:tx>
            <c:v>Salário Médio/Benefício Médio</c:v>
          </c:tx>
          <c:marker>
            <c:symbol val="none"/>
          </c:marker>
          <c:cat>
            <c:numRef>
              <c:f>Plan2!$C$4:$M$4</c:f>
              <c:numCache>
                <c:formatCode>General</c:formatCode>
                <c:ptCount val="11"/>
                <c:pt idx="0">
                  <c:v>2002</c:v>
                </c:pt>
                <c:pt idx="1">
                  <c:v>2003</c:v>
                </c:pt>
                <c:pt idx="2">
                  <c:v>2004</c:v>
                </c:pt>
                <c:pt idx="3">
                  <c:v>2005</c:v>
                </c:pt>
                <c:pt idx="4">
                  <c:v>2006</c:v>
                </c:pt>
                <c:pt idx="5">
                  <c:v>2007</c:v>
                </c:pt>
                <c:pt idx="6">
                  <c:v>2008</c:v>
                </c:pt>
                <c:pt idx="7">
                  <c:v>2009</c:v>
                </c:pt>
                <c:pt idx="8">
                  <c:v>2010</c:v>
                </c:pt>
                <c:pt idx="9">
                  <c:v>2011</c:v>
                </c:pt>
                <c:pt idx="10">
                  <c:v>2012</c:v>
                </c:pt>
              </c:numCache>
            </c:numRef>
          </c:cat>
          <c:val>
            <c:numRef>
              <c:f>Plan2!$C$7:$M$7</c:f>
              <c:numCache>
                <c:formatCode>General</c:formatCode>
                <c:ptCount val="11"/>
                <c:pt idx="0">
                  <c:v>1.6912181865690561</c:v>
                </c:pt>
                <c:pt idx="1">
                  <c:v>1.5187017603602104</c:v>
                </c:pt>
                <c:pt idx="2">
                  <c:v>1.4866384452889816</c:v>
                </c:pt>
                <c:pt idx="3">
                  <c:v>1.4752953032019804</c:v>
                </c:pt>
                <c:pt idx="4">
                  <c:v>1.4971802664335647</c:v>
                </c:pt>
                <c:pt idx="5">
                  <c:v>1.5436601749184864</c:v>
                </c:pt>
                <c:pt idx="6">
                  <c:v>1.583330452826216</c:v>
                </c:pt>
                <c:pt idx="7">
                  <c:v>1.5671095673773758</c:v>
                </c:pt>
                <c:pt idx="8">
                  <c:v>1.4956034085645298</c:v>
                </c:pt>
                <c:pt idx="9">
                  <c:v>1.5481695763412051</c:v>
                </c:pt>
                <c:pt idx="10">
                  <c:v>1.5610927930609371</c:v>
                </c:pt>
              </c:numCache>
            </c:numRef>
          </c:val>
        </c:ser>
        <c:ser>
          <c:idx val="2"/>
          <c:order val="2"/>
          <c:tx>
            <c:v>Contribuições/Benefícios</c:v>
          </c:tx>
          <c:marker>
            <c:symbol val="none"/>
          </c:marker>
          <c:cat>
            <c:numRef>
              <c:f>Plan2!$C$4:$M$4</c:f>
              <c:numCache>
                <c:formatCode>General</c:formatCode>
                <c:ptCount val="11"/>
                <c:pt idx="0">
                  <c:v>2002</c:v>
                </c:pt>
                <c:pt idx="1">
                  <c:v>2003</c:v>
                </c:pt>
                <c:pt idx="2">
                  <c:v>2004</c:v>
                </c:pt>
                <c:pt idx="3">
                  <c:v>2005</c:v>
                </c:pt>
                <c:pt idx="4">
                  <c:v>2006</c:v>
                </c:pt>
                <c:pt idx="5">
                  <c:v>2007</c:v>
                </c:pt>
                <c:pt idx="6">
                  <c:v>2008</c:v>
                </c:pt>
                <c:pt idx="7">
                  <c:v>2009</c:v>
                </c:pt>
                <c:pt idx="8">
                  <c:v>2010</c:v>
                </c:pt>
                <c:pt idx="9">
                  <c:v>2011</c:v>
                </c:pt>
                <c:pt idx="10">
                  <c:v>2012</c:v>
                </c:pt>
              </c:numCache>
            </c:numRef>
          </c:cat>
          <c:val>
            <c:numRef>
              <c:f>Plan2!$C$8:$M$8</c:f>
              <c:numCache>
                <c:formatCode>General</c:formatCode>
                <c:ptCount val="11"/>
                <c:pt idx="0">
                  <c:v>1.4844023174839698</c:v>
                </c:pt>
                <c:pt idx="1">
                  <c:v>1.461826376490921</c:v>
                </c:pt>
                <c:pt idx="2">
                  <c:v>1.4683658020792119</c:v>
                </c:pt>
                <c:pt idx="3">
                  <c:v>1.5326587223343999</c:v>
                </c:pt>
                <c:pt idx="4">
                  <c:v>1.5358338790112251</c:v>
                </c:pt>
                <c:pt idx="5">
                  <c:v>1.6086835192278721</c:v>
                </c:pt>
                <c:pt idx="6">
                  <c:v>1.6834806701512157</c:v>
                </c:pt>
                <c:pt idx="7">
                  <c:v>1.684344537289276</c:v>
                </c:pt>
                <c:pt idx="8">
                  <c:v>1.7375319448520974</c:v>
                </c:pt>
                <c:pt idx="9">
                  <c:v>1.7935492927062966</c:v>
                </c:pt>
                <c:pt idx="10">
                  <c:v>1.8288616061389507</c:v>
                </c:pt>
              </c:numCache>
            </c:numRef>
          </c:val>
        </c:ser>
        <c:marker val="1"/>
        <c:axId val="164257152"/>
        <c:axId val="164459648"/>
      </c:lineChart>
      <c:lineChart>
        <c:grouping val="standard"/>
        <c:ser>
          <c:idx val="0"/>
          <c:order val="0"/>
          <c:tx>
            <c:v>Alíquota Média</c:v>
          </c:tx>
          <c:marker>
            <c:symbol val="none"/>
          </c:marker>
          <c:cat>
            <c:numRef>
              <c:f>Plan2!$C$4:$M$4</c:f>
              <c:numCache>
                <c:formatCode>General</c:formatCode>
                <c:ptCount val="11"/>
                <c:pt idx="0">
                  <c:v>2002</c:v>
                </c:pt>
                <c:pt idx="1">
                  <c:v>2003</c:v>
                </c:pt>
                <c:pt idx="2">
                  <c:v>2004</c:v>
                </c:pt>
                <c:pt idx="3">
                  <c:v>2005</c:v>
                </c:pt>
                <c:pt idx="4">
                  <c:v>2006</c:v>
                </c:pt>
                <c:pt idx="5">
                  <c:v>2007</c:v>
                </c:pt>
                <c:pt idx="6">
                  <c:v>2008</c:v>
                </c:pt>
                <c:pt idx="7">
                  <c:v>2009</c:v>
                </c:pt>
                <c:pt idx="8">
                  <c:v>2010</c:v>
                </c:pt>
                <c:pt idx="9">
                  <c:v>2011</c:v>
                </c:pt>
                <c:pt idx="10">
                  <c:v>2012</c:v>
                </c:pt>
              </c:numCache>
            </c:numRef>
          </c:cat>
          <c:val>
            <c:numRef>
              <c:f>Plan2!$C$6:$M$6</c:f>
              <c:numCache>
                <c:formatCode>General</c:formatCode>
                <c:ptCount val="11"/>
                <c:pt idx="0">
                  <c:v>0.31855738929722016</c:v>
                </c:pt>
                <c:pt idx="1">
                  <c:v>0.34009036042656754</c:v>
                </c:pt>
                <c:pt idx="2">
                  <c:v>0.34736418388480544</c:v>
                </c:pt>
                <c:pt idx="3">
                  <c:v>0.34046551822684223</c:v>
                </c:pt>
                <c:pt idx="4">
                  <c:v>0.32299962791648368</c:v>
                </c:pt>
                <c:pt idx="5">
                  <c:v>0.30406415400512077</c:v>
                </c:pt>
                <c:pt idx="6">
                  <c:v>0.33818423680133181</c:v>
                </c:pt>
                <c:pt idx="7">
                  <c:v>0.33489311193885279</c:v>
                </c:pt>
                <c:pt idx="8">
                  <c:v>0.34891666447697339</c:v>
                </c:pt>
                <c:pt idx="9">
                  <c:v>0.34826016414038186</c:v>
                </c:pt>
                <c:pt idx="10">
                  <c:v>0.33660278718911629</c:v>
                </c:pt>
              </c:numCache>
            </c:numRef>
          </c:val>
        </c:ser>
        <c:marker val="1"/>
        <c:axId val="164467456"/>
        <c:axId val="164461184"/>
      </c:lineChart>
      <c:catAx>
        <c:axId val="164257152"/>
        <c:scaling>
          <c:orientation val="minMax"/>
        </c:scaling>
        <c:axPos val="b"/>
        <c:numFmt formatCode="General" sourceLinked="1"/>
        <c:majorTickMark val="none"/>
        <c:tickLblPos val="nextTo"/>
        <c:crossAx val="164459648"/>
        <c:crosses val="autoZero"/>
        <c:auto val="1"/>
        <c:lblAlgn val="ctr"/>
        <c:lblOffset val="100"/>
      </c:catAx>
      <c:valAx>
        <c:axId val="164459648"/>
        <c:scaling>
          <c:orientation val="minMax"/>
          <c:max val="1.9000000000000001"/>
          <c:min val="1.3"/>
        </c:scaling>
        <c:axPos val="l"/>
        <c:majorGridlines/>
        <c:numFmt formatCode="General" sourceLinked="1"/>
        <c:majorTickMark val="none"/>
        <c:tickLblPos val="nextTo"/>
        <c:crossAx val="164257152"/>
        <c:crosses val="autoZero"/>
        <c:crossBetween val="between"/>
      </c:valAx>
      <c:valAx>
        <c:axId val="164461184"/>
        <c:scaling>
          <c:orientation val="minMax"/>
          <c:max val="0.9"/>
          <c:min val="0.30000000000000027"/>
        </c:scaling>
        <c:axPos val="r"/>
        <c:title>
          <c:tx>
            <c:rich>
              <a:bodyPr rot="-5400000" vert="horz"/>
              <a:lstStyle/>
              <a:p>
                <a:pPr>
                  <a:defRPr/>
                </a:pPr>
                <a:r>
                  <a:rPr lang="pt-BR"/>
                  <a:t>Alíquota</a:t>
                </a:r>
              </a:p>
            </c:rich>
          </c:tx>
        </c:title>
        <c:numFmt formatCode="0%" sourceLinked="0"/>
        <c:tickLblPos val="nextTo"/>
        <c:crossAx val="164467456"/>
        <c:crosses val="max"/>
        <c:crossBetween val="between"/>
      </c:valAx>
      <c:catAx>
        <c:axId val="164467456"/>
        <c:scaling>
          <c:orientation val="minMax"/>
        </c:scaling>
        <c:delete val="1"/>
        <c:axPos val="b"/>
        <c:numFmt formatCode="General" sourceLinked="1"/>
        <c:tickLblPos val="nextTo"/>
        <c:crossAx val="164461184"/>
        <c:crosses val="autoZero"/>
        <c:auto val="1"/>
        <c:lblAlgn val="ctr"/>
        <c:lblOffset val="100"/>
      </c:catAx>
    </c:plotArea>
    <c:legend>
      <c:legendPos val="b"/>
    </c:legend>
    <c:plotVisOnly val="1"/>
    <c:dispBlanksAs val="gap"/>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sz="1200"/>
              <a:t>Gráfico 9: Taxa de Crescimento do nº de Contribuintes do INSS</a:t>
            </a:r>
          </a:p>
        </c:rich>
      </c:tx>
      <c:layout>
        <c:manualLayout>
          <c:xMode val="edge"/>
          <c:yMode val="edge"/>
          <c:x val="0.12395522388059707"/>
          <c:y val="2.6291079812206596E-2"/>
        </c:manualLayout>
      </c:layout>
    </c:title>
    <c:plotArea>
      <c:layout/>
      <c:lineChart>
        <c:grouping val="standard"/>
        <c:ser>
          <c:idx val="0"/>
          <c:order val="0"/>
          <c:tx>
            <c:v>Com crescimento do PIA</c:v>
          </c:tx>
          <c:marker>
            <c:symbol val="none"/>
          </c:marker>
          <c:cat>
            <c:numRef>
              <c:f>'Propensao e Peso'!$R$36:$R$45</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'Propensao e Peso'!$Y$36:$Y$45</c:f>
              <c:numCache>
                <c:formatCode>0.0%</c:formatCode>
                <c:ptCount val="10"/>
                <c:pt idx="0">
                  <c:v>4.0051679586563076E-2</c:v>
                </c:pt>
                <c:pt idx="1">
                  <c:v>3.8654089281277226E-2</c:v>
                </c:pt>
                <c:pt idx="2">
                  <c:v>4.6734938835967924E-2</c:v>
                </c:pt>
                <c:pt idx="3">
                  <c:v>5.1772513235903934E-2</c:v>
                </c:pt>
                <c:pt idx="4">
                  <c:v>5.3422719153773099E-2</c:v>
                </c:pt>
                <c:pt idx="5">
                  <c:v>5.8750990927508434E-2</c:v>
                </c:pt>
                <c:pt idx="6">
                  <c:v>3.0927620632279496E-2</c:v>
                </c:pt>
                <c:pt idx="7">
                  <c:v>5.0376168768904356E-2</c:v>
                </c:pt>
                <c:pt idx="8">
                  <c:v>5.038039079696599E-2</c:v>
                </c:pt>
                <c:pt idx="9">
                  <c:v>3.4286027757967991E-2</c:v>
                </c:pt>
              </c:numCache>
            </c:numRef>
          </c:val>
        </c:ser>
        <c:ser>
          <c:idx val="1"/>
          <c:order val="1"/>
          <c:tx>
            <c:v>Sem crescimento do PIA</c:v>
          </c:tx>
          <c:marker>
            <c:symbol val="none"/>
          </c:marker>
          <c:val>
            <c:numRef>
              <c:f>'Propensao e Peso'!$Z$36:$Z$45</c:f>
              <c:numCache>
                <c:formatCode>0.0%</c:formatCode>
                <c:ptCount val="10"/>
                <c:pt idx="0">
                  <c:v>2.3181612878544245E-2</c:v>
                </c:pt>
                <c:pt idx="1">
                  <c:v>2.166463781947876E-2</c:v>
                </c:pt>
                <c:pt idx="2">
                  <c:v>2.9547757455682951E-2</c:v>
                </c:pt>
                <c:pt idx="3">
                  <c:v>3.4098871012326906E-2</c:v>
                </c:pt>
                <c:pt idx="4">
                  <c:v>3.8566890497671792E-2</c:v>
                </c:pt>
                <c:pt idx="5">
                  <c:v>4.5598292018542506E-2</c:v>
                </c:pt>
                <c:pt idx="6">
                  <c:v>1.9323406930402763E-2</c:v>
                </c:pt>
                <c:pt idx="7">
                  <c:v>3.9309533433399213E-2</c:v>
                </c:pt>
                <c:pt idx="8">
                  <c:v>3.9309613083568382E-2</c:v>
                </c:pt>
                <c:pt idx="9">
                  <c:v>2.9350693396128065E-2</c:v>
                </c:pt>
              </c:numCache>
            </c:numRef>
          </c:val>
        </c:ser>
        <c:hiLowLines/>
        <c:marker val="1"/>
        <c:axId val="166745600"/>
        <c:axId val="166747136"/>
      </c:lineChart>
      <c:catAx>
        <c:axId val="166745600"/>
        <c:scaling>
          <c:orientation val="minMax"/>
        </c:scaling>
        <c:axPos val="b"/>
        <c:numFmt formatCode="General" sourceLinked="1"/>
        <c:majorTickMark val="none"/>
        <c:tickLblPos val="nextTo"/>
        <c:crossAx val="166747136"/>
        <c:crosses val="autoZero"/>
        <c:auto val="1"/>
        <c:lblAlgn val="ctr"/>
        <c:lblOffset val="100"/>
      </c:catAx>
      <c:valAx>
        <c:axId val="166747136"/>
        <c:scaling>
          <c:orientation val="minMax"/>
          <c:max val="6.0000000000000032E-2"/>
          <c:min val="1.0000000000000005E-2"/>
        </c:scaling>
        <c:axPos val="l"/>
        <c:majorGridlines/>
        <c:numFmt formatCode="0.0%" sourceLinked="1"/>
        <c:majorTickMark val="none"/>
        <c:tickLblPos val="nextTo"/>
        <c:crossAx val="166745600"/>
        <c:crosses val="autoZero"/>
        <c:crossBetween val="between"/>
      </c:valAx>
    </c:plotArea>
    <c:legend>
      <c:legendPos val="b"/>
    </c:legend>
    <c:plotVisOnly val="1"/>
    <c:dispBlanksAs val="gap"/>
  </c:chart>
  <c:spPr>
    <a:ln>
      <a:noFill/>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EB907-6A02-4335-9558-13393EE6F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4451</Words>
  <Characters>24036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Archer Duque</dc:creator>
  <cp:lastModifiedBy>Seven</cp:lastModifiedBy>
  <cp:revision>9</cp:revision>
  <cp:lastPrinted>2014-07-17T17:38:00Z</cp:lastPrinted>
  <dcterms:created xsi:type="dcterms:W3CDTF">2014-07-24T00:44:00Z</dcterms:created>
  <dcterms:modified xsi:type="dcterms:W3CDTF">2014-07-24T01:10:00Z</dcterms:modified>
</cp:coreProperties>
</file>